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4B6E5" w14:textId="3F4C2824" w:rsidR="00072EBC" w:rsidRPr="002E7853" w:rsidRDefault="00B63F9A" w:rsidP="00072EBC">
      <w:pPr>
        <w:pStyle w:val="1tekst"/>
        <w:spacing w:before="60" w:after="160"/>
        <w:ind w:left="0" w:firstLine="720"/>
        <w:rPr>
          <w:rFonts w:ascii="Times New Roman" w:hAnsi="Times New Roman" w:cs="Times New Roman"/>
          <w:sz w:val="24"/>
          <w:szCs w:val="24"/>
          <w:lang w:val="sr-Cyrl-RS"/>
        </w:rPr>
      </w:pPr>
      <w:r w:rsidRPr="002E7853">
        <w:rPr>
          <w:rFonts w:ascii="Times New Roman" w:hAnsi="Times New Roman" w:cs="Times New Roman"/>
          <w:spacing w:val="-4"/>
          <w:sz w:val="24"/>
          <w:szCs w:val="24"/>
          <w:lang w:val="sr-Cyrl-RS"/>
        </w:rPr>
        <w:t>На основу члана 16.</w:t>
      </w:r>
      <w:r w:rsidRPr="002E7853">
        <w:rPr>
          <w:rFonts w:ascii="Times New Roman" w:eastAsiaTheme="minorEastAsia" w:hAnsi="Times New Roman" w:cs="Times New Roman"/>
          <w:sz w:val="24"/>
          <w:szCs w:val="24"/>
          <w:lang w:val="sr-Cyrl-RS"/>
        </w:rPr>
        <w:t xml:space="preserve"> </w:t>
      </w:r>
      <w:r w:rsidR="006B588E" w:rsidRPr="00080DC6">
        <w:rPr>
          <w:rFonts w:ascii="Times New Roman" w:eastAsiaTheme="minorEastAsia" w:hAnsi="Times New Roman" w:cs="Times New Roman"/>
          <w:sz w:val="24"/>
          <w:szCs w:val="24"/>
          <w:lang w:val="sr-Cyrl-RS"/>
        </w:rPr>
        <w:t>став 4.</w:t>
      </w:r>
      <w:r w:rsidR="006B588E" w:rsidRPr="002E7853">
        <w:rPr>
          <w:rFonts w:ascii="Times New Roman" w:eastAsiaTheme="minorEastAsia" w:hAnsi="Times New Roman" w:cs="Times New Roman"/>
          <w:sz w:val="24"/>
          <w:szCs w:val="24"/>
          <w:lang w:val="sr-Cyrl-RS"/>
        </w:rPr>
        <w:t xml:space="preserve"> </w:t>
      </w:r>
      <w:r w:rsidRPr="002E7853">
        <w:rPr>
          <w:rFonts w:ascii="Times New Roman" w:eastAsiaTheme="minorEastAsia" w:hAnsi="Times New Roman" w:cs="Times New Roman"/>
          <w:sz w:val="24"/>
          <w:szCs w:val="24"/>
          <w:lang w:val="sr-Cyrl-RS"/>
        </w:rPr>
        <w:t xml:space="preserve">Закона </w:t>
      </w:r>
      <w:r w:rsidR="002E7853" w:rsidRPr="002E7853">
        <w:rPr>
          <w:rFonts w:ascii="Times New Roman" w:eastAsiaTheme="minorEastAsia" w:hAnsi="Times New Roman" w:cs="Times New Roman"/>
          <w:sz w:val="24"/>
          <w:szCs w:val="24"/>
          <w:lang w:val="sr-Cyrl-RS"/>
        </w:rPr>
        <w:t>о управљању привредним друштвима која су у власништву Републике Србије</w:t>
      </w:r>
      <w:r w:rsidRPr="002E7853">
        <w:rPr>
          <w:rFonts w:ascii="Times New Roman" w:eastAsiaTheme="minorEastAsia" w:hAnsi="Times New Roman" w:cs="Times New Roman"/>
          <w:sz w:val="24"/>
          <w:szCs w:val="24"/>
          <w:lang w:val="sr-Cyrl-RS"/>
        </w:rPr>
        <w:t xml:space="preserve"> („Сл</w:t>
      </w:r>
      <w:r w:rsidR="006B588E" w:rsidRPr="002E7853">
        <w:rPr>
          <w:rFonts w:ascii="Times New Roman" w:eastAsiaTheme="minorEastAsia" w:hAnsi="Times New Roman" w:cs="Times New Roman"/>
          <w:sz w:val="24"/>
          <w:szCs w:val="24"/>
          <w:lang w:val="sr-Cyrl-RS"/>
        </w:rPr>
        <w:t>ужбени гласник РС”, број 76/23) и</w:t>
      </w:r>
      <w:r w:rsidRPr="002E7853">
        <w:rPr>
          <w:rFonts w:ascii="Times New Roman" w:eastAsiaTheme="minorEastAsia" w:hAnsi="Times New Roman" w:cs="Times New Roman"/>
          <w:sz w:val="24"/>
          <w:szCs w:val="24"/>
          <w:lang w:val="sr-Cyrl-RS"/>
        </w:rPr>
        <w:t xml:space="preserve"> </w:t>
      </w:r>
      <w:r w:rsidR="00072EBC" w:rsidRPr="002E7853">
        <w:rPr>
          <w:rFonts w:ascii="Times New Roman" w:hAnsi="Times New Roman" w:cs="Times New Roman"/>
          <w:sz w:val="24"/>
          <w:szCs w:val="24"/>
          <w:lang w:val="sr-Cyrl-RS"/>
        </w:rPr>
        <w:t xml:space="preserve">члана 42. став 1. </w:t>
      </w:r>
      <w:r w:rsidR="006B588E" w:rsidRPr="002E7853">
        <w:rPr>
          <w:rFonts w:ascii="Times New Roman" w:hAnsi="Times New Roman" w:cs="Times New Roman"/>
          <w:bCs/>
          <w:sz w:val="24"/>
          <w:szCs w:val="24"/>
          <w:lang w:val="sr-Cyrl-RS"/>
        </w:rPr>
        <w:t xml:space="preserve">Закона о Влади </w:t>
      </w:r>
      <w:r w:rsidR="006B588E" w:rsidRPr="002E7853">
        <w:rPr>
          <w:rFonts w:ascii="Times New Roman" w:hAnsi="Times New Roman" w:cs="Times New Roman"/>
          <w:bCs/>
          <w:color w:val="000000"/>
          <w:sz w:val="24"/>
          <w:szCs w:val="24"/>
          <w:lang w:val="sr-Cyrl-RS" w:eastAsia="sr-Latn-CS"/>
        </w:rPr>
        <w:t>(„Службени гласник РС”, бр. 55/05, 71/05 – исправка, 101/07, 65/08, 16/11, 68/12 – УС, 72/12, 7/14 – УС, 44/14 и 30/18 – др. закон)</w:t>
      </w:r>
      <w:r w:rsidR="00072EBC" w:rsidRPr="002E7853">
        <w:rPr>
          <w:rFonts w:ascii="Times New Roman" w:hAnsi="Times New Roman" w:cs="Times New Roman"/>
          <w:sz w:val="24"/>
          <w:szCs w:val="24"/>
          <w:lang w:val="sr-Cyrl-RS"/>
        </w:rPr>
        <w:t xml:space="preserve">, </w:t>
      </w:r>
    </w:p>
    <w:p w14:paraId="7E254838" w14:textId="1CA45DE6" w:rsidR="00B63F9A" w:rsidRPr="002E7853" w:rsidRDefault="00B63F9A" w:rsidP="00072EBC">
      <w:pPr>
        <w:widowControl w:val="0"/>
        <w:shd w:val="clear" w:color="auto" w:fill="FFFFFF"/>
        <w:autoSpaceDE w:val="0"/>
        <w:autoSpaceDN w:val="0"/>
        <w:adjustRightInd w:val="0"/>
        <w:spacing w:after="0" w:line="240" w:lineRule="auto"/>
        <w:ind w:firstLine="720"/>
        <w:contextualSpacing/>
        <w:rPr>
          <w:rFonts w:eastAsia="Times New Roman" w:cs="Times New Roman"/>
          <w:spacing w:val="-6"/>
          <w:sz w:val="24"/>
          <w:szCs w:val="24"/>
        </w:rPr>
      </w:pPr>
      <w:r w:rsidRPr="002E7853">
        <w:rPr>
          <w:rFonts w:eastAsia="Times New Roman" w:cs="Times New Roman"/>
          <w:spacing w:val="-6"/>
          <w:sz w:val="24"/>
          <w:szCs w:val="24"/>
        </w:rPr>
        <w:t>Влада доноси</w:t>
      </w:r>
    </w:p>
    <w:p w14:paraId="64C7A72C" w14:textId="77777777" w:rsidR="00D9699B" w:rsidRPr="002E7853" w:rsidRDefault="00D9699B" w:rsidP="00D9699B">
      <w:pPr>
        <w:spacing w:after="0" w:line="240" w:lineRule="auto"/>
        <w:jc w:val="center"/>
        <w:rPr>
          <w:rFonts w:eastAsia="Times New Roman" w:cs="Times New Roman"/>
          <w:bCs/>
          <w:sz w:val="24"/>
          <w:szCs w:val="24"/>
        </w:rPr>
      </w:pPr>
    </w:p>
    <w:p w14:paraId="5A653CF7" w14:textId="6E6B0DAB" w:rsidR="00D9699B" w:rsidRPr="002E7853" w:rsidRDefault="00B63F9A" w:rsidP="00D9699B">
      <w:pPr>
        <w:spacing w:after="0" w:line="240" w:lineRule="auto"/>
        <w:jc w:val="center"/>
        <w:rPr>
          <w:rFonts w:eastAsia="Times New Roman" w:cs="Times New Roman"/>
          <w:bCs/>
          <w:sz w:val="24"/>
          <w:szCs w:val="24"/>
        </w:rPr>
      </w:pPr>
      <w:r w:rsidRPr="002E7853">
        <w:rPr>
          <w:rFonts w:eastAsia="Times New Roman" w:cs="Times New Roman"/>
          <w:bCs/>
          <w:sz w:val="24"/>
          <w:szCs w:val="24"/>
        </w:rPr>
        <w:t>У</w:t>
      </w:r>
      <w:r w:rsidR="006B588E" w:rsidRPr="002E7853">
        <w:rPr>
          <w:rFonts w:eastAsia="Times New Roman" w:cs="Times New Roman"/>
          <w:bCs/>
          <w:sz w:val="24"/>
          <w:szCs w:val="24"/>
        </w:rPr>
        <w:t xml:space="preserve"> </w:t>
      </w:r>
      <w:r w:rsidRPr="002E7853">
        <w:rPr>
          <w:rFonts w:eastAsia="Times New Roman" w:cs="Times New Roman"/>
          <w:bCs/>
          <w:sz w:val="24"/>
          <w:szCs w:val="24"/>
        </w:rPr>
        <w:t>Р</w:t>
      </w:r>
      <w:r w:rsidR="006B588E" w:rsidRPr="002E7853">
        <w:rPr>
          <w:rFonts w:eastAsia="Times New Roman" w:cs="Times New Roman"/>
          <w:bCs/>
          <w:sz w:val="24"/>
          <w:szCs w:val="24"/>
        </w:rPr>
        <w:t xml:space="preserve"> </w:t>
      </w:r>
      <w:r w:rsidRPr="002E7853">
        <w:rPr>
          <w:rFonts w:eastAsia="Times New Roman" w:cs="Times New Roman"/>
          <w:bCs/>
          <w:sz w:val="24"/>
          <w:szCs w:val="24"/>
        </w:rPr>
        <w:t>Е</w:t>
      </w:r>
      <w:r w:rsidR="006B588E" w:rsidRPr="002E7853">
        <w:rPr>
          <w:rFonts w:eastAsia="Times New Roman" w:cs="Times New Roman"/>
          <w:bCs/>
          <w:sz w:val="24"/>
          <w:szCs w:val="24"/>
        </w:rPr>
        <w:t xml:space="preserve"> </w:t>
      </w:r>
      <w:r w:rsidRPr="002E7853">
        <w:rPr>
          <w:rFonts w:eastAsia="Times New Roman" w:cs="Times New Roman"/>
          <w:bCs/>
          <w:sz w:val="24"/>
          <w:szCs w:val="24"/>
        </w:rPr>
        <w:t>Д</w:t>
      </w:r>
      <w:r w:rsidR="006B588E" w:rsidRPr="002E7853">
        <w:rPr>
          <w:rFonts w:eastAsia="Times New Roman" w:cs="Times New Roman"/>
          <w:bCs/>
          <w:sz w:val="24"/>
          <w:szCs w:val="24"/>
        </w:rPr>
        <w:t xml:space="preserve"> </w:t>
      </w:r>
      <w:r w:rsidRPr="002E7853">
        <w:rPr>
          <w:rFonts w:eastAsia="Times New Roman" w:cs="Times New Roman"/>
          <w:bCs/>
          <w:sz w:val="24"/>
          <w:szCs w:val="24"/>
        </w:rPr>
        <w:t>Б</w:t>
      </w:r>
      <w:r w:rsidR="006B588E" w:rsidRPr="002E7853">
        <w:rPr>
          <w:rFonts w:eastAsia="Times New Roman" w:cs="Times New Roman"/>
          <w:bCs/>
          <w:sz w:val="24"/>
          <w:szCs w:val="24"/>
        </w:rPr>
        <w:t xml:space="preserve"> </w:t>
      </w:r>
      <w:r w:rsidRPr="002E7853">
        <w:rPr>
          <w:rFonts w:eastAsia="Times New Roman" w:cs="Times New Roman"/>
          <w:bCs/>
          <w:sz w:val="24"/>
          <w:szCs w:val="24"/>
        </w:rPr>
        <w:t>У</w:t>
      </w:r>
    </w:p>
    <w:p w14:paraId="1BF8531B" w14:textId="77777777" w:rsidR="006B588E" w:rsidRPr="002E7853" w:rsidRDefault="006B588E" w:rsidP="00D9699B">
      <w:pPr>
        <w:spacing w:after="0" w:line="240" w:lineRule="auto"/>
        <w:jc w:val="center"/>
        <w:rPr>
          <w:rFonts w:eastAsia="Times New Roman" w:cs="Times New Roman"/>
          <w:bCs/>
          <w:sz w:val="12"/>
          <w:szCs w:val="12"/>
        </w:rPr>
      </w:pPr>
    </w:p>
    <w:p w14:paraId="2C87A0E1" w14:textId="79361C93" w:rsidR="00FB21B0" w:rsidRDefault="00B63F9A" w:rsidP="00C5601D">
      <w:pPr>
        <w:jc w:val="center"/>
        <w:rPr>
          <w:rFonts w:cs="Times New Roman"/>
          <w:sz w:val="24"/>
          <w:szCs w:val="24"/>
        </w:rPr>
      </w:pPr>
      <w:r w:rsidRPr="002E7853">
        <w:rPr>
          <w:rFonts w:cs="Times New Roman"/>
          <w:sz w:val="24"/>
          <w:szCs w:val="24"/>
        </w:rPr>
        <w:t>О</w:t>
      </w:r>
      <w:r w:rsidR="00D86D3B" w:rsidRPr="002E7853">
        <w:rPr>
          <w:rFonts w:cs="Times New Roman"/>
          <w:sz w:val="24"/>
          <w:szCs w:val="24"/>
        </w:rPr>
        <w:t xml:space="preserve"> </w:t>
      </w:r>
      <w:r w:rsidRPr="002E7853">
        <w:rPr>
          <w:rFonts w:cs="Times New Roman"/>
          <w:sz w:val="24"/>
          <w:szCs w:val="24"/>
        </w:rPr>
        <w:t>УТВРЂИВАЊУ</w:t>
      </w:r>
      <w:r w:rsidR="001C766D" w:rsidRPr="002E7853">
        <w:rPr>
          <w:rFonts w:cs="Times New Roman"/>
          <w:sz w:val="24"/>
          <w:szCs w:val="24"/>
        </w:rPr>
        <w:t xml:space="preserve"> </w:t>
      </w:r>
      <w:r w:rsidRPr="002E7853">
        <w:rPr>
          <w:rFonts w:cs="Times New Roman"/>
          <w:sz w:val="24"/>
          <w:szCs w:val="24"/>
        </w:rPr>
        <w:t>БИТНИХ</w:t>
      </w:r>
      <w:r w:rsidR="001C766D" w:rsidRPr="002E7853">
        <w:rPr>
          <w:rFonts w:cs="Times New Roman"/>
          <w:sz w:val="24"/>
          <w:szCs w:val="24"/>
        </w:rPr>
        <w:t xml:space="preserve"> </w:t>
      </w:r>
      <w:r w:rsidRPr="002E7853">
        <w:rPr>
          <w:rFonts w:cs="Times New Roman"/>
          <w:sz w:val="24"/>
          <w:szCs w:val="24"/>
        </w:rPr>
        <w:t>ОДСТУПАЊА</w:t>
      </w:r>
      <w:r w:rsidR="001C766D" w:rsidRPr="002E7853">
        <w:rPr>
          <w:rFonts w:cs="Times New Roman"/>
          <w:sz w:val="24"/>
          <w:szCs w:val="24"/>
        </w:rPr>
        <w:t xml:space="preserve"> </w:t>
      </w:r>
      <w:r w:rsidRPr="002E7853">
        <w:rPr>
          <w:rFonts w:cs="Times New Roman"/>
          <w:sz w:val="24"/>
          <w:szCs w:val="24"/>
        </w:rPr>
        <w:t>ОД</w:t>
      </w:r>
      <w:r w:rsidR="001C766D" w:rsidRPr="002E7853">
        <w:rPr>
          <w:rFonts w:cs="Times New Roman"/>
          <w:sz w:val="24"/>
          <w:szCs w:val="24"/>
        </w:rPr>
        <w:t xml:space="preserve"> </w:t>
      </w:r>
      <w:r w:rsidRPr="002E7853">
        <w:rPr>
          <w:rFonts w:cs="Times New Roman"/>
          <w:sz w:val="24"/>
          <w:szCs w:val="24"/>
        </w:rPr>
        <w:t>ОПШТИХ</w:t>
      </w:r>
      <w:r w:rsidR="001C766D" w:rsidRPr="002E7853">
        <w:rPr>
          <w:rFonts w:cs="Times New Roman"/>
          <w:sz w:val="24"/>
          <w:szCs w:val="24"/>
        </w:rPr>
        <w:t xml:space="preserve"> </w:t>
      </w:r>
      <w:r w:rsidRPr="002E7853">
        <w:rPr>
          <w:rFonts w:cs="Times New Roman"/>
          <w:sz w:val="24"/>
          <w:szCs w:val="24"/>
        </w:rPr>
        <w:t>ГОДИШЊИХ</w:t>
      </w:r>
      <w:r w:rsidR="001C766D" w:rsidRPr="002E7853">
        <w:rPr>
          <w:rFonts w:cs="Times New Roman"/>
          <w:sz w:val="24"/>
          <w:szCs w:val="24"/>
        </w:rPr>
        <w:t xml:space="preserve"> </w:t>
      </w:r>
      <w:r w:rsidRPr="002E7853">
        <w:rPr>
          <w:rFonts w:cs="Times New Roman"/>
          <w:sz w:val="24"/>
          <w:szCs w:val="24"/>
        </w:rPr>
        <w:t>ЦИЉЕВА</w:t>
      </w:r>
      <w:r w:rsidR="00D86D3B" w:rsidRPr="002E7853">
        <w:rPr>
          <w:rFonts w:cs="Times New Roman"/>
          <w:sz w:val="24"/>
          <w:szCs w:val="24"/>
        </w:rPr>
        <w:t xml:space="preserve"> </w:t>
      </w:r>
      <w:r w:rsidR="006B588E" w:rsidRPr="00080DC6">
        <w:rPr>
          <w:rFonts w:cs="Times New Roman"/>
          <w:sz w:val="24"/>
          <w:szCs w:val="24"/>
        </w:rPr>
        <w:t>УТВРЂЕНИХ СМЕРНИЦАМА КОЈИМ СЕ УТВРЂУЈУ ОПШТИ ГОДИШЊИ ЦИЉЕВИ ДРУШТАВА КАПИТАЛА</w:t>
      </w:r>
    </w:p>
    <w:p w14:paraId="2BF330FC" w14:textId="77777777" w:rsidR="00C5601D" w:rsidRPr="00C5601D" w:rsidRDefault="00C5601D" w:rsidP="00C5601D">
      <w:pPr>
        <w:jc w:val="center"/>
        <w:rPr>
          <w:rFonts w:cs="Times New Roman"/>
          <w:sz w:val="24"/>
          <w:szCs w:val="24"/>
        </w:rPr>
      </w:pPr>
    </w:p>
    <w:p w14:paraId="612C7A7D" w14:textId="3A83794E" w:rsidR="007D0831" w:rsidRPr="002E7853" w:rsidRDefault="00B63F9A" w:rsidP="00D04C0F">
      <w:pPr>
        <w:jc w:val="center"/>
        <w:rPr>
          <w:rFonts w:cs="Times New Roman"/>
          <w:sz w:val="24"/>
          <w:szCs w:val="24"/>
        </w:rPr>
      </w:pPr>
      <w:r w:rsidRPr="002E7853">
        <w:rPr>
          <w:rFonts w:cs="Times New Roman"/>
          <w:sz w:val="24"/>
          <w:szCs w:val="24"/>
        </w:rPr>
        <w:t>Члан</w:t>
      </w:r>
      <w:r w:rsidR="00D04C0F" w:rsidRPr="002E7853">
        <w:rPr>
          <w:rFonts w:cs="Times New Roman"/>
          <w:sz w:val="24"/>
          <w:szCs w:val="24"/>
        </w:rPr>
        <w:t xml:space="preserve"> 1</w:t>
      </w:r>
      <w:r w:rsidR="00804B8B" w:rsidRPr="002E7853">
        <w:rPr>
          <w:rFonts w:cs="Times New Roman"/>
          <w:sz w:val="24"/>
          <w:szCs w:val="24"/>
        </w:rPr>
        <w:t>.</w:t>
      </w:r>
    </w:p>
    <w:p w14:paraId="4EF312BC" w14:textId="18548B24" w:rsidR="00EC2025" w:rsidRPr="002E7853" w:rsidRDefault="00B63F9A" w:rsidP="00B63F9A">
      <w:pPr>
        <w:ind w:firstLine="720"/>
        <w:rPr>
          <w:rFonts w:cs="Times New Roman"/>
          <w:sz w:val="24"/>
          <w:szCs w:val="24"/>
        </w:rPr>
      </w:pPr>
      <w:r w:rsidRPr="002E7853">
        <w:rPr>
          <w:rFonts w:cs="Times New Roman"/>
          <w:sz w:val="24"/>
          <w:szCs w:val="24"/>
        </w:rPr>
        <w:t>Овом</w:t>
      </w:r>
      <w:r w:rsidR="00360F94" w:rsidRPr="002E7853">
        <w:rPr>
          <w:rFonts w:cs="Times New Roman"/>
          <w:sz w:val="24"/>
          <w:szCs w:val="24"/>
        </w:rPr>
        <w:t xml:space="preserve"> </w:t>
      </w:r>
      <w:r w:rsidR="006B588E" w:rsidRPr="002E7853">
        <w:rPr>
          <w:rFonts w:cs="Times New Roman"/>
          <w:sz w:val="24"/>
          <w:szCs w:val="24"/>
        </w:rPr>
        <w:t xml:space="preserve">уредбом </w:t>
      </w:r>
      <w:r w:rsidRPr="002E7853">
        <w:rPr>
          <w:rFonts w:cs="Times New Roman"/>
          <w:sz w:val="24"/>
          <w:szCs w:val="24"/>
        </w:rPr>
        <w:t>се</w:t>
      </w:r>
      <w:r w:rsidR="00D04C0F" w:rsidRPr="002E7853">
        <w:rPr>
          <w:rFonts w:cs="Times New Roman"/>
          <w:sz w:val="24"/>
          <w:szCs w:val="24"/>
        </w:rPr>
        <w:t xml:space="preserve"> </w:t>
      </w:r>
      <w:r w:rsidRPr="002E7853">
        <w:rPr>
          <w:rFonts w:cs="Times New Roman"/>
          <w:sz w:val="24"/>
          <w:szCs w:val="24"/>
        </w:rPr>
        <w:t>утврђују</w:t>
      </w:r>
      <w:r w:rsidR="00360F94" w:rsidRPr="002E7853">
        <w:rPr>
          <w:rFonts w:cs="Times New Roman"/>
          <w:sz w:val="24"/>
          <w:szCs w:val="24"/>
        </w:rPr>
        <w:t xml:space="preserve"> </w:t>
      </w:r>
      <w:r w:rsidRPr="002E7853">
        <w:rPr>
          <w:rFonts w:cs="Times New Roman"/>
          <w:sz w:val="24"/>
          <w:szCs w:val="24"/>
        </w:rPr>
        <w:t>битна</w:t>
      </w:r>
      <w:r w:rsidR="00360F94" w:rsidRPr="002E7853">
        <w:rPr>
          <w:rFonts w:cs="Times New Roman"/>
          <w:sz w:val="24"/>
          <w:szCs w:val="24"/>
        </w:rPr>
        <w:t xml:space="preserve"> </w:t>
      </w:r>
      <w:r w:rsidRPr="002E7853">
        <w:rPr>
          <w:rFonts w:cs="Times New Roman"/>
          <w:sz w:val="24"/>
          <w:szCs w:val="24"/>
        </w:rPr>
        <w:t>одступања</w:t>
      </w:r>
      <w:r w:rsidR="00360F94" w:rsidRPr="002E7853">
        <w:rPr>
          <w:rFonts w:cs="Times New Roman"/>
          <w:sz w:val="24"/>
          <w:szCs w:val="24"/>
        </w:rPr>
        <w:t xml:space="preserve"> </w:t>
      </w:r>
      <w:r w:rsidRPr="002E7853">
        <w:rPr>
          <w:rFonts w:cs="Times New Roman"/>
          <w:sz w:val="24"/>
          <w:szCs w:val="24"/>
        </w:rPr>
        <w:t>од</w:t>
      </w:r>
      <w:r w:rsidR="00360F94" w:rsidRPr="002E7853">
        <w:rPr>
          <w:rFonts w:cs="Times New Roman"/>
          <w:sz w:val="24"/>
          <w:szCs w:val="24"/>
        </w:rPr>
        <w:t xml:space="preserve"> </w:t>
      </w:r>
      <w:r w:rsidRPr="002E7853">
        <w:rPr>
          <w:rFonts w:cs="Times New Roman"/>
          <w:sz w:val="24"/>
          <w:szCs w:val="24"/>
        </w:rPr>
        <w:t>општих</w:t>
      </w:r>
      <w:r w:rsidR="00360F94" w:rsidRPr="002E7853">
        <w:rPr>
          <w:rFonts w:cs="Times New Roman"/>
          <w:sz w:val="24"/>
          <w:szCs w:val="24"/>
        </w:rPr>
        <w:t xml:space="preserve"> </w:t>
      </w:r>
      <w:r w:rsidRPr="002E7853">
        <w:rPr>
          <w:rFonts w:cs="Times New Roman"/>
          <w:sz w:val="24"/>
          <w:szCs w:val="24"/>
        </w:rPr>
        <w:t>годишњих</w:t>
      </w:r>
      <w:r w:rsidR="00360F94" w:rsidRPr="002E7853">
        <w:rPr>
          <w:rFonts w:cs="Times New Roman"/>
          <w:sz w:val="24"/>
          <w:szCs w:val="24"/>
        </w:rPr>
        <w:t xml:space="preserve"> </w:t>
      </w:r>
      <w:r w:rsidRPr="002E7853">
        <w:rPr>
          <w:rFonts w:cs="Times New Roman"/>
          <w:sz w:val="24"/>
          <w:szCs w:val="24"/>
        </w:rPr>
        <w:t>циљева</w:t>
      </w:r>
      <w:r w:rsidR="006B588E" w:rsidRPr="002E7853">
        <w:rPr>
          <w:rFonts w:cs="Times New Roman"/>
          <w:sz w:val="24"/>
          <w:szCs w:val="24"/>
          <w:highlight w:val="yellow"/>
        </w:rPr>
        <w:t xml:space="preserve"> </w:t>
      </w:r>
      <w:r w:rsidR="006B588E" w:rsidRPr="00080DC6">
        <w:rPr>
          <w:rFonts w:cs="Times New Roman"/>
          <w:sz w:val="24"/>
          <w:szCs w:val="24"/>
        </w:rPr>
        <w:t xml:space="preserve">утврђених </w:t>
      </w:r>
      <w:r w:rsidR="00ED7A2B" w:rsidRPr="00080DC6">
        <w:rPr>
          <w:rFonts w:cs="Times New Roman"/>
          <w:sz w:val="24"/>
          <w:szCs w:val="24"/>
        </w:rPr>
        <w:t xml:space="preserve">Смерницама </w:t>
      </w:r>
      <w:r w:rsidR="006B588E" w:rsidRPr="00080DC6">
        <w:rPr>
          <w:rFonts w:cs="Times New Roman"/>
          <w:sz w:val="24"/>
          <w:szCs w:val="24"/>
        </w:rPr>
        <w:t>којим се утврђују општи годишњи циљеви друштава капитала</w:t>
      </w:r>
      <w:r w:rsidR="00EC2025" w:rsidRPr="002E7853">
        <w:rPr>
          <w:rFonts w:cs="Times New Roman"/>
          <w:sz w:val="24"/>
          <w:szCs w:val="24"/>
        </w:rPr>
        <w:t>.</w:t>
      </w:r>
    </w:p>
    <w:p w14:paraId="4119E34A" w14:textId="45B2D10A" w:rsidR="0001251D" w:rsidRPr="002E7853" w:rsidRDefault="00B63F9A" w:rsidP="00450B24">
      <w:pPr>
        <w:jc w:val="center"/>
        <w:rPr>
          <w:rFonts w:cs="Times New Roman"/>
          <w:sz w:val="24"/>
          <w:szCs w:val="24"/>
        </w:rPr>
      </w:pPr>
      <w:r w:rsidRPr="002E7853">
        <w:rPr>
          <w:rFonts w:cs="Times New Roman"/>
          <w:sz w:val="24"/>
          <w:szCs w:val="24"/>
        </w:rPr>
        <w:t>Члан</w:t>
      </w:r>
      <w:r w:rsidR="0001251D" w:rsidRPr="002E7853">
        <w:rPr>
          <w:rFonts w:cs="Times New Roman"/>
          <w:sz w:val="24"/>
          <w:szCs w:val="24"/>
        </w:rPr>
        <w:t xml:space="preserve"> 2</w:t>
      </w:r>
      <w:r w:rsidR="00227A54" w:rsidRPr="002E7853">
        <w:rPr>
          <w:rFonts w:cs="Times New Roman"/>
          <w:sz w:val="24"/>
          <w:szCs w:val="24"/>
        </w:rPr>
        <w:t>.</w:t>
      </w:r>
    </w:p>
    <w:p w14:paraId="3E04B8B5" w14:textId="08DEA6FA" w:rsidR="00EC2025" w:rsidRPr="002E7853" w:rsidRDefault="00EC2025" w:rsidP="00072EBC">
      <w:pPr>
        <w:spacing w:line="240" w:lineRule="auto"/>
        <w:ind w:firstLine="720"/>
        <w:rPr>
          <w:rFonts w:cs="Times New Roman"/>
          <w:sz w:val="24"/>
          <w:szCs w:val="24"/>
        </w:rPr>
      </w:pPr>
      <w:r w:rsidRPr="002E7853">
        <w:rPr>
          <w:rFonts w:cs="Times New Roman"/>
          <w:sz w:val="24"/>
          <w:szCs w:val="24"/>
        </w:rPr>
        <w:t xml:space="preserve">Битна одступања од општих годишњих циљева за свако друштво капитала утврђује Комисија за доношење Смерница </w:t>
      </w:r>
      <w:r w:rsidRPr="009504E1">
        <w:rPr>
          <w:rFonts w:cs="Times New Roman"/>
          <w:sz w:val="24"/>
          <w:szCs w:val="24"/>
        </w:rPr>
        <w:t>којим се утврђују општи годишњи циљеви друштава капитала</w:t>
      </w:r>
      <w:r w:rsidRPr="002E7853">
        <w:rPr>
          <w:rFonts w:cs="Times New Roman"/>
          <w:sz w:val="24"/>
          <w:szCs w:val="24"/>
        </w:rPr>
        <w:t xml:space="preserve"> (у даљем тексту: </w:t>
      </w:r>
      <w:r w:rsidRPr="002E7853">
        <w:rPr>
          <w:rFonts w:cs="Times New Roman"/>
          <w:bCs/>
          <w:sz w:val="24"/>
          <w:szCs w:val="24"/>
        </w:rPr>
        <w:t>Комисија</w:t>
      </w:r>
      <w:r w:rsidRPr="002E7853">
        <w:rPr>
          <w:rFonts w:cs="Times New Roman"/>
          <w:sz w:val="24"/>
          <w:szCs w:val="24"/>
        </w:rPr>
        <w:t>).</w:t>
      </w:r>
    </w:p>
    <w:p w14:paraId="508AA281" w14:textId="77777777" w:rsidR="00B63F9A" w:rsidRPr="002E7853" w:rsidRDefault="00B63F9A" w:rsidP="00B63F9A">
      <w:pPr>
        <w:ind w:firstLine="720"/>
        <w:rPr>
          <w:rFonts w:cs="Times New Roman"/>
          <w:sz w:val="24"/>
          <w:szCs w:val="24"/>
        </w:rPr>
      </w:pPr>
      <w:r w:rsidRPr="002E7853">
        <w:rPr>
          <w:rFonts w:cs="Times New Roman"/>
          <w:sz w:val="24"/>
          <w:szCs w:val="24"/>
        </w:rPr>
        <w:t>Битним</w:t>
      </w:r>
      <w:r w:rsidR="0001251D" w:rsidRPr="002E7853">
        <w:rPr>
          <w:rFonts w:cs="Times New Roman"/>
          <w:sz w:val="24"/>
          <w:szCs w:val="24"/>
        </w:rPr>
        <w:t xml:space="preserve"> </w:t>
      </w:r>
      <w:r w:rsidRPr="002E7853">
        <w:rPr>
          <w:rFonts w:cs="Times New Roman"/>
          <w:sz w:val="24"/>
          <w:szCs w:val="24"/>
        </w:rPr>
        <w:t>одступањима</w:t>
      </w:r>
      <w:r w:rsidR="0001251D" w:rsidRPr="002E7853">
        <w:rPr>
          <w:rFonts w:cs="Times New Roman"/>
          <w:sz w:val="24"/>
          <w:szCs w:val="24"/>
        </w:rPr>
        <w:t xml:space="preserve"> </w:t>
      </w:r>
      <w:r w:rsidRPr="002E7853">
        <w:rPr>
          <w:rFonts w:cs="Times New Roman"/>
          <w:sz w:val="24"/>
          <w:szCs w:val="24"/>
        </w:rPr>
        <w:t>од</w:t>
      </w:r>
      <w:r w:rsidR="0001251D" w:rsidRPr="002E7853">
        <w:rPr>
          <w:rFonts w:cs="Times New Roman"/>
          <w:sz w:val="24"/>
          <w:szCs w:val="24"/>
        </w:rPr>
        <w:t xml:space="preserve"> </w:t>
      </w:r>
      <w:r w:rsidRPr="002E7853">
        <w:rPr>
          <w:rFonts w:cs="Times New Roman"/>
          <w:sz w:val="24"/>
          <w:szCs w:val="24"/>
        </w:rPr>
        <w:t>општих</w:t>
      </w:r>
      <w:r w:rsidR="0001251D" w:rsidRPr="002E7853">
        <w:rPr>
          <w:rFonts w:cs="Times New Roman"/>
          <w:sz w:val="24"/>
          <w:szCs w:val="24"/>
        </w:rPr>
        <w:t xml:space="preserve"> </w:t>
      </w:r>
      <w:r w:rsidRPr="002E7853">
        <w:rPr>
          <w:rFonts w:cs="Times New Roman"/>
          <w:sz w:val="24"/>
          <w:szCs w:val="24"/>
        </w:rPr>
        <w:t>годишњих</w:t>
      </w:r>
      <w:r w:rsidR="0001251D" w:rsidRPr="002E7853">
        <w:rPr>
          <w:rFonts w:cs="Times New Roman"/>
          <w:sz w:val="24"/>
          <w:szCs w:val="24"/>
        </w:rPr>
        <w:t xml:space="preserve"> </w:t>
      </w:r>
      <w:r w:rsidRPr="002E7853">
        <w:rPr>
          <w:rFonts w:cs="Times New Roman"/>
          <w:sz w:val="24"/>
          <w:szCs w:val="24"/>
        </w:rPr>
        <w:t>циљева</w:t>
      </w:r>
      <w:r w:rsidR="0001251D" w:rsidRPr="002E7853">
        <w:rPr>
          <w:rFonts w:cs="Times New Roman"/>
          <w:sz w:val="24"/>
          <w:szCs w:val="24"/>
        </w:rPr>
        <w:t xml:space="preserve"> </w:t>
      </w:r>
      <w:r w:rsidRPr="002E7853">
        <w:rPr>
          <w:rFonts w:cs="Times New Roman"/>
          <w:sz w:val="24"/>
          <w:szCs w:val="24"/>
        </w:rPr>
        <w:t>се сматрају она</w:t>
      </w:r>
      <w:r w:rsidR="007B0403" w:rsidRPr="002E7853">
        <w:rPr>
          <w:rFonts w:cs="Times New Roman"/>
          <w:sz w:val="24"/>
          <w:szCs w:val="24"/>
        </w:rPr>
        <w:t xml:space="preserve"> </w:t>
      </w:r>
      <w:r w:rsidRPr="002E7853">
        <w:rPr>
          <w:rFonts w:cs="Times New Roman"/>
          <w:sz w:val="24"/>
          <w:szCs w:val="24"/>
        </w:rPr>
        <w:t>одступања</w:t>
      </w:r>
      <w:r w:rsidR="0001251D" w:rsidRPr="002E7853">
        <w:rPr>
          <w:rFonts w:cs="Times New Roman"/>
          <w:sz w:val="24"/>
          <w:szCs w:val="24"/>
        </w:rPr>
        <w:t xml:space="preserve"> </w:t>
      </w:r>
      <w:r w:rsidRPr="002E7853">
        <w:rPr>
          <w:rFonts w:cs="Times New Roman"/>
          <w:sz w:val="24"/>
          <w:szCs w:val="24"/>
        </w:rPr>
        <w:t>која</w:t>
      </w:r>
      <w:r w:rsidR="00DF2ADB" w:rsidRPr="002E7853">
        <w:rPr>
          <w:rFonts w:cs="Times New Roman"/>
          <w:sz w:val="24"/>
          <w:szCs w:val="24"/>
        </w:rPr>
        <w:t xml:space="preserve">, </w:t>
      </w:r>
      <w:r w:rsidRPr="002E7853">
        <w:rPr>
          <w:rFonts w:cs="Times New Roman"/>
          <w:sz w:val="24"/>
          <w:szCs w:val="24"/>
        </w:rPr>
        <w:t>по</w:t>
      </w:r>
      <w:r w:rsidR="00DF2ADB" w:rsidRPr="002E7853">
        <w:rPr>
          <w:rFonts w:cs="Times New Roman"/>
          <w:sz w:val="24"/>
          <w:szCs w:val="24"/>
        </w:rPr>
        <w:t xml:space="preserve"> </w:t>
      </w:r>
      <w:r w:rsidRPr="002E7853">
        <w:rPr>
          <w:rFonts w:cs="Times New Roman"/>
          <w:sz w:val="24"/>
          <w:szCs w:val="24"/>
        </w:rPr>
        <w:t>образложеном</w:t>
      </w:r>
      <w:r w:rsidR="00DF2ADB" w:rsidRPr="002E7853">
        <w:rPr>
          <w:rFonts w:cs="Times New Roman"/>
          <w:sz w:val="24"/>
          <w:szCs w:val="24"/>
        </w:rPr>
        <w:t xml:space="preserve"> </w:t>
      </w:r>
      <w:r w:rsidRPr="002E7853">
        <w:rPr>
          <w:rFonts w:cs="Times New Roman"/>
          <w:sz w:val="24"/>
          <w:szCs w:val="24"/>
        </w:rPr>
        <w:t>мишљењу</w:t>
      </w:r>
      <w:r w:rsidR="00DF2ADB" w:rsidRPr="002E7853">
        <w:rPr>
          <w:rFonts w:cs="Times New Roman"/>
          <w:sz w:val="24"/>
          <w:szCs w:val="24"/>
        </w:rPr>
        <w:t xml:space="preserve"> </w:t>
      </w:r>
      <w:r w:rsidRPr="002E7853">
        <w:rPr>
          <w:rFonts w:cs="Times New Roman"/>
          <w:sz w:val="24"/>
          <w:szCs w:val="24"/>
        </w:rPr>
        <w:t>Комисије</w:t>
      </w:r>
      <w:r w:rsidR="00DF2ADB" w:rsidRPr="002E7853">
        <w:rPr>
          <w:rFonts w:cs="Times New Roman"/>
          <w:sz w:val="24"/>
          <w:szCs w:val="24"/>
        </w:rPr>
        <w:t>,</w:t>
      </w:r>
      <w:r w:rsidR="0001251D" w:rsidRPr="002E7853">
        <w:rPr>
          <w:rFonts w:cs="Times New Roman"/>
          <w:sz w:val="24"/>
          <w:szCs w:val="24"/>
        </w:rPr>
        <w:t xml:space="preserve"> </w:t>
      </w:r>
      <w:r w:rsidRPr="002E7853">
        <w:rPr>
          <w:rFonts w:cs="Times New Roman"/>
          <w:sz w:val="24"/>
          <w:szCs w:val="24"/>
        </w:rPr>
        <w:t>могу</w:t>
      </w:r>
      <w:r w:rsidR="0001251D" w:rsidRPr="002E7853">
        <w:rPr>
          <w:rFonts w:cs="Times New Roman"/>
          <w:sz w:val="24"/>
          <w:szCs w:val="24"/>
        </w:rPr>
        <w:t xml:space="preserve"> </w:t>
      </w:r>
      <w:r w:rsidRPr="002E7853">
        <w:rPr>
          <w:rFonts w:cs="Times New Roman"/>
          <w:sz w:val="24"/>
          <w:szCs w:val="24"/>
        </w:rPr>
        <w:t>довести</w:t>
      </w:r>
      <w:r w:rsidR="0001251D" w:rsidRPr="002E7853">
        <w:rPr>
          <w:rFonts w:cs="Times New Roman"/>
          <w:sz w:val="24"/>
          <w:szCs w:val="24"/>
        </w:rPr>
        <w:t xml:space="preserve"> </w:t>
      </w:r>
      <w:r w:rsidRPr="002E7853">
        <w:rPr>
          <w:rFonts w:cs="Times New Roman"/>
          <w:sz w:val="24"/>
          <w:szCs w:val="24"/>
        </w:rPr>
        <w:t>до</w:t>
      </w:r>
      <w:r w:rsidR="0001251D" w:rsidRPr="002E7853">
        <w:rPr>
          <w:rFonts w:cs="Times New Roman"/>
          <w:sz w:val="24"/>
          <w:szCs w:val="24"/>
        </w:rPr>
        <w:t xml:space="preserve"> </w:t>
      </w:r>
      <w:r w:rsidRPr="002E7853">
        <w:rPr>
          <w:rFonts w:cs="Times New Roman"/>
          <w:sz w:val="24"/>
          <w:szCs w:val="24"/>
        </w:rPr>
        <w:t>поремећаја</w:t>
      </w:r>
      <w:r w:rsidR="0001251D" w:rsidRPr="002E7853">
        <w:rPr>
          <w:rFonts w:cs="Times New Roman"/>
          <w:sz w:val="24"/>
          <w:szCs w:val="24"/>
        </w:rPr>
        <w:t xml:space="preserve"> </w:t>
      </w:r>
      <w:r w:rsidRPr="002E7853">
        <w:rPr>
          <w:rFonts w:cs="Times New Roman"/>
          <w:sz w:val="24"/>
          <w:szCs w:val="24"/>
        </w:rPr>
        <w:t>у</w:t>
      </w:r>
      <w:r w:rsidR="003177A6" w:rsidRPr="002E7853">
        <w:rPr>
          <w:rFonts w:cs="Times New Roman"/>
          <w:sz w:val="24"/>
          <w:szCs w:val="24"/>
        </w:rPr>
        <w:t xml:space="preserve"> </w:t>
      </w:r>
      <w:r w:rsidRPr="002E7853">
        <w:rPr>
          <w:rFonts w:cs="Times New Roman"/>
          <w:sz w:val="24"/>
          <w:szCs w:val="24"/>
        </w:rPr>
        <w:t>пословању</w:t>
      </w:r>
      <w:r w:rsidR="009E3E85" w:rsidRPr="002E7853">
        <w:rPr>
          <w:rFonts w:cs="Times New Roman"/>
          <w:sz w:val="24"/>
          <w:szCs w:val="24"/>
        </w:rPr>
        <w:t xml:space="preserve"> </w:t>
      </w:r>
      <w:r w:rsidRPr="002E7853">
        <w:rPr>
          <w:rFonts w:cs="Times New Roman"/>
          <w:sz w:val="24"/>
          <w:szCs w:val="24"/>
        </w:rPr>
        <w:t>друштва</w:t>
      </w:r>
      <w:r w:rsidR="009E3E85" w:rsidRPr="002E7853">
        <w:rPr>
          <w:rFonts w:cs="Times New Roman"/>
          <w:sz w:val="24"/>
          <w:szCs w:val="24"/>
        </w:rPr>
        <w:t xml:space="preserve"> </w:t>
      </w:r>
      <w:r w:rsidRPr="002E7853">
        <w:rPr>
          <w:rFonts w:cs="Times New Roman"/>
          <w:sz w:val="24"/>
          <w:szCs w:val="24"/>
        </w:rPr>
        <w:t>капитала</w:t>
      </w:r>
      <w:r w:rsidR="0001251D" w:rsidRPr="002E7853">
        <w:rPr>
          <w:rFonts w:cs="Times New Roman"/>
          <w:sz w:val="24"/>
          <w:szCs w:val="24"/>
        </w:rPr>
        <w:t>.</w:t>
      </w:r>
    </w:p>
    <w:p w14:paraId="347E1F05" w14:textId="61212DE9" w:rsidR="00345DF8" w:rsidRPr="002E7853" w:rsidRDefault="00B63F9A" w:rsidP="00B63F9A">
      <w:pPr>
        <w:ind w:firstLine="720"/>
        <w:rPr>
          <w:rFonts w:cs="Times New Roman"/>
          <w:sz w:val="24"/>
          <w:szCs w:val="24"/>
        </w:rPr>
      </w:pPr>
      <w:r w:rsidRPr="002E7853">
        <w:rPr>
          <w:rFonts w:cs="Times New Roman"/>
          <w:sz w:val="24"/>
          <w:szCs w:val="24"/>
        </w:rPr>
        <w:t>Приликом</w:t>
      </w:r>
      <w:r w:rsidR="00345DF8" w:rsidRPr="002E7853">
        <w:rPr>
          <w:rFonts w:cs="Times New Roman"/>
          <w:sz w:val="24"/>
          <w:szCs w:val="24"/>
        </w:rPr>
        <w:t xml:space="preserve"> </w:t>
      </w:r>
      <w:r w:rsidRPr="002E7853">
        <w:rPr>
          <w:rFonts w:cs="Times New Roman"/>
          <w:sz w:val="24"/>
          <w:szCs w:val="24"/>
        </w:rPr>
        <w:t>анализе</w:t>
      </w:r>
      <w:r w:rsidR="00345DF8" w:rsidRPr="002E7853">
        <w:rPr>
          <w:rFonts w:cs="Times New Roman"/>
          <w:sz w:val="24"/>
          <w:szCs w:val="24"/>
        </w:rPr>
        <w:t xml:space="preserve"> </w:t>
      </w:r>
      <w:r w:rsidRPr="002E7853">
        <w:rPr>
          <w:rFonts w:cs="Times New Roman"/>
          <w:sz w:val="24"/>
          <w:szCs w:val="24"/>
        </w:rPr>
        <w:t>да</w:t>
      </w:r>
      <w:r w:rsidR="00345DF8" w:rsidRPr="002E7853">
        <w:rPr>
          <w:rFonts w:cs="Times New Roman"/>
          <w:sz w:val="24"/>
          <w:szCs w:val="24"/>
        </w:rPr>
        <w:t xml:space="preserve"> </w:t>
      </w:r>
      <w:r w:rsidRPr="002E7853">
        <w:rPr>
          <w:rFonts w:cs="Times New Roman"/>
          <w:sz w:val="24"/>
          <w:szCs w:val="24"/>
        </w:rPr>
        <w:t>ли</w:t>
      </w:r>
      <w:r w:rsidR="00345DF8" w:rsidRPr="002E7853">
        <w:rPr>
          <w:rFonts w:cs="Times New Roman"/>
          <w:sz w:val="24"/>
          <w:szCs w:val="24"/>
        </w:rPr>
        <w:t xml:space="preserve"> </w:t>
      </w:r>
      <w:r w:rsidRPr="002E7853">
        <w:rPr>
          <w:rFonts w:cs="Times New Roman"/>
          <w:sz w:val="24"/>
          <w:szCs w:val="24"/>
        </w:rPr>
        <w:t>одређено</w:t>
      </w:r>
      <w:r w:rsidR="00345DF8" w:rsidRPr="002E7853">
        <w:rPr>
          <w:rFonts w:cs="Times New Roman"/>
          <w:sz w:val="24"/>
          <w:szCs w:val="24"/>
        </w:rPr>
        <w:t xml:space="preserve"> </w:t>
      </w:r>
      <w:r w:rsidRPr="002E7853">
        <w:rPr>
          <w:rFonts w:cs="Times New Roman"/>
          <w:sz w:val="24"/>
          <w:szCs w:val="24"/>
        </w:rPr>
        <w:t>одступање</w:t>
      </w:r>
      <w:r w:rsidR="00345DF8" w:rsidRPr="002E7853">
        <w:rPr>
          <w:rFonts w:cs="Times New Roman"/>
          <w:sz w:val="24"/>
          <w:szCs w:val="24"/>
        </w:rPr>
        <w:t xml:space="preserve"> </w:t>
      </w:r>
      <w:r w:rsidRPr="002E7853">
        <w:rPr>
          <w:rFonts w:cs="Times New Roman"/>
          <w:sz w:val="24"/>
          <w:szCs w:val="24"/>
        </w:rPr>
        <w:t>представља</w:t>
      </w:r>
      <w:r w:rsidR="00345DF8" w:rsidRPr="002E7853">
        <w:rPr>
          <w:rFonts w:cs="Times New Roman"/>
          <w:sz w:val="24"/>
          <w:szCs w:val="24"/>
        </w:rPr>
        <w:t xml:space="preserve"> </w:t>
      </w:r>
      <w:r w:rsidRPr="002E7853">
        <w:rPr>
          <w:rFonts w:cs="Times New Roman"/>
          <w:sz w:val="24"/>
          <w:szCs w:val="24"/>
        </w:rPr>
        <w:t>битно</w:t>
      </w:r>
      <w:r w:rsidR="00345DF8" w:rsidRPr="002E7853">
        <w:rPr>
          <w:rFonts w:cs="Times New Roman"/>
          <w:sz w:val="24"/>
          <w:szCs w:val="24"/>
        </w:rPr>
        <w:t xml:space="preserve"> </w:t>
      </w:r>
      <w:r w:rsidRPr="002E7853">
        <w:rPr>
          <w:rFonts w:cs="Times New Roman"/>
          <w:sz w:val="24"/>
          <w:szCs w:val="24"/>
        </w:rPr>
        <w:t>одступање</w:t>
      </w:r>
      <w:r w:rsidR="00345DF8" w:rsidRPr="002E7853">
        <w:rPr>
          <w:rFonts w:cs="Times New Roman"/>
          <w:sz w:val="24"/>
          <w:szCs w:val="24"/>
        </w:rPr>
        <w:t xml:space="preserve">, </w:t>
      </w:r>
      <w:r w:rsidRPr="002E7853">
        <w:rPr>
          <w:rFonts w:cs="Times New Roman"/>
          <w:sz w:val="24"/>
          <w:szCs w:val="24"/>
        </w:rPr>
        <w:t>Комисија</w:t>
      </w:r>
      <w:r w:rsidR="00345DF8" w:rsidRPr="002E7853">
        <w:rPr>
          <w:rFonts w:cs="Times New Roman"/>
          <w:sz w:val="24"/>
          <w:szCs w:val="24"/>
        </w:rPr>
        <w:t xml:space="preserve"> </w:t>
      </w:r>
      <w:r w:rsidRPr="002E7853">
        <w:rPr>
          <w:rFonts w:cs="Times New Roman"/>
          <w:sz w:val="24"/>
          <w:szCs w:val="24"/>
        </w:rPr>
        <w:t>узима</w:t>
      </w:r>
      <w:r w:rsidR="00345DF8" w:rsidRPr="002E7853">
        <w:rPr>
          <w:rFonts w:cs="Times New Roman"/>
          <w:sz w:val="24"/>
          <w:szCs w:val="24"/>
        </w:rPr>
        <w:t xml:space="preserve"> </w:t>
      </w:r>
      <w:r w:rsidRPr="002E7853">
        <w:rPr>
          <w:rFonts w:cs="Times New Roman"/>
          <w:sz w:val="24"/>
          <w:szCs w:val="24"/>
        </w:rPr>
        <w:t>у</w:t>
      </w:r>
      <w:r w:rsidR="00345DF8" w:rsidRPr="002E7853">
        <w:rPr>
          <w:rFonts w:cs="Times New Roman"/>
          <w:sz w:val="24"/>
          <w:szCs w:val="24"/>
        </w:rPr>
        <w:t xml:space="preserve"> </w:t>
      </w:r>
      <w:r w:rsidRPr="002E7853">
        <w:rPr>
          <w:rFonts w:cs="Times New Roman"/>
          <w:sz w:val="24"/>
          <w:szCs w:val="24"/>
        </w:rPr>
        <w:t>обзир</w:t>
      </w:r>
      <w:r w:rsidR="00345DF8" w:rsidRPr="002E7853">
        <w:rPr>
          <w:rFonts w:cs="Times New Roman"/>
          <w:sz w:val="24"/>
          <w:szCs w:val="24"/>
        </w:rPr>
        <w:t xml:space="preserve"> </w:t>
      </w:r>
      <w:r w:rsidRPr="002E7853">
        <w:rPr>
          <w:rFonts w:cs="Times New Roman"/>
          <w:sz w:val="24"/>
          <w:szCs w:val="24"/>
        </w:rPr>
        <w:t>природу</w:t>
      </w:r>
      <w:r w:rsidR="00345DF8" w:rsidRPr="002E7853">
        <w:rPr>
          <w:rFonts w:cs="Times New Roman"/>
          <w:sz w:val="24"/>
          <w:szCs w:val="24"/>
        </w:rPr>
        <w:t xml:space="preserve"> </w:t>
      </w:r>
      <w:r w:rsidR="00EC2025" w:rsidRPr="002E7853">
        <w:rPr>
          <w:rFonts w:cs="Times New Roman"/>
          <w:sz w:val="24"/>
          <w:szCs w:val="24"/>
        </w:rPr>
        <w:t>утврђеног</w:t>
      </w:r>
      <w:r w:rsidR="004977DE" w:rsidRPr="002E7853">
        <w:rPr>
          <w:rFonts w:cs="Times New Roman"/>
          <w:sz w:val="24"/>
          <w:szCs w:val="24"/>
        </w:rPr>
        <w:t xml:space="preserve"> </w:t>
      </w:r>
      <w:r w:rsidRPr="002E7853">
        <w:rPr>
          <w:rFonts w:cs="Times New Roman"/>
          <w:sz w:val="24"/>
          <w:szCs w:val="24"/>
        </w:rPr>
        <w:t>општег</w:t>
      </w:r>
      <w:r w:rsidR="004977DE" w:rsidRPr="002E7853">
        <w:rPr>
          <w:rFonts w:cs="Times New Roman"/>
          <w:sz w:val="24"/>
          <w:szCs w:val="24"/>
        </w:rPr>
        <w:t xml:space="preserve"> </w:t>
      </w:r>
      <w:r w:rsidRPr="002E7853">
        <w:rPr>
          <w:rFonts w:cs="Times New Roman"/>
          <w:sz w:val="24"/>
          <w:szCs w:val="24"/>
        </w:rPr>
        <w:t>годишњег</w:t>
      </w:r>
      <w:r w:rsidR="00345DF8" w:rsidRPr="002E7853">
        <w:rPr>
          <w:rFonts w:cs="Times New Roman"/>
          <w:sz w:val="24"/>
          <w:szCs w:val="24"/>
        </w:rPr>
        <w:t xml:space="preserve"> </w:t>
      </w:r>
      <w:r w:rsidRPr="002E7853">
        <w:rPr>
          <w:rFonts w:cs="Times New Roman"/>
          <w:sz w:val="24"/>
          <w:szCs w:val="24"/>
        </w:rPr>
        <w:t>циља</w:t>
      </w:r>
      <w:r w:rsidR="00345DF8" w:rsidRPr="002E7853">
        <w:rPr>
          <w:rFonts w:cs="Times New Roman"/>
          <w:sz w:val="24"/>
          <w:szCs w:val="24"/>
        </w:rPr>
        <w:t xml:space="preserve">, </w:t>
      </w:r>
      <w:r w:rsidRPr="002E7853">
        <w:rPr>
          <w:rFonts w:cs="Times New Roman"/>
          <w:sz w:val="24"/>
          <w:szCs w:val="24"/>
        </w:rPr>
        <w:t>мера</w:t>
      </w:r>
      <w:r w:rsidR="00345DF8" w:rsidRPr="002E7853">
        <w:rPr>
          <w:rFonts w:cs="Times New Roman"/>
          <w:sz w:val="24"/>
          <w:szCs w:val="24"/>
        </w:rPr>
        <w:t xml:space="preserve"> </w:t>
      </w:r>
      <w:r w:rsidRPr="002E7853">
        <w:rPr>
          <w:rFonts w:cs="Times New Roman"/>
          <w:sz w:val="24"/>
          <w:szCs w:val="24"/>
        </w:rPr>
        <w:t>и</w:t>
      </w:r>
      <w:r w:rsidR="00345DF8" w:rsidRPr="002E7853">
        <w:rPr>
          <w:rFonts w:cs="Times New Roman"/>
          <w:sz w:val="24"/>
          <w:szCs w:val="24"/>
        </w:rPr>
        <w:t xml:space="preserve"> </w:t>
      </w:r>
      <w:r w:rsidRPr="002E7853">
        <w:rPr>
          <w:rFonts w:cs="Times New Roman"/>
          <w:sz w:val="24"/>
          <w:szCs w:val="24"/>
        </w:rPr>
        <w:t>упутстава</w:t>
      </w:r>
      <w:r w:rsidR="00345DF8" w:rsidRPr="002E7853">
        <w:rPr>
          <w:rFonts w:cs="Times New Roman"/>
          <w:sz w:val="24"/>
          <w:szCs w:val="24"/>
        </w:rPr>
        <w:t xml:space="preserve"> </w:t>
      </w:r>
      <w:r w:rsidRPr="002E7853">
        <w:rPr>
          <w:rFonts w:cs="Times New Roman"/>
          <w:sz w:val="24"/>
          <w:szCs w:val="24"/>
        </w:rPr>
        <w:t>за</w:t>
      </w:r>
      <w:r w:rsidR="00345DF8" w:rsidRPr="002E7853">
        <w:rPr>
          <w:rFonts w:cs="Times New Roman"/>
          <w:sz w:val="24"/>
          <w:szCs w:val="24"/>
        </w:rPr>
        <w:t xml:space="preserve"> </w:t>
      </w:r>
      <w:r w:rsidRPr="002E7853">
        <w:rPr>
          <w:rFonts w:cs="Times New Roman"/>
          <w:sz w:val="24"/>
          <w:szCs w:val="24"/>
        </w:rPr>
        <w:t>његово</w:t>
      </w:r>
      <w:r w:rsidR="00345DF8" w:rsidRPr="002E7853">
        <w:rPr>
          <w:rFonts w:cs="Times New Roman"/>
          <w:sz w:val="24"/>
          <w:szCs w:val="24"/>
        </w:rPr>
        <w:t xml:space="preserve"> </w:t>
      </w:r>
      <w:r w:rsidRPr="002E7853">
        <w:rPr>
          <w:rFonts w:cs="Times New Roman"/>
          <w:sz w:val="24"/>
          <w:szCs w:val="24"/>
        </w:rPr>
        <w:t>остварење</w:t>
      </w:r>
      <w:r w:rsidR="00345DF8" w:rsidRPr="002E7853">
        <w:rPr>
          <w:rFonts w:cs="Times New Roman"/>
          <w:sz w:val="24"/>
          <w:szCs w:val="24"/>
        </w:rPr>
        <w:t xml:space="preserve"> </w:t>
      </w:r>
      <w:r w:rsidR="001069A0" w:rsidRPr="002E7853">
        <w:rPr>
          <w:rFonts w:cs="Times New Roman"/>
          <w:sz w:val="24"/>
          <w:szCs w:val="24"/>
        </w:rPr>
        <w:t xml:space="preserve">дато </w:t>
      </w:r>
      <w:r w:rsidRPr="002E7853">
        <w:rPr>
          <w:rFonts w:cs="Times New Roman"/>
          <w:sz w:val="24"/>
          <w:szCs w:val="24"/>
        </w:rPr>
        <w:t>у</w:t>
      </w:r>
      <w:r w:rsidR="00345DF8" w:rsidRPr="002E7853">
        <w:rPr>
          <w:rFonts w:cs="Times New Roman"/>
          <w:sz w:val="24"/>
          <w:szCs w:val="24"/>
        </w:rPr>
        <w:t xml:space="preserve"> </w:t>
      </w:r>
      <w:r w:rsidRPr="002E7853">
        <w:rPr>
          <w:rFonts w:cs="Times New Roman"/>
          <w:sz w:val="24"/>
          <w:szCs w:val="24"/>
        </w:rPr>
        <w:t xml:space="preserve">Смерницама </w:t>
      </w:r>
      <w:r w:rsidRPr="00080DC6">
        <w:rPr>
          <w:rFonts w:cs="Times New Roman"/>
          <w:sz w:val="24"/>
          <w:szCs w:val="24"/>
        </w:rPr>
        <w:t>којим се утврђују општи годишњи циљеви друштава капитала (у даљем тексту: Смернице)</w:t>
      </w:r>
      <w:r w:rsidR="009504E1" w:rsidRPr="009504E1">
        <w:rPr>
          <w:rFonts w:cs="Times New Roman"/>
          <w:sz w:val="24"/>
          <w:szCs w:val="24"/>
          <w:lang w:val="sr-Latn-RS"/>
        </w:rPr>
        <w:t>,</w:t>
      </w:r>
      <w:r w:rsidR="00345DF8" w:rsidRPr="002E7853">
        <w:rPr>
          <w:rFonts w:cs="Times New Roman"/>
          <w:sz w:val="24"/>
          <w:szCs w:val="24"/>
        </w:rPr>
        <w:t xml:space="preserve"> </w:t>
      </w:r>
      <w:r w:rsidRPr="002E7853">
        <w:rPr>
          <w:rFonts w:cs="Times New Roman"/>
          <w:sz w:val="24"/>
          <w:szCs w:val="24"/>
        </w:rPr>
        <w:t>као</w:t>
      </w:r>
      <w:r w:rsidR="003B4C7A" w:rsidRPr="002E7853">
        <w:rPr>
          <w:rFonts w:cs="Times New Roman"/>
          <w:sz w:val="24"/>
          <w:szCs w:val="24"/>
        </w:rPr>
        <w:t xml:space="preserve"> </w:t>
      </w:r>
      <w:r w:rsidRPr="002E7853">
        <w:rPr>
          <w:rFonts w:cs="Times New Roman"/>
          <w:sz w:val="24"/>
          <w:szCs w:val="24"/>
        </w:rPr>
        <w:t>и</w:t>
      </w:r>
      <w:r w:rsidR="003B4C7A" w:rsidRPr="002E7853">
        <w:rPr>
          <w:rFonts w:cs="Times New Roman"/>
          <w:sz w:val="24"/>
          <w:szCs w:val="24"/>
        </w:rPr>
        <w:t xml:space="preserve"> </w:t>
      </w:r>
      <w:r w:rsidRPr="002E7853">
        <w:rPr>
          <w:rFonts w:cs="Times New Roman"/>
          <w:sz w:val="24"/>
          <w:szCs w:val="24"/>
        </w:rPr>
        <w:t>једног</w:t>
      </w:r>
      <w:r w:rsidR="00345DF8" w:rsidRPr="002E7853">
        <w:rPr>
          <w:rFonts w:cs="Times New Roman"/>
          <w:sz w:val="24"/>
          <w:szCs w:val="24"/>
        </w:rPr>
        <w:t xml:space="preserve"> </w:t>
      </w:r>
      <w:r w:rsidRPr="002E7853">
        <w:rPr>
          <w:rFonts w:cs="Times New Roman"/>
          <w:sz w:val="24"/>
          <w:szCs w:val="24"/>
        </w:rPr>
        <w:t>или</w:t>
      </w:r>
      <w:r w:rsidR="00345DF8" w:rsidRPr="002E7853">
        <w:rPr>
          <w:rFonts w:cs="Times New Roman"/>
          <w:sz w:val="24"/>
          <w:szCs w:val="24"/>
        </w:rPr>
        <w:t xml:space="preserve"> </w:t>
      </w:r>
      <w:r w:rsidRPr="002E7853">
        <w:rPr>
          <w:rFonts w:cs="Times New Roman"/>
          <w:sz w:val="24"/>
          <w:szCs w:val="24"/>
        </w:rPr>
        <w:t>више</w:t>
      </w:r>
      <w:r w:rsidR="00345DF8" w:rsidRPr="002E7853">
        <w:rPr>
          <w:rFonts w:cs="Times New Roman"/>
          <w:sz w:val="24"/>
          <w:szCs w:val="24"/>
        </w:rPr>
        <w:t xml:space="preserve"> </w:t>
      </w:r>
      <w:r w:rsidRPr="002E7853">
        <w:rPr>
          <w:rFonts w:cs="Times New Roman"/>
          <w:sz w:val="24"/>
          <w:szCs w:val="24"/>
        </w:rPr>
        <w:t>посебних</w:t>
      </w:r>
      <w:r w:rsidR="00345DF8" w:rsidRPr="002E7853">
        <w:rPr>
          <w:rFonts w:cs="Times New Roman"/>
          <w:sz w:val="24"/>
          <w:szCs w:val="24"/>
        </w:rPr>
        <w:t xml:space="preserve"> </w:t>
      </w:r>
      <w:r w:rsidRPr="002E7853">
        <w:rPr>
          <w:rFonts w:cs="Times New Roman"/>
          <w:sz w:val="24"/>
          <w:szCs w:val="24"/>
        </w:rPr>
        <w:t>циљева</w:t>
      </w:r>
      <w:r w:rsidR="00345DF8" w:rsidRPr="002E7853">
        <w:rPr>
          <w:rFonts w:cs="Times New Roman"/>
          <w:sz w:val="24"/>
          <w:szCs w:val="24"/>
        </w:rPr>
        <w:t xml:space="preserve"> </w:t>
      </w:r>
      <w:r w:rsidRPr="002E7853">
        <w:rPr>
          <w:rFonts w:cs="Times New Roman"/>
          <w:sz w:val="24"/>
          <w:szCs w:val="24"/>
        </w:rPr>
        <w:t>који</w:t>
      </w:r>
      <w:r w:rsidR="00345DF8" w:rsidRPr="002E7853">
        <w:rPr>
          <w:rFonts w:cs="Times New Roman"/>
          <w:sz w:val="24"/>
          <w:szCs w:val="24"/>
        </w:rPr>
        <w:t xml:space="preserve"> </w:t>
      </w:r>
      <w:r w:rsidRPr="002E7853">
        <w:rPr>
          <w:rFonts w:cs="Times New Roman"/>
          <w:sz w:val="24"/>
          <w:szCs w:val="24"/>
        </w:rPr>
        <w:t>разрађују</w:t>
      </w:r>
      <w:r w:rsidR="00345DF8" w:rsidRPr="002E7853">
        <w:rPr>
          <w:rFonts w:cs="Times New Roman"/>
          <w:sz w:val="24"/>
          <w:szCs w:val="24"/>
        </w:rPr>
        <w:t xml:space="preserve"> </w:t>
      </w:r>
      <w:r w:rsidRPr="002E7853">
        <w:rPr>
          <w:rFonts w:cs="Times New Roman"/>
          <w:sz w:val="24"/>
          <w:szCs w:val="24"/>
        </w:rPr>
        <w:t>тај</w:t>
      </w:r>
      <w:r w:rsidR="00345DF8" w:rsidRPr="002E7853">
        <w:rPr>
          <w:rFonts w:cs="Times New Roman"/>
          <w:sz w:val="24"/>
          <w:szCs w:val="24"/>
        </w:rPr>
        <w:t xml:space="preserve"> </w:t>
      </w:r>
      <w:r w:rsidRPr="002E7853">
        <w:rPr>
          <w:rFonts w:cs="Times New Roman"/>
          <w:sz w:val="24"/>
          <w:szCs w:val="24"/>
        </w:rPr>
        <w:t>општи</w:t>
      </w:r>
      <w:r w:rsidR="00345DF8" w:rsidRPr="002E7853">
        <w:rPr>
          <w:rFonts w:cs="Times New Roman"/>
          <w:sz w:val="24"/>
          <w:szCs w:val="24"/>
        </w:rPr>
        <w:t xml:space="preserve"> </w:t>
      </w:r>
      <w:r w:rsidRPr="002E7853">
        <w:rPr>
          <w:rFonts w:cs="Times New Roman"/>
          <w:sz w:val="24"/>
          <w:szCs w:val="24"/>
        </w:rPr>
        <w:t>циљ</w:t>
      </w:r>
      <w:r w:rsidR="00345DF8" w:rsidRPr="002E7853">
        <w:rPr>
          <w:rFonts w:cs="Times New Roman"/>
          <w:sz w:val="24"/>
          <w:szCs w:val="24"/>
        </w:rPr>
        <w:t xml:space="preserve"> </w:t>
      </w:r>
      <w:r w:rsidRPr="002E7853">
        <w:rPr>
          <w:rFonts w:cs="Times New Roman"/>
          <w:sz w:val="24"/>
          <w:szCs w:val="24"/>
        </w:rPr>
        <w:t>са</w:t>
      </w:r>
      <w:r w:rsidR="00345DF8" w:rsidRPr="002E7853">
        <w:rPr>
          <w:rFonts w:cs="Times New Roman"/>
          <w:sz w:val="24"/>
          <w:szCs w:val="24"/>
        </w:rPr>
        <w:t xml:space="preserve"> </w:t>
      </w:r>
      <w:r w:rsidRPr="002E7853">
        <w:rPr>
          <w:rFonts w:cs="Times New Roman"/>
          <w:sz w:val="24"/>
          <w:szCs w:val="24"/>
        </w:rPr>
        <w:t>кључним</w:t>
      </w:r>
      <w:r w:rsidR="00345DF8" w:rsidRPr="002E7853">
        <w:rPr>
          <w:rFonts w:cs="Times New Roman"/>
          <w:sz w:val="24"/>
          <w:szCs w:val="24"/>
        </w:rPr>
        <w:t xml:space="preserve"> </w:t>
      </w:r>
      <w:r w:rsidRPr="002E7853">
        <w:rPr>
          <w:rFonts w:cs="Times New Roman"/>
          <w:sz w:val="24"/>
          <w:szCs w:val="24"/>
        </w:rPr>
        <w:t>показатељима</w:t>
      </w:r>
      <w:r w:rsidR="00345DF8" w:rsidRPr="002E7853">
        <w:rPr>
          <w:rFonts w:cs="Times New Roman"/>
          <w:sz w:val="24"/>
          <w:szCs w:val="24"/>
        </w:rPr>
        <w:t xml:space="preserve"> </w:t>
      </w:r>
      <w:r w:rsidRPr="002E7853">
        <w:rPr>
          <w:rFonts w:cs="Times New Roman"/>
          <w:sz w:val="24"/>
          <w:szCs w:val="24"/>
        </w:rPr>
        <w:t>учинка</w:t>
      </w:r>
      <w:r w:rsidR="00345DF8" w:rsidRPr="002E7853">
        <w:rPr>
          <w:rFonts w:cs="Times New Roman"/>
          <w:sz w:val="24"/>
          <w:szCs w:val="24"/>
        </w:rPr>
        <w:t xml:space="preserve"> </w:t>
      </w:r>
      <w:r w:rsidRPr="002E7853">
        <w:rPr>
          <w:rFonts w:cs="Times New Roman"/>
          <w:sz w:val="24"/>
          <w:szCs w:val="24"/>
        </w:rPr>
        <w:t>израженим</w:t>
      </w:r>
      <w:r w:rsidR="00345DF8" w:rsidRPr="002E7853">
        <w:rPr>
          <w:rFonts w:cs="Times New Roman"/>
          <w:sz w:val="24"/>
          <w:szCs w:val="24"/>
        </w:rPr>
        <w:t xml:space="preserve"> </w:t>
      </w:r>
      <w:r w:rsidRPr="002E7853">
        <w:rPr>
          <w:rFonts w:cs="Times New Roman"/>
          <w:sz w:val="24"/>
          <w:szCs w:val="24"/>
        </w:rPr>
        <w:t>у</w:t>
      </w:r>
      <w:r w:rsidR="00345DF8" w:rsidRPr="002E7853">
        <w:rPr>
          <w:rFonts w:cs="Times New Roman"/>
          <w:sz w:val="24"/>
          <w:szCs w:val="24"/>
        </w:rPr>
        <w:t xml:space="preserve"> </w:t>
      </w:r>
      <w:r w:rsidR="00C5601D" w:rsidRPr="002E7853">
        <w:rPr>
          <w:rFonts w:cs="Times New Roman"/>
          <w:sz w:val="24"/>
          <w:szCs w:val="24"/>
        </w:rPr>
        <w:t xml:space="preserve">годишњем </w:t>
      </w:r>
      <w:r w:rsidRPr="002E7853">
        <w:rPr>
          <w:rFonts w:cs="Times New Roman"/>
          <w:sz w:val="24"/>
          <w:szCs w:val="24"/>
        </w:rPr>
        <w:t>плану</w:t>
      </w:r>
      <w:r w:rsidR="00345DF8" w:rsidRPr="002E7853">
        <w:rPr>
          <w:rFonts w:cs="Times New Roman"/>
          <w:sz w:val="24"/>
          <w:szCs w:val="24"/>
        </w:rPr>
        <w:t xml:space="preserve"> </w:t>
      </w:r>
      <w:r w:rsidRPr="002E7853">
        <w:rPr>
          <w:rFonts w:cs="Times New Roman"/>
          <w:sz w:val="24"/>
          <w:szCs w:val="24"/>
        </w:rPr>
        <w:t>пословања</w:t>
      </w:r>
      <w:r w:rsidR="00345DF8" w:rsidRPr="002E7853">
        <w:rPr>
          <w:rFonts w:cs="Times New Roman"/>
          <w:sz w:val="24"/>
          <w:szCs w:val="24"/>
        </w:rPr>
        <w:t xml:space="preserve"> </w:t>
      </w:r>
      <w:r w:rsidRPr="002E7853">
        <w:rPr>
          <w:rFonts w:cs="Times New Roman"/>
          <w:sz w:val="24"/>
          <w:szCs w:val="24"/>
        </w:rPr>
        <w:t>друштва</w:t>
      </w:r>
      <w:r w:rsidR="00345DF8" w:rsidRPr="002E7853">
        <w:rPr>
          <w:rFonts w:cs="Times New Roman"/>
          <w:sz w:val="24"/>
          <w:szCs w:val="24"/>
        </w:rPr>
        <w:t xml:space="preserve"> </w:t>
      </w:r>
      <w:r w:rsidRPr="002E7853">
        <w:rPr>
          <w:rFonts w:cs="Times New Roman"/>
          <w:sz w:val="24"/>
          <w:szCs w:val="24"/>
        </w:rPr>
        <w:t>капитала</w:t>
      </w:r>
      <w:r w:rsidR="00345DF8" w:rsidRPr="002E7853">
        <w:rPr>
          <w:rFonts w:cs="Times New Roman"/>
          <w:sz w:val="24"/>
          <w:szCs w:val="24"/>
        </w:rPr>
        <w:t>.</w:t>
      </w:r>
    </w:p>
    <w:p w14:paraId="24779AAF" w14:textId="3E2215EB" w:rsidR="00D81A36" w:rsidRPr="002E7853" w:rsidRDefault="00B63F9A" w:rsidP="00B63F9A">
      <w:pPr>
        <w:ind w:firstLine="720"/>
        <w:rPr>
          <w:rFonts w:cs="Times New Roman"/>
          <w:sz w:val="24"/>
          <w:szCs w:val="24"/>
        </w:rPr>
      </w:pPr>
      <w:r w:rsidRPr="002E7853">
        <w:rPr>
          <w:rFonts w:cs="Times New Roman"/>
          <w:sz w:val="24"/>
          <w:szCs w:val="24"/>
        </w:rPr>
        <w:t>Приликом</w:t>
      </w:r>
      <w:r w:rsidR="00BA56EF" w:rsidRPr="002E7853">
        <w:rPr>
          <w:rFonts w:cs="Times New Roman"/>
          <w:sz w:val="24"/>
          <w:szCs w:val="24"/>
        </w:rPr>
        <w:t xml:space="preserve"> </w:t>
      </w:r>
      <w:r w:rsidRPr="002E7853">
        <w:rPr>
          <w:rFonts w:cs="Times New Roman"/>
          <w:sz w:val="24"/>
          <w:szCs w:val="24"/>
        </w:rPr>
        <w:t>оцене</w:t>
      </w:r>
      <w:r w:rsidR="0099270A" w:rsidRPr="002E7853">
        <w:rPr>
          <w:rFonts w:cs="Times New Roman"/>
          <w:sz w:val="24"/>
          <w:szCs w:val="24"/>
        </w:rPr>
        <w:t xml:space="preserve"> </w:t>
      </w:r>
      <w:r w:rsidRPr="002E7853">
        <w:rPr>
          <w:rFonts w:cs="Times New Roman"/>
          <w:sz w:val="24"/>
          <w:szCs w:val="24"/>
        </w:rPr>
        <w:t>да</w:t>
      </w:r>
      <w:r w:rsidR="00BA56EF" w:rsidRPr="002E7853">
        <w:rPr>
          <w:rFonts w:cs="Times New Roman"/>
          <w:sz w:val="24"/>
          <w:szCs w:val="24"/>
        </w:rPr>
        <w:t xml:space="preserve"> </w:t>
      </w:r>
      <w:r w:rsidRPr="002E7853">
        <w:rPr>
          <w:rFonts w:cs="Times New Roman"/>
          <w:sz w:val="24"/>
          <w:szCs w:val="24"/>
        </w:rPr>
        <w:t>ли</w:t>
      </w:r>
      <w:r w:rsidR="0099270A" w:rsidRPr="002E7853">
        <w:rPr>
          <w:rFonts w:cs="Times New Roman"/>
          <w:sz w:val="24"/>
          <w:szCs w:val="24"/>
        </w:rPr>
        <w:t xml:space="preserve"> </w:t>
      </w:r>
      <w:r w:rsidRPr="002E7853">
        <w:rPr>
          <w:rFonts w:cs="Times New Roman"/>
          <w:sz w:val="24"/>
          <w:szCs w:val="24"/>
        </w:rPr>
        <w:t>одређено</w:t>
      </w:r>
      <w:r w:rsidR="0099270A" w:rsidRPr="002E7853">
        <w:rPr>
          <w:rFonts w:cs="Times New Roman"/>
          <w:sz w:val="24"/>
          <w:szCs w:val="24"/>
        </w:rPr>
        <w:t xml:space="preserve"> </w:t>
      </w:r>
      <w:r w:rsidRPr="002E7853">
        <w:rPr>
          <w:rFonts w:cs="Times New Roman"/>
          <w:sz w:val="24"/>
          <w:szCs w:val="24"/>
        </w:rPr>
        <w:t>одступање</w:t>
      </w:r>
      <w:r w:rsidR="0099270A" w:rsidRPr="002E7853">
        <w:rPr>
          <w:rFonts w:cs="Times New Roman"/>
          <w:sz w:val="24"/>
          <w:szCs w:val="24"/>
        </w:rPr>
        <w:t xml:space="preserve"> </w:t>
      </w:r>
      <w:r w:rsidRPr="002E7853">
        <w:rPr>
          <w:rFonts w:cs="Times New Roman"/>
          <w:sz w:val="24"/>
          <w:szCs w:val="24"/>
        </w:rPr>
        <w:t>од</w:t>
      </w:r>
      <w:r w:rsidR="0099270A" w:rsidRPr="002E7853">
        <w:rPr>
          <w:rFonts w:cs="Times New Roman"/>
          <w:sz w:val="24"/>
          <w:szCs w:val="24"/>
        </w:rPr>
        <w:t xml:space="preserve"> </w:t>
      </w:r>
      <w:r w:rsidRPr="002E7853">
        <w:rPr>
          <w:rFonts w:cs="Times New Roman"/>
          <w:sz w:val="24"/>
          <w:szCs w:val="24"/>
        </w:rPr>
        <w:t>општег</w:t>
      </w:r>
      <w:r w:rsidR="00BA56EF" w:rsidRPr="002E7853">
        <w:rPr>
          <w:rFonts w:cs="Times New Roman"/>
          <w:sz w:val="24"/>
          <w:szCs w:val="24"/>
        </w:rPr>
        <w:t xml:space="preserve"> </w:t>
      </w:r>
      <w:r w:rsidRPr="002E7853">
        <w:rPr>
          <w:rFonts w:cs="Times New Roman"/>
          <w:sz w:val="24"/>
          <w:szCs w:val="24"/>
        </w:rPr>
        <w:t>годишњег</w:t>
      </w:r>
      <w:r w:rsidR="00BA56EF" w:rsidRPr="002E7853">
        <w:rPr>
          <w:rFonts w:cs="Times New Roman"/>
          <w:sz w:val="24"/>
          <w:szCs w:val="24"/>
        </w:rPr>
        <w:t xml:space="preserve"> </w:t>
      </w:r>
      <w:r w:rsidRPr="002E7853">
        <w:rPr>
          <w:rFonts w:cs="Times New Roman"/>
          <w:sz w:val="24"/>
          <w:szCs w:val="24"/>
        </w:rPr>
        <w:t>циља</w:t>
      </w:r>
      <w:r w:rsidR="0099270A" w:rsidRPr="002E7853">
        <w:rPr>
          <w:rFonts w:cs="Times New Roman"/>
          <w:sz w:val="24"/>
          <w:szCs w:val="24"/>
        </w:rPr>
        <w:t xml:space="preserve"> </w:t>
      </w:r>
      <w:r w:rsidRPr="002E7853">
        <w:rPr>
          <w:rFonts w:cs="Times New Roman"/>
          <w:sz w:val="24"/>
          <w:szCs w:val="24"/>
        </w:rPr>
        <w:t>може</w:t>
      </w:r>
      <w:r w:rsidR="0099270A" w:rsidRPr="002E7853">
        <w:rPr>
          <w:rFonts w:cs="Times New Roman"/>
          <w:sz w:val="24"/>
          <w:szCs w:val="24"/>
        </w:rPr>
        <w:t xml:space="preserve"> </w:t>
      </w:r>
      <w:r w:rsidRPr="002E7853">
        <w:rPr>
          <w:rFonts w:cs="Times New Roman"/>
          <w:sz w:val="24"/>
          <w:szCs w:val="24"/>
        </w:rPr>
        <w:t>да</w:t>
      </w:r>
      <w:r w:rsidR="0099270A" w:rsidRPr="002E7853">
        <w:rPr>
          <w:rFonts w:cs="Times New Roman"/>
          <w:sz w:val="24"/>
          <w:szCs w:val="24"/>
        </w:rPr>
        <w:t xml:space="preserve"> </w:t>
      </w:r>
      <w:r w:rsidRPr="002E7853">
        <w:rPr>
          <w:rFonts w:cs="Times New Roman"/>
          <w:sz w:val="24"/>
          <w:szCs w:val="24"/>
        </w:rPr>
        <w:t>се</w:t>
      </w:r>
      <w:r w:rsidR="0099270A" w:rsidRPr="002E7853">
        <w:rPr>
          <w:rFonts w:cs="Times New Roman"/>
          <w:sz w:val="24"/>
          <w:szCs w:val="24"/>
        </w:rPr>
        <w:t xml:space="preserve"> </w:t>
      </w:r>
      <w:r w:rsidRPr="002E7853">
        <w:rPr>
          <w:rFonts w:cs="Times New Roman"/>
          <w:sz w:val="24"/>
          <w:szCs w:val="24"/>
        </w:rPr>
        <w:t>сматра</w:t>
      </w:r>
      <w:r w:rsidR="0099270A" w:rsidRPr="002E7853">
        <w:rPr>
          <w:rFonts w:cs="Times New Roman"/>
          <w:sz w:val="24"/>
          <w:szCs w:val="24"/>
        </w:rPr>
        <w:t xml:space="preserve"> </w:t>
      </w:r>
      <w:r w:rsidRPr="002E7853">
        <w:rPr>
          <w:rFonts w:cs="Times New Roman"/>
          <w:sz w:val="24"/>
          <w:szCs w:val="24"/>
        </w:rPr>
        <w:t>битним</w:t>
      </w:r>
      <w:r w:rsidR="00BA56EF" w:rsidRPr="002E7853">
        <w:rPr>
          <w:rFonts w:cs="Times New Roman"/>
          <w:sz w:val="24"/>
          <w:szCs w:val="24"/>
        </w:rPr>
        <w:t xml:space="preserve">, </w:t>
      </w:r>
      <w:r w:rsidRPr="002E7853">
        <w:rPr>
          <w:rFonts w:cs="Times New Roman"/>
          <w:sz w:val="24"/>
          <w:szCs w:val="24"/>
        </w:rPr>
        <w:t>Комисија</w:t>
      </w:r>
      <w:r w:rsidR="00BA56EF" w:rsidRPr="002E7853">
        <w:rPr>
          <w:rFonts w:cs="Times New Roman"/>
          <w:sz w:val="24"/>
          <w:szCs w:val="24"/>
        </w:rPr>
        <w:t xml:space="preserve"> </w:t>
      </w:r>
      <w:r w:rsidRPr="002E7853">
        <w:rPr>
          <w:rFonts w:cs="Times New Roman"/>
          <w:sz w:val="24"/>
          <w:szCs w:val="24"/>
        </w:rPr>
        <w:t>цени</w:t>
      </w:r>
      <w:r w:rsidR="007B0403" w:rsidRPr="002E7853">
        <w:rPr>
          <w:rFonts w:cs="Times New Roman"/>
          <w:sz w:val="24"/>
          <w:szCs w:val="24"/>
        </w:rPr>
        <w:t xml:space="preserve"> </w:t>
      </w:r>
      <w:r w:rsidRPr="002E7853">
        <w:rPr>
          <w:rFonts w:cs="Times New Roman"/>
          <w:sz w:val="24"/>
          <w:szCs w:val="24"/>
        </w:rPr>
        <w:t>потенцијални</w:t>
      </w:r>
      <w:r w:rsidR="00730164" w:rsidRPr="002E7853">
        <w:rPr>
          <w:rFonts w:cs="Times New Roman"/>
          <w:sz w:val="24"/>
          <w:szCs w:val="24"/>
        </w:rPr>
        <w:t xml:space="preserve"> </w:t>
      </w:r>
      <w:r w:rsidRPr="002E7853">
        <w:rPr>
          <w:rFonts w:cs="Times New Roman"/>
          <w:sz w:val="24"/>
          <w:szCs w:val="24"/>
        </w:rPr>
        <w:t>утицај</w:t>
      </w:r>
      <w:r w:rsidR="00730164" w:rsidRPr="002E7853">
        <w:rPr>
          <w:rFonts w:cs="Times New Roman"/>
          <w:sz w:val="24"/>
          <w:szCs w:val="24"/>
        </w:rPr>
        <w:t xml:space="preserve"> </w:t>
      </w:r>
      <w:r w:rsidRPr="002E7853">
        <w:rPr>
          <w:rFonts w:cs="Times New Roman"/>
          <w:sz w:val="24"/>
          <w:szCs w:val="24"/>
        </w:rPr>
        <w:t>тог</w:t>
      </w:r>
      <w:r w:rsidR="00580F24" w:rsidRPr="002E7853">
        <w:rPr>
          <w:rFonts w:cs="Times New Roman"/>
          <w:sz w:val="24"/>
          <w:szCs w:val="24"/>
        </w:rPr>
        <w:t xml:space="preserve"> </w:t>
      </w:r>
      <w:r w:rsidRPr="002E7853">
        <w:rPr>
          <w:rFonts w:cs="Times New Roman"/>
          <w:sz w:val="24"/>
          <w:szCs w:val="24"/>
        </w:rPr>
        <w:t>одступања</w:t>
      </w:r>
      <w:r w:rsidR="00A47C0D" w:rsidRPr="002E7853">
        <w:rPr>
          <w:rFonts w:cs="Times New Roman"/>
          <w:sz w:val="24"/>
          <w:szCs w:val="24"/>
        </w:rPr>
        <w:t xml:space="preserve">, </w:t>
      </w:r>
      <w:r w:rsidRPr="002E7853">
        <w:rPr>
          <w:rFonts w:cs="Times New Roman"/>
          <w:sz w:val="24"/>
          <w:szCs w:val="24"/>
        </w:rPr>
        <w:t>односно</w:t>
      </w:r>
      <w:r w:rsidR="00A47C0D" w:rsidRPr="002E7853">
        <w:rPr>
          <w:rFonts w:cs="Times New Roman"/>
          <w:sz w:val="24"/>
          <w:szCs w:val="24"/>
        </w:rPr>
        <w:t xml:space="preserve"> </w:t>
      </w:r>
      <w:r w:rsidRPr="002E7853">
        <w:rPr>
          <w:rFonts w:cs="Times New Roman"/>
          <w:sz w:val="24"/>
          <w:szCs w:val="24"/>
        </w:rPr>
        <w:t>ризик</w:t>
      </w:r>
      <w:r w:rsidR="00A47C0D" w:rsidRPr="002E7853">
        <w:rPr>
          <w:rFonts w:cs="Times New Roman"/>
          <w:sz w:val="24"/>
          <w:szCs w:val="24"/>
        </w:rPr>
        <w:t xml:space="preserve"> </w:t>
      </w:r>
      <w:r w:rsidRPr="002E7853">
        <w:rPr>
          <w:rFonts w:cs="Times New Roman"/>
          <w:sz w:val="24"/>
          <w:szCs w:val="24"/>
        </w:rPr>
        <w:t>које</w:t>
      </w:r>
      <w:r w:rsidR="00A47C0D" w:rsidRPr="002E7853">
        <w:rPr>
          <w:rFonts w:cs="Times New Roman"/>
          <w:sz w:val="24"/>
          <w:szCs w:val="24"/>
        </w:rPr>
        <w:t xml:space="preserve"> </w:t>
      </w:r>
      <w:r w:rsidRPr="002E7853">
        <w:rPr>
          <w:rFonts w:cs="Times New Roman"/>
          <w:sz w:val="24"/>
          <w:szCs w:val="24"/>
        </w:rPr>
        <w:t>оно</w:t>
      </w:r>
      <w:r w:rsidR="00A47C0D" w:rsidRPr="002E7853">
        <w:rPr>
          <w:rFonts w:cs="Times New Roman"/>
          <w:sz w:val="24"/>
          <w:szCs w:val="24"/>
        </w:rPr>
        <w:t xml:space="preserve"> </w:t>
      </w:r>
      <w:r w:rsidRPr="002E7853">
        <w:rPr>
          <w:rFonts w:cs="Times New Roman"/>
          <w:sz w:val="24"/>
          <w:szCs w:val="24"/>
        </w:rPr>
        <w:t>носи</w:t>
      </w:r>
      <w:r w:rsidR="00494329" w:rsidRPr="002E7853">
        <w:rPr>
          <w:rFonts w:cs="Times New Roman"/>
          <w:sz w:val="24"/>
          <w:szCs w:val="24"/>
        </w:rPr>
        <w:t xml:space="preserve"> </w:t>
      </w:r>
      <w:r w:rsidRPr="002E7853">
        <w:rPr>
          <w:rFonts w:cs="Times New Roman"/>
          <w:sz w:val="24"/>
          <w:szCs w:val="24"/>
        </w:rPr>
        <w:t>за</w:t>
      </w:r>
      <w:r w:rsidR="00C25FC8" w:rsidRPr="002E7853">
        <w:rPr>
          <w:rFonts w:cs="Times New Roman"/>
          <w:sz w:val="24"/>
          <w:szCs w:val="24"/>
        </w:rPr>
        <w:t xml:space="preserve"> </w:t>
      </w:r>
      <w:r w:rsidRPr="002E7853">
        <w:rPr>
          <w:rFonts w:cs="Times New Roman"/>
          <w:sz w:val="24"/>
          <w:szCs w:val="24"/>
        </w:rPr>
        <w:t>остварење</w:t>
      </w:r>
      <w:r w:rsidR="00C25FC8" w:rsidRPr="002E7853">
        <w:rPr>
          <w:rFonts w:cs="Times New Roman"/>
          <w:sz w:val="24"/>
          <w:szCs w:val="24"/>
        </w:rPr>
        <w:t xml:space="preserve"> </w:t>
      </w:r>
      <w:r w:rsidR="001069A0" w:rsidRPr="002E7853">
        <w:rPr>
          <w:rFonts w:cs="Times New Roman"/>
          <w:sz w:val="24"/>
          <w:szCs w:val="24"/>
        </w:rPr>
        <w:t>утврђеног</w:t>
      </w:r>
      <w:r w:rsidR="00C25FC8" w:rsidRPr="002E7853">
        <w:rPr>
          <w:rFonts w:cs="Times New Roman"/>
          <w:sz w:val="24"/>
          <w:szCs w:val="24"/>
        </w:rPr>
        <w:t xml:space="preserve"> </w:t>
      </w:r>
      <w:r w:rsidR="001069A0" w:rsidRPr="002E7853">
        <w:rPr>
          <w:rFonts w:cs="Times New Roman"/>
          <w:sz w:val="24"/>
          <w:szCs w:val="24"/>
        </w:rPr>
        <w:t xml:space="preserve">општег </w:t>
      </w:r>
      <w:r w:rsidRPr="002E7853">
        <w:rPr>
          <w:rFonts w:cs="Times New Roman"/>
          <w:sz w:val="24"/>
          <w:szCs w:val="24"/>
        </w:rPr>
        <w:t>циља</w:t>
      </w:r>
      <w:r w:rsidR="00580F24" w:rsidRPr="002E7853">
        <w:rPr>
          <w:rFonts w:cs="Times New Roman"/>
          <w:sz w:val="24"/>
          <w:szCs w:val="24"/>
        </w:rPr>
        <w:t xml:space="preserve"> </w:t>
      </w:r>
      <w:r w:rsidRPr="002E7853">
        <w:rPr>
          <w:rFonts w:cs="Times New Roman"/>
          <w:sz w:val="24"/>
          <w:szCs w:val="24"/>
        </w:rPr>
        <w:t>друштва</w:t>
      </w:r>
      <w:r w:rsidR="00580F24" w:rsidRPr="002E7853">
        <w:rPr>
          <w:rFonts w:cs="Times New Roman"/>
          <w:sz w:val="24"/>
          <w:szCs w:val="24"/>
        </w:rPr>
        <w:t xml:space="preserve"> </w:t>
      </w:r>
      <w:r w:rsidRPr="002E7853">
        <w:rPr>
          <w:rFonts w:cs="Times New Roman"/>
          <w:sz w:val="24"/>
          <w:szCs w:val="24"/>
        </w:rPr>
        <w:t>капитала</w:t>
      </w:r>
      <w:r w:rsidR="0099270A" w:rsidRPr="002E7853">
        <w:rPr>
          <w:rFonts w:cs="Times New Roman"/>
          <w:sz w:val="24"/>
          <w:szCs w:val="24"/>
        </w:rPr>
        <w:t>.</w:t>
      </w:r>
      <w:r w:rsidR="0081530E" w:rsidRPr="002E7853">
        <w:rPr>
          <w:rFonts w:cs="Times New Roman"/>
          <w:sz w:val="24"/>
          <w:szCs w:val="24"/>
        </w:rPr>
        <w:t xml:space="preserve"> </w:t>
      </w:r>
    </w:p>
    <w:p w14:paraId="4E74F5AA" w14:textId="64F21071" w:rsidR="00D81A36" w:rsidRPr="002E7853" w:rsidRDefault="00D81A36" w:rsidP="00D81A36">
      <w:pPr>
        <w:jc w:val="center"/>
        <w:rPr>
          <w:rFonts w:cs="Times New Roman"/>
          <w:sz w:val="24"/>
          <w:szCs w:val="24"/>
        </w:rPr>
      </w:pPr>
      <w:r w:rsidRPr="002E7853">
        <w:rPr>
          <w:rFonts w:cs="Times New Roman"/>
          <w:sz w:val="24"/>
          <w:szCs w:val="24"/>
        </w:rPr>
        <w:t>Члан 3.</w:t>
      </w:r>
    </w:p>
    <w:p w14:paraId="08DE59E9" w14:textId="3FD4DDA3" w:rsidR="00D81A36" w:rsidRPr="002E7853" w:rsidRDefault="00B63F9A" w:rsidP="00B63F9A">
      <w:pPr>
        <w:ind w:firstLine="720"/>
        <w:rPr>
          <w:rFonts w:cs="Times New Roman"/>
          <w:sz w:val="24"/>
          <w:szCs w:val="24"/>
        </w:rPr>
      </w:pPr>
      <w:r w:rsidRPr="002E7853">
        <w:rPr>
          <w:rFonts w:cs="Times New Roman"/>
          <w:sz w:val="24"/>
          <w:szCs w:val="24"/>
        </w:rPr>
        <w:t>Комисија</w:t>
      </w:r>
      <w:r w:rsidR="0081530E" w:rsidRPr="002E7853">
        <w:rPr>
          <w:rFonts w:cs="Times New Roman"/>
          <w:sz w:val="24"/>
          <w:szCs w:val="24"/>
        </w:rPr>
        <w:t xml:space="preserve"> </w:t>
      </w:r>
      <w:r w:rsidRPr="002E7853">
        <w:rPr>
          <w:rFonts w:cs="Times New Roman"/>
          <w:sz w:val="24"/>
          <w:szCs w:val="24"/>
        </w:rPr>
        <w:t>анализира</w:t>
      </w:r>
      <w:r w:rsidR="0081530E" w:rsidRPr="002E7853">
        <w:rPr>
          <w:rFonts w:cs="Times New Roman"/>
          <w:sz w:val="24"/>
          <w:szCs w:val="24"/>
        </w:rPr>
        <w:t xml:space="preserve"> </w:t>
      </w:r>
      <w:r w:rsidR="00D81A36" w:rsidRPr="002E7853">
        <w:rPr>
          <w:rFonts w:cs="Times New Roman"/>
          <w:sz w:val="24"/>
          <w:szCs w:val="24"/>
        </w:rPr>
        <w:t xml:space="preserve">могуће </w:t>
      </w:r>
      <w:r w:rsidRPr="002E7853">
        <w:rPr>
          <w:rFonts w:cs="Times New Roman"/>
          <w:sz w:val="24"/>
          <w:szCs w:val="24"/>
        </w:rPr>
        <w:t>врсте</w:t>
      </w:r>
      <w:r w:rsidR="0081530E" w:rsidRPr="002E7853">
        <w:rPr>
          <w:rFonts w:cs="Times New Roman"/>
          <w:sz w:val="24"/>
          <w:szCs w:val="24"/>
        </w:rPr>
        <w:t xml:space="preserve"> </w:t>
      </w:r>
      <w:r w:rsidRPr="002E7853">
        <w:rPr>
          <w:rFonts w:cs="Times New Roman"/>
          <w:sz w:val="24"/>
          <w:szCs w:val="24"/>
        </w:rPr>
        <w:t>потенцијалних</w:t>
      </w:r>
      <w:r w:rsidR="0081530E" w:rsidRPr="002E7853">
        <w:rPr>
          <w:rFonts w:cs="Times New Roman"/>
          <w:sz w:val="24"/>
          <w:szCs w:val="24"/>
        </w:rPr>
        <w:t xml:space="preserve"> </w:t>
      </w:r>
      <w:r w:rsidRPr="002E7853">
        <w:rPr>
          <w:rFonts w:cs="Times New Roman"/>
          <w:sz w:val="24"/>
          <w:szCs w:val="24"/>
        </w:rPr>
        <w:t>утицаја</w:t>
      </w:r>
      <w:r w:rsidR="00D81A36" w:rsidRPr="002E7853">
        <w:rPr>
          <w:rFonts w:cs="Times New Roman"/>
          <w:sz w:val="24"/>
          <w:szCs w:val="24"/>
        </w:rPr>
        <w:t xml:space="preserve">, </w:t>
      </w:r>
      <w:r w:rsidRPr="002E7853">
        <w:rPr>
          <w:rFonts w:cs="Times New Roman"/>
          <w:sz w:val="24"/>
          <w:szCs w:val="24"/>
        </w:rPr>
        <w:t>односно</w:t>
      </w:r>
      <w:r w:rsidR="00DD6E6A" w:rsidRPr="002E7853">
        <w:rPr>
          <w:rFonts w:cs="Times New Roman"/>
          <w:sz w:val="24"/>
          <w:szCs w:val="24"/>
        </w:rPr>
        <w:t xml:space="preserve"> </w:t>
      </w:r>
      <w:r w:rsidRPr="002E7853">
        <w:rPr>
          <w:rFonts w:cs="Times New Roman"/>
          <w:sz w:val="24"/>
          <w:szCs w:val="24"/>
        </w:rPr>
        <w:t>ризика</w:t>
      </w:r>
      <w:r w:rsidR="00DD6E6A" w:rsidRPr="002E7853">
        <w:rPr>
          <w:rFonts w:cs="Times New Roman"/>
          <w:sz w:val="24"/>
          <w:szCs w:val="24"/>
        </w:rPr>
        <w:t xml:space="preserve"> </w:t>
      </w:r>
      <w:r w:rsidRPr="002E7853">
        <w:rPr>
          <w:rFonts w:cs="Times New Roman"/>
          <w:sz w:val="24"/>
          <w:szCs w:val="24"/>
        </w:rPr>
        <w:t>које</w:t>
      </w:r>
      <w:r w:rsidR="00DD6E6A" w:rsidRPr="002E7853">
        <w:rPr>
          <w:rFonts w:cs="Times New Roman"/>
          <w:sz w:val="24"/>
          <w:szCs w:val="24"/>
        </w:rPr>
        <w:t xml:space="preserve"> </w:t>
      </w:r>
      <w:r w:rsidR="00D81A36" w:rsidRPr="002E7853">
        <w:rPr>
          <w:rFonts w:cs="Times New Roman"/>
          <w:sz w:val="24"/>
          <w:szCs w:val="24"/>
        </w:rPr>
        <w:t xml:space="preserve">може да има </w:t>
      </w:r>
      <w:r w:rsidRPr="002E7853">
        <w:rPr>
          <w:rFonts w:cs="Times New Roman"/>
          <w:sz w:val="24"/>
          <w:szCs w:val="24"/>
        </w:rPr>
        <w:t>одређено</w:t>
      </w:r>
      <w:r w:rsidR="00780B3A" w:rsidRPr="002E7853">
        <w:rPr>
          <w:rFonts w:cs="Times New Roman"/>
          <w:sz w:val="24"/>
          <w:szCs w:val="24"/>
        </w:rPr>
        <w:t xml:space="preserve"> </w:t>
      </w:r>
      <w:r w:rsidRPr="002E7853">
        <w:rPr>
          <w:rFonts w:cs="Times New Roman"/>
          <w:sz w:val="24"/>
          <w:szCs w:val="24"/>
        </w:rPr>
        <w:t>одступање</w:t>
      </w:r>
      <w:r w:rsidR="00DD6E6A" w:rsidRPr="002E7853">
        <w:rPr>
          <w:rFonts w:cs="Times New Roman"/>
          <w:sz w:val="24"/>
          <w:szCs w:val="24"/>
        </w:rPr>
        <w:t xml:space="preserve"> </w:t>
      </w:r>
      <w:r w:rsidRPr="002E7853">
        <w:rPr>
          <w:rFonts w:cs="Times New Roman"/>
          <w:sz w:val="24"/>
          <w:szCs w:val="24"/>
        </w:rPr>
        <w:t>од</w:t>
      </w:r>
      <w:r w:rsidR="00DD6E6A" w:rsidRPr="002E7853">
        <w:rPr>
          <w:rFonts w:cs="Times New Roman"/>
          <w:sz w:val="24"/>
          <w:szCs w:val="24"/>
        </w:rPr>
        <w:t xml:space="preserve"> </w:t>
      </w:r>
      <w:r w:rsidRPr="002E7853">
        <w:rPr>
          <w:rFonts w:cs="Times New Roman"/>
          <w:sz w:val="24"/>
          <w:szCs w:val="24"/>
        </w:rPr>
        <w:t>општег</w:t>
      </w:r>
      <w:r w:rsidR="00DD6E6A" w:rsidRPr="002E7853">
        <w:rPr>
          <w:rFonts w:cs="Times New Roman"/>
          <w:sz w:val="24"/>
          <w:szCs w:val="24"/>
        </w:rPr>
        <w:t xml:space="preserve"> </w:t>
      </w:r>
      <w:r w:rsidRPr="002E7853">
        <w:rPr>
          <w:rFonts w:cs="Times New Roman"/>
          <w:sz w:val="24"/>
          <w:szCs w:val="24"/>
        </w:rPr>
        <w:t>годишњег</w:t>
      </w:r>
      <w:r w:rsidR="00DD6E6A" w:rsidRPr="002E7853">
        <w:rPr>
          <w:rFonts w:cs="Times New Roman"/>
          <w:sz w:val="24"/>
          <w:szCs w:val="24"/>
        </w:rPr>
        <w:t xml:space="preserve"> </w:t>
      </w:r>
      <w:r w:rsidRPr="002E7853">
        <w:rPr>
          <w:rFonts w:cs="Times New Roman"/>
          <w:sz w:val="24"/>
          <w:szCs w:val="24"/>
        </w:rPr>
        <w:t>циља</w:t>
      </w:r>
      <w:r w:rsidR="00780B3A" w:rsidRPr="002E7853">
        <w:rPr>
          <w:rFonts w:cs="Times New Roman"/>
          <w:sz w:val="24"/>
          <w:szCs w:val="24"/>
        </w:rPr>
        <w:t xml:space="preserve">. </w:t>
      </w:r>
    </w:p>
    <w:p w14:paraId="12D2B5A9" w14:textId="50465D56" w:rsidR="00D81A36" w:rsidRPr="002E7853" w:rsidRDefault="00B63F9A" w:rsidP="00B63F9A">
      <w:pPr>
        <w:ind w:firstLine="720"/>
        <w:rPr>
          <w:rFonts w:cs="Times New Roman"/>
          <w:sz w:val="24"/>
          <w:szCs w:val="24"/>
        </w:rPr>
      </w:pPr>
      <w:r w:rsidRPr="002E7853">
        <w:rPr>
          <w:rFonts w:cs="Times New Roman"/>
          <w:sz w:val="24"/>
          <w:szCs w:val="24"/>
        </w:rPr>
        <w:t>Врсте</w:t>
      </w:r>
      <w:r w:rsidR="00780B3A" w:rsidRPr="002E7853">
        <w:rPr>
          <w:rFonts w:cs="Times New Roman"/>
          <w:sz w:val="24"/>
          <w:szCs w:val="24"/>
        </w:rPr>
        <w:t xml:space="preserve"> </w:t>
      </w:r>
      <w:r w:rsidRPr="002E7853">
        <w:rPr>
          <w:rFonts w:cs="Times New Roman"/>
          <w:sz w:val="24"/>
          <w:szCs w:val="24"/>
        </w:rPr>
        <w:t>потенцијалних</w:t>
      </w:r>
      <w:r w:rsidR="00780B3A" w:rsidRPr="002E7853">
        <w:rPr>
          <w:rFonts w:cs="Times New Roman"/>
          <w:sz w:val="24"/>
          <w:szCs w:val="24"/>
        </w:rPr>
        <w:t xml:space="preserve"> </w:t>
      </w:r>
      <w:r w:rsidRPr="002E7853">
        <w:rPr>
          <w:rFonts w:cs="Times New Roman"/>
          <w:sz w:val="24"/>
          <w:szCs w:val="24"/>
        </w:rPr>
        <w:t>утицаја</w:t>
      </w:r>
      <w:r w:rsidR="00D81A36" w:rsidRPr="002E7853">
        <w:rPr>
          <w:rFonts w:cs="Times New Roman"/>
          <w:sz w:val="24"/>
          <w:szCs w:val="24"/>
        </w:rPr>
        <w:t>,</w:t>
      </w:r>
      <w:r w:rsidR="00780B3A" w:rsidRPr="002E7853">
        <w:rPr>
          <w:rFonts w:cs="Times New Roman"/>
          <w:sz w:val="24"/>
          <w:szCs w:val="24"/>
        </w:rPr>
        <w:t xml:space="preserve"> </w:t>
      </w:r>
      <w:r w:rsidRPr="002E7853">
        <w:rPr>
          <w:rFonts w:cs="Times New Roman"/>
          <w:sz w:val="24"/>
          <w:szCs w:val="24"/>
        </w:rPr>
        <w:t>односно</w:t>
      </w:r>
      <w:r w:rsidR="00780B3A" w:rsidRPr="002E7853">
        <w:rPr>
          <w:rFonts w:cs="Times New Roman"/>
          <w:sz w:val="24"/>
          <w:szCs w:val="24"/>
        </w:rPr>
        <w:t xml:space="preserve"> </w:t>
      </w:r>
      <w:r w:rsidRPr="002E7853">
        <w:rPr>
          <w:rFonts w:cs="Times New Roman"/>
          <w:sz w:val="24"/>
          <w:szCs w:val="24"/>
        </w:rPr>
        <w:t>ризика</w:t>
      </w:r>
      <w:r w:rsidR="00780B3A" w:rsidRPr="002E7853">
        <w:rPr>
          <w:rFonts w:cs="Times New Roman"/>
          <w:sz w:val="24"/>
          <w:szCs w:val="24"/>
        </w:rPr>
        <w:t xml:space="preserve"> </w:t>
      </w:r>
      <w:r w:rsidRPr="002E7853">
        <w:rPr>
          <w:rFonts w:cs="Times New Roman"/>
          <w:sz w:val="24"/>
          <w:szCs w:val="24"/>
        </w:rPr>
        <w:t>укључују</w:t>
      </w:r>
      <w:r w:rsidR="00D81A36" w:rsidRPr="002E7853">
        <w:rPr>
          <w:rFonts w:cs="Times New Roman"/>
          <w:sz w:val="24"/>
          <w:szCs w:val="24"/>
        </w:rPr>
        <w:t>:</w:t>
      </w:r>
      <w:r w:rsidR="00780B3A" w:rsidRPr="002E7853">
        <w:rPr>
          <w:rFonts w:cs="Times New Roman"/>
          <w:sz w:val="24"/>
          <w:szCs w:val="24"/>
        </w:rPr>
        <w:t xml:space="preserve"> </w:t>
      </w:r>
      <w:r w:rsidRPr="002E7853">
        <w:rPr>
          <w:rFonts w:cs="Times New Roman"/>
          <w:sz w:val="24"/>
          <w:szCs w:val="24"/>
        </w:rPr>
        <w:t>утицај</w:t>
      </w:r>
      <w:r w:rsidR="00780B3A" w:rsidRPr="002E7853">
        <w:rPr>
          <w:rFonts w:cs="Times New Roman"/>
          <w:sz w:val="24"/>
          <w:szCs w:val="24"/>
        </w:rPr>
        <w:t xml:space="preserve"> </w:t>
      </w:r>
      <w:r w:rsidRPr="002E7853">
        <w:rPr>
          <w:rFonts w:cs="Times New Roman"/>
          <w:sz w:val="24"/>
          <w:szCs w:val="24"/>
        </w:rPr>
        <w:t>на</w:t>
      </w:r>
      <w:r w:rsidR="00D81A36" w:rsidRPr="002E7853">
        <w:rPr>
          <w:rFonts w:cs="Times New Roman"/>
          <w:sz w:val="24"/>
          <w:szCs w:val="24"/>
        </w:rPr>
        <w:t xml:space="preserve"> </w:t>
      </w:r>
      <w:r w:rsidRPr="002E7853">
        <w:rPr>
          <w:rFonts w:cs="Times New Roman"/>
          <w:sz w:val="24"/>
          <w:szCs w:val="24"/>
        </w:rPr>
        <w:t>ризик</w:t>
      </w:r>
      <w:r w:rsidR="00780B3A" w:rsidRPr="002E7853">
        <w:rPr>
          <w:rFonts w:cs="Times New Roman"/>
          <w:sz w:val="24"/>
          <w:szCs w:val="24"/>
        </w:rPr>
        <w:t xml:space="preserve"> </w:t>
      </w:r>
      <w:r w:rsidRPr="002E7853">
        <w:rPr>
          <w:rFonts w:cs="Times New Roman"/>
          <w:sz w:val="24"/>
          <w:szCs w:val="24"/>
        </w:rPr>
        <w:t>за</w:t>
      </w:r>
      <w:r w:rsidR="00780B3A" w:rsidRPr="002E7853">
        <w:rPr>
          <w:rFonts w:cs="Times New Roman"/>
          <w:sz w:val="24"/>
          <w:szCs w:val="24"/>
        </w:rPr>
        <w:t xml:space="preserve"> </w:t>
      </w:r>
      <w:r w:rsidRPr="002E7853">
        <w:rPr>
          <w:rFonts w:cs="Times New Roman"/>
          <w:sz w:val="24"/>
          <w:szCs w:val="24"/>
        </w:rPr>
        <w:t>остварење</w:t>
      </w:r>
      <w:r w:rsidR="0081530E" w:rsidRPr="002E7853">
        <w:rPr>
          <w:rFonts w:cs="Times New Roman"/>
          <w:sz w:val="24"/>
          <w:szCs w:val="24"/>
        </w:rPr>
        <w:t xml:space="preserve"> </w:t>
      </w:r>
      <w:r w:rsidRPr="002E7853">
        <w:rPr>
          <w:rFonts w:cs="Times New Roman"/>
          <w:sz w:val="24"/>
          <w:szCs w:val="24"/>
        </w:rPr>
        <w:t>националних</w:t>
      </w:r>
      <w:r w:rsidR="0081530E" w:rsidRPr="002E7853">
        <w:rPr>
          <w:rFonts w:cs="Times New Roman"/>
          <w:sz w:val="24"/>
          <w:szCs w:val="24"/>
        </w:rPr>
        <w:t xml:space="preserve"> </w:t>
      </w:r>
      <w:r w:rsidRPr="002E7853">
        <w:rPr>
          <w:rFonts w:cs="Times New Roman"/>
          <w:sz w:val="24"/>
          <w:szCs w:val="24"/>
        </w:rPr>
        <w:t>и</w:t>
      </w:r>
      <w:r w:rsidR="0081530E" w:rsidRPr="002E7853">
        <w:rPr>
          <w:rFonts w:cs="Times New Roman"/>
          <w:sz w:val="24"/>
          <w:szCs w:val="24"/>
        </w:rPr>
        <w:t xml:space="preserve"> </w:t>
      </w:r>
      <w:r w:rsidRPr="002E7853">
        <w:rPr>
          <w:rFonts w:cs="Times New Roman"/>
          <w:sz w:val="24"/>
          <w:szCs w:val="24"/>
        </w:rPr>
        <w:t>стратешких</w:t>
      </w:r>
      <w:r w:rsidR="0081530E" w:rsidRPr="002E7853">
        <w:rPr>
          <w:rFonts w:cs="Times New Roman"/>
          <w:sz w:val="24"/>
          <w:szCs w:val="24"/>
        </w:rPr>
        <w:t xml:space="preserve"> </w:t>
      </w:r>
      <w:r w:rsidR="009F6978" w:rsidRPr="002E7853">
        <w:rPr>
          <w:rFonts w:cs="Times New Roman"/>
          <w:sz w:val="24"/>
          <w:szCs w:val="24"/>
        </w:rPr>
        <w:t>интереса</w:t>
      </w:r>
      <w:r w:rsidR="0081530E" w:rsidRPr="002E7853">
        <w:rPr>
          <w:rFonts w:cs="Times New Roman"/>
          <w:sz w:val="24"/>
          <w:szCs w:val="24"/>
        </w:rPr>
        <w:t xml:space="preserve">, </w:t>
      </w:r>
      <w:r w:rsidRPr="002E7853">
        <w:rPr>
          <w:rFonts w:cs="Times New Roman"/>
          <w:sz w:val="24"/>
          <w:szCs w:val="24"/>
        </w:rPr>
        <w:t>усклађеност</w:t>
      </w:r>
      <w:r w:rsidR="0081530E" w:rsidRPr="002E7853">
        <w:rPr>
          <w:rFonts w:cs="Times New Roman"/>
          <w:sz w:val="24"/>
          <w:szCs w:val="24"/>
        </w:rPr>
        <w:t xml:space="preserve"> </w:t>
      </w:r>
      <w:r w:rsidRPr="002E7853">
        <w:rPr>
          <w:rFonts w:cs="Times New Roman"/>
          <w:sz w:val="24"/>
          <w:szCs w:val="24"/>
        </w:rPr>
        <w:t>пословања</w:t>
      </w:r>
      <w:r w:rsidR="0081530E" w:rsidRPr="002E7853">
        <w:rPr>
          <w:rFonts w:cs="Times New Roman"/>
          <w:sz w:val="24"/>
          <w:szCs w:val="24"/>
        </w:rPr>
        <w:t xml:space="preserve"> </w:t>
      </w:r>
      <w:r w:rsidRPr="002E7853">
        <w:rPr>
          <w:rFonts w:cs="Times New Roman"/>
          <w:sz w:val="24"/>
          <w:szCs w:val="24"/>
        </w:rPr>
        <w:t>са</w:t>
      </w:r>
      <w:r w:rsidR="0081530E" w:rsidRPr="002E7853">
        <w:rPr>
          <w:rFonts w:cs="Times New Roman"/>
          <w:sz w:val="24"/>
          <w:szCs w:val="24"/>
        </w:rPr>
        <w:t xml:space="preserve"> </w:t>
      </w:r>
      <w:r w:rsidRPr="002E7853">
        <w:rPr>
          <w:rFonts w:cs="Times New Roman"/>
          <w:sz w:val="24"/>
          <w:szCs w:val="24"/>
        </w:rPr>
        <w:t>законом</w:t>
      </w:r>
      <w:r w:rsidR="00780B3A" w:rsidRPr="002E7853">
        <w:rPr>
          <w:rFonts w:cs="Times New Roman"/>
          <w:sz w:val="24"/>
          <w:szCs w:val="24"/>
        </w:rPr>
        <w:t xml:space="preserve"> </w:t>
      </w:r>
      <w:r w:rsidRPr="002E7853">
        <w:rPr>
          <w:rFonts w:cs="Times New Roman"/>
          <w:sz w:val="24"/>
          <w:szCs w:val="24"/>
        </w:rPr>
        <w:t>и</w:t>
      </w:r>
      <w:r w:rsidR="00780B3A" w:rsidRPr="002E7853">
        <w:rPr>
          <w:rFonts w:cs="Times New Roman"/>
          <w:sz w:val="24"/>
          <w:szCs w:val="24"/>
        </w:rPr>
        <w:t xml:space="preserve"> </w:t>
      </w:r>
      <w:r w:rsidRPr="002E7853">
        <w:rPr>
          <w:rFonts w:cs="Times New Roman"/>
          <w:sz w:val="24"/>
          <w:szCs w:val="24"/>
        </w:rPr>
        <w:t>прописима</w:t>
      </w:r>
      <w:r w:rsidR="0081530E" w:rsidRPr="002E7853">
        <w:rPr>
          <w:rFonts w:cs="Times New Roman"/>
          <w:sz w:val="24"/>
          <w:szCs w:val="24"/>
        </w:rPr>
        <w:t xml:space="preserve">, </w:t>
      </w:r>
      <w:r w:rsidRPr="002E7853">
        <w:rPr>
          <w:rFonts w:cs="Times New Roman"/>
          <w:sz w:val="24"/>
          <w:szCs w:val="24"/>
        </w:rPr>
        <w:t>финансијски</w:t>
      </w:r>
      <w:r w:rsidR="0081530E" w:rsidRPr="002E7853">
        <w:rPr>
          <w:rFonts w:cs="Times New Roman"/>
          <w:sz w:val="24"/>
          <w:szCs w:val="24"/>
        </w:rPr>
        <w:t xml:space="preserve"> </w:t>
      </w:r>
      <w:r w:rsidRPr="002E7853">
        <w:rPr>
          <w:rFonts w:cs="Times New Roman"/>
          <w:sz w:val="24"/>
          <w:szCs w:val="24"/>
        </w:rPr>
        <w:t>положај</w:t>
      </w:r>
      <w:r w:rsidR="0081530E" w:rsidRPr="002E7853">
        <w:rPr>
          <w:rFonts w:cs="Times New Roman"/>
          <w:sz w:val="24"/>
          <w:szCs w:val="24"/>
        </w:rPr>
        <w:t xml:space="preserve"> </w:t>
      </w:r>
      <w:r w:rsidRPr="002E7853">
        <w:rPr>
          <w:rFonts w:cs="Times New Roman"/>
          <w:sz w:val="24"/>
          <w:szCs w:val="24"/>
        </w:rPr>
        <w:t>и</w:t>
      </w:r>
      <w:r w:rsidR="0081530E" w:rsidRPr="002E7853">
        <w:rPr>
          <w:rFonts w:cs="Times New Roman"/>
          <w:sz w:val="24"/>
          <w:szCs w:val="24"/>
        </w:rPr>
        <w:t xml:space="preserve"> </w:t>
      </w:r>
      <w:r w:rsidRPr="002E7853">
        <w:rPr>
          <w:rFonts w:cs="Times New Roman"/>
          <w:sz w:val="24"/>
          <w:szCs w:val="24"/>
        </w:rPr>
        <w:t>стабилност</w:t>
      </w:r>
      <w:r w:rsidR="0081530E" w:rsidRPr="002E7853">
        <w:rPr>
          <w:rFonts w:cs="Times New Roman"/>
          <w:sz w:val="24"/>
          <w:szCs w:val="24"/>
        </w:rPr>
        <w:t xml:space="preserve">, </w:t>
      </w:r>
      <w:r w:rsidRPr="002E7853">
        <w:rPr>
          <w:rFonts w:cs="Times New Roman"/>
          <w:sz w:val="24"/>
          <w:szCs w:val="24"/>
        </w:rPr>
        <w:t>друштвене</w:t>
      </w:r>
      <w:r w:rsidR="0081530E" w:rsidRPr="002E7853">
        <w:rPr>
          <w:rFonts w:cs="Times New Roman"/>
          <w:sz w:val="24"/>
          <w:szCs w:val="24"/>
        </w:rPr>
        <w:t xml:space="preserve"> </w:t>
      </w:r>
      <w:r w:rsidRPr="002E7853">
        <w:rPr>
          <w:rFonts w:cs="Times New Roman"/>
          <w:sz w:val="24"/>
          <w:szCs w:val="24"/>
        </w:rPr>
        <w:t>односе</w:t>
      </w:r>
      <w:r w:rsidR="0081530E" w:rsidRPr="002E7853">
        <w:rPr>
          <w:rFonts w:cs="Times New Roman"/>
          <w:sz w:val="24"/>
          <w:szCs w:val="24"/>
        </w:rPr>
        <w:t xml:space="preserve"> (</w:t>
      </w:r>
      <w:r w:rsidRPr="002E7853">
        <w:rPr>
          <w:rFonts w:cs="Times New Roman"/>
          <w:sz w:val="24"/>
          <w:szCs w:val="24"/>
        </w:rPr>
        <w:t>нпр</w:t>
      </w:r>
      <w:r w:rsidR="0081530E" w:rsidRPr="002E7853">
        <w:rPr>
          <w:rFonts w:cs="Times New Roman"/>
          <w:sz w:val="24"/>
          <w:szCs w:val="24"/>
        </w:rPr>
        <w:t xml:space="preserve">. </w:t>
      </w:r>
      <w:r w:rsidRPr="002E7853">
        <w:rPr>
          <w:rFonts w:cs="Times New Roman"/>
          <w:sz w:val="24"/>
          <w:szCs w:val="24"/>
        </w:rPr>
        <w:t>задовољство</w:t>
      </w:r>
      <w:r w:rsidR="0081530E" w:rsidRPr="002E7853">
        <w:rPr>
          <w:rFonts w:cs="Times New Roman"/>
          <w:sz w:val="24"/>
          <w:szCs w:val="24"/>
        </w:rPr>
        <w:t xml:space="preserve"> </w:t>
      </w:r>
      <w:r w:rsidRPr="002E7853">
        <w:rPr>
          <w:rFonts w:cs="Times New Roman"/>
          <w:sz w:val="24"/>
          <w:szCs w:val="24"/>
        </w:rPr>
        <w:t>корисника</w:t>
      </w:r>
      <w:r w:rsidR="0081530E" w:rsidRPr="002E7853">
        <w:rPr>
          <w:rFonts w:cs="Times New Roman"/>
          <w:sz w:val="24"/>
          <w:szCs w:val="24"/>
        </w:rPr>
        <w:t xml:space="preserve"> </w:t>
      </w:r>
      <w:r w:rsidRPr="002E7853">
        <w:rPr>
          <w:rFonts w:cs="Times New Roman"/>
          <w:sz w:val="24"/>
          <w:szCs w:val="24"/>
        </w:rPr>
        <w:t>добара</w:t>
      </w:r>
      <w:r w:rsidR="003177A6" w:rsidRPr="002E7853">
        <w:rPr>
          <w:rFonts w:cs="Times New Roman"/>
          <w:sz w:val="24"/>
          <w:szCs w:val="24"/>
        </w:rPr>
        <w:t xml:space="preserve"> </w:t>
      </w:r>
      <w:r w:rsidRPr="002E7853">
        <w:rPr>
          <w:rFonts w:cs="Times New Roman"/>
          <w:sz w:val="24"/>
          <w:szCs w:val="24"/>
        </w:rPr>
        <w:t>или</w:t>
      </w:r>
      <w:r w:rsidR="003177A6" w:rsidRPr="002E7853">
        <w:rPr>
          <w:rFonts w:cs="Times New Roman"/>
          <w:sz w:val="24"/>
          <w:szCs w:val="24"/>
        </w:rPr>
        <w:t xml:space="preserve"> </w:t>
      </w:r>
      <w:r w:rsidRPr="002E7853">
        <w:rPr>
          <w:rFonts w:cs="Times New Roman"/>
          <w:sz w:val="24"/>
          <w:szCs w:val="24"/>
        </w:rPr>
        <w:t>услуга</w:t>
      </w:r>
      <w:r w:rsidR="00494329" w:rsidRPr="002E7853">
        <w:rPr>
          <w:rFonts w:cs="Times New Roman"/>
          <w:sz w:val="24"/>
          <w:szCs w:val="24"/>
        </w:rPr>
        <w:t xml:space="preserve">), </w:t>
      </w:r>
      <w:r w:rsidRPr="002E7853">
        <w:rPr>
          <w:rFonts w:cs="Times New Roman"/>
          <w:sz w:val="24"/>
          <w:szCs w:val="24"/>
        </w:rPr>
        <w:t>заштиту</w:t>
      </w:r>
      <w:r w:rsidR="00494329" w:rsidRPr="002E7853">
        <w:rPr>
          <w:rFonts w:cs="Times New Roman"/>
          <w:sz w:val="24"/>
          <w:szCs w:val="24"/>
        </w:rPr>
        <w:t xml:space="preserve"> </w:t>
      </w:r>
      <w:r w:rsidRPr="002E7853">
        <w:rPr>
          <w:rFonts w:cs="Times New Roman"/>
          <w:sz w:val="24"/>
          <w:szCs w:val="24"/>
        </w:rPr>
        <w:t>животне</w:t>
      </w:r>
      <w:r w:rsidR="00494329" w:rsidRPr="002E7853">
        <w:rPr>
          <w:rFonts w:cs="Times New Roman"/>
          <w:sz w:val="24"/>
          <w:szCs w:val="24"/>
        </w:rPr>
        <w:t xml:space="preserve"> </w:t>
      </w:r>
      <w:r w:rsidRPr="002E7853">
        <w:rPr>
          <w:rFonts w:cs="Times New Roman"/>
          <w:sz w:val="24"/>
          <w:szCs w:val="24"/>
        </w:rPr>
        <w:t>средине</w:t>
      </w:r>
      <w:r w:rsidR="00DD6E6A" w:rsidRPr="002E7853">
        <w:rPr>
          <w:rFonts w:cs="Times New Roman"/>
          <w:sz w:val="24"/>
          <w:szCs w:val="24"/>
        </w:rPr>
        <w:t xml:space="preserve">, </w:t>
      </w:r>
      <w:r w:rsidRPr="002E7853">
        <w:rPr>
          <w:rFonts w:cs="Times New Roman"/>
          <w:sz w:val="24"/>
          <w:szCs w:val="24"/>
        </w:rPr>
        <w:t>оперативну</w:t>
      </w:r>
      <w:r w:rsidR="00001015" w:rsidRPr="002E7853">
        <w:rPr>
          <w:rFonts w:cs="Times New Roman"/>
          <w:sz w:val="24"/>
          <w:szCs w:val="24"/>
        </w:rPr>
        <w:t xml:space="preserve"> </w:t>
      </w:r>
      <w:r w:rsidRPr="002E7853">
        <w:rPr>
          <w:rFonts w:cs="Times New Roman"/>
          <w:sz w:val="24"/>
          <w:szCs w:val="24"/>
        </w:rPr>
        <w:t>ефикасност</w:t>
      </w:r>
      <w:r w:rsidR="00001015" w:rsidRPr="002E7853">
        <w:rPr>
          <w:rFonts w:cs="Times New Roman"/>
          <w:sz w:val="24"/>
          <w:szCs w:val="24"/>
        </w:rPr>
        <w:t xml:space="preserve">, </w:t>
      </w:r>
      <w:r w:rsidRPr="002E7853">
        <w:rPr>
          <w:rFonts w:cs="Times New Roman"/>
          <w:sz w:val="24"/>
          <w:szCs w:val="24"/>
        </w:rPr>
        <w:t>права</w:t>
      </w:r>
      <w:r w:rsidR="00001015" w:rsidRPr="002E7853">
        <w:rPr>
          <w:rFonts w:cs="Times New Roman"/>
          <w:sz w:val="24"/>
          <w:szCs w:val="24"/>
        </w:rPr>
        <w:t xml:space="preserve"> </w:t>
      </w:r>
      <w:r w:rsidRPr="002E7853">
        <w:rPr>
          <w:rFonts w:cs="Times New Roman"/>
          <w:sz w:val="24"/>
          <w:szCs w:val="24"/>
        </w:rPr>
        <w:t>запослених</w:t>
      </w:r>
      <w:r w:rsidR="00001015" w:rsidRPr="002E7853">
        <w:rPr>
          <w:rFonts w:cs="Times New Roman"/>
          <w:sz w:val="24"/>
          <w:szCs w:val="24"/>
        </w:rPr>
        <w:t xml:space="preserve"> </w:t>
      </w:r>
      <w:r w:rsidRPr="002E7853">
        <w:rPr>
          <w:rFonts w:cs="Times New Roman"/>
          <w:sz w:val="24"/>
          <w:szCs w:val="24"/>
        </w:rPr>
        <w:t>и</w:t>
      </w:r>
      <w:r w:rsidR="00001015" w:rsidRPr="002E7853">
        <w:rPr>
          <w:rFonts w:cs="Times New Roman"/>
          <w:sz w:val="24"/>
          <w:szCs w:val="24"/>
        </w:rPr>
        <w:t xml:space="preserve"> </w:t>
      </w:r>
      <w:r w:rsidRPr="002E7853">
        <w:rPr>
          <w:rFonts w:cs="Times New Roman"/>
          <w:sz w:val="24"/>
          <w:szCs w:val="24"/>
        </w:rPr>
        <w:t>др</w:t>
      </w:r>
      <w:r w:rsidR="00001015" w:rsidRPr="002E7853">
        <w:rPr>
          <w:rFonts w:cs="Times New Roman"/>
          <w:sz w:val="24"/>
          <w:szCs w:val="24"/>
        </w:rPr>
        <w:t>.</w:t>
      </w:r>
      <w:r w:rsidR="00AC6ABC" w:rsidRPr="002E7853">
        <w:rPr>
          <w:rFonts w:cs="Times New Roman"/>
          <w:sz w:val="24"/>
          <w:szCs w:val="24"/>
        </w:rPr>
        <w:t xml:space="preserve"> </w:t>
      </w:r>
    </w:p>
    <w:p w14:paraId="7CD95137" w14:textId="7153BB1F" w:rsidR="00D81A36" w:rsidRPr="002E7853" w:rsidRDefault="00B63F9A" w:rsidP="00B63F9A">
      <w:pPr>
        <w:ind w:firstLine="720"/>
        <w:rPr>
          <w:rFonts w:cs="Times New Roman"/>
          <w:sz w:val="24"/>
          <w:szCs w:val="24"/>
        </w:rPr>
      </w:pPr>
      <w:r w:rsidRPr="002E7853">
        <w:rPr>
          <w:rFonts w:cs="Times New Roman"/>
          <w:sz w:val="24"/>
          <w:szCs w:val="24"/>
        </w:rPr>
        <w:lastRenderedPageBreak/>
        <w:t>За</w:t>
      </w:r>
      <w:r w:rsidR="00DD6E6A" w:rsidRPr="002E7853">
        <w:rPr>
          <w:rFonts w:cs="Times New Roman"/>
          <w:sz w:val="24"/>
          <w:szCs w:val="24"/>
        </w:rPr>
        <w:t xml:space="preserve"> </w:t>
      </w:r>
      <w:r w:rsidR="00D81A36" w:rsidRPr="002E7853">
        <w:rPr>
          <w:rFonts w:cs="Times New Roman"/>
          <w:sz w:val="24"/>
          <w:szCs w:val="24"/>
        </w:rPr>
        <w:t xml:space="preserve">сваки од </w:t>
      </w:r>
      <w:r w:rsidRPr="002E7853">
        <w:rPr>
          <w:rFonts w:cs="Times New Roman"/>
          <w:sz w:val="24"/>
          <w:szCs w:val="24"/>
        </w:rPr>
        <w:t>утицаја</w:t>
      </w:r>
      <w:r w:rsidR="00D81A36" w:rsidRPr="002E7853">
        <w:rPr>
          <w:rFonts w:cs="Times New Roman"/>
          <w:sz w:val="24"/>
          <w:szCs w:val="24"/>
        </w:rPr>
        <w:t>,</w:t>
      </w:r>
      <w:r w:rsidR="00AC6ABC" w:rsidRPr="002E7853">
        <w:rPr>
          <w:rFonts w:cs="Times New Roman"/>
          <w:sz w:val="24"/>
          <w:szCs w:val="24"/>
        </w:rPr>
        <w:t xml:space="preserve"> </w:t>
      </w:r>
      <w:r w:rsidRPr="002E7853">
        <w:rPr>
          <w:rFonts w:cs="Times New Roman"/>
          <w:sz w:val="24"/>
          <w:szCs w:val="24"/>
        </w:rPr>
        <w:t>односно</w:t>
      </w:r>
      <w:r w:rsidR="00AC6ABC" w:rsidRPr="002E7853">
        <w:rPr>
          <w:rFonts w:cs="Times New Roman"/>
          <w:sz w:val="24"/>
          <w:szCs w:val="24"/>
        </w:rPr>
        <w:t xml:space="preserve"> </w:t>
      </w:r>
      <w:r w:rsidRPr="002E7853">
        <w:rPr>
          <w:rFonts w:cs="Times New Roman"/>
          <w:sz w:val="24"/>
          <w:szCs w:val="24"/>
        </w:rPr>
        <w:t>ризика</w:t>
      </w:r>
      <w:r w:rsidR="001069A0" w:rsidRPr="002E7853">
        <w:rPr>
          <w:rFonts w:cs="Times New Roman"/>
          <w:sz w:val="24"/>
          <w:szCs w:val="24"/>
        </w:rPr>
        <w:t>,</w:t>
      </w:r>
      <w:r w:rsidR="00AC6ABC" w:rsidRPr="002E7853">
        <w:rPr>
          <w:rFonts w:cs="Times New Roman"/>
          <w:sz w:val="24"/>
          <w:szCs w:val="24"/>
        </w:rPr>
        <w:t xml:space="preserve"> </w:t>
      </w:r>
      <w:r w:rsidRPr="002E7853">
        <w:rPr>
          <w:rFonts w:cs="Times New Roman"/>
          <w:sz w:val="24"/>
          <w:szCs w:val="24"/>
        </w:rPr>
        <w:t>Комисија</w:t>
      </w:r>
      <w:r w:rsidR="00AC6ABC" w:rsidRPr="002E7853">
        <w:rPr>
          <w:rFonts w:cs="Times New Roman"/>
          <w:sz w:val="24"/>
          <w:szCs w:val="24"/>
        </w:rPr>
        <w:t xml:space="preserve"> </w:t>
      </w:r>
      <w:r w:rsidRPr="002E7853">
        <w:rPr>
          <w:rFonts w:cs="Times New Roman"/>
          <w:sz w:val="24"/>
          <w:szCs w:val="24"/>
        </w:rPr>
        <w:t>утврђује</w:t>
      </w:r>
      <w:r w:rsidR="00AC6ABC" w:rsidRPr="002E7853">
        <w:rPr>
          <w:rFonts w:cs="Times New Roman"/>
          <w:sz w:val="24"/>
          <w:szCs w:val="24"/>
        </w:rPr>
        <w:t xml:space="preserve"> </w:t>
      </w:r>
      <w:r w:rsidRPr="002E7853">
        <w:rPr>
          <w:rFonts w:cs="Times New Roman"/>
          <w:sz w:val="24"/>
          <w:szCs w:val="24"/>
        </w:rPr>
        <w:t>да</w:t>
      </w:r>
      <w:r w:rsidR="00DD6E6A" w:rsidRPr="002E7853">
        <w:rPr>
          <w:rFonts w:cs="Times New Roman"/>
          <w:sz w:val="24"/>
          <w:szCs w:val="24"/>
        </w:rPr>
        <w:t xml:space="preserve"> </w:t>
      </w:r>
      <w:r w:rsidRPr="002E7853">
        <w:rPr>
          <w:rFonts w:cs="Times New Roman"/>
          <w:sz w:val="24"/>
          <w:szCs w:val="24"/>
        </w:rPr>
        <w:t>ли</w:t>
      </w:r>
      <w:r w:rsidR="00DD6E6A" w:rsidRPr="002E7853">
        <w:rPr>
          <w:rFonts w:cs="Times New Roman"/>
          <w:sz w:val="24"/>
          <w:szCs w:val="24"/>
        </w:rPr>
        <w:t xml:space="preserve"> </w:t>
      </w:r>
      <w:r w:rsidRPr="002E7853">
        <w:rPr>
          <w:rFonts w:cs="Times New Roman"/>
          <w:sz w:val="24"/>
          <w:szCs w:val="24"/>
        </w:rPr>
        <w:t>се</w:t>
      </w:r>
      <w:r w:rsidR="00DD6E6A" w:rsidRPr="002E7853">
        <w:rPr>
          <w:rFonts w:cs="Times New Roman"/>
          <w:sz w:val="24"/>
          <w:szCs w:val="24"/>
        </w:rPr>
        <w:t xml:space="preserve"> </w:t>
      </w:r>
      <w:r w:rsidRPr="002E7853">
        <w:rPr>
          <w:rFonts w:cs="Times New Roman"/>
          <w:sz w:val="24"/>
          <w:szCs w:val="24"/>
        </w:rPr>
        <w:t>ради</w:t>
      </w:r>
      <w:r w:rsidR="00DD6E6A" w:rsidRPr="002E7853">
        <w:rPr>
          <w:rFonts w:cs="Times New Roman"/>
          <w:sz w:val="24"/>
          <w:szCs w:val="24"/>
        </w:rPr>
        <w:t xml:space="preserve"> </w:t>
      </w:r>
      <w:r w:rsidRPr="002E7853">
        <w:rPr>
          <w:rFonts w:cs="Times New Roman"/>
          <w:sz w:val="24"/>
          <w:szCs w:val="24"/>
        </w:rPr>
        <w:t>о</w:t>
      </w:r>
      <w:r w:rsidR="001069A0" w:rsidRPr="002E7853">
        <w:rPr>
          <w:rFonts w:cs="Times New Roman"/>
          <w:sz w:val="24"/>
          <w:szCs w:val="24"/>
        </w:rPr>
        <w:t>:</w:t>
      </w:r>
      <w:r w:rsidR="00DD6E6A" w:rsidRPr="002E7853">
        <w:rPr>
          <w:rFonts w:cs="Times New Roman"/>
          <w:sz w:val="24"/>
          <w:szCs w:val="24"/>
        </w:rPr>
        <w:t xml:space="preserve"> </w:t>
      </w:r>
      <w:r w:rsidR="006B588E" w:rsidRPr="009504E1">
        <w:rPr>
          <w:rFonts w:cs="Times New Roman"/>
          <w:sz w:val="24"/>
          <w:szCs w:val="24"/>
        </w:rPr>
        <w:t>1</w:t>
      </w:r>
      <w:r w:rsidR="00D81A36" w:rsidRPr="009504E1">
        <w:rPr>
          <w:rFonts w:cs="Times New Roman"/>
          <w:sz w:val="24"/>
          <w:szCs w:val="24"/>
        </w:rPr>
        <w:t xml:space="preserve">) </w:t>
      </w:r>
      <w:r w:rsidR="009504E1" w:rsidRPr="009504E1">
        <w:rPr>
          <w:rFonts w:cs="Times New Roman"/>
          <w:sz w:val="24"/>
          <w:szCs w:val="24"/>
        </w:rPr>
        <w:t>значајном</w:t>
      </w:r>
      <w:r w:rsidR="00DD6E6A" w:rsidRPr="009504E1">
        <w:rPr>
          <w:rFonts w:cs="Times New Roman"/>
          <w:sz w:val="24"/>
          <w:szCs w:val="24"/>
        </w:rPr>
        <w:t xml:space="preserve">, </w:t>
      </w:r>
      <w:r w:rsidR="006B588E" w:rsidRPr="009504E1">
        <w:rPr>
          <w:rFonts w:cs="Times New Roman"/>
          <w:sz w:val="24"/>
          <w:szCs w:val="24"/>
        </w:rPr>
        <w:t>2</w:t>
      </w:r>
      <w:r w:rsidR="00D81A36" w:rsidRPr="009504E1">
        <w:rPr>
          <w:rFonts w:cs="Times New Roman"/>
          <w:sz w:val="24"/>
          <w:szCs w:val="24"/>
        </w:rPr>
        <w:t xml:space="preserve">) </w:t>
      </w:r>
      <w:r w:rsidRPr="009504E1">
        <w:rPr>
          <w:rFonts w:cs="Times New Roman"/>
          <w:sz w:val="24"/>
          <w:szCs w:val="24"/>
        </w:rPr>
        <w:t>средњем</w:t>
      </w:r>
      <w:r w:rsidR="00DD6E6A" w:rsidRPr="009504E1">
        <w:rPr>
          <w:rFonts w:cs="Times New Roman"/>
          <w:sz w:val="24"/>
          <w:szCs w:val="24"/>
        </w:rPr>
        <w:t xml:space="preserve"> </w:t>
      </w:r>
      <w:r w:rsidRPr="009504E1">
        <w:rPr>
          <w:rFonts w:cs="Times New Roman"/>
          <w:sz w:val="24"/>
          <w:szCs w:val="24"/>
        </w:rPr>
        <w:t>или</w:t>
      </w:r>
      <w:r w:rsidR="00DD6E6A" w:rsidRPr="009504E1">
        <w:rPr>
          <w:rFonts w:cs="Times New Roman"/>
          <w:sz w:val="24"/>
          <w:szCs w:val="24"/>
        </w:rPr>
        <w:t xml:space="preserve"> </w:t>
      </w:r>
      <w:r w:rsidR="006B588E" w:rsidRPr="009504E1">
        <w:rPr>
          <w:rFonts w:cs="Times New Roman"/>
          <w:sz w:val="24"/>
          <w:szCs w:val="24"/>
        </w:rPr>
        <w:t>3</w:t>
      </w:r>
      <w:r w:rsidR="00D81A36" w:rsidRPr="009504E1">
        <w:rPr>
          <w:rFonts w:cs="Times New Roman"/>
          <w:sz w:val="24"/>
          <w:szCs w:val="24"/>
        </w:rPr>
        <w:t xml:space="preserve">) </w:t>
      </w:r>
      <w:r w:rsidR="009504E1" w:rsidRPr="009504E1">
        <w:rPr>
          <w:rFonts w:cs="Times New Roman"/>
          <w:sz w:val="24"/>
          <w:szCs w:val="24"/>
        </w:rPr>
        <w:t>ниском</w:t>
      </w:r>
      <w:r w:rsidR="009504E1" w:rsidRPr="002E7853">
        <w:rPr>
          <w:rFonts w:cs="Times New Roman"/>
          <w:sz w:val="24"/>
          <w:szCs w:val="24"/>
        </w:rPr>
        <w:t xml:space="preserve"> </w:t>
      </w:r>
      <w:r w:rsidRPr="002E7853">
        <w:rPr>
          <w:rFonts w:cs="Times New Roman"/>
          <w:sz w:val="24"/>
          <w:szCs w:val="24"/>
        </w:rPr>
        <w:t>утицају</w:t>
      </w:r>
      <w:r w:rsidR="00AC6ABC" w:rsidRPr="002E7853">
        <w:rPr>
          <w:rFonts w:cs="Times New Roman"/>
          <w:sz w:val="24"/>
          <w:szCs w:val="24"/>
        </w:rPr>
        <w:t>/</w:t>
      </w:r>
      <w:r w:rsidRPr="002E7853">
        <w:rPr>
          <w:rFonts w:cs="Times New Roman"/>
          <w:sz w:val="24"/>
          <w:szCs w:val="24"/>
        </w:rPr>
        <w:t>ризику</w:t>
      </w:r>
      <w:r w:rsidR="00DD6E6A" w:rsidRPr="002E7853">
        <w:rPr>
          <w:rFonts w:cs="Times New Roman"/>
          <w:sz w:val="24"/>
          <w:szCs w:val="24"/>
        </w:rPr>
        <w:t xml:space="preserve">. </w:t>
      </w:r>
    </w:p>
    <w:p w14:paraId="7601B642" w14:textId="1C643AEE" w:rsidR="00D81A36" w:rsidRPr="002E7853" w:rsidRDefault="00B63F9A" w:rsidP="00B63F9A">
      <w:pPr>
        <w:ind w:firstLine="720"/>
        <w:rPr>
          <w:rFonts w:cs="Times New Roman"/>
          <w:sz w:val="24"/>
          <w:szCs w:val="24"/>
        </w:rPr>
      </w:pPr>
      <w:r w:rsidRPr="002E7853">
        <w:rPr>
          <w:rFonts w:cs="Times New Roman"/>
          <w:sz w:val="24"/>
          <w:szCs w:val="24"/>
        </w:rPr>
        <w:t>У</w:t>
      </w:r>
      <w:r w:rsidR="00DD6E6A" w:rsidRPr="002E7853">
        <w:rPr>
          <w:rFonts w:cs="Times New Roman"/>
          <w:sz w:val="24"/>
          <w:szCs w:val="24"/>
        </w:rPr>
        <w:t xml:space="preserve"> </w:t>
      </w:r>
      <w:r w:rsidRPr="002E7853">
        <w:rPr>
          <w:rFonts w:cs="Times New Roman"/>
          <w:sz w:val="24"/>
          <w:szCs w:val="24"/>
        </w:rPr>
        <w:t>случају</w:t>
      </w:r>
      <w:r w:rsidR="00DD6E6A" w:rsidRPr="002E7853">
        <w:rPr>
          <w:rFonts w:cs="Times New Roman"/>
          <w:sz w:val="24"/>
          <w:szCs w:val="24"/>
        </w:rPr>
        <w:t xml:space="preserve"> </w:t>
      </w:r>
      <w:r w:rsidRPr="002E7853">
        <w:rPr>
          <w:rFonts w:cs="Times New Roman"/>
          <w:sz w:val="24"/>
          <w:szCs w:val="24"/>
        </w:rPr>
        <w:t>да</w:t>
      </w:r>
      <w:r w:rsidR="00DD6E6A" w:rsidRPr="002E7853">
        <w:rPr>
          <w:rFonts w:cs="Times New Roman"/>
          <w:sz w:val="24"/>
          <w:szCs w:val="24"/>
        </w:rPr>
        <w:t xml:space="preserve"> </w:t>
      </w:r>
      <w:r w:rsidRPr="002E7853">
        <w:rPr>
          <w:rFonts w:cs="Times New Roman"/>
          <w:sz w:val="24"/>
          <w:szCs w:val="24"/>
        </w:rPr>
        <w:t>посматрано</w:t>
      </w:r>
      <w:r w:rsidR="00AC6ABC" w:rsidRPr="002E7853">
        <w:rPr>
          <w:rFonts w:cs="Times New Roman"/>
          <w:sz w:val="24"/>
          <w:szCs w:val="24"/>
        </w:rPr>
        <w:t xml:space="preserve"> </w:t>
      </w:r>
      <w:r w:rsidRPr="002E7853">
        <w:rPr>
          <w:rFonts w:cs="Times New Roman"/>
          <w:sz w:val="24"/>
          <w:szCs w:val="24"/>
        </w:rPr>
        <w:t>одступање</w:t>
      </w:r>
      <w:r w:rsidR="00DD6E6A" w:rsidRPr="002E7853">
        <w:rPr>
          <w:rFonts w:cs="Times New Roman"/>
          <w:sz w:val="24"/>
          <w:szCs w:val="24"/>
        </w:rPr>
        <w:t xml:space="preserve"> </w:t>
      </w:r>
      <w:r w:rsidRPr="002E7853">
        <w:rPr>
          <w:rFonts w:cs="Times New Roman"/>
          <w:sz w:val="24"/>
          <w:szCs w:val="24"/>
        </w:rPr>
        <w:t>може</w:t>
      </w:r>
      <w:r w:rsidR="00DD6E6A" w:rsidRPr="002E7853">
        <w:rPr>
          <w:rFonts w:cs="Times New Roman"/>
          <w:sz w:val="24"/>
          <w:szCs w:val="24"/>
        </w:rPr>
        <w:t xml:space="preserve"> </w:t>
      </w:r>
      <w:r w:rsidRPr="002E7853">
        <w:rPr>
          <w:rFonts w:cs="Times New Roman"/>
          <w:sz w:val="24"/>
          <w:szCs w:val="24"/>
        </w:rPr>
        <w:t>имати</w:t>
      </w:r>
      <w:r w:rsidR="001069A0" w:rsidRPr="002E7853">
        <w:rPr>
          <w:rFonts w:cs="Times New Roman"/>
          <w:sz w:val="24"/>
          <w:szCs w:val="24"/>
        </w:rPr>
        <w:t xml:space="preserve"> два или више утицаја</w:t>
      </w:r>
      <w:r w:rsidR="00D81A36" w:rsidRPr="002E7853">
        <w:rPr>
          <w:rFonts w:cs="Times New Roman"/>
          <w:sz w:val="24"/>
          <w:szCs w:val="24"/>
        </w:rPr>
        <w:t>,</w:t>
      </w:r>
      <w:r w:rsidR="003177A6" w:rsidRPr="002E7853">
        <w:rPr>
          <w:rFonts w:cs="Times New Roman"/>
          <w:sz w:val="24"/>
          <w:szCs w:val="24"/>
        </w:rPr>
        <w:t xml:space="preserve"> </w:t>
      </w:r>
      <w:r w:rsidR="001069A0" w:rsidRPr="002E7853">
        <w:rPr>
          <w:rFonts w:cs="Times New Roman"/>
          <w:sz w:val="24"/>
          <w:szCs w:val="24"/>
        </w:rPr>
        <w:t>одн</w:t>
      </w:r>
      <w:r w:rsidRPr="002E7853">
        <w:rPr>
          <w:rFonts w:cs="Times New Roman"/>
          <w:sz w:val="24"/>
          <w:szCs w:val="24"/>
        </w:rPr>
        <w:t>осно</w:t>
      </w:r>
      <w:r w:rsidR="003177A6" w:rsidRPr="002E7853">
        <w:rPr>
          <w:rFonts w:cs="Times New Roman"/>
          <w:sz w:val="24"/>
          <w:szCs w:val="24"/>
        </w:rPr>
        <w:t xml:space="preserve"> </w:t>
      </w:r>
      <w:r w:rsidRPr="002E7853">
        <w:rPr>
          <w:rFonts w:cs="Times New Roman"/>
          <w:sz w:val="24"/>
          <w:szCs w:val="24"/>
        </w:rPr>
        <w:t>изазвати</w:t>
      </w:r>
      <w:r w:rsidR="00DD6E6A" w:rsidRPr="002E7853">
        <w:rPr>
          <w:rFonts w:cs="Times New Roman"/>
          <w:sz w:val="24"/>
          <w:szCs w:val="24"/>
        </w:rPr>
        <w:t xml:space="preserve"> </w:t>
      </w:r>
      <w:r w:rsidRPr="002E7853">
        <w:rPr>
          <w:rFonts w:cs="Times New Roman"/>
          <w:sz w:val="24"/>
          <w:szCs w:val="24"/>
        </w:rPr>
        <w:t>два</w:t>
      </w:r>
      <w:r w:rsidR="00DD6E6A" w:rsidRPr="002E7853">
        <w:rPr>
          <w:rFonts w:cs="Times New Roman"/>
          <w:sz w:val="24"/>
          <w:szCs w:val="24"/>
        </w:rPr>
        <w:t xml:space="preserve"> </w:t>
      </w:r>
      <w:r w:rsidRPr="002E7853">
        <w:rPr>
          <w:rFonts w:cs="Times New Roman"/>
          <w:sz w:val="24"/>
          <w:szCs w:val="24"/>
        </w:rPr>
        <w:t>или</w:t>
      </w:r>
      <w:r w:rsidR="00DD6E6A" w:rsidRPr="002E7853">
        <w:rPr>
          <w:rFonts w:cs="Times New Roman"/>
          <w:sz w:val="24"/>
          <w:szCs w:val="24"/>
        </w:rPr>
        <w:t xml:space="preserve"> </w:t>
      </w:r>
      <w:r w:rsidRPr="002E7853">
        <w:rPr>
          <w:rFonts w:cs="Times New Roman"/>
          <w:sz w:val="24"/>
          <w:szCs w:val="24"/>
        </w:rPr>
        <w:t>више</w:t>
      </w:r>
      <w:r w:rsidR="00DD6E6A" w:rsidRPr="002E7853">
        <w:rPr>
          <w:rFonts w:cs="Times New Roman"/>
          <w:sz w:val="24"/>
          <w:szCs w:val="24"/>
        </w:rPr>
        <w:t xml:space="preserve"> </w:t>
      </w:r>
      <w:r w:rsidRPr="002E7853">
        <w:rPr>
          <w:rFonts w:cs="Times New Roman"/>
          <w:sz w:val="24"/>
          <w:szCs w:val="24"/>
        </w:rPr>
        <w:t>ризика</w:t>
      </w:r>
      <w:r w:rsidR="00DD6E6A" w:rsidRPr="002E7853">
        <w:rPr>
          <w:rFonts w:cs="Times New Roman"/>
          <w:sz w:val="24"/>
          <w:szCs w:val="24"/>
        </w:rPr>
        <w:t xml:space="preserve"> </w:t>
      </w:r>
      <w:r w:rsidRPr="002E7853">
        <w:rPr>
          <w:rFonts w:cs="Times New Roman"/>
          <w:sz w:val="24"/>
          <w:szCs w:val="24"/>
        </w:rPr>
        <w:t>који</w:t>
      </w:r>
      <w:r w:rsidR="00DD6E6A" w:rsidRPr="002E7853">
        <w:rPr>
          <w:rFonts w:cs="Times New Roman"/>
          <w:sz w:val="24"/>
          <w:szCs w:val="24"/>
        </w:rPr>
        <w:t xml:space="preserve"> </w:t>
      </w:r>
      <w:r w:rsidRPr="002E7853">
        <w:rPr>
          <w:rFonts w:cs="Times New Roman"/>
          <w:sz w:val="24"/>
          <w:szCs w:val="24"/>
        </w:rPr>
        <w:t>се</w:t>
      </w:r>
      <w:r w:rsidR="00DD6E6A" w:rsidRPr="002E7853">
        <w:rPr>
          <w:rFonts w:cs="Times New Roman"/>
          <w:sz w:val="24"/>
          <w:szCs w:val="24"/>
        </w:rPr>
        <w:t xml:space="preserve"> </w:t>
      </w:r>
      <w:r w:rsidRPr="002E7853">
        <w:rPr>
          <w:rFonts w:cs="Times New Roman"/>
          <w:sz w:val="24"/>
          <w:szCs w:val="24"/>
        </w:rPr>
        <w:t>сматрају</w:t>
      </w:r>
      <w:r w:rsidR="00DD6E6A" w:rsidRPr="002E7853">
        <w:rPr>
          <w:rFonts w:cs="Times New Roman"/>
          <w:sz w:val="24"/>
          <w:szCs w:val="24"/>
        </w:rPr>
        <w:t xml:space="preserve"> </w:t>
      </w:r>
      <w:r w:rsidRPr="002E7853">
        <w:rPr>
          <w:rFonts w:cs="Times New Roman"/>
          <w:sz w:val="24"/>
          <w:szCs w:val="24"/>
        </w:rPr>
        <w:t>средњим</w:t>
      </w:r>
      <w:r w:rsidR="001069A0" w:rsidRPr="002E7853">
        <w:rPr>
          <w:rFonts w:cs="Times New Roman"/>
          <w:sz w:val="24"/>
          <w:szCs w:val="24"/>
        </w:rPr>
        <w:t>,</w:t>
      </w:r>
      <w:r w:rsidR="00DD6E6A" w:rsidRPr="002E7853">
        <w:rPr>
          <w:rFonts w:cs="Times New Roman"/>
          <w:sz w:val="24"/>
          <w:szCs w:val="24"/>
        </w:rPr>
        <w:t xml:space="preserve"> </w:t>
      </w:r>
      <w:r w:rsidRPr="002E7853">
        <w:rPr>
          <w:rFonts w:cs="Times New Roman"/>
          <w:sz w:val="24"/>
          <w:szCs w:val="24"/>
        </w:rPr>
        <w:t>или</w:t>
      </w:r>
      <w:r w:rsidR="00A53303" w:rsidRPr="002E7853">
        <w:rPr>
          <w:rFonts w:cs="Times New Roman"/>
          <w:sz w:val="24"/>
          <w:szCs w:val="24"/>
        </w:rPr>
        <w:t xml:space="preserve"> </w:t>
      </w:r>
      <w:r w:rsidRPr="002E7853">
        <w:rPr>
          <w:rFonts w:cs="Times New Roman"/>
          <w:sz w:val="24"/>
          <w:szCs w:val="24"/>
        </w:rPr>
        <w:t>најмање</w:t>
      </w:r>
      <w:r w:rsidR="00A53303" w:rsidRPr="002E7853">
        <w:rPr>
          <w:rFonts w:cs="Times New Roman"/>
          <w:sz w:val="24"/>
          <w:szCs w:val="24"/>
        </w:rPr>
        <w:t xml:space="preserve"> </w:t>
      </w:r>
      <w:r w:rsidRPr="002E7853">
        <w:rPr>
          <w:rFonts w:cs="Times New Roman"/>
          <w:sz w:val="24"/>
          <w:szCs w:val="24"/>
        </w:rPr>
        <w:t>један</w:t>
      </w:r>
      <w:r w:rsidR="0095062E" w:rsidRPr="002E7853">
        <w:rPr>
          <w:rFonts w:cs="Times New Roman"/>
          <w:sz w:val="24"/>
          <w:szCs w:val="24"/>
        </w:rPr>
        <w:t xml:space="preserve"> утицај</w:t>
      </w:r>
      <w:r w:rsidR="001069A0" w:rsidRPr="002E7853">
        <w:rPr>
          <w:rFonts w:cs="Times New Roman"/>
          <w:sz w:val="24"/>
          <w:szCs w:val="24"/>
        </w:rPr>
        <w:t xml:space="preserve"> односно ризик</w:t>
      </w:r>
      <w:r w:rsidR="00A53303" w:rsidRPr="002E7853">
        <w:rPr>
          <w:rFonts w:cs="Times New Roman"/>
          <w:sz w:val="24"/>
          <w:szCs w:val="24"/>
        </w:rPr>
        <w:t xml:space="preserve"> </w:t>
      </w:r>
      <w:r w:rsidR="001069A0" w:rsidRPr="002E7853">
        <w:rPr>
          <w:rFonts w:cs="Times New Roman"/>
          <w:sz w:val="24"/>
          <w:szCs w:val="24"/>
        </w:rPr>
        <w:t xml:space="preserve"> </w:t>
      </w:r>
      <w:r w:rsidRPr="002E7853">
        <w:rPr>
          <w:rFonts w:cs="Times New Roman"/>
          <w:sz w:val="24"/>
          <w:szCs w:val="24"/>
        </w:rPr>
        <w:t>који</w:t>
      </w:r>
      <w:r w:rsidR="00A53303" w:rsidRPr="002E7853">
        <w:rPr>
          <w:rFonts w:cs="Times New Roman"/>
          <w:sz w:val="24"/>
          <w:szCs w:val="24"/>
        </w:rPr>
        <w:t xml:space="preserve"> </w:t>
      </w:r>
      <w:r w:rsidRPr="002E7853">
        <w:rPr>
          <w:rFonts w:cs="Times New Roman"/>
          <w:sz w:val="24"/>
          <w:szCs w:val="24"/>
        </w:rPr>
        <w:t>се</w:t>
      </w:r>
      <w:r w:rsidR="00A53303" w:rsidRPr="002E7853">
        <w:rPr>
          <w:rFonts w:cs="Times New Roman"/>
          <w:sz w:val="24"/>
          <w:szCs w:val="24"/>
        </w:rPr>
        <w:t xml:space="preserve"> </w:t>
      </w:r>
      <w:r w:rsidRPr="002E7853">
        <w:rPr>
          <w:rFonts w:cs="Times New Roman"/>
          <w:sz w:val="24"/>
          <w:szCs w:val="24"/>
        </w:rPr>
        <w:t>може</w:t>
      </w:r>
      <w:r w:rsidR="00A53303" w:rsidRPr="002E7853">
        <w:rPr>
          <w:rFonts w:cs="Times New Roman"/>
          <w:sz w:val="24"/>
          <w:szCs w:val="24"/>
        </w:rPr>
        <w:t xml:space="preserve"> </w:t>
      </w:r>
      <w:r w:rsidRPr="002E7853">
        <w:rPr>
          <w:rFonts w:cs="Times New Roman"/>
          <w:sz w:val="24"/>
          <w:szCs w:val="24"/>
        </w:rPr>
        <w:t>сматрати</w:t>
      </w:r>
      <w:r w:rsidR="00A53303" w:rsidRPr="002E7853">
        <w:rPr>
          <w:rFonts w:cs="Times New Roman"/>
          <w:sz w:val="24"/>
          <w:szCs w:val="24"/>
        </w:rPr>
        <w:t xml:space="preserve"> </w:t>
      </w:r>
      <w:r w:rsidRPr="002E7853">
        <w:rPr>
          <w:rFonts w:cs="Times New Roman"/>
          <w:sz w:val="24"/>
          <w:szCs w:val="24"/>
        </w:rPr>
        <w:t>значајним</w:t>
      </w:r>
      <w:r w:rsidR="00DD6E6A" w:rsidRPr="002E7853">
        <w:rPr>
          <w:rFonts w:cs="Times New Roman"/>
          <w:sz w:val="24"/>
          <w:szCs w:val="24"/>
        </w:rPr>
        <w:t xml:space="preserve">, </w:t>
      </w:r>
      <w:r w:rsidRPr="002E7853">
        <w:rPr>
          <w:rFonts w:cs="Times New Roman"/>
          <w:sz w:val="24"/>
          <w:szCs w:val="24"/>
        </w:rPr>
        <w:t>Комисија</w:t>
      </w:r>
      <w:r w:rsidR="00DD6E6A" w:rsidRPr="002E7853">
        <w:rPr>
          <w:rFonts w:cs="Times New Roman"/>
          <w:sz w:val="24"/>
          <w:szCs w:val="24"/>
        </w:rPr>
        <w:t xml:space="preserve"> </w:t>
      </w:r>
      <w:r w:rsidR="00F46B92" w:rsidRPr="002E7853">
        <w:rPr>
          <w:rFonts w:cs="Times New Roman"/>
          <w:sz w:val="24"/>
          <w:szCs w:val="24"/>
        </w:rPr>
        <w:t>утврђује</w:t>
      </w:r>
      <w:r w:rsidR="001069A0" w:rsidRPr="002E7853">
        <w:rPr>
          <w:rFonts w:cs="Times New Roman"/>
          <w:sz w:val="24"/>
          <w:szCs w:val="24"/>
        </w:rPr>
        <w:t xml:space="preserve"> </w:t>
      </w:r>
      <w:r w:rsidRPr="002E7853">
        <w:rPr>
          <w:rFonts w:cs="Times New Roman"/>
          <w:sz w:val="24"/>
          <w:szCs w:val="24"/>
        </w:rPr>
        <w:t>да</w:t>
      </w:r>
      <w:r w:rsidR="00DD6E6A" w:rsidRPr="002E7853">
        <w:rPr>
          <w:rFonts w:cs="Times New Roman"/>
          <w:sz w:val="24"/>
          <w:szCs w:val="24"/>
        </w:rPr>
        <w:t xml:space="preserve"> </w:t>
      </w:r>
      <w:r w:rsidRPr="002E7853">
        <w:rPr>
          <w:rFonts w:cs="Times New Roman"/>
          <w:sz w:val="24"/>
          <w:szCs w:val="24"/>
        </w:rPr>
        <w:t>се</w:t>
      </w:r>
      <w:r w:rsidR="00DD6E6A" w:rsidRPr="002E7853">
        <w:rPr>
          <w:rFonts w:cs="Times New Roman"/>
          <w:sz w:val="24"/>
          <w:szCs w:val="24"/>
        </w:rPr>
        <w:t xml:space="preserve"> </w:t>
      </w:r>
      <w:r w:rsidRPr="002E7853">
        <w:rPr>
          <w:rFonts w:cs="Times New Roman"/>
          <w:sz w:val="24"/>
          <w:szCs w:val="24"/>
        </w:rPr>
        <w:t>ради</w:t>
      </w:r>
      <w:r w:rsidR="00DD6E6A" w:rsidRPr="002E7853">
        <w:rPr>
          <w:rFonts w:cs="Times New Roman"/>
          <w:sz w:val="24"/>
          <w:szCs w:val="24"/>
        </w:rPr>
        <w:t xml:space="preserve"> </w:t>
      </w:r>
      <w:r w:rsidRPr="002E7853">
        <w:rPr>
          <w:rFonts w:cs="Times New Roman"/>
          <w:sz w:val="24"/>
          <w:szCs w:val="24"/>
        </w:rPr>
        <w:t>о</w:t>
      </w:r>
      <w:r w:rsidR="00DD6E6A" w:rsidRPr="002E7853">
        <w:rPr>
          <w:rFonts w:cs="Times New Roman"/>
          <w:sz w:val="24"/>
          <w:szCs w:val="24"/>
        </w:rPr>
        <w:t xml:space="preserve"> </w:t>
      </w:r>
      <w:r w:rsidRPr="002E7853">
        <w:rPr>
          <w:rFonts w:cs="Times New Roman"/>
          <w:sz w:val="24"/>
          <w:szCs w:val="24"/>
        </w:rPr>
        <w:t>битном</w:t>
      </w:r>
      <w:r w:rsidR="00DD6E6A" w:rsidRPr="002E7853">
        <w:rPr>
          <w:rFonts w:cs="Times New Roman"/>
          <w:sz w:val="24"/>
          <w:szCs w:val="24"/>
        </w:rPr>
        <w:t xml:space="preserve"> </w:t>
      </w:r>
      <w:r w:rsidRPr="002E7853">
        <w:rPr>
          <w:rFonts w:cs="Times New Roman"/>
          <w:sz w:val="24"/>
          <w:szCs w:val="24"/>
        </w:rPr>
        <w:t>одступању</w:t>
      </w:r>
      <w:r w:rsidR="00DD6E6A" w:rsidRPr="002E7853">
        <w:rPr>
          <w:rFonts w:cs="Times New Roman"/>
          <w:sz w:val="24"/>
          <w:szCs w:val="24"/>
        </w:rPr>
        <w:t xml:space="preserve"> </w:t>
      </w:r>
      <w:r w:rsidRPr="002E7853">
        <w:rPr>
          <w:rFonts w:cs="Times New Roman"/>
          <w:sz w:val="24"/>
          <w:szCs w:val="24"/>
        </w:rPr>
        <w:t>од</w:t>
      </w:r>
      <w:r w:rsidR="00DD6E6A" w:rsidRPr="002E7853">
        <w:rPr>
          <w:rFonts w:cs="Times New Roman"/>
          <w:sz w:val="24"/>
          <w:szCs w:val="24"/>
        </w:rPr>
        <w:t xml:space="preserve"> </w:t>
      </w:r>
      <w:r w:rsidR="00F46B92" w:rsidRPr="002E7853">
        <w:rPr>
          <w:rFonts w:cs="Times New Roman"/>
          <w:sz w:val="24"/>
          <w:szCs w:val="24"/>
        </w:rPr>
        <w:t>утврђеног</w:t>
      </w:r>
      <w:r w:rsidR="001069A0" w:rsidRPr="002E7853">
        <w:rPr>
          <w:rFonts w:cs="Times New Roman"/>
          <w:sz w:val="24"/>
          <w:szCs w:val="24"/>
        </w:rPr>
        <w:t xml:space="preserve"> </w:t>
      </w:r>
      <w:r w:rsidRPr="002E7853">
        <w:rPr>
          <w:rFonts w:cs="Times New Roman"/>
          <w:sz w:val="24"/>
          <w:szCs w:val="24"/>
        </w:rPr>
        <w:t>општег</w:t>
      </w:r>
      <w:r w:rsidR="00DD6E6A" w:rsidRPr="002E7853">
        <w:rPr>
          <w:rFonts w:cs="Times New Roman"/>
          <w:sz w:val="24"/>
          <w:szCs w:val="24"/>
        </w:rPr>
        <w:t xml:space="preserve"> </w:t>
      </w:r>
      <w:r w:rsidRPr="002E7853">
        <w:rPr>
          <w:rFonts w:cs="Times New Roman"/>
          <w:sz w:val="24"/>
          <w:szCs w:val="24"/>
        </w:rPr>
        <w:t>годишњег</w:t>
      </w:r>
      <w:r w:rsidR="00DD6E6A" w:rsidRPr="002E7853">
        <w:rPr>
          <w:rFonts w:cs="Times New Roman"/>
          <w:sz w:val="24"/>
          <w:szCs w:val="24"/>
        </w:rPr>
        <w:t xml:space="preserve"> </w:t>
      </w:r>
      <w:r w:rsidRPr="002E7853">
        <w:rPr>
          <w:rFonts w:cs="Times New Roman"/>
          <w:sz w:val="24"/>
          <w:szCs w:val="24"/>
        </w:rPr>
        <w:t>циља</w:t>
      </w:r>
      <w:r w:rsidR="00DD6E6A" w:rsidRPr="002E7853">
        <w:rPr>
          <w:rFonts w:cs="Times New Roman"/>
          <w:sz w:val="24"/>
          <w:szCs w:val="24"/>
        </w:rPr>
        <w:t xml:space="preserve">. </w:t>
      </w:r>
    </w:p>
    <w:p w14:paraId="68BA48EB" w14:textId="15BBAB9F" w:rsidR="00F46B92" w:rsidRPr="002E7853" w:rsidRDefault="00B63F9A" w:rsidP="0007416E">
      <w:pPr>
        <w:spacing w:line="240" w:lineRule="auto"/>
        <w:ind w:firstLine="720"/>
        <w:rPr>
          <w:rFonts w:cs="Times New Roman"/>
          <w:sz w:val="24"/>
          <w:szCs w:val="24"/>
        </w:rPr>
      </w:pPr>
      <w:r w:rsidRPr="00080DC6">
        <w:rPr>
          <w:rFonts w:cs="Times New Roman"/>
          <w:sz w:val="24"/>
          <w:szCs w:val="24"/>
        </w:rPr>
        <w:t>Приликом</w:t>
      </w:r>
      <w:r w:rsidR="00AC6ABC" w:rsidRPr="00080DC6">
        <w:rPr>
          <w:rFonts w:cs="Times New Roman"/>
          <w:sz w:val="24"/>
          <w:szCs w:val="24"/>
        </w:rPr>
        <w:t xml:space="preserve"> </w:t>
      </w:r>
      <w:r w:rsidRPr="00080DC6">
        <w:rPr>
          <w:rFonts w:cs="Times New Roman"/>
          <w:sz w:val="24"/>
          <w:szCs w:val="24"/>
        </w:rPr>
        <w:t>анализе</w:t>
      </w:r>
      <w:r w:rsidR="00D81A36" w:rsidRPr="00080DC6">
        <w:rPr>
          <w:rFonts w:cs="Times New Roman"/>
          <w:sz w:val="24"/>
          <w:szCs w:val="24"/>
        </w:rPr>
        <w:t xml:space="preserve"> из става 4. овог члана,</w:t>
      </w:r>
      <w:r w:rsidR="00AC6ABC" w:rsidRPr="00080DC6">
        <w:rPr>
          <w:rFonts w:cs="Times New Roman"/>
          <w:sz w:val="24"/>
          <w:szCs w:val="24"/>
        </w:rPr>
        <w:t xml:space="preserve"> </w:t>
      </w:r>
      <w:r w:rsidRPr="00080DC6">
        <w:rPr>
          <w:rFonts w:cs="Times New Roman"/>
          <w:sz w:val="24"/>
          <w:szCs w:val="24"/>
        </w:rPr>
        <w:t>Комисија</w:t>
      </w:r>
      <w:r w:rsidR="00AC6ABC" w:rsidRPr="00080DC6">
        <w:rPr>
          <w:rFonts w:cs="Times New Roman"/>
          <w:sz w:val="24"/>
          <w:szCs w:val="24"/>
        </w:rPr>
        <w:t xml:space="preserve"> </w:t>
      </w:r>
      <w:r w:rsidRPr="00080DC6">
        <w:rPr>
          <w:rFonts w:cs="Times New Roman"/>
          <w:sz w:val="24"/>
          <w:szCs w:val="24"/>
        </w:rPr>
        <w:t>примењује</w:t>
      </w:r>
      <w:r w:rsidR="00AC6ABC" w:rsidRPr="00080DC6">
        <w:rPr>
          <w:rFonts w:cs="Times New Roman"/>
          <w:sz w:val="24"/>
          <w:szCs w:val="24"/>
        </w:rPr>
        <w:t xml:space="preserve"> </w:t>
      </w:r>
      <w:r w:rsidR="00123D6F" w:rsidRPr="00080DC6">
        <w:rPr>
          <w:rFonts w:cs="Times New Roman"/>
          <w:sz w:val="24"/>
          <w:szCs w:val="24"/>
        </w:rPr>
        <w:t>Матрицу утврђивања одступања од општих годишњих циљева</w:t>
      </w:r>
      <w:r w:rsidR="00080DC6" w:rsidRPr="00080DC6">
        <w:rPr>
          <w:rFonts w:cs="Times New Roman"/>
          <w:sz w:val="24"/>
          <w:szCs w:val="24"/>
        </w:rPr>
        <w:t>,</w:t>
      </w:r>
      <w:r w:rsidR="00123D6F" w:rsidRPr="00080DC6">
        <w:rPr>
          <w:rFonts w:cs="Times New Roman"/>
          <w:sz w:val="24"/>
          <w:szCs w:val="24"/>
        </w:rPr>
        <w:t xml:space="preserve"> </w:t>
      </w:r>
      <w:r w:rsidRPr="00080DC6">
        <w:rPr>
          <w:rFonts w:cs="Times New Roman"/>
          <w:sz w:val="24"/>
          <w:szCs w:val="24"/>
        </w:rPr>
        <w:t>која</w:t>
      </w:r>
      <w:r w:rsidR="00AC6ABC" w:rsidRPr="00080DC6">
        <w:rPr>
          <w:rFonts w:cs="Times New Roman"/>
          <w:sz w:val="24"/>
          <w:szCs w:val="24"/>
        </w:rPr>
        <w:t xml:space="preserve"> </w:t>
      </w:r>
      <w:r w:rsidRPr="00080DC6">
        <w:rPr>
          <w:rFonts w:cs="Times New Roman"/>
          <w:sz w:val="24"/>
          <w:szCs w:val="24"/>
        </w:rPr>
        <w:t>је</w:t>
      </w:r>
      <w:r w:rsidR="00080DC6" w:rsidRPr="00080DC6">
        <w:rPr>
          <w:rFonts w:cs="Times New Roman"/>
          <w:sz w:val="24"/>
          <w:szCs w:val="24"/>
        </w:rPr>
        <w:t xml:space="preserve"> </w:t>
      </w:r>
      <w:r w:rsidR="00123D6F" w:rsidRPr="00080DC6">
        <w:rPr>
          <w:rFonts w:cs="Times New Roman"/>
          <w:sz w:val="24"/>
          <w:szCs w:val="24"/>
        </w:rPr>
        <w:t>одштампана уз ову уредбу и чини њен саставни део</w:t>
      </w:r>
      <w:r w:rsidR="00AC6ABC" w:rsidRPr="00080DC6">
        <w:rPr>
          <w:rFonts w:cs="Times New Roman"/>
          <w:sz w:val="24"/>
          <w:szCs w:val="24"/>
        </w:rPr>
        <w:t>.</w:t>
      </w:r>
      <w:r w:rsidR="007B0403" w:rsidRPr="002E7853">
        <w:rPr>
          <w:rFonts w:cs="Times New Roman"/>
          <w:sz w:val="24"/>
          <w:szCs w:val="24"/>
        </w:rPr>
        <w:t xml:space="preserve"> </w:t>
      </w:r>
    </w:p>
    <w:p w14:paraId="4ED8D3DB" w14:textId="59032549" w:rsidR="00961E47" w:rsidRPr="002E7853" w:rsidRDefault="00B63F9A" w:rsidP="00961E47">
      <w:pPr>
        <w:jc w:val="center"/>
        <w:rPr>
          <w:rFonts w:cs="Times New Roman"/>
          <w:sz w:val="24"/>
          <w:szCs w:val="24"/>
        </w:rPr>
      </w:pPr>
      <w:r w:rsidRPr="002E7853">
        <w:rPr>
          <w:rFonts w:cs="Times New Roman"/>
          <w:sz w:val="24"/>
          <w:szCs w:val="24"/>
        </w:rPr>
        <w:t>Члан</w:t>
      </w:r>
      <w:r w:rsidR="00961E47" w:rsidRPr="002E7853">
        <w:rPr>
          <w:rFonts w:cs="Times New Roman"/>
          <w:sz w:val="24"/>
          <w:szCs w:val="24"/>
        </w:rPr>
        <w:t xml:space="preserve"> </w:t>
      </w:r>
      <w:r w:rsidR="00D81A36" w:rsidRPr="002E7853">
        <w:rPr>
          <w:rFonts w:cs="Times New Roman"/>
          <w:sz w:val="24"/>
          <w:szCs w:val="24"/>
        </w:rPr>
        <w:t>4</w:t>
      </w:r>
      <w:r w:rsidR="00227A54" w:rsidRPr="002E7853">
        <w:rPr>
          <w:rFonts w:cs="Times New Roman"/>
          <w:sz w:val="24"/>
          <w:szCs w:val="24"/>
        </w:rPr>
        <w:t>.</w:t>
      </w:r>
    </w:p>
    <w:p w14:paraId="266AEEFC" w14:textId="6381BA3C" w:rsidR="00B129AC" w:rsidRPr="002E7853" w:rsidRDefault="00B63F9A" w:rsidP="00323180">
      <w:pPr>
        <w:ind w:firstLine="720"/>
        <w:rPr>
          <w:rFonts w:cs="Times New Roman"/>
          <w:sz w:val="24"/>
          <w:szCs w:val="24"/>
        </w:rPr>
      </w:pPr>
      <w:r w:rsidRPr="002E7853">
        <w:rPr>
          <w:rFonts w:cs="Times New Roman"/>
          <w:sz w:val="24"/>
          <w:szCs w:val="24"/>
        </w:rPr>
        <w:t>Комисија</w:t>
      </w:r>
      <w:r w:rsidR="00961E47" w:rsidRPr="002E7853">
        <w:rPr>
          <w:rFonts w:cs="Times New Roman"/>
          <w:sz w:val="24"/>
          <w:szCs w:val="24"/>
        </w:rPr>
        <w:t xml:space="preserve"> </w:t>
      </w:r>
      <w:r w:rsidRPr="002E7853">
        <w:rPr>
          <w:rFonts w:cs="Times New Roman"/>
          <w:sz w:val="24"/>
          <w:szCs w:val="24"/>
        </w:rPr>
        <w:t>прати</w:t>
      </w:r>
      <w:r w:rsidR="00961E47" w:rsidRPr="002E7853">
        <w:rPr>
          <w:rFonts w:cs="Times New Roman"/>
          <w:sz w:val="24"/>
          <w:szCs w:val="24"/>
        </w:rPr>
        <w:t xml:space="preserve"> </w:t>
      </w:r>
      <w:r w:rsidRPr="002E7853">
        <w:rPr>
          <w:rFonts w:cs="Times New Roman"/>
          <w:sz w:val="24"/>
          <w:szCs w:val="24"/>
        </w:rPr>
        <w:t>остваривање</w:t>
      </w:r>
      <w:r w:rsidR="00961E47" w:rsidRPr="002E7853">
        <w:rPr>
          <w:rFonts w:cs="Times New Roman"/>
          <w:sz w:val="24"/>
          <w:szCs w:val="24"/>
        </w:rPr>
        <w:t xml:space="preserve"> </w:t>
      </w:r>
      <w:r w:rsidRPr="002E7853">
        <w:rPr>
          <w:rFonts w:cs="Times New Roman"/>
          <w:sz w:val="24"/>
          <w:szCs w:val="24"/>
        </w:rPr>
        <w:t>општих</w:t>
      </w:r>
      <w:r w:rsidR="00961E47" w:rsidRPr="002E7853">
        <w:rPr>
          <w:rFonts w:cs="Times New Roman"/>
          <w:sz w:val="24"/>
          <w:szCs w:val="24"/>
        </w:rPr>
        <w:t xml:space="preserve"> </w:t>
      </w:r>
      <w:r w:rsidRPr="002E7853">
        <w:rPr>
          <w:rFonts w:cs="Times New Roman"/>
          <w:sz w:val="24"/>
          <w:szCs w:val="24"/>
        </w:rPr>
        <w:t>годишњих</w:t>
      </w:r>
      <w:r w:rsidR="00961E47" w:rsidRPr="002E7853">
        <w:rPr>
          <w:rFonts w:cs="Times New Roman"/>
          <w:sz w:val="24"/>
          <w:szCs w:val="24"/>
        </w:rPr>
        <w:t xml:space="preserve"> </w:t>
      </w:r>
      <w:r w:rsidRPr="002E7853">
        <w:rPr>
          <w:rFonts w:cs="Times New Roman"/>
          <w:sz w:val="24"/>
          <w:szCs w:val="24"/>
        </w:rPr>
        <w:t>циљева</w:t>
      </w:r>
      <w:r w:rsidR="00961E47" w:rsidRPr="002E7853">
        <w:rPr>
          <w:rFonts w:cs="Times New Roman"/>
          <w:sz w:val="24"/>
          <w:szCs w:val="24"/>
        </w:rPr>
        <w:t xml:space="preserve"> </w:t>
      </w:r>
      <w:r w:rsidRPr="002E7853">
        <w:rPr>
          <w:rFonts w:cs="Times New Roman"/>
          <w:sz w:val="24"/>
          <w:szCs w:val="24"/>
        </w:rPr>
        <w:t>кроз</w:t>
      </w:r>
      <w:r w:rsidR="00FF3925" w:rsidRPr="002E7853">
        <w:rPr>
          <w:rFonts w:cs="Times New Roman"/>
          <w:sz w:val="24"/>
          <w:szCs w:val="24"/>
        </w:rPr>
        <w:t xml:space="preserve"> </w:t>
      </w:r>
      <w:r w:rsidRPr="002E7853">
        <w:rPr>
          <w:rFonts w:cs="Times New Roman"/>
          <w:sz w:val="24"/>
          <w:szCs w:val="24"/>
        </w:rPr>
        <w:t>разматрање</w:t>
      </w:r>
      <w:r w:rsidR="00961E47" w:rsidRPr="002E7853">
        <w:rPr>
          <w:rFonts w:cs="Times New Roman"/>
          <w:sz w:val="24"/>
          <w:szCs w:val="24"/>
        </w:rPr>
        <w:t xml:space="preserve"> </w:t>
      </w:r>
      <w:r w:rsidRPr="002E7853">
        <w:rPr>
          <w:rFonts w:cs="Times New Roman"/>
          <w:sz w:val="24"/>
          <w:szCs w:val="24"/>
        </w:rPr>
        <w:t>извештај</w:t>
      </w:r>
      <w:r w:rsidR="00A8718C" w:rsidRPr="002E7853">
        <w:rPr>
          <w:rFonts w:cs="Times New Roman"/>
          <w:sz w:val="24"/>
          <w:szCs w:val="24"/>
        </w:rPr>
        <w:t xml:space="preserve">них аката која друштва капитала достављају </w:t>
      </w:r>
      <w:r w:rsidR="00286B73" w:rsidRPr="002E7853">
        <w:rPr>
          <w:rFonts w:cs="Times New Roman"/>
          <w:sz w:val="24"/>
          <w:szCs w:val="24"/>
        </w:rPr>
        <w:t>м</w:t>
      </w:r>
      <w:r w:rsidR="00A8718C" w:rsidRPr="002E7853">
        <w:rPr>
          <w:rFonts w:cs="Times New Roman"/>
          <w:sz w:val="24"/>
          <w:szCs w:val="24"/>
        </w:rPr>
        <w:t>инистарству</w:t>
      </w:r>
      <w:r w:rsidR="00286B73" w:rsidRPr="002E7853">
        <w:rPr>
          <w:rFonts w:eastAsia="Arial"/>
          <w:sz w:val="24"/>
          <w:szCs w:val="24"/>
        </w:rPr>
        <w:t xml:space="preserve"> надлежном за послове привреде (у даљем тексту: Министарство)</w:t>
      </w:r>
      <w:r w:rsidR="008B0803" w:rsidRPr="002E7853">
        <w:rPr>
          <w:rFonts w:cs="Times New Roman"/>
          <w:sz w:val="24"/>
          <w:szCs w:val="24"/>
        </w:rPr>
        <w:t>.</w:t>
      </w:r>
      <w:r w:rsidR="00961E47" w:rsidRPr="002E7853">
        <w:rPr>
          <w:rFonts w:cs="Times New Roman"/>
          <w:sz w:val="24"/>
          <w:szCs w:val="24"/>
        </w:rPr>
        <w:t xml:space="preserve"> </w:t>
      </w:r>
    </w:p>
    <w:p w14:paraId="4F1D8BD3" w14:textId="630962E5" w:rsidR="00891133" w:rsidRPr="002E7853" w:rsidRDefault="00891133" w:rsidP="00891133">
      <w:pPr>
        <w:ind w:firstLine="710"/>
        <w:rPr>
          <w:sz w:val="24"/>
          <w:szCs w:val="24"/>
        </w:rPr>
      </w:pPr>
      <w:r w:rsidRPr="002E7853">
        <w:rPr>
          <w:sz w:val="24"/>
          <w:szCs w:val="24"/>
        </w:rPr>
        <w:t xml:space="preserve">Уколико Комисија, након разматрања </w:t>
      </w:r>
      <w:r w:rsidR="002D5403" w:rsidRPr="002E7853">
        <w:rPr>
          <w:rFonts w:cs="Times New Roman"/>
          <w:sz w:val="24"/>
          <w:szCs w:val="24"/>
        </w:rPr>
        <w:t xml:space="preserve">извештајних аката </w:t>
      </w:r>
      <w:r w:rsidRPr="002E7853">
        <w:rPr>
          <w:sz w:val="24"/>
          <w:szCs w:val="24"/>
        </w:rPr>
        <w:t xml:space="preserve">из става </w:t>
      </w:r>
      <w:r w:rsidR="00A8718C" w:rsidRPr="002E7853">
        <w:rPr>
          <w:sz w:val="24"/>
          <w:szCs w:val="24"/>
        </w:rPr>
        <w:t>1</w:t>
      </w:r>
      <w:r w:rsidRPr="002E7853">
        <w:rPr>
          <w:sz w:val="24"/>
          <w:szCs w:val="24"/>
        </w:rPr>
        <w:t>. овог члана, утврди да не постоје битна одступања од општих годишњих циљева, доставиће Министарству информацију о томе у облику записника са седнице.</w:t>
      </w:r>
    </w:p>
    <w:p w14:paraId="3B89EC07" w14:textId="32CC01D0" w:rsidR="00891133" w:rsidRPr="002E7853" w:rsidRDefault="00891133" w:rsidP="00891133">
      <w:pPr>
        <w:ind w:firstLine="710"/>
        <w:rPr>
          <w:sz w:val="24"/>
          <w:szCs w:val="24"/>
        </w:rPr>
      </w:pPr>
      <w:r w:rsidRPr="002E7853">
        <w:rPr>
          <w:sz w:val="24"/>
          <w:szCs w:val="24"/>
        </w:rPr>
        <w:t xml:space="preserve">Уколико Комисија, након разматрања </w:t>
      </w:r>
      <w:r w:rsidR="002D5403" w:rsidRPr="002E7853">
        <w:rPr>
          <w:rFonts w:cs="Times New Roman"/>
          <w:sz w:val="24"/>
          <w:szCs w:val="24"/>
        </w:rPr>
        <w:t xml:space="preserve">извештајних аката </w:t>
      </w:r>
      <w:r w:rsidR="002D5403" w:rsidRPr="002E7853">
        <w:rPr>
          <w:sz w:val="24"/>
          <w:szCs w:val="24"/>
        </w:rPr>
        <w:t xml:space="preserve">из </w:t>
      </w:r>
      <w:r w:rsidRPr="002E7853">
        <w:rPr>
          <w:sz w:val="24"/>
          <w:szCs w:val="24"/>
        </w:rPr>
        <w:t>става</w:t>
      </w:r>
      <w:r w:rsidR="00A8718C" w:rsidRPr="002E7853">
        <w:rPr>
          <w:sz w:val="24"/>
          <w:szCs w:val="24"/>
        </w:rPr>
        <w:t xml:space="preserve"> 1</w:t>
      </w:r>
      <w:r w:rsidRPr="002E7853">
        <w:rPr>
          <w:sz w:val="24"/>
          <w:szCs w:val="24"/>
        </w:rPr>
        <w:t>. овог члана и, ако је потребно, додатних информација достављених од стране друштва капитала, утврди да постоји битно одступање од одређеног општег годишње циља, донеће одлуку да упути, без одлагања, Министарству препоруке за предузимање мера на отклањању битних одступања, односно за остваривање утврђеног циља.</w:t>
      </w:r>
    </w:p>
    <w:p w14:paraId="015D6E69" w14:textId="32AFC151" w:rsidR="00974BC4" w:rsidRPr="002E7853" w:rsidRDefault="00974BC4" w:rsidP="0007416E">
      <w:pPr>
        <w:ind w:firstLine="710"/>
        <w:rPr>
          <w:rFonts w:cs="Times New Roman"/>
          <w:sz w:val="24"/>
          <w:szCs w:val="24"/>
        </w:rPr>
      </w:pPr>
      <w:r w:rsidRPr="002E7853">
        <w:rPr>
          <w:rFonts w:eastAsiaTheme="minorEastAsia"/>
          <w:sz w:val="24"/>
          <w:szCs w:val="24"/>
        </w:rPr>
        <w:t xml:space="preserve">Одредбе </w:t>
      </w:r>
      <w:r w:rsidR="00BE6AAB" w:rsidRPr="002E7853">
        <w:rPr>
          <w:rFonts w:eastAsiaTheme="minorEastAsia"/>
          <w:sz w:val="24"/>
          <w:szCs w:val="24"/>
        </w:rPr>
        <w:t xml:space="preserve">овог члана </w:t>
      </w:r>
      <w:r w:rsidRPr="002E7853">
        <w:rPr>
          <w:rFonts w:eastAsiaTheme="minorEastAsia"/>
          <w:sz w:val="24"/>
          <w:szCs w:val="24"/>
        </w:rPr>
        <w:t>које се односе на Министарство, у случају управљања друштвом капитала које обавља делатност производње и снабдевања електричном енергијом, односно природним гасом, односе се на министарство надлежно за послове енергетике.</w:t>
      </w:r>
      <w:bookmarkStart w:id="0" w:name="clan_14"/>
      <w:bookmarkStart w:id="1" w:name="clan_15"/>
      <w:bookmarkStart w:id="2" w:name="clan_16"/>
      <w:bookmarkEnd w:id="0"/>
      <w:bookmarkEnd w:id="1"/>
      <w:bookmarkEnd w:id="2"/>
    </w:p>
    <w:p w14:paraId="39AC71FF" w14:textId="6F24F0A0" w:rsidR="004F6D83" w:rsidRPr="002E7853" w:rsidRDefault="00B63F9A" w:rsidP="00A84FF5">
      <w:pPr>
        <w:jc w:val="center"/>
        <w:rPr>
          <w:rFonts w:cs="Times New Roman"/>
          <w:sz w:val="24"/>
          <w:szCs w:val="24"/>
        </w:rPr>
      </w:pPr>
      <w:r w:rsidRPr="002E7853">
        <w:rPr>
          <w:rFonts w:cs="Times New Roman"/>
          <w:sz w:val="24"/>
          <w:szCs w:val="24"/>
        </w:rPr>
        <w:t>Члан</w:t>
      </w:r>
      <w:r w:rsidR="00A84FF5" w:rsidRPr="002E7853">
        <w:rPr>
          <w:rFonts w:cs="Times New Roman"/>
          <w:sz w:val="24"/>
          <w:szCs w:val="24"/>
        </w:rPr>
        <w:t xml:space="preserve"> </w:t>
      </w:r>
      <w:r w:rsidR="00BE6AAB" w:rsidRPr="002E7853">
        <w:rPr>
          <w:rFonts w:cs="Times New Roman"/>
          <w:sz w:val="24"/>
          <w:szCs w:val="24"/>
        </w:rPr>
        <w:t>5</w:t>
      </w:r>
      <w:r w:rsidR="00A84FF5" w:rsidRPr="002E7853">
        <w:rPr>
          <w:rFonts w:cs="Times New Roman"/>
          <w:sz w:val="24"/>
          <w:szCs w:val="24"/>
        </w:rPr>
        <w:t>.</w:t>
      </w:r>
    </w:p>
    <w:p w14:paraId="5A8CF82C" w14:textId="32953F85" w:rsidR="0007416E" w:rsidRPr="002E7853" w:rsidRDefault="00B63F9A" w:rsidP="0007416E">
      <w:pPr>
        <w:ind w:firstLine="720"/>
        <w:rPr>
          <w:rFonts w:cs="Times New Roman"/>
          <w:sz w:val="24"/>
          <w:szCs w:val="24"/>
        </w:rPr>
      </w:pPr>
      <w:r w:rsidRPr="002E7853">
        <w:rPr>
          <w:rFonts w:cs="Times New Roman"/>
          <w:sz w:val="24"/>
          <w:szCs w:val="24"/>
        </w:rPr>
        <w:t>Ова</w:t>
      </w:r>
      <w:r w:rsidR="008C6A1C" w:rsidRPr="002E7853">
        <w:rPr>
          <w:rFonts w:cs="Times New Roman"/>
          <w:sz w:val="24"/>
          <w:szCs w:val="24"/>
        </w:rPr>
        <w:t xml:space="preserve"> </w:t>
      </w:r>
      <w:r w:rsidR="008B0803" w:rsidRPr="002E7853">
        <w:rPr>
          <w:rFonts w:cs="Times New Roman"/>
          <w:sz w:val="24"/>
          <w:szCs w:val="24"/>
        </w:rPr>
        <w:t>у</w:t>
      </w:r>
      <w:r w:rsidRPr="002E7853">
        <w:rPr>
          <w:rFonts w:cs="Times New Roman"/>
          <w:sz w:val="24"/>
          <w:szCs w:val="24"/>
        </w:rPr>
        <w:t>редба</w:t>
      </w:r>
      <w:r w:rsidR="00A84FF5" w:rsidRPr="002E7853">
        <w:rPr>
          <w:rFonts w:cs="Times New Roman"/>
          <w:sz w:val="24"/>
          <w:szCs w:val="24"/>
        </w:rPr>
        <w:t xml:space="preserve"> </w:t>
      </w:r>
      <w:r w:rsidRPr="002E7853">
        <w:rPr>
          <w:rFonts w:cs="Times New Roman"/>
          <w:sz w:val="24"/>
          <w:szCs w:val="24"/>
        </w:rPr>
        <w:t>ступа</w:t>
      </w:r>
      <w:r w:rsidR="00A84FF5" w:rsidRPr="002E7853">
        <w:rPr>
          <w:rFonts w:cs="Times New Roman"/>
          <w:sz w:val="24"/>
          <w:szCs w:val="24"/>
        </w:rPr>
        <w:t xml:space="preserve"> </w:t>
      </w:r>
      <w:r w:rsidRPr="002E7853">
        <w:rPr>
          <w:rFonts w:cs="Times New Roman"/>
          <w:sz w:val="24"/>
          <w:szCs w:val="24"/>
        </w:rPr>
        <w:t>на</w:t>
      </w:r>
      <w:r w:rsidR="00A84FF5" w:rsidRPr="002E7853">
        <w:rPr>
          <w:rFonts w:cs="Times New Roman"/>
          <w:sz w:val="24"/>
          <w:szCs w:val="24"/>
        </w:rPr>
        <w:t xml:space="preserve"> </w:t>
      </w:r>
      <w:r w:rsidRPr="002E7853">
        <w:rPr>
          <w:rFonts w:cs="Times New Roman"/>
          <w:sz w:val="24"/>
          <w:szCs w:val="24"/>
        </w:rPr>
        <w:t>снагу</w:t>
      </w:r>
      <w:r w:rsidR="00A84FF5" w:rsidRPr="002E7853">
        <w:rPr>
          <w:rFonts w:cs="Times New Roman"/>
          <w:sz w:val="24"/>
          <w:szCs w:val="24"/>
        </w:rPr>
        <w:t xml:space="preserve"> </w:t>
      </w:r>
      <w:r w:rsidRPr="002E7853">
        <w:rPr>
          <w:rFonts w:cs="Times New Roman"/>
          <w:sz w:val="24"/>
          <w:szCs w:val="24"/>
        </w:rPr>
        <w:t>осмог</w:t>
      </w:r>
      <w:r w:rsidR="00D716DB" w:rsidRPr="002E7853">
        <w:rPr>
          <w:rFonts w:cs="Times New Roman"/>
          <w:sz w:val="24"/>
          <w:szCs w:val="24"/>
        </w:rPr>
        <w:t xml:space="preserve"> </w:t>
      </w:r>
      <w:r w:rsidRPr="002E7853">
        <w:rPr>
          <w:rFonts w:cs="Times New Roman"/>
          <w:sz w:val="24"/>
          <w:szCs w:val="24"/>
        </w:rPr>
        <w:t>дана</w:t>
      </w:r>
      <w:r w:rsidR="00D716DB" w:rsidRPr="002E7853">
        <w:rPr>
          <w:rFonts w:cs="Times New Roman"/>
          <w:sz w:val="24"/>
          <w:szCs w:val="24"/>
        </w:rPr>
        <w:t xml:space="preserve"> </w:t>
      </w:r>
      <w:r w:rsidRPr="002E7853">
        <w:rPr>
          <w:rFonts w:cs="Times New Roman"/>
          <w:sz w:val="24"/>
          <w:szCs w:val="24"/>
        </w:rPr>
        <w:t>од</w:t>
      </w:r>
      <w:r w:rsidR="00D716DB" w:rsidRPr="002E7853">
        <w:rPr>
          <w:rFonts w:cs="Times New Roman"/>
          <w:sz w:val="24"/>
          <w:szCs w:val="24"/>
        </w:rPr>
        <w:t xml:space="preserve"> </w:t>
      </w:r>
      <w:r w:rsidRPr="002E7853">
        <w:rPr>
          <w:rFonts w:cs="Times New Roman"/>
          <w:sz w:val="24"/>
          <w:szCs w:val="24"/>
        </w:rPr>
        <w:t>дана</w:t>
      </w:r>
      <w:r w:rsidR="00D716DB" w:rsidRPr="002E7853">
        <w:rPr>
          <w:rFonts w:cs="Times New Roman"/>
          <w:sz w:val="24"/>
          <w:szCs w:val="24"/>
        </w:rPr>
        <w:t xml:space="preserve"> </w:t>
      </w:r>
      <w:r w:rsidR="00323180" w:rsidRPr="002E7853">
        <w:rPr>
          <w:rFonts w:cs="Times New Roman"/>
          <w:sz w:val="24"/>
          <w:szCs w:val="24"/>
        </w:rPr>
        <w:t>објављ</w:t>
      </w:r>
      <w:r w:rsidRPr="002E7853">
        <w:rPr>
          <w:rFonts w:cs="Times New Roman"/>
          <w:sz w:val="24"/>
          <w:szCs w:val="24"/>
        </w:rPr>
        <w:t>ивања</w:t>
      </w:r>
      <w:r w:rsidR="00D716DB" w:rsidRPr="002E7853">
        <w:rPr>
          <w:rFonts w:cs="Times New Roman"/>
          <w:sz w:val="24"/>
          <w:szCs w:val="24"/>
        </w:rPr>
        <w:t xml:space="preserve"> </w:t>
      </w:r>
      <w:r w:rsidRPr="002E7853">
        <w:rPr>
          <w:rFonts w:cs="Times New Roman"/>
          <w:sz w:val="24"/>
          <w:szCs w:val="24"/>
        </w:rPr>
        <w:t>у</w:t>
      </w:r>
      <w:r w:rsidR="00D716DB" w:rsidRPr="002E7853">
        <w:rPr>
          <w:rFonts w:cs="Times New Roman"/>
          <w:sz w:val="24"/>
          <w:szCs w:val="24"/>
        </w:rPr>
        <w:t xml:space="preserve"> „</w:t>
      </w:r>
      <w:r w:rsidRPr="002E7853">
        <w:rPr>
          <w:rFonts w:cs="Times New Roman"/>
          <w:sz w:val="24"/>
          <w:szCs w:val="24"/>
        </w:rPr>
        <w:t>Службеном</w:t>
      </w:r>
      <w:r w:rsidR="00D716DB" w:rsidRPr="002E7853">
        <w:rPr>
          <w:rFonts w:cs="Times New Roman"/>
          <w:sz w:val="24"/>
          <w:szCs w:val="24"/>
        </w:rPr>
        <w:t xml:space="preserve"> </w:t>
      </w:r>
      <w:r w:rsidRPr="002E7853">
        <w:rPr>
          <w:rFonts w:cs="Times New Roman"/>
          <w:sz w:val="24"/>
          <w:szCs w:val="24"/>
        </w:rPr>
        <w:t>гласнику</w:t>
      </w:r>
      <w:r w:rsidR="00D716DB" w:rsidRPr="002E7853">
        <w:rPr>
          <w:rFonts w:cs="Times New Roman"/>
          <w:sz w:val="24"/>
          <w:szCs w:val="24"/>
        </w:rPr>
        <w:t xml:space="preserve"> </w:t>
      </w:r>
      <w:r w:rsidRPr="002E7853">
        <w:rPr>
          <w:rFonts w:cs="Times New Roman"/>
          <w:sz w:val="24"/>
          <w:szCs w:val="24"/>
        </w:rPr>
        <w:t>Републике</w:t>
      </w:r>
      <w:r w:rsidR="00D716DB" w:rsidRPr="002E7853">
        <w:rPr>
          <w:rFonts w:cs="Times New Roman"/>
          <w:sz w:val="24"/>
          <w:szCs w:val="24"/>
        </w:rPr>
        <w:t xml:space="preserve"> </w:t>
      </w:r>
      <w:r w:rsidRPr="002E7853">
        <w:rPr>
          <w:rFonts w:cs="Times New Roman"/>
          <w:sz w:val="24"/>
          <w:szCs w:val="24"/>
        </w:rPr>
        <w:t>Србије</w:t>
      </w:r>
      <w:r w:rsidR="006B588E" w:rsidRPr="002E7853">
        <w:rPr>
          <w:rFonts w:cs="Times New Roman"/>
          <w:bCs/>
          <w:color w:val="000000"/>
          <w:spacing w:val="-1"/>
          <w:sz w:val="24"/>
          <w:szCs w:val="24"/>
        </w:rPr>
        <w:t>”</w:t>
      </w:r>
      <w:r w:rsidR="00A84FF5" w:rsidRPr="002E7853">
        <w:rPr>
          <w:rFonts w:cs="Times New Roman"/>
          <w:sz w:val="24"/>
          <w:szCs w:val="24"/>
        </w:rPr>
        <w:t>.</w:t>
      </w:r>
    </w:p>
    <w:p w14:paraId="22B2AD2E" w14:textId="77777777" w:rsidR="0007416E" w:rsidRPr="002E7853" w:rsidRDefault="0007416E" w:rsidP="0007416E">
      <w:pPr>
        <w:rPr>
          <w:rFonts w:cs="Times New Roman"/>
          <w:sz w:val="6"/>
          <w:szCs w:val="6"/>
        </w:rPr>
      </w:pPr>
    </w:p>
    <w:p w14:paraId="27480C94" w14:textId="72712BE5" w:rsidR="006B588E" w:rsidRPr="006B588E" w:rsidRDefault="006B588E" w:rsidP="006B588E">
      <w:pPr>
        <w:spacing w:after="0" w:line="240" w:lineRule="auto"/>
        <w:rPr>
          <w:rFonts w:eastAsia="Times New Roman" w:cs="Times New Roman"/>
          <w:sz w:val="24"/>
          <w:szCs w:val="24"/>
        </w:rPr>
      </w:pPr>
      <w:r w:rsidRPr="006B588E">
        <w:rPr>
          <w:rFonts w:eastAsia="Times New Roman" w:cs="Times New Roman"/>
          <w:sz w:val="24"/>
          <w:szCs w:val="24"/>
        </w:rPr>
        <w:t>05 Број:</w:t>
      </w:r>
      <w:r w:rsidR="006F0D5E">
        <w:rPr>
          <w:rFonts w:eastAsia="Times New Roman" w:cs="Times New Roman"/>
          <w:sz w:val="24"/>
          <w:szCs w:val="24"/>
        </w:rPr>
        <w:t xml:space="preserve"> 110-5789/2025</w:t>
      </w:r>
    </w:p>
    <w:p w14:paraId="121748EF" w14:textId="77777777" w:rsidR="006B588E" w:rsidRPr="006B588E" w:rsidRDefault="006B588E" w:rsidP="006B588E">
      <w:pPr>
        <w:spacing w:after="0" w:line="240" w:lineRule="auto"/>
        <w:rPr>
          <w:rFonts w:eastAsia="Times New Roman" w:cs="Times New Roman"/>
          <w:sz w:val="24"/>
          <w:szCs w:val="24"/>
        </w:rPr>
      </w:pPr>
      <w:r w:rsidRPr="006B588E">
        <w:rPr>
          <w:rFonts w:eastAsia="Times New Roman" w:cs="Times New Roman"/>
          <w:sz w:val="24"/>
          <w:szCs w:val="24"/>
        </w:rPr>
        <w:t>У Београду, 5. јуна 2025. године</w:t>
      </w:r>
    </w:p>
    <w:p w14:paraId="2255B106" w14:textId="77777777" w:rsidR="006B588E" w:rsidRPr="006B588E" w:rsidRDefault="006B588E" w:rsidP="006B588E">
      <w:pPr>
        <w:spacing w:after="0" w:line="240" w:lineRule="auto"/>
        <w:rPr>
          <w:rFonts w:eastAsia="Times New Roman" w:cs="Times New Roman"/>
          <w:sz w:val="6"/>
          <w:szCs w:val="6"/>
        </w:rPr>
      </w:pPr>
    </w:p>
    <w:p w14:paraId="4C74EF7F" w14:textId="77777777" w:rsidR="006B588E" w:rsidRPr="006B588E" w:rsidRDefault="006B588E" w:rsidP="006B588E">
      <w:pPr>
        <w:spacing w:after="0" w:line="240" w:lineRule="auto"/>
        <w:jc w:val="center"/>
        <w:rPr>
          <w:rFonts w:eastAsia="Times New Roman" w:cs="Times New Roman"/>
          <w:sz w:val="24"/>
          <w:szCs w:val="24"/>
        </w:rPr>
      </w:pPr>
      <w:r w:rsidRPr="006B588E">
        <w:rPr>
          <w:rFonts w:eastAsia="Times New Roman" w:cs="Times New Roman"/>
          <w:sz w:val="24"/>
          <w:szCs w:val="24"/>
        </w:rPr>
        <w:t>В Л А Д А</w:t>
      </w:r>
    </w:p>
    <w:p w14:paraId="3D14BD71" w14:textId="77777777" w:rsidR="006B588E" w:rsidRPr="006B588E" w:rsidRDefault="006B588E" w:rsidP="006B588E">
      <w:pPr>
        <w:spacing w:after="0" w:line="240" w:lineRule="auto"/>
        <w:rPr>
          <w:rFonts w:eastAsia="Times New Roman" w:cs="Times New Roman"/>
          <w:sz w:val="24"/>
          <w:szCs w:val="24"/>
        </w:rPr>
      </w:pPr>
      <w:r w:rsidRPr="006B588E">
        <w:rPr>
          <w:rFonts w:eastAsia="Times New Roman" w:cs="Times New Roman"/>
          <w:sz w:val="24"/>
          <w:szCs w:val="24"/>
        </w:rPr>
        <w:t xml:space="preserve">                                                                                                                ПРЕДСЕДНИК</w:t>
      </w:r>
    </w:p>
    <w:p w14:paraId="5FB47DE0" w14:textId="77777777" w:rsidR="006B588E" w:rsidRPr="006B588E" w:rsidRDefault="006B588E" w:rsidP="006B588E">
      <w:pPr>
        <w:spacing w:after="0" w:line="240" w:lineRule="auto"/>
        <w:rPr>
          <w:rFonts w:eastAsia="Times New Roman" w:cs="Times New Roman"/>
          <w:sz w:val="24"/>
          <w:szCs w:val="24"/>
        </w:rPr>
      </w:pPr>
    </w:p>
    <w:p w14:paraId="2A4DF4CF" w14:textId="77777777" w:rsidR="006B588E" w:rsidRPr="006B588E" w:rsidRDefault="006B588E" w:rsidP="006B588E">
      <w:pPr>
        <w:spacing w:after="0" w:line="240" w:lineRule="auto"/>
        <w:rPr>
          <w:rFonts w:eastAsia="Times New Roman" w:cs="Times New Roman"/>
          <w:sz w:val="12"/>
          <w:szCs w:val="12"/>
        </w:rPr>
      </w:pPr>
    </w:p>
    <w:p w14:paraId="0BB57B66" w14:textId="5167991B" w:rsidR="006B588E" w:rsidRPr="006B588E" w:rsidRDefault="006B588E" w:rsidP="006B588E">
      <w:pPr>
        <w:spacing w:after="0" w:line="240" w:lineRule="auto"/>
        <w:rPr>
          <w:rFonts w:eastAsia="Times New Roman" w:cs="Times New Roman"/>
          <w:sz w:val="24"/>
          <w:szCs w:val="24"/>
        </w:rPr>
      </w:pPr>
      <w:r w:rsidRPr="006B588E">
        <w:rPr>
          <w:rFonts w:eastAsia="Times New Roman" w:cs="Times New Roman"/>
          <w:sz w:val="24"/>
          <w:szCs w:val="24"/>
        </w:rPr>
        <w:t xml:space="preserve">                                                                                                           </w:t>
      </w:r>
      <w:r w:rsidR="006F0D5E" w:rsidRPr="006F0D5E">
        <w:rPr>
          <w:rFonts w:eastAsia="Times New Roman" w:cs="Times New Roman"/>
          <w:sz w:val="24"/>
          <w:szCs w:val="24"/>
          <w:lang w:val="ru-RU"/>
        </w:rPr>
        <w:t>проф. др Ђуро Мацут, с.р</w:t>
      </w:r>
    </w:p>
    <w:p w14:paraId="61B34746" w14:textId="471AAC93" w:rsidR="002A3C14" w:rsidRPr="002E7853" w:rsidRDefault="002A3C14">
      <w:pPr>
        <w:rPr>
          <w:rFonts w:cs="Times New Roman"/>
          <w:sz w:val="24"/>
          <w:szCs w:val="24"/>
        </w:rPr>
      </w:pPr>
      <w:r w:rsidRPr="002E7853">
        <w:rPr>
          <w:rFonts w:cs="Times New Roman"/>
          <w:sz w:val="24"/>
          <w:szCs w:val="24"/>
        </w:rPr>
        <w:br w:type="page"/>
      </w:r>
    </w:p>
    <w:p w14:paraId="156856F7" w14:textId="07A0E4AE" w:rsidR="004F6D83" w:rsidRPr="002E7853" w:rsidRDefault="00B63F9A" w:rsidP="008B0803">
      <w:pPr>
        <w:jc w:val="center"/>
        <w:rPr>
          <w:rFonts w:cs="Times New Roman"/>
          <w:sz w:val="24"/>
          <w:szCs w:val="24"/>
        </w:rPr>
      </w:pPr>
      <w:r w:rsidRPr="002E7853">
        <w:rPr>
          <w:rFonts w:cs="Times New Roman"/>
          <w:sz w:val="24"/>
          <w:szCs w:val="24"/>
        </w:rPr>
        <w:lastRenderedPageBreak/>
        <w:t>Матрица</w:t>
      </w:r>
      <w:r w:rsidR="008E316F" w:rsidRPr="002E7853">
        <w:rPr>
          <w:rFonts w:cs="Times New Roman"/>
          <w:sz w:val="24"/>
          <w:szCs w:val="24"/>
        </w:rPr>
        <w:t xml:space="preserve"> </w:t>
      </w:r>
      <w:r w:rsidR="00F46B92" w:rsidRPr="002E7853">
        <w:rPr>
          <w:rFonts w:cs="Times New Roman"/>
          <w:sz w:val="24"/>
          <w:szCs w:val="24"/>
        </w:rPr>
        <w:t>утврђивања</w:t>
      </w:r>
      <w:r w:rsidR="008E316F" w:rsidRPr="002E7853">
        <w:rPr>
          <w:rFonts w:cs="Times New Roman"/>
          <w:sz w:val="24"/>
          <w:szCs w:val="24"/>
        </w:rPr>
        <w:t xml:space="preserve"> </w:t>
      </w:r>
      <w:r w:rsidRPr="002E7853">
        <w:rPr>
          <w:rFonts w:cs="Times New Roman"/>
          <w:sz w:val="24"/>
          <w:szCs w:val="24"/>
        </w:rPr>
        <w:t>одступања</w:t>
      </w:r>
      <w:r w:rsidR="008E316F" w:rsidRPr="002E7853">
        <w:rPr>
          <w:rFonts w:cs="Times New Roman"/>
          <w:sz w:val="24"/>
          <w:szCs w:val="24"/>
        </w:rPr>
        <w:t xml:space="preserve"> </w:t>
      </w:r>
      <w:r w:rsidRPr="002E7853">
        <w:rPr>
          <w:rFonts w:cs="Times New Roman"/>
          <w:sz w:val="24"/>
          <w:szCs w:val="24"/>
        </w:rPr>
        <w:t>од</w:t>
      </w:r>
      <w:r w:rsidR="008E316F" w:rsidRPr="002E7853">
        <w:rPr>
          <w:rFonts w:cs="Times New Roman"/>
          <w:sz w:val="24"/>
          <w:szCs w:val="24"/>
        </w:rPr>
        <w:t xml:space="preserve"> </w:t>
      </w:r>
      <w:r w:rsidRPr="002E7853">
        <w:rPr>
          <w:rFonts w:cs="Times New Roman"/>
          <w:sz w:val="24"/>
          <w:szCs w:val="24"/>
        </w:rPr>
        <w:t>општих</w:t>
      </w:r>
      <w:r w:rsidR="008E316F" w:rsidRPr="002E7853">
        <w:rPr>
          <w:rFonts w:cs="Times New Roman"/>
          <w:sz w:val="24"/>
          <w:szCs w:val="24"/>
        </w:rPr>
        <w:t xml:space="preserve"> </w:t>
      </w:r>
      <w:r w:rsidRPr="002E7853">
        <w:rPr>
          <w:rFonts w:cs="Times New Roman"/>
          <w:sz w:val="24"/>
          <w:szCs w:val="24"/>
        </w:rPr>
        <w:t>годишњих</w:t>
      </w:r>
      <w:r w:rsidR="008E316F" w:rsidRPr="002E7853">
        <w:rPr>
          <w:rFonts w:cs="Times New Roman"/>
          <w:sz w:val="24"/>
          <w:szCs w:val="24"/>
        </w:rPr>
        <w:t xml:space="preserve"> </w:t>
      </w:r>
      <w:r w:rsidRPr="002E7853">
        <w:rPr>
          <w:rFonts w:cs="Times New Roman"/>
          <w:sz w:val="24"/>
          <w:szCs w:val="24"/>
        </w:rPr>
        <w:t>циљева</w:t>
      </w:r>
    </w:p>
    <w:tbl>
      <w:tblPr>
        <w:tblStyle w:val="TableGrid"/>
        <w:tblW w:w="0" w:type="auto"/>
        <w:jc w:val="center"/>
        <w:tblLook w:val="04A0" w:firstRow="1" w:lastRow="0" w:firstColumn="1" w:lastColumn="0" w:noHBand="0" w:noVBand="1"/>
      </w:tblPr>
      <w:tblGrid>
        <w:gridCol w:w="2255"/>
        <w:gridCol w:w="2253"/>
        <w:gridCol w:w="2255"/>
        <w:gridCol w:w="2253"/>
      </w:tblGrid>
      <w:tr w:rsidR="00BB1569" w:rsidRPr="002E7853" w14:paraId="733AA69A" w14:textId="77777777" w:rsidTr="008E316F">
        <w:trPr>
          <w:jc w:val="center"/>
        </w:trPr>
        <w:tc>
          <w:tcPr>
            <w:tcW w:w="2255" w:type="dxa"/>
            <w:vAlign w:val="center"/>
          </w:tcPr>
          <w:p w14:paraId="5BDEE8C4" w14:textId="0EBAD372" w:rsidR="008E316F" w:rsidRPr="00C5601D" w:rsidRDefault="00B63F9A" w:rsidP="00B63F9A">
            <w:pPr>
              <w:jc w:val="center"/>
              <w:rPr>
                <w:rFonts w:ascii="Times New Roman" w:hAnsi="Times New Roman" w:cs="Times New Roman"/>
                <w:bCs/>
                <w:sz w:val="18"/>
                <w:szCs w:val="18"/>
              </w:rPr>
            </w:pPr>
            <w:r w:rsidRPr="00C5601D">
              <w:rPr>
                <w:rFonts w:ascii="Times New Roman" w:hAnsi="Times New Roman" w:cs="Times New Roman"/>
                <w:bCs/>
                <w:sz w:val="18"/>
                <w:szCs w:val="18"/>
              </w:rPr>
              <w:t>Врста</w:t>
            </w:r>
            <w:r w:rsidR="00677A36" w:rsidRPr="00C5601D">
              <w:rPr>
                <w:rFonts w:ascii="Times New Roman" w:hAnsi="Times New Roman" w:cs="Times New Roman"/>
                <w:bCs/>
                <w:sz w:val="18"/>
                <w:szCs w:val="18"/>
              </w:rPr>
              <w:t xml:space="preserve"> </w:t>
            </w:r>
            <w:r w:rsidRPr="00C5601D">
              <w:rPr>
                <w:rFonts w:ascii="Times New Roman" w:hAnsi="Times New Roman" w:cs="Times New Roman"/>
                <w:bCs/>
                <w:sz w:val="18"/>
                <w:szCs w:val="18"/>
              </w:rPr>
              <w:t>утицаја</w:t>
            </w:r>
            <w:r w:rsidR="00677A36" w:rsidRPr="00C5601D">
              <w:rPr>
                <w:rFonts w:ascii="Times New Roman" w:hAnsi="Times New Roman" w:cs="Times New Roman"/>
                <w:bCs/>
                <w:sz w:val="18"/>
                <w:szCs w:val="18"/>
              </w:rPr>
              <w:t>/</w:t>
            </w:r>
            <w:r w:rsidRPr="00C5601D">
              <w:rPr>
                <w:rFonts w:ascii="Times New Roman" w:hAnsi="Times New Roman" w:cs="Times New Roman"/>
                <w:bCs/>
                <w:sz w:val="18"/>
                <w:szCs w:val="18"/>
              </w:rPr>
              <w:t>ризика</w:t>
            </w:r>
          </w:p>
        </w:tc>
        <w:tc>
          <w:tcPr>
            <w:tcW w:w="2253" w:type="dxa"/>
            <w:vAlign w:val="center"/>
          </w:tcPr>
          <w:p w14:paraId="11948624" w14:textId="409F7640" w:rsidR="008E316F" w:rsidRPr="00C5601D" w:rsidRDefault="00B63F9A" w:rsidP="00B63F9A">
            <w:pPr>
              <w:jc w:val="center"/>
              <w:rPr>
                <w:rFonts w:ascii="Times New Roman" w:hAnsi="Times New Roman" w:cs="Times New Roman"/>
                <w:bCs/>
                <w:sz w:val="18"/>
                <w:szCs w:val="18"/>
              </w:rPr>
            </w:pPr>
            <w:r w:rsidRPr="00C5601D">
              <w:rPr>
                <w:rFonts w:ascii="Times New Roman" w:hAnsi="Times New Roman" w:cs="Times New Roman"/>
                <w:bCs/>
                <w:sz w:val="18"/>
                <w:szCs w:val="18"/>
              </w:rPr>
              <w:t>Значајан</w:t>
            </w:r>
            <w:r w:rsidR="008E316F" w:rsidRPr="00C5601D">
              <w:rPr>
                <w:rFonts w:ascii="Times New Roman" w:hAnsi="Times New Roman" w:cs="Times New Roman"/>
                <w:bCs/>
                <w:sz w:val="18"/>
                <w:szCs w:val="18"/>
              </w:rPr>
              <w:t xml:space="preserve"> </w:t>
            </w:r>
            <w:r w:rsidRPr="00C5601D">
              <w:rPr>
                <w:rFonts w:ascii="Times New Roman" w:hAnsi="Times New Roman" w:cs="Times New Roman"/>
                <w:bCs/>
                <w:sz w:val="18"/>
                <w:szCs w:val="18"/>
              </w:rPr>
              <w:t>утицај</w:t>
            </w:r>
            <w:r w:rsidR="00677A36" w:rsidRPr="00C5601D">
              <w:rPr>
                <w:rFonts w:ascii="Times New Roman" w:hAnsi="Times New Roman" w:cs="Times New Roman"/>
                <w:bCs/>
                <w:sz w:val="18"/>
                <w:szCs w:val="18"/>
              </w:rPr>
              <w:t>/</w:t>
            </w:r>
            <w:r w:rsidRPr="00C5601D">
              <w:rPr>
                <w:rFonts w:ascii="Times New Roman" w:hAnsi="Times New Roman" w:cs="Times New Roman"/>
                <w:bCs/>
                <w:sz w:val="18"/>
                <w:szCs w:val="18"/>
              </w:rPr>
              <w:t>ризик</w:t>
            </w:r>
          </w:p>
        </w:tc>
        <w:tc>
          <w:tcPr>
            <w:tcW w:w="2255" w:type="dxa"/>
            <w:vAlign w:val="center"/>
          </w:tcPr>
          <w:p w14:paraId="09EACBE1" w14:textId="1AAE5D63" w:rsidR="008E316F" w:rsidRPr="00C5601D" w:rsidRDefault="00B63F9A" w:rsidP="00B63F9A">
            <w:pPr>
              <w:jc w:val="center"/>
              <w:rPr>
                <w:rFonts w:ascii="Times New Roman" w:hAnsi="Times New Roman" w:cs="Times New Roman"/>
                <w:bCs/>
                <w:sz w:val="18"/>
                <w:szCs w:val="18"/>
              </w:rPr>
            </w:pPr>
            <w:r w:rsidRPr="00C5601D">
              <w:rPr>
                <w:rFonts w:ascii="Times New Roman" w:hAnsi="Times New Roman" w:cs="Times New Roman"/>
                <w:bCs/>
                <w:sz w:val="18"/>
                <w:szCs w:val="18"/>
              </w:rPr>
              <w:t>Средњи</w:t>
            </w:r>
            <w:r w:rsidR="008E316F" w:rsidRPr="00C5601D">
              <w:rPr>
                <w:rFonts w:ascii="Times New Roman" w:hAnsi="Times New Roman" w:cs="Times New Roman"/>
                <w:bCs/>
                <w:sz w:val="18"/>
                <w:szCs w:val="18"/>
              </w:rPr>
              <w:t xml:space="preserve"> </w:t>
            </w:r>
            <w:r w:rsidRPr="00C5601D">
              <w:rPr>
                <w:rFonts w:ascii="Times New Roman" w:hAnsi="Times New Roman" w:cs="Times New Roman"/>
                <w:bCs/>
                <w:sz w:val="18"/>
                <w:szCs w:val="18"/>
              </w:rPr>
              <w:t>утицај</w:t>
            </w:r>
            <w:r w:rsidR="00677A36" w:rsidRPr="00C5601D">
              <w:rPr>
                <w:rFonts w:ascii="Times New Roman" w:hAnsi="Times New Roman" w:cs="Times New Roman"/>
                <w:bCs/>
                <w:sz w:val="18"/>
                <w:szCs w:val="18"/>
              </w:rPr>
              <w:t>/</w:t>
            </w:r>
            <w:r w:rsidRPr="00C5601D">
              <w:rPr>
                <w:rFonts w:ascii="Times New Roman" w:hAnsi="Times New Roman" w:cs="Times New Roman"/>
                <w:bCs/>
                <w:sz w:val="18"/>
                <w:szCs w:val="18"/>
              </w:rPr>
              <w:t>ризик</w:t>
            </w:r>
          </w:p>
        </w:tc>
        <w:tc>
          <w:tcPr>
            <w:tcW w:w="2253" w:type="dxa"/>
            <w:vAlign w:val="center"/>
          </w:tcPr>
          <w:p w14:paraId="0F9C1E14" w14:textId="1F237B43" w:rsidR="008E316F" w:rsidRPr="00C5601D" w:rsidRDefault="00B63F9A" w:rsidP="00B63F9A">
            <w:pPr>
              <w:jc w:val="center"/>
              <w:rPr>
                <w:rFonts w:ascii="Times New Roman" w:hAnsi="Times New Roman" w:cs="Times New Roman"/>
                <w:bCs/>
                <w:sz w:val="18"/>
                <w:szCs w:val="18"/>
              </w:rPr>
            </w:pPr>
            <w:r w:rsidRPr="00C5601D">
              <w:rPr>
                <w:rFonts w:ascii="Times New Roman" w:hAnsi="Times New Roman" w:cs="Times New Roman"/>
                <w:bCs/>
                <w:sz w:val="18"/>
                <w:szCs w:val="18"/>
              </w:rPr>
              <w:t>Ниски</w:t>
            </w:r>
            <w:r w:rsidR="008E316F" w:rsidRPr="00C5601D">
              <w:rPr>
                <w:rFonts w:ascii="Times New Roman" w:hAnsi="Times New Roman" w:cs="Times New Roman"/>
                <w:bCs/>
                <w:sz w:val="18"/>
                <w:szCs w:val="18"/>
              </w:rPr>
              <w:t xml:space="preserve"> </w:t>
            </w:r>
            <w:r w:rsidRPr="00C5601D">
              <w:rPr>
                <w:rFonts w:ascii="Times New Roman" w:hAnsi="Times New Roman" w:cs="Times New Roman"/>
                <w:bCs/>
                <w:sz w:val="18"/>
                <w:szCs w:val="18"/>
              </w:rPr>
              <w:t>утицај</w:t>
            </w:r>
            <w:r w:rsidR="00677A36" w:rsidRPr="00C5601D">
              <w:rPr>
                <w:rFonts w:ascii="Times New Roman" w:hAnsi="Times New Roman" w:cs="Times New Roman"/>
                <w:bCs/>
                <w:sz w:val="18"/>
                <w:szCs w:val="18"/>
              </w:rPr>
              <w:t>/</w:t>
            </w:r>
            <w:r w:rsidRPr="00C5601D">
              <w:rPr>
                <w:rFonts w:ascii="Times New Roman" w:hAnsi="Times New Roman" w:cs="Times New Roman"/>
                <w:bCs/>
                <w:sz w:val="18"/>
                <w:szCs w:val="18"/>
              </w:rPr>
              <w:t>ризик</w:t>
            </w:r>
          </w:p>
        </w:tc>
      </w:tr>
      <w:tr w:rsidR="00BB1569" w:rsidRPr="002E7853" w14:paraId="77234E89" w14:textId="77777777" w:rsidTr="008E316F">
        <w:trPr>
          <w:jc w:val="center"/>
        </w:trPr>
        <w:tc>
          <w:tcPr>
            <w:tcW w:w="2255" w:type="dxa"/>
            <w:vAlign w:val="center"/>
          </w:tcPr>
          <w:p w14:paraId="2C164AC6" w14:textId="07C917FF"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1. </w:t>
            </w:r>
            <w:r w:rsidR="00B63F9A" w:rsidRPr="00C5601D">
              <w:rPr>
                <w:rFonts w:ascii="Times New Roman" w:hAnsi="Times New Roman" w:cs="Times New Roman"/>
                <w:bCs/>
                <w:sz w:val="18"/>
                <w:szCs w:val="18"/>
              </w:rPr>
              <w:t>Утицај</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националну</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стратегију</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w:t>
            </w:r>
            <w:r w:rsidR="00995641" w:rsidRPr="00C5601D">
              <w:rPr>
                <w:rFonts w:ascii="Times New Roman" w:hAnsi="Times New Roman" w:cs="Times New Roman"/>
                <w:bCs/>
                <w:sz w:val="18"/>
                <w:szCs w:val="18"/>
              </w:rPr>
              <w:t xml:space="preserve"> стратешке</w:t>
            </w:r>
            <w:r w:rsidRPr="00C5601D">
              <w:rPr>
                <w:rFonts w:ascii="Times New Roman" w:hAnsi="Times New Roman" w:cs="Times New Roman"/>
                <w:bCs/>
                <w:sz w:val="18"/>
                <w:szCs w:val="18"/>
              </w:rPr>
              <w:t xml:space="preserve"> </w:t>
            </w:r>
            <w:r w:rsidR="00995641" w:rsidRPr="00C5601D">
              <w:rPr>
                <w:rFonts w:ascii="Times New Roman" w:hAnsi="Times New Roman" w:cs="Times New Roman"/>
                <w:bCs/>
                <w:sz w:val="18"/>
                <w:szCs w:val="18"/>
              </w:rPr>
              <w:t>интересе</w:t>
            </w:r>
          </w:p>
        </w:tc>
        <w:tc>
          <w:tcPr>
            <w:tcW w:w="2253" w:type="dxa"/>
          </w:tcPr>
          <w:p w14:paraId="6E3F45E6" w14:textId="64F333F0"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ремети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кључне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националне</w:t>
            </w:r>
            <w:r w:rsidR="008E316F" w:rsidRPr="002E7853">
              <w:rPr>
                <w:rFonts w:ascii="Times New Roman" w:hAnsi="Times New Roman" w:cs="Times New Roman"/>
                <w:sz w:val="18"/>
                <w:szCs w:val="18"/>
              </w:rPr>
              <w:t xml:space="preserve"> </w:t>
            </w:r>
            <w:r w:rsidR="00995641" w:rsidRPr="002E7853">
              <w:rPr>
                <w:rFonts w:ascii="Times New Roman" w:hAnsi="Times New Roman" w:cs="Times New Roman"/>
                <w:sz w:val="18"/>
                <w:szCs w:val="18"/>
              </w:rPr>
              <w:t>и стратешке интересе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економске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друштвене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еколошке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угрожавајући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дугорочне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планове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реформе</w:t>
            </w:r>
            <w:r w:rsidR="008E316F" w:rsidRPr="002E7853">
              <w:rPr>
                <w:rFonts w:ascii="Times New Roman" w:hAnsi="Times New Roman" w:cs="Times New Roman"/>
                <w:sz w:val="18"/>
                <w:szCs w:val="18"/>
              </w:rPr>
              <w:t>.</w:t>
            </w:r>
          </w:p>
        </w:tc>
        <w:tc>
          <w:tcPr>
            <w:tcW w:w="2255" w:type="dxa"/>
          </w:tcPr>
          <w:p w14:paraId="0C697CB2" w14:textId="6207905B"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одлаже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постизање</w:t>
            </w:r>
            <w:r w:rsidR="008E316F" w:rsidRPr="002E7853">
              <w:rPr>
                <w:rFonts w:ascii="Times New Roman" w:hAnsi="Times New Roman" w:cs="Times New Roman"/>
                <w:sz w:val="18"/>
                <w:szCs w:val="18"/>
              </w:rPr>
              <w:t xml:space="preserve"> </w:t>
            </w:r>
            <w:r w:rsidR="00995641" w:rsidRPr="002E7853">
              <w:rPr>
                <w:rFonts w:ascii="Times New Roman" w:hAnsi="Times New Roman" w:cs="Times New Roman"/>
                <w:sz w:val="18"/>
                <w:szCs w:val="18"/>
              </w:rPr>
              <w:t>дугорочних планова и реформи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изазива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проблеме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постоји</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могућност</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примене</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адекватних</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корективних</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мера</w:t>
            </w:r>
            <w:r w:rsidR="008E316F" w:rsidRPr="002E7853">
              <w:rPr>
                <w:rFonts w:ascii="Times New Roman" w:hAnsi="Times New Roman" w:cs="Times New Roman"/>
                <w:sz w:val="18"/>
                <w:szCs w:val="18"/>
              </w:rPr>
              <w:t>.</w:t>
            </w:r>
          </w:p>
        </w:tc>
        <w:tc>
          <w:tcPr>
            <w:tcW w:w="2253" w:type="dxa"/>
          </w:tcPr>
          <w:p w14:paraId="45E1811F" w14:textId="216F8DEC"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националну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стратегију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00995641" w:rsidRPr="002E7853">
              <w:rPr>
                <w:rFonts w:ascii="Times New Roman" w:hAnsi="Times New Roman" w:cs="Times New Roman"/>
                <w:sz w:val="18"/>
                <w:szCs w:val="18"/>
              </w:rPr>
              <w:t>стратешке интересе</w:t>
            </w:r>
            <w:r w:rsidR="008E316F" w:rsidRPr="002E7853">
              <w:rPr>
                <w:rFonts w:ascii="Times New Roman" w:hAnsi="Times New Roman" w:cs="Times New Roman"/>
                <w:sz w:val="18"/>
                <w:szCs w:val="18"/>
              </w:rPr>
              <w:t>.</w:t>
            </w:r>
          </w:p>
        </w:tc>
      </w:tr>
      <w:tr w:rsidR="00BB1569" w:rsidRPr="002E7853" w14:paraId="27665337" w14:textId="77777777" w:rsidTr="008E316F">
        <w:trPr>
          <w:jc w:val="center"/>
        </w:trPr>
        <w:tc>
          <w:tcPr>
            <w:tcW w:w="2255" w:type="dxa"/>
            <w:vAlign w:val="center"/>
          </w:tcPr>
          <w:p w14:paraId="2088DA87" w14:textId="6FF13057"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2. </w:t>
            </w:r>
            <w:r w:rsidR="00B63F9A" w:rsidRPr="00C5601D">
              <w:rPr>
                <w:rFonts w:ascii="Times New Roman" w:hAnsi="Times New Roman" w:cs="Times New Roman"/>
                <w:bCs/>
                <w:sz w:val="18"/>
                <w:szCs w:val="18"/>
              </w:rPr>
              <w:t>Утицај</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усклађеност</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пословања</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са</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законом</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w:t>
            </w:r>
            <w:r w:rsidR="00CD3073"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прописима</w:t>
            </w:r>
          </w:p>
        </w:tc>
        <w:tc>
          <w:tcPr>
            <w:tcW w:w="2253" w:type="dxa"/>
          </w:tcPr>
          <w:p w14:paraId="3D343127" w14:textId="2124EF9A"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угрожава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усклађеност</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законима</w:t>
            </w:r>
            <w:r w:rsidR="00CD3073"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прописима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што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може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довести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правних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последица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ризика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новчаних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казни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покретања</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поступака</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губитка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дозвола</w:t>
            </w:r>
            <w:r w:rsidR="008E316F" w:rsidRPr="002E7853">
              <w:rPr>
                <w:rFonts w:ascii="Times New Roman" w:hAnsi="Times New Roman" w:cs="Times New Roman"/>
                <w:sz w:val="18"/>
                <w:szCs w:val="18"/>
              </w:rPr>
              <w:t>/</w:t>
            </w:r>
            <w:r w:rsidRPr="002E7853">
              <w:rPr>
                <w:rFonts w:ascii="Times New Roman" w:hAnsi="Times New Roman" w:cs="Times New Roman"/>
                <w:sz w:val="18"/>
                <w:szCs w:val="18"/>
              </w:rPr>
              <w:t>лиценци</w:t>
            </w:r>
            <w:r w:rsidR="008E316F" w:rsidRPr="002E7853">
              <w:rPr>
                <w:rFonts w:ascii="Times New Roman" w:hAnsi="Times New Roman" w:cs="Times New Roman"/>
                <w:sz w:val="18"/>
                <w:szCs w:val="18"/>
              </w:rPr>
              <w:t>.</w:t>
            </w:r>
          </w:p>
        </w:tc>
        <w:tc>
          <w:tcPr>
            <w:tcW w:w="2255" w:type="dxa"/>
          </w:tcPr>
          <w:p w14:paraId="164E8348" w14:textId="702F2FF9"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Мање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неусклађености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могућ</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додатни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надзор</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корективне</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мере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постоји</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ризик</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казни</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других</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правних</w:t>
            </w:r>
            <w:r w:rsidR="00921C55"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санкција</w:t>
            </w:r>
            <w:r w:rsidR="008E316F" w:rsidRPr="002E7853">
              <w:rPr>
                <w:rFonts w:ascii="Times New Roman" w:hAnsi="Times New Roman" w:cs="Times New Roman"/>
                <w:sz w:val="18"/>
                <w:szCs w:val="18"/>
              </w:rPr>
              <w:t>.</w:t>
            </w:r>
          </w:p>
        </w:tc>
        <w:tc>
          <w:tcPr>
            <w:tcW w:w="2253" w:type="dxa"/>
          </w:tcPr>
          <w:p w14:paraId="5D0F1A06" w14:textId="657FEBB8"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законске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регулаторне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захтеве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Друштво</w:t>
            </w:r>
            <w:r w:rsidR="002D0B5C"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потпуно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усклађено</w:t>
            </w:r>
            <w:r w:rsidR="008E316F" w:rsidRPr="002E7853">
              <w:rPr>
                <w:rFonts w:ascii="Times New Roman" w:hAnsi="Times New Roman" w:cs="Times New Roman"/>
                <w:sz w:val="18"/>
                <w:szCs w:val="18"/>
              </w:rPr>
              <w:t>.</w:t>
            </w:r>
          </w:p>
        </w:tc>
      </w:tr>
      <w:tr w:rsidR="00BB1569" w:rsidRPr="002E7853" w14:paraId="7112970E" w14:textId="77777777" w:rsidTr="008E316F">
        <w:trPr>
          <w:jc w:val="center"/>
        </w:trPr>
        <w:tc>
          <w:tcPr>
            <w:tcW w:w="2255" w:type="dxa"/>
            <w:vAlign w:val="center"/>
          </w:tcPr>
          <w:p w14:paraId="1B932233" w14:textId="18FF12C8"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3. </w:t>
            </w:r>
            <w:r w:rsidR="00B63F9A" w:rsidRPr="00C5601D">
              <w:rPr>
                <w:rFonts w:ascii="Times New Roman" w:hAnsi="Times New Roman" w:cs="Times New Roman"/>
                <w:bCs/>
                <w:sz w:val="18"/>
                <w:szCs w:val="18"/>
              </w:rPr>
              <w:t>Финансијски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утицај</w:t>
            </w:r>
          </w:p>
        </w:tc>
        <w:tc>
          <w:tcPr>
            <w:tcW w:w="2253" w:type="dxa"/>
          </w:tcPr>
          <w:p w14:paraId="7693C15C" w14:textId="72538D25"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узрокује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значајан</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пад</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прихода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велике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неочекиване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трошкове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поремећаје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буџету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ризик</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финансијске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нестабилности</w:t>
            </w:r>
            <w:r w:rsidR="008E316F" w:rsidRPr="002E7853">
              <w:rPr>
                <w:rFonts w:ascii="Times New Roman" w:hAnsi="Times New Roman" w:cs="Times New Roman"/>
                <w:sz w:val="18"/>
                <w:szCs w:val="18"/>
              </w:rPr>
              <w:t>.</w:t>
            </w:r>
          </w:p>
        </w:tc>
        <w:tc>
          <w:tcPr>
            <w:tcW w:w="2255" w:type="dxa"/>
          </w:tcPr>
          <w:p w14:paraId="1D6DE787" w14:textId="146B928B"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Мања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одступања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буџету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већих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финансијских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проблема</w:t>
            </w:r>
            <w:r w:rsidR="008E316F" w:rsidRPr="002E7853">
              <w:rPr>
                <w:rFonts w:ascii="Times New Roman" w:hAnsi="Times New Roman" w:cs="Times New Roman"/>
                <w:sz w:val="18"/>
                <w:szCs w:val="18"/>
              </w:rPr>
              <w:t>.</w:t>
            </w:r>
          </w:p>
        </w:tc>
        <w:tc>
          <w:tcPr>
            <w:tcW w:w="2253" w:type="dxa"/>
          </w:tcPr>
          <w:p w14:paraId="1C57D853" w14:textId="52F66608"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финансијске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резултате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Сви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планирани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финансијски</w:t>
            </w:r>
            <w:r w:rsidR="008E316F" w:rsidRPr="002E7853">
              <w:rPr>
                <w:rFonts w:ascii="Times New Roman" w:hAnsi="Times New Roman" w:cs="Times New Roman"/>
                <w:sz w:val="18"/>
                <w:szCs w:val="18"/>
              </w:rPr>
              <w:t xml:space="preserve"> </w:t>
            </w:r>
            <w:r w:rsidR="00995641" w:rsidRPr="002E7853">
              <w:rPr>
                <w:rFonts w:ascii="Times New Roman" w:hAnsi="Times New Roman" w:cs="Times New Roman"/>
                <w:sz w:val="18"/>
                <w:szCs w:val="18"/>
              </w:rPr>
              <w:t>интереси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остају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стабилни</w:t>
            </w:r>
            <w:r w:rsidR="008E316F" w:rsidRPr="002E7853">
              <w:rPr>
                <w:rFonts w:ascii="Times New Roman" w:hAnsi="Times New Roman" w:cs="Times New Roman"/>
                <w:sz w:val="18"/>
                <w:szCs w:val="18"/>
              </w:rPr>
              <w:t>.</w:t>
            </w:r>
          </w:p>
        </w:tc>
      </w:tr>
      <w:tr w:rsidR="00BB1569" w:rsidRPr="002E7853" w14:paraId="0F830DDC" w14:textId="77777777" w:rsidTr="008E316F">
        <w:trPr>
          <w:jc w:val="center"/>
        </w:trPr>
        <w:tc>
          <w:tcPr>
            <w:tcW w:w="2255" w:type="dxa"/>
            <w:vAlign w:val="center"/>
          </w:tcPr>
          <w:p w14:paraId="7139E90C" w14:textId="562E4B96"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4. </w:t>
            </w:r>
            <w:r w:rsidR="00B63F9A" w:rsidRPr="00C5601D">
              <w:rPr>
                <w:rFonts w:ascii="Times New Roman" w:hAnsi="Times New Roman" w:cs="Times New Roman"/>
                <w:bCs/>
                <w:sz w:val="18"/>
                <w:szCs w:val="18"/>
              </w:rPr>
              <w:t>Друштвени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утицај</w:t>
            </w:r>
          </w:p>
        </w:tc>
        <w:tc>
          <w:tcPr>
            <w:tcW w:w="2253" w:type="dxa"/>
          </w:tcPr>
          <w:p w14:paraId="55AE6007" w14:textId="1C89A593"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утиче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квалитет</w:t>
            </w:r>
            <w:r w:rsidR="00F14FD3"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производа</w:t>
            </w:r>
            <w:r w:rsidR="00F14FD3"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услуга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кориснике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изазивајући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јавно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незадовољство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протесте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кризу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поверења</w:t>
            </w:r>
            <w:r w:rsidR="008E316F" w:rsidRPr="002E7853">
              <w:rPr>
                <w:rFonts w:ascii="Times New Roman" w:hAnsi="Times New Roman" w:cs="Times New Roman"/>
                <w:sz w:val="18"/>
                <w:szCs w:val="18"/>
              </w:rPr>
              <w:t>.</w:t>
            </w:r>
          </w:p>
        </w:tc>
        <w:tc>
          <w:tcPr>
            <w:tcW w:w="2255" w:type="dxa"/>
          </w:tcPr>
          <w:p w14:paraId="1DA6D153" w14:textId="026C9210"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Негативна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јавна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перцепција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без</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дугорочних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последица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кориснике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поверење</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јавности</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у</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институције</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државе</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друштво</w:t>
            </w:r>
            <w:r w:rsidR="00EC0C30"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w:t>
            </w:r>
          </w:p>
        </w:tc>
        <w:tc>
          <w:tcPr>
            <w:tcW w:w="2253" w:type="dxa"/>
          </w:tcPr>
          <w:p w14:paraId="23B91C65" w14:textId="2F86C566"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приметног</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кориснике</w:t>
            </w:r>
            <w:r w:rsidR="00E5434C"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јавно</w:t>
            </w:r>
            <w:r w:rsidR="008E316F" w:rsidRPr="002E7853">
              <w:rPr>
                <w:rFonts w:ascii="Times New Roman" w:hAnsi="Times New Roman" w:cs="Times New Roman"/>
                <w:sz w:val="18"/>
                <w:szCs w:val="18"/>
              </w:rPr>
              <w:t xml:space="preserve"> </w:t>
            </w:r>
            <w:r w:rsidR="002E7853">
              <w:rPr>
                <w:rFonts w:ascii="Times New Roman" w:hAnsi="Times New Roman" w:cs="Times New Roman"/>
                <w:sz w:val="18"/>
                <w:szCs w:val="18"/>
              </w:rPr>
              <w:t>мњ</w:t>
            </w:r>
            <w:r w:rsidRPr="002E7853">
              <w:rPr>
                <w:rFonts w:ascii="Times New Roman" w:hAnsi="Times New Roman" w:cs="Times New Roman"/>
                <w:sz w:val="18"/>
                <w:szCs w:val="18"/>
              </w:rPr>
              <w:t>ење</w:t>
            </w:r>
            <w:r w:rsidR="008E316F" w:rsidRPr="002E7853">
              <w:rPr>
                <w:rFonts w:ascii="Times New Roman" w:hAnsi="Times New Roman" w:cs="Times New Roman"/>
                <w:sz w:val="18"/>
                <w:szCs w:val="18"/>
              </w:rPr>
              <w:t>.</w:t>
            </w:r>
          </w:p>
        </w:tc>
      </w:tr>
      <w:tr w:rsidR="00BB1569" w:rsidRPr="002E7853" w14:paraId="71C75037" w14:textId="77777777" w:rsidTr="008E316F">
        <w:trPr>
          <w:jc w:val="center"/>
        </w:trPr>
        <w:tc>
          <w:tcPr>
            <w:tcW w:w="2255" w:type="dxa"/>
            <w:vAlign w:val="center"/>
          </w:tcPr>
          <w:p w14:paraId="31B7691F" w14:textId="2AD3F9BD"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5. </w:t>
            </w:r>
            <w:r w:rsidR="00B63F9A" w:rsidRPr="00C5601D">
              <w:rPr>
                <w:rFonts w:ascii="Times New Roman" w:hAnsi="Times New Roman" w:cs="Times New Roman"/>
                <w:bCs/>
                <w:sz w:val="18"/>
                <w:szCs w:val="18"/>
              </w:rPr>
              <w:t>Утицај</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еколошке</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циљеве</w:t>
            </w:r>
          </w:p>
        </w:tc>
        <w:tc>
          <w:tcPr>
            <w:tcW w:w="2253" w:type="dxa"/>
          </w:tcPr>
          <w:p w14:paraId="64488694" w14:textId="101CF456"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крши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еколошке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стандарде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узрокује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штету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животној</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средини</w:t>
            </w:r>
            <w:r w:rsidR="008E316F" w:rsidRPr="002E7853">
              <w:rPr>
                <w:rFonts w:ascii="Times New Roman" w:hAnsi="Times New Roman" w:cs="Times New Roman"/>
                <w:sz w:val="18"/>
                <w:szCs w:val="18"/>
              </w:rPr>
              <w:t>.</w:t>
            </w:r>
          </w:p>
        </w:tc>
        <w:tc>
          <w:tcPr>
            <w:tcW w:w="2255" w:type="dxa"/>
          </w:tcPr>
          <w:p w14:paraId="4D5FBE12" w14:textId="30E54B5F"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Ограничени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еколошки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проблеми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захтевају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додатне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корективне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мере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без</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еколошких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последица</w:t>
            </w:r>
            <w:r w:rsidR="008E316F" w:rsidRPr="002E7853">
              <w:rPr>
                <w:rFonts w:ascii="Times New Roman" w:hAnsi="Times New Roman" w:cs="Times New Roman"/>
                <w:sz w:val="18"/>
                <w:szCs w:val="18"/>
              </w:rPr>
              <w:t>.</w:t>
            </w:r>
          </w:p>
        </w:tc>
        <w:tc>
          <w:tcPr>
            <w:tcW w:w="2253" w:type="dxa"/>
          </w:tcPr>
          <w:p w14:paraId="6D0B9E5D" w14:textId="2D5E4682"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Друштво</w:t>
            </w:r>
            <w:r w:rsidR="00847BBC"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послује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складу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прописима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заштити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животне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средине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без</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негативног</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w:t>
            </w:r>
          </w:p>
        </w:tc>
      </w:tr>
      <w:tr w:rsidR="00BB1569" w:rsidRPr="002E7853" w14:paraId="0ECE3B60" w14:textId="77777777" w:rsidTr="008E316F">
        <w:trPr>
          <w:jc w:val="center"/>
        </w:trPr>
        <w:tc>
          <w:tcPr>
            <w:tcW w:w="2255" w:type="dxa"/>
            <w:vAlign w:val="center"/>
          </w:tcPr>
          <w:p w14:paraId="065D46B2" w14:textId="59FCE388"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6. </w:t>
            </w:r>
            <w:r w:rsidR="00B63F9A" w:rsidRPr="00C5601D">
              <w:rPr>
                <w:rFonts w:ascii="Times New Roman" w:hAnsi="Times New Roman" w:cs="Times New Roman"/>
                <w:bCs/>
                <w:sz w:val="18"/>
                <w:szCs w:val="18"/>
              </w:rPr>
              <w:t>Утицај</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оперативну</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ефикасност</w:t>
            </w:r>
          </w:p>
        </w:tc>
        <w:tc>
          <w:tcPr>
            <w:tcW w:w="2253" w:type="dxa"/>
          </w:tcPr>
          <w:p w14:paraId="436DBFC1" w14:textId="31146368"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BD2135"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доводи</w:t>
            </w:r>
            <w:r w:rsidR="00BD2135"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w:t>
            </w:r>
            <w:r w:rsidR="00BD2135" w:rsidRPr="002E7853">
              <w:rPr>
                <w:rFonts w:ascii="Times New Roman" w:hAnsi="Times New Roman" w:cs="Times New Roman"/>
                <w:sz w:val="18"/>
                <w:szCs w:val="18"/>
              </w:rPr>
              <w:t xml:space="preserve"> </w:t>
            </w:r>
            <w:r w:rsidRPr="002E7853">
              <w:rPr>
                <w:rFonts w:ascii="Times New Roman" w:hAnsi="Times New Roman" w:cs="Times New Roman"/>
                <w:sz w:val="18"/>
                <w:szCs w:val="18"/>
              </w:rPr>
              <w:t>значајног</w:t>
            </w:r>
            <w:r w:rsidR="00BD2135" w:rsidRPr="002E7853">
              <w:rPr>
                <w:rFonts w:ascii="Times New Roman" w:hAnsi="Times New Roman" w:cs="Times New Roman"/>
                <w:sz w:val="18"/>
                <w:szCs w:val="18"/>
              </w:rPr>
              <w:t xml:space="preserve"> </w:t>
            </w:r>
            <w:r w:rsidRPr="002E7853">
              <w:rPr>
                <w:rFonts w:ascii="Times New Roman" w:hAnsi="Times New Roman" w:cs="Times New Roman"/>
                <w:sz w:val="18"/>
                <w:szCs w:val="18"/>
              </w:rPr>
              <w:t>смањења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квалитета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услуге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стварање</w:t>
            </w:r>
            <w:r w:rsidR="00025CDD"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уских</w:t>
            </w:r>
            <w:r w:rsidR="00025CDD" w:rsidRPr="002E7853">
              <w:rPr>
                <w:rFonts w:ascii="Times New Roman" w:hAnsi="Times New Roman" w:cs="Times New Roman"/>
                <w:sz w:val="18"/>
                <w:szCs w:val="18"/>
              </w:rPr>
              <w:t xml:space="preserve"> </w:t>
            </w:r>
            <w:r w:rsidRPr="002E7853">
              <w:rPr>
                <w:rFonts w:ascii="Times New Roman" w:hAnsi="Times New Roman" w:cs="Times New Roman"/>
                <w:sz w:val="18"/>
                <w:szCs w:val="18"/>
              </w:rPr>
              <w:t>грла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смањења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задовољства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корисника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немогућности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испуњења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основне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мисије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друштва</w:t>
            </w:r>
            <w:r w:rsidR="00025CDD"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w:t>
            </w:r>
          </w:p>
        </w:tc>
        <w:tc>
          <w:tcPr>
            <w:tcW w:w="2255" w:type="dxa"/>
          </w:tcPr>
          <w:p w14:paraId="64622594" w14:textId="1E1789F0"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Мања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кашњења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смањена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ефикасност</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основне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пословне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операције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настављају</w:t>
            </w:r>
            <w:r w:rsidR="008E316F" w:rsidRPr="002E7853">
              <w:rPr>
                <w:rFonts w:ascii="Times New Roman" w:hAnsi="Times New Roman" w:cs="Times New Roman"/>
                <w:sz w:val="18"/>
                <w:szCs w:val="18"/>
              </w:rPr>
              <w:t>.</w:t>
            </w:r>
          </w:p>
        </w:tc>
        <w:tc>
          <w:tcPr>
            <w:tcW w:w="2253" w:type="dxa"/>
          </w:tcPr>
          <w:p w14:paraId="24489022" w14:textId="4812CF4B"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Оперативни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процеси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стабилни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усклађени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плановима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без</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већих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успоравања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смањења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ефикасности</w:t>
            </w:r>
            <w:r w:rsidR="008E316F" w:rsidRPr="002E7853">
              <w:rPr>
                <w:rFonts w:ascii="Times New Roman" w:hAnsi="Times New Roman" w:cs="Times New Roman"/>
                <w:sz w:val="18"/>
                <w:szCs w:val="18"/>
              </w:rPr>
              <w:t>.</w:t>
            </w:r>
          </w:p>
        </w:tc>
      </w:tr>
      <w:tr w:rsidR="00BB1569" w:rsidRPr="002E7853" w14:paraId="3CDF6FE2" w14:textId="77777777" w:rsidTr="008E316F">
        <w:trPr>
          <w:jc w:val="center"/>
        </w:trPr>
        <w:tc>
          <w:tcPr>
            <w:tcW w:w="2255" w:type="dxa"/>
            <w:vAlign w:val="center"/>
          </w:tcPr>
          <w:p w14:paraId="18C88F3E" w14:textId="6F1193D6"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7. </w:t>
            </w:r>
            <w:r w:rsidR="00B63F9A" w:rsidRPr="00C5601D">
              <w:rPr>
                <w:rFonts w:ascii="Times New Roman" w:hAnsi="Times New Roman" w:cs="Times New Roman"/>
                <w:bCs/>
                <w:sz w:val="18"/>
                <w:szCs w:val="18"/>
              </w:rPr>
              <w:t>Репутација</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поверење</w:t>
            </w:r>
          </w:p>
        </w:tc>
        <w:tc>
          <w:tcPr>
            <w:tcW w:w="2253" w:type="dxa"/>
          </w:tcPr>
          <w:p w14:paraId="612C0E4B" w14:textId="2AA6408F"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025CDD" w:rsidRPr="002E7853">
              <w:rPr>
                <w:rFonts w:ascii="Times New Roman" w:hAnsi="Times New Roman" w:cs="Times New Roman"/>
                <w:sz w:val="18"/>
                <w:szCs w:val="18"/>
              </w:rPr>
              <w:t xml:space="preserve"> </w:t>
            </w:r>
            <w:r w:rsidRPr="002E7853">
              <w:rPr>
                <w:rFonts w:ascii="Times New Roman" w:hAnsi="Times New Roman" w:cs="Times New Roman"/>
                <w:sz w:val="18"/>
                <w:szCs w:val="18"/>
              </w:rPr>
              <w:t>значајно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оштећује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репутацију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друштва</w:t>
            </w:r>
            <w:r w:rsidR="00025CDD"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доводећи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губитка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поверења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међу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корисницима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приватним</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инвеститорима</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ако</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постоје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пословним</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партнерима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Криза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репутације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дугорочним</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негативним</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ефектима</w:t>
            </w:r>
            <w:r w:rsidR="008E316F" w:rsidRPr="002E7853">
              <w:rPr>
                <w:rFonts w:ascii="Times New Roman" w:hAnsi="Times New Roman" w:cs="Times New Roman"/>
                <w:sz w:val="18"/>
                <w:szCs w:val="18"/>
              </w:rPr>
              <w:t>.</w:t>
            </w:r>
          </w:p>
        </w:tc>
        <w:tc>
          <w:tcPr>
            <w:tcW w:w="2255" w:type="dxa"/>
          </w:tcPr>
          <w:p w14:paraId="722D4C1A" w14:textId="06308AB9"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узрокује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привремене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негативне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реакције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трајног</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репутацију</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друштва</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w:t>
            </w:r>
          </w:p>
        </w:tc>
        <w:tc>
          <w:tcPr>
            <w:tcW w:w="2253" w:type="dxa"/>
          </w:tcPr>
          <w:p w14:paraId="4ECD811F" w14:textId="21EDB4F6"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репутацију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друштва</w:t>
            </w:r>
            <w:r w:rsidR="00CD5E66"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Репутација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поверење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остају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нетакнути</w:t>
            </w:r>
            <w:r w:rsidR="008E316F" w:rsidRPr="002E7853">
              <w:rPr>
                <w:rFonts w:ascii="Times New Roman" w:hAnsi="Times New Roman" w:cs="Times New Roman"/>
                <w:sz w:val="18"/>
                <w:szCs w:val="18"/>
              </w:rPr>
              <w:t>.</w:t>
            </w:r>
          </w:p>
        </w:tc>
      </w:tr>
      <w:tr w:rsidR="00BB1569" w:rsidRPr="002E7853" w14:paraId="17604F90" w14:textId="77777777" w:rsidTr="008E316F">
        <w:trPr>
          <w:jc w:val="center"/>
        </w:trPr>
        <w:tc>
          <w:tcPr>
            <w:tcW w:w="2255" w:type="dxa"/>
            <w:vAlign w:val="center"/>
          </w:tcPr>
          <w:p w14:paraId="62D400F9" w14:textId="5CE086E4"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8. </w:t>
            </w:r>
            <w:r w:rsidR="00B63F9A" w:rsidRPr="00C5601D">
              <w:rPr>
                <w:rFonts w:ascii="Times New Roman" w:hAnsi="Times New Roman" w:cs="Times New Roman"/>
                <w:bCs/>
                <w:sz w:val="18"/>
                <w:szCs w:val="18"/>
              </w:rPr>
              <w:t>Утицај</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00F04EF1"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радне</w:t>
            </w:r>
            <w:r w:rsidR="00F04EF1"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односе</w:t>
            </w:r>
            <w:r w:rsidR="00F04EF1"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w:t>
            </w:r>
            <w:r w:rsidR="00F04EF1"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запослене</w:t>
            </w:r>
          </w:p>
        </w:tc>
        <w:tc>
          <w:tcPr>
            <w:tcW w:w="2253" w:type="dxa"/>
          </w:tcPr>
          <w:p w14:paraId="7A36426B" w14:textId="1A130E75"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може</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довести</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последица</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као</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што</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су</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масовно</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отпуштање</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запослених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драстично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смањење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зарада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погоршање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услова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рада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губитак</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кључних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ресурса</w:t>
            </w:r>
            <w:r w:rsidR="008E316F" w:rsidRPr="002E7853">
              <w:rPr>
                <w:rFonts w:ascii="Times New Roman" w:hAnsi="Times New Roman" w:cs="Times New Roman"/>
                <w:sz w:val="18"/>
                <w:szCs w:val="18"/>
              </w:rPr>
              <w:t>.</w:t>
            </w:r>
          </w:p>
        </w:tc>
        <w:tc>
          <w:tcPr>
            <w:tcW w:w="2255" w:type="dxa"/>
          </w:tcPr>
          <w:p w14:paraId="0E9F0DA4" w14:textId="0D6F3EBE"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може</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довести</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тога</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да</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су</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потребна</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мања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прилагођавања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области</w:t>
            </w:r>
            <w:r w:rsidR="00F04EF1"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запошљавања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што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смањење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новог</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запошљавања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броја</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радних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реорганизација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тимова</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запослених</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слично</w:t>
            </w:r>
            <w:r w:rsidR="008E316F" w:rsidRPr="002E7853">
              <w:rPr>
                <w:rFonts w:ascii="Times New Roman" w:hAnsi="Times New Roman" w:cs="Times New Roman"/>
                <w:sz w:val="18"/>
                <w:szCs w:val="18"/>
              </w:rPr>
              <w:t>.</w:t>
            </w:r>
          </w:p>
          <w:p w14:paraId="06DB0F58" w14:textId="77777777" w:rsidR="008E316F" w:rsidRPr="002E7853" w:rsidRDefault="008E316F" w:rsidP="00B63F9A">
            <w:pPr>
              <w:jc w:val="center"/>
              <w:rPr>
                <w:rFonts w:ascii="Times New Roman" w:hAnsi="Times New Roman" w:cs="Times New Roman"/>
                <w:sz w:val="18"/>
                <w:szCs w:val="18"/>
              </w:rPr>
            </w:pPr>
          </w:p>
        </w:tc>
        <w:tc>
          <w:tcPr>
            <w:tcW w:w="2253" w:type="dxa"/>
          </w:tcPr>
          <w:p w14:paraId="1CE85061" w14:textId="7E61AC43"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запошљавање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Друштво</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одржава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стабилан</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број</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запослених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адекватне</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услове</w:t>
            </w:r>
            <w:r w:rsidR="00D11FE3"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рада</w:t>
            </w:r>
            <w:r w:rsidR="008E316F" w:rsidRPr="002E7853">
              <w:rPr>
                <w:rFonts w:ascii="Times New Roman" w:hAnsi="Times New Roman" w:cs="Times New Roman"/>
                <w:sz w:val="18"/>
                <w:szCs w:val="18"/>
              </w:rPr>
              <w:t>.</w:t>
            </w:r>
          </w:p>
        </w:tc>
      </w:tr>
      <w:tr w:rsidR="00BB1569" w:rsidRPr="002E7853" w14:paraId="146F0C9D" w14:textId="77777777" w:rsidTr="008E316F">
        <w:trPr>
          <w:jc w:val="center"/>
        </w:trPr>
        <w:tc>
          <w:tcPr>
            <w:tcW w:w="2255" w:type="dxa"/>
            <w:vAlign w:val="center"/>
          </w:tcPr>
          <w:p w14:paraId="64D9153C" w14:textId="09324E0A"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lastRenderedPageBreak/>
              <w:t xml:space="preserve">9. </w:t>
            </w:r>
            <w:r w:rsidR="00B63F9A" w:rsidRPr="00C5601D">
              <w:rPr>
                <w:rFonts w:ascii="Times New Roman" w:hAnsi="Times New Roman" w:cs="Times New Roman"/>
                <w:bCs/>
                <w:sz w:val="18"/>
                <w:szCs w:val="18"/>
              </w:rPr>
              <w:t>Утицај</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конкурентност</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тржишни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положај</w:t>
            </w:r>
          </w:p>
        </w:tc>
        <w:tc>
          <w:tcPr>
            <w:tcW w:w="2253" w:type="dxa"/>
          </w:tcPr>
          <w:p w14:paraId="77109B66" w14:textId="18F4E7F1"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може</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резултирати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губитком</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кључних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тржишних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позиција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повећањем</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ризика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од</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прекида</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пословања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губитком</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купаца</w:t>
            </w:r>
            <w:r w:rsidR="008E316F" w:rsidRPr="002E7853">
              <w:rPr>
                <w:rFonts w:ascii="Times New Roman" w:hAnsi="Times New Roman" w:cs="Times New Roman"/>
                <w:sz w:val="18"/>
                <w:szCs w:val="18"/>
              </w:rPr>
              <w:t>.</w:t>
            </w:r>
          </w:p>
        </w:tc>
        <w:tc>
          <w:tcPr>
            <w:tcW w:w="2255" w:type="dxa"/>
          </w:tcPr>
          <w:p w14:paraId="53269AE1" w14:textId="7627486B"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благи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тржишни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положај</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друштво</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задржава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конкурентске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предности</w:t>
            </w:r>
            <w:r w:rsidR="008E316F" w:rsidRPr="002E7853">
              <w:rPr>
                <w:rFonts w:ascii="Times New Roman" w:hAnsi="Times New Roman" w:cs="Times New Roman"/>
                <w:sz w:val="18"/>
                <w:szCs w:val="18"/>
              </w:rPr>
              <w:t>.</w:t>
            </w:r>
          </w:p>
        </w:tc>
        <w:tc>
          <w:tcPr>
            <w:tcW w:w="2253" w:type="dxa"/>
          </w:tcPr>
          <w:p w14:paraId="0B108947" w14:textId="12A7008A"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конкурентност</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тржишни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положај</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Тржишни</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положај</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друштва</w:t>
            </w:r>
            <w:r w:rsidR="00A77811"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остаје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стабилан</w:t>
            </w:r>
            <w:r w:rsidR="008E316F" w:rsidRPr="002E7853">
              <w:rPr>
                <w:rFonts w:ascii="Times New Roman" w:hAnsi="Times New Roman" w:cs="Times New Roman"/>
                <w:sz w:val="18"/>
                <w:szCs w:val="18"/>
              </w:rPr>
              <w:t>.</w:t>
            </w:r>
          </w:p>
        </w:tc>
      </w:tr>
      <w:tr w:rsidR="008E316F" w:rsidRPr="002E7853" w14:paraId="2CFECB63" w14:textId="77777777" w:rsidTr="008E316F">
        <w:trPr>
          <w:jc w:val="center"/>
        </w:trPr>
        <w:tc>
          <w:tcPr>
            <w:tcW w:w="2255" w:type="dxa"/>
            <w:vAlign w:val="center"/>
          </w:tcPr>
          <w:p w14:paraId="03438FC5" w14:textId="5C0B60DC" w:rsidR="008E316F" w:rsidRPr="00C5601D" w:rsidRDefault="008E316F" w:rsidP="00B63F9A">
            <w:pPr>
              <w:rPr>
                <w:rFonts w:ascii="Times New Roman" w:hAnsi="Times New Roman" w:cs="Times New Roman"/>
                <w:bCs/>
                <w:sz w:val="18"/>
                <w:szCs w:val="18"/>
              </w:rPr>
            </w:pPr>
            <w:r w:rsidRPr="00C5601D">
              <w:rPr>
                <w:rFonts w:ascii="Times New Roman" w:hAnsi="Times New Roman" w:cs="Times New Roman"/>
                <w:bCs/>
                <w:sz w:val="18"/>
                <w:szCs w:val="18"/>
              </w:rPr>
              <w:t xml:space="preserve">10. </w:t>
            </w:r>
            <w:r w:rsidR="00B63F9A" w:rsidRPr="00C5601D">
              <w:rPr>
                <w:rFonts w:ascii="Times New Roman" w:hAnsi="Times New Roman" w:cs="Times New Roman"/>
                <w:bCs/>
                <w:sz w:val="18"/>
                <w:szCs w:val="18"/>
              </w:rPr>
              <w:t>Утицај</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на</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иновације</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технолошки</w:t>
            </w:r>
            <w:r w:rsidRPr="00C5601D">
              <w:rPr>
                <w:rFonts w:ascii="Times New Roman" w:hAnsi="Times New Roman" w:cs="Times New Roman"/>
                <w:bCs/>
                <w:sz w:val="18"/>
                <w:szCs w:val="18"/>
              </w:rPr>
              <w:t xml:space="preserve"> </w:t>
            </w:r>
            <w:r w:rsidR="00B63F9A" w:rsidRPr="00C5601D">
              <w:rPr>
                <w:rFonts w:ascii="Times New Roman" w:hAnsi="Times New Roman" w:cs="Times New Roman"/>
                <w:bCs/>
                <w:sz w:val="18"/>
                <w:szCs w:val="18"/>
              </w:rPr>
              <w:t>развој</w:t>
            </w:r>
          </w:p>
        </w:tc>
        <w:tc>
          <w:tcPr>
            <w:tcW w:w="2253" w:type="dxa"/>
          </w:tcPr>
          <w:p w14:paraId="51EF3CE6" w14:textId="24AEFA98"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Одступање</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може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озбиљно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омести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иновације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истраживање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технолошки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развој</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што</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може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довести</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до</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заостајања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конкурентима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Потенцијалне</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дугорочне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негативне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последице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за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раст</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друштва</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w:t>
            </w:r>
          </w:p>
        </w:tc>
        <w:tc>
          <w:tcPr>
            <w:tcW w:w="2255" w:type="dxa"/>
          </w:tcPr>
          <w:p w14:paraId="62003692" w14:textId="6B3587AE"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Мања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кашњења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развоју</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нових</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технологија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иновација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али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друштво</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остаје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путу</w:t>
            </w:r>
            <w:r w:rsidR="008E316F" w:rsidRPr="002E7853">
              <w:rPr>
                <w:rFonts w:ascii="Times New Roman" w:hAnsi="Times New Roman" w:cs="Times New Roman"/>
                <w:sz w:val="18"/>
                <w:szCs w:val="18"/>
              </w:rPr>
              <w:t xml:space="preserve"> </w:t>
            </w:r>
            <w:r w:rsidR="009504E1" w:rsidRPr="009504E1">
              <w:rPr>
                <w:rFonts w:ascii="Times New Roman" w:hAnsi="Times New Roman" w:cs="Times New Roman"/>
                <w:sz w:val="18"/>
                <w:szCs w:val="18"/>
              </w:rPr>
              <w:t>иновациј</w:t>
            </w:r>
            <w:r w:rsidR="0015192E" w:rsidRPr="009504E1">
              <w:rPr>
                <w:rFonts w:ascii="Times New Roman" w:hAnsi="Times New Roman" w:cs="Times New Roman"/>
                <w:sz w:val="18"/>
                <w:szCs w:val="18"/>
              </w:rPr>
              <w:t>а</w:t>
            </w:r>
            <w:r w:rsidR="008E316F" w:rsidRPr="002E7853">
              <w:rPr>
                <w:rFonts w:ascii="Times New Roman" w:hAnsi="Times New Roman" w:cs="Times New Roman"/>
                <w:sz w:val="18"/>
                <w:szCs w:val="18"/>
              </w:rPr>
              <w:t>.</w:t>
            </w:r>
          </w:p>
          <w:p w14:paraId="3D3A68EA" w14:textId="77777777" w:rsidR="008E316F" w:rsidRPr="002E7853" w:rsidRDefault="008E316F" w:rsidP="00B63F9A">
            <w:pPr>
              <w:rPr>
                <w:rFonts w:ascii="Times New Roman" w:hAnsi="Times New Roman" w:cs="Times New Roman"/>
                <w:sz w:val="18"/>
                <w:szCs w:val="18"/>
              </w:rPr>
            </w:pPr>
          </w:p>
          <w:p w14:paraId="04D7A5BD" w14:textId="77777777" w:rsidR="008E316F" w:rsidRPr="002E7853" w:rsidRDefault="008E316F" w:rsidP="00B63F9A">
            <w:pPr>
              <w:ind w:firstLine="708"/>
              <w:rPr>
                <w:rFonts w:ascii="Times New Roman" w:hAnsi="Times New Roman" w:cs="Times New Roman"/>
                <w:sz w:val="18"/>
                <w:szCs w:val="18"/>
              </w:rPr>
            </w:pPr>
          </w:p>
        </w:tc>
        <w:tc>
          <w:tcPr>
            <w:tcW w:w="2253" w:type="dxa"/>
          </w:tcPr>
          <w:p w14:paraId="5FFDF722" w14:textId="57983249" w:rsidR="008E316F" w:rsidRPr="002E7853" w:rsidRDefault="00B63F9A" w:rsidP="00B63F9A">
            <w:pPr>
              <w:rPr>
                <w:rFonts w:ascii="Times New Roman" w:hAnsi="Times New Roman" w:cs="Times New Roman"/>
                <w:sz w:val="18"/>
                <w:szCs w:val="18"/>
              </w:rPr>
            </w:pPr>
            <w:r w:rsidRPr="002E7853">
              <w:rPr>
                <w:rFonts w:ascii="Times New Roman" w:hAnsi="Times New Roman" w:cs="Times New Roman"/>
                <w:sz w:val="18"/>
                <w:szCs w:val="18"/>
              </w:rPr>
              <w:t>Нема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негативног</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утицаја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на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иновације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технолошки</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развој</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Друштво</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капитала</w:t>
            </w:r>
            <w:r w:rsidR="007708A7" w:rsidRPr="002E7853">
              <w:rPr>
                <w:rFonts w:ascii="Times New Roman" w:hAnsi="Times New Roman" w:cs="Times New Roman"/>
                <w:sz w:val="18"/>
                <w:szCs w:val="18"/>
              </w:rPr>
              <w:t xml:space="preserve"> </w:t>
            </w:r>
            <w:r w:rsidRPr="002E7853">
              <w:rPr>
                <w:rFonts w:ascii="Times New Roman" w:hAnsi="Times New Roman" w:cs="Times New Roman"/>
                <w:sz w:val="18"/>
                <w:szCs w:val="18"/>
              </w:rPr>
              <w:t>се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усклађује</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са</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технолошким</w:t>
            </w:r>
            <w:r w:rsidR="008E316F" w:rsidRPr="002E7853">
              <w:rPr>
                <w:rFonts w:ascii="Times New Roman" w:hAnsi="Times New Roman" w:cs="Times New Roman"/>
                <w:sz w:val="18"/>
                <w:szCs w:val="18"/>
              </w:rPr>
              <w:t xml:space="preserve"> </w:t>
            </w:r>
            <w:r w:rsidRPr="002E7853">
              <w:rPr>
                <w:rFonts w:ascii="Times New Roman" w:hAnsi="Times New Roman" w:cs="Times New Roman"/>
                <w:sz w:val="18"/>
                <w:szCs w:val="18"/>
              </w:rPr>
              <w:t>трендовима</w:t>
            </w:r>
            <w:r w:rsidR="008E316F" w:rsidRPr="002E7853">
              <w:rPr>
                <w:rFonts w:ascii="Times New Roman" w:hAnsi="Times New Roman" w:cs="Times New Roman"/>
                <w:sz w:val="18"/>
                <w:szCs w:val="18"/>
              </w:rPr>
              <w:t>.</w:t>
            </w:r>
          </w:p>
        </w:tc>
      </w:tr>
    </w:tbl>
    <w:p w14:paraId="251F2D3D" w14:textId="77777777" w:rsidR="008E316F" w:rsidRPr="002E7853" w:rsidRDefault="008E316F" w:rsidP="00E44755">
      <w:pPr>
        <w:rPr>
          <w:rFonts w:cs="Times New Roman"/>
          <w:sz w:val="18"/>
          <w:szCs w:val="18"/>
        </w:rPr>
      </w:pPr>
    </w:p>
    <w:sectPr w:rsidR="008E316F" w:rsidRPr="002E7853" w:rsidSect="006B588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57FC3" w14:textId="77777777" w:rsidR="00E26649" w:rsidRPr="00306A1D" w:rsidRDefault="00E26649" w:rsidP="00963E08">
      <w:pPr>
        <w:spacing w:after="0" w:line="240" w:lineRule="auto"/>
      </w:pPr>
      <w:r w:rsidRPr="00306A1D">
        <w:separator/>
      </w:r>
    </w:p>
  </w:endnote>
  <w:endnote w:type="continuationSeparator" w:id="0">
    <w:p w14:paraId="1E895FFE" w14:textId="77777777" w:rsidR="00E26649" w:rsidRPr="00306A1D" w:rsidRDefault="00E26649" w:rsidP="00963E08">
      <w:pPr>
        <w:spacing w:after="0" w:line="240" w:lineRule="auto"/>
      </w:pPr>
      <w:r w:rsidRPr="00306A1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1A233" w14:textId="39F42E8F" w:rsidR="00B63F9A" w:rsidRPr="00306A1D" w:rsidRDefault="00B63F9A">
    <w:pPr>
      <w:pStyle w:val="Footer"/>
    </w:pPr>
    <w:r w:rsidRPr="0074024E">
      <w:rPr>
        <w:noProof/>
        <w:lang w:val="en-US"/>
      </w:rPr>
      <mc:AlternateContent>
        <mc:Choice Requires="wps">
          <w:drawing>
            <wp:anchor distT="0" distB="0" distL="0" distR="0" simplePos="0" relativeHeight="251662336" behindDoc="0" locked="0" layoutInCell="1" allowOverlap="1" wp14:anchorId="67AAFF0F" wp14:editId="491A5310">
              <wp:simplePos x="635" y="635"/>
              <wp:positionH relativeFrom="page">
                <wp:align>center</wp:align>
              </wp:positionH>
              <wp:positionV relativeFrom="page">
                <wp:align>bottom</wp:align>
              </wp:positionV>
              <wp:extent cx="443865" cy="443865"/>
              <wp:effectExtent l="0" t="0" r="14605" b="0"/>
              <wp:wrapNone/>
              <wp:docPr id="5"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5953FE" w14:textId="0DF813E3" w:rsidR="00B63F9A" w:rsidRPr="00986E26" w:rsidRDefault="00B63F9A" w:rsidP="00963E08">
                          <w:pPr>
                            <w:spacing w:after="0"/>
                            <w:rPr>
                              <w:rFonts w:ascii="Calibri" w:eastAsia="Calibri" w:hAnsi="Calibri" w:cs="Calibri"/>
                              <w:color w:val="0000FF"/>
                              <w:sz w:val="20"/>
                              <w:szCs w:val="20"/>
                            </w:rPr>
                          </w:pPr>
                          <w:r w:rsidRPr="00986E26">
                            <w:rPr>
                              <w:rFonts w:ascii="Calibri" w:eastAsia="Calibri" w:hAnsi="Calibri" w:cs="Calibri"/>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AAFF0F" id="_x0000_t202" coordsize="21600,21600" o:spt="202" path="m,l,21600r21600,l21600,xe">
              <v:stroke joinstyle="miter"/>
              <v:path gradientshapeok="t" o:connecttype="rect"/>
            </v:shapetype>
            <v:shape id="Text Box 5" o:spid="_x0000_s1027" type="#_x0000_t202" alt="OFFICIAL USE"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IQ1hJ1oAgAAqwQAAA4AAAAAAAAAAAAAAAAALgIAAGRycy9l&#10;Mm9Eb2MueG1sUEsBAi0AFAAGAAgAAAAhADft0fjZAAAAAwEAAA8AAAAAAAAAAAAAAAAAwgQAAGRy&#10;cy9kb3ducmV2LnhtbFBLBQYAAAAABAAEAPMAAADIBQAAAAA=&#10;" filled="f" stroked="f">
              <v:textbox style="mso-fit-shape-to-text:t" inset="0,0,0,15pt">
                <w:txbxContent>
                  <w:p w14:paraId="505953FE" w14:textId="0DF813E3" w:rsidR="00B63F9A" w:rsidRPr="00986E26" w:rsidRDefault="00B63F9A" w:rsidP="00963E08">
                    <w:pPr>
                      <w:spacing w:after="0"/>
                      <w:rPr>
                        <w:rFonts w:ascii="Calibri" w:eastAsia="Calibri" w:hAnsi="Calibri" w:cs="Calibri"/>
                        <w:color w:val="0000FF"/>
                        <w:sz w:val="20"/>
                        <w:szCs w:val="20"/>
                      </w:rPr>
                    </w:pPr>
                    <w:r w:rsidRPr="00986E26">
                      <w:rPr>
                        <w:rFonts w:ascii="Calibri" w:eastAsia="Calibri" w:hAnsi="Calibri" w:cs="Calibri"/>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7623E" w14:textId="7723CD82" w:rsidR="00B63F9A" w:rsidRPr="00306A1D" w:rsidRDefault="00B63F9A">
    <w:pPr>
      <w:pStyle w:val="Footer"/>
    </w:pPr>
    <w:r w:rsidRPr="0074024E">
      <w:rPr>
        <w:noProof/>
        <w:lang w:val="en-US"/>
      </w:rPr>
      <mc:AlternateContent>
        <mc:Choice Requires="wps">
          <w:drawing>
            <wp:anchor distT="0" distB="0" distL="0" distR="0" simplePos="0" relativeHeight="251663360" behindDoc="0" locked="0" layoutInCell="1" allowOverlap="1" wp14:anchorId="338FDC01" wp14:editId="237B6A6E">
              <wp:simplePos x="914400" y="10081260"/>
              <wp:positionH relativeFrom="page">
                <wp:align>center</wp:align>
              </wp:positionH>
              <wp:positionV relativeFrom="page">
                <wp:align>bottom</wp:align>
              </wp:positionV>
              <wp:extent cx="443865" cy="443865"/>
              <wp:effectExtent l="0" t="0" r="14605" b="0"/>
              <wp:wrapNone/>
              <wp:docPr id="6" name="Text Box 6"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B5398A" w14:textId="7EF276BA" w:rsidR="00B63F9A" w:rsidRPr="00986E26" w:rsidRDefault="00B63F9A" w:rsidP="00963E08">
                          <w:pPr>
                            <w:spacing w:after="0"/>
                            <w:rPr>
                              <w:rFonts w:ascii="Calibri" w:eastAsia="Calibri" w:hAnsi="Calibri" w:cs="Calibri"/>
                              <w:color w:val="0000F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8FDC01" id="_x0000_t202" coordsize="21600,21600" o:spt="202" path="m,l,21600r21600,l21600,xe">
              <v:stroke joinstyle="miter"/>
              <v:path gradientshapeok="t" o:connecttype="rect"/>
            </v:shapetype>
            <v:shape id="Text Box 6" o:spid="_x0000_s1028" type="#_x0000_t202" alt="OFFICIAL USE"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ZMwQ4GoCAACrBAAADgAAAAAAAAAAAAAAAAAuAgAAZHJz&#10;L2Uyb0RvYy54bWxQSwECLQAUAAYACAAAACEAN+3R+NkAAAADAQAADwAAAAAAAAAAAAAAAADEBAAA&#10;ZHJzL2Rvd25yZXYueG1sUEsFBgAAAAAEAAQA8wAAAMoFAAAAAA==&#10;" filled="f" stroked="f">
              <v:textbox style="mso-fit-shape-to-text:t" inset="0,0,0,15pt">
                <w:txbxContent>
                  <w:p w14:paraId="28B5398A" w14:textId="7EF276BA" w:rsidR="00B63F9A" w:rsidRPr="00986E26" w:rsidRDefault="00B63F9A" w:rsidP="00963E08">
                    <w:pPr>
                      <w:spacing w:after="0"/>
                      <w:rPr>
                        <w:rFonts w:ascii="Calibri" w:eastAsia="Calibri" w:hAnsi="Calibri" w:cs="Calibri"/>
                        <w:color w:val="0000FF"/>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BA58" w14:textId="179FFB22" w:rsidR="00B63F9A" w:rsidRPr="00306A1D" w:rsidRDefault="00B63F9A">
    <w:pPr>
      <w:pStyle w:val="Footer"/>
    </w:pPr>
    <w:r w:rsidRPr="0074024E">
      <w:rPr>
        <w:noProof/>
        <w:lang w:val="en-US"/>
      </w:rPr>
      <mc:AlternateContent>
        <mc:Choice Requires="wps">
          <w:drawing>
            <wp:anchor distT="0" distB="0" distL="0" distR="0" simplePos="0" relativeHeight="251661312" behindDoc="0" locked="0" layoutInCell="1" allowOverlap="1" wp14:anchorId="6F720DB5" wp14:editId="53A9CB27">
              <wp:simplePos x="635" y="635"/>
              <wp:positionH relativeFrom="page">
                <wp:align>center</wp:align>
              </wp:positionH>
              <wp:positionV relativeFrom="page">
                <wp:align>bottom</wp:align>
              </wp:positionV>
              <wp:extent cx="443865" cy="443865"/>
              <wp:effectExtent l="0" t="0" r="14605" b="0"/>
              <wp:wrapNone/>
              <wp:docPr id="4" name="Text Box 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3D7493" w14:textId="09C1335F" w:rsidR="00B63F9A" w:rsidRPr="00986E26" w:rsidRDefault="00B63F9A" w:rsidP="00963E08">
                          <w:pPr>
                            <w:spacing w:after="0"/>
                            <w:rPr>
                              <w:rFonts w:ascii="Calibri" w:eastAsia="Calibri" w:hAnsi="Calibri" w:cs="Calibri"/>
                              <w:color w:val="0000F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720DB5" id="_x0000_t202" coordsize="21600,21600" o:spt="202" path="m,l,21600r21600,l21600,xe">
              <v:stroke joinstyle="miter"/>
              <v:path gradientshapeok="t" o:connecttype="rect"/>
            </v:shapetype>
            <v:shape id="Text Box 4" o:spid="_x0000_s1030" type="#_x0000_t202" alt="OFFICIAL USE"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CQYD1AaQIAAKsEAAAOAAAAAAAAAAAAAAAAAC4CAABkcnMv&#10;ZTJvRG9jLnhtbFBLAQItABQABgAIAAAAIQA37dH42QAAAAMBAAAPAAAAAAAAAAAAAAAAAMMEAABk&#10;cnMvZG93bnJldi54bWxQSwUGAAAAAAQABADzAAAAyQUAAAAA&#10;" filled="f" stroked="f">
              <v:textbox style="mso-fit-shape-to-text:t" inset="0,0,0,15pt">
                <w:txbxContent>
                  <w:p w14:paraId="7B3D7493" w14:textId="09C1335F" w:rsidR="00B63F9A" w:rsidRPr="00986E26" w:rsidRDefault="00B63F9A" w:rsidP="00963E08">
                    <w:pPr>
                      <w:spacing w:after="0"/>
                      <w:rPr>
                        <w:rFonts w:ascii="Calibri" w:eastAsia="Calibri" w:hAnsi="Calibri" w:cs="Calibri"/>
                        <w:color w:val="0000FF"/>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28CDD" w14:textId="77777777" w:rsidR="00E26649" w:rsidRPr="00306A1D" w:rsidRDefault="00E26649" w:rsidP="00963E08">
      <w:pPr>
        <w:spacing w:after="0" w:line="240" w:lineRule="auto"/>
      </w:pPr>
      <w:r w:rsidRPr="00306A1D">
        <w:separator/>
      </w:r>
    </w:p>
  </w:footnote>
  <w:footnote w:type="continuationSeparator" w:id="0">
    <w:p w14:paraId="5161A034" w14:textId="77777777" w:rsidR="00E26649" w:rsidRPr="00306A1D" w:rsidRDefault="00E26649" w:rsidP="00963E08">
      <w:pPr>
        <w:spacing w:after="0" w:line="240" w:lineRule="auto"/>
      </w:pPr>
      <w:r w:rsidRPr="00306A1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B6EE0" w14:textId="3DE1D492" w:rsidR="00B63F9A" w:rsidRPr="00306A1D" w:rsidRDefault="00B63F9A">
    <w:pPr>
      <w:pStyle w:val="Header"/>
    </w:pPr>
    <w:r w:rsidRPr="0074024E">
      <w:rPr>
        <w:noProof/>
        <w:lang w:val="en-US"/>
      </w:rPr>
      <mc:AlternateContent>
        <mc:Choice Requires="wps">
          <w:drawing>
            <wp:anchor distT="0" distB="0" distL="0" distR="0" simplePos="0" relativeHeight="251659264" behindDoc="0" locked="0" layoutInCell="1" allowOverlap="1" wp14:anchorId="1BA4B0A5" wp14:editId="2264369C">
              <wp:simplePos x="635" y="635"/>
              <wp:positionH relativeFrom="page">
                <wp:align>center</wp:align>
              </wp:positionH>
              <wp:positionV relativeFrom="page">
                <wp:align>top</wp:align>
              </wp:positionV>
              <wp:extent cx="443865" cy="443865"/>
              <wp:effectExtent l="0" t="0" r="14605" b="12700"/>
              <wp:wrapNone/>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543779" w14:textId="73E0D347" w:rsidR="00B63F9A" w:rsidRPr="00986E26" w:rsidRDefault="00B63F9A" w:rsidP="00963E08">
                          <w:pPr>
                            <w:spacing w:after="0"/>
                            <w:rPr>
                              <w:rFonts w:ascii="Calibri" w:eastAsia="Calibri" w:hAnsi="Calibri" w:cs="Calibri"/>
                              <w:color w:val="0000FF"/>
                              <w:sz w:val="20"/>
                              <w:szCs w:val="20"/>
                            </w:rPr>
                          </w:pPr>
                          <w:r w:rsidRPr="00986E26">
                            <w:rPr>
                              <w:rFonts w:ascii="Calibri" w:eastAsia="Calibri" w:hAnsi="Calibri" w:cs="Calibri"/>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A4B0A5" id="_x0000_t202" coordsize="21600,21600" o:spt="202" path="m,l,21600r21600,l21600,xe">
              <v:stroke joinstyle="miter"/>
              <v:path gradientshapeok="t" o:connecttype="rect"/>
            </v:shapetype>
            <v:shape id="Text Box 2" o:spid="_x0000_s1026" type="#_x0000_t202" alt="OFFICIAL US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" filled="f" stroked="f">
              <v:textbox style="mso-fit-shape-to-text:t" inset="0,15pt,0,0">
                <w:txbxContent>
                  <w:p w14:paraId="02543779" w14:textId="73E0D347" w:rsidR="00B63F9A" w:rsidRPr="00986E26" w:rsidRDefault="00B63F9A" w:rsidP="00963E08">
                    <w:pPr>
                      <w:spacing w:after="0"/>
                      <w:rPr>
                        <w:rFonts w:ascii="Calibri" w:eastAsia="Calibri" w:hAnsi="Calibri" w:cs="Calibri"/>
                        <w:color w:val="0000FF"/>
                        <w:sz w:val="20"/>
                        <w:szCs w:val="20"/>
                      </w:rPr>
                    </w:pPr>
                    <w:r w:rsidRPr="00986E26">
                      <w:rPr>
                        <w:rFonts w:ascii="Calibri" w:eastAsia="Calibri" w:hAnsi="Calibri" w:cs="Calibri"/>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045284"/>
      <w:docPartObj>
        <w:docPartGallery w:val="Page Numbers (Top of Page)"/>
        <w:docPartUnique/>
      </w:docPartObj>
    </w:sdtPr>
    <w:sdtEndPr>
      <w:rPr>
        <w:noProof/>
      </w:rPr>
    </w:sdtEndPr>
    <w:sdtContent>
      <w:p w14:paraId="2D33B725" w14:textId="622F0FAB" w:rsidR="006B588E" w:rsidRDefault="006B588E">
        <w:pPr>
          <w:pStyle w:val="Header"/>
          <w:jc w:val="center"/>
        </w:pPr>
        <w:r>
          <w:fldChar w:fldCharType="begin"/>
        </w:r>
        <w:r>
          <w:instrText xml:space="preserve"> PAGE   \* MERGEFORMAT </w:instrText>
        </w:r>
        <w:r>
          <w:fldChar w:fldCharType="separate"/>
        </w:r>
        <w:r w:rsidR="006F0D5E">
          <w:rPr>
            <w:noProof/>
          </w:rPr>
          <w:t>4</w:t>
        </w:r>
        <w:r>
          <w:rPr>
            <w:noProof/>
          </w:rPr>
          <w:fldChar w:fldCharType="end"/>
        </w:r>
      </w:p>
    </w:sdtContent>
  </w:sdt>
  <w:p w14:paraId="2E91D344" w14:textId="6D7E9C01" w:rsidR="00B63F9A" w:rsidRPr="00306A1D" w:rsidRDefault="00B63F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BC26A" w14:textId="2E7E7621" w:rsidR="00B63F9A" w:rsidRPr="00306A1D" w:rsidRDefault="00B63F9A">
    <w:pPr>
      <w:pStyle w:val="Header"/>
    </w:pPr>
    <w:r w:rsidRPr="0074024E">
      <w:rPr>
        <w:noProof/>
        <w:lang w:val="en-US"/>
      </w:rPr>
      <mc:AlternateContent>
        <mc:Choice Requires="wps">
          <w:drawing>
            <wp:anchor distT="0" distB="0" distL="0" distR="0" simplePos="0" relativeHeight="251658240" behindDoc="0" locked="0" layoutInCell="1" allowOverlap="1" wp14:anchorId="4486A602" wp14:editId="24731682">
              <wp:simplePos x="635" y="635"/>
              <wp:positionH relativeFrom="page">
                <wp:align>center</wp:align>
              </wp:positionH>
              <wp:positionV relativeFrom="page">
                <wp:align>top</wp:align>
              </wp:positionV>
              <wp:extent cx="443865" cy="443865"/>
              <wp:effectExtent l="0" t="0" r="14605" b="12700"/>
              <wp:wrapNone/>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752EE8" w14:textId="1F715DCE" w:rsidR="00B63F9A" w:rsidRPr="00986E26" w:rsidRDefault="00B63F9A" w:rsidP="00963E08">
                          <w:pPr>
                            <w:spacing w:after="0"/>
                            <w:rPr>
                              <w:rFonts w:ascii="Calibri" w:eastAsia="Calibri" w:hAnsi="Calibri" w:cs="Calibri"/>
                              <w:color w:val="0000FF"/>
                              <w:sz w:val="20"/>
                              <w:szCs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86A602" id="_x0000_t202" coordsize="21600,21600" o:spt="202" path="m,l,21600r21600,l21600,xe">
              <v:stroke joinstyle="miter"/>
              <v:path gradientshapeok="t" o:connecttype="rect"/>
            </v:shapetype>
            <v:shape id="Text Box 1" o:spid="_x0000_s1029" type="#_x0000_t202" alt="OFFICIAL US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" filled="f" stroked="f">
              <v:textbox style="mso-fit-shape-to-text:t" inset="0,15pt,0,0">
                <w:txbxContent>
                  <w:p w14:paraId="61752EE8" w14:textId="1F715DCE" w:rsidR="00B63F9A" w:rsidRPr="00986E26" w:rsidRDefault="00B63F9A" w:rsidP="00963E08">
                    <w:pPr>
                      <w:spacing w:after="0"/>
                      <w:rPr>
                        <w:rFonts w:ascii="Calibri" w:eastAsia="Calibri" w:hAnsi="Calibri" w:cs="Calibri"/>
                        <w:color w:val="0000FF"/>
                        <w:sz w:val="20"/>
                        <w:szCs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D2DBC"/>
    <w:multiLevelType w:val="hybridMultilevel"/>
    <w:tmpl w:val="51406A1E"/>
    <w:lvl w:ilvl="0" w:tplc="832233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F30758"/>
    <w:multiLevelType w:val="hybridMultilevel"/>
    <w:tmpl w:val="6A72290C"/>
    <w:lvl w:ilvl="0" w:tplc="288AB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7903409"/>
    <w:multiLevelType w:val="hybridMultilevel"/>
    <w:tmpl w:val="0C3826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A80C03"/>
    <w:multiLevelType w:val="hybridMultilevel"/>
    <w:tmpl w:val="64BAAE0C"/>
    <w:lvl w:ilvl="0" w:tplc="85324D9E">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125BA2"/>
    <w:multiLevelType w:val="hybridMultilevel"/>
    <w:tmpl w:val="490A865E"/>
    <w:lvl w:ilvl="0" w:tplc="1408F584">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51742857">
    <w:abstractNumId w:val="2"/>
  </w:num>
  <w:num w:numId="2" w16cid:durableId="650210937">
    <w:abstractNumId w:val="1"/>
  </w:num>
  <w:num w:numId="3" w16cid:durableId="837697027">
    <w:abstractNumId w:val="4"/>
  </w:num>
  <w:num w:numId="4" w16cid:durableId="1993950585">
    <w:abstractNumId w:val="0"/>
  </w:num>
  <w:num w:numId="5" w16cid:durableId="2136289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F0D"/>
    <w:rsid w:val="00001015"/>
    <w:rsid w:val="00010480"/>
    <w:rsid w:val="0001251D"/>
    <w:rsid w:val="000133D4"/>
    <w:rsid w:val="00024D6A"/>
    <w:rsid w:val="00025CDD"/>
    <w:rsid w:val="000345E9"/>
    <w:rsid w:val="0004586E"/>
    <w:rsid w:val="0004745F"/>
    <w:rsid w:val="0005408A"/>
    <w:rsid w:val="000547ED"/>
    <w:rsid w:val="000609A4"/>
    <w:rsid w:val="00071099"/>
    <w:rsid w:val="00072EBC"/>
    <w:rsid w:val="0007416E"/>
    <w:rsid w:val="00080DC6"/>
    <w:rsid w:val="00084AF6"/>
    <w:rsid w:val="000A1657"/>
    <w:rsid w:val="000B3BB6"/>
    <w:rsid w:val="000B3BCF"/>
    <w:rsid w:val="000B477B"/>
    <w:rsid w:val="000B493F"/>
    <w:rsid w:val="000D0035"/>
    <w:rsid w:val="000D1740"/>
    <w:rsid w:val="000E4B93"/>
    <w:rsid w:val="000E7F9E"/>
    <w:rsid w:val="001015F0"/>
    <w:rsid w:val="001069A0"/>
    <w:rsid w:val="001207AA"/>
    <w:rsid w:val="001208F3"/>
    <w:rsid w:val="0012110C"/>
    <w:rsid w:val="00123D6F"/>
    <w:rsid w:val="00137E8B"/>
    <w:rsid w:val="0015192E"/>
    <w:rsid w:val="00156C9C"/>
    <w:rsid w:val="00160A98"/>
    <w:rsid w:val="00166BFA"/>
    <w:rsid w:val="001673EC"/>
    <w:rsid w:val="00167ED3"/>
    <w:rsid w:val="001B75BF"/>
    <w:rsid w:val="001C0D0D"/>
    <w:rsid w:val="001C499E"/>
    <w:rsid w:val="001C766D"/>
    <w:rsid w:val="001D4706"/>
    <w:rsid w:val="001F7C8F"/>
    <w:rsid w:val="00202FB4"/>
    <w:rsid w:val="0020658C"/>
    <w:rsid w:val="00227A54"/>
    <w:rsid w:val="002302E0"/>
    <w:rsid w:val="00240213"/>
    <w:rsid w:val="00243986"/>
    <w:rsid w:val="0024465F"/>
    <w:rsid w:val="00246E93"/>
    <w:rsid w:val="00260CE9"/>
    <w:rsid w:val="00281F47"/>
    <w:rsid w:val="00286B73"/>
    <w:rsid w:val="00287032"/>
    <w:rsid w:val="002936B5"/>
    <w:rsid w:val="00295546"/>
    <w:rsid w:val="002A1624"/>
    <w:rsid w:val="002A3C14"/>
    <w:rsid w:val="002B50DA"/>
    <w:rsid w:val="002B7905"/>
    <w:rsid w:val="002C121C"/>
    <w:rsid w:val="002C265B"/>
    <w:rsid w:val="002C66E9"/>
    <w:rsid w:val="002D0B5C"/>
    <w:rsid w:val="002D5403"/>
    <w:rsid w:val="002D632A"/>
    <w:rsid w:val="002D6D7A"/>
    <w:rsid w:val="002E2C64"/>
    <w:rsid w:val="002E7853"/>
    <w:rsid w:val="002F4987"/>
    <w:rsid w:val="00306A1D"/>
    <w:rsid w:val="003100B8"/>
    <w:rsid w:val="00317113"/>
    <w:rsid w:val="003177A6"/>
    <w:rsid w:val="00323180"/>
    <w:rsid w:val="00335E08"/>
    <w:rsid w:val="003367B9"/>
    <w:rsid w:val="00337996"/>
    <w:rsid w:val="0034043B"/>
    <w:rsid w:val="00340EBA"/>
    <w:rsid w:val="00345DF8"/>
    <w:rsid w:val="0035568D"/>
    <w:rsid w:val="00360F94"/>
    <w:rsid w:val="00366813"/>
    <w:rsid w:val="00374AAD"/>
    <w:rsid w:val="00375646"/>
    <w:rsid w:val="003758BC"/>
    <w:rsid w:val="00397829"/>
    <w:rsid w:val="003B17D5"/>
    <w:rsid w:val="003B2895"/>
    <w:rsid w:val="003B4C7A"/>
    <w:rsid w:val="003C22D4"/>
    <w:rsid w:val="003C2B6D"/>
    <w:rsid w:val="003C3C5E"/>
    <w:rsid w:val="003C6E6A"/>
    <w:rsid w:val="003C7AC2"/>
    <w:rsid w:val="003E7E8F"/>
    <w:rsid w:val="003F2F61"/>
    <w:rsid w:val="003F73A4"/>
    <w:rsid w:val="004176A7"/>
    <w:rsid w:val="00444032"/>
    <w:rsid w:val="00445663"/>
    <w:rsid w:val="004457FD"/>
    <w:rsid w:val="00450B24"/>
    <w:rsid w:val="00475757"/>
    <w:rsid w:val="00487525"/>
    <w:rsid w:val="00492660"/>
    <w:rsid w:val="00494329"/>
    <w:rsid w:val="004977DE"/>
    <w:rsid w:val="004A129C"/>
    <w:rsid w:val="004A2A7D"/>
    <w:rsid w:val="004B0300"/>
    <w:rsid w:val="004C1201"/>
    <w:rsid w:val="004E0E2D"/>
    <w:rsid w:val="004E187A"/>
    <w:rsid w:val="004E197E"/>
    <w:rsid w:val="004E25C2"/>
    <w:rsid w:val="004F6D83"/>
    <w:rsid w:val="00504A08"/>
    <w:rsid w:val="0051208E"/>
    <w:rsid w:val="00532A82"/>
    <w:rsid w:val="00533CE4"/>
    <w:rsid w:val="00547635"/>
    <w:rsid w:val="00551E48"/>
    <w:rsid w:val="005561E8"/>
    <w:rsid w:val="005673C9"/>
    <w:rsid w:val="00572164"/>
    <w:rsid w:val="00580F24"/>
    <w:rsid w:val="00590657"/>
    <w:rsid w:val="005A17D8"/>
    <w:rsid w:val="005A7BAF"/>
    <w:rsid w:val="005B00A5"/>
    <w:rsid w:val="005B4D1E"/>
    <w:rsid w:val="005C1C28"/>
    <w:rsid w:val="005E119E"/>
    <w:rsid w:val="005E484E"/>
    <w:rsid w:val="005E5FB7"/>
    <w:rsid w:val="005E6EF1"/>
    <w:rsid w:val="005F0291"/>
    <w:rsid w:val="005F6F7B"/>
    <w:rsid w:val="0064198E"/>
    <w:rsid w:val="00643C9B"/>
    <w:rsid w:val="006536D6"/>
    <w:rsid w:val="00653C41"/>
    <w:rsid w:val="006675DE"/>
    <w:rsid w:val="00677A36"/>
    <w:rsid w:val="00685290"/>
    <w:rsid w:val="00696EA8"/>
    <w:rsid w:val="00697255"/>
    <w:rsid w:val="006A48FA"/>
    <w:rsid w:val="006B588E"/>
    <w:rsid w:val="006C7978"/>
    <w:rsid w:val="006D0062"/>
    <w:rsid w:val="006D0C19"/>
    <w:rsid w:val="006D17B6"/>
    <w:rsid w:val="006D32E4"/>
    <w:rsid w:val="006F0D5E"/>
    <w:rsid w:val="006F259D"/>
    <w:rsid w:val="006F4B8D"/>
    <w:rsid w:val="007063AB"/>
    <w:rsid w:val="0072119F"/>
    <w:rsid w:val="007279FF"/>
    <w:rsid w:val="00730164"/>
    <w:rsid w:val="0073154B"/>
    <w:rsid w:val="0074024E"/>
    <w:rsid w:val="00741738"/>
    <w:rsid w:val="00753044"/>
    <w:rsid w:val="007620C6"/>
    <w:rsid w:val="007708A7"/>
    <w:rsid w:val="00770CB0"/>
    <w:rsid w:val="00780B3A"/>
    <w:rsid w:val="007908D1"/>
    <w:rsid w:val="00791031"/>
    <w:rsid w:val="007B0403"/>
    <w:rsid w:val="007B2435"/>
    <w:rsid w:val="007B7300"/>
    <w:rsid w:val="007C25C7"/>
    <w:rsid w:val="007C54EC"/>
    <w:rsid w:val="007C7961"/>
    <w:rsid w:val="007D0831"/>
    <w:rsid w:val="007D5C69"/>
    <w:rsid w:val="0080399E"/>
    <w:rsid w:val="00804B8B"/>
    <w:rsid w:val="0080725B"/>
    <w:rsid w:val="0081530E"/>
    <w:rsid w:val="00815E77"/>
    <w:rsid w:val="00832C28"/>
    <w:rsid w:val="00834877"/>
    <w:rsid w:val="008425A1"/>
    <w:rsid w:val="00847BBC"/>
    <w:rsid w:val="00863E6B"/>
    <w:rsid w:val="008777EC"/>
    <w:rsid w:val="00882357"/>
    <w:rsid w:val="008830D4"/>
    <w:rsid w:val="00884BBF"/>
    <w:rsid w:val="008876EA"/>
    <w:rsid w:val="00891133"/>
    <w:rsid w:val="008A0EEA"/>
    <w:rsid w:val="008B0803"/>
    <w:rsid w:val="008B0958"/>
    <w:rsid w:val="008C3390"/>
    <w:rsid w:val="008C6A1C"/>
    <w:rsid w:val="008E316F"/>
    <w:rsid w:val="008E7CA2"/>
    <w:rsid w:val="00903B65"/>
    <w:rsid w:val="00921C55"/>
    <w:rsid w:val="00937684"/>
    <w:rsid w:val="00944DB6"/>
    <w:rsid w:val="009504E1"/>
    <w:rsid w:val="0095062E"/>
    <w:rsid w:val="00951282"/>
    <w:rsid w:val="00961E47"/>
    <w:rsid w:val="0096297A"/>
    <w:rsid w:val="00963E08"/>
    <w:rsid w:val="009676A3"/>
    <w:rsid w:val="00967BB9"/>
    <w:rsid w:val="00974BC4"/>
    <w:rsid w:val="00983A95"/>
    <w:rsid w:val="00986E26"/>
    <w:rsid w:val="0099270A"/>
    <w:rsid w:val="00995528"/>
    <w:rsid w:val="00995641"/>
    <w:rsid w:val="00996978"/>
    <w:rsid w:val="009A3DCF"/>
    <w:rsid w:val="009B3A9A"/>
    <w:rsid w:val="009C1F0D"/>
    <w:rsid w:val="009E3E85"/>
    <w:rsid w:val="009E7BFA"/>
    <w:rsid w:val="009F6978"/>
    <w:rsid w:val="009F7E6C"/>
    <w:rsid w:val="00A11751"/>
    <w:rsid w:val="00A13D64"/>
    <w:rsid w:val="00A212A9"/>
    <w:rsid w:val="00A316F9"/>
    <w:rsid w:val="00A32843"/>
    <w:rsid w:val="00A339BD"/>
    <w:rsid w:val="00A35C93"/>
    <w:rsid w:val="00A417BD"/>
    <w:rsid w:val="00A4319F"/>
    <w:rsid w:val="00A47C0D"/>
    <w:rsid w:val="00A53303"/>
    <w:rsid w:val="00A60AAF"/>
    <w:rsid w:val="00A62389"/>
    <w:rsid w:val="00A77811"/>
    <w:rsid w:val="00A84FF5"/>
    <w:rsid w:val="00A8718C"/>
    <w:rsid w:val="00A915AA"/>
    <w:rsid w:val="00A949D6"/>
    <w:rsid w:val="00AA162D"/>
    <w:rsid w:val="00AB708E"/>
    <w:rsid w:val="00AC6ABC"/>
    <w:rsid w:val="00AD05EA"/>
    <w:rsid w:val="00AE1C72"/>
    <w:rsid w:val="00AE3216"/>
    <w:rsid w:val="00AE40E7"/>
    <w:rsid w:val="00AF51B7"/>
    <w:rsid w:val="00AF6AB2"/>
    <w:rsid w:val="00B06132"/>
    <w:rsid w:val="00B06BE1"/>
    <w:rsid w:val="00B129AC"/>
    <w:rsid w:val="00B23158"/>
    <w:rsid w:val="00B23309"/>
    <w:rsid w:val="00B263E1"/>
    <w:rsid w:val="00B4214D"/>
    <w:rsid w:val="00B43772"/>
    <w:rsid w:val="00B4783D"/>
    <w:rsid w:val="00B5472B"/>
    <w:rsid w:val="00B57E2E"/>
    <w:rsid w:val="00B63F9A"/>
    <w:rsid w:val="00B67A93"/>
    <w:rsid w:val="00B7123B"/>
    <w:rsid w:val="00B72899"/>
    <w:rsid w:val="00B828A5"/>
    <w:rsid w:val="00B844ED"/>
    <w:rsid w:val="00BA56EF"/>
    <w:rsid w:val="00BB02CC"/>
    <w:rsid w:val="00BB1569"/>
    <w:rsid w:val="00BB45BA"/>
    <w:rsid w:val="00BD1C8E"/>
    <w:rsid w:val="00BD2135"/>
    <w:rsid w:val="00BD422B"/>
    <w:rsid w:val="00BD71FE"/>
    <w:rsid w:val="00BE42BA"/>
    <w:rsid w:val="00BE6AAB"/>
    <w:rsid w:val="00BF391F"/>
    <w:rsid w:val="00C05015"/>
    <w:rsid w:val="00C122B4"/>
    <w:rsid w:val="00C15E2D"/>
    <w:rsid w:val="00C25FC8"/>
    <w:rsid w:val="00C303F8"/>
    <w:rsid w:val="00C31D42"/>
    <w:rsid w:val="00C43A1F"/>
    <w:rsid w:val="00C5601D"/>
    <w:rsid w:val="00C61EDD"/>
    <w:rsid w:val="00C6596B"/>
    <w:rsid w:val="00C853C0"/>
    <w:rsid w:val="00C858AF"/>
    <w:rsid w:val="00C96651"/>
    <w:rsid w:val="00CA64E1"/>
    <w:rsid w:val="00CB30E3"/>
    <w:rsid w:val="00CB590D"/>
    <w:rsid w:val="00CB6739"/>
    <w:rsid w:val="00CB7934"/>
    <w:rsid w:val="00CC4551"/>
    <w:rsid w:val="00CD3073"/>
    <w:rsid w:val="00CD5E66"/>
    <w:rsid w:val="00CE0CE2"/>
    <w:rsid w:val="00CF0EAA"/>
    <w:rsid w:val="00D005B3"/>
    <w:rsid w:val="00D01402"/>
    <w:rsid w:val="00D015DC"/>
    <w:rsid w:val="00D01D16"/>
    <w:rsid w:val="00D04C0F"/>
    <w:rsid w:val="00D11FE3"/>
    <w:rsid w:val="00D13B4D"/>
    <w:rsid w:val="00D26A89"/>
    <w:rsid w:val="00D31E0B"/>
    <w:rsid w:val="00D32E9C"/>
    <w:rsid w:val="00D3794F"/>
    <w:rsid w:val="00D6171C"/>
    <w:rsid w:val="00D716DB"/>
    <w:rsid w:val="00D71D37"/>
    <w:rsid w:val="00D74CDD"/>
    <w:rsid w:val="00D74FE0"/>
    <w:rsid w:val="00D76D1C"/>
    <w:rsid w:val="00D80F8C"/>
    <w:rsid w:val="00D81A36"/>
    <w:rsid w:val="00D82C76"/>
    <w:rsid w:val="00D86D3B"/>
    <w:rsid w:val="00D87511"/>
    <w:rsid w:val="00D9699B"/>
    <w:rsid w:val="00DA69AF"/>
    <w:rsid w:val="00DA740B"/>
    <w:rsid w:val="00DC1A4F"/>
    <w:rsid w:val="00DC5F69"/>
    <w:rsid w:val="00DD3935"/>
    <w:rsid w:val="00DD4CE4"/>
    <w:rsid w:val="00DD6E6A"/>
    <w:rsid w:val="00DF2ADB"/>
    <w:rsid w:val="00E067FC"/>
    <w:rsid w:val="00E12064"/>
    <w:rsid w:val="00E16AAC"/>
    <w:rsid w:val="00E26649"/>
    <w:rsid w:val="00E402CA"/>
    <w:rsid w:val="00E407E3"/>
    <w:rsid w:val="00E41CFC"/>
    <w:rsid w:val="00E44755"/>
    <w:rsid w:val="00E47151"/>
    <w:rsid w:val="00E51488"/>
    <w:rsid w:val="00E5311C"/>
    <w:rsid w:val="00E53461"/>
    <w:rsid w:val="00E5434C"/>
    <w:rsid w:val="00E57C8E"/>
    <w:rsid w:val="00E61162"/>
    <w:rsid w:val="00E65916"/>
    <w:rsid w:val="00E67F0C"/>
    <w:rsid w:val="00E741C5"/>
    <w:rsid w:val="00E82C17"/>
    <w:rsid w:val="00E86BB6"/>
    <w:rsid w:val="00E87B1B"/>
    <w:rsid w:val="00E87E8E"/>
    <w:rsid w:val="00E964B2"/>
    <w:rsid w:val="00E96E3E"/>
    <w:rsid w:val="00EA434F"/>
    <w:rsid w:val="00EB11A2"/>
    <w:rsid w:val="00EB5ECF"/>
    <w:rsid w:val="00EB676B"/>
    <w:rsid w:val="00EB77D8"/>
    <w:rsid w:val="00EC0C30"/>
    <w:rsid w:val="00EC2025"/>
    <w:rsid w:val="00EC38B3"/>
    <w:rsid w:val="00ED13E1"/>
    <w:rsid w:val="00ED7A2B"/>
    <w:rsid w:val="00EE3F4B"/>
    <w:rsid w:val="00F04EF1"/>
    <w:rsid w:val="00F14FD3"/>
    <w:rsid w:val="00F225BF"/>
    <w:rsid w:val="00F231AF"/>
    <w:rsid w:val="00F250A1"/>
    <w:rsid w:val="00F25815"/>
    <w:rsid w:val="00F46B92"/>
    <w:rsid w:val="00F46C3E"/>
    <w:rsid w:val="00F57D18"/>
    <w:rsid w:val="00F60B76"/>
    <w:rsid w:val="00F619C1"/>
    <w:rsid w:val="00F74456"/>
    <w:rsid w:val="00F75C38"/>
    <w:rsid w:val="00F86481"/>
    <w:rsid w:val="00F871D7"/>
    <w:rsid w:val="00FA15A0"/>
    <w:rsid w:val="00FB21B0"/>
    <w:rsid w:val="00FC7FF8"/>
    <w:rsid w:val="00FD26F4"/>
    <w:rsid w:val="00FD52EB"/>
    <w:rsid w:val="00FD605E"/>
    <w:rsid w:val="00FF39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3CA18"/>
  <w15:chartTrackingRefBased/>
  <w15:docId w15:val="{FDA6558E-C723-436D-BD35-1A166518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en-GB" w:eastAsia="en-US" w:bidi="ar-SA"/>
      </w:rPr>
    </w:rPrDefault>
    <w:pPrDefault>
      <w:pPr>
        <w:spacing w:after="240" w:line="28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RS"/>
    </w:rPr>
  </w:style>
  <w:style w:type="paragraph" w:styleId="Heading1">
    <w:name w:val="heading 1"/>
    <w:basedOn w:val="Normal"/>
    <w:next w:val="Normal"/>
    <w:link w:val="Heading1Char"/>
    <w:uiPriority w:val="9"/>
    <w:qFormat/>
    <w:rsid w:val="009C1F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1F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1F0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1F0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C1F0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C1F0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C1F0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C1F0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C1F0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F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1F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1F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1F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C1F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C1F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C1F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C1F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C1F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C1F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1F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1F0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1F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C1F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1F0D"/>
    <w:rPr>
      <w:i/>
      <w:iCs/>
      <w:color w:val="404040" w:themeColor="text1" w:themeTint="BF"/>
    </w:rPr>
  </w:style>
  <w:style w:type="paragraph" w:styleId="ListParagraph">
    <w:name w:val="List Paragraph"/>
    <w:aliases w:val="Tab Title"/>
    <w:basedOn w:val="Normal"/>
    <w:uiPriority w:val="34"/>
    <w:qFormat/>
    <w:rsid w:val="009C1F0D"/>
    <w:pPr>
      <w:ind w:left="720"/>
      <w:contextualSpacing/>
    </w:pPr>
  </w:style>
  <w:style w:type="character" w:styleId="IntenseEmphasis">
    <w:name w:val="Intense Emphasis"/>
    <w:basedOn w:val="DefaultParagraphFont"/>
    <w:uiPriority w:val="21"/>
    <w:qFormat/>
    <w:rsid w:val="009C1F0D"/>
    <w:rPr>
      <w:i/>
      <w:iCs/>
      <w:color w:val="0F4761" w:themeColor="accent1" w:themeShade="BF"/>
    </w:rPr>
  </w:style>
  <w:style w:type="paragraph" w:styleId="IntenseQuote">
    <w:name w:val="Intense Quote"/>
    <w:basedOn w:val="Normal"/>
    <w:next w:val="Normal"/>
    <w:link w:val="IntenseQuoteChar"/>
    <w:uiPriority w:val="30"/>
    <w:qFormat/>
    <w:rsid w:val="009C1F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1F0D"/>
    <w:rPr>
      <w:i/>
      <w:iCs/>
      <w:color w:val="0F4761" w:themeColor="accent1" w:themeShade="BF"/>
    </w:rPr>
  </w:style>
  <w:style w:type="character" w:styleId="IntenseReference">
    <w:name w:val="Intense Reference"/>
    <w:basedOn w:val="DefaultParagraphFont"/>
    <w:uiPriority w:val="32"/>
    <w:qFormat/>
    <w:rsid w:val="009C1F0D"/>
    <w:rPr>
      <w:b/>
      <w:bCs/>
      <w:smallCaps/>
      <w:color w:val="0F4761" w:themeColor="accent1" w:themeShade="BF"/>
      <w:spacing w:val="5"/>
    </w:rPr>
  </w:style>
  <w:style w:type="paragraph" w:styleId="Revision">
    <w:name w:val="Revision"/>
    <w:hidden/>
    <w:uiPriority w:val="99"/>
    <w:semiHidden/>
    <w:rsid w:val="00C853C0"/>
    <w:pPr>
      <w:spacing w:after="0" w:line="240" w:lineRule="auto"/>
      <w:jc w:val="left"/>
    </w:pPr>
    <w:rPr>
      <w:lang w:val="sr-Cyrl-RS"/>
    </w:rPr>
  </w:style>
  <w:style w:type="character" w:styleId="CommentReference">
    <w:name w:val="annotation reference"/>
    <w:basedOn w:val="DefaultParagraphFont"/>
    <w:uiPriority w:val="99"/>
    <w:semiHidden/>
    <w:unhideWhenUsed/>
    <w:rsid w:val="005E119E"/>
    <w:rPr>
      <w:sz w:val="16"/>
      <w:szCs w:val="16"/>
    </w:rPr>
  </w:style>
  <w:style w:type="paragraph" w:styleId="CommentText">
    <w:name w:val="annotation text"/>
    <w:basedOn w:val="Normal"/>
    <w:link w:val="CommentTextChar"/>
    <w:uiPriority w:val="99"/>
    <w:unhideWhenUsed/>
    <w:rsid w:val="005E119E"/>
    <w:pPr>
      <w:spacing w:line="240" w:lineRule="auto"/>
    </w:pPr>
    <w:rPr>
      <w:sz w:val="20"/>
      <w:szCs w:val="20"/>
    </w:rPr>
  </w:style>
  <w:style w:type="character" w:customStyle="1" w:styleId="CommentTextChar">
    <w:name w:val="Comment Text Char"/>
    <w:basedOn w:val="DefaultParagraphFont"/>
    <w:link w:val="CommentText"/>
    <w:uiPriority w:val="99"/>
    <w:rsid w:val="005E119E"/>
    <w:rPr>
      <w:sz w:val="20"/>
      <w:szCs w:val="20"/>
      <w:lang w:val="sr-Cyrl-RS"/>
    </w:rPr>
  </w:style>
  <w:style w:type="paragraph" w:styleId="CommentSubject">
    <w:name w:val="annotation subject"/>
    <w:basedOn w:val="CommentText"/>
    <w:next w:val="CommentText"/>
    <w:link w:val="CommentSubjectChar"/>
    <w:uiPriority w:val="99"/>
    <w:semiHidden/>
    <w:unhideWhenUsed/>
    <w:rsid w:val="005E119E"/>
    <w:rPr>
      <w:b/>
      <w:bCs/>
    </w:rPr>
  </w:style>
  <w:style w:type="character" w:customStyle="1" w:styleId="CommentSubjectChar">
    <w:name w:val="Comment Subject Char"/>
    <w:basedOn w:val="CommentTextChar"/>
    <w:link w:val="CommentSubject"/>
    <w:uiPriority w:val="99"/>
    <w:semiHidden/>
    <w:rsid w:val="005E119E"/>
    <w:rPr>
      <w:b/>
      <w:bCs/>
      <w:sz w:val="20"/>
      <w:szCs w:val="20"/>
      <w:lang w:val="sr-Cyrl-RS"/>
    </w:rPr>
  </w:style>
  <w:style w:type="paragraph" w:styleId="Header">
    <w:name w:val="header"/>
    <w:basedOn w:val="Normal"/>
    <w:link w:val="HeaderChar"/>
    <w:uiPriority w:val="99"/>
    <w:unhideWhenUsed/>
    <w:rsid w:val="00963E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E08"/>
    <w:rPr>
      <w:lang w:val="sr-Cyrl-RS"/>
    </w:rPr>
  </w:style>
  <w:style w:type="paragraph" w:styleId="Footer">
    <w:name w:val="footer"/>
    <w:basedOn w:val="Normal"/>
    <w:link w:val="FooterChar"/>
    <w:uiPriority w:val="99"/>
    <w:unhideWhenUsed/>
    <w:rsid w:val="00963E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E08"/>
    <w:rPr>
      <w:lang w:val="sr-Cyrl-RS"/>
    </w:rPr>
  </w:style>
  <w:style w:type="character" w:styleId="Hyperlink">
    <w:name w:val="Hyperlink"/>
    <w:basedOn w:val="DefaultParagraphFont"/>
    <w:uiPriority w:val="99"/>
    <w:semiHidden/>
    <w:unhideWhenUsed/>
    <w:rsid w:val="00D9699B"/>
    <w:rPr>
      <w:color w:val="0000FF"/>
      <w:u w:val="single"/>
    </w:rPr>
  </w:style>
  <w:style w:type="paragraph" w:customStyle="1" w:styleId="1tekst">
    <w:name w:val="_1tekst"/>
    <w:basedOn w:val="Normal"/>
    <w:rsid w:val="00B7123B"/>
    <w:pPr>
      <w:spacing w:after="0" w:line="240" w:lineRule="auto"/>
      <w:ind w:left="150" w:right="150" w:firstLine="240"/>
    </w:pPr>
    <w:rPr>
      <w:rFonts w:ascii="Tahoma" w:eastAsia="Times New Roman" w:hAnsi="Tahoma" w:cs="Tahoma"/>
      <w:sz w:val="23"/>
      <w:szCs w:val="23"/>
      <w:lang w:val="en-US"/>
    </w:rPr>
  </w:style>
  <w:style w:type="table" w:styleId="TableGrid">
    <w:name w:val="Table Grid"/>
    <w:basedOn w:val="TableNormal"/>
    <w:uiPriority w:val="39"/>
    <w:rsid w:val="008E316F"/>
    <w:pPr>
      <w:spacing w:after="0" w:line="240" w:lineRule="auto"/>
      <w:jc w:val="left"/>
    </w:pPr>
    <w:rPr>
      <w:rFonts w:asciiTheme="minorHAnsi" w:hAnsiTheme="minorHAnsi"/>
      <w:kern w:val="2"/>
      <w:sz w:val="24"/>
      <w:szCs w:val="24"/>
      <w:lang w:val="sr-Latn-R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32E9C"/>
    <w:pPr>
      <w:spacing w:before="100" w:beforeAutospacing="1" w:after="100" w:afterAutospacing="1" w:line="240" w:lineRule="auto"/>
      <w:jc w:val="left"/>
    </w:pPr>
    <w:rPr>
      <w:rFonts w:eastAsia="Times New Roman" w:cs="Times New Roman"/>
      <w:sz w:val="24"/>
      <w:szCs w:val="24"/>
      <w:lang w:val="en-GB" w:eastAsia="en-GB"/>
    </w:rPr>
  </w:style>
  <w:style w:type="paragraph" w:styleId="BalloonText">
    <w:name w:val="Balloon Text"/>
    <w:basedOn w:val="Normal"/>
    <w:link w:val="BalloonTextChar"/>
    <w:uiPriority w:val="99"/>
    <w:semiHidden/>
    <w:unhideWhenUsed/>
    <w:rsid w:val="00A13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D64"/>
    <w:rPr>
      <w:rFonts w:ascii="Segoe UI"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45507">
      <w:bodyDiv w:val="1"/>
      <w:marLeft w:val="0"/>
      <w:marRight w:val="0"/>
      <w:marTop w:val="0"/>
      <w:marBottom w:val="0"/>
      <w:divBdr>
        <w:top w:val="none" w:sz="0" w:space="0" w:color="auto"/>
        <w:left w:val="none" w:sz="0" w:space="0" w:color="auto"/>
        <w:bottom w:val="none" w:sz="0" w:space="0" w:color="auto"/>
        <w:right w:val="none" w:sz="0" w:space="0" w:color="auto"/>
      </w:divBdr>
    </w:div>
    <w:div w:id="552617323">
      <w:bodyDiv w:val="1"/>
      <w:marLeft w:val="0"/>
      <w:marRight w:val="0"/>
      <w:marTop w:val="0"/>
      <w:marBottom w:val="0"/>
      <w:divBdr>
        <w:top w:val="none" w:sz="0" w:space="0" w:color="auto"/>
        <w:left w:val="none" w:sz="0" w:space="0" w:color="auto"/>
        <w:bottom w:val="none" w:sz="0" w:space="0" w:color="auto"/>
        <w:right w:val="none" w:sz="0" w:space="0" w:color="auto"/>
      </w:divBdr>
    </w:div>
    <w:div w:id="1080372299">
      <w:bodyDiv w:val="1"/>
      <w:marLeft w:val="0"/>
      <w:marRight w:val="0"/>
      <w:marTop w:val="0"/>
      <w:marBottom w:val="0"/>
      <w:divBdr>
        <w:top w:val="none" w:sz="0" w:space="0" w:color="auto"/>
        <w:left w:val="none" w:sz="0" w:space="0" w:color="auto"/>
        <w:bottom w:val="none" w:sz="0" w:space="0" w:color="auto"/>
        <w:right w:val="none" w:sz="0" w:space="0" w:color="auto"/>
      </w:divBdr>
    </w:div>
    <w:div w:id="1159417199">
      <w:bodyDiv w:val="1"/>
      <w:marLeft w:val="0"/>
      <w:marRight w:val="0"/>
      <w:marTop w:val="0"/>
      <w:marBottom w:val="0"/>
      <w:divBdr>
        <w:top w:val="none" w:sz="0" w:space="0" w:color="auto"/>
        <w:left w:val="none" w:sz="0" w:space="0" w:color="auto"/>
        <w:bottom w:val="none" w:sz="0" w:space="0" w:color="auto"/>
        <w:right w:val="none" w:sz="0" w:space="0" w:color="auto"/>
      </w:divBdr>
    </w:div>
    <w:div w:id="1316644687">
      <w:bodyDiv w:val="1"/>
      <w:marLeft w:val="0"/>
      <w:marRight w:val="0"/>
      <w:marTop w:val="0"/>
      <w:marBottom w:val="0"/>
      <w:divBdr>
        <w:top w:val="none" w:sz="0" w:space="0" w:color="auto"/>
        <w:left w:val="none" w:sz="0" w:space="0" w:color="auto"/>
        <w:bottom w:val="none" w:sz="0" w:space="0" w:color="auto"/>
        <w:right w:val="none" w:sz="0" w:space="0" w:color="auto"/>
      </w:divBdr>
    </w:div>
    <w:div w:id="1508790374">
      <w:bodyDiv w:val="1"/>
      <w:marLeft w:val="0"/>
      <w:marRight w:val="0"/>
      <w:marTop w:val="0"/>
      <w:marBottom w:val="0"/>
      <w:divBdr>
        <w:top w:val="none" w:sz="0" w:space="0" w:color="auto"/>
        <w:left w:val="none" w:sz="0" w:space="0" w:color="auto"/>
        <w:bottom w:val="none" w:sz="0" w:space="0" w:color="auto"/>
        <w:right w:val="none" w:sz="0" w:space="0" w:color="auto"/>
      </w:divBdr>
    </w:div>
    <w:div w:id="1555310864">
      <w:bodyDiv w:val="1"/>
      <w:marLeft w:val="0"/>
      <w:marRight w:val="0"/>
      <w:marTop w:val="0"/>
      <w:marBottom w:val="0"/>
      <w:divBdr>
        <w:top w:val="none" w:sz="0" w:space="0" w:color="auto"/>
        <w:left w:val="none" w:sz="0" w:space="0" w:color="auto"/>
        <w:bottom w:val="none" w:sz="0" w:space="0" w:color="auto"/>
        <w:right w:val="none" w:sz="0" w:space="0" w:color="auto"/>
      </w:divBdr>
    </w:div>
    <w:div w:id="1623534973">
      <w:bodyDiv w:val="1"/>
      <w:marLeft w:val="0"/>
      <w:marRight w:val="0"/>
      <w:marTop w:val="0"/>
      <w:marBottom w:val="0"/>
      <w:divBdr>
        <w:top w:val="none" w:sz="0" w:space="0" w:color="auto"/>
        <w:left w:val="none" w:sz="0" w:space="0" w:color="auto"/>
        <w:bottom w:val="none" w:sz="0" w:space="0" w:color="auto"/>
        <w:right w:val="none" w:sz="0" w:space="0" w:color="auto"/>
      </w:divBdr>
    </w:div>
    <w:div w:id="178068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56626-71FC-4FF3-903A-F3E173A40D03}">
  <ds:schemaRefs>
    <ds:schemaRef ds:uri="http://schemas.openxmlformats.org/officeDocument/2006/bibliography"/>
  </ds:schemaRefs>
</ds:datastoreItem>
</file>

<file path=docMetadata/LabelInfo.xml><?xml version="1.0" encoding="utf-8"?>
<clbl:labelList xmlns:clbl="http://schemas.microsoft.com/office/2020/mipLabelMetadata">
  <clbl:label id="{1cb350ab-c2fd-4b20-a9d9-41f8e7e93f2e}" enabled="1" method="Standard" siteId="{172f4752-6874-4876-bad5-e6d61f991171}"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1230</Words>
  <Characters>7016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BDK Advokati</dc:creator>
  <cp:keywords/>
  <dc:description/>
  <cp:lastModifiedBy>Ivana Vojinović</cp:lastModifiedBy>
  <cp:revision>2</cp:revision>
  <cp:lastPrinted>2025-06-03T09:03:00Z</cp:lastPrinted>
  <dcterms:created xsi:type="dcterms:W3CDTF">2025-06-06T10:31:00Z</dcterms:created>
  <dcterms:modified xsi:type="dcterms:W3CDTF">2025-06-06T10:31:00Z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20250227152303036</vt:lpwstr>
  </property>
  <property fmtid="{D5CDD505-2E9C-101B-9397-08002B2CF9AE}" pid="3" name="ClassificationContentMarkingHeaderShapeIds">
    <vt:lpwstr>1,2,3</vt:lpwstr>
  </property>
  <property fmtid="{D5CDD505-2E9C-101B-9397-08002B2CF9AE}" pid="4" name="ClassificationContentMarkingHeaderFontProps">
    <vt:lpwstr>#0000ff,10,Calibri</vt:lpwstr>
  </property>
  <property fmtid="{D5CDD505-2E9C-101B-9397-08002B2CF9AE}" pid="5" name="ClassificationContentMarkingHeaderText">
    <vt:lpwstr>OFFICIAL USE</vt:lpwstr>
  </property>
  <property fmtid="{D5CDD505-2E9C-101B-9397-08002B2CF9AE}" pid="6" name="ClassificationContentMarkingFooterShapeIds">
    <vt:lpwstr>4,5,6</vt:lpwstr>
  </property>
  <property fmtid="{D5CDD505-2E9C-101B-9397-08002B2CF9AE}" pid="7" name="ClassificationContentMarkingFooterFontProps">
    <vt:lpwstr>#0000ff,10,Calibri</vt:lpwstr>
  </property>
  <property fmtid="{D5CDD505-2E9C-101B-9397-08002B2CF9AE}" pid="8" name="ClassificationContentMarkingFooterText">
    <vt:lpwstr>OFFICIAL USE</vt:lpwstr>
  </property>
</Properties>
</file>