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726B" w14:textId="77777777" w:rsidR="001744AA" w:rsidRDefault="001744AA" w:rsidP="007447C6">
      <w:pPr>
        <w:spacing w:after="0" w:line="240" w:lineRule="auto"/>
        <w:jc w:val="center"/>
        <w:rPr>
          <w:rFonts w:ascii="Times New Roman" w:eastAsia="Times New Roman" w:hAnsi="Times New Roman"/>
          <w:sz w:val="24"/>
          <w:szCs w:val="24"/>
          <w:lang w:val="sr-Cyrl-RS"/>
        </w:rPr>
      </w:pPr>
    </w:p>
    <w:p w14:paraId="3CCDB0E0" w14:textId="77777777" w:rsidR="001744AA" w:rsidRDefault="001744AA" w:rsidP="007447C6">
      <w:pPr>
        <w:spacing w:after="0" w:line="240" w:lineRule="auto"/>
        <w:jc w:val="center"/>
        <w:rPr>
          <w:rFonts w:ascii="Times New Roman" w:eastAsia="Times New Roman" w:hAnsi="Times New Roman"/>
          <w:sz w:val="24"/>
          <w:szCs w:val="24"/>
          <w:lang w:val="sr-Cyrl-RS"/>
        </w:rPr>
      </w:pPr>
    </w:p>
    <w:p w14:paraId="44889E14" w14:textId="77777777" w:rsidR="001744AA" w:rsidRDefault="001744AA" w:rsidP="007447C6">
      <w:pPr>
        <w:spacing w:after="0" w:line="240" w:lineRule="auto"/>
        <w:jc w:val="center"/>
        <w:rPr>
          <w:rFonts w:ascii="Times New Roman" w:eastAsia="Times New Roman" w:hAnsi="Times New Roman"/>
          <w:sz w:val="24"/>
          <w:szCs w:val="24"/>
          <w:lang w:val="sr-Cyrl-RS"/>
        </w:rPr>
      </w:pPr>
    </w:p>
    <w:p w14:paraId="5879DA67" w14:textId="2A2D97BB" w:rsidR="001744AA" w:rsidRDefault="001744AA" w:rsidP="007447C6">
      <w:pPr>
        <w:spacing w:after="0" w:line="240" w:lineRule="auto"/>
        <w:jc w:val="center"/>
        <w:rPr>
          <w:rFonts w:ascii="Times New Roman" w:eastAsia="Times New Roman" w:hAnsi="Times New Roman"/>
          <w:sz w:val="24"/>
          <w:szCs w:val="24"/>
          <w:lang w:val="sr-Cyrl-RS"/>
        </w:rPr>
      </w:pPr>
    </w:p>
    <w:p w14:paraId="3222A139" w14:textId="77777777" w:rsidR="001744AA" w:rsidRDefault="001744AA" w:rsidP="007447C6">
      <w:pPr>
        <w:spacing w:after="0" w:line="240" w:lineRule="auto"/>
        <w:jc w:val="center"/>
        <w:rPr>
          <w:rFonts w:ascii="Times New Roman" w:eastAsia="Times New Roman" w:hAnsi="Times New Roman"/>
          <w:sz w:val="24"/>
          <w:szCs w:val="24"/>
          <w:lang w:val="sr-Cyrl-RS"/>
        </w:rPr>
      </w:pPr>
    </w:p>
    <w:p w14:paraId="4B2598B5" w14:textId="31A536A1" w:rsidR="007447C6" w:rsidRPr="007447C6" w:rsidRDefault="001744AA" w:rsidP="001744AA">
      <w:pPr>
        <w:spacing w:after="0" w:line="240" w:lineRule="auto"/>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ПРЕДЛОГ</w:t>
      </w:r>
      <w:r w:rsidR="007447C6" w:rsidRPr="007447C6">
        <w:rPr>
          <w:rFonts w:ascii="Times New Roman" w:eastAsia="Times New Roman" w:hAnsi="Times New Roman"/>
          <w:sz w:val="24"/>
          <w:szCs w:val="24"/>
          <w:lang w:val="sr-Cyrl-CS"/>
        </w:rPr>
        <w:t xml:space="preserve"> ЗАКОНА</w:t>
      </w:r>
    </w:p>
    <w:p w14:paraId="4B45F68D" w14:textId="40770892" w:rsidR="007447C6" w:rsidRDefault="007447C6" w:rsidP="001744AA">
      <w:pPr>
        <w:spacing w:after="0" w:line="240" w:lineRule="auto"/>
        <w:jc w:val="center"/>
        <w:rPr>
          <w:rFonts w:ascii="Times New Roman" w:eastAsia="Times New Roman" w:hAnsi="Times New Roman"/>
          <w:sz w:val="24"/>
          <w:szCs w:val="24"/>
          <w:lang w:val="sr-Cyrl-RS"/>
        </w:rPr>
      </w:pPr>
      <w:r w:rsidRPr="007447C6">
        <w:rPr>
          <w:rFonts w:ascii="Times New Roman" w:eastAsia="Times New Roman" w:hAnsi="Times New Roman"/>
          <w:sz w:val="24"/>
          <w:szCs w:val="24"/>
          <w:lang w:val="sr-Cyrl-CS"/>
        </w:rPr>
        <w:t xml:space="preserve">О ЗАДУЖИВАЊУ РЕПУБЛИКЕ СРБИЈЕ КОД </w:t>
      </w:r>
      <w:r w:rsidR="00866A0C" w:rsidRPr="00866A0C">
        <w:rPr>
          <w:rFonts w:ascii="Times New Roman" w:eastAsia="Times New Roman" w:hAnsi="Times New Roman"/>
          <w:sz w:val="24"/>
          <w:szCs w:val="24"/>
          <w:lang w:val="sr-Cyrl-CS"/>
        </w:rPr>
        <w:t xml:space="preserve">NLB KOMERCIJALNA BANKA AD BEOGRAD </w:t>
      </w:r>
      <w:r w:rsidRPr="007447C6">
        <w:rPr>
          <w:rFonts w:ascii="Times New Roman" w:eastAsia="Times New Roman" w:hAnsi="Times New Roman"/>
          <w:sz w:val="24"/>
          <w:szCs w:val="24"/>
          <w:lang w:val="sr-Cyrl-CS"/>
        </w:rPr>
        <w:t xml:space="preserve">ЗА  </w:t>
      </w:r>
      <w:bookmarkStart w:id="0" w:name="SADRZAJ_002"/>
      <w:r w:rsidRPr="007447C6">
        <w:rPr>
          <w:rFonts w:ascii="Times New Roman" w:eastAsia="Times New Roman" w:hAnsi="Times New Roman"/>
          <w:sz w:val="24"/>
          <w:szCs w:val="24"/>
          <w:lang w:val="sr-Cyrl-RS"/>
        </w:rPr>
        <w:t>ПОТРЕБЕ ФИНАНСИРАЊА ПРОЈЕКТ</w:t>
      </w:r>
      <w:r w:rsidR="00151938">
        <w:rPr>
          <w:rFonts w:ascii="Times New Roman" w:eastAsia="Times New Roman" w:hAnsi="Times New Roman"/>
          <w:sz w:val="24"/>
          <w:szCs w:val="24"/>
          <w:lang w:val="sr-Cyrl-RS"/>
        </w:rPr>
        <w:t>А</w:t>
      </w:r>
      <w:r w:rsidRPr="007447C6">
        <w:rPr>
          <w:rFonts w:ascii="Times New Roman" w:eastAsia="Times New Roman" w:hAnsi="Times New Roman"/>
          <w:sz w:val="24"/>
          <w:szCs w:val="24"/>
          <w:lang w:val="sr-Cyrl-RS"/>
        </w:rPr>
        <w:t xml:space="preserve"> </w:t>
      </w:r>
      <w:r w:rsidR="00866A0C" w:rsidRPr="00866A0C">
        <w:rPr>
          <w:rFonts w:ascii="Times New Roman" w:eastAsia="Times New Roman" w:hAnsi="Times New Roman"/>
          <w:sz w:val="24"/>
          <w:szCs w:val="24"/>
          <w:lang w:val="sr-Cyrl-RS"/>
        </w:rPr>
        <w:t>ИЗГРАДЊЕ АУТО – ПУТА, ДЕОНИЦА БЕОГРАД – ЗРЕЊАНИН – НОВИ САД</w:t>
      </w:r>
      <w:bookmarkStart w:id="1" w:name="SADRZAJ_003"/>
      <w:bookmarkEnd w:id="0"/>
    </w:p>
    <w:p w14:paraId="77D589FD" w14:textId="703403C0" w:rsidR="001744AA" w:rsidRDefault="001744AA" w:rsidP="001744AA">
      <w:pPr>
        <w:spacing w:after="0" w:line="240" w:lineRule="auto"/>
        <w:jc w:val="center"/>
        <w:rPr>
          <w:rFonts w:ascii="Times New Roman" w:eastAsia="Times New Roman" w:hAnsi="Times New Roman"/>
          <w:sz w:val="24"/>
          <w:szCs w:val="24"/>
          <w:lang w:val="sr-Cyrl-RS"/>
        </w:rPr>
      </w:pPr>
    </w:p>
    <w:p w14:paraId="1680BF95" w14:textId="77777777" w:rsidR="001744AA" w:rsidRPr="001744AA" w:rsidRDefault="001744AA" w:rsidP="001744AA">
      <w:pPr>
        <w:spacing w:after="0" w:line="240" w:lineRule="auto"/>
        <w:jc w:val="center"/>
        <w:rPr>
          <w:rFonts w:ascii="Times New Roman" w:eastAsia="Times New Roman" w:hAnsi="Times New Roman"/>
          <w:sz w:val="24"/>
          <w:szCs w:val="24"/>
          <w:lang w:val="sr-Cyrl-RS"/>
        </w:rPr>
      </w:pPr>
    </w:p>
    <w:p w14:paraId="56106247"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1.</w:t>
      </w:r>
    </w:p>
    <w:bookmarkEnd w:id="1"/>
    <w:p w14:paraId="4D971C94" w14:textId="744C3433"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 xml:space="preserve">Република Србије се задужује код </w:t>
      </w:r>
      <w:r w:rsidR="00866A0C" w:rsidRPr="00866A0C">
        <w:rPr>
          <w:rFonts w:ascii="Times New Roman" w:eastAsia="Times New Roman" w:hAnsi="Times New Roman"/>
          <w:sz w:val="24"/>
          <w:szCs w:val="20"/>
          <w:lang w:val="sr-Cyrl-CS"/>
        </w:rPr>
        <w:t xml:space="preserve">NLB KOMERCIJALNA BANKA AD BEOGRAD </w:t>
      </w:r>
      <w:r w:rsidRPr="007447C6">
        <w:rPr>
          <w:rFonts w:ascii="Times New Roman" w:eastAsia="Times New Roman" w:hAnsi="Times New Roman"/>
          <w:sz w:val="24"/>
          <w:szCs w:val="20"/>
          <w:lang w:val="sr-Cyrl-CS"/>
        </w:rPr>
        <w:t xml:space="preserve">за потребе финансирања Пројекта </w:t>
      </w:r>
      <w:r w:rsidR="00866A0C" w:rsidRPr="00866A0C">
        <w:rPr>
          <w:rFonts w:ascii="Times New Roman" w:eastAsia="Times New Roman" w:hAnsi="Times New Roman"/>
          <w:sz w:val="24"/>
          <w:szCs w:val="24"/>
          <w:lang w:val="sr-Cyrl-RS"/>
        </w:rPr>
        <w:t>изградње ауто – пута, деоница Београд – Зрењанин – Нови Сад</w:t>
      </w:r>
      <w:r w:rsidRPr="007447C6">
        <w:rPr>
          <w:rFonts w:ascii="Times New Roman" w:eastAsia="Times New Roman" w:hAnsi="Times New Roman"/>
          <w:sz w:val="24"/>
          <w:szCs w:val="20"/>
          <w:lang w:val="sr-Cyrl-CS"/>
        </w:rPr>
        <w:t>.</w:t>
      </w:r>
    </w:p>
    <w:p w14:paraId="39302AFD" w14:textId="77777777"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p>
    <w:p w14:paraId="07EE01DB"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2.</w:t>
      </w:r>
    </w:p>
    <w:p w14:paraId="50C9EF25" w14:textId="2927660E"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 xml:space="preserve">Задуживање из члана 1. овог закона врши се на основу Уговора о дугорочном инвестиционом кредиту </w:t>
      </w:r>
      <w:r w:rsidR="00866A0C">
        <w:rPr>
          <w:rFonts w:ascii="Times New Roman" w:eastAsia="Times New Roman" w:hAnsi="Times New Roman"/>
          <w:sz w:val="24"/>
          <w:szCs w:val="20"/>
          <w:lang w:val="sr-Cyrl-CS"/>
        </w:rPr>
        <w:t>партија б</w:t>
      </w:r>
      <w:r>
        <w:rPr>
          <w:rFonts w:ascii="Times New Roman" w:eastAsia="Times New Roman" w:hAnsi="Times New Roman"/>
          <w:sz w:val="24"/>
          <w:szCs w:val="20"/>
          <w:lang w:val="sr-Cyrl-CS"/>
        </w:rPr>
        <w:t xml:space="preserve">р. </w:t>
      </w:r>
      <w:r w:rsidR="00866A0C" w:rsidRPr="00866A0C">
        <w:rPr>
          <w:rFonts w:ascii="Times New Roman" w:eastAsia="Times New Roman" w:hAnsi="Times New Roman"/>
          <w:bCs/>
          <w:sz w:val="24"/>
          <w:szCs w:val="20"/>
        </w:rPr>
        <w:t>0041108012011</w:t>
      </w:r>
      <w:r w:rsidR="00417EEC">
        <w:rPr>
          <w:rFonts w:ascii="Times New Roman" w:eastAsia="Times New Roman" w:hAnsi="Times New Roman"/>
          <w:sz w:val="24"/>
          <w:szCs w:val="20"/>
          <w:lang w:val="sr-Cyrl-CS"/>
        </w:rPr>
        <w:t xml:space="preserve">, између </w:t>
      </w:r>
      <w:r w:rsidR="00866A0C" w:rsidRPr="00866A0C">
        <w:rPr>
          <w:rFonts w:ascii="Times New Roman" w:eastAsia="Times New Roman" w:hAnsi="Times New Roman"/>
          <w:sz w:val="24"/>
          <w:szCs w:val="20"/>
          <w:lang w:val="sr-Cyrl-CS"/>
        </w:rPr>
        <w:t>NLB KOMERCIJALNA BANKA AD BEOGRAD</w:t>
      </w:r>
      <w:r w:rsidR="009B5B8F">
        <w:rPr>
          <w:rFonts w:ascii="Times New Roman" w:eastAsia="Times New Roman" w:hAnsi="Times New Roman"/>
          <w:sz w:val="24"/>
          <w:szCs w:val="20"/>
          <w:lang w:val="sr-Cyrl-CS"/>
        </w:rPr>
        <w:t xml:space="preserve"> и </w:t>
      </w:r>
      <w:r w:rsidR="009B5B8F" w:rsidRPr="009B5B8F">
        <w:rPr>
          <w:rFonts w:ascii="Times New Roman" w:eastAsia="Times New Roman" w:hAnsi="Times New Roman"/>
          <w:sz w:val="24"/>
          <w:szCs w:val="20"/>
          <w:lang w:val="sr-Cyrl-CS"/>
        </w:rPr>
        <w:t>Републике Србије</w:t>
      </w:r>
      <w:r w:rsidRPr="009B5B8F">
        <w:rPr>
          <w:rFonts w:ascii="Times New Roman" w:eastAsia="Times New Roman" w:hAnsi="Times New Roman"/>
          <w:sz w:val="24"/>
          <w:szCs w:val="20"/>
          <w:lang w:val="sr-Cyrl-CS"/>
        </w:rPr>
        <w:t>,</w:t>
      </w:r>
      <w:r w:rsidRPr="007447C6">
        <w:rPr>
          <w:rFonts w:ascii="Times New Roman" w:eastAsia="Times New Roman" w:hAnsi="Times New Roman"/>
          <w:sz w:val="24"/>
          <w:szCs w:val="20"/>
          <w:lang w:val="sr-Cyrl-CS"/>
        </w:rPr>
        <w:t xml:space="preserve"> који је потписан у Београду</w:t>
      </w:r>
      <w:r w:rsidR="001744AA">
        <w:rPr>
          <w:rFonts w:ascii="Times New Roman" w:eastAsia="Times New Roman" w:hAnsi="Times New Roman"/>
          <w:sz w:val="24"/>
          <w:szCs w:val="20"/>
          <w:lang w:val="sr-Cyrl-CS"/>
        </w:rPr>
        <w:t>,</w:t>
      </w:r>
      <w:r w:rsidRPr="007447C6">
        <w:rPr>
          <w:rFonts w:ascii="Times New Roman" w:eastAsia="Times New Roman" w:hAnsi="Times New Roman"/>
          <w:sz w:val="24"/>
          <w:szCs w:val="20"/>
          <w:lang w:val="sr-Cyrl-CS"/>
        </w:rPr>
        <w:t xml:space="preserve"> </w:t>
      </w:r>
      <w:r w:rsidR="00866A0C">
        <w:rPr>
          <w:rFonts w:ascii="Times New Roman" w:eastAsia="Times New Roman" w:hAnsi="Times New Roman"/>
          <w:sz w:val="24"/>
          <w:szCs w:val="20"/>
          <w:lang w:val="en-US"/>
        </w:rPr>
        <w:t>9</w:t>
      </w:r>
      <w:r w:rsidR="00D81048">
        <w:rPr>
          <w:rFonts w:ascii="Times New Roman" w:eastAsia="Times New Roman" w:hAnsi="Times New Roman"/>
          <w:sz w:val="24"/>
          <w:szCs w:val="20"/>
          <w:lang w:val="en-US"/>
        </w:rPr>
        <w:t xml:space="preserve">. </w:t>
      </w:r>
      <w:r w:rsidR="00866A0C">
        <w:rPr>
          <w:rFonts w:ascii="Times New Roman" w:eastAsia="Times New Roman" w:hAnsi="Times New Roman"/>
          <w:sz w:val="24"/>
          <w:szCs w:val="20"/>
          <w:lang w:val="sr-Cyrl-RS"/>
        </w:rPr>
        <w:t>мај</w:t>
      </w:r>
      <w:r w:rsidRPr="007447C6">
        <w:rPr>
          <w:rFonts w:ascii="Times New Roman" w:eastAsia="Times New Roman" w:hAnsi="Times New Roman"/>
          <w:sz w:val="24"/>
          <w:szCs w:val="20"/>
          <w:lang w:val="sr-Cyrl-RS"/>
        </w:rPr>
        <w:t>а</w:t>
      </w:r>
      <w:r w:rsidRPr="007447C6">
        <w:rPr>
          <w:rFonts w:ascii="Times New Roman" w:eastAsia="Times New Roman" w:hAnsi="Times New Roman"/>
          <w:sz w:val="24"/>
          <w:szCs w:val="20"/>
          <w:lang w:val="sr-Cyrl-CS"/>
        </w:rPr>
        <w:t xml:space="preserve"> 20</w:t>
      </w:r>
      <w:r w:rsidR="009B5B8F">
        <w:rPr>
          <w:rFonts w:ascii="Times New Roman" w:eastAsia="Times New Roman" w:hAnsi="Times New Roman"/>
          <w:sz w:val="24"/>
          <w:szCs w:val="20"/>
          <w:lang w:val="sr-Cyrl-CS"/>
        </w:rPr>
        <w:t>25</w:t>
      </w:r>
      <w:r w:rsidRPr="007447C6">
        <w:rPr>
          <w:rFonts w:ascii="Times New Roman" w:eastAsia="Times New Roman" w:hAnsi="Times New Roman"/>
          <w:sz w:val="24"/>
          <w:szCs w:val="20"/>
          <w:lang w:val="sr-Cyrl-CS"/>
        </w:rPr>
        <w:t xml:space="preserve">. године, у оригиналу на </w:t>
      </w:r>
      <w:r w:rsidR="009B5B8F">
        <w:rPr>
          <w:rFonts w:ascii="Times New Roman" w:eastAsia="Times New Roman" w:hAnsi="Times New Roman"/>
          <w:sz w:val="24"/>
          <w:szCs w:val="20"/>
          <w:lang w:val="sr-Cyrl-CS"/>
        </w:rPr>
        <w:t>српском језику</w:t>
      </w:r>
      <w:r w:rsidR="001744AA">
        <w:rPr>
          <w:rFonts w:ascii="Times New Roman" w:eastAsia="Times New Roman" w:hAnsi="Times New Roman"/>
          <w:sz w:val="24"/>
          <w:szCs w:val="20"/>
          <w:lang w:val="sr-Cyrl-CS"/>
        </w:rPr>
        <w:t>, који</w:t>
      </w:r>
      <w:r w:rsidR="009B5B8F">
        <w:rPr>
          <w:rFonts w:ascii="Times New Roman" w:eastAsia="Times New Roman" w:hAnsi="Times New Roman"/>
          <w:sz w:val="24"/>
          <w:szCs w:val="20"/>
          <w:lang w:val="sr-Cyrl-CS"/>
        </w:rPr>
        <w:t xml:space="preserve"> </w:t>
      </w:r>
      <w:r w:rsidRPr="007447C6">
        <w:rPr>
          <w:rFonts w:ascii="Times New Roman" w:eastAsia="Times New Roman" w:hAnsi="Times New Roman"/>
          <w:sz w:val="24"/>
          <w:szCs w:val="20"/>
          <w:lang w:val="sr-Cyrl-CS"/>
        </w:rPr>
        <w:t>гласи:</w:t>
      </w:r>
    </w:p>
    <w:p w14:paraId="41149159" w14:textId="77777777" w:rsidR="007447C6" w:rsidRDefault="007447C6" w:rsidP="00581CC2">
      <w:pPr>
        <w:jc w:val="center"/>
        <w:rPr>
          <w:rFonts w:ascii="Times New Roman" w:eastAsia="Times New Roman" w:hAnsi="Times New Roman"/>
          <w:b/>
          <w:sz w:val="24"/>
          <w:szCs w:val="24"/>
          <w:lang w:val="sr-Cyrl-RS" w:eastAsia="sr-Latn-RS"/>
        </w:rPr>
      </w:pPr>
    </w:p>
    <w:p w14:paraId="4D00DD22" w14:textId="77777777" w:rsidR="007447C6" w:rsidRDefault="007447C6" w:rsidP="00581CC2">
      <w:pPr>
        <w:jc w:val="center"/>
        <w:rPr>
          <w:rFonts w:ascii="Times New Roman" w:eastAsia="Times New Roman" w:hAnsi="Times New Roman"/>
          <w:b/>
          <w:sz w:val="24"/>
          <w:szCs w:val="24"/>
          <w:lang w:val="sr-Cyrl-RS" w:eastAsia="sr-Latn-RS"/>
        </w:rPr>
      </w:pPr>
    </w:p>
    <w:p w14:paraId="14928D0A" w14:textId="77777777" w:rsidR="007447C6" w:rsidRDefault="007447C6" w:rsidP="00581CC2">
      <w:pPr>
        <w:jc w:val="center"/>
        <w:rPr>
          <w:rFonts w:ascii="Times New Roman" w:eastAsia="Times New Roman" w:hAnsi="Times New Roman"/>
          <w:b/>
          <w:sz w:val="24"/>
          <w:szCs w:val="24"/>
          <w:lang w:val="sr-Cyrl-RS" w:eastAsia="sr-Latn-RS"/>
        </w:rPr>
      </w:pPr>
    </w:p>
    <w:p w14:paraId="1759DB52" w14:textId="77777777" w:rsidR="007447C6" w:rsidRDefault="007447C6" w:rsidP="00581CC2">
      <w:pPr>
        <w:jc w:val="center"/>
        <w:rPr>
          <w:rFonts w:ascii="Times New Roman" w:eastAsia="Times New Roman" w:hAnsi="Times New Roman"/>
          <w:b/>
          <w:sz w:val="24"/>
          <w:szCs w:val="24"/>
          <w:lang w:val="sr-Cyrl-RS" w:eastAsia="sr-Latn-RS"/>
        </w:rPr>
      </w:pPr>
    </w:p>
    <w:p w14:paraId="3B452F3F" w14:textId="77777777" w:rsidR="007447C6" w:rsidRDefault="007447C6" w:rsidP="00581CC2">
      <w:pPr>
        <w:jc w:val="center"/>
        <w:rPr>
          <w:rFonts w:ascii="Times New Roman" w:eastAsia="Times New Roman" w:hAnsi="Times New Roman"/>
          <w:b/>
          <w:sz w:val="24"/>
          <w:szCs w:val="24"/>
          <w:lang w:val="sr-Cyrl-RS" w:eastAsia="sr-Latn-RS"/>
        </w:rPr>
      </w:pPr>
    </w:p>
    <w:p w14:paraId="6BEFA085" w14:textId="77777777" w:rsidR="007447C6" w:rsidRDefault="007447C6" w:rsidP="00581CC2">
      <w:pPr>
        <w:jc w:val="center"/>
        <w:rPr>
          <w:rFonts w:ascii="Times New Roman" w:eastAsia="Times New Roman" w:hAnsi="Times New Roman"/>
          <w:b/>
          <w:sz w:val="24"/>
          <w:szCs w:val="24"/>
          <w:lang w:val="sr-Cyrl-RS" w:eastAsia="sr-Latn-RS"/>
        </w:rPr>
      </w:pPr>
    </w:p>
    <w:p w14:paraId="6073A44A" w14:textId="77777777" w:rsidR="007447C6" w:rsidRDefault="007447C6" w:rsidP="00581CC2">
      <w:pPr>
        <w:jc w:val="center"/>
        <w:rPr>
          <w:rFonts w:ascii="Times New Roman" w:eastAsia="Times New Roman" w:hAnsi="Times New Roman"/>
          <w:b/>
          <w:sz w:val="24"/>
          <w:szCs w:val="24"/>
          <w:lang w:val="sr-Cyrl-RS" w:eastAsia="sr-Latn-RS"/>
        </w:rPr>
      </w:pPr>
    </w:p>
    <w:p w14:paraId="77465FC8" w14:textId="77777777" w:rsidR="007447C6" w:rsidRDefault="007447C6" w:rsidP="00581CC2">
      <w:pPr>
        <w:jc w:val="center"/>
        <w:rPr>
          <w:rFonts w:ascii="Times New Roman" w:eastAsia="Times New Roman" w:hAnsi="Times New Roman"/>
          <w:b/>
          <w:sz w:val="24"/>
          <w:szCs w:val="24"/>
          <w:lang w:val="sr-Cyrl-RS" w:eastAsia="sr-Latn-RS"/>
        </w:rPr>
      </w:pPr>
    </w:p>
    <w:p w14:paraId="547F29F1" w14:textId="77777777" w:rsidR="007447C6" w:rsidRDefault="007447C6" w:rsidP="00581CC2">
      <w:pPr>
        <w:jc w:val="center"/>
        <w:rPr>
          <w:rFonts w:ascii="Times New Roman" w:eastAsia="Times New Roman" w:hAnsi="Times New Roman"/>
          <w:b/>
          <w:sz w:val="24"/>
          <w:szCs w:val="24"/>
          <w:lang w:val="sr-Cyrl-RS" w:eastAsia="sr-Latn-RS"/>
        </w:rPr>
      </w:pPr>
    </w:p>
    <w:p w14:paraId="1457AFB7" w14:textId="77777777" w:rsidR="007447C6" w:rsidRDefault="007447C6" w:rsidP="00581CC2">
      <w:pPr>
        <w:jc w:val="center"/>
        <w:rPr>
          <w:rFonts w:ascii="Times New Roman" w:eastAsia="Times New Roman" w:hAnsi="Times New Roman"/>
          <w:b/>
          <w:sz w:val="24"/>
          <w:szCs w:val="24"/>
          <w:lang w:val="sr-Cyrl-RS" w:eastAsia="sr-Latn-RS"/>
        </w:rPr>
      </w:pPr>
    </w:p>
    <w:p w14:paraId="329E1BDC" w14:textId="77777777" w:rsidR="007447C6" w:rsidRDefault="007447C6" w:rsidP="00581CC2">
      <w:pPr>
        <w:jc w:val="center"/>
        <w:rPr>
          <w:rFonts w:ascii="Times New Roman" w:eastAsia="Times New Roman" w:hAnsi="Times New Roman"/>
          <w:b/>
          <w:sz w:val="24"/>
          <w:szCs w:val="24"/>
          <w:lang w:val="sr-Cyrl-RS" w:eastAsia="sr-Latn-RS"/>
        </w:rPr>
      </w:pPr>
    </w:p>
    <w:p w14:paraId="62B0FAFD" w14:textId="77777777" w:rsidR="007447C6" w:rsidRDefault="007447C6" w:rsidP="00581CC2">
      <w:pPr>
        <w:jc w:val="center"/>
        <w:rPr>
          <w:rFonts w:ascii="Times New Roman" w:eastAsia="Times New Roman" w:hAnsi="Times New Roman"/>
          <w:b/>
          <w:sz w:val="24"/>
          <w:szCs w:val="24"/>
          <w:lang w:val="sr-Cyrl-RS" w:eastAsia="sr-Latn-RS"/>
        </w:rPr>
      </w:pPr>
    </w:p>
    <w:p w14:paraId="3653FBE6" w14:textId="77777777" w:rsidR="007447C6" w:rsidRDefault="007447C6" w:rsidP="00581CC2">
      <w:pPr>
        <w:jc w:val="center"/>
        <w:rPr>
          <w:rFonts w:ascii="Times New Roman" w:eastAsia="Times New Roman" w:hAnsi="Times New Roman"/>
          <w:b/>
          <w:sz w:val="24"/>
          <w:szCs w:val="24"/>
          <w:lang w:val="sr-Cyrl-RS" w:eastAsia="sr-Latn-RS"/>
        </w:rPr>
      </w:pPr>
    </w:p>
    <w:p w14:paraId="6CEDC73E" w14:textId="77777777" w:rsidR="007447C6" w:rsidRDefault="007447C6" w:rsidP="00581CC2">
      <w:pPr>
        <w:jc w:val="center"/>
        <w:rPr>
          <w:rFonts w:ascii="Times New Roman" w:eastAsia="Times New Roman" w:hAnsi="Times New Roman"/>
          <w:b/>
          <w:sz w:val="24"/>
          <w:szCs w:val="24"/>
          <w:lang w:val="sr-Cyrl-RS" w:eastAsia="sr-Latn-RS"/>
        </w:rPr>
      </w:pPr>
    </w:p>
    <w:p w14:paraId="4AF6E80B" w14:textId="77777777" w:rsidR="007447C6" w:rsidRDefault="007447C6" w:rsidP="00581CC2">
      <w:pPr>
        <w:jc w:val="center"/>
        <w:rPr>
          <w:rFonts w:ascii="Times New Roman" w:eastAsia="Times New Roman" w:hAnsi="Times New Roman"/>
          <w:b/>
          <w:sz w:val="24"/>
          <w:szCs w:val="24"/>
          <w:lang w:val="sr-Cyrl-RS" w:eastAsia="sr-Latn-RS"/>
        </w:rPr>
      </w:pPr>
    </w:p>
    <w:p w14:paraId="54B11FEE" w14:textId="77777777" w:rsidR="007447C6" w:rsidRDefault="007447C6" w:rsidP="00581CC2">
      <w:pPr>
        <w:jc w:val="center"/>
        <w:rPr>
          <w:rFonts w:ascii="Times New Roman" w:eastAsia="Times New Roman" w:hAnsi="Times New Roman"/>
          <w:b/>
          <w:sz w:val="24"/>
          <w:szCs w:val="24"/>
          <w:lang w:val="sr-Cyrl-RS" w:eastAsia="sr-Latn-RS"/>
        </w:rPr>
      </w:pPr>
    </w:p>
    <w:p w14:paraId="130B293C" w14:textId="77777777" w:rsidR="007447C6" w:rsidRDefault="007447C6" w:rsidP="00581CC2">
      <w:pPr>
        <w:jc w:val="center"/>
        <w:rPr>
          <w:rFonts w:ascii="Times New Roman" w:eastAsia="Times New Roman" w:hAnsi="Times New Roman"/>
          <w:b/>
          <w:sz w:val="24"/>
          <w:szCs w:val="24"/>
          <w:lang w:val="sr-Cyrl-RS" w:eastAsia="sr-Latn-RS"/>
        </w:rPr>
      </w:pPr>
    </w:p>
    <w:p w14:paraId="16D83127" w14:textId="6933F514" w:rsidR="007447C6" w:rsidRDefault="007447C6" w:rsidP="007447C6">
      <w:pPr>
        <w:rPr>
          <w:rFonts w:ascii="Times New Roman" w:eastAsia="Times New Roman" w:hAnsi="Times New Roman"/>
          <w:b/>
          <w:sz w:val="24"/>
          <w:szCs w:val="24"/>
          <w:lang w:val="sr-Cyrl-RS" w:eastAsia="sr-Latn-RS"/>
        </w:rPr>
      </w:pPr>
    </w:p>
    <w:p w14:paraId="18123AF9" w14:textId="77777777" w:rsidR="007447C6" w:rsidRDefault="007447C6" w:rsidP="007447C6">
      <w:pPr>
        <w:rPr>
          <w:rFonts w:ascii="Times New Roman" w:eastAsia="Times New Roman" w:hAnsi="Times New Roman"/>
          <w:b/>
          <w:sz w:val="24"/>
          <w:szCs w:val="24"/>
          <w:lang w:val="sr-Cyrl-RS" w:eastAsia="sr-Latn-RS"/>
        </w:rPr>
      </w:pPr>
    </w:p>
    <w:p w14:paraId="798D0DF6" w14:textId="77777777" w:rsidR="00F67212" w:rsidRDefault="00F67212" w:rsidP="00F67212">
      <w:pPr>
        <w:spacing w:after="0" w:line="240" w:lineRule="auto"/>
        <w:jc w:val="center"/>
        <w:rPr>
          <w:rFonts w:ascii="Times New Roman" w:eastAsia="Times New Roman" w:hAnsi="Times New Roman"/>
          <w:b/>
          <w:sz w:val="24"/>
          <w:szCs w:val="24"/>
          <w:lang w:val="sr-Cyrl-RS" w:eastAsia="sr-Latn-RS"/>
        </w:rPr>
      </w:pPr>
    </w:p>
    <w:p w14:paraId="29BC4179" w14:textId="77777777" w:rsidR="00F67212" w:rsidRDefault="00F67212" w:rsidP="00F67212">
      <w:pPr>
        <w:spacing w:after="0" w:line="240" w:lineRule="auto"/>
        <w:jc w:val="center"/>
        <w:rPr>
          <w:rFonts w:ascii="Times New Roman" w:eastAsia="Times New Roman" w:hAnsi="Times New Roman"/>
          <w:b/>
          <w:sz w:val="24"/>
          <w:szCs w:val="24"/>
          <w:lang w:val="sr-Cyrl-RS" w:eastAsia="sr-Latn-RS"/>
        </w:rPr>
      </w:pPr>
    </w:p>
    <w:p w14:paraId="1BDA23AC" w14:textId="77777777" w:rsidR="0064543B" w:rsidRDefault="0064543B" w:rsidP="00F67212">
      <w:pPr>
        <w:spacing w:after="0" w:line="240" w:lineRule="auto"/>
        <w:jc w:val="center"/>
        <w:rPr>
          <w:rFonts w:ascii="Times New Roman" w:eastAsia="Times New Roman" w:hAnsi="Times New Roman"/>
          <w:b/>
          <w:sz w:val="24"/>
          <w:szCs w:val="24"/>
          <w:lang w:val="sr-Cyrl-RS" w:eastAsia="sr-Latn-RS"/>
        </w:rPr>
      </w:pPr>
    </w:p>
    <w:p w14:paraId="369CCF43" w14:textId="77777777" w:rsidR="0064543B" w:rsidRDefault="0064543B" w:rsidP="00F67212">
      <w:pPr>
        <w:spacing w:after="0" w:line="240" w:lineRule="auto"/>
        <w:jc w:val="center"/>
        <w:rPr>
          <w:rFonts w:ascii="Times New Roman" w:eastAsia="Times New Roman" w:hAnsi="Times New Roman"/>
          <w:b/>
          <w:sz w:val="24"/>
          <w:szCs w:val="24"/>
          <w:lang w:val="sr-Cyrl-RS" w:eastAsia="sr-Latn-RS"/>
        </w:rPr>
      </w:pPr>
    </w:p>
    <w:p w14:paraId="58FD0481" w14:textId="77777777" w:rsidR="00866A0C" w:rsidRDefault="00866A0C" w:rsidP="00866A0C">
      <w:pPr>
        <w:spacing w:after="0" w:line="240" w:lineRule="auto"/>
        <w:jc w:val="center"/>
        <w:rPr>
          <w:rFonts w:ascii="Arial" w:eastAsiaTheme="minorHAnsi" w:hAnsi="Arial" w:cs="Arial"/>
          <w:b/>
          <w:bCs/>
          <w:color w:val="000000" w:themeColor="text1"/>
          <w:sz w:val="20"/>
          <w:szCs w:val="20"/>
          <w:lang w:val="sr-Cyrl-CS"/>
        </w:rPr>
      </w:pPr>
    </w:p>
    <w:p w14:paraId="662883F4" w14:textId="77777777" w:rsidR="00866A0C" w:rsidRDefault="00866A0C" w:rsidP="00866A0C">
      <w:pPr>
        <w:spacing w:after="0" w:line="240" w:lineRule="auto"/>
        <w:jc w:val="center"/>
        <w:rPr>
          <w:rFonts w:ascii="Arial" w:eastAsiaTheme="minorHAnsi" w:hAnsi="Arial" w:cs="Arial"/>
          <w:b/>
          <w:bCs/>
          <w:color w:val="000000" w:themeColor="text1"/>
          <w:sz w:val="20"/>
          <w:szCs w:val="20"/>
          <w:lang w:val="sr-Cyrl-CS"/>
        </w:rPr>
      </w:pPr>
    </w:p>
    <w:p w14:paraId="2B9C2340" w14:textId="7DA2B5E1" w:rsidR="00866A0C" w:rsidRPr="00866A0C" w:rsidRDefault="00866A0C" w:rsidP="00866A0C">
      <w:pPr>
        <w:spacing w:after="0" w:line="240" w:lineRule="auto"/>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УГОВОР О ДУГОРОЧНОМ ИНВЕСТИЦИОНОМ КРЕДИТУ</w:t>
      </w:r>
    </w:p>
    <w:p w14:paraId="20012997" w14:textId="77777777" w:rsidR="00866A0C" w:rsidRPr="00866A0C" w:rsidRDefault="00866A0C" w:rsidP="00866A0C">
      <w:pPr>
        <w:spacing w:after="0" w:line="240" w:lineRule="auto"/>
        <w:jc w:val="center"/>
        <w:rPr>
          <w:rFonts w:ascii="Segoe UI" w:eastAsiaTheme="minorHAnsi" w:hAnsi="Segoe UI" w:cs="Segoe UI"/>
          <w:color w:val="000000" w:themeColor="text1"/>
          <w:sz w:val="30"/>
          <w:szCs w:val="30"/>
        </w:rPr>
      </w:pPr>
      <w:r w:rsidRPr="00866A0C">
        <w:rPr>
          <w:rFonts w:ascii="Arial" w:eastAsiaTheme="minorHAnsi" w:hAnsi="Arial" w:cs="Arial"/>
          <w:b/>
          <w:bCs/>
          <w:color w:val="000000" w:themeColor="text1"/>
          <w:sz w:val="20"/>
          <w:szCs w:val="20"/>
          <w:lang w:val="sr-Cyrl-CS"/>
        </w:rPr>
        <w:t xml:space="preserve">ПАРТИЈА БР. </w:t>
      </w:r>
      <w:r w:rsidRPr="00866A0C">
        <w:rPr>
          <w:rFonts w:ascii="Arial" w:eastAsiaTheme="minorHAnsi" w:hAnsi="Arial" w:cs="Arial"/>
          <w:b/>
          <w:bCs/>
          <w:color w:val="000000" w:themeColor="text1"/>
          <w:sz w:val="20"/>
          <w:szCs w:val="20"/>
        </w:rPr>
        <w:t>0041108012011</w:t>
      </w:r>
    </w:p>
    <w:p w14:paraId="67A54970" w14:textId="77777777" w:rsidR="00866A0C" w:rsidRPr="00866A0C" w:rsidRDefault="00866A0C" w:rsidP="00866A0C">
      <w:pPr>
        <w:spacing w:after="0" w:line="240" w:lineRule="auto"/>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 </w:t>
      </w:r>
    </w:p>
    <w:p w14:paraId="4AFF47BF" w14:textId="6CBDDC46" w:rsidR="00866A0C" w:rsidRPr="00866A0C" w:rsidRDefault="00866A0C" w:rsidP="00866A0C">
      <w:pPr>
        <w:spacing w:after="0" w:line="240" w:lineRule="auto"/>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en-US"/>
        </w:rPr>
        <w:t xml:space="preserve">              </w:t>
      </w:r>
      <w:r w:rsidRPr="00866A0C">
        <w:rPr>
          <w:rFonts w:ascii="Arial" w:eastAsiaTheme="minorHAnsi" w:hAnsi="Arial" w:cs="Arial"/>
          <w:color w:val="000000" w:themeColor="text1"/>
          <w:sz w:val="20"/>
          <w:szCs w:val="20"/>
          <w:lang w:val="sr-Cyrl-CS"/>
        </w:rPr>
        <w:t>Закључен</w:t>
      </w:r>
      <w:r w:rsidR="00FD516F">
        <w:rPr>
          <w:rFonts w:ascii="Arial" w:eastAsiaTheme="minorHAnsi" w:hAnsi="Arial" w:cs="Arial"/>
          <w:color w:val="000000" w:themeColor="text1"/>
          <w:sz w:val="20"/>
          <w:szCs w:val="20"/>
          <w:lang w:val="sr-Cyrl-CS"/>
        </w:rPr>
        <w:t xml:space="preserve"> у Београду, дана </w:t>
      </w:r>
      <w:r w:rsidR="00FD516F">
        <w:rPr>
          <w:rFonts w:ascii="Arial" w:eastAsiaTheme="minorHAnsi" w:hAnsi="Arial" w:cs="Arial"/>
          <w:color w:val="000000" w:themeColor="text1"/>
          <w:sz w:val="20"/>
          <w:szCs w:val="20"/>
          <w:lang w:val="en-US"/>
        </w:rPr>
        <w:t>09.05.2025</w:t>
      </w:r>
      <w:r w:rsidRPr="00866A0C">
        <w:rPr>
          <w:rFonts w:ascii="Arial" w:eastAsiaTheme="minorHAnsi" w:hAnsi="Arial" w:cs="Arial"/>
          <w:color w:val="000000" w:themeColor="text1"/>
          <w:sz w:val="20"/>
          <w:szCs w:val="20"/>
          <w:lang w:val="sr-Cyrl-CS"/>
        </w:rPr>
        <w:t>. године, између следећих уговорних страна:</w:t>
      </w:r>
    </w:p>
    <w:p w14:paraId="3E70401B" w14:textId="77777777" w:rsidR="00866A0C" w:rsidRPr="00866A0C" w:rsidRDefault="00866A0C" w:rsidP="00866A0C">
      <w:pPr>
        <w:spacing w:after="0" w:line="240" w:lineRule="auto"/>
        <w:jc w:val="both"/>
        <w:rPr>
          <w:rFonts w:ascii="Segoe UI" w:eastAsiaTheme="minorHAnsi" w:hAnsi="Segoe UI" w:cs="Segoe UI"/>
          <w:color w:val="000000" w:themeColor="text1"/>
          <w:sz w:val="30"/>
          <w:szCs w:val="30"/>
          <w:lang w:val="sr-Cyrl-CS"/>
        </w:rPr>
      </w:pPr>
    </w:p>
    <w:p w14:paraId="73581DDA" w14:textId="77777777" w:rsidR="00866A0C" w:rsidRPr="00866A0C" w:rsidRDefault="00866A0C" w:rsidP="00866A0C">
      <w:pPr>
        <w:numPr>
          <w:ilvl w:val="0"/>
          <w:numId w:val="37"/>
        </w:numPr>
        <w:spacing w:after="0" w:line="240" w:lineRule="auto"/>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NLB KOMERCIJALNA BANKA AD BEOGRAD, Булевар Михајла Пупина 165в, Београд, м.бр. 07737068, ПИБ 100001931, Сектор за пословање са великим привредним субјектима, коју заступа Властимир Вуковић, председник Извршног одбора Банке (у даљем тексту: Банка)</w:t>
      </w:r>
    </w:p>
    <w:p w14:paraId="167E306E"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0214A5BC"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и</w:t>
      </w:r>
    </w:p>
    <w:p w14:paraId="6D26D27E" w14:textId="77777777" w:rsidR="00866A0C" w:rsidRPr="00866A0C" w:rsidRDefault="00866A0C" w:rsidP="00866A0C">
      <w:pPr>
        <w:tabs>
          <w:tab w:val="left" w:pos="6182"/>
        </w:tabs>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r w:rsidRPr="00866A0C">
        <w:rPr>
          <w:rFonts w:ascii="Arial" w:eastAsiaTheme="minorHAnsi" w:hAnsi="Arial" w:cs="Arial"/>
          <w:color w:val="000000" w:themeColor="text1"/>
          <w:sz w:val="20"/>
          <w:szCs w:val="20"/>
          <w:lang w:val="sr-Cyrl-CS"/>
        </w:rPr>
        <w:tab/>
      </w:r>
    </w:p>
    <w:p w14:paraId="05662AA2" w14:textId="2B314BE2" w:rsidR="00866A0C" w:rsidRPr="00866A0C" w:rsidRDefault="00866A0C" w:rsidP="00866A0C">
      <w:pPr>
        <w:spacing w:after="0" w:line="240" w:lineRule="auto"/>
        <w:ind w:left="720" w:hanging="36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2.</w:t>
      </w:r>
      <w:r w:rsidRPr="00866A0C">
        <w:rPr>
          <w:rFonts w:asciiTheme="minorHAnsi" w:eastAsiaTheme="minorHAnsi" w:hAnsiTheme="minorHAnsi" w:cstheme="minorBidi"/>
          <w:color w:val="000000" w:themeColor="text1"/>
          <w:sz w:val="14"/>
          <w:szCs w:val="14"/>
          <w:lang w:val="sr-Cyrl-CS"/>
        </w:rPr>
        <w:t>      </w:t>
      </w:r>
      <w:r w:rsidRPr="00866A0C">
        <w:rPr>
          <w:rFonts w:ascii="Arial" w:eastAsiaTheme="minorHAnsi" w:hAnsi="Arial" w:cs="Arial"/>
          <w:color w:val="000000" w:themeColor="text1"/>
          <w:sz w:val="20"/>
          <w:szCs w:val="20"/>
          <w:lang w:val="sr-Cyrl-CS"/>
        </w:rPr>
        <w:t xml:space="preserve">РЕПУБЛИКА СРБИЈА, ул. Кнеза Милоша 20, Београд, Савски Венац, Република Србија, коју у име Владе, као заступника Републике Србије, заступа </w:t>
      </w:r>
      <w:r w:rsidRPr="00866A0C">
        <w:rPr>
          <w:rFonts w:ascii="Arial" w:eastAsiaTheme="minorHAnsi" w:hAnsi="Arial" w:cs="Arial"/>
          <w:sz w:val="20"/>
          <w:szCs w:val="20"/>
          <w:lang w:val="sr-Cyrl-RS"/>
        </w:rPr>
        <w:t xml:space="preserve">Синиша Мали, први потпредседник Владе и </w:t>
      </w:r>
      <w:r w:rsidR="00811139">
        <w:rPr>
          <w:rFonts w:ascii="Arial" w:eastAsiaTheme="minorHAnsi" w:hAnsi="Arial" w:cs="Arial"/>
          <w:sz w:val="20"/>
          <w:szCs w:val="20"/>
          <w:lang w:val="sr-Cyrl-RS"/>
        </w:rPr>
        <w:br/>
      </w:r>
      <w:r w:rsidRPr="00866A0C">
        <w:rPr>
          <w:rFonts w:ascii="Arial" w:eastAsiaTheme="minorHAnsi" w:hAnsi="Arial" w:cs="Arial"/>
          <w:sz w:val="20"/>
          <w:szCs w:val="20"/>
          <w:lang w:val="sr-Cyrl-RS"/>
        </w:rPr>
        <w:t>министар финансија</w:t>
      </w:r>
      <w:r w:rsidRPr="00866A0C">
        <w:rPr>
          <w:rFonts w:ascii="Arial" w:eastAsiaTheme="minorHAnsi" w:hAnsi="Arial" w:cs="Arial"/>
          <w:sz w:val="20"/>
          <w:szCs w:val="20"/>
          <w:lang w:val="sr-Cyrl-CS"/>
        </w:rPr>
        <w:t xml:space="preserve"> </w:t>
      </w:r>
      <w:r w:rsidRPr="00866A0C">
        <w:rPr>
          <w:rFonts w:ascii="Arial" w:eastAsiaTheme="minorHAnsi" w:hAnsi="Arial" w:cs="Arial"/>
          <w:color w:val="000000" w:themeColor="text1"/>
          <w:sz w:val="20"/>
          <w:szCs w:val="20"/>
          <w:lang w:val="sr-Cyrl-CS"/>
        </w:rPr>
        <w:t>(у даљем тексту: Зајмопримац).</w:t>
      </w:r>
    </w:p>
    <w:p w14:paraId="3B7E40D3"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7589AC6D"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Банка и Зајмопримац у даљем тексту заједнички означени као: Уговорне стране.</w:t>
      </w:r>
    </w:p>
    <w:p w14:paraId="3DA8C044"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0DE4D57C" w14:textId="521D9E89"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Уговорне стране су сагласне да на основу </w:t>
      </w:r>
      <w:r w:rsidRPr="00866A0C">
        <w:rPr>
          <w:rFonts w:ascii="Arial" w:eastAsiaTheme="minorHAnsi" w:hAnsi="Arial" w:cs="Arial"/>
          <w:color w:val="000000" w:themeColor="text1"/>
          <w:sz w:val="20"/>
          <w:szCs w:val="20"/>
          <w:lang w:val="sr-Cyrl-RS"/>
        </w:rPr>
        <w:t xml:space="preserve">Оквирног </w:t>
      </w:r>
      <w:r w:rsidRPr="00866A0C">
        <w:rPr>
          <w:rFonts w:ascii="Arial" w:eastAsiaTheme="minorHAnsi" w:hAnsi="Arial" w:cs="Arial"/>
          <w:color w:val="000000" w:themeColor="text1"/>
          <w:sz w:val="20"/>
          <w:szCs w:val="20"/>
          <w:lang w:val="sr-Cyrl-CS"/>
        </w:rPr>
        <w:t xml:space="preserve">комерцијалног уговора о пројектовању и </w:t>
      </w:r>
      <w:r w:rsidR="00811139">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извођењу радова </w:t>
      </w:r>
      <w:r w:rsidRPr="00866A0C">
        <w:rPr>
          <w:rFonts w:ascii="Arial" w:eastAsiaTheme="minorHAnsi" w:hAnsi="Arial" w:cs="Arial"/>
          <w:color w:val="000000" w:themeColor="text1"/>
          <w:sz w:val="20"/>
          <w:szCs w:val="20"/>
          <w:lang w:val="sr-Cyrl-RS"/>
        </w:rPr>
        <w:t>на изградњи Аутопута Београд-Зрењанин-Нови Сад</w:t>
      </w:r>
      <w:r w:rsidRPr="00866A0C">
        <w:rPr>
          <w:rFonts w:ascii="Arial" w:eastAsiaTheme="minorHAnsi" w:hAnsi="Arial" w:cs="Arial"/>
          <w:color w:val="000000" w:themeColor="text1"/>
          <w:sz w:val="20"/>
          <w:szCs w:val="20"/>
          <w:lang w:val="sr-Cyrl-CS"/>
        </w:rPr>
        <w:t xml:space="preserve">, потписаног </w:t>
      </w:r>
      <w:r w:rsidRPr="00866A0C">
        <w:rPr>
          <w:rFonts w:ascii="Arial" w:eastAsiaTheme="minorHAnsi" w:hAnsi="Arial" w:cs="Arial"/>
          <w:color w:val="000000" w:themeColor="text1"/>
          <w:sz w:val="20"/>
          <w:szCs w:val="20"/>
        </w:rPr>
        <w:t>10.11.</w:t>
      </w:r>
      <w:r w:rsidRPr="00866A0C">
        <w:rPr>
          <w:rFonts w:ascii="Arial" w:eastAsiaTheme="minorHAnsi" w:hAnsi="Arial" w:cs="Arial"/>
          <w:color w:val="000000" w:themeColor="text1"/>
          <w:sz w:val="20"/>
          <w:szCs w:val="20"/>
          <w:lang w:val="sr-Cyrl-CS"/>
        </w:rPr>
        <w:t>2023. године, (у даљем тексту: Пројекат), између:</w:t>
      </w:r>
    </w:p>
    <w:p w14:paraId="1EDEB54A" w14:textId="77777777" w:rsidR="00866A0C" w:rsidRPr="00866A0C" w:rsidRDefault="00866A0C" w:rsidP="00866A0C">
      <w:pPr>
        <w:numPr>
          <w:ilvl w:val="0"/>
          <w:numId w:val="35"/>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Владе Републике Србије, коју представља Министарство грађевинарства, саобраћаја и инфраструктуре, као Финансијера (Корисник кредита),</w:t>
      </w:r>
    </w:p>
    <w:p w14:paraId="60DD970C" w14:textId="77777777" w:rsidR="00866A0C" w:rsidRPr="00866A0C" w:rsidRDefault="00866A0C" w:rsidP="00866A0C">
      <w:pPr>
        <w:numPr>
          <w:ilvl w:val="0"/>
          <w:numId w:val="35"/>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rPr>
        <w:t>K</w:t>
      </w:r>
      <w:r w:rsidRPr="00866A0C">
        <w:rPr>
          <w:rFonts w:ascii="Arial" w:eastAsiaTheme="minorHAnsi" w:hAnsi="Arial" w:cs="Arial"/>
          <w:color w:val="000000" w:themeColor="text1"/>
          <w:sz w:val="20"/>
          <w:szCs w:val="20"/>
          <w:lang w:val="sr-Cyrl-RS"/>
        </w:rPr>
        <w:t>оридори Србије доо</w:t>
      </w:r>
      <w:r w:rsidRPr="00866A0C">
        <w:rPr>
          <w:rFonts w:ascii="Arial" w:eastAsiaTheme="minorHAnsi" w:hAnsi="Arial" w:cs="Arial"/>
          <w:color w:val="000000" w:themeColor="text1"/>
          <w:sz w:val="20"/>
          <w:szCs w:val="20"/>
          <w:lang w:val="sr-Cyrl-CS"/>
        </w:rPr>
        <w:t>, Београд, као Инвеститора и</w:t>
      </w:r>
    </w:p>
    <w:p w14:paraId="2FF885EC" w14:textId="77777777" w:rsidR="00866A0C" w:rsidRPr="00866A0C" w:rsidRDefault="00866A0C" w:rsidP="00866A0C">
      <w:pPr>
        <w:numPr>
          <w:ilvl w:val="0"/>
          <w:numId w:val="35"/>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rPr>
        <w:t>China Shandong International Economic and Technical Cooperation Group, Ltd. of Snandong Hi-Speed Group Co. Ltd Shandong Hi-Speed Group Mansion, No.8, Long Ao North Road, Jinan, Shandong Province P.R.China</w:t>
      </w:r>
      <w:r w:rsidRPr="00866A0C">
        <w:rPr>
          <w:rFonts w:ascii="Arial" w:eastAsiaTheme="minorHAnsi" w:hAnsi="Arial" w:cs="Arial"/>
          <w:color w:val="000000" w:themeColor="text1"/>
          <w:sz w:val="20"/>
          <w:szCs w:val="20"/>
          <w:lang w:val="sr-Cyrl-CS"/>
        </w:rPr>
        <w:t>, као Извођача радова,</w:t>
      </w:r>
    </w:p>
    <w:p w14:paraId="6C366B0D" w14:textId="0DF76821"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а на основу члана </w:t>
      </w:r>
      <w:r w:rsidRPr="00866A0C">
        <w:rPr>
          <w:rFonts w:ascii="Arial" w:eastAsiaTheme="minorHAnsi" w:hAnsi="Arial" w:cs="Arial"/>
          <w:sz w:val="20"/>
          <w:szCs w:val="20"/>
          <w:lang w:val="sr-Cyrl-CS"/>
        </w:rPr>
        <w:t xml:space="preserve">3. </w:t>
      </w:r>
      <w:r w:rsidRPr="00866A0C">
        <w:rPr>
          <w:rFonts w:ascii="Arial" w:eastAsiaTheme="minorHAnsi" w:hAnsi="Arial" w:cs="Arial"/>
          <w:color w:val="000000" w:themeColor="text1"/>
          <w:sz w:val="20"/>
          <w:szCs w:val="20"/>
          <w:lang w:val="sr-Cyrl-CS"/>
        </w:rPr>
        <w:t xml:space="preserve">Закона о буџету Републике Србије за </w:t>
      </w:r>
      <w:r w:rsidRPr="00866A0C">
        <w:rPr>
          <w:rFonts w:ascii="Arial" w:eastAsiaTheme="minorHAnsi" w:hAnsi="Arial" w:cs="Arial"/>
          <w:sz w:val="20"/>
          <w:szCs w:val="20"/>
          <w:lang w:val="sr-Cyrl-CS"/>
        </w:rPr>
        <w:t>202</w:t>
      </w:r>
      <w:r w:rsidRPr="00866A0C">
        <w:rPr>
          <w:rFonts w:ascii="Arial" w:eastAsiaTheme="minorHAnsi" w:hAnsi="Arial" w:cs="Arial"/>
          <w:sz w:val="20"/>
          <w:szCs w:val="20"/>
          <w:lang w:val="en-US"/>
        </w:rPr>
        <w:t>5</w:t>
      </w:r>
      <w:r w:rsidRPr="00866A0C">
        <w:rPr>
          <w:rFonts w:ascii="Arial" w:eastAsiaTheme="minorHAnsi" w:hAnsi="Arial" w:cs="Arial"/>
          <w:color w:val="FF0000"/>
          <w:sz w:val="20"/>
          <w:szCs w:val="20"/>
          <w:lang w:val="sr-Cyrl-CS"/>
        </w:rPr>
        <w:t xml:space="preserve">. </w:t>
      </w:r>
      <w:r w:rsidRPr="00866A0C">
        <w:rPr>
          <w:rFonts w:ascii="Arial" w:eastAsiaTheme="minorHAnsi" w:hAnsi="Arial" w:cs="Arial"/>
          <w:color w:val="000000" w:themeColor="text1"/>
          <w:sz w:val="20"/>
          <w:szCs w:val="20"/>
          <w:lang w:val="sr-Cyrl-CS"/>
        </w:rPr>
        <w:t>годину („Службени гласник РС”, број </w:t>
      </w:r>
      <w:r w:rsidRPr="00866A0C">
        <w:rPr>
          <w:rFonts w:ascii="Arial" w:eastAsiaTheme="minorHAnsi" w:hAnsi="Arial" w:cs="Arial"/>
          <w:sz w:val="20"/>
          <w:szCs w:val="20"/>
          <w:lang w:val="en-US"/>
        </w:rPr>
        <w:t>94</w:t>
      </w:r>
      <w:r w:rsidRPr="00866A0C">
        <w:rPr>
          <w:rFonts w:ascii="Arial" w:eastAsiaTheme="minorHAnsi" w:hAnsi="Arial" w:cs="Arial"/>
          <w:sz w:val="20"/>
          <w:szCs w:val="20"/>
          <w:lang w:val="sr-Cyrl-CS"/>
        </w:rPr>
        <w:t xml:space="preserve">/24) </w:t>
      </w:r>
      <w:r w:rsidRPr="00866A0C">
        <w:rPr>
          <w:rFonts w:ascii="Arial" w:eastAsiaTheme="minorHAnsi" w:hAnsi="Arial" w:cs="Arial"/>
          <w:color w:val="000000" w:themeColor="text1"/>
          <w:sz w:val="20"/>
          <w:szCs w:val="20"/>
          <w:lang w:val="sr-Cyrl-CS"/>
        </w:rPr>
        <w:t xml:space="preserve">и Закључка Владе </w:t>
      </w:r>
      <w:r w:rsidR="00FD516F">
        <w:rPr>
          <w:rFonts w:ascii="Arial" w:eastAsiaTheme="minorHAnsi" w:hAnsi="Arial" w:cs="Arial"/>
          <w:color w:val="000000" w:themeColor="text1"/>
          <w:sz w:val="20"/>
          <w:szCs w:val="20"/>
          <w:lang w:val="en-US"/>
        </w:rPr>
        <w:t xml:space="preserve">05 </w:t>
      </w:r>
      <w:r w:rsidR="00FD516F">
        <w:rPr>
          <w:rFonts w:ascii="Arial" w:eastAsiaTheme="minorHAnsi" w:hAnsi="Arial" w:cs="Arial"/>
          <w:color w:val="000000" w:themeColor="text1"/>
          <w:sz w:val="20"/>
          <w:szCs w:val="20"/>
          <w:lang w:val="sr-Cyrl-CS"/>
        </w:rPr>
        <w:t xml:space="preserve">Број: </w:t>
      </w:r>
      <w:r w:rsidR="00FD516F">
        <w:rPr>
          <w:rFonts w:ascii="Arial" w:eastAsiaTheme="minorHAnsi" w:hAnsi="Arial" w:cs="Arial"/>
          <w:color w:val="000000" w:themeColor="text1"/>
          <w:sz w:val="20"/>
          <w:szCs w:val="20"/>
          <w:lang w:val="en-US"/>
        </w:rPr>
        <w:t xml:space="preserve">420-4673/2025-1 </w:t>
      </w:r>
      <w:r w:rsidR="00FD516F">
        <w:rPr>
          <w:rFonts w:ascii="Arial" w:eastAsiaTheme="minorHAnsi" w:hAnsi="Arial" w:cs="Arial"/>
          <w:color w:val="000000" w:themeColor="text1"/>
          <w:sz w:val="20"/>
          <w:szCs w:val="20"/>
          <w:lang w:val="sr-Cyrl-RS"/>
        </w:rPr>
        <w:t xml:space="preserve">од </w:t>
      </w:r>
      <w:r w:rsidR="00FD516F">
        <w:rPr>
          <w:rFonts w:ascii="Arial" w:eastAsiaTheme="minorHAnsi" w:hAnsi="Arial" w:cs="Arial"/>
          <w:color w:val="000000" w:themeColor="text1"/>
          <w:sz w:val="20"/>
          <w:szCs w:val="20"/>
          <w:lang w:val="en-US"/>
        </w:rPr>
        <w:t>08.05.2025</w:t>
      </w:r>
      <w:r w:rsidRPr="00866A0C">
        <w:rPr>
          <w:rFonts w:ascii="Arial" w:eastAsiaTheme="minorHAnsi" w:hAnsi="Arial" w:cs="Arial"/>
          <w:color w:val="000000" w:themeColor="text1"/>
          <w:sz w:val="20"/>
          <w:szCs w:val="20"/>
          <w:lang w:val="sr-Cyrl-RS"/>
        </w:rPr>
        <w:t>.године</w:t>
      </w:r>
      <w:r w:rsidRPr="00866A0C">
        <w:rPr>
          <w:rFonts w:ascii="Arial" w:eastAsiaTheme="minorHAnsi" w:hAnsi="Arial" w:cs="Arial"/>
          <w:color w:val="000000" w:themeColor="text1"/>
          <w:sz w:val="20"/>
          <w:szCs w:val="20"/>
          <w:lang w:val="sr-Cyrl-CS"/>
        </w:rPr>
        <w:t>, којим је усвојен Нацрт уговора о дугорочном инвестиционом кредиту између Републике Србије и Банке за потребе финансирања Пројекта, као и на основу закона о потврђивању наведеног задужења и након објављивања овог закона у „Службеном гласнику Републике Србије” (у даљем тексту: Службени гласник),</w:t>
      </w:r>
    </w:p>
    <w:p w14:paraId="7EB5B406"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1BC85660"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Банка одобрава Зајмопримцу, дугорочни инвестициони кредит у свему у складу са одредбама овог уговора о кредиту бр: </w:t>
      </w:r>
      <w:r w:rsidRPr="00866A0C">
        <w:rPr>
          <w:rFonts w:ascii="Arial" w:eastAsiaTheme="minorHAnsi" w:hAnsi="Arial" w:cs="Arial"/>
          <w:color w:val="000000" w:themeColor="text1"/>
          <w:sz w:val="20"/>
          <w:szCs w:val="20"/>
          <w:lang w:val="en-US"/>
        </w:rPr>
        <w:t xml:space="preserve">  0041108012011</w:t>
      </w:r>
      <w:r w:rsidRPr="00866A0C" w:rsidDel="004C6A0E">
        <w:rPr>
          <w:rFonts w:ascii="Arial" w:eastAsiaTheme="minorHAnsi" w:hAnsi="Arial" w:cs="Arial"/>
          <w:color w:val="000000" w:themeColor="text1"/>
          <w:sz w:val="20"/>
          <w:szCs w:val="20"/>
          <w:lang w:val="en-US"/>
        </w:rPr>
        <w:t xml:space="preserve"> </w:t>
      </w:r>
      <w:r w:rsidRPr="00866A0C">
        <w:rPr>
          <w:rFonts w:ascii="Arial" w:eastAsiaTheme="minorHAnsi" w:hAnsi="Arial" w:cs="Arial"/>
          <w:color w:val="000000" w:themeColor="text1"/>
          <w:sz w:val="20"/>
          <w:szCs w:val="20"/>
          <w:lang w:val="sr-Cyrl-CS"/>
        </w:rPr>
        <w:t>(у даљем тексту: Уговор) у износу који је уговорен.</w:t>
      </w:r>
    </w:p>
    <w:p w14:paraId="6FA64EA7"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5A245C32"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Уговор гласи у свему како следи:</w:t>
      </w:r>
    </w:p>
    <w:p w14:paraId="3FF1C9FF"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39DF21B1"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1</w:t>
      </w:r>
    </w:p>
    <w:p w14:paraId="401C45EA"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Износ и валута кредита</w:t>
      </w:r>
    </w:p>
    <w:p w14:paraId="17B2E7D8"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color w:val="000000" w:themeColor="text1"/>
          <w:sz w:val="20"/>
          <w:szCs w:val="20"/>
          <w:lang w:val="sr-Cyrl-CS"/>
        </w:rPr>
        <w:t> </w:t>
      </w:r>
    </w:p>
    <w:p w14:paraId="45750809" w14:textId="46A4E49A"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1.1 Сагласно Одлуци надлежног тела Банке бр.</w:t>
      </w:r>
      <w:r w:rsidRPr="00866A0C">
        <w:rPr>
          <w:rFonts w:ascii="Arial" w:eastAsiaTheme="minorHAnsi" w:hAnsi="Arial" w:cs="Arial"/>
          <w:sz w:val="20"/>
          <w:szCs w:val="20"/>
        </w:rPr>
        <w:t>130/</w:t>
      </w:r>
      <w:r w:rsidRPr="00866A0C">
        <w:rPr>
          <w:rFonts w:ascii="Arial" w:eastAsiaTheme="minorHAnsi" w:hAnsi="Arial" w:cs="Arial"/>
          <w:sz w:val="20"/>
          <w:szCs w:val="20"/>
          <w:lang w:val="sr-Cyrl-RS"/>
        </w:rPr>
        <w:t>КО</w:t>
      </w:r>
      <w:r w:rsidRPr="00866A0C">
        <w:rPr>
          <w:rFonts w:ascii="Arial" w:eastAsiaTheme="minorHAnsi" w:hAnsi="Arial" w:cs="Arial"/>
          <w:sz w:val="20"/>
          <w:szCs w:val="20"/>
        </w:rPr>
        <w:t xml:space="preserve"> </w:t>
      </w:r>
      <w:r w:rsidRPr="00866A0C">
        <w:rPr>
          <w:rFonts w:ascii="Arial" w:eastAsiaTheme="minorHAnsi" w:hAnsi="Arial" w:cs="Arial"/>
          <w:sz w:val="20"/>
          <w:szCs w:val="20"/>
          <w:lang w:val="sr-Cyrl-CS"/>
        </w:rPr>
        <w:t xml:space="preserve">од </w:t>
      </w:r>
      <w:r w:rsidRPr="00866A0C">
        <w:rPr>
          <w:rFonts w:ascii="Arial" w:eastAsiaTheme="minorHAnsi" w:hAnsi="Arial" w:cs="Arial"/>
          <w:sz w:val="20"/>
          <w:szCs w:val="20"/>
        </w:rPr>
        <w:t>05.04.2024</w:t>
      </w:r>
      <w:r w:rsidRPr="00866A0C">
        <w:rPr>
          <w:rFonts w:ascii="Arial" w:eastAsiaTheme="minorHAnsi" w:hAnsi="Arial" w:cs="Arial"/>
          <w:sz w:val="20"/>
          <w:szCs w:val="20"/>
          <w:lang w:val="sr-Cyrl-CS"/>
        </w:rPr>
        <w:t xml:space="preserve">.г., бр.601/КО од 04.10.2024.г., бр.184/КО од 09.04.2025.г., бр.227/КО од 30.04.2025.године и 05796-2025 од 08.05.2025. године Банка одобрава и ставља на располагање Зајмопримцу дугорочни инвестициони кредит у динарима у </w:t>
      </w:r>
      <w:r w:rsidR="00811139">
        <w:rPr>
          <w:rFonts w:ascii="Arial" w:eastAsiaTheme="minorHAnsi" w:hAnsi="Arial" w:cs="Arial"/>
          <w:sz w:val="20"/>
          <w:szCs w:val="20"/>
          <w:lang w:val="sr-Cyrl-CS"/>
        </w:rPr>
        <w:br/>
      </w:r>
      <w:r w:rsidRPr="00866A0C">
        <w:rPr>
          <w:rFonts w:ascii="Arial" w:eastAsiaTheme="minorHAnsi" w:hAnsi="Arial" w:cs="Arial"/>
          <w:sz w:val="20"/>
          <w:szCs w:val="20"/>
          <w:lang w:val="sr-Cyrl-CS"/>
        </w:rPr>
        <w:t xml:space="preserve">износу до РСД </w:t>
      </w:r>
      <w:r w:rsidRPr="00866A0C">
        <w:rPr>
          <w:rFonts w:ascii="Arial" w:eastAsiaTheme="minorHAnsi" w:hAnsi="Arial" w:cs="Arial"/>
          <w:sz w:val="20"/>
          <w:szCs w:val="20"/>
        </w:rPr>
        <w:t>3</w:t>
      </w:r>
      <w:r w:rsidRPr="00866A0C">
        <w:rPr>
          <w:rFonts w:ascii="Arial" w:eastAsiaTheme="minorHAnsi" w:hAnsi="Arial" w:cs="Arial"/>
          <w:sz w:val="20"/>
          <w:szCs w:val="20"/>
          <w:lang w:val="sr-Cyrl-RS"/>
        </w:rPr>
        <w:t>5</w:t>
      </w:r>
      <w:r w:rsidRPr="00866A0C">
        <w:rPr>
          <w:rFonts w:ascii="Arial" w:eastAsiaTheme="minorHAnsi" w:hAnsi="Arial" w:cs="Arial"/>
          <w:sz w:val="20"/>
          <w:szCs w:val="20"/>
        </w:rPr>
        <w:t>.000</w:t>
      </w:r>
      <w:r w:rsidRPr="00866A0C">
        <w:rPr>
          <w:rFonts w:ascii="Arial" w:eastAsiaTheme="minorHAnsi" w:hAnsi="Arial" w:cs="Arial"/>
          <w:sz w:val="20"/>
          <w:szCs w:val="20"/>
          <w:lang w:val="sr-Cyrl-CS"/>
        </w:rPr>
        <w:t xml:space="preserve">.000.000,00 (словима: </w:t>
      </w:r>
      <w:r w:rsidRPr="00866A0C">
        <w:rPr>
          <w:rFonts w:ascii="Arial" w:eastAsiaTheme="minorHAnsi" w:hAnsi="Arial" w:cs="Arial"/>
          <w:sz w:val="20"/>
          <w:szCs w:val="20"/>
          <w:lang w:val="sr-Cyrl-RS"/>
        </w:rPr>
        <w:t>тридесетпет</w:t>
      </w:r>
      <w:r w:rsidRPr="00866A0C">
        <w:rPr>
          <w:rFonts w:ascii="Arial" w:eastAsiaTheme="minorHAnsi" w:hAnsi="Arial" w:cs="Arial"/>
          <w:sz w:val="20"/>
          <w:szCs w:val="20"/>
          <w:lang w:val="sr-Cyrl-CS"/>
        </w:rPr>
        <w:t>милијардидинара) (у даљем тексту: Кредит), при чему су услови за његово одобрење дефинисани и ближе одређени у члану 4 Уговора, док ће наведени износ служити као основ за израчунавање таквих износа као што су дугована главница, камата, накнаде, као и других износа дефинисаних овим уговором.</w:t>
      </w:r>
    </w:p>
    <w:p w14:paraId="35C20E72" w14:textId="77777777" w:rsidR="00866A0C" w:rsidRPr="00866A0C" w:rsidRDefault="00866A0C" w:rsidP="00866A0C">
      <w:pPr>
        <w:ind w:left="993" w:hanging="284"/>
        <w:contextualSpacing/>
        <w:jc w:val="both"/>
        <w:rPr>
          <w:rFonts w:ascii="Arial" w:eastAsiaTheme="minorHAnsi" w:hAnsi="Arial" w:cs="Arial"/>
          <w:sz w:val="20"/>
          <w:szCs w:val="20"/>
          <w:lang w:val="sr-Cyrl-CS"/>
        </w:rPr>
      </w:pPr>
    </w:p>
    <w:p w14:paraId="70B108B2"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1.2 Уговорне стране су сагласне да се исплата и отплата свих релевантних износа, као што су обрачуната камата, накнаде, дугована главница и други износи дефинисани Уговором, врши у динарима.</w:t>
      </w:r>
    </w:p>
    <w:p w14:paraId="52A79A56" w14:textId="77777777" w:rsidR="00866A0C" w:rsidRPr="00866A0C" w:rsidRDefault="00866A0C" w:rsidP="00866A0C">
      <w:pPr>
        <w:ind w:left="720"/>
        <w:contextualSpacing/>
        <w:jc w:val="both"/>
        <w:rPr>
          <w:rFonts w:ascii="Arial" w:eastAsiaTheme="minorHAnsi" w:hAnsi="Arial" w:cs="Arial"/>
          <w:sz w:val="20"/>
          <w:szCs w:val="20"/>
          <w:lang w:val="sr-Cyrl-CS"/>
        </w:rPr>
      </w:pPr>
    </w:p>
    <w:p w14:paraId="02D8B0E2" w14:textId="77777777" w:rsidR="00866A0C" w:rsidRPr="00866A0C" w:rsidRDefault="00866A0C" w:rsidP="00866A0C">
      <w:pPr>
        <w:ind w:left="720"/>
        <w:contextualSpacing/>
        <w:jc w:val="both"/>
        <w:rPr>
          <w:rFonts w:ascii="Segoe UI" w:eastAsiaTheme="minorHAnsi" w:hAnsi="Segoe UI" w:cs="Segoe UI"/>
          <w:color w:val="000000" w:themeColor="text1"/>
          <w:sz w:val="30"/>
          <w:szCs w:val="30"/>
          <w:lang w:val="sr-Cyrl-CS"/>
        </w:rPr>
      </w:pPr>
      <w:r w:rsidRPr="00866A0C">
        <w:rPr>
          <w:rFonts w:ascii="Arial" w:eastAsiaTheme="minorHAnsi" w:hAnsi="Arial" w:cs="Arial"/>
          <w:sz w:val="20"/>
          <w:szCs w:val="20"/>
          <w:lang w:val="sr-Cyrl-CS"/>
        </w:rPr>
        <w:t>1.3 Зајмопримац ће отплаћивати Кредит, тј. све плативе износе по Уговору као што су дугована главница, камата, повезани трошкови и сви други плативи износи, у складу са одредбама Уговора, благовремено и у потпуној сагласности са одредбама Уговора</w:t>
      </w:r>
      <w:r w:rsidRPr="00866A0C">
        <w:rPr>
          <w:rFonts w:ascii="Arial" w:eastAsiaTheme="minorHAnsi" w:hAnsi="Arial" w:cs="Arial"/>
          <w:color w:val="000000" w:themeColor="text1"/>
          <w:sz w:val="20"/>
          <w:szCs w:val="20"/>
          <w:lang w:val="sr-Cyrl-CS"/>
        </w:rPr>
        <w:t>.</w:t>
      </w:r>
    </w:p>
    <w:p w14:paraId="4E068732"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w:t>
      </w:r>
    </w:p>
    <w:p w14:paraId="6B7D72BD"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46A7AAE1"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29535B12"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7DD99980"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1FE2CD25"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5AE4D1D7"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1753174D"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2</w:t>
      </w:r>
    </w:p>
    <w:p w14:paraId="69B1918E" w14:textId="77777777" w:rsidR="00866A0C" w:rsidRPr="00866A0C" w:rsidRDefault="00866A0C" w:rsidP="00866A0C">
      <w:pPr>
        <w:spacing w:after="0" w:line="240" w:lineRule="auto"/>
        <w:ind w:left="720"/>
        <w:jc w:val="center"/>
        <w:rPr>
          <w:rFonts w:ascii="Arial" w:eastAsiaTheme="minorHAnsi" w:hAnsi="Arial" w:cs="Arial"/>
          <w:b/>
          <w:bCs/>
          <w:color w:val="000000" w:themeColor="text1"/>
          <w:sz w:val="20"/>
          <w:szCs w:val="20"/>
          <w:lang w:val="sr-Cyrl-CS"/>
        </w:rPr>
      </w:pPr>
      <w:r w:rsidRPr="00866A0C">
        <w:rPr>
          <w:rFonts w:ascii="Arial" w:eastAsiaTheme="minorHAnsi" w:hAnsi="Arial" w:cs="Arial"/>
          <w:b/>
          <w:bCs/>
          <w:color w:val="000000" w:themeColor="text1"/>
          <w:sz w:val="20"/>
          <w:szCs w:val="20"/>
          <w:lang w:val="sr-Cyrl-CS"/>
        </w:rPr>
        <w:t>Ступање на снагу и период расположивости средстава кредита</w:t>
      </w:r>
    </w:p>
    <w:p w14:paraId="5C29D159" w14:textId="77777777" w:rsidR="00866A0C" w:rsidRPr="00866A0C" w:rsidRDefault="00866A0C" w:rsidP="00866A0C">
      <w:pPr>
        <w:spacing w:after="0" w:line="240" w:lineRule="auto"/>
        <w:ind w:left="720"/>
        <w:jc w:val="center"/>
        <w:rPr>
          <w:rFonts w:ascii="Arial" w:eastAsiaTheme="minorHAnsi" w:hAnsi="Arial" w:cs="Arial"/>
          <w:color w:val="000000" w:themeColor="text1"/>
          <w:sz w:val="20"/>
          <w:szCs w:val="20"/>
          <w:lang w:val="sr-Cyrl-CS"/>
        </w:rPr>
      </w:pPr>
    </w:p>
    <w:p w14:paraId="4B51183A" w14:textId="2685C088" w:rsidR="00866A0C" w:rsidRPr="00866A0C" w:rsidRDefault="00866A0C" w:rsidP="00866A0C">
      <w:pPr>
        <w:spacing w:after="0" w:line="240" w:lineRule="auto"/>
        <w:ind w:left="765"/>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2.1 Уговор ступа на снагу и производи права и обавезе за Уговорне стране од дана када буде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прописно потписан од стране овлашћених представника Уговорних страна и након објављивања у Службеном гласнику, у року који је дефинисан законом о потврђивању предметног уговора (у даљем тексту: Датум ступања на снагу), с тим да уколико се наведени услови за ступање на снагу овог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уговора не испуне најкасније до </w:t>
      </w:r>
      <w:r w:rsidRPr="00866A0C">
        <w:rPr>
          <w:rFonts w:ascii="Arial" w:eastAsiaTheme="minorHAnsi" w:hAnsi="Arial" w:cs="Arial"/>
          <w:color w:val="000000" w:themeColor="text1"/>
          <w:sz w:val="20"/>
          <w:szCs w:val="20"/>
        </w:rPr>
        <w:t>30.09.202</w:t>
      </w:r>
      <w:r w:rsidRPr="00866A0C">
        <w:rPr>
          <w:rFonts w:ascii="Arial" w:eastAsiaTheme="minorHAnsi" w:hAnsi="Arial" w:cs="Arial"/>
          <w:color w:val="000000" w:themeColor="text1"/>
          <w:sz w:val="20"/>
          <w:szCs w:val="20"/>
          <w:lang w:val="en-US"/>
        </w:rPr>
        <w:t>5</w:t>
      </w:r>
      <w:r w:rsidRPr="00866A0C">
        <w:rPr>
          <w:rFonts w:ascii="Arial" w:eastAsiaTheme="minorHAnsi" w:hAnsi="Arial" w:cs="Arial"/>
          <w:color w:val="000000" w:themeColor="text1"/>
          <w:sz w:val="20"/>
          <w:szCs w:val="20"/>
          <w:lang w:val="sr-Cyrl-CS"/>
        </w:rPr>
        <w:t>, овај уговор неће производити правна дејства.</w:t>
      </w:r>
    </w:p>
    <w:p w14:paraId="011B3B32" w14:textId="77777777" w:rsidR="00866A0C" w:rsidRPr="00866A0C" w:rsidRDefault="00866A0C" w:rsidP="00866A0C">
      <w:pPr>
        <w:spacing w:after="0" w:line="240" w:lineRule="auto"/>
        <w:ind w:left="765"/>
        <w:jc w:val="both"/>
        <w:rPr>
          <w:rFonts w:ascii="Segoe UI" w:eastAsiaTheme="minorHAnsi" w:hAnsi="Segoe UI" w:cs="Segoe UI"/>
          <w:color w:val="000000" w:themeColor="text1"/>
          <w:sz w:val="30"/>
          <w:szCs w:val="30"/>
          <w:lang w:val="sr-Cyrl-CS"/>
        </w:rPr>
      </w:pPr>
    </w:p>
    <w:p w14:paraId="0CBAA3A4" w14:textId="60D94A76" w:rsidR="00866A0C" w:rsidRPr="00866A0C" w:rsidRDefault="00866A0C" w:rsidP="00866A0C">
      <w:pPr>
        <w:spacing w:after="0" w:line="240" w:lineRule="auto"/>
        <w:ind w:left="765"/>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2.2 Банка се обавезује да средства Кредита стави на располагање Зајмопримцу у складу са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одредбама Уговора, у року који почиње 2 (словима: два) радна дана (суботе, недеље и празници се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не рачунају) од Датума ступања на снагу и истиче три године од Датума ступања на снагу (у даљем тексту описани период означен као: Период расположивости).</w:t>
      </w:r>
    </w:p>
    <w:p w14:paraId="6F248013" w14:textId="77777777" w:rsidR="00866A0C" w:rsidRPr="00866A0C" w:rsidRDefault="00866A0C" w:rsidP="00866A0C">
      <w:pPr>
        <w:spacing w:after="0" w:line="240" w:lineRule="auto"/>
        <w:ind w:left="765"/>
        <w:jc w:val="both"/>
        <w:rPr>
          <w:rFonts w:ascii="Segoe UI" w:eastAsiaTheme="minorHAnsi" w:hAnsi="Segoe UI" w:cs="Segoe UI"/>
          <w:color w:val="000000" w:themeColor="text1"/>
          <w:sz w:val="30"/>
          <w:szCs w:val="30"/>
          <w:lang w:val="sr-Cyrl-CS"/>
        </w:rPr>
      </w:pPr>
    </w:p>
    <w:p w14:paraId="665258C4" w14:textId="77777777" w:rsidR="00866A0C" w:rsidRPr="00866A0C" w:rsidRDefault="00866A0C" w:rsidP="00866A0C">
      <w:pPr>
        <w:spacing w:after="0" w:line="240" w:lineRule="auto"/>
        <w:ind w:left="765"/>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2.3 Истеком Периода расположивости, Банка се ослобађа обавезе да Зајмопримцу исплати у течај неискоришћена средства Кредита, при чему, у складу са дискреционим правом Банке исти може бити, на основу одлуке надлежног органа Банке, уз обавезу закључења анекса овог уговора, продужен у писаној форми, а на основу претходног писаног захтева Зајмопримца, који Банка прими најкасније 15 (словима: петнаест) дана пре истека Периода расположивости.</w:t>
      </w:r>
    </w:p>
    <w:p w14:paraId="0024432E" w14:textId="77777777" w:rsidR="00866A0C" w:rsidRPr="00866A0C" w:rsidRDefault="00866A0C" w:rsidP="00866A0C">
      <w:pPr>
        <w:spacing w:after="0" w:line="240" w:lineRule="auto"/>
        <w:ind w:left="765"/>
        <w:jc w:val="both"/>
        <w:rPr>
          <w:rFonts w:ascii="Segoe UI" w:eastAsiaTheme="minorHAnsi" w:hAnsi="Segoe UI" w:cs="Segoe UI"/>
          <w:color w:val="000000" w:themeColor="text1"/>
          <w:sz w:val="30"/>
          <w:szCs w:val="30"/>
          <w:lang w:val="sr-Cyrl-CS"/>
        </w:rPr>
      </w:pPr>
    </w:p>
    <w:p w14:paraId="0A31E560"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3</w:t>
      </w:r>
    </w:p>
    <w:p w14:paraId="3739470E"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Намена Кредита</w:t>
      </w:r>
    </w:p>
    <w:p w14:paraId="2B67A843"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42AEE822"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RS"/>
        </w:rPr>
      </w:pPr>
      <w:r w:rsidRPr="00866A0C">
        <w:rPr>
          <w:rFonts w:ascii="Arial" w:eastAsiaTheme="minorHAnsi" w:hAnsi="Arial" w:cs="Arial"/>
          <w:color w:val="000000" w:themeColor="text1"/>
          <w:sz w:val="20"/>
          <w:szCs w:val="20"/>
          <w:lang w:val="sr-Cyrl-CS"/>
        </w:rPr>
        <w:t>3.1 Корисник кредита ће користити Кредит само за сврху финансирања фазе 1 Пројекта</w:t>
      </w:r>
      <w:r w:rsidRPr="00866A0C">
        <w:rPr>
          <w:rFonts w:ascii="Arial" w:eastAsiaTheme="minorHAnsi" w:hAnsi="Arial" w:cs="Arial"/>
          <w:color w:val="000000" w:themeColor="text1"/>
          <w:sz w:val="20"/>
          <w:szCs w:val="20"/>
        </w:rPr>
        <w:t xml:space="preserve">, </w:t>
      </w:r>
      <w:r w:rsidRPr="00866A0C">
        <w:rPr>
          <w:rFonts w:ascii="Arial" w:eastAsiaTheme="minorHAnsi" w:hAnsi="Arial" w:cs="Arial"/>
          <w:color w:val="000000" w:themeColor="text1"/>
          <w:sz w:val="20"/>
          <w:szCs w:val="20"/>
          <w:lang w:val="sr-Cyrl-CS"/>
        </w:rPr>
        <w:t xml:space="preserve">која обухвата део Деонице 1 Београд-Зрењанин, </w:t>
      </w:r>
      <w:r w:rsidRPr="00866A0C">
        <w:rPr>
          <w:rFonts w:ascii="Arial" w:eastAsiaTheme="minorHAnsi" w:hAnsi="Arial" w:cs="Arial"/>
          <w:color w:val="000000" w:themeColor="text1"/>
          <w:sz w:val="20"/>
          <w:szCs w:val="20"/>
          <w:lang w:val="sr-Cyrl-RS"/>
        </w:rPr>
        <w:t>и то:</w:t>
      </w:r>
    </w:p>
    <w:p w14:paraId="4B0C395E" w14:textId="04796835" w:rsidR="00866A0C" w:rsidRPr="00866A0C" w:rsidRDefault="00866A0C" w:rsidP="00866A0C">
      <w:pPr>
        <w:numPr>
          <w:ilvl w:val="0"/>
          <w:numId w:val="43"/>
        </w:numPr>
        <w:spacing w:after="0" w:line="240" w:lineRule="auto"/>
        <w:contextualSpacing/>
        <w:jc w:val="both"/>
        <w:rPr>
          <w:rFonts w:ascii="Arial" w:eastAsiaTheme="minorHAnsi" w:hAnsi="Arial" w:cs="Arial"/>
          <w:color w:val="000000" w:themeColor="text1"/>
          <w:sz w:val="20"/>
          <w:szCs w:val="20"/>
          <w:lang w:val="sr-Cyrl-RS"/>
        </w:rPr>
      </w:pPr>
      <w:r w:rsidRPr="00866A0C">
        <w:rPr>
          <w:rFonts w:ascii="Arial" w:eastAsiaTheme="minorHAnsi" w:hAnsi="Arial" w:cs="Arial"/>
          <w:color w:val="000000" w:themeColor="text1"/>
          <w:sz w:val="20"/>
          <w:szCs w:val="20"/>
          <w:lang w:val="sr-Cyrl-RS"/>
        </w:rPr>
        <w:t xml:space="preserve">Поддеонице 1, део радова на делу од км 0+000 до км 7+100 (где су изузети: асфлатерски </w:t>
      </w:r>
      <w:r w:rsidR="00ED5477">
        <w:rPr>
          <w:rFonts w:ascii="Arial" w:eastAsiaTheme="minorHAnsi" w:hAnsi="Arial" w:cs="Arial"/>
          <w:color w:val="000000" w:themeColor="text1"/>
          <w:sz w:val="20"/>
          <w:szCs w:val="20"/>
          <w:lang w:val="sr-Cyrl-RS"/>
        </w:rPr>
        <w:br/>
      </w:r>
      <w:r w:rsidRPr="00866A0C">
        <w:rPr>
          <w:rFonts w:ascii="Arial" w:eastAsiaTheme="minorHAnsi" w:hAnsi="Arial" w:cs="Arial"/>
          <w:color w:val="000000" w:themeColor="text1"/>
          <w:sz w:val="20"/>
          <w:szCs w:val="20"/>
          <w:lang w:val="sr-Cyrl-RS"/>
        </w:rPr>
        <w:t>радови и горњи строј, саобраћајна сигнализација, јавна расвета, ТК инсталације, уређење терена и зидови заштите од буке, обалоутврде на мостовима, мостовска канализација)  и</w:t>
      </w:r>
    </w:p>
    <w:p w14:paraId="2F019CE6" w14:textId="77777777" w:rsidR="00866A0C" w:rsidRPr="00866A0C" w:rsidRDefault="00866A0C" w:rsidP="00866A0C">
      <w:pPr>
        <w:numPr>
          <w:ilvl w:val="0"/>
          <w:numId w:val="43"/>
        </w:numPr>
        <w:spacing w:after="0" w:line="240" w:lineRule="auto"/>
        <w:contextualSpacing/>
        <w:jc w:val="both"/>
        <w:rPr>
          <w:rFonts w:ascii="Arial" w:eastAsiaTheme="minorHAnsi" w:hAnsi="Arial" w:cs="Arial"/>
          <w:color w:val="000000" w:themeColor="text1"/>
          <w:sz w:val="20"/>
          <w:szCs w:val="20"/>
          <w:lang w:val="sr-Cyrl-RS"/>
        </w:rPr>
      </w:pPr>
      <w:r w:rsidRPr="00866A0C">
        <w:rPr>
          <w:rFonts w:ascii="Arial" w:eastAsiaTheme="minorHAnsi" w:hAnsi="Arial" w:cs="Arial"/>
          <w:color w:val="000000" w:themeColor="text1"/>
          <w:sz w:val="20"/>
          <w:szCs w:val="20"/>
          <w:lang w:val="sr-Cyrl-RS"/>
        </w:rPr>
        <w:t xml:space="preserve">Поддеонице 4, део радова на делу од км 52+000 до км 67+662.46 (где су изузети: мост преко реке Бегеј, комплетни радови на петљи Ечка, радови на коловозној конструкцији, саобраћајна сигнализација, јавна расвета, ТК инсталације, уређење терена, зидови заштите од буке, обалоутврде на мостовима),  </w:t>
      </w:r>
    </w:p>
    <w:p w14:paraId="6BECDD8C" w14:textId="096E1197" w:rsidR="00866A0C" w:rsidRPr="00866A0C" w:rsidRDefault="00866A0C" w:rsidP="00866A0C">
      <w:pPr>
        <w:numPr>
          <w:ilvl w:val="0"/>
          <w:numId w:val="43"/>
        </w:numPr>
        <w:spacing w:after="0" w:line="240" w:lineRule="auto"/>
        <w:jc w:val="both"/>
        <w:rPr>
          <w:rFonts w:ascii="Arial" w:eastAsiaTheme="minorHAnsi" w:hAnsi="Arial" w:cs="Arial"/>
          <w:color w:val="000000" w:themeColor="text1"/>
          <w:sz w:val="20"/>
          <w:szCs w:val="20"/>
          <w:lang w:val="sr-Cyrl-RS"/>
        </w:rPr>
      </w:pPr>
      <w:r w:rsidRPr="00866A0C">
        <w:rPr>
          <w:rFonts w:ascii="Arial" w:eastAsiaTheme="minorHAnsi" w:hAnsi="Arial" w:cs="Arial"/>
          <w:color w:val="000000" w:themeColor="text1"/>
          <w:sz w:val="20"/>
          <w:szCs w:val="20"/>
          <w:lang w:val="sr-Cyrl-RS"/>
        </w:rPr>
        <w:t xml:space="preserve">припрема планске и пројектне документације (Идејно решење и Идејни пројекат) за укупан </w:t>
      </w:r>
      <w:r w:rsidR="00ED5477">
        <w:rPr>
          <w:rFonts w:ascii="Arial" w:eastAsiaTheme="minorHAnsi" w:hAnsi="Arial" w:cs="Arial"/>
          <w:color w:val="000000" w:themeColor="text1"/>
          <w:sz w:val="20"/>
          <w:szCs w:val="20"/>
          <w:lang w:val="sr-Cyrl-RS"/>
        </w:rPr>
        <w:br/>
      </w:r>
      <w:r w:rsidRPr="00866A0C">
        <w:rPr>
          <w:rFonts w:ascii="Arial" w:eastAsiaTheme="minorHAnsi" w:hAnsi="Arial" w:cs="Arial"/>
          <w:color w:val="000000" w:themeColor="text1"/>
          <w:sz w:val="20"/>
          <w:szCs w:val="20"/>
          <w:lang w:val="sr-Cyrl-RS"/>
        </w:rPr>
        <w:t>обим радова који је дефинисан Оквирним комерцијалним уговором.</w:t>
      </w:r>
    </w:p>
    <w:p w14:paraId="78FC3453"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RS"/>
        </w:rPr>
      </w:pPr>
      <w:r w:rsidRPr="00866A0C">
        <w:rPr>
          <w:rFonts w:ascii="Arial" w:eastAsiaTheme="minorHAnsi" w:hAnsi="Arial" w:cs="Arial"/>
          <w:color w:val="000000" w:themeColor="text1"/>
          <w:sz w:val="20"/>
          <w:szCs w:val="20"/>
          <w:lang w:val="sr-Cyrl-CS"/>
        </w:rPr>
        <w:t xml:space="preserve"> (у даљем тексту Пројекат).</w:t>
      </w:r>
    </w:p>
    <w:p w14:paraId="7E7046B7"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3455D058" w14:textId="6797B0B2"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3.2 Банка неће сносити никакву одговорност за начин коришћења износа Кредита од стране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Корисника кредита.</w:t>
      </w:r>
    </w:p>
    <w:p w14:paraId="5B268F2B"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714F3E3C" w14:textId="60F41E6D"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3.3 Корисник кредита се обавезује да на захтев Банке, у време и на начин који Банка одреди омогући контролу наменског коришћења средстава Кредита најкасније у року од 15 (словима: петнаест) дана, од дана исплате сваке транше Кредита у течај, односно од дана када Банка затражи податке и документацију ради вршења такве контроле, достављањем документације (копије извода, изјава и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сл.), којом ће оправдати намену одобреног Кредита по Уговору, уколико таква документација није претходно  достављена. Банка наведене обавезе може проверавати и пре повлачења средстава што не искључује контролу и праћење намене наведене у овом ставу.</w:t>
      </w:r>
    </w:p>
    <w:p w14:paraId="081366EE"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 </w:t>
      </w:r>
    </w:p>
    <w:p w14:paraId="6B6077EC"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4</w:t>
      </w:r>
    </w:p>
    <w:p w14:paraId="6EE5932A"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Одобравање Кредита</w:t>
      </w:r>
    </w:p>
    <w:p w14:paraId="784BAAF7"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09EAB78D" w14:textId="4B2AB264"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4.1 Након што описани услови у члану 5.1 Уговора буду у целости испуњени, Банка ће одобрити и ставити на располагање Кредит Зајмопримцу у року од 2 (словима: два) радна дана по пријему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захтева за исплату Кредита у течај (у даљем тексту: Захтев за исплату кредита) од Зајмопримца, издатог на меморандуму Министарства финансија Републике Србије (у даљем тексту: Министарство)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у форми која је у свему сагласна форми датој у Прилогу 1 Уговора, прописно потписаног од стране овлашћеног заступника Зајмопримца и овереног службеним печатом Зајмопримца. Достављен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Захтев за исплату кредита Банци од стране Зајмопримца сматраће се неопозивим, те ће Зајмопримац бити обавезан да изврши повлачење средстава. Банка ће имати потпуно дискреционо право да, у складу са својом слободном проценом и пословном политиком, омогући коришћење средстава </w:t>
      </w:r>
      <w:r w:rsidR="00ED54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Кредита и уколико неки од услова за исплату средстава Кредита у течај предвиђених у члану 5.1 Уговора нису испуњени.</w:t>
      </w:r>
    </w:p>
    <w:p w14:paraId="0C904C68"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lastRenderedPageBreak/>
        <w:t> </w:t>
      </w:r>
    </w:p>
    <w:p w14:paraId="16CFDD64" w14:textId="5F83D122"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4.2 Уз сваки Захтев за исплату кредита, Зајмопримац је, преко Корисника кредита дужан да достави Банци оверене профактуре, фактуре, уговоре и оверене привремене/окончане ситуације у вези са наменом средстава Уговора, односно Кредита, заједно са Спецификацијом достављених </w:t>
      </w:r>
      <w:r w:rsidR="00F8174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профактура, фактура, уговора и оверених ситуација у којој су наведена сва неопходна документа која служе тој намени, износи на које гласе, као и укупан збир, односно износ који је потребно исплатити </w:t>
      </w:r>
      <w:r w:rsidR="00F8174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из Кредита (у даљем тексту: Документација о намени средстава Кредита).</w:t>
      </w:r>
    </w:p>
    <w:p w14:paraId="3F6D143A"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56ADD92C" w14:textId="7C0CE412"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RS"/>
        </w:rPr>
      </w:pPr>
      <w:r w:rsidRPr="00866A0C">
        <w:rPr>
          <w:rFonts w:ascii="Arial" w:eastAsiaTheme="minorHAnsi" w:hAnsi="Arial" w:cs="Arial"/>
          <w:color w:val="000000" w:themeColor="text1"/>
          <w:sz w:val="20"/>
          <w:szCs w:val="20"/>
          <w:lang w:val="sr-Cyrl-CS"/>
        </w:rPr>
        <w:t xml:space="preserve"> 4.3 Током Периода расположивости, Банка ће одобрити повлачење средстава Кредита у више </w:t>
      </w:r>
      <w:r w:rsidR="00F8174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транши, сагласно Захтеву за исплату кредита у течај, при чему је минимални износ сваке транше РСД </w:t>
      </w:r>
      <w:r w:rsidRPr="00866A0C">
        <w:rPr>
          <w:rFonts w:ascii="Arial" w:eastAsiaTheme="minorHAnsi" w:hAnsi="Arial" w:cs="Arial"/>
          <w:color w:val="000000" w:themeColor="text1"/>
          <w:sz w:val="20"/>
          <w:szCs w:val="20"/>
        </w:rPr>
        <w:t>12.000.000,00</w:t>
      </w:r>
      <w:r w:rsidRPr="00866A0C">
        <w:rPr>
          <w:rFonts w:ascii="Arial" w:eastAsiaTheme="minorHAnsi" w:hAnsi="Arial" w:cs="Arial"/>
          <w:color w:val="000000" w:themeColor="text1"/>
          <w:sz w:val="20"/>
          <w:szCs w:val="20"/>
          <w:lang w:val="sr-Cyrl-CS"/>
        </w:rPr>
        <w:t xml:space="preserve"> (словима: </w:t>
      </w:r>
      <w:r w:rsidRPr="00866A0C">
        <w:rPr>
          <w:rFonts w:ascii="Arial" w:eastAsiaTheme="minorHAnsi" w:hAnsi="Arial" w:cs="Arial"/>
          <w:color w:val="000000" w:themeColor="text1"/>
          <w:sz w:val="20"/>
          <w:szCs w:val="20"/>
          <w:lang w:val="sr-Cyrl-RS"/>
        </w:rPr>
        <w:t>дванаестмилиона</w:t>
      </w:r>
      <w:r w:rsidRPr="00866A0C">
        <w:rPr>
          <w:rFonts w:ascii="Arial" w:eastAsiaTheme="minorHAnsi" w:hAnsi="Arial" w:cs="Arial"/>
          <w:color w:val="000000" w:themeColor="text1"/>
          <w:sz w:val="20"/>
          <w:szCs w:val="20"/>
          <w:lang w:val="sr-Cyrl-CS"/>
        </w:rPr>
        <w:t>динара)</w:t>
      </w:r>
      <w:r w:rsidRPr="00866A0C">
        <w:rPr>
          <w:rFonts w:ascii="Arial" w:eastAsiaTheme="minorHAnsi" w:hAnsi="Arial" w:cs="Arial"/>
          <w:color w:val="000000" w:themeColor="text1"/>
          <w:sz w:val="20"/>
          <w:szCs w:val="20"/>
        </w:rPr>
        <w:t xml:space="preserve">, </w:t>
      </w:r>
      <w:r w:rsidRPr="00866A0C">
        <w:rPr>
          <w:rFonts w:ascii="Arial" w:eastAsiaTheme="minorHAnsi" w:hAnsi="Arial" w:cs="Arial"/>
          <w:color w:val="000000" w:themeColor="text1"/>
          <w:sz w:val="20"/>
          <w:szCs w:val="20"/>
          <w:lang w:val="sr-Cyrl-RS"/>
        </w:rPr>
        <w:t xml:space="preserve">осим последње транше која може бити и мања од минимално предвиђеог износа, уколико су преостала средства Кредита за повлачење мања од минималног износа. </w:t>
      </w:r>
    </w:p>
    <w:p w14:paraId="66716099"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2693B1D7" w14:textId="40CCB360"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 4.4 Банка има право да Кредит, односно било коју траншу Кредита не исплати у течај на основу </w:t>
      </w:r>
      <w:r w:rsidR="00F8174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Захтева за исплату кредита уколико је Зајмопримац у доцњи, односно уколико има доспеле, а неплаћене обавезе код Банке по овом уговору.</w:t>
      </w:r>
    </w:p>
    <w:p w14:paraId="0B1A39EF"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082D3B7A"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4.5 Банка ће обавестити Зајмопримца када релевантни износ Кредита буде исплаћен Зајмопримцу, у складу са његовим инструкцијама.</w:t>
      </w:r>
    </w:p>
    <w:p w14:paraId="4A4F6CE5"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64116229"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 </w:t>
      </w:r>
    </w:p>
    <w:p w14:paraId="09EF97FD"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5</w:t>
      </w:r>
    </w:p>
    <w:p w14:paraId="47A67743"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Претходни услови</w:t>
      </w:r>
    </w:p>
    <w:p w14:paraId="583A2193"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4926F53E" w14:textId="1D249D30"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5.1 Банка неће бити обавезна да одобри средства Зајмопримцу и Кориснику кредита из члана 1 </w:t>
      </w:r>
      <w:r w:rsidR="00F8174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Уговора пре него што Зајмопримац и Корисник кредита доставе Банци Документацију о намени средстава Кредита у вези са овим послом, у складу са захтевима Банке, укључујући и посебно:</w:t>
      </w:r>
    </w:p>
    <w:p w14:paraId="769B3A7D" w14:textId="77777777" w:rsidR="00866A0C" w:rsidRPr="00866A0C" w:rsidRDefault="00866A0C" w:rsidP="00866A0C">
      <w:pPr>
        <w:numPr>
          <w:ilvl w:val="0"/>
          <w:numId w:val="38"/>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Закључак Владе Републике Србије о задужењу/одобрењу нацрта уговора о кредиту,</w:t>
      </w:r>
    </w:p>
    <w:p w14:paraId="3C1FCDFD" w14:textId="77777777" w:rsidR="00866A0C" w:rsidRPr="00866A0C" w:rsidRDefault="00866A0C" w:rsidP="00866A0C">
      <w:pPr>
        <w:numPr>
          <w:ilvl w:val="0"/>
          <w:numId w:val="38"/>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потписе лица овлашћених за заступање Зајмопримца и Корисника кредита, а све након објављивања и ступања на правну снагу закона о одобрењу наведеног задужења које је предмет Уговора у Службеном гласнику,</w:t>
      </w:r>
    </w:p>
    <w:p w14:paraId="2B2E3110" w14:textId="77777777" w:rsidR="00866A0C" w:rsidRPr="00866A0C" w:rsidRDefault="00866A0C" w:rsidP="00866A0C">
      <w:pPr>
        <w:numPr>
          <w:ilvl w:val="0"/>
          <w:numId w:val="38"/>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доказ да </w:t>
      </w:r>
      <w:r w:rsidRPr="00866A0C">
        <w:rPr>
          <w:rFonts w:ascii="Arial" w:eastAsiaTheme="minorHAnsi" w:hAnsi="Arial" w:cs="Arial"/>
          <w:color w:val="000000" w:themeColor="text1"/>
          <w:sz w:val="20"/>
          <w:szCs w:val="20"/>
        </w:rPr>
        <w:t xml:space="preserve">je </w:t>
      </w:r>
      <w:r w:rsidRPr="00866A0C">
        <w:rPr>
          <w:rFonts w:ascii="Arial" w:eastAsiaTheme="minorHAnsi" w:hAnsi="Arial" w:cs="Arial"/>
          <w:color w:val="000000" w:themeColor="text1"/>
          <w:sz w:val="20"/>
          <w:szCs w:val="20"/>
          <w:lang w:val="sr-Cyrl-RS"/>
        </w:rPr>
        <w:t xml:space="preserve">Извођач радова доставио авансну гаранцију и гаранцију за добро извршење посла у складу са условима </w:t>
      </w:r>
      <w:r w:rsidRPr="00866A0C">
        <w:rPr>
          <w:rFonts w:ascii="Arial" w:eastAsiaTheme="minorHAnsi" w:hAnsi="Arial" w:cs="Arial"/>
          <w:color w:val="000000" w:themeColor="text1"/>
          <w:sz w:val="20"/>
          <w:szCs w:val="20"/>
          <w:lang w:val="sr-Cyrl-CS"/>
        </w:rPr>
        <w:t xml:space="preserve">Оквирног </w:t>
      </w:r>
      <w:r w:rsidRPr="00866A0C">
        <w:rPr>
          <w:rFonts w:ascii="Arial" w:eastAsiaTheme="minorHAnsi" w:hAnsi="Arial" w:cs="Arial"/>
          <w:color w:val="000000" w:themeColor="text1"/>
          <w:sz w:val="20"/>
          <w:szCs w:val="20"/>
          <w:lang w:val="sr-Cyrl-RS"/>
        </w:rPr>
        <w:t xml:space="preserve">комерцијалног уговора о пројектовању и извођењу радова на изградњи </w:t>
      </w:r>
      <w:r w:rsidRPr="00866A0C">
        <w:rPr>
          <w:rFonts w:ascii="Arial" w:eastAsiaTheme="minorHAnsi" w:hAnsi="Arial" w:cs="Arial"/>
          <w:strike/>
          <w:color w:val="000000" w:themeColor="text1"/>
          <w:sz w:val="20"/>
          <w:szCs w:val="20"/>
          <w:lang w:val="sr-Cyrl-RS"/>
        </w:rPr>
        <w:t xml:space="preserve"> </w:t>
      </w:r>
      <w:r w:rsidRPr="00866A0C">
        <w:rPr>
          <w:rFonts w:ascii="Arial" w:eastAsiaTheme="minorHAnsi" w:hAnsi="Arial" w:cs="Arial"/>
          <w:sz w:val="20"/>
          <w:szCs w:val="20"/>
          <w:lang w:val="sr-Cyrl-RS"/>
        </w:rPr>
        <w:t>аутопута Београд-Зрењанин-Нови Сад и Релевантног анекса 1 за фазу 1 која обухвата радове и услуге из члана 3. овог уговора.</w:t>
      </w:r>
    </w:p>
    <w:p w14:paraId="261CF799"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405378AE"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5.2 Банка ће обавестити Зајмопримца и Корисника кредита када сви горњи услови буду у целости испуњени и биће обавезна да реализује Кредит, у складу са одредбама Уговора, у износу који Зајмопримац захтева, након тог обавештења и након што Зајмопримац достави Банци Захтев за исплату кредита, као што је наведено у члану 4 овог уговора.</w:t>
      </w:r>
    </w:p>
    <w:p w14:paraId="5D498BB8"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6981E9E2" w14:textId="3C173505"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5.3 Ако Банка стави Кредит на располагање Зајмопримцу без пријема свих релевантних докумената, </w:t>
      </w:r>
      <w:r w:rsidR="00F8174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то неће бити тумачено као одрицање од било које од одредби овог уговора.</w:t>
      </w:r>
    </w:p>
    <w:p w14:paraId="37F66D5A"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03CDDEE7"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6</w:t>
      </w:r>
    </w:p>
    <w:p w14:paraId="0BED0928"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Камата и плаћање Камате</w:t>
      </w:r>
    </w:p>
    <w:p w14:paraId="1F84F0B7"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4A136443" w14:textId="4DEF5809"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6.1 Зајмопримац се обавезује да плаћа камату на средства Кредита која су му стављена на располагање, по номиналној каматној стопи која износи BELIBOR 3М + 2,</w:t>
      </w:r>
      <w:r w:rsidRPr="00866A0C">
        <w:rPr>
          <w:rFonts w:ascii="Arial" w:eastAsiaTheme="minorHAnsi" w:hAnsi="Arial" w:cs="Arial"/>
          <w:color w:val="000000" w:themeColor="text1"/>
          <w:sz w:val="20"/>
          <w:szCs w:val="20"/>
        </w:rPr>
        <w:t>5</w:t>
      </w:r>
      <w:r w:rsidRPr="00866A0C">
        <w:rPr>
          <w:rFonts w:ascii="Arial" w:eastAsiaTheme="minorHAnsi" w:hAnsi="Arial" w:cs="Arial"/>
          <w:color w:val="000000" w:themeColor="text1"/>
          <w:sz w:val="20"/>
          <w:szCs w:val="20"/>
          <w:lang w:val="sr-Cyrl-CS"/>
        </w:rPr>
        <w:t xml:space="preserve">0% на годишњем нивоу. Камата ће бити обрачунавана применом пропорционалне методе на годишњем нивоу (у даљем </w:t>
      </w:r>
      <w:r w:rsidR="00F8174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тексту: Камата), на бази стварног броја протеклих дана, на бази месеца од 28-31 дан и године од 360 дана и доспева за наплату тромесечно (у даљем тексту: Каматни период), односно биће </w:t>
      </w:r>
      <w:r w:rsidR="00AA4EB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обрачунавана на износ дуговања Зајмопримца. Први Каматни период тече почев од дана првог </w:t>
      </w:r>
      <w:r w:rsidR="00AA4EB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преноса средстава на Рачун Зајмопримца до Датума доспећа рате/камате. Сваки следећи каматни период започиње наредног дана након последњег дана претходног каматног периода, а завршава се првим следећим датумом доспећа рате/камате. Датуми доспећа рате/камате су 05.01, 05.04,05.07. и 05.10. сваке календарске године закључно са датумом коначне отплате, с тим да отплата кредита почиње након истека Периода почека дефинисаног у члану 8 Уговора, а завршава се са датумом коначне отплате (датум када истиче до 84 месеца од датума истека Периода почека).</w:t>
      </w:r>
    </w:p>
    <w:p w14:paraId="64FA38A0"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6E5B4D9B" w14:textId="16921AFF"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6.2 Усклађивање каматне стопе са висином 3М BELIBOR-а врши се на датум првог пуштања кредита </w:t>
      </w:r>
      <w:r w:rsidR="00AA4EB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у коришћење, а након тога на почетку сваког каматног периода на фиксне датуме петог у месецу.  Вредност 3М BELIBOR</w:t>
      </w:r>
      <w:r w:rsidRPr="00866A0C" w:rsidDel="00D22550">
        <w:rPr>
          <w:rFonts w:ascii="Arial" w:eastAsiaTheme="minorHAnsi" w:hAnsi="Arial" w:cs="Arial"/>
          <w:color w:val="000000" w:themeColor="text1"/>
          <w:sz w:val="20"/>
          <w:szCs w:val="20"/>
          <w:lang w:val="sr-Cyrl-CS"/>
        </w:rPr>
        <w:t xml:space="preserve"> </w:t>
      </w:r>
      <w:r w:rsidRPr="00866A0C">
        <w:rPr>
          <w:rFonts w:ascii="Arial" w:eastAsiaTheme="minorHAnsi" w:hAnsi="Arial" w:cs="Arial"/>
          <w:color w:val="000000" w:themeColor="text1"/>
          <w:sz w:val="20"/>
          <w:szCs w:val="20"/>
          <w:lang w:val="sr-Cyrl-CS"/>
        </w:rPr>
        <w:t xml:space="preserve">-а се примењује за обрачун камате за све месеце у тромесечју који следи након датума усклађивања. При обрачуну камате за први каматни период примењује се </w:t>
      </w:r>
      <w:r w:rsidR="00AA4EB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вредност 3М BELIBOR</w:t>
      </w:r>
      <w:r w:rsidRPr="00866A0C" w:rsidDel="00D22550">
        <w:rPr>
          <w:rFonts w:ascii="Arial" w:eastAsiaTheme="minorHAnsi" w:hAnsi="Arial" w:cs="Arial"/>
          <w:color w:val="000000" w:themeColor="text1"/>
          <w:sz w:val="20"/>
          <w:szCs w:val="20"/>
          <w:lang w:val="sr-Cyrl-CS"/>
        </w:rPr>
        <w:t xml:space="preserve"> </w:t>
      </w:r>
      <w:r w:rsidRPr="00866A0C">
        <w:rPr>
          <w:rFonts w:ascii="Arial" w:eastAsiaTheme="minorHAnsi" w:hAnsi="Arial" w:cs="Arial"/>
          <w:color w:val="000000" w:themeColor="text1"/>
          <w:sz w:val="20"/>
          <w:szCs w:val="20"/>
          <w:lang w:val="sr-Cyrl-CS"/>
        </w:rPr>
        <w:t>-а објављеног на датум првог преноса средстава на рачун Зајмопримца.</w:t>
      </w:r>
    </w:p>
    <w:p w14:paraId="3FBD1A56"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54A825CA" w14:textId="2B91B876"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07103C">
        <w:rPr>
          <w:rFonts w:ascii="Arial" w:eastAsiaTheme="minorHAnsi" w:hAnsi="Arial" w:cs="Arial"/>
          <w:color w:val="000000" w:themeColor="text1"/>
          <w:spacing w:val="-6"/>
          <w:sz w:val="20"/>
          <w:szCs w:val="20"/>
          <w:lang w:val="sr-Cyrl-CS"/>
        </w:rPr>
        <w:lastRenderedPageBreak/>
        <w:t>6.3 Сваки Каматни период траје 3 (словима:</w:t>
      </w:r>
      <w:r w:rsidR="0007103C" w:rsidRPr="0007103C">
        <w:rPr>
          <w:rFonts w:ascii="Arial" w:eastAsiaTheme="minorHAnsi" w:hAnsi="Arial" w:cs="Arial"/>
          <w:color w:val="000000" w:themeColor="text1"/>
          <w:spacing w:val="-6"/>
          <w:sz w:val="20"/>
          <w:szCs w:val="20"/>
          <w:lang w:val="sr-Cyrl-CS"/>
        </w:rPr>
        <w:t xml:space="preserve"> </w:t>
      </w:r>
      <w:r w:rsidRPr="0007103C">
        <w:rPr>
          <w:rFonts w:ascii="Arial" w:eastAsiaTheme="minorHAnsi" w:hAnsi="Arial" w:cs="Arial"/>
          <w:color w:val="000000" w:themeColor="text1"/>
          <w:spacing w:val="-6"/>
          <w:sz w:val="20"/>
          <w:szCs w:val="20"/>
          <w:lang w:val="sr-Cyrl-CS"/>
        </w:rPr>
        <w:t>три) месеца, те камата доспева за плаћање</w:t>
      </w:r>
      <w:r w:rsidR="0007103C" w:rsidRPr="0007103C">
        <w:rPr>
          <w:rFonts w:ascii="Arial" w:eastAsiaTheme="minorHAnsi" w:hAnsi="Arial" w:cs="Arial"/>
          <w:color w:val="000000" w:themeColor="text1"/>
          <w:spacing w:val="-6"/>
          <w:sz w:val="20"/>
          <w:szCs w:val="20"/>
          <w:lang w:val="sr-Cyrl-CS"/>
        </w:rPr>
        <w:t xml:space="preserve"> </w:t>
      </w:r>
      <w:r w:rsidRPr="0007103C">
        <w:rPr>
          <w:rFonts w:ascii="Arial" w:eastAsiaTheme="minorHAnsi" w:hAnsi="Arial" w:cs="Arial"/>
          <w:color w:val="000000" w:themeColor="text1"/>
          <w:spacing w:val="-6"/>
          <w:sz w:val="20"/>
          <w:szCs w:val="20"/>
          <w:lang w:val="sr-Cyrl-CS"/>
        </w:rPr>
        <w:t>тромесечно</w:t>
      </w:r>
      <w:r w:rsidRPr="00866A0C">
        <w:rPr>
          <w:rFonts w:ascii="Arial" w:eastAsiaTheme="minorHAnsi" w:hAnsi="Arial" w:cs="Arial"/>
          <w:color w:val="000000" w:themeColor="text1"/>
          <w:sz w:val="20"/>
          <w:szCs w:val="20"/>
          <w:lang w:val="sr-Cyrl-CS"/>
        </w:rPr>
        <w:t xml:space="preserve">, </w:t>
      </w:r>
      <w:r w:rsidR="0007103C">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а сходно Плану отплате Кредита, који чини саставни део Уговора. Обрачун Камате се, у случају завршетка Каматног периода у суботу, недељу, државни или верски празник помера на први наредни радни дан.</w:t>
      </w:r>
    </w:p>
    <w:p w14:paraId="51BE9A56"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1833BAEC" w14:textId="3AB0C188"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6.4 Саставни део овог уговора чини Захтев за исплату Кредита, изложен у Прилогу 1.  План отплате Кредита, Банка уручује Зајмопримцу лично или доставља Зајмопримцу препоручено на адресу из </w:t>
      </w:r>
      <w:r w:rsidR="0007103C">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члана 13 овог уговора даном преноса средстава кредита и Након истека Периода расположивости, односно када сва средства кредита буду искоришћена. Зајмопримац је дужан да потпише такав </w:t>
      </w:r>
      <w:r w:rsidR="0007103C">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важећи План отплате, а у случају достављања препоручено на адресу из члана 13 овог уговора дужан је да потписане примерке достави Банци у року од 7 (словима: седам) радних дана од дана достављања.</w:t>
      </w:r>
    </w:p>
    <w:p w14:paraId="1396B5DF"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w:t>
      </w:r>
    </w:p>
    <w:p w14:paraId="17CBE017"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7</w:t>
      </w:r>
    </w:p>
    <w:p w14:paraId="03608F0D"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Накнаде и трошкови</w:t>
      </w:r>
    </w:p>
    <w:p w14:paraId="2A5C9E25"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3E2BC2AA"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7.1 Накнада за обраду захтева за коришћење средстава Кредита</w:t>
      </w:r>
    </w:p>
    <w:p w14:paraId="2FD7C9B4" w14:textId="5E2BFC30"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Зајмопримац је обавезан да одмах по пријему обрачуна плати Банци накнаду за обраду захтева за коришћење средстава Кредита, предвиђену Тарифом накнада за услуге Банке у висини од 0,30% од износа Кредита одређеног у члану 1 овог уговора, а која доспева за плаћање на датум првог </w:t>
      </w:r>
      <w:r w:rsidR="0007103C">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повлачења износа Кредита и платива је у динарима из средстава Зајмопримца.</w:t>
      </w:r>
    </w:p>
    <w:p w14:paraId="0461BEFC"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34E86CB0"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7.2 Накнада за неискоришћена средства Кредита</w:t>
      </w:r>
    </w:p>
    <w:p w14:paraId="539E7D0B" w14:textId="461647D5"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Зајмопримац је обавезан да Банци плаћа накнаду за неискоришћена средства Кредита, која ће бити обрачунавана полугодишње на неискоришћени износ Кредита по стопи од 0,30 % на годишњем нивоу, почевши од Датума ступања на снагу Уговора, а у складу са његовим одредбама. Предметна накнада ће бити обрачунавана применом пропорционалне методе на годишњем нивоу, на бази стварног броја протеклих дана, на бази месеца од 28-31 дан и године од 360 дана и доспева за плаћање </w:t>
      </w:r>
      <w:r w:rsidR="0007103C">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полугодишње, 5. јануара и 5. јула почев од Датума ступања на снагу Уговора па све до коришћења одобреног кредита у целости или истека Периода расположивости.</w:t>
      </w:r>
    </w:p>
    <w:p w14:paraId="022FF86D"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055A1085"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7.3 Накнада за превремену отплату Кредита</w:t>
      </w:r>
    </w:p>
    <w:p w14:paraId="6B386428" w14:textId="46680F3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Зајмопримац је обавезан да у случају превремене отплате Кредита плати Банци накнаду за </w:t>
      </w:r>
      <w:r w:rsidR="0007103C">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превремену отплату у висини од 1.50% од износа Кредита који се превремено отплаћује.</w:t>
      </w:r>
    </w:p>
    <w:p w14:paraId="6D6738F2"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2C009885"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7.4 Текући трошкови</w:t>
      </w:r>
    </w:p>
    <w:p w14:paraId="2DE802DB"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Зајмопримац ће, на захтев, платити Банци за све време трајања овог кредита, све стварне трошкове, не рачунајући трошкове припреме кредита до подношења захтева за повлачење, уколико их буде, односно уколико их је Банка поднела.</w:t>
      </w:r>
    </w:p>
    <w:p w14:paraId="38C24B8C"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10D91859"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8</w:t>
      </w:r>
    </w:p>
    <w:p w14:paraId="7387C3AE"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Отплата главнице Кредита и рок отплате Кредита</w:t>
      </w:r>
    </w:p>
    <w:p w14:paraId="3A6AD0A3"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2ED2E2BE" w14:textId="0508790F"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8.1 Уговорне стране сагласно утврђују да је Зајмопримац обавезан да отплату главнице Кредита извршава у једнаким тромесечним ратама. Отплата главнице вршиће се у 28 једнаких рата, сваког 05.01, 05.04.,05.07. и 05.10, у периоду трајања уговора о кредиту, а након истека грејс периода, који траје до 4  године од Датума ступања на снагу (у даљем тексту: Период почека), односно сходно </w:t>
      </w:r>
      <w:r w:rsidR="00981EDA">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Плану отплате Кредита , при чему је крајњи рок отплате Кредита 1</w:t>
      </w:r>
      <w:r w:rsidRPr="00866A0C">
        <w:rPr>
          <w:rFonts w:ascii="Arial" w:eastAsiaTheme="minorHAnsi" w:hAnsi="Arial" w:cs="Arial"/>
          <w:color w:val="000000" w:themeColor="text1"/>
          <w:sz w:val="20"/>
          <w:szCs w:val="20"/>
        </w:rPr>
        <w:t>1</w:t>
      </w:r>
      <w:r w:rsidRPr="00866A0C">
        <w:rPr>
          <w:rFonts w:ascii="Arial" w:eastAsiaTheme="minorHAnsi" w:hAnsi="Arial" w:cs="Arial"/>
          <w:color w:val="000000" w:themeColor="text1"/>
          <w:sz w:val="20"/>
          <w:szCs w:val="20"/>
          <w:lang w:val="sr-Cyrl-CS"/>
        </w:rPr>
        <w:t xml:space="preserve"> година од Датума ступања на снагу. Банка је дужна да достави Зајмопримцу Обавештење о плаћању обавеза по основу главног </w:t>
      </w:r>
      <w:r w:rsidR="00981EDA">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дуга, камате и/или накнада 7 (словима: седам) радних дана пре Дана досећа. Веродостојан доказ о испуњењу новчаних обавеза Зајмопримца, односно о висини потраживања Банке по овом уговору представља Извештај о извршеним плаћањима.</w:t>
      </w:r>
    </w:p>
    <w:p w14:paraId="6B517195"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2E7F43D0" w14:textId="6BFAA319"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8.2 Зајмопримац је сагласан и преузима обавезу да на доспеле, а неплаћене износе дуговане </w:t>
      </w:r>
      <w:r w:rsidR="00981EDA">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главнице и камате утврђене у складу са одредбама Уговора плати затезну камату, дефинисану у </w:t>
      </w:r>
      <w:r w:rsidR="00981EDA">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члану 11 Уговора, обрачунату почев од датума доспећа конкретне неизмирене обавезе закључно са датумом коначне отплате исте.</w:t>
      </w:r>
    </w:p>
    <w:p w14:paraId="63593E94"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71C2A08F"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8.3 Банка задржава право да по пријему захтева Зајмопримца, а на основу претходно достављеног писаног захтева Зајмопримца, као и на основу позитивне  одлуке надлежног тела Банке, одобри продужење крајњег рока отплате Кредита, уколико по процени Банке сви услови за доношење такве одлуке буду испуњени.</w:t>
      </w:r>
    </w:p>
    <w:p w14:paraId="52968443"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735CD0FC" w14:textId="7ADD4B79" w:rsid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8.4 Превремена отплата</w:t>
      </w:r>
    </w:p>
    <w:p w14:paraId="16A55673" w14:textId="51533891" w:rsidR="009D57DF" w:rsidRDefault="009D57DF" w:rsidP="00866A0C">
      <w:pPr>
        <w:spacing w:after="0" w:line="240" w:lineRule="auto"/>
        <w:ind w:left="720"/>
        <w:jc w:val="both"/>
        <w:rPr>
          <w:rFonts w:ascii="Segoe UI" w:eastAsiaTheme="minorHAnsi" w:hAnsi="Segoe UI" w:cs="Segoe UI"/>
          <w:color w:val="000000" w:themeColor="text1"/>
          <w:sz w:val="30"/>
          <w:szCs w:val="30"/>
          <w:lang w:val="sr-Cyrl-CS"/>
        </w:rPr>
      </w:pPr>
    </w:p>
    <w:p w14:paraId="00ADEBC5" w14:textId="77777777" w:rsidR="00981EDA" w:rsidRPr="00866A0C" w:rsidRDefault="00981EDA" w:rsidP="00866A0C">
      <w:pPr>
        <w:spacing w:after="0" w:line="240" w:lineRule="auto"/>
        <w:ind w:left="720"/>
        <w:jc w:val="both"/>
        <w:rPr>
          <w:rFonts w:ascii="Segoe UI" w:eastAsiaTheme="minorHAnsi" w:hAnsi="Segoe UI" w:cs="Segoe UI"/>
          <w:color w:val="000000" w:themeColor="text1"/>
          <w:sz w:val="30"/>
          <w:szCs w:val="30"/>
          <w:lang w:val="sr-Cyrl-CS"/>
        </w:rPr>
      </w:pPr>
    </w:p>
    <w:p w14:paraId="4ACA3ACC"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981EDA">
        <w:rPr>
          <w:rFonts w:ascii="Arial" w:eastAsiaTheme="minorHAnsi" w:hAnsi="Arial" w:cs="Arial"/>
          <w:color w:val="000000" w:themeColor="text1"/>
          <w:spacing w:val="-4"/>
          <w:sz w:val="20"/>
          <w:szCs w:val="20"/>
          <w:lang w:val="sr-Cyrl-CS"/>
        </w:rPr>
        <w:lastRenderedPageBreak/>
        <w:t>8.4.1 Зајмопримац има право да средства Кредита отплати пре истека рока отплате Кредита, о чему</w:t>
      </w:r>
      <w:r w:rsidRPr="00866A0C">
        <w:rPr>
          <w:rFonts w:ascii="Arial" w:eastAsiaTheme="minorHAnsi" w:hAnsi="Arial" w:cs="Arial"/>
          <w:color w:val="000000" w:themeColor="text1"/>
          <w:sz w:val="20"/>
          <w:szCs w:val="20"/>
          <w:lang w:val="sr-Cyrl-CS"/>
        </w:rPr>
        <w:t xml:space="preserve"> је дужан да писаним путем обавести Банку најмање 2 (словима: два) радна дана унапред (Захтев за превремену отплату). Обавештење Зајмопримца из става 1 овог члана је неопозиво од тренутка пријема обавештења од стране Банке.</w:t>
      </w:r>
    </w:p>
    <w:p w14:paraId="4B3E89A3"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w:t>
      </w:r>
    </w:p>
    <w:p w14:paraId="393310C6" w14:textId="0ED07B7E"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8.4.2 На дан превремене отплате, као што је дефинисано у претходном ставу, Зајмопримац је дужан </w:t>
      </w:r>
      <w:r w:rsidR="00981EDA">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да плати Банци обрачунату, а неплаћену Камату на дуговану главницу закључно са даном </w:t>
      </w:r>
      <w:r w:rsidR="00981EDA">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превремене отплате, као и Накнаду за превремену отплату у складу са чланом 7 тачком 7.3. овог уговора.</w:t>
      </w:r>
    </w:p>
    <w:p w14:paraId="77175E9B"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8.5 Доцња Зајмопримца</w:t>
      </w:r>
    </w:p>
    <w:p w14:paraId="569568FA"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8.5.1 Уколико Зајмопримац падне у доцњу, односно не испуни обавезе у року од 7 (словима: седам) радних дана од Датума доспећа, а у вези са испуњењем било које обавезе утврђене овим уговором, обавезан је платити Банци доспели, а неизмирени износ увећан за затезну односно уговорену камату, сагласно члану 11 Уговора обрачунату до датума коначне отплате.</w:t>
      </w:r>
    </w:p>
    <w:p w14:paraId="3CE924A6"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572FC860"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8.6 Нето плаћање</w:t>
      </w:r>
    </w:p>
    <w:p w14:paraId="5F26DD12" w14:textId="181E35F9"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Зајмопримац је обавезан да све своје новчане обавезе које могу настати у вези са Уговором плати Банци у нето износу, узевши у обзир да уколико би се било какав порез или одбитак морао одузети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од било којих износа плативих од стране Зајмопримца по Уговору, Зајмопримац преузима обавезу да плати такве додатне износе који могу бити потребни да би Банка примила нето износ који је једнак пуном износу који би примила да уплата није опорезована.</w:t>
      </w:r>
    </w:p>
    <w:p w14:paraId="70FBDF57"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09B40AB7"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8.7 Непотпуна плаћања</w:t>
      </w:r>
    </w:p>
    <w:p w14:paraId="5B0BB691" w14:textId="578AAB94"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У случају делимичног плаћања обавезе по овом Кредиту, распоред уплата ће бити такав да се прво наплаћују најстарија потраживања и то тако што се прво наплаћују споредна потраживања,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укључујући обрачунате накнаде, затезна камата и Камата, а затим главница средстава Кредита.</w:t>
      </w:r>
    </w:p>
    <w:p w14:paraId="6B67B955"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053DD7DC"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9</w:t>
      </w:r>
    </w:p>
    <w:p w14:paraId="308ECEA4"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Обавезе Зајмопримца и Корисника кредита</w:t>
      </w:r>
    </w:p>
    <w:p w14:paraId="719A3A7F"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 </w:t>
      </w:r>
    </w:p>
    <w:p w14:paraId="44C320EF"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 9.1. Зајмопримац и/или Корисник кредита се обавезује:</w:t>
      </w:r>
    </w:p>
    <w:p w14:paraId="0CD341FA" w14:textId="77777777" w:rsidR="00866A0C" w:rsidRPr="00866A0C" w:rsidRDefault="00866A0C" w:rsidP="00866A0C">
      <w:pPr>
        <w:numPr>
          <w:ilvl w:val="0"/>
          <w:numId w:val="41"/>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да ће обавештавати Банку о свакој промени лица овлашћеног за заступање, као и о свакој промени лица овлашћеног за располагање новчаним средствима Корисника кредита, одмах по настанку истих;</w:t>
      </w:r>
    </w:p>
    <w:p w14:paraId="1F96BC6F" w14:textId="1E836CA7" w:rsidR="00866A0C" w:rsidRPr="00866A0C" w:rsidRDefault="00866A0C" w:rsidP="00866A0C">
      <w:pPr>
        <w:numPr>
          <w:ilvl w:val="0"/>
          <w:numId w:val="41"/>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да гарантује Банци најмање равноправно третирање - рангирање њених потраживања из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обавезе Корисника кредита и Зајмопримца;</w:t>
      </w:r>
    </w:p>
    <w:p w14:paraId="74C7B308" w14:textId="4362477B" w:rsidR="00866A0C" w:rsidRPr="00866A0C" w:rsidRDefault="00866A0C" w:rsidP="00866A0C">
      <w:pPr>
        <w:numPr>
          <w:ilvl w:val="0"/>
          <w:numId w:val="41"/>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да ће, у случају да буде кредитиран од стране другог кредитора, коме ће депоновати било које средство обезбеђења или пружити било какву другу повољност, обезбедити Банци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равноправан статус у том смислу, уколико она то затражи;</w:t>
      </w:r>
    </w:p>
    <w:p w14:paraId="2C2C2967" w14:textId="77777777" w:rsidR="00866A0C" w:rsidRPr="00866A0C" w:rsidRDefault="00866A0C" w:rsidP="00866A0C">
      <w:pPr>
        <w:numPr>
          <w:ilvl w:val="0"/>
          <w:numId w:val="41"/>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да своје пословање обавља искључиво у складу са важећим прописима о заштити животне средине, здрављу и заштити на раду, заштити културне баштине, заштити деце и заштити од принудног рада, да поштује правила и законске прописе, укључујући међународне прописе, конвенције и протоколе о заштити животне средине, заштити на раду, заштити културне баштине, заштити деце, заштити од принудног рада, принципима и правима на рад, који су правно обавезујући за Републику Србију;</w:t>
      </w:r>
    </w:p>
    <w:p w14:paraId="353D12AF" w14:textId="50C2FF47" w:rsidR="00866A0C" w:rsidRPr="00866A0C" w:rsidRDefault="00866A0C" w:rsidP="00866A0C">
      <w:pPr>
        <w:numPr>
          <w:ilvl w:val="0"/>
          <w:numId w:val="41"/>
        </w:numPr>
        <w:spacing w:after="0" w:line="240" w:lineRule="auto"/>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Да ће осигурати да је Пројекат, u фази изградње и коришћења, усклађен са свим мерама и захтевима предвиђеним Студијом о процени утицаја на животну средину</w:t>
      </w:r>
      <w:r w:rsidRPr="00866A0C">
        <w:rPr>
          <w:rFonts w:ascii="Arial" w:eastAsiaTheme="minorHAnsi" w:hAnsi="Arial" w:cs="Arial"/>
          <w:color w:val="000000" w:themeColor="text1"/>
          <w:sz w:val="20"/>
          <w:szCs w:val="20"/>
        </w:rPr>
        <w:t xml:space="preserve"> (</w:t>
      </w:r>
      <w:r w:rsidRPr="00866A0C">
        <w:rPr>
          <w:rFonts w:ascii="Arial" w:eastAsiaTheme="minorHAnsi" w:hAnsi="Arial" w:cs="Arial"/>
          <w:color w:val="000000" w:themeColor="text1"/>
          <w:sz w:val="20"/>
          <w:szCs w:val="20"/>
          <w:lang w:val="sr-Cyrl-RS"/>
        </w:rPr>
        <w:t>која је одобрена/усвојена од стране техничке комисије надлежног државног органа)</w:t>
      </w:r>
      <w:r w:rsidRPr="00866A0C">
        <w:rPr>
          <w:rFonts w:ascii="Arial" w:eastAsiaTheme="minorHAnsi" w:hAnsi="Arial" w:cs="Arial"/>
          <w:color w:val="000000" w:themeColor="text1"/>
          <w:sz w:val="20"/>
          <w:szCs w:val="20"/>
          <w:lang w:val="sr-Cyrl-CS"/>
        </w:rPr>
        <w:t xml:space="preserve"> узимајући у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обзир све релевантне стандарде учинка за еколошку и социјалну одрживост који су наведени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у Прилогу бр. 2 овог уговора. Усклађеност се посебно односи на све мере и захтеве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предвиђене у поглављима 8 и 9 Студије о процени утицаја на животну средину;</w:t>
      </w:r>
    </w:p>
    <w:p w14:paraId="03029B3F" w14:textId="74235B82" w:rsidR="00866A0C" w:rsidRDefault="00866A0C" w:rsidP="00866A0C">
      <w:pPr>
        <w:numPr>
          <w:ilvl w:val="0"/>
          <w:numId w:val="41"/>
        </w:numPr>
        <w:spacing w:after="0" w:line="240" w:lineRule="auto"/>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Да ће обавестити Банку о било ком инциденту еколошке природе (укључујући без ограничења било какву експлозију, изливање или несрећу на радном месту која резултира смрћу,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озбиљним или вишеструким повредама или материјално значајном контаминацијом животне средине) или било ком инциденту социјалне природе (укључујући без ограничења било какве насилне радничке немире или спорове са локалним заједницама), који су се догодили у вези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са активностима Корисника кредита, што има материјално негативан утицај на животну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средину, здравље или сигурност. Корисник кредита ће доставити информације о свим инцидентима, укључујући и податке о планираним или предузетим мерама, акцијама и поступцима реаговања у складу са законским прописима, и то у року од 2 (два) дана од </w:t>
      </w:r>
      <w:r w:rsidR="00200677">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настанка несрећног случаја/инцидента. Корисник кредита ће, чим сазна за исто, писмено обавестити Банку о било којој материјално значајној еколошкој или социјалној тужби која је поднета против њега.</w:t>
      </w:r>
    </w:p>
    <w:p w14:paraId="0B7A89D5" w14:textId="77777777" w:rsidR="00200677" w:rsidRPr="00866A0C" w:rsidRDefault="00200677" w:rsidP="00200677">
      <w:pPr>
        <w:spacing w:after="0" w:line="240" w:lineRule="auto"/>
        <w:jc w:val="both"/>
        <w:rPr>
          <w:rFonts w:ascii="Arial" w:eastAsiaTheme="minorHAnsi" w:hAnsi="Arial" w:cs="Arial"/>
          <w:color w:val="000000" w:themeColor="text1"/>
          <w:sz w:val="20"/>
          <w:szCs w:val="20"/>
          <w:lang w:val="sr-Cyrl-CS"/>
        </w:rPr>
      </w:pPr>
    </w:p>
    <w:p w14:paraId="160A60EF" w14:textId="07AF939B" w:rsidR="00866A0C" w:rsidRPr="00866A0C" w:rsidRDefault="00866A0C" w:rsidP="00866A0C">
      <w:pPr>
        <w:numPr>
          <w:ilvl w:val="0"/>
          <w:numId w:val="41"/>
        </w:numPr>
        <w:spacing w:after="0" w:line="240" w:lineRule="auto"/>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lastRenderedPageBreak/>
        <w:t xml:space="preserve">да ће минимум једном годишње, достављати Банци сву релевантну документацију и информације које Банка буде тражила а које су потребне како би се оценило да ли су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испуњени сви услови из тачке 8 и 9 Студије о процени утицаја на животну средину</w:t>
      </w:r>
    </w:p>
    <w:p w14:paraId="27356846" w14:textId="28BC2564" w:rsidR="00866A0C" w:rsidRPr="00866A0C" w:rsidRDefault="00866A0C" w:rsidP="00866A0C">
      <w:pPr>
        <w:numPr>
          <w:ilvl w:val="0"/>
          <w:numId w:val="41"/>
        </w:numPr>
        <w:spacing w:after="0" w:line="240" w:lineRule="auto"/>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Да ће на крају целокупног процеса експропријације пружити Банци детаљне информације и извештај у вези са експропријацијом. Извештај треба да садржи број земљишних парцела,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број објеката (укључујући податке о врсти објекта: на пример кућа, пословни простор,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колиба...) за које је одрађена експропријација. Такође, извештај треба да садржи број жалби које су поднете у поступку експропријације, заједно са објашњењем природе притужби и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начина на који је притужба решена. Неопходно је укључити и информације да ли је експропријација довела до пресељења људи и ако јесте, како је вођено пресељење.</w:t>
      </w:r>
    </w:p>
    <w:p w14:paraId="46EE1FCB" w14:textId="77777777" w:rsidR="00866A0C" w:rsidRPr="00866A0C" w:rsidRDefault="00866A0C" w:rsidP="00866A0C">
      <w:pPr>
        <w:spacing w:after="0" w:line="240" w:lineRule="auto"/>
        <w:ind w:left="1440"/>
        <w:contextualSpacing/>
        <w:jc w:val="both"/>
        <w:rPr>
          <w:rFonts w:ascii="Arial" w:eastAsiaTheme="minorHAnsi" w:hAnsi="Arial" w:cs="Arial"/>
          <w:color w:val="000000" w:themeColor="text1"/>
          <w:sz w:val="20"/>
          <w:szCs w:val="20"/>
          <w:lang w:val="sr-Cyrl-CS"/>
        </w:rPr>
      </w:pPr>
    </w:p>
    <w:p w14:paraId="38468AD5"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10</w:t>
      </w:r>
    </w:p>
    <w:p w14:paraId="0548F04A"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Изјаве и тврдње Зајмопримца</w:t>
      </w:r>
    </w:p>
    <w:p w14:paraId="5A36F15E"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 </w:t>
      </w:r>
    </w:p>
    <w:p w14:paraId="08D67C9E"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10.1 Зајмопримац даје Банци следеће обавезујуће изјаве и тврдње односно:</w:t>
      </w:r>
    </w:p>
    <w:p w14:paraId="2777683B" w14:textId="77777777" w:rsidR="00866A0C" w:rsidRPr="00866A0C" w:rsidRDefault="00866A0C" w:rsidP="00866A0C">
      <w:pPr>
        <w:numPr>
          <w:ilvl w:val="0"/>
          <w:numId w:val="42"/>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да има све законске услове да се задужи код Банке по овом уговору,</w:t>
      </w:r>
    </w:p>
    <w:p w14:paraId="2AE66711" w14:textId="61CFE1B5" w:rsidR="00866A0C" w:rsidRPr="00866A0C" w:rsidRDefault="00866A0C" w:rsidP="00866A0C">
      <w:pPr>
        <w:numPr>
          <w:ilvl w:val="0"/>
          <w:numId w:val="42"/>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да сви документи, информације, докази и извештаји достављени Банци јесу и да ће бити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тачни и исправни да из њих неће бити изостављане чињенице чије би изостављање у њима садржане исказе учинило материјално погрешним,</w:t>
      </w:r>
    </w:p>
    <w:p w14:paraId="640CC387" w14:textId="77777777" w:rsidR="00866A0C" w:rsidRPr="00866A0C" w:rsidRDefault="00866A0C" w:rsidP="00866A0C">
      <w:pPr>
        <w:numPr>
          <w:ilvl w:val="0"/>
          <w:numId w:val="42"/>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да обавезујуће изјаве и тврдње наведене у овом члану Зајмопримац даје Банци на дан закључења Уговора и сматрају се поновљеним (у смислу чињеница и околности које тада постоје) на сваки дан исплате Кредита у течај, као и први и последњи дан сваког Каматног периода,</w:t>
      </w:r>
    </w:p>
    <w:p w14:paraId="58B5EF67" w14:textId="77777777" w:rsidR="00866A0C" w:rsidRPr="00866A0C" w:rsidRDefault="00866A0C" w:rsidP="00866A0C">
      <w:pPr>
        <w:numPr>
          <w:ilvl w:val="0"/>
          <w:numId w:val="42"/>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да без претходне писмене сагласности Банке не може уступити, заложити или продати, односно на било који начин располагати својим правима и обавезама по Уговору,</w:t>
      </w:r>
    </w:p>
    <w:p w14:paraId="56AE28B2" w14:textId="77777777" w:rsidR="00866A0C" w:rsidRPr="00866A0C" w:rsidRDefault="00866A0C" w:rsidP="00866A0C">
      <w:pPr>
        <w:numPr>
          <w:ilvl w:val="0"/>
          <w:numId w:val="42"/>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да ниједна повреда Уговора, није настала и није континуирано присутна, односно, по оправданој процени Зајмопримца, неће настати у непосредној будућности, а Зајмопримац по основу повлачења средстава или извршавања обавеза неће поступати супротно било ком закону који се на Зајмопримца примењује,</w:t>
      </w:r>
    </w:p>
    <w:p w14:paraId="725C0C2D" w14:textId="2C9E5F7D" w:rsidR="00866A0C" w:rsidRPr="00866A0C" w:rsidRDefault="00866A0C" w:rsidP="00866A0C">
      <w:pPr>
        <w:numPr>
          <w:ilvl w:val="0"/>
          <w:numId w:val="42"/>
        </w:numPr>
        <w:spacing w:after="0" w:line="240" w:lineRule="auto"/>
        <w:jc w:val="both"/>
        <w:rPr>
          <w:rFonts w:ascii="Segoe UI" w:eastAsiaTheme="minorHAnsi" w:hAnsi="Segoe UI" w:cs="Segoe UI"/>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да су Уговорне стране сагласне и Зајмопримац неопозиво и безусловно прихвата и изричито овлашћује Банку потписом Уговора, да у складу са прописима на снази у Републици Србији, искључиво на основу ове сагласности, а без даљег и/или накнадног његовог одобрења, Банка може уступити, односно пренети своја права и обавезе у смислу уступања уговора у целости, као и пренети доспела потраживања по овом уговору у циљу умањења кредитног ризика, због неизвршења обавеза према Банци, на другу Банку односно друго правно лице, уз обавезно претходно писано обавештење упућено Зајмопримцу о извршеном преносу, односно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уступању на основу ове сагласности, односно на основу прописа на снази у Републици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Србији. Овим потписом, Зајмопримац даје писано одобрење Банци да податке о њему може саопштити трећем лицу као потенцијалном стицаоцу по основу уступања (под условом да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такво лице потпише одговарајући уговор о обавезама поверљивости са Банком).</w:t>
      </w:r>
    </w:p>
    <w:p w14:paraId="504C208B"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13895AA0"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11</w:t>
      </w:r>
    </w:p>
    <w:p w14:paraId="176675B5"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Повреде Уговора</w:t>
      </w:r>
    </w:p>
    <w:p w14:paraId="50BE6277"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32D45489"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11.1 Следећи догађаји представљају повреде Уговора од стране Зајмопримца:</w:t>
      </w:r>
    </w:p>
    <w:p w14:paraId="16BBD56D" w14:textId="77777777" w:rsidR="00866A0C" w:rsidRPr="00866A0C" w:rsidRDefault="00866A0C" w:rsidP="00866A0C">
      <w:pPr>
        <w:numPr>
          <w:ilvl w:val="0"/>
          <w:numId w:val="39"/>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свака повреда обавеза плаћања главнице, камате, накнада, провизија, трошкова и било којих других плативих износа, као што је одређено Уговором,</w:t>
      </w:r>
    </w:p>
    <w:p w14:paraId="3EF77F47" w14:textId="77777777" w:rsidR="00866A0C" w:rsidRPr="00866A0C" w:rsidRDefault="00866A0C" w:rsidP="00866A0C">
      <w:pPr>
        <w:numPr>
          <w:ilvl w:val="0"/>
          <w:numId w:val="39"/>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свака повреда од стране Зајмопримца и Корисника кредита у погледу његових појединачних обавеза и одговорности по Уговору или ако нека од обавезујућих изјава/потврда Зајмопримца и Корисника кредита по овом уговору није или престане да буде тачна и исправна и/или ако изоставља било коју чињеницу чије би изостављање у њима садржане исказе учинило материјално погрешним,</w:t>
      </w:r>
    </w:p>
    <w:p w14:paraId="37DAA7FA" w14:textId="37A56368" w:rsidR="00866A0C" w:rsidRPr="00866A0C" w:rsidRDefault="00866A0C" w:rsidP="00866A0C">
      <w:pPr>
        <w:numPr>
          <w:ilvl w:val="0"/>
          <w:numId w:val="39"/>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уколико Зајмопримац не достави Банци било које обавештење Банке о околностима од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значаја за испуњење Уговора,</w:t>
      </w:r>
    </w:p>
    <w:p w14:paraId="5A6AEBD9" w14:textId="77777777" w:rsidR="00866A0C" w:rsidRPr="00866A0C" w:rsidRDefault="00866A0C" w:rsidP="00866A0C">
      <w:pPr>
        <w:numPr>
          <w:ilvl w:val="0"/>
          <w:numId w:val="39"/>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употреба Кредита за сврхе које се разликују од оних које су описане у Уговору,</w:t>
      </w:r>
    </w:p>
    <w:p w14:paraId="52E6CF5A" w14:textId="61B0DE92" w:rsidR="00866A0C" w:rsidRPr="00866A0C" w:rsidRDefault="00866A0C" w:rsidP="00866A0C">
      <w:pPr>
        <w:numPr>
          <w:ilvl w:val="0"/>
          <w:numId w:val="39"/>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уколико било које овлашћење, одобрење, сагласност, know-how, патент, жиг, лиценца,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изузеће, регистрација или неки други елемент неопходан да би Зајмопримац и/или Корисник кредита могао одговорити својим обавезама по Уговору буде модификован или опозван или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не остане пуноважан,</w:t>
      </w:r>
    </w:p>
    <w:p w14:paraId="7BADA2A2" w14:textId="706A1279" w:rsidR="00866A0C" w:rsidRPr="00866A0C" w:rsidRDefault="00866A0C" w:rsidP="00866A0C">
      <w:pPr>
        <w:numPr>
          <w:ilvl w:val="0"/>
          <w:numId w:val="39"/>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уколико Зајмопримац и/или Корисник кредита не испуњава уговорне обавезе из тачке 9.1, </w:t>
      </w:r>
      <w:r w:rsidR="00947835">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става 4), члана 9 овог уговора,</w:t>
      </w:r>
    </w:p>
    <w:p w14:paraId="4F45131E" w14:textId="77777777" w:rsidR="00866A0C" w:rsidRPr="00866A0C" w:rsidRDefault="00866A0C" w:rsidP="00866A0C">
      <w:pPr>
        <w:numPr>
          <w:ilvl w:val="0"/>
          <w:numId w:val="39"/>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Уколико су наступиле, или је по процени Банке извесно да ће наступити околности које могу негативно да утичу на способност Зајмопримца да уредно испуњава обавезе из овог уговора.</w:t>
      </w:r>
    </w:p>
    <w:p w14:paraId="27FB3FE4" w14:textId="77777777" w:rsidR="00866A0C" w:rsidRPr="00866A0C" w:rsidRDefault="00866A0C" w:rsidP="00866A0C">
      <w:pPr>
        <w:spacing w:after="0" w:line="240" w:lineRule="auto"/>
        <w:ind w:left="1140"/>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w:t>
      </w:r>
    </w:p>
    <w:p w14:paraId="6CCEC712"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lastRenderedPageBreak/>
        <w:t>11.2 Када се догоди Случај Повреде Уговора (према дефиницији из Уговора), Банка може, по сопственом нахођењу, да објави Повреду Уговора од стране Зајмопримца, у ком случају:</w:t>
      </w:r>
    </w:p>
    <w:p w14:paraId="53B7F50C" w14:textId="57AC27B6" w:rsidR="00866A0C" w:rsidRPr="00866A0C" w:rsidRDefault="00866A0C" w:rsidP="00866A0C">
      <w:pPr>
        <w:numPr>
          <w:ilvl w:val="0"/>
          <w:numId w:val="40"/>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сви износи Кредита плативи по овом уговору заједно са свим каматама, накнадама, трошковима и другим плативим износима, као што је дефинисано овим уговором, одмах ће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се сматрати доспелим и плативим Банци од стране Зајмопримца,</w:t>
      </w:r>
    </w:p>
    <w:p w14:paraId="5340C2C5" w14:textId="77777777" w:rsidR="00866A0C" w:rsidRPr="00866A0C" w:rsidRDefault="00866A0C" w:rsidP="00866A0C">
      <w:pPr>
        <w:numPr>
          <w:ilvl w:val="0"/>
          <w:numId w:val="40"/>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било који износ Кредита који није повучен од стране Зајмопримца неће надаље моћи да буде вучен,</w:t>
      </w:r>
    </w:p>
    <w:p w14:paraId="767CF19B" w14:textId="77777777" w:rsidR="00866A0C" w:rsidRPr="00866A0C" w:rsidRDefault="00866A0C" w:rsidP="00866A0C">
      <w:pPr>
        <w:numPr>
          <w:ilvl w:val="0"/>
          <w:numId w:val="40"/>
        </w:numPr>
        <w:spacing w:after="0" w:line="240" w:lineRule="auto"/>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Банка ће обрачунати и наплатити од Зајмопримца, а Зајмопримац ће Банци платити, затезну камату у складу са законским прописима (у даљем тексту: Затезна камата). У случају да је уговорена каматна стопа виша од Затезне камате, уговорена камата тече и након што Зајмопримац доспе у доцњу. Затезна камата ће се обрачунавати на све неисплаћене износе који се дугују и плативи су по Уговору, укључујући главницу, камату, накнаде, као и остале трошкове и друге плативе износе, за период од датума доцње Зајмопримца па до датума коначне исплате заосталих износа. Банка ће обрачунавати и наплаћивати камату на доспелу, а неизмирену камату сагласно Члану 400. Закона о облигационим односима.</w:t>
      </w:r>
    </w:p>
    <w:p w14:paraId="324DB2AF"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69CCA249"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rPr>
      </w:pPr>
      <w:r w:rsidRPr="00866A0C">
        <w:rPr>
          <w:rFonts w:ascii="Arial" w:eastAsiaTheme="minorHAnsi" w:hAnsi="Arial" w:cs="Arial"/>
          <w:color w:val="000000" w:themeColor="text1"/>
          <w:sz w:val="20"/>
          <w:szCs w:val="20"/>
          <w:lang w:val="sr-Cyrl-CS"/>
        </w:rPr>
        <w:t xml:space="preserve">11.3 Случај наступања додатних ризика и одговорност за случај санкција у вези </w:t>
      </w:r>
      <w:r w:rsidRPr="00866A0C">
        <w:rPr>
          <w:rFonts w:ascii="Arial" w:eastAsiaTheme="minorHAnsi" w:hAnsi="Arial" w:cs="Arial"/>
          <w:color w:val="000000" w:themeColor="text1"/>
          <w:sz w:val="20"/>
          <w:szCs w:val="20"/>
          <w:lang w:val="sr-Cyrl-RS"/>
        </w:rPr>
        <w:t xml:space="preserve">са свим странама укљученим у </w:t>
      </w:r>
      <w:r w:rsidRPr="00866A0C">
        <w:rPr>
          <w:rFonts w:ascii="Arial" w:eastAsiaTheme="minorHAnsi" w:hAnsi="Arial" w:cs="Arial"/>
          <w:color w:val="000000" w:themeColor="text1"/>
          <w:sz w:val="20"/>
          <w:szCs w:val="20"/>
          <w:lang w:val="sr-Cyrl-CS"/>
        </w:rPr>
        <w:t>Пројекат</w:t>
      </w:r>
    </w:p>
    <w:p w14:paraId="6A7ACBFE"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Уговорне стране сагласно уређују начин поступања у случају постојања мера ограничења по основу санкција донетих од стране органа Републике Србије, Уједињених Нација (УН), Европске Уније (ЕУ), Америчке агенције за контролу страних средстава (ОФАЦ), Уједињеног Краљевства Велике Британије и Северне Ирске и/или друге међународне или иностране државне институције.</w:t>
      </w:r>
    </w:p>
    <w:p w14:paraId="03F0CAAF"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Овим уговором Зајмопримац прихвата све ризике који могу настати као последица мера ограничења којима подлеже Зајмопримац и/или његове активности, по основу санкција донетих од стране органа Републике Србије, Уједињених Нација (УН), Европске Уније (ЕУ), Америчке агенције за контролу страних средстава (ОФАЦ), Уједињеног Краљевства Велике Британије и Северне Ирске и/или друге међународне или иностране државне институције, укључујући и блокаду средстава на рачунима Зајмопримца.</w:t>
      </w:r>
    </w:p>
    <w:p w14:paraId="479C5545" w14:textId="7F9620EC"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Сви комерцијални ризици посла такође падају на терет Зајмопримца и он их потписом овог уговора прихвата. Зајмопримац се саглашава и обавезује да неће користити средства из овог пласмана за пословне активности које би могле проузроковати повреду или би се могле тумачити као да Банка проузрокује повреду санкција или ембарга успостављених од стране органа Републике Србије, Уједињених Нација (УН), Европске Уније (ЕУ) и/или Америчке агенције за контролу страних средстава (ОФАЦ), Уједињеног Краљевства Велике Британије и Северне Ирске и/или или друге међународне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или иностране државне институције.</w:t>
      </w:r>
    </w:p>
    <w:p w14:paraId="53800CA9" w14:textId="7FA64B84"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Зајмопримац има обавезу да, према инструкцијама Банке, поднесе потребне информације и документацију за спровођење пословног односа у складу с интерним стандардима Банке, укључујући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и ситуације уколико је, по мишљењу Банке, Зајмопримац погођен ограничењима пословних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активности повезаних с одређеним земљама, организацијама, лицима, субјектима, робом и другим прецизираним групама по регулативи о санкцијама донетим од стране органа Републике Србије, Уједињених нација (УН), Европске уније, Агенција Сједињених Држава за контролу страних средстава (ОФАЦ), Уједињеног Краљевства Велике Британије и Северне Ирске или друге међународне институције или институције страних држава.</w:t>
      </w:r>
    </w:p>
    <w:p w14:paraId="72728C01"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Банка има право једнострано отказати све или поједине уговорне односе, отказати расположивост по закљученим уговорним односима, те учинити односна потраживања доспелим, уколико Зајмопримац не достави тражене податке и документацију потребну за вођење пословног односа са Зајмопримцем у складу с интерним актима Банке, или уколико се на Зајмопримца примењују мере ограничења у погледу пословних активности у вези са одређеним земљама, организацијама, лицима, субјектима, робом и другим прецизираним групама по регулативи о санкцијама донетим од стране органа Републике Србије, Уједињених нација (УН), Европске уније, Агенција Сједињених Држава за контролу страних средстава (ОФАЦ), Уједињеног Краљевства Велике Британије и Северне Ирске или друге међународне институције или институције страних држава.</w:t>
      </w:r>
    </w:p>
    <w:p w14:paraId="2F71EFAF" w14:textId="382D4F06"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Банка има права на једнострани раскид уговора, односно једнострано отказивање уговора и/или проглашење обавеза из уговора доспелим на основу писаног дописа Банке упућеног Зајмопримцу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и/или Кориснику кредита, где ће се јасно означити која од признатих права Банка једнострано примењује и које обавезе Зајмопримца настају услед тога, у смислу обавезног анексирања Уговора, враћања кредита, престанка коришћења пласмана у целости и/или обезбеђивања новчаног покрића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за производе Банке чије се враћање не може извршити од стране Зајмопримца.</w:t>
      </w:r>
    </w:p>
    <w:p w14:paraId="4104E703"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Банка ће се за све време трајања овог уговора понашати са пажњом према интересима Зајмопримца, пратити измене прописа и обавезујућих политика NLB групе, на основу којих за Зајмопримца може настати негативна последица у сарадњи са Банком у вези коришћења производа Банке, те ће Банка одмах по сазнању за овакве информације, обавести Зајмопримца и/или Корисника кредита о томе уз обавештење о врстама мера (у степену у ком је то могуће).</w:t>
      </w:r>
    </w:p>
    <w:p w14:paraId="741F4124" w14:textId="73B995AA" w:rsid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w:t>
      </w:r>
    </w:p>
    <w:p w14:paraId="31AF8C20" w14:textId="77777777" w:rsidR="00632DF1" w:rsidRPr="00866A0C" w:rsidRDefault="00632DF1" w:rsidP="00866A0C">
      <w:pPr>
        <w:spacing w:after="0" w:line="240" w:lineRule="auto"/>
        <w:ind w:left="720"/>
        <w:jc w:val="both"/>
        <w:rPr>
          <w:rFonts w:ascii="Segoe UI" w:eastAsiaTheme="minorHAnsi" w:hAnsi="Segoe UI" w:cs="Segoe UI"/>
          <w:color w:val="000000" w:themeColor="text1"/>
          <w:sz w:val="30"/>
          <w:szCs w:val="30"/>
          <w:lang w:val="sr-Cyrl-CS"/>
        </w:rPr>
      </w:pPr>
    </w:p>
    <w:p w14:paraId="6E130739"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lastRenderedPageBreak/>
        <w:t>11.4 Банка ће писаним путем (препорученом пошиљком са повратницом, факсом, електронским путем), обавестити Зајмопримца о проглашењу обавеза доспелим, достављањем  обавештења на адресу Зајмопримца.</w:t>
      </w:r>
    </w:p>
    <w:p w14:paraId="6B090D5D"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Дан проглашења  обавеза доспелим,  сматра се дан упућивања писаног обавештења на адресу Зајмопримца.</w:t>
      </w:r>
    </w:p>
    <w:p w14:paraId="5552AC22" w14:textId="3FE60DFC" w:rsid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77B35569"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5FA27E39"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77D143CB"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12</w:t>
      </w:r>
    </w:p>
    <w:p w14:paraId="3222C2F3"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Остале одредбе</w:t>
      </w:r>
    </w:p>
    <w:p w14:paraId="7A9DB605"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0F5CE48A"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12.1 Пропуст или закашњење Банке у коришћењу права по овом уговору неће се тумачити као одрицање од таквог права и неће онемогућити даље коришћење било ког другог права.</w:t>
      </w:r>
    </w:p>
    <w:p w14:paraId="79B84C62"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2E574C08" w14:textId="26B74651"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12.2 Уколико било која одредба Уговора јесте или постане незаконита, неважећа, ништава или неспроводива у било ком погледу по основу закона, законитост, валидност и спроводивост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преосталих одредби неће бити доведена у питање.</w:t>
      </w:r>
    </w:p>
    <w:p w14:paraId="660C8F45"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0AE12508"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12.3 Банка ће имати пуно право да се ослони на било које инструкције које прописно потпише овлашћени представник Зајмопримца и које су оверене службеним печатом Зајмопримца.</w:t>
      </w:r>
    </w:p>
    <w:p w14:paraId="7A566B03"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60543A63"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12.4 Зајмопримац прихвата да Банчине пословне књиге, рачуноводствене књиге и друга документа Банке осим у случају очигледних грешака, служе као доказ дуговања Зајмопримца.</w:t>
      </w:r>
    </w:p>
    <w:p w14:paraId="1A50E22D"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2C0195A4" w14:textId="07A50C8B"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12.5 Зајмопримац се потписом овог уговора саглашава и овлашћује Банку да, податке који се тичу задужености  Зајмопримца по овом уговору, у уобичајеном облику, осим NLB групи, доставља непосредно НБС, као и другим финансијским институцијама, посредно преко НБС, а све на начин и у складу са Упутством о подацима које банке достављају Народној банци Србије ради укључивања тих података у кредитни информациони систем Народне банке Србије („Службени гласник РС”, бр. 86/07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и 89/07).</w:t>
      </w:r>
    </w:p>
    <w:p w14:paraId="53D67E62"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Зајмопримац се потписом овог уговора саглашава и овлашћује Банку да, податке који се тичу задужености Зајмопримца по овом уговору, податке о Зајмопримцу и повезаним лицима до којих дође током извршавања уговора, као и податке из досијеа и документације коју је Зајмопримац доставио Банци, а који се сматрају банкарском тајном, Банка има право да проследи у централну базу података међународне и/или домаће банкарске групе већинског акционара Банке, Народној банци Србије, лицима који због природе посла имају приступ тим подацима, спољном ревизору Банке, пријемнику потраживања у случају уступања потраживања, лицу које је Банка ангажовала у циљу наплате потраживања, лицима са којима Банка има закључене уговоре о пословној сарадњи који су везани за пословни однос између Банке и Зајмопримца и реализацију потраживања Банке према Зајмопримцу, као и лицима са којима Банка има закључен уговор о поверљивости података.</w:t>
      </w:r>
    </w:p>
    <w:p w14:paraId="66BB4C37"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3A67D949" w14:textId="7F8EB2F1"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12.6 Потписивањем овог уговора Зајмопримац/Корисник кредита потврђује да је упознат са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одредбама Општих услова пословања NLB Komercijalne banke AD Beograd и да их у потпуности прихвата, да му је од стране Банке уручено/достављено (електронским путем) Обавештење о обради података о личности пре прикупљања истих од стране Банке, као и да је свим лицима чије је податке доставио Банци пре прибављања истих пружио предметно Обавештење и информацију да се ажурне верзије истог налазе на званичној интернет страници Банке www.nlbkb.rs и у експозитурама Банке.</w:t>
      </w:r>
    </w:p>
    <w:p w14:paraId="3D07904C"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19FAC7F2" w14:textId="77777777" w:rsidR="00CD063A" w:rsidRPr="00CD063A" w:rsidRDefault="00866A0C" w:rsidP="00CD063A">
      <w:pPr>
        <w:spacing w:after="0" w:line="240" w:lineRule="auto"/>
        <w:ind w:left="720"/>
        <w:jc w:val="both"/>
        <w:rPr>
          <w:rFonts w:ascii="Arial" w:eastAsiaTheme="minorHAnsi" w:hAnsi="Arial" w:cs="Arial"/>
          <w:color w:val="000000" w:themeColor="text1"/>
          <w:spacing w:val="6"/>
          <w:sz w:val="20"/>
          <w:szCs w:val="20"/>
          <w:lang w:val="sr-Cyrl-CS"/>
        </w:rPr>
      </w:pPr>
      <w:r w:rsidRPr="00866A0C">
        <w:rPr>
          <w:rFonts w:ascii="Arial" w:eastAsiaTheme="minorHAnsi" w:hAnsi="Arial" w:cs="Arial"/>
          <w:color w:val="000000" w:themeColor="text1"/>
          <w:sz w:val="20"/>
          <w:szCs w:val="20"/>
          <w:lang w:val="sr-Cyrl-CS"/>
        </w:rPr>
        <w:t xml:space="preserve">12.7 </w:t>
      </w:r>
      <w:r w:rsidRPr="00CD063A">
        <w:rPr>
          <w:rFonts w:ascii="Arial" w:eastAsiaTheme="minorHAnsi" w:hAnsi="Arial" w:cs="Arial"/>
          <w:color w:val="000000" w:themeColor="text1"/>
          <w:spacing w:val="6"/>
          <w:sz w:val="20"/>
          <w:szCs w:val="20"/>
          <w:lang w:val="sr-Cyrl-CS"/>
        </w:rPr>
        <w:t xml:space="preserve">На све што овим уговором није изричито предвиђено, примењиваће се важећи закони и други прописи који регулишу ову материју, акти пословне политике Банке и Општи услови пословања </w:t>
      </w:r>
    </w:p>
    <w:p w14:paraId="66379816" w14:textId="3FC23F14" w:rsidR="00866A0C" w:rsidRPr="00866A0C" w:rsidRDefault="00866A0C" w:rsidP="00866A0C">
      <w:pPr>
        <w:spacing w:after="0" w:line="240" w:lineRule="auto"/>
        <w:ind w:left="720"/>
        <w:jc w:val="both"/>
        <w:rPr>
          <w:rFonts w:ascii="Arial" w:eastAsiaTheme="minorHAnsi" w:hAnsi="Arial" w:cs="Arial"/>
          <w:b/>
          <w:bCs/>
          <w:color w:val="000000" w:themeColor="text1"/>
          <w:sz w:val="20"/>
          <w:szCs w:val="20"/>
          <w:lang w:val="sr-Cyrl-CS"/>
        </w:rPr>
      </w:pPr>
      <w:r w:rsidRPr="00CD063A">
        <w:rPr>
          <w:rFonts w:ascii="Arial" w:eastAsiaTheme="minorHAnsi" w:hAnsi="Arial" w:cs="Arial"/>
          <w:color w:val="000000" w:themeColor="text1"/>
          <w:spacing w:val="6"/>
          <w:sz w:val="20"/>
          <w:szCs w:val="20"/>
          <w:lang w:val="sr-Cyrl-CS"/>
        </w:rPr>
        <w:t>Банке</w:t>
      </w:r>
      <w:r w:rsidRPr="00866A0C">
        <w:rPr>
          <w:rFonts w:ascii="Arial" w:eastAsiaTheme="minorHAnsi" w:hAnsi="Arial" w:cs="Arial"/>
          <w:color w:val="000000" w:themeColor="text1"/>
          <w:sz w:val="20"/>
          <w:szCs w:val="20"/>
          <w:lang w:val="sr-Cyrl-CS"/>
        </w:rPr>
        <w:t>.</w:t>
      </w:r>
      <w:r w:rsidRPr="00866A0C">
        <w:rPr>
          <w:rFonts w:ascii="Arial" w:eastAsiaTheme="minorHAnsi" w:hAnsi="Arial" w:cs="Arial"/>
          <w:b/>
          <w:bCs/>
          <w:color w:val="000000" w:themeColor="text1"/>
          <w:sz w:val="20"/>
          <w:szCs w:val="20"/>
          <w:lang w:val="sr-Cyrl-CS"/>
        </w:rPr>
        <w:t> </w:t>
      </w:r>
    </w:p>
    <w:p w14:paraId="7DD27415" w14:textId="77777777" w:rsidR="00866A0C" w:rsidRPr="00866A0C" w:rsidRDefault="00866A0C" w:rsidP="00866A0C">
      <w:pPr>
        <w:spacing w:after="0" w:line="240" w:lineRule="auto"/>
        <w:ind w:left="720"/>
        <w:jc w:val="both"/>
        <w:rPr>
          <w:rFonts w:ascii="Arial" w:eastAsiaTheme="minorHAnsi" w:hAnsi="Arial" w:cs="Arial"/>
          <w:b/>
          <w:bCs/>
          <w:color w:val="000000" w:themeColor="text1"/>
          <w:sz w:val="20"/>
          <w:szCs w:val="20"/>
          <w:lang w:val="sr-Cyrl-CS"/>
        </w:rPr>
      </w:pPr>
    </w:p>
    <w:p w14:paraId="0DBC3FA5"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13</w:t>
      </w:r>
    </w:p>
    <w:p w14:paraId="09E253B8"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Обавештавања</w:t>
      </w:r>
    </w:p>
    <w:p w14:paraId="4AB264DA"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38D3E313"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13.1 Сва обавештења у вези са Уговором морају бити у писаној форми, и осим ако је другачије наведено, могу се проследити: - лично, путем поште или - путем и-мејла или друге врсте електронске комуникације.</w:t>
      </w:r>
    </w:p>
    <w:p w14:paraId="33BB2E9D"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2EF8074A"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13.2 За потребе обавештавања по овом уговору, контакт подаци Зајмопримца су следећи:</w:t>
      </w:r>
    </w:p>
    <w:p w14:paraId="7C3C7BF1"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RS"/>
        </w:rPr>
      </w:pPr>
      <w:r w:rsidRPr="00866A0C">
        <w:rPr>
          <w:rFonts w:ascii="Arial" w:eastAsiaTheme="minorHAnsi" w:hAnsi="Arial" w:cs="Arial"/>
          <w:color w:val="000000" w:themeColor="text1"/>
          <w:sz w:val="20"/>
          <w:szCs w:val="20"/>
          <w:lang w:val="sr-Cyrl-CS"/>
        </w:rPr>
        <w:t>Адреса:</w:t>
      </w:r>
      <w:r w:rsidRPr="00866A0C">
        <w:rPr>
          <w:rFonts w:ascii="Arial" w:eastAsiaTheme="minorHAnsi" w:hAnsi="Arial" w:cs="Arial"/>
          <w:color w:val="000000" w:themeColor="text1"/>
          <w:sz w:val="20"/>
          <w:szCs w:val="20"/>
          <w:lang w:val="sr-Cyrl-RS"/>
        </w:rPr>
        <w:t>Министарство финансија Републике Србије, Кнеза Милоша 20</w:t>
      </w:r>
    </w:p>
    <w:p w14:paraId="376BD97E"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en-US"/>
        </w:rPr>
      </w:pPr>
      <w:r w:rsidRPr="00866A0C">
        <w:rPr>
          <w:rFonts w:ascii="Arial" w:eastAsiaTheme="minorHAnsi" w:hAnsi="Arial" w:cs="Arial"/>
          <w:color w:val="000000" w:themeColor="text1"/>
          <w:sz w:val="20"/>
          <w:szCs w:val="20"/>
          <w:lang w:val="sr-Cyrl-CS"/>
        </w:rPr>
        <w:t xml:space="preserve">E-mail: </w:t>
      </w:r>
      <w:r w:rsidRPr="00866A0C">
        <w:rPr>
          <w:rFonts w:ascii="Arial" w:eastAsiaTheme="minorHAnsi" w:hAnsi="Arial" w:cs="Arial"/>
          <w:color w:val="000000" w:themeColor="text1"/>
          <w:sz w:val="20"/>
          <w:szCs w:val="20"/>
          <w:lang w:val="sr-Cyrl-RS"/>
        </w:rPr>
        <w:t>kabinet</w:t>
      </w:r>
      <w:r w:rsidRPr="00866A0C">
        <w:rPr>
          <w:rFonts w:ascii="Arial" w:eastAsiaTheme="minorHAnsi" w:hAnsi="Arial" w:cs="Arial"/>
          <w:color w:val="000000" w:themeColor="text1"/>
          <w:sz w:val="20"/>
          <w:szCs w:val="20"/>
          <w:lang w:val="en-US"/>
        </w:rPr>
        <w:t>@mfin.gov.rs, kabinet@javnidug.gov.rs</w:t>
      </w:r>
    </w:p>
    <w:p w14:paraId="3F8383E0"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RS"/>
        </w:rPr>
      </w:pPr>
      <w:r w:rsidRPr="00866A0C">
        <w:rPr>
          <w:rFonts w:ascii="Arial" w:eastAsiaTheme="minorHAnsi" w:hAnsi="Arial" w:cs="Arial"/>
          <w:color w:val="000000" w:themeColor="text1"/>
          <w:sz w:val="20"/>
          <w:szCs w:val="20"/>
          <w:lang w:val="sr-Cyrl-CS"/>
        </w:rPr>
        <w:t xml:space="preserve">Прималац: </w:t>
      </w:r>
      <w:r w:rsidRPr="00866A0C">
        <w:rPr>
          <w:rFonts w:ascii="Arial" w:eastAsiaTheme="minorHAnsi" w:hAnsi="Arial" w:cs="Arial"/>
          <w:color w:val="000000" w:themeColor="text1"/>
          <w:sz w:val="20"/>
          <w:szCs w:val="20"/>
          <w:lang w:val="sr-Cyrl-RS"/>
        </w:rPr>
        <w:t>Министар финансија</w:t>
      </w:r>
    </w:p>
    <w:p w14:paraId="3366FEB2"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1145AFBC" w14:textId="35995342"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13.3 Зајмопримац може изменити своје контакт податке уз слање обавештења Банци најкасније 5 </w:t>
      </w:r>
      <w:r w:rsidR="00632DF1">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(пет) радних дана унапред.</w:t>
      </w:r>
    </w:p>
    <w:p w14:paraId="39737432"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18C819BE" w14:textId="77777777" w:rsid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3F03E3B8" w14:textId="247A5C68" w:rsid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7D604173" w14:textId="77777777" w:rsid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p w14:paraId="1D3D8526" w14:textId="49E550F9"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13.4 Електронска комуникација ће се третирати као да је обављена у писаној форми.</w:t>
      </w:r>
    </w:p>
    <w:p w14:paraId="5C29B442"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46F51D52"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13.5 Потписом овог уговора Зајмопримац гарантује идентитет и овлашћења пошиљаоца и интегритет докумената које електронском преписком доставља Банци, одриче се накнадног порицања одговорности за њихов садржај и преузима сву одговорност за валидност електронске преписке послате са и-мејл адресе Зајмопримца за коју Банка прими обавештење од Зајмопримца да представља валидну контакт и-мејл адресу Зајмопримца која ће бити коришћена ради обављања електронске преписке.</w:t>
      </w:r>
    </w:p>
    <w:p w14:paraId="4472A85B"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7DB19587"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13.6 Свако обавештење сматраће се примљеним, и то:</w:t>
      </w:r>
    </w:p>
    <w:p w14:paraId="20C26085" w14:textId="77777777" w:rsidR="00866A0C" w:rsidRPr="00866A0C" w:rsidRDefault="00866A0C" w:rsidP="00866A0C">
      <w:pPr>
        <w:spacing w:after="0" w:line="240" w:lineRule="auto"/>
        <w:ind w:left="1140" w:hanging="36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w:t>
      </w:r>
      <w:r w:rsidRPr="00866A0C">
        <w:rPr>
          <w:rFonts w:asciiTheme="minorHAnsi" w:eastAsiaTheme="minorHAnsi" w:hAnsiTheme="minorHAnsi" w:cstheme="minorBidi"/>
          <w:color w:val="000000" w:themeColor="text1"/>
          <w:sz w:val="14"/>
          <w:szCs w:val="14"/>
          <w:lang w:val="sr-Cyrl-CS"/>
        </w:rPr>
        <w:t>        </w:t>
      </w:r>
      <w:r w:rsidRPr="00866A0C">
        <w:rPr>
          <w:rFonts w:ascii="Arial" w:eastAsiaTheme="minorHAnsi" w:hAnsi="Arial" w:cs="Arial"/>
          <w:color w:val="000000" w:themeColor="text1"/>
          <w:sz w:val="20"/>
          <w:szCs w:val="20"/>
          <w:lang w:val="sr-Cyrl-CS"/>
        </w:rPr>
        <w:t>ако је предато лично, у моменту давања;</w:t>
      </w:r>
    </w:p>
    <w:p w14:paraId="5BFD8730" w14:textId="1DFB3F51" w:rsidR="00866A0C" w:rsidRPr="00866A0C" w:rsidRDefault="00866A0C" w:rsidP="00866A0C">
      <w:pPr>
        <w:spacing w:after="0" w:line="240" w:lineRule="auto"/>
        <w:ind w:left="1140" w:hanging="36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w:t>
      </w:r>
      <w:r w:rsidRPr="00866A0C">
        <w:rPr>
          <w:rFonts w:asciiTheme="minorHAnsi" w:eastAsiaTheme="minorHAnsi" w:hAnsiTheme="minorHAnsi" w:cstheme="minorBidi"/>
          <w:color w:val="000000" w:themeColor="text1"/>
          <w:sz w:val="14"/>
          <w:szCs w:val="14"/>
          <w:lang w:val="sr-Cyrl-CS"/>
        </w:rPr>
        <w:t>        </w:t>
      </w:r>
      <w:r w:rsidRPr="00866A0C">
        <w:rPr>
          <w:rFonts w:ascii="Arial" w:eastAsiaTheme="minorHAnsi" w:hAnsi="Arial" w:cs="Arial"/>
          <w:color w:val="000000" w:themeColor="text1"/>
          <w:sz w:val="20"/>
          <w:szCs w:val="20"/>
          <w:lang w:val="sr-Cyrl-CS"/>
        </w:rPr>
        <w:t xml:space="preserve">ако је достављено поштом, 5 (пет) дана након предаје на пошти, са унапред плаћеном </w:t>
      </w:r>
      <w:r w:rsidR="005E215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поштарином, у исправно адресираној коверти и</w:t>
      </w:r>
    </w:p>
    <w:p w14:paraId="2838111C" w14:textId="3046E4B2" w:rsidR="00866A0C" w:rsidRPr="00866A0C" w:rsidRDefault="00866A0C" w:rsidP="00866A0C">
      <w:pPr>
        <w:spacing w:after="0" w:line="240" w:lineRule="auto"/>
        <w:ind w:left="1140" w:hanging="36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w:t>
      </w:r>
      <w:r w:rsidRPr="00866A0C">
        <w:rPr>
          <w:rFonts w:asciiTheme="minorHAnsi" w:eastAsiaTheme="minorHAnsi" w:hAnsiTheme="minorHAnsi" w:cstheme="minorBidi"/>
          <w:color w:val="000000" w:themeColor="text1"/>
          <w:sz w:val="14"/>
          <w:szCs w:val="14"/>
          <w:lang w:val="sr-Cyrl-CS"/>
        </w:rPr>
        <w:t>        </w:t>
      </w:r>
      <w:r w:rsidRPr="00866A0C">
        <w:rPr>
          <w:rFonts w:ascii="Arial" w:eastAsiaTheme="minorHAnsi" w:hAnsi="Arial" w:cs="Arial"/>
          <w:color w:val="000000" w:themeColor="text1"/>
          <w:sz w:val="20"/>
          <w:szCs w:val="20"/>
          <w:lang w:val="sr-Cyrl-CS"/>
        </w:rPr>
        <w:t xml:space="preserve">ако је послато путем и-мејл-а или другом врстом електронске комуникације, у моменту пријема </w:t>
      </w:r>
      <w:r w:rsidR="005E215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од стране пријемног сервера.</w:t>
      </w:r>
    </w:p>
    <w:p w14:paraId="09F51C64" w14:textId="77777777" w:rsidR="00866A0C" w:rsidRPr="00866A0C" w:rsidRDefault="00866A0C" w:rsidP="00866A0C">
      <w:pPr>
        <w:spacing w:after="0" w:line="240" w:lineRule="auto"/>
        <w:ind w:left="1140" w:hanging="360"/>
        <w:jc w:val="both"/>
        <w:rPr>
          <w:rFonts w:ascii="Segoe UI" w:eastAsiaTheme="minorHAnsi" w:hAnsi="Segoe UI" w:cs="Segoe UI"/>
          <w:color w:val="000000" w:themeColor="text1"/>
          <w:sz w:val="30"/>
          <w:szCs w:val="30"/>
          <w:lang w:val="sr-Cyrl-CS"/>
        </w:rPr>
      </w:pPr>
    </w:p>
    <w:p w14:paraId="1B4EEB2B" w14:textId="1BE39EC2" w:rsidR="00866A0C" w:rsidRPr="00866A0C" w:rsidRDefault="00866A0C" w:rsidP="00866A0C">
      <w:pPr>
        <w:spacing w:after="0" w:line="240" w:lineRule="auto"/>
        <w:ind w:left="78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xml:space="preserve">13.7 Било које обавештење које се пошаље у складу са претходним али буде примљено на нерадни дан или након краја радног времена на месту пријема, сматраће се примљеним првог наредног </w:t>
      </w:r>
      <w:r w:rsidR="005E215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радног дана.</w:t>
      </w:r>
    </w:p>
    <w:p w14:paraId="3DA084FF" w14:textId="77777777" w:rsidR="00866A0C" w:rsidRPr="00866A0C" w:rsidRDefault="00866A0C" w:rsidP="00866A0C">
      <w:pPr>
        <w:spacing w:after="0" w:line="240" w:lineRule="auto"/>
        <w:ind w:left="720"/>
        <w:jc w:val="center"/>
        <w:rPr>
          <w:rFonts w:ascii="Arial" w:eastAsiaTheme="minorHAnsi" w:hAnsi="Arial" w:cs="Arial"/>
          <w:b/>
          <w:bCs/>
          <w:color w:val="000000" w:themeColor="text1"/>
          <w:sz w:val="20"/>
          <w:szCs w:val="20"/>
          <w:lang w:val="sr-Cyrl-CS"/>
        </w:rPr>
      </w:pPr>
    </w:p>
    <w:p w14:paraId="521B0334"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Члан 14</w:t>
      </w:r>
    </w:p>
    <w:p w14:paraId="7156B030" w14:textId="77777777" w:rsidR="00866A0C" w:rsidRPr="00866A0C" w:rsidRDefault="00866A0C" w:rsidP="00866A0C">
      <w:pPr>
        <w:spacing w:after="0" w:line="240" w:lineRule="auto"/>
        <w:ind w:left="720"/>
        <w:jc w:val="center"/>
        <w:rPr>
          <w:rFonts w:ascii="Segoe UI" w:eastAsiaTheme="minorHAnsi" w:hAnsi="Segoe UI" w:cs="Segoe UI"/>
          <w:color w:val="000000" w:themeColor="text1"/>
          <w:sz w:val="30"/>
          <w:szCs w:val="30"/>
          <w:lang w:val="sr-Cyrl-CS"/>
        </w:rPr>
      </w:pPr>
      <w:r w:rsidRPr="00866A0C">
        <w:rPr>
          <w:rFonts w:ascii="Arial" w:eastAsiaTheme="minorHAnsi" w:hAnsi="Arial" w:cs="Arial"/>
          <w:b/>
          <w:bCs/>
          <w:color w:val="000000" w:themeColor="text1"/>
          <w:sz w:val="20"/>
          <w:szCs w:val="20"/>
          <w:lang w:val="sr-Cyrl-CS"/>
        </w:rPr>
        <w:t>Важеће право и судска надлежност</w:t>
      </w:r>
    </w:p>
    <w:p w14:paraId="25B21A86"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3CB04E89"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14.1 Важеће право које се на Уговор примењује је право Републике Србије.</w:t>
      </w:r>
    </w:p>
    <w:p w14:paraId="52C1BF07"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6DCA408A" w14:textId="399BE1CF"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14.2 Све спорове између Уговорних страна и/или трећих лица који из Уговора проистекну или у вези </w:t>
      </w:r>
      <w:r w:rsidR="005E215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са њим, Уговорне стране ће покушати да реше на миран начин, а у случају да то није могуће, спор ће се изнети пред надлежни суд у Београду.</w:t>
      </w:r>
    </w:p>
    <w:p w14:paraId="031AD58A" w14:textId="777777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w:t>
      </w:r>
    </w:p>
    <w:p w14:paraId="377EB5B9" w14:textId="5BEA4A77"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 xml:space="preserve">14.3 Уговор је састављен у 4 (словима: четири) истоветна примерка, од којих су по 2 (словима: два) </w:t>
      </w:r>
      <w:r w:rsidR="005E215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 xml:space="preserve">за сваку Уговорну страну, а ступа на снагу потписивањем од стране овлашћених представника Уговорних страна и након објављивања у Службеном гласнику како је предвиђено у тачки 2.1, члана </w:t>
      </w:r>
      <w:r w:rsidR="005E215B">
        <w:rPr>
          <w:rFonts w:ascii="Arial" w:eastAsiaTheme="minorHAnsi" w:hAnsi="Arial" w:cs="Arial"/>
          <w:color w:val="000000" w:themeColor="text1"/>
          <w:sz w:val="20"/>
          <w:szCs w:val="20"/>
          <w:lang w:val="sr-Cyrl-CS"/>
        </w:rPr>
        <w:br/>
      </w:r>
      <w:r w:rsidRPr="00866A0C">
        <w:rPr>
          <w:rFonts w:ascii="Arial" w:eastAsiaTheme="minorHAnsi" w:hAnsi="Arial" w:cs="Arial"/>
          <w:color w:val="000000" w:themeColor="text1"/>
          <w:sz w:val="20"/>
          <w:szCs w:val="20"/>
          <w:lang w:val="sr-Cyrl-CS"/>
        </w:rPr>
        <w:t>2 овог уговора.</w:t>
      </w:r>
    </w:p>
    <w:p w14:paraId="130E4298"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w:t>
      </w:r>
    </w:p>
    <w:p w14:paraId="251D772B" w14:textId="791B94B9" w:rsidR="00866A0C" w:rsidRPr="00866A0C" w:rsidRDefault="00866A0C" w:rsidP="00866A0C">
      <w:pPr>
        <w:tabs>
          <w:tab w:val="left" w:pos="6570"/>
        </w:tabs>
        <w:spacing w:after="0" w:line="240" w:lineRule="auto"/>
        <w:ind w:left="720"/>
        <w:jc w:val="both"/>
        <w:rPr>
          <w:rFonts w:ascii="Segoe UI" w:eastAsiaTheme="minorHAnsi" w:hAnsi="Segoe UI" w:cs="Segoe UI"/>
          <w:color w:val="000000" w:themeColor="text1"/>
          <w:sz w:val="30"/>
          <w:szCs w:val="30"/>
          <w:lang w:val="sr-Cyrl-CS"/>
        </w:rPr>
      </w:pPr>
      <w:r w:rsidRPr="00866A0C">
        <w:rPr>
          <w:rFonts w:ascii="Arial" w:eastAsiaTheme="minorHAnsi" w:hAnsi="Arial" w:cs="Arial"/>
          <w:color w:val="000000" w:themeColor="text1"/>
          <w:sz w:val="20"/>
          <w:szCs w:val="20"/>
          <w:lang w:val="sr-Cyrl-CS"/>
        </w:rPr>
        <w:t>Место</w:t>
      </w:r>
      <w:r w:rsidR="00FE0B44">
        <w:rPr>
          <w:rFonts w:ascii="Arial" w:eastAsiaTheme="minorHAnsi" w:hAnsi="Arial" w:cs="Arial"/>
          <w:color w:val="000000" w:themeColor="text1"/>
          <w:sz w:val="20"/>
          <w:szCs w:val="20"/>
          <w:lang w:val="sr-Cyrl-CS"/>
        </w:rPr>
        <w:t xml:space="preserve"> и датум: Београд, </w:t>
      </w:r>
      <w:r w:rsidR="00FE0B44">
        <w:rPr>
          <w:rFonts w:ascii="Arial" w:eastAsiaTheme="minorHAnsi" w:hAnsi="Arial" w:cs="Arial"/>
          <w:color w:val="000000" w:themeColor="text1"/>
          <w:sz w:val="20"/>
          <w:szCs w:val="20"/>
          <w:lang w:val="en-US"/>
        </w:rPr>
        <w:t>09.05.2025</w:t>
      </w:r>
      <w:r w:rsidRPr="00866A0C">
        <w:rPr>
          <w:rFonts w:ascii="Arial" w:eastAsiaTheme="minorHAnsi" w:hAnsi="Arial" w:cs="Arial"/>
          <w:color w:val="000000" w:themeColor="text1"/>
          <w:sz w:val="20"/>
          <w:szCs w:val="20"/>
          <w:lang w:val="sr-Cyrl-CS"/>
        </w:rPr>
        <w:t xml:space="preserve">. године           Место и датум: Београд, </w:t>
      </w:r>
      <w:r w:rsidR="00FE0B44">
        <w:rPr>
          <w:rFonts w:ascii="Arial" w:eastAsiaTheme="minorHAnsi" w:hAnsi="Arial" w:cs="Arial"/>
          <w:color w:val="000000" w:themeColor="text1"/>
          <w:sz w:val="20"/>
          <w:szCs w:val="20"/>
          <w:lang w:val="en-US"/>
        </w:rPr>
        <w:t>09.05.2025.</w:t>
      </w:r>
      <w:r w:rsidRPr="00866A0C">
        <w:rPr>
          <w:rFonts w:ascii="Arial" w:eastAsiaTheme="minorHAnsi" w:hAnsi="Arial" w:cs="Arial"/>
          <w:color w:val="000000" w:themeColor="text1"/>
          <w:sz w:val="20"/>
          <w:szCs w:val="20"/>
          <w:lang w:val="sr-Cyrl-CS"/>
        </w:rPr>
        <w:t xml:space="preserve"> године</w:t>
      </w:r>
    </w:p>
    <w:p w14:paraId="76717E11"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w:t>
      </w:r>
    </w:p>
    <w:p w14:paraId="7AFE3D05"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r w:rsidRPr="00866A0C">
        <w:rPr>
          <w:rFonts w:ascii="Arial" w:eastAsiaTheme="minorHAnsi" w:hAnsi="Arial" w:cs="Arial"/>
          <w:color w:val="000000" w:themeColor="text1"/>
          <w:sz w:val="20"/>
          <w:szCs w:val="20"/>
          <w:lang w:val="sr-Cyrl-CS"/>
        </w:rPr>
        <w:t> </w:t>
      </w:r>
    </w:p>
    <w:p w14:paraId="0677E9EC" w14:textId="77777777" w:rsidR="00866A0C" w:rsidRPr="00866A0C" w:rsidRDefault="00866A0C" w:rsidP="00866A0C">
      <w:pPr>
        <w:spacing w:after="0" w:line="240" w:lineRule="auto"/>
        <w:ind w:left="720"/>
        <w:jc w:val="both"/>
        <w:rPr>
          <w:rFonts w:ascii="Arial" w:eastAsiaTheme="minorHAnsi" w:hAnsi="Arial" w:cs="Arial"/>
          <w:color w:val="000000" w:themeColor="text1"/>
          <w:sz w:val="20"/>
          <w:szCs w:val="20"/>
          <w:lang w:val="sr-Cyrl-CS"/>
        </w:rPr>
      </w:pPr>
    </w:p>
    <w:tbl>
      <w:tblPr>
        <w:tblStyle w:val="TableGrid3"/>
        <w:tblW w:w="959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787"/>
      </w:tblGrid>
      <w:tr w:rsidR="00866A0C" w:rsidRPr="00866A0C" w14:paraId="53D51E7E" w14:textId="77777777" w:rsidTr="00AA7C7C">
        <w:trPr>
          <w:trHeight w:val="442"/>
        </w:trPr>
        <w:tc>
          <w:tcPr>
            <w:tcW w:w="4807" w:type="dxa"/>
            <w:vAlign w:val="center"/>
          </w:tcPr>
          <w:p w14:paraId="4155B503" w14:textId="77777777" w:rsidR="00866A0C" w:rsidRPr="00866A0C" w:rsidRDefault="00866A0C" w:rsidP="00866A0C">
            <w:pPr>
              <w:jc w:val="center"/>
              <w:rPr>
                <w:rFonts w:ascii="Arial" w:hAnsi="Arial" w:cs="Arial"/>
                <w:color w:val="000000" w:themeColor="text1"/>
                <w:sz w:val="20"/>
                <w:szCs w:val="20"/>
                <w:lang w:val="sr-Cyrl-CS"/>
              </w:rPr>
            </w:pPr>
            <w:r w:rsidRPr="00866A0C">
              <w:rPr>
                <w:rFonts w:ascii="Arial" w:hAnsi="Arial" w:cs="Arial"/>
                <w:color w:val="000000" w:themeColor="text1"/>
                <w:sz w:val="20"/>
                <w:szCs w:val="20"/>
                <w:lang w:val="sr-Cyrl-CS"/>
              </w:rPr>
              <w:t xml:space="preserve">ЗА ЗАЈМОПРИМЦА  </w:t>
            </w:r>
            <w:r w:rsidRPr="00866A0C">
              <w:rPr>
                <w:rFonts w:ascii="Arial" w:hAnsi="Arial" w:cs="Arial"/>
                <w:sz w:val="20"/>
                <w:szCs w:val="20"/>
                <w:lang w:val="sr-Cyrl-CS"/>
              </w:rPr>
              <w:t>ПРВИ</w:t>
            </w:r>
            <w:r w:rsidRPr="00866A0C">
              <w:rPr>
                <w:rFonts w:ascii="Arial" w:hAnsi="Arial" w:cs="Arial"/>
                <w:color w:val="000000" w:themeColor="text1"/>
                <w:sz w:val="20"/>
                <w:szCs w:val="20"/>
                <w:lang w:val="sr-Cyrl-CS"/>
              </w:rPr>
              <w:t xml:space="preserve"> ПОТПРЕДСЕДНИК ВЛАДЕ И МИНИСТАР ФИНАНСИЈА</w:t>
            </w:r>
          </w:p>
          <w:p w14:paraId="0589DD07" w14:textId="65A3594C" w:rsidR="00866A0C" w:rsidRPr="00866A0C" w:rsidRDefault="00866A0C" w:rsidP="00866A0C">
            <w:pPr>
              <w:jc w:val="center"/>
              <w:rPr>
                <w:rFonts w:ascii="Arial" w:hAnsi="Arial" w:cs="Arial"/>
                <w:color w:val="000000" w:themeColor="text1"/>
                <w:sz w:val="20"/>
                <w:szCs w:val="20"/>
                <w:lang w:val="sr-Cyrl-CS"/>
              </w:rPr>
            </w:pPr>
            <w:r w:rsidRPr="00866A0C">
              <w:rPr>
                <w:rFonts w:ascii="Arial" w:hAnsi="Arial" w:cs="Arial"/>
                <w:color w:val="000000" w:themeColor="text1"/>
                <w:sz w:val="20"/>
                <w:szCs w:val="20"/>
                <w:lang w:val="sr-Cyrl-CS"/>
              </w:rPr>
              <w:t>Синиша Мали</w:t>
            </w:r>
          </w:p>
        </w:tc>
        <w:tc>
          <w:tcPr>
            <w:tcW w:w="4787" w:type="dxa"/>
            <w:vAlign w:val="center"/>
          </w:tcPr>
          <w:p w14:paraId="14F0F76A" w14:textId="77777777" w:rsidR="00866A0C" w:rsidRPr="00866A0C" w:rsidRDefault="00866A0C" w:rsidP="00866A0C">
            <w:pPr>
              <w:jc w:val="center"/>
              <w:rPr>
                <w:rFonts w:ascii="Arial" w:hAnsi="Arial" w:cs="Arial"/>
                <w:color w:val="000000" w:themeColor="text1"/>
                <w:sz w:val="20"/>
                <w:szCs w:val="20"/>
                <w:lang w:val="sr-Cyrl-CS"/>
              </w:rPr>
            </w:pPr>
            <w:r w:rsidRPr="00866A0C">
              <w:rPr>
                <w:rFonts w:ascii="Arial" w:hAnsi="Arial" w:cs="Arial"/>
                <w:color w:val="000000" w:themeColor="text1"/>
                <w:sz w:val="20"/>
                <w:szCs w:val="20"/>
                <w:lang w:val="sr-Cyrl-CS"/>
              </w:rPr>
              <w:t>ЗА БАНКУ</w:t>
            </w:r>
          </w:p>
          <w:p w14:paraId="7B5054E0" w14:textId="77777777" w:rsidR="00866A0C" w:rsidRPr="00866A0C" w:rsidRDefault="00866A0C" w:rsidP="00866A0C">
            <w:pPr>
              <w:jc w:val="center"/>
              <w:rPr>
                <w:rFonts w:ascii="Arial" w:hAnsi="Arial" w:cs="Arial"/>
                <w:color w:val="000000" w:themeColor="text1"/>
                <w:sz w:val="20"/>
                <w:szCs w:val="20"/>
                <w:lang w:val="sr-Cyrl-CS"/>
              </w:rPr>
            </w:pPr>
          </w:p>
        </w:tc>
      </w:tr>
      <w:tr w:rsidR="00866A0C" w:rsidRPr="00866A0C" w14:paraId="68DC679F" w14:textId="77777777" w:rsidTr="00AA7C7C">
        <w:trPr>
          <w:trHeight w:val="675"/>
        </w:trPr>
        <w:tc>
          <w:tcPr>
            <w:tcW w:w="4807" w:type="dxa"/>
          </w:tcPr>
          <w:p w14:paraId="10346368" w14:textId="4D367156" w:rsidR="00866A0C" w:rsidRPr="00866A0C" w:rsidRDefault="00866A0C" w:rsidP="00866A0C">
            <w:pPr>
              <w:jc w:val="center"/>
              <w:rPr>
                <w:rFonts w:ascii="Arial" w:hAnsi="Arial" w:cs="Arial"/>
                <w:sz w:val="20"/>
                <w:szCs w:val="20"/>
              </w:rPr>
            </w:pPr>
            <w:r w:rsidRPr="00866A0C">
              <w:rPr>
                <w:rFonts w:ascii="Arial" w:hAnsi="Arial" w:cs="Arial"/>
                <w:sz w:val="20"/>
                <w:szCs w:val="20"/>
              </w:rPr>
              <w:t>___________________________</w:t>
            </w:r>
          </w:p>
        </w:tc>
        <w:tc>
          <w:tcPr>
            <w:tcW w:w="4787" w:type="dxa"/>
          </w:tcPr>
          <w:p w14:paraId="44D635D8" w14:textId="77777777" w:rsidR="00866A0C" w:rsidRPr="00866A0C" w:rsidRDefault="00866A0C" w:rsidP="00866A0C">
            <w:pPr>
              <w:jc w:val="center"/>
              <w:rPr>
                <w:rFonts w:ascii="Arial" w:hAnsi="Arial" w:cs="Arial"/>
                <w:color w:val="000000" w:themeColor="text1"/>
                <w:sz w:val="20"/>
                <w:szCs w:val="20"/>
                <w:lang w:val="sr-Cyrl-RS"/>
              </w:rPr>
            </w:pPr>
            <w:r w:rsidRPr="00866A0C">
              <w:rPr>
                <w:rFonts w:ascii="Arial" w:hAnsi="Arial" w:cs="Arial"/>
                <w:sz w:val="20"/>
                <w:szCs w:val="20"/>
              </w:rPr>
              <w:t xml:space="preserve">ДИРЕКТОР </w:t>
            </w:r>
            <w:r w:rsidRPr="00866A0C">
              <w:rPr>
                <w:rFonts w:ascii="Arial" w:hAnsi="Arial" w:cs="Arial"/>
                <w:sz w:val="20"/>
                <w:szCs w:val="20"/>
                <w:lang w:val="sr-Cyrl-RS"/>
              </w:rPr>
              <w:t>ЗА ПОСЛОВАЊЕ СА ВЕЛИКИМ ПРИВРЕДНИМ СУБЈЕКТИМА</w:t>
            </w:r>
          </w:p>
        </w:tc>
      </w:tr>
      <w:tr w:rsidR="00866A0C" w:rsidRPr="00866A0C" w14:paraId="1EFA9939" w14:textId="77777777" w:rsidTr="00AA7C7C">
        <w:trPr>
          <w:trHeight w:val="664"/>
        </w:trPr>
        <w:tc>
          <w:tcPr>
            <w:tcW w:w="4807" w:type="dxa"/>
            <w:vAlign w:val="center"/>
          </w:tcPr>
          <w:p w14:paraId="6A803BE4" w14:textId="46A5B85D" w:rsidR="00866A0C" w:rsidRPr="00866A0C" w:rsidRDefault="00866A0C" w:rsidP="00866A0C">
            <w:pPr>
              <w:jc w:val="center"/>
              <w:rPr>
                <w:rFonts w:ascii="Arial" w:hAnsi="Arial" w:cs="Arial"/>
                <w:color w:val="000000" w:themeColor="text1"/>
                <w:sz w:val="20"/>
                <w:szCs w:val="20"/>
                <w:lang w:val="sr-Cyrl-CS"/>
              </w:rPr>
            </w:pPr>
          </w:p>
        </w:tc>
        <w:tc>
          <w:tcPr>
            <w:tcW w:w="4787" w:type="dxa"/>
            <w:vAlign w:val="center"/>
          </w:tcPr>
          <w:p w14:paraId="4704624A" w14:textId="2D5D4F70" w:rsidR="00866A0C" w:rsidRPr="00866A0C" w:rsidRDefault="00866A0C" w:rsidP="00866A0C">
            <w:pPr>
              <w:jc w:val="center"/>
              <w:rPr>
                <w:rFonts w:ascii="Arial" w:hAnsi="Arial" w:cs="Arial"/>
                <w:i/>
                <w:color w:val="000000" w:themeColor="text1"/>
                <w:sz w:val="20"/>
                <w:szCs w:val="20"/>
                <w:lang w:val="sr-Cyrl-CS"/>
              </w:rPr>
            </w:pPr>
            <w:r w:rsidRPr="00866A0C">
              <w:rPr>
                <w:rFonts w:ascii="Arial" w:hAnsi="Arial" w:cs="Arial"/>
                <w:i/>
                <w:color w:val="000000" w:themeColor="text1"/>
                <w:sz w:val="20"/>
                <w:szCs w:val="20"/>
                <w:lang w:val="sr-Cyrl-CS"/>
              </w:rPr>
              <w:t>Данијел Стојановић</w:t>
            </w:r>
          </w:p>
          <w:p w14:paraId="0E3B961D" w14:textId="77777777" w:rsidR="00866A0C" w:rsidRPr="00866A0C" w:rsidRDefault="00866A0C" w:rsidP="00866A0C">
            <w:pPr>
              <w:jc w:val="center"/>
              <w:rPr>
                <w:rFonts w:ascii="Arial" w:hAnsi="Arial" w:cs="Arial"/>
                <w:color w:val="000000" w:themeColor="text1"/>
                <w:sz w:val="20"/>
                <w:szCs w:val="20"/>
                <w:lang w:val="sr-Cyrl-CS"/>
              </w:rPr>
            </w:pPr>
            <w:r w:rsidRPr="00866A0C">
              <w:rPr>
                <w:rFonts w:ascii="Arial" w:hAnsi="Arial" w:cs="Arial"/>
                <w:color w:val="000000" w:themeColor="text1"/>
                <w:sz w:val="20"/>
                <w:szCs w:val="20"/>
                <w:lang w:val="sr-Cyrl-CS"/>
              </w:rPr>
              <w:t>__________________________</w:t>
            </w:r>
          </w:p>
        </w:tc>
      </w:tr>
      <w:tr w:rsidR="00866A0C" w:rsidRPr="00866A0C" w14:paraId="2EE0DED2" w14:textId="77777777" w:rsidTr="00AA7C7C">
        <w:trPr>
          <w:trHeight w:val="221"/>
        </w:trPr>
        <w:tc>
          <w:tcPr>
            <w:tcW w:w="4807" w:type="dxa"/>
            <w:vAlign w:val="center"/>
          </w:tcPr>
          <w:p w14:paraId="0ED4EC83" w14:textId="77777777" w:rsidR="00866A0C" w:rsidRPr="00866A0C" w:rsidRDefault="00866A0C" w:rsidP="00866A0C">
            <w:pPr>
              <w:jc w:val="center"/>
              <w:rPr>
                <w:rFonts w:ascii="Arial" w:hAnsi="Arial" w:cs="Arial"/>
                <w:i/>
                <w:sz w:val="20"/>
                <w:lang w:eastAsia="ar-SA"/>
              </w:rPr>
            </w:pPr>
          </w:p>
        </w:tc>
        <w:tc>
          <w:tcPr>
            <w:tcW w:w="4787" w:type="dxa"/>
            <w:vAlign w:val="center"/>
          </w:tcPr>
          <w:p w14:paraId="19821809" w14:textId="77777777" w:rsidR="00866A0C" w:rsidRPr="00866A0C" w:rsidRDefault="00866A0C" w:rsidP="004006BD">
            <w:pPr>
              <w:rPr>
                <w:rFonts w:ascii="Arial" w:hAnsi="Arial" w:cs="Arial"/>
                <w:color w:val="000000" w:themeColor="text1"/>
                <w:sz w:val="20"/>
                <w:szCs w:val="20"/>
                <w:lang w:val="sr-Cyrl-CS"/>
              </w:rPr>
            </w:pPr>
          </w:p>
        </w:tc>
      </w:tr>
      <w:tr w:rsidR="00866A0C" w:rsidRPr="00866A0C" w14:paraId="737051E4" w14:textId="77777777" w:rsidTr="00AA7C7C">
        <w:trPr>
          <w:trHeight w:val="233"/>
        </w:trPr>
        <w:tc>
          <w:tcPr>
            <w:tcW w:w="4807" w:type="dxa"/>
            <w:vAlign w:val="center"/>
          </w:tcPr>
          <w:p w14:paraId="03D0F80F" w14:textId="77777777" w:rsidR="00866A0C" w:rsidRPr="00866A0C" w:rsidRDefault="00866A0C" w:rsidP="00866A0C">
            <w:pPr>
              <w:jc w:val="center"/>
              <w:rPr>
                <w:rFonts w:ascii="Arial" w:hAnsi="Arial" w:cs="Arial"/>
                <w:i/>
                <w:sz w:val="20"/>
                <w:lang w:eastAsia="ar-SA"/>
              </w:rPr>
            </w:pPr>
          </w:p>
        </w:tc>
        <w:tc>
          <w:tcPr>
            <w:tcW w:w="4787" w:type="dxa"/>
            <w:vAlign w:val="center"/>
          </w:tcPr>
          <w:p w14:paraId="02C8FBCB" w14:textId="77777777" w:rsidR="00866A0C" w:rsidRPr="00866A0C" w:rsidRDefault="00866A0C" w:rsidP="004006BD">
            <w:pPr>
              <w:rPr>
                <w:rFonts w:ascii="Arial" w:hAnsi="Arial" w:cs="Arial"/>
                <w:color w:val="000000" w:themeColor="text1"/>
                <w:sz w:val="20"/>
                <w:szCs w:val="20"/>
                <w:lang w:val="sr-Cyrl-CS"/>
              </w:rPr>
            </w:pPr>
          </w:p>
        </w:tc>
      </w:tr>
      <w:tr w:rsidR="00866A0C" w:rsidRPr="00866A0C" w14:paraId="1E841CF3" w14:textId="77777777" w:rsidTr="00AA7C7C">
        <w:trPr>
          <w:trHeight w:val="885"/>
        </w:trPr>
        <w:tc>
          <w:tcPr>
            <w:tcW w:w="4807" w:type="dxa"/>
            <w:vAlign w:val="center"/>
          </w:tcPr>
          <w:p w14:paraId="37028C0C" w14:textId="77777777" w:rsidR="00866A0C" w:rsidRPr="00866A0C" w:rsidRDefault="00866A0C" w:rsidP="00866A0C">
            <w:pPr>
              <w:jc w:val="center"/>
              <w:rPr>
                <w:rFonts w:ascii="Arial" w:hAnsi="Arial" w:cs="Arial"/>
                <w:i/>
                <w:sz w:val="20"/>
                <w:lang w:eastAsia="ar-SA"/>
              </w:rPr>
            </w:pPr>
          </w:p>
        </w:tc>
        <w:tc>
          <w:tcPr>
            <w:tcW w:w="4787" w:type="dxa"/>
            <w:vAlign w:val="center"/>
          </w:tcPr>
          <w:p w14:paraId="77C36845" w14:textId="77777777" w:rsidR="00866A0C" w:rsidRPr="00866A0C" w:rsidRDefault="00866A0C" w:rsidP="00866A0C">
            <w:pPr>
              <w:jc w:val="center"/>
              <w:rPr>
                <w:rFonts w:ascii="Arial" w:hAnsi="Arial" w:cs="Arial"/>
                <w:color w:val="000000" w:themeColor="text1"/>
                <w:sz w:val="20"/>
                <w:szCs w:val="20"/>
                <w:lang w:val="sr-Cyrl-CS"/>
              </w:rPr>
            </w:pPr>
            <w:r w:rsidRPr="00866A0C">
              <w:rPr>
                <w:rFonts w:ascii="Arial" w:hAnsi="Arial" w:cs="Arial"/>
                <w:color w:val="000000" w:themeColor="text1"/>
                <w:sz w:val="20"/>
                <w:szCs w:val="20"/>
                <w:lang w:val="sr-Cyrl-CS"/>
              </w:rPr>
              <w:t>ДИРЕКТОР ЗА УПРАВЉАЊЕ ПРОЈЕКТНИМ ФИНАНСИРАЊЕМ И ПРОЈЕКТИМА ЈАВНЕ УПРАВЕ И ДРЖАВНИХ ПРЕДУЗЕЋА</w:t>
            </w:r>
          </w:p>
        </w:tc>
      </w:tr>
      <w:tr w:rsidR="00866A0C" w:rsidRPr="00866A0C" w14:paraId="5377E132" w14:textId="77777777" w:rsidTr="00AA7C7C">
        <w:trPr>
          <w:trHeight w:val="897"/>
        </w:trPr>
        <w:tc>
          <w:tcPr>
            <w:tcW w:w="4807" w:type="dxa"/>
            <w:vAlign w:val="center"/>
          </w:tcPr>
          <w:p w14:paraId="4D574FBF" w14:textId="77777777" w:rsidR="00866A0C" w:rsidRPr="00866A0C" w:rsidRDefault="00866A0C" w:rsidP="00866A0C">
            <w:pPr>
              <w:rPr>
                <w:rFonts w:ascii="Arial" w:hAnsi="Arial" w:cs="Arial"/>
                <w:i/>
                <w:sz w:val="20"/>
                <w:lang w:val="sr-Cyrl-RS" w:eastAsia="ar-SA"/>
              </w:rPr>
            </w:pPr>
          </w:p>
        </w:tc>
        <w:tc>
          <w:tcPr>
            <w:tcW w:w="4787" w:type="dxa"/>
            <w:vAlign w:val="center"/>
          </w:tcPr>
          <w:p w14:paraId="42D109AA" w14:textId="77777777" w:rsidR="00866A0C" w:rsidRPr="00866A0C" w:rsidRDefault="00866A0C" w:rsidP="00866A0C">
            <w:pPr>
              <w:jc w:val="center"/>
              <w:rPr>
                <w:rFonts w:ascii="Arial" w:hAnsi="Arial" w:cs="Arial"/>
                <w:i/>
                <w:color w:val="000000" w:themeColor="text1"/>
                <w:sz w:val="20"/>
                <w:szCs w:val="20"/>
                <w:lang w:val="sr-Cyrl-CS"/>
              </w:rPr>
            </w:pPr>
            <w:r w:rsidRPr="00866A0C">
              <w:rPr>
                <w:rFonts w:ascii="Arial" w:hAnsi="Arial" w:cs="Arial"/>
                <w:i/>
                <w:color w:val="000000" w:themeColor="text1"/>
                <w:sz w:val="20"/>
                <w:szCs w:val="20"/>
                <w:lang w:val="sr-Cyrl-CS"/>
              </w:rPr>
              <w:t>Оливера Џелић</w:t>
            </w:r>
          </w:p>
          <w:p w14:paraId="686C8497" w14:textId="77777777" w:rsidR="00866A0C" w:rsidRPr="00866A0C" w:rsidRDefault="00866A0C" w:rsidP="00866A0C">
            <w:pPr>
              <w:jc w:val="center"/>
              <w:rPr>
                <w:rFonts w:ascii="Arial" w:hAnsi="Arial" w:cs="Arial"/>
                <w:i/>
                <w:color w:val="000000" w:themeColor="text1"/>
                <w:sz w:val="20"/>
                <w:szCs w:val="20"/>
                <w:lang w:val="sr-Cyrl-CS"/>
              </w:rPr>
            </w:pPr>
          </w:p>
          <w:p w14:paraId="262779C9" w14:textId="77777777" w:rsidR="00866A0C" w:rsidRPr="00866A0C" w:rsidRDefault="00866A0C" w:rsidP="00866A0C">
            <w:pPr>
              <w:jc w:val="center"/>
              <w:rPr>
                <w:rFonts w:ascii="Arial" w:hAnsi="Arial" w:cs="Arial"/>
                <w:i/>
                <w:color w:val="000000" w:themeColor="text1"/>
                <w:sz w:val="20"/>
                <w:szCs w:val="20"/>
                <w:lang w:val="sr-Cyrl-CS"/>
              </w:rPr>
            </w:pPr>
            <w:r w:rsidRPr="00866A0C">
              <w:rPr>
                <w:rFonts w:ascii="Arial" w:hAnsi="Arial" w:cs="Arial"/>
                <w:i/>
                <w:color w:val="000000" w:themeColor="text1"/>
                <w:sz w:val="20"/>
                <w:szCs w:val="20"/>
                <w:lang w:val="sr-Cyrl-CS"/>
              </w:rPr>
              <w:t>______________________</w:t>
            </w:r>
          </w:p>
        </w:tc>
      </w:tr>
    </w:tbl>
    <w:p w14:paraId="666528B3" w14:textId="26F6844D" w:rsidR="00866A0C" w:rsidRPr="00866A0C" w:rsidRDefault="00866A0C" w:rsidP="00866A0C">
      <w:pPr>
        <w:spacing w:after="0" w:line="240" w:lineRule="auto"/>
        <w:ind w:left="720"/>
        <w:jc w:val="both"/>
        <w:rPr>
          <w:rFonts w:ascii="Segoe UI" w:eastAsiaTheme="minorHAnsi" w:hAnsi="Segoe UI" w:cs="Segoe UI"/>
          <w:color w:val="000000" w:themeColor="text1"/>
          <w:sz w:val="30"/>
          <w:szCs w:val="30"/>
          <w:lang w:val="sr-Cyrl-CS"/>
        </w:rPr>
      </w:pPr>
      <w:r>
        <w:rPr>
          <w:rFonts w:ascii="Arial" w:eastAsiaTheme="minorHAnsi" w:hAnsi="Arial" w:cs="Arial"/>
          <w:color w:val="000000" w:themeColor="text1"/>
          <w:sz w:val="20"/>
          <w:szCs w:val="20"/>
          <w:lang w:val="sr-Cyrl-CS"/>
        </w:rPr>
        <w:lastRenderedPageBreak/>
        <w:t xml:space="preserve">                         </w:t>
      </w:r>
      <w:r w:rsidRPr="00866A0C">
        <w:rPr>
          <w:rFonts w:ascii="Arial" w:eastAsiaTheme="minorHAnsi" w:hAnsi="Arial" w:cs="Arial"/>
          <w:color w:val="000000" w:themeColor="text1"/>
          <w:sz w:val="20"/>
          <w:szCs w:val="20"/>
          <w:lang w:val="sr-Cyrl-CS"/>
        </w:rPr>
        <w:t xml:space="preserve">                                                    </w:t>
      </w:r>
    </w:p>
    <w:p w14:paraId="51D74C65" w14:textId="77777777" w:rsidR="00866A0C" w:rsidRPr="00866A0C" w:rsidRDefault="00866A0C" w:rsidP="00866A0C">
      <w:pPr>
        <w:ind w:left="720"/>
        <w:contextualSpacing/>
        <w:jc w:val="both"/>
        <w:rPr>
          <w:rFonts w:ascii="Arial" w:eastAsiaTheme="minorHAnsi" w:hAnsi="Arial" w:cs="Arial"/>
          <w:sz w:val="20"/>
          <w:szCs w:val="20"/>
          <w:lang w:val="sr-Cyrl-RS"/>
        </w:rPr>
      </w:pPr>
      <w:r w:rsidRPr="00866A0C">
        <w:rPr>
          <w:rFonts w:ascii="Arial" w:eastAsiaTheme="minorHAnsi" w:hAnsi="Arial" w:cs="Arial"/>
          <w:sz w:val="20"/>
          <w:szCs w:val="20"/>
          <w:lang w:val="sr-Cyrl-CS"/>
        </w:rPr>
        <w:t xml:space="preserve"> </w:t>
      </w:r>
      <w:r w:rsidRPr="00866A0C">
        <w:rPr>
          <w:rFonts w:ascii="Arial" w:eastAsiaTheme="minorHAnsi" w:hAnsi="Arial" w:cs="Arial"/>
          <w:sz w:val="20"/>
          <w:szCs w:val="20"/>
          <w:lang w:val="en-US"/>
        </w:rPr>
        <w:t xml:space="preserve">                                                                       </w:t>
      </w:r>
    </w:p>
    <w:p w14:paraId="4B9A91B6"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ПРИЛОГ бр. 1</w:t>
      </w:r>
    </w:p>
    <w:p w14:paraId="03D4D6DA"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w:t>
      </w:r>
    </w:p>
    <w:p w14:paraId="1743139C"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ЗАХТЕВ ЗА ИСПЛАТУ КРЕДИТА ______________</w:t>
      </w:r>
    </w:p>
    <w:p w14:paraId="0353F3CF"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(датум)</w:t>
      </w:r>
    </w:p>
    <w:p w14:paraId="46BCFF26"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w:t>
      </w:r>
    </w:p>
    <w:p w14:paraId="5B95426D"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Уговор о дугорочном инвестиционом кредиту бр. _________</w:t>
      </w:r>
    </w:p>
    <w:p w14:paraId="0822367A"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w:t>
      </w:r>
    </w:p>
    <w:p w14:paraId="2390A8DC" w14:textId="77777777" w:rsidR="00866A0C" w:rsidRPr="00866A0C" w:rsidRDefault="00866A0C" w:rsidP="00866A0C">
      <w:pPr>
        <w:ind w:left="720"/>
        <w:contextualSpacing/>
        <w:jc w:val="both"/>
        <w:rPr>
          <w:rFonts w:ascii="Arial" w:eastAsiaTheme="minorHAnsi" w:hAnsi="Arial" w:cs="Arial"/>
          <w:sz w:val="20"/>
          <w:szCs w:val="20"/>
          <w:lang w:val="sr-Cyrl-CS"/>
        </w:rPr>
      </w:pPr>
    </w:p>
    <w:p w14:paraId="7FAABEC8"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Поштовани,</w:t>
      </w:r>
    </w:p>
    <w:p w14:paraId="54660E11"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w:t>
      </w:r>
    </w:p>
    <w:p w14:paraId="6A36957D"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Са позивом на горњи Уговор, овим вас обавештавамо да желимо да извршимо повлачење средстава по овом Кредиту са датумом валуте _______.20__. у износу од РСД ____________ са напоменом за Пројекат, поддеоница______________________.</w:t>
      </w:r>
    </w:p>
    <w:p w14:paraId="4B11CB27"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w:t>
      </w:r>
    </w:p>
    <w:p w14:paraId="04AB82D8"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Горе наведена средства користиће се искључиво за сврхе одређене Уговором.</w:t>
      </w:r>
    </w:p>
    <w:p w14:paraId="42C74C9E"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w:t>
      </w:r>
    </w:p>
    <w:p w14:paraId="72D3336B"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Горе наведени износ треба уплатити на наш рачун бр. __________________</w:t>
      </w:r>
    </w:p>
    <w:p w14:paraId="2B6890E6"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w:t>
      </w:r>
    </w:p>
    <w:p w14:paraId="658B994D"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Овим потврђујемо да на датум овог захтева:</w:t>
      </w:r>
    </w:p>
    <w:p w14:paraId="3784FF55"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а) испуњавамо све наше обавезе по Уговору,</w:t>
      </w:r>
    </w:p>
    <w:p w14:paraId="044429FD" w14:textId="0CEE2B20"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xml:space="preserve">б) да обавезујуће изјаве и тврдње, наведене у члану 10. Уговора, на датум овог захтева, настављају </w:t>
      </w:r>
      <w:r w:rsidR="00D84FEF">
        <w:rPr>
          <w:rFonts w:ascii="Arial" w:eastAsiaTheme="minorHAnsi" w:hAnsi="Arial" w:cs="Arial"/>
          <w:sz w:val="20"/>
          <w:szCs w:val="20"/>
          <w:lang w:val="sr-Cyrl-CS"/>
        </w:rPr>
        <w:br/>
      </w:r>
      <w:r w:rsidRPr="00866A0C">
        <w:rPr>
          <w:rFonts w:ascii="Arial" w:eastAsiaTheme="minorHAnsi" w:hAnsi="Arial" w:cs="Arial"/>
          <w:sz w:val="20"/>
          <w:szCs w:val="20"/>
          <w:lang w:val="sr-Cyrl-CS"/>
        </w:rPr>
        <w:t>да важе и да су у њима наведени подаци тачни,</w:t>
      </w:r>
    </w:p>
    <w:p w14:paraId="460B74AD"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в) да се није догодио никакав Прекршај нити се јавила могућност Прекршаја, према одредбама члана 11. Уговора,</w:t>
      </w:r>
    </w:p>
    <w:p w14:paraId="4087D94E" w14:textId="39867D55"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xml:space="preserve">г) да су сви релевантни претходни услови наведени у члану 5 Уговора испуњени. Термини </w:t>
      </w:r>
      <w:r w:rsidR="00D84FEF">
        <w:rPr>
          <w:rFonts w:ascii="Arial" w:eastAsiaTheme="minorHAnsi" w:hAnsi="Arial" w:cs="Arial"/>
          <w:sz w:val="20"/>
          <w:szCs w:val="20"/>
          <w:lang w:val="sr-Cyrl-CS"/>
        </w:rPr>
        <w:br/>
      </w:r>
      <w:r w:rsidRPr="00866A0C">
        <w:rPr>
          <w:rFonts w:ascii="Arial" w:eastAsiaTheme="minorHAnsi" w:hAnsi="Arial" w:cs="Arial"/>
          <w:sz w:val="20"/>
          <w:szCs w:val="20"/>
          <w:lang w:val="sr-Cyrl-CS"/>
        </w:rPr>
        <w:t>дефинисани у Уговору имају исто значење у овом захтеву.</w:t>
      </w:r>
    </w:p>
    <w:p w14:paraId="36A8519D"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w:t>
      </w:r>
    </w:p>
    <w:p w14:paraId="724FCA6D" w14:textId="77777777" w:rsidR="00866A0C" w:rsidRPr="00866A0C" w:rsidRDefault="00866A0C" w:rsidP="00866A0C">
      <w:pPr>
        <w:ind w:left="720"/>
        <w:contextualSpacing/>
        <w:jc w:val="both"/>
        <w:rPr>
          <w:rFonts w:ascii="Arial" w:eastAsiaTheme="minorHAnsi" w:hAnsi="Arial" w:cs="Arial"/>
          <w:sz w:val="20"/>
          <w:szCs w:val="20"/>
          <w:lang w:val="sr-Cyrl-CS"/>
        </w:rPr>
      </w:pPr>
    </w:p>
    <w:p w14:paraId="7A15A1FE"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За рачун Корисника кредита _________________________________</w:t>
      </w:r>
    </w:p>
    <w:p w14:paraId="2AF48AC8" w14:textId="77777777" w:rsidR="00866A0C" w:rsidRPr="00866A0C" w:rsidRDefault="00866A0C" w:rsidP="00866A0C">
      <w:pPr>
        <w:ind w:left="720"/>
        <w:contextualSpacing/>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w:t>
      </w:r>
    </w:p>
    <w:p w14:paraId="027CD7BA" w14:textId="77777777" w:rsidR="00866A0C" w:rsidRPr="00866A0C" w:rsidRDefault="00866A0C" w:rsidP="00866A0C">
      <w:pPr>
        <w:ind w:left="720"/>
        <w:contextualSpacing/>
        <w:rPr>
          <w:rFonts w:ascii="Arial" w:eastAsiaTheme="minorHAnsi" w:hAnsi="Arial" w:cs="Arial"/>
          <w:sz w:val="20"/>
          <w:szCs w:val="20"/>
          <w:lang w:val="sr-Cyrl-CS"/>
        </w:rPr>
      </w:pPr>
    </w:p>
    <w:p w14:paraId="0A6CAF79" w14:textId="77777777" w:rsidR="00866A0C" w:rsidRPr="00866A0C" w:rsidRDefault="00866A0C" w:rsidP="00866A0C">
      <w:pPr>
        <w:ind w:left="720"/>
        <w:contextualSpacing/>
        <w:jc w:val="both"/>
        <w:rPr>
          <w:rFonts w:ascii="Arial" w:eastAsiaTheme="minorHAnsi" w:hAnsi="Arial" w:cs="Arial"/>
          <w:sz w:val="20"/>
          <w:szCs w:val="20"/>
          <w:lang w:val="sr-Cyrl-CS"/>
        </w:rPr>
      </w:pPr>
    </w:p>
    <w:p w14:paraId="06947195" w14:textId="77777777" w:rsidR="00866A0C" w:rsidRPr="00866A0C" w:rsidRDefault="00866A0C" w:rsidP="00866A0C">
      <w:pPr>
        <w:ind w:left="720"/>
        <w:contextualSpacing/>
        <w:jc w:val="both"/>
        <w:rPr>
          <w:rFonts w:ascii="Arial" w:eastAsiaTheme="minorHAnsi" w:hAnsi="Arial" w:cs="Arial"/>
          <w:sz w:val="20"/>
          <w:szCs w:val="20"/>
          <w:lang w:val="sr-Cyrl-CS"/>
        </w:rPr>
      </w:pPr>
    </w:p>
    <w:p w14:paraId="07D60337" w14:textId="77777777" w:rsidR="00866A0C" w:rsidRPr="00866A0C" w:rsidRDefault="00866A0C" w:rsidP="00866A0C">
      <w:pPr>
        <w:ind w:left="720"/>
        <w:contextualSpacing/>
        <w:jc w:val="both"/>
        <w:rPr>
          <w:rFonts w:ascii="Arial" w:eastAsiaTheme="minorHAnsi" w:hAnsi="Arial" w:cs="Arial"/>
          <w:sz w:val="20"/>
          <w:szCs w:val="20"/>
          <w:lang w:val="sr-Cyrl-CS"/>
        </w:rPr>
      </w:pPr>
    </w:p>
    <w:p w14:paraId="38461200" w14:textId="77777777" w:rsidR="00866A0C" w:rsidRPr="00866A0C" w:rsidRDefault="00866A0C" w:rsidP="00866A0C">
      <w:pPr>
        <w:ind w:left="720"/>
        <w:contextualSpacing/>
        <w:jc w:val="both"/>
        <w:rPr>
          <w:rFonts w:ascii="Arial" w:eastAsiaTheme="minorHAnsi" w:hAnsi="Arial" w:cs="Arial"/>
          <w:sz w:val="20"/>
          <w:szCs w:val="20"/>
          <w:lang w:val="sr-Cyrl-CS"/>
        </w:rPr>
      </w:pPr>
    </w:p>
    <w:p w14:paraId="732D65B3" w14:textId="77777777" w:rsidR="00866A0C" w:rsidRPr="00866A0C" w:rsidRDefault="00866A0C" w:rsidP="00866A0C">
      <w:pPr>
        <w:ind w:left="720"/>
        <w:contextualSpacing/>
        <w:jc w:val="both"/>
        <w:rPr>
          <w:rFonts w:ascii="Arial" w:eastAsiaTheme="minorHAnsi" w:hAnsi="Arial" w:cs="Arial"/>
          <w:sz w:val="20"/>
          <w:szCs w:val="20"/>
          <w:lang w:val="sr-Cyrl-CS"/>
        </w:rPr>
      </w:pPr>
    </w:p>
    <w:p w14:paraId="2FA38189" w14:textId="77777777" w:rsidR="00866A0C" w:rsidRPr="00866A0C" w:rsidRDefault="00866A0C" w:rsidP="00866A0C">
      <w:pPr>
        <w:ind w:left="720"/>
        <w:contextualSpacing/>
        <w:jc w:val="both"/>
        <w:rPr>
          <w:rFonts w:ascii="Arial" w:eastAsiaTheme="minorHAnsi" w:hAnsi="Arial" w:cs="Arial"/>
          <w:sz w:val="20"/>
          <w:szCs w:val="20"/>
          <w:lang w:val="sr-Cyrl-CS"/>
        </w:rPr>
      </w:pPr>
    </w:p>
    <w:p w14:paraId="2EAD21D6" w14:textId="77777777" w:rsidR="00866A0C" w:rsidRPr="00866A0C" w:rsidRDefault="00866A0C" w:rsidP="00866A0C">
      <w:pPr>
        <w:ind w:left="720"/>
        <w:contextualSpacing/>
        <w:jc w:val="both"/>
        <w:rPr>
          <w:rFonts w:ascii="Arial" w:eastAsiaTheme="minorHAnsi" w:hAnsi="Arial" w:cs="Arial"/>
          <w:sz w:val="20"/>
          <w:szCs w:val="20"/>
          <w:lang w:val="sr-Cyrl-CS"/>
        </w:rPr>
      </w:pPr>
    </w:p>
    <w:p w14:paraId="42F7EA01" w14:textId="77777777" w:rsidR="00866A0C" w:rsidRPr="00866A0C" w:rsidRDefault="00866A0C" w:rsidP="00866A0C">
      <w:pPr>
        <w:ind w:left="720"/>
        <w:contextualSpacing/>
        <w:jc w:val="both"/>
        <w:rPr>
          <w:rFonts w:ascii="Arial" w:eastAsiaTheme="minorHAnsi" w:hAnsi="Arial" w:cs="Arial"/>
          <w:sz w:val="20"/>
          <w:szCs w:val="20"/>
          <w:lang w:val="sr-Cyrl-CS"/>
        </w:rPr>
      </w:pPr>
    </w:p>
    <w:p w14:paraId="3BD90B58" w14:textId="77777777" w:rsidR="00866A0C" w:rsidRPr="00866A0C" w:rsidRDefault="00866A0C" w:rsidP="00866A0C">
      <w:pPr>
        <w:ind w:left="720"/>
        <w:contextualSpacing/>
        <w:jc w:val="both"/>
        <w:rPr>
          <w:rFonts w:ascii="Arial" w:eastAsiaTheme="minorHAnsi" w:hAnsi="Arial" w:cs="Arial"/>
          <w:sz w:val="20"/>
          <w:szCs w:val="20"/>
          <w:lang w:val="sr-Cyrl-CS"/>
        </w:rPr>
      </w:pPr>
    </w:p>
    <w:p w14:paraId="109506CA" w14:textId="77777777" w:rsidR="00866A0C" w:rsidRPr="00866A0C" w:rsidRDefault="00866A0C" w:rsidP="00866A0C">
      <w:pPr>
        <w:ind w:left="720"/>
        <w:contextualSpacing/>
        <w:jc w:val="both"/>
        <w:rPr>
          <w:rFonts w:ascii="Arial" w:eastAsiaTheme="minorHAnsi" w:hAnsi="Arial" w:cs="Arial"/>
          <w:sz w:val="20"/>
          <w:szCs w:val="20"/>
          <w:lang w:val="sr-Cyrl-CS"/>
        </w:rPr>
      </w:pPr>
    </w:p>
    <w:p w14:paraId="4032225D" w14:textId="77777777" w:rsidR="00866A0C" w:rsidRPr="00866A0C" w:rsidRDefault="00866A0C" w:rsidP="00866A0C">
      <w:pPr>
        <w:ind w:left="720"/>
        <w:contextualSpacing/>
        <w:jc w:val="both"/>
        <w:rPr>
          <w:rFonts w:ascii="Arial" w:eastAsiaTheme="minorHAnsi" w:hAnsi="Arial" w:cs="Arial"/>
          <w:sz w:val="20"/>
          <w:szCs w:val="20"/>
          <w:lang w:val="sr-Cyrl-CS"/>
        </w:rPr>
      </w:pPr>
    </w:p>
    <w:p w14:paraId="5E5D1F5A" w14:textId="77777777" w:rsidR="00866A0C" w:rsidRPr="00866A0C" w:rsidRDefault="00866A0C" w:rsidP="00866A0C">
      <w:pPr>
        <w:ind w:left="720"/>
        <w:contextualSpacing/>
        <w:jc w:val="both"/>
        <w:rPr>
          <w:rFonts w:ascii="Arial" w:eastAsiaTheme="minorHAnsi" w:hAnsi="Arial" w:cs="Arial"/>
          <w:sz w:val="20"/>
          <w:szCs w:val="20"/>
          <w:lang w:val="sr-Cyrl-CS"/>
        </w:rPr>
      </w:pPr>
    </w:p>
    <w:p w14:paraId="3588AA2B" w14:textId="77777777" w:rsidR="00866A0C" w:rsidRPr="00866A0C" w:rsidRDefault="00866A0C" w:rsidP="00866A0C">
      <w:pPr>
        <w:ind w:left="720"/>
        <w:contextualSpacing/>
        <w:jc w:val="both"/>
        <w:rPr>
          <w:rFonts w:ascii="Arial" w:eastAsiaTheme="minorHAnsi" w:hAnsi="Arial" w:cs="Arial"/>
          <w:sz w:val="20"/>
          <w:szCs w:val="20"/>
          <w:lang w:val="sr-Cyrl-CS"/>
        </w:rPr>
      </w:pPr>
    </w:p>
    <w:p w14:paraId="56F511BB" w14:textId="77777777" w:rsidR="00866A0C" w:rsidRPr="00866A0C" w:rsidRDefault="00866A0C" w:rsidP="00866A0C">
      <w:pPr>
        <w:ind w:left="720"/>
        <w:contextualSpacing/>
        <w:jc w:val="both"/>
        <w:rPr>
          <w:rFonts w:ascii="Arial" w:eastAsiaTheme="minorHAnsi" w:hAnsi="Arial" w:cs="Arial"/>
          <w:sz w:val="20"/>
          <w:szCs w:val="20"/>
          <w:lang w:val="sr-Cyrl-CS"/>
        </w:rPr>
      </w:pPr>
    </w:p>
    <w:p w14:paraId="12B6122C" w14:textId="77777777" w:rsidR="00866A0C" w:rsidRPr="00866A0C" w:rsidRDefault="00866A0C" w:rsidP="00866A0C">
      <w:pPr>
        <w:ind w:left="720"/>
        <w:contextualSpacing/>
        <w:jc w:val="both"/>
        <w:rPr>
          <w:rFonts w:ascii="Arial" w:eastAsiaTheme="minorHAnsi" w:hAnsi="Arial" w:cs="Arial"/>
          <w:sz w:val="20"/>
          <w:szCs w:val="20"/>
          <w:lang w:val="sr-Cyrl-CS"/>
        </w:rPr>
      </w:pPr>
    </w:p>
    <w:p w14:paraId="6DE3D04A" w14:textId="2DC58EFF" w:rsidR="00866A0C" w:rsidRDefault="00866A0C" w:rsidP="00866A0C">
      <w:pPr>
        <w:ind w:left="720"/>
        <w:contextualSpacing/>
        <w:jc w:val="both"/>
        <w:rPr>
          <w:rFonts w:ascii="Arial" w:eastAsiaTheme="minorHAnsi" w:hAnsi="Arial" w:cs="Arial"/>
          <w:sz w:val="20"/>
          <w:szCs w:val="20"/>
          <w:lang w:val="sr-Cyrl-CS"/>
        </w:rPr>
      </w:pPr>
    </w:p>
    <w:p w14:paraId="0F0BA5A8" w14:textId="4CDEC96A" w:rsidR="00866A0C" w:rsidRDefault="00866A0C" w:rsidP="00866A0C">
      <w:pPr>
        <w:ind w:left="720"/>
        <w:contextualSpacing/>
        <w:jc w:val="both"/>
        <w:rPr>
          <w:rFonts w:ascii="Arial" w:eastAsiaTheme="minorHAnsi" w:hAnsi="Arial" w:cs="Arial"/>
          <w:sz w:val="20"/>
          <w:szCs w:val="20"/>
          <w:lang w:val="sr-Cyrl-CS"/>
        </w:rPr>
      </w:pPr>
    </w:p>
    <w:p w14:paraId="19E1C7DE" w14:textId="05BD59C2" w:rsidR="00866A0C" w:rsidRDefault="00866A0C" w:rsidP="00866A0C">
      <w:pPr>
        <w:ind w:left="720"/>
        <w:contextualSpacing/>
        <w:jc w:val="both"/>
        <w:rPr>
          <w:rFonts w:ascii="Arial" w:eastAsiaTheme="minorHAnsi" w:hAnsi="Arial" w:cs="Arial"/>
          <w:sz w:val="20"/>
          <w:szCs w:val="20"/>
          <w:lang w:val="sr-Cyrl-CS"/>
        </w:rPr>
      </w:pPr>
    </w:p>
    <w:p w14:paraId="4C290D3D" w14:textId="5DEDCBFA" w:rsidR="00866A0C" w:rsidRDefault="00866A0C" w:rsidP="00866A0C">
      <w:pPr>
        <w:ind w:left="720"/>
        <w:contextualSpacing/>
        <w:jc w:val="both"/>
        <w:rPr>
          <w:rFonts w:ascii="Arial" w:eastAsiaTheme="minorHAnsi" w:hAnsi="Arial" w:cs="Arial"/>
          <w:sz w:val="20"/>
          <w:szCs w:val="20"/>
          <w:lang w:val="sr-Cyrl-CS"/>
        </w:rPr>
      </w:pPr>
    </w:p>
    <w:p w14:paraId="06B72877" w14:textId="6CB11927" w:rsidR="00866A0C" w:rsidRDefault="00866A0C" w:rsidP="00866A0C">
      <w:pPr>
        <w:ind w:left="720"/>
        <w:contextualSpacing/>
        <w:jc w:val="both"/>
        <w:rPr>
          <w:rFonts w:ascii="Arial" w:eastAsiaTheme="minorHAnsi" w:hAnsi="Arial" w:cs="Arial"/>
          <w:sz w:val="20"/>
          <w:szCs w:val="20"/>
          <w:lang w:val="sr-Cyrl-CS"/>
        </w:rPr>
      </w:pPr>
    </w:p>
    <w:p w14:paraId="611EE966" w14:textId="79ECCE2F" w:rsidR="00D5734C" w:rsidRDefault="00D5734C" w:rsidP="00866A0C">
      <w:pPr>
        <w:ind w:left="720"/>
        <w:contextualSpacing/>
        <w:jc w:val="both"/>
        <w:rPr>
          <w:rFonts w:ascii="Arial" w:eastAsiaTheme="minorHAnsi" w:hAnsi="Arial" w:cs="Arial"/>
          <w:sz w:val="20"/>
          <w:szCs w:val="20"/>
          <w:lang w:val="sr-Cyrl-CS"/>
        </w:rPr>
      </w:pPr>
    </w:p>
    <w:p w14:paraId="0CAEE301" w14:textId="77777777" w:rsidR="00D5734C" w:rsidRDefault="00D5734C" w:rsidP="00866A0C">
      <w:pPr>
        <w:ind w:left="720"/>
        <w:contextualSpacing/>
        <w:jc w:val="both"/>
        <w:rPr>
          <w:rFonts w:ascii="Arial" w:eastAsiaTheme="minorHAnsi" w:hAnsi="Arial" w:cs="Arial"/>
          <w:sz w:val="20"/>
          <w:szCs w:val="20"/>
          <w:lang w:val="sr-Cyrl-CS"/>
        </w:rPr>
      </w:pPr>
    </w:p>
    <w:p w14:paraId="53418760" w14:textId="77777777" w:rsidR="00866A0C" w:rsidRPr="00866A0C" w:rsidRDefault="00866A0C" w:rsidP="00866A0C">
      <w:pPr>
        <w:ind w:left="720"/>
        <w:contextualSpacing/>
        <w:jc w:val="both"/>
        <w:rPr>
          <w:rFonts w:ascii="Arial" w:eastAsiaTheme="minorHAnsi" w:hAnsi="Arial" w:cs="Arial"/>
          <w:sz w:val="20"/>
          <w:szCs w:val="20"/>
          <w:lang w:val="sr-Cyrl-CS"/>
        </w:rPr>
      </w:pPr>
    </w:p>
    <w:p w14:paraId="57BA8A76" w14:textId="77777777" w:rsidR="00866A0C" w:rsidRPr="00866A0C" w:rsidRDefault="00866A0C" w:rsidP="00866A0C">
      <w:pPr>
        <w:ind w:left="720"/>
        <w:contextualSpacing/>
        <w:jc w:val="both"/>
        <w:rPr>
          <w:rFonts w:ascii="Arial" w:eastAsiaTheme="minorHAnsi" w:hAnsi="Arial" w:cs="Arial"/>
          <w:sz w:val="20"/>
          <w:szCs w:val="20"/>
          <w:lang w:val="sr-Cyrl-CS"/>
        </w:rPr>
      </w:pPr>
    </w:p>
    <w:p w14:paraId="5DECA613" w14:textId="40F9916D" w:rsidR="008B19D9" w:rsidRDefault="008B19D9" w:rsidP="007709A2">
      <w:pPr>
        <w:contextualSpacing/>
        <w:jc w:val="both"/>
        <w:rPr>
          <w:rFonts w:ascii="Arial" w:eastAsiaTheme="minorHAnsi" w:hAnsi="Arial" w:cs="Arial"/>
          <w:sz w:val="20"/>
          <w:szCs w:val="20"/>
          <w:lang w:val="sr-Cyrl-CS"/>
        </w:rPr>
      </w:pPr>
    </w:p>
    <w:p w14:paraId="414CD6AB" w14:textId="77777777" w:rsidR="008B19D9" w:rsidRPr="00866A0C" w:rsidRDefault="008B19D9" w:rsidP="00866A0C">
      <w:pPr>
        <w:ind w:left="720"/>
        <w:contextualSpacing/>
        <w:jc w:val="both"/>
        <w:rPr>
          <w:rFonts w:ascii="Arial" w:eastAsiaTheme="minorHAnsi" w:hAnsi="Arial" w:cs="Arial"/>
          <w:sz w:val="20"/>
          <w:szCs w:val="20"/>
          <w:lang w:val="sr-Cyrl-CS"/>
        </w:rPr>
      </w:pPr>
    </w:p>
    <w:p w14:paraId="3083439D" w14:textId="77777777" w:rsidR="00866A0C" w:rsidRPr="00866A0C" w:rsidRDefault="00866A0C" w:rsidP="00866A0C">
      <w:pPr>
        <w:spacing w:after="0" w:line="240" w:lineRule="exact"/>
        <w:ind w:left="-426" w:firstLine="426"/>
        <w:jc w:val="both"/>
        <w:rPr>
          <w:rFonts w:ascii="Arial" w:eastAsiaTheme="minorHAnsi" w:hAnsi="Arial" w:cs="Arial"/>
          <w:sz w:val="20"/>
          <w:szCs w:val="20"/>
          <w:lang w:val="sr-Cyrl-CS"/>
        </w:rPr>
      </w:pPr>
      <w:r w:rsidRPr="00866A0C">
        <w:rPr>
          <w:rFonts w:ascii="Arial" w:eastAsiaTheme="minorHAnsi" w:hAnsi="Arial" w:cs="Arial"/>
          <w:sz w:val="20"/>
          <w:szCs w:val="20"/>
          <w:lang w:val="sr-Cyrl-CS"/>
        </w:rPr>
        <w:lastRenderedPageBreak/>
        <w:t>ПРИЛОГ бр. 2 Захтеви свих Стандарда учинка </w:t>
      </w:r>
    </w:p>
    <w:p w14:paraId="36C5994E" w14:textId="77777777" w:rsidR="00866A0C" w:rsidRPr="00866A0C" w:rsidRDefault="00866A0C" w:rsidP="00866A0C">
      <w:pPr>
        <w:spacing w:after="0" w:line="240" w:lineRule="exact"/>
        <w:ind w:left="-426" w:firstLine="426"/>
        <w:jc w:val="both"/>
        <w:rPr>
          <w:rFonts w:ascii="Arial" w:eastAsiaTheme="minorHAnsi" w:hAnsi="Arial" w:cs="Arial"/>
          <w:sz w:val="20"/>
          <w:szCs w:val="20"/>
          <w:lang w:val="sr-Cyrl-CS"/>
        </w:rPr>
      </w:pPr>
    </w:p>
    <w:p w14:paraId="559712D0" w14:textId="10FFB07E" w:rsidR="00866A0C" w:rsidRPr="00866A0C" w:rsidRDefault="00866A0C" w:rsidP="00866A0C">
      <w:pPr>
        <w:spacing w:after="0" w:line="240" w:lineRule="exact"/>
        <w:ind w:right="-24"/>
        <w:jc w:val="both"/>
        <w:rPr>
          <w:rFonts w:ascii="Arial" w:eastAsiaTheme="minorHAnsi" w:hAnsi="Arial" w:cs="Arial"/>
          <w:sz w:val="20"/>
          <w:szCs w:val="20"/>
          <w:lang w:val="sr-Cyrl-CS"/>
        </w:rPr>
      </w:pPr>
      <w:r w:rsidRPr="00866A0C">
        <w:rPr>
          <w:rFonts w:ascii="Arial" w:eastAsiaTheme="minorHAnsi" w:hAnsi="Arial" w:cs="Arial"/>
          <w:b/>
          <w:bCs/>
          <w:sz w:val="20"/>
          <w:szCs w:val="20"/>
          <w:lang w:val="sr-Cyrl-CS"/>
        </w:rPr>
        <w:t>Стандард учинка 1</w:t>
      </w:r>
      <w:r w:rsidRPr="00866A0C">
        <w:rPr>
          <w:rFonts w:ascii="Arial" w:eastAsiaTheme="minorHAnsi" w:hAnsi="Arial" w:cs="Arial"/>
          <w:sz w:val="20"/>
          <w:szCs w:val="20"/>
          <w:lang w:val="sr-Cyrl-CS"/>
        </w:rPr>
        <w:t xml:space="preserve"> односи се на клијентов систем за управљање заштитом животне и друштвене средине (ЕСМС) и његове компоненте. Клијент ће првенствено: (1) успоставити и одржавати ЕСМС који одговара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нивоу његових еколошких и социјалних ризика и утицаја; (2) успоставити механизам за притужбе за погођене заједнице; и (3) успоставити и одржавати систем приправности и реаговања у ванредним ситуацијама.</w:t>
      </w:r>
    </w:p>
    <w:p w14:paraId="1FB9885C" w14:textId="77777777"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b/>
          <w:bCs/>
          <w:sz w:val="20"/>
          <w:szCs w:val="20"/>
          <w:lang w:val="sr-Cyrl-CS"/>
        </w:rPr>
        <w:t>Стандард учинка 2</w:t>
      </w:r>
      <w:r w:rsidRPr="00866A0C">
        <w:rPr>
          <w:rFonts w:ascii="Arial" w:eastAsiaTheme="minorHAnsi" w:hAnsi="Arial" w:cs="Arial"/>
          <w:sz w:val="20"/>
          <w:szCs w:val="20"/>
          <w:lang w:val="sr-Cyrl-CS"/>
        </w:rPr>
        <w:t> односи се на рад и услове рада клијента. Клијент ће првенствено: (1) обезбедити механизам за притужбе за раднике који подносе притужбе за услове рада на радном месту; (2) заштитити раднике, укључујући рањиве категорије радника као што су деца, радници мигранти, радници ангажовани од стране трећих лица и раднике у ланцу снабдевања клијента; и (3) у случају колективног отпуштања, план смањења броја запослених ће се развити и применити како би се смањио негативни утицај смањења броја запослених на раднике.</w:t>
      </w:r>
    </w:p>
    <w:p w14:paraId="2BB1003F" w14:textId="24661AC4"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b/>
          <w:bCs/>
          <w:sz w:val="20"/>
          <w:szCs w:val="20"/>
          <w:lang w:val="sr-Cyrl-CS"/>
        </w:rPr>
        <w:t>Стандард учинка 3</w:t>
      </w:r>
      <w:r w:rsidRPr="00866A0C">
        <w:rPr>
          <w:rFonts w:ascii="Arial" w:eastAsiaTheme="minorHAnsi" w:hAnsi="Arial" w:cs="Arial"/>
          <w:sz w:val="20"/>
          <w:szCs w:val="20"/>
          <w:lang w:val="sr-Cyrl-CS"/>
        </w:rPr>
        <w:t xml:space="preserve"> односи се на ефикасност ресурса и спречавање загађења у вези са пројектом. Клијент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 xml:space="preserve">ће првенствено: (1) применити ефикасност ресурса и спречавање загађења како би умањио штетне утицаје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на људско здравље и животну средину; (2) усвојити мере за смањење потрошње воде; (3) избегавати или минимизирати интензитет испуштања загађивача; (4) избегавати или минимизирати стварање отпадних материјала; и (5) спровести контролу штеточина.</w:t>
      </w:r>
    </w:p>
    <w:p w14:paraId="40634E06" w14:textId="2303C25D"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b/>
          <w:bCs/>
          <w:sz w:val="20"/>
          <w:szCs w:val="20"/>
          <w:lang w:val="sr-Cyrl-CS"/>
        </w:rPr>
        <w:t>Стандард учинка 4</w:t>
      </w:r>
      <w:r w:rsidRPr="00866A0C">
        <w:rPr>
          <w:rFonts w:ascii="Arial" w:eastAsiaTheme="minorHAnsi" w:hAnsi="Arial" w:cs="Arial"/>
          <w:sz w:val="20"/>
          <w:szCs w:val="20"/>
          <w:lang w:val="sr-Cyrl-CS"/>
        </w:rPr>
        <w:t xml:space="preserve"> односи се на здравствене, безбедносне и сигурносне услове који се односе на пројекат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 xml:space="preserve">и његов утицај на погођену заједницу. Клијент ће првенствено: (1) проценити ризике и утицаје на здравље и безбедност погођених заједница током животног циклуса пројекта и успоставити мере превенције и контроле; (2) избегавати или минимизирати потенцијал изложености заједнице опасним материјалима и супстанцама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 xml:space="preserve">које пројекат може ослободити; (3) идентификовати ризике и потенцијалне утицаје на приоритетне карактеристике екосистема (у случају да директни утицаји пројекта на приоритетне карактеристике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екосистема могу резултирати лошим здравственим и безбедносним условима); (4) избегавати или минимизирати потенцијал за излагање заједнице болестима повезаним са водом; (5) помаже и сарађује са погођеним заједницама, локалним владиним агенцијама и другим релевантним странама у њиховим припремама да ефикасно одговоре на ванредне ситуације; и (6) проценити ризике који могу настати на самом месту пројекта а који су у вези са ангажовањем обезбеђења.</w:t>
      </w:r>
    </w:p>
    <w:p w14:paraId="3CB50D8D" w14:textId="70CCC2EF"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b/>
          <w:bCs/>
          <w:sz w:val="20"/>
          <w:szCs w:val="20"/>
          <w:lang w:val="sr-Cyrl-CS"/>
        </w:rPr>
        <w:t>Стандард учинка 5 </w:t>
      </w:r>
      <w:r w:rsidRPr="00866A0C">
        <w:rPr>
          <w:rFonts w:ascii="Arial" w:eastAsiaTheme="minorHAnsi" w:hAnsi="Arial" w:cs="Arial"/>
          <w:sz w:val="20"/>
          <w:szCs w:val="20"/>
          <w:lang w:val="sr-Cyrl-CS"/>
        </w:rPr>
        <w:t xml:space="preserve">примењује се у случају да се пројектно земљиште стекне експропријацијом или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 xml:space="preserve">проузрокује ограничења у коришћењу земљишта за заједнице. У овом случају клијент првенствено мора да има: (1) изводљиве алтернативне нацрте пројеката усмерене на избегавање или минимизирање физичког и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 или економског расељења, (2) компензација за расељена лица, (3) механизам за жалбу и (4) акциони план пресељења (у случају физичког расељења) или план обнављања средстава за живот (у случају економског расељења) или додатни план пресељења (у случају да је пресељење у надлежности владе).</w:t>
      </w:r>
    </w:p>
    <w:p w14:paraId="08D5BE1B" w14:textId="77777777"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b/>
          <w:bCs/>
          <w:sz w:val="20"/>
          <w:szCs w:val="20"/>
          <w:lang w:val="sr-Cyrl-CS"/>
        </w:rPr>
        <w:t>Стандард учинка 6</w:t>
      </w:r>
      <w:r w:rsidRPr="00866A0C">
        <w:rPr>
          <w:rFonts w:ascii="Arial" w:eastAsiaTheme="minorHAnsi" w:hAnsi="Arial" w:cs="Arial"/>
          <w:sz w:val="20"/>
          <w:szCs w:val="20"/>
          <w:lang w:val="sr-Cyrl-CS"/>
        </w:rPr>
        <w:t> примењује се на пројекте код којих може бити утицаја на живе природне ресурсе (станиште). У овом случају клијент мора првенствено:</w:t>
      </w:r>
    </w:p>
    <w:p w14:paraId="0AEACA29" w14:textId="77777777"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sz w:val="20"/>
          <w:szCs w:val="20"/>
          <w:lang w:val="sr-Cyrl-CS"/>
        </w:rPr>
        <w:t>(1) минимализовати утицаје на биодиверзитет и применити одговарајуће мере ублажавања у случају да се пројекат налази у измењеном станишту;</w:t>
      </w:r>
    </w:p>
    <w:p w14:paraId="6C5A2AC8" w14:textId="77777777"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sz w:val="20"/>
          <w:szCs w:val="20"/>
          <w:lang w:val="sr-Cyrl-CS"/>
        </w:rPr>
        <w:t>(2) осигурати да неће значајно изменити или деградирати природна станишта осим ако: (а) не постоје друге одрживе алтернативе за развој пројекта, (б) су се утврдили ставови заинтересованих страна у погледу обима конверзије и деградације, и (ц) је свака конверзија или деградација ублажена у складу са хијерархијом ублажавања; и</w:t>
      </w:r>
    </w:p>
    <w:p w14:paraId="5A283B15" w14:textId="371946E4"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xml:space="preserve">(3) не спроводе ниједну пројектну активност на критичном станишту осим ако: (а) не постоје друге одрживе алтернативе у за развој пројекта, (б) пројекат не доводи до мерљивих негативних утицаја на биодиверзитет, (ц) пројекат не доводи до нето смањења популације било које угрожене врсте, (д) постоји стратегија ублажавања пројекта ради постизања вредности биодиверзитета за које је критично станиште одређено, и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(е) постоји дугорочно праћење биодиверзитета интегрисано у програм управљања пројектом.</w:t>
      </w:r>
    </w:p>
    <w:p w14:paraId="546F7B5B" w14:textId="6A03A782"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sz w:val="20"/>
          <w:szCs w:val="20"/>
          <w:lang w:val="sr-Cyrl-CS"/>
        </w:rPr>
        <w:t xml:space="preserve">Клијентове праксе верификације ће: (1) идентификовати одакле долази снабдевање; (2) обезбедити континуирани преглед примарних ланаца снабдевања; (3) ограничити набавку на оне добављаче који могу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 xml:space="preserve">да покажу да не доприносе значајној конверзији станишта (сертификација производа); и (4) где је то могуће, захтевати радње на пребацивању примарног ланца снабдевања клијента на добављаче који могу показати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да не утичу значајно на ове области.</w:t>
      </w:r>
    </w:p>
    <w:p w14:paraId="53DC2D05" w14:textId="77777777" w:rsidR="00866A0C" w:rsidRPr="00866A0C" w:rsidRDefault="00866A0C" w:rsidP="00866A0C">
      <w:pPr>
        <w:spacing w:after="0" w:line="240" w:lineRule="exact"/>
        <w:jc w:val="both"/>
        <w:rPr>
          <w:rFonts w:ascii="Arial" w:eastAsiaTheme="minorHAnsi" w:hAnsi="Arial" w:cs="Arial"/>
          <w:sz w:val="20"/>
          <w:szCs w:val="20"/>
          <w:lang w:val="sr-Cyrl-CS"/>
        </w:rPr>
      </w:pPr>
      <w:r w:rsidRPr="00866A0C">
        <w:rPr>
          <w:rFonts w:ascii="Arial" w:eastAsiaTheme="minorHAnsi" w:hAnsi="Arial" w:cs="Arial"/>
          <w:b/>
          <w:bCs/>
          <w:sz w:val="20"/>
          <w:szCs w:val="20"/>
          <w:lang w:val="sr-Cyrl-CS"/>
        </w:rPr>
        <w:t>Стандард учинка 7 </w:t>
      </w:r>
      <w:r w:rsidRPr="00866A0C">
        <w:rPr>
          <w:rFonts w:ascii="Arial" w:eastAsiaTheme="minorHAnsi" w:hAnsi="Arial" w:cs="Arial"/>
          <w:sz w:val="20"/>
          <w:szCs w:val="20"/>
          <w:lang w:val="sr-Cyrl-CS"/>
        </w:rPr>
        <w:t>примењује се на пројекте код којих негативни утицаји могу погодити заједнице аутохтоних народа/староседеоца. Овај Стандард учинка није примењив на Пројекат и исти неће бити предмет било какве анализе, нити ће се очекивати од клијента да испуни било какве активности и обавезе предвиђене овим стандардом</w:t>
      </w:r>
    </w:p>
    <w:p w14:paraId="40B80649" w14:textId="4FDF57D6" w:rsidR="00866A0C" w:rsidRPr="00866A0C" w:rsidRDefault="00866A0C" w:rsidP="00866A0C">
      <w:pPr>
        <w:spacing w:after="0" w:line="240" w:lineRule="exact"/>
        <w:jc w:val="both"/>
        <w:rPr>
          <w:rFonts w:asciiTheme="minorHAnsi" w:eastAsiaTheme="minorHAnsi" w:hAnsiTheme="minorHAnsi" w:cstheme="minorBidi"/>
          <w:sz w:val="20"/>
          <w:szCs w:val="20"/>
          <w:lang w:val="sr-Cyrl-CS"/>
        </w:rPr>
      </w:pPr>
      <w:r w:rsidRPr="00866A0C">
        <w:rPr>
          <w:rFonts w:ascii="Arial" w:eastAsiaTheme="minorHAnsi" w:hAnsi="Arial" w:cs="Arial"/>
          <w:b/>
          <w:bCs/>
          <w:sz w:val="20"/>
          <w:szCs w:val="20"/>
          <w:lang w:val="sr-Cyrl-CS"/>
        </w:rPr>
        <w:t>Стандард учинка 8</w:t>
      </w:r>
      <w:r w:rsidRPr="00866A0C">
        <w:rPr>
          <w:rFonts w:ascii="Arial" w:eastAsiaTheme="minorHAnsi" w:hAnsi="Arial" w:cs="Arial"/>
          <w:sz w:val="20"/>
          <w:szCs w:val="20"/>
          <w:lang w:val="sr-Cyrl-CS"/>
        </w:rPr>
        <w:t xml:space="preserve"> примењује се на пројекте код којих може бити утицаја на културно наслеђе. У овом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 xml:space="preserve">случају клијент мора првенствено: (1) да се придржава важећег закона о заштити културног наслеђа; (2) дизајнирати пројекат како би се избегли значајни негативни утицаји на културно наслеђе; (3) ангажовати компетентне стручњаке који помажу у заштити културног наслеђа у случају утицаја пројекта на културно наслеђе; (4) консултовање са погођеним заједницама ако пројекат може утицати на културно наслеђе; (5) не уклањају и не оштећују критично културно наслеђе и (6) обавештавају заједницу у случају да пројекат </w:t>
      </w:r>
      <w:r w:rsidR="002228BD">
        <w:rPr>
          <w:rFonts w:ascii="Arial" w:eastAsiaTheme="minorHAnsi" w:hAnsi="Arial" w:cs="Arial"/>
          <w:sz w:val="20"/>
          <w:szCs w:val="20"/>
          <w:lang w:val="sr-Cyrl-CS"/>
        </w:rPr>
        <w:br/>
      </w:r>
      <w:r w:rsidRPr="00866A0C">
        <w:rPr>
          <w:rFonts w:ascii="Arial" w:eastAsiaTheme="minorHAnsi" w:hAnsi="Arial" w:cs="Arial"/>
          <w:sz w:val="20"/>
          <w:szCs w:val="20"/>
          <w:lang w:val="sr-Cyrl-CS"/>
        </w:rPr>
        <w:t>предлаже употребу културног наслеђа у комерцијалне сврхе.</w:t>
      </w:r>
    </w:p>
    <w:p w14:paraId="6E819924" w14:textId="77777777" w:rsidR="0064543B" w:rsidRDefault="0064543B" w:rsidP="00F67212">
      <w:pPr>
        <w:spacing w:after="0" w:line="240" w:lineRule="auto"/>
        <w:jc w:val="center"/>
        <w:rPr>
          <w:rFonts w:ascii="Times New Roman" w:eastAsia="Times New Roman" w:hAnsi="Times New Roman"/>
          <w:b/>
          <w:sz w:val="24"/>
          <w:szCs w:val="24"/>
          <w:lang w:val="sr-Cyrl-RS" w:eastAsia="sr-Latn-RS"/>
        </w:rPr>
      </w:pPr>
    </w:p>
    <w:p w14:paraId="5BAFBEB7" w14:textId="7310A380" w:rsidR="005E0409" w:rsidRDefault="005E0409" w:rsidP="00F67212">
      <w:pPr>
        <w:pStyle w:val="ListParagraph"/>
        <w:jc w:val="both"/>
        <w:rPr>
          <w:lang w:val="sr-Cyrl-CS"/>
        </w:rPr>
      </w:pPr>
    </w:p>
    <w:p w14:paraId="09F40855" w14:textId="49223207" w:rsidR="005E0409" w:rsidRDefault="005E0409" w:rsidP="00F67212">
      <w:pPr>
        <w:pStyle w:val="ListParagraph"/>
        <w:jc w:val="both"/>
        <w:rPr>
          <w:lang w:val="sr-Cyrl-CS"/>
        </w:rPr>
      </w:pPr>
    </w:p>
    <w:p w14:paraId="3B617B03" w14:textId="77777777" w:rsidR="0064543B" w:rsidRDefault="0064543B" w:rsidP="0064543B">
      <w:pPr>
        <w:pStyle w:val="NoSpacing"/>
        <w:jc w:val="center"/>
        <w:rPr>
          <w:lang w:val="sr-Cyrl-CS"/>
        </w:rPr>
      </w:pPr>
    </w:p>
    <w:p w14:paraId="4BDF8ADC" w14:textId="6CF9849D" w:rsidR="007447C6" w:rsidRPr="0064543B" w:rsidRDefault="007447C6" w:rsidP="0064543B">
      <w:pPr>
        <w:pStyle w:val="NoSpacing"/>
        <w:jc w:val="center"/>
        <w:rPr>
          <w:rFonts w:ascii="Times New Roman" w:hAnsi="Times New Roman"/>
          <w:sz w:val="24"/>
          <w:szCs w:val="24"/>
        </w:rPr>
      </w:pPr>
      <w:r w:rsidRPr="007447C6">
        <w:rPr>
          <w:rFonts w:ascii="Times New Roman" w:hAnsi="Times New Roman"/>
          <w:sz w:val="24"/>
          <w:lang w:val="sr-Cyrl-CS"/>
        </w:rPr>
        <w:t>Члан 3.</w:t>
      </w:r>
    </w:p>
    <w:p w14:paraId="59DF012C" w14:textId="77777777" w:rsidR="007447C6" w:rsidRPr="007447C6" w:rsidRDefault="007447C6" w:rsidP="007447C6">
      <w:pPr>
        <w:spacing w:after="0" w:line="240" w:lineRule="auto"/>
        <w:ind w:firstLine="562"/>
        <w:jc w:val="both"/>
        <w:rPr>
          <w:rFonts w:ascii="Times New Roman" w:eastAsia="Times New Roman" w:hAnsi="Times New Roman"/>
          <w:bCs/>
          <w:sz w:val="24"/>
          <w:szCs w:val="24"/>
          <w:lang w:val="en-US"/>
        </w:rPr>
      </w:pPr>
      <w:proofErr w:type="spellStart"/>
      <w:r w:rsidRPr="007447C6">
        <w:rPr>
          <w:rFonts w:ascii="Times New Roman" w:eastAsia="Times New Roman" w:hAnsi="Times New Roman"/>
          <w:bCs/>
          <w:sz w:val="24"/>
          <w:szCs w:val="24"/>
          <w:lang w:val="en-US"/>
        </w:rPr>
        <w:t>Овај</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закон</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ступа</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на</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снагу</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осмог</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дана</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од</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дана</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објављивања</w:t>
      </w:r>
      <w:proofErr w:type="spellEnd"/>
      <w:r w:rsidRPr="007447C6">
        <w:rPr>
          <w:rFonts w:ascii="Times New Roman" w:eastAsia="Times New Roman" w:hAnsi="Times New Roman"/>
          <w:bCs/>
          <w:sz w:val="24"/>
          <w:szCs w:val="24"/>
          <w:lang w:val="en-US"/>
        </w:rPr>
        <w:t xml:space="preserve"> у „</w:t>
      </w:r>
      <w:proofErr w:type="spellStart"/>
      <w:r w:rsidRPr="007447C6">
        <w:rPr>
          <w:rFonts w:ascii="Times New Roman" w:eastAsia="Times New Roman" w:hAnsi="Times New Roman"/>
          <w:bCs/>
          <w:sz w:val="24"/>
          <w:szCs w:val="24"/>
          <w:lang w:val="en-US"/>
        </w:rPr>
        <w:t>Службеном</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гласнику</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Републике</w:t>
      </w:r>
      <w:proofErr w:type="spellEnd"/>
      <w:r w:rsidRPr="007447C6">
        <w:rPr>
          <w:rFonts w:ascii="Times New Roman" w:eastAsia="Times New Roman" w:hAnsi="Times New Roman"/>
          <w:bCs/>
          <w:sz w:val="24"/>
          <w:szCs w:val="24"/>
          <w:lang w:val="en-US"/>
        </w:rPr>
        <w:t xml:space="preserve"> </w:t>
      </w:r>
      <w:proofErr w:type="spellStart"/>
      <w:r w:rsidRPr="007447C6">
        <w:rPr>
          <w:rFonts w:ascii="Times New Roman" w:eastAsia="Times New Roman" w:hAnsi="Times New Roman"/>
          <w:bCs/>
          <w:sz w:val="24"/>
          <w:szCs w:val="24"/>
          <w:lang w:val="en-US"/>
        </w:rPr>
        <w:t>Србије</w:t>
      </w:r>
      <w:proofErr w:type="spellEnd"/>
      <w:r w:rsidRPr="007447C6">
        <w:rPr>
          <w:rFonts w:ascii="Times New Roman" w:eastAsia="Times New Roman" w:hAnsi="Times New Roman"/>
          <w:bCs/>
          <w:sz w:val="24"/>
          <w:szCs w:val="24"/>
          <w:lang w:val="en-US"/>
        </w:rPr>
        <w:t>”.</w:t>
      </w:r>
    </w:p>
    <w:p w14:paraId="6FE0E483" w14:textId="6008C7A2" w:rsidR="00A71217" w:rsidRPr="00970694" w:rsidRDefault="007447C6" w:rsidP="007447C6">
      <w:pPr>
        <w:tabs>
          <w:tab w:val="left" w:pos="4215"/>
          <w:tab w:val="left" w:pos="7995"/>
        </w:tabs>
        <w:rPr>
          <w:rFonts w:ascii="Times New Roman" w:hAnsi="Times New Roman"/>
          <w:sz w:val="24"/>
          <w:szCs w:val="24"/>
        </w:rPr>
      </w:pPr>
      <w:r>
        <w:rPr>
          <w:rFonts w:ascii="Times New Roman" w:hAnsi="Times New Roman"/>
          <w:sz w:val="24"/>
          <w:szCs w:val="24"/>
        </w:rPr>
        <w:tab/>
      </w:r>
    </w:p>
    <w:sectPr w:rsidR="00A71217" w:rsidRPr="00970694" w:rsidSect="00ED5477">
      <w:headerReference w:type="even" r:id="rId8"/>
      <w:headerReference w:type="default" r:id="rId9"/>
      <w:type w:val="continuous"/>
      <w:pgSz w:w="11906" w:h="16838" w:code="9"/>
      <w:pgMar w:top="624" w:right="907" w:bottom="357" w:left="624" w:header="425" w:footer="14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83AD4" w14:textId="77777777" w:rsidR="00653D7D" w:rsidRDefault="00653D7D" w:rsidP="00A60DAA">
      <w:pPr>
        <w:spacing w:after="0" w:line="240" w:lineRule="auto"/>
      </w:pPr>
      <w:r>
        <w:separator/>
      </w:r>
    </w:p>
  </w:endnote>
  <w:endnote w:type="continuationSeparator" w:id="0">
    <w:p w14:paraId="664DD062" w14:textId="77777777" w:rsidR="00653D7D" w:rsidRDefault="00653D7D" w:rsidP="00A6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27AA5" w14:textId="77777777" w:rsidR="00653D7D" w:rsidRDefault="00653D7D" w:rsidP="00A60DAA">
      <w:pPr>
        <w:spacing w:after="0" w:line="240" w:lineRule="auto"/>
      </w:pPr>
      <w:r>
        <w:separator/>
      </w:r>
    </w:p>
  </w:footnote>
  <w:footnote w:type="continuationSeparator" w:id="0">
    <w:p w14:paraId="1456F714" w14:textId="77777777" w:rsidR="00653D7D" w:rsidRDefault="00653D7D" w:rsidP="00A6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9889B" w14:textId="77777777" w:rsidR="00811139" w:rsidRDefault="00811139" w:rsidP="00D34C6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CDE09C4" w14:textId="77777777" w:rsidR="00811139" w:rsidRDefault="008111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A6020" w14:textId="18FB0F1E" w:rsidR="00811139" w:rsidRDefault="00811139" w:rsidP="00D34C6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A7DE4">
      <w:rPr>
        <w:rStyle w:val="PageNumber"/>
        <w:noProof/>
      </w:rPr>
      <w:t>13</w:t>
    </w:r>
    <w:r>
      <w:rPr>
        <w:rStyle w:val="PageNumber"/>
      </w:rPr>
      <w:fldChar w:fldCharType="end"/>
    </w:r>
  </w:p>
  <w:p w14:paraId="742FB5BC" w14:textId="77777777" w:rsidR="00811139" w:rsidRDefault="008111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15"/>
    <w:multiLevelType w:val="multilevel"/>
    <w:tmpl w:val="C2E206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color w:val="000000" w:themeColor="text1"/>
      </w:rPr>
    </w:lvl>
    <w:lvl w:ilvl="2">
      <w:start w:val="1"/>
      <w:numFmt w:val="decimal"/>
      <w:isLgl/>
      <w:lvlText w:val="%1.%2.%3"/>
      <w:lvlJc w:val="left"/>
      <w:pPr>
        <w:ind w:left="1800" w:hanging="720"/>
      </w:pPr>
      <w:rPr>
        <w:rFonts w:hint="default"/>
        <w:color w:val="000000" w:themeColor="text1"/>
      </w:rPr>
    </w:lvl>
    <w:lvl w:ilvl="3">
      <w:start w:val="1"/>
      <w:numFmt w:val="decimal"/>
      <w:isLgl/>
      <w:lvlText w:val="%1.%2.%3.%4"/>
      <w:lvlJc w:val="left"/>
      <w:pPr>
        <w:ind w:left="2160" w:hanging="720"/>
      </w:pPr>
      <w:rPr>
        <w:rFonts w:hint="default"/>
        <w:color w:val="000000" w:themeColor="text1"/>
      </w:rPr>
    </w:lvl>
    <w:lvl w:ilvl="4">
      <w:start w:val="1"/>
      <w:numFmt w:val="decimal"/>
      <w:isLgl/>
      <w:lvlText w:val="%1.%2.%3.%4.%5"/>
      <w:lvlJc w:val="left"/>
      <w:pPr>
        <w:ind w:left="2880" w:hanging="1080"/>
      </w:pPr>
      <w:rPr>
        <w:rFonts w:hint="default"/>
        <w:color w:val="000000" w:themeColor="text1"/>
      </w:rPr>
    </w:lvl>
    <w:lvl w:ilvl="5">
      <w:start w:val="1"/>
      <w:numFmt w:val="decimal"/>
      <w:isLgl/>
      <w:lvlText w:val="%1.%2.%3.%4.%5.%6"/>
      <w:lvlJc w:val="left"/>
      <w:pPr>
        <w:ind w:left="3240" w:hanging="1080"/>
      </w:pPr>
      <w:rPr>
        <w:rFonts w:hint="default"/>
        <w:color w:val="000000" w:themeColor="text1"/>
      </w:rPr>
    </w:lvl>
    <w:lvl w:ilvl="6">
      <w:start w:val="1"/>
      <w:numFmt w:val="decimal"/>
      <w:isLgl/>
      <w:lvlText w:val="%1.%2.%3.%4.%5.%6.%7"/>
      <w:lvlJc w:val="left"/>
      <w:pPr>
        <w:ind w:left="3960" w:hanging="1440"/>
      </w:pPr>
      <w:rPr>
        <w:rFonts w:hint="default"/>
        <w:color w:val="000000" w:themeColor="text1"/>
      </w:rPr>
    </w:lvl>
    <w:lvl w:ilvl="7">
      <w:start w:val="1"/>
      <w:numFmt w:val="decimal"/>
      <w:isLgl/>
      <w:lvlText w:val="%1.%2.%3.%4.%5.%6.%7.%8"/>
      <w:lvlJc w:val="left"/>
      <w:pPr>
        <w:ind w:left="4320" w:hanging="1440"/>
      </w:pPr>
      <w:rPr>
        <w:rFonts w:hint="default"/>
        <w:color w:val="000000" w:themeColor="text1"/>
      </w:rPr>
    </w:lvl>
    <w:lvl w:ilvl="8">
      <w:start w:val="1"/>
      <w:numFmt w:val="decimal"/>
      <w:isLgl/>
      <w:lvlText w:val="%1.%2.%3.%4.%5.%6.%7.%8.%9"/>
      <w:lvlJc w:val="left"/>
      <w:pPr>
        <w:ind w:left="5040" w:hanging="1800"/>
      </w:pPr>
      <w:rPr>
        <w:rFonts w:hint="default"/>
        <w:color w:val="000000" w:themeColor="text1"/>
      </w:rPr>
    </w:lvl>
  </w:abstractNum>
  <w:abstractNum w:abstractNumId="1" w15:restartNumberingAfterBreak="0">
    <w:nsid w:val="065F0BE0"/>
    <w:multiLevelType w:val="hybridMultilevel"/>
    <w:tmpl w:val="8D1042FE"/>
    <w:lvl w:ilvl="0" w:tplc="241A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 w15:restartNumberingAfterBreak="0">
    <w:nsid w:val="0825115C"/>
    <w:multiLevelType w:val="hybridMultilevel"/>
    <w:tmpl w:val="61E2AC9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B957E75"/>
    <w:multiLevelType w:val="multilevel"/>
    <w:tmpl w:val="2D9C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D86B28"/>
    <w:multiLevelType w:val="hybridMultilevel"/>
    <w:tmpl w:val="7012CFDE"/>
    <w:lvl w:ilvl="0" w:tplc="111CD8EE">
      <w:start w:val="4"/>
      <w:numFmt w:val="bullet"/>
      <w:lvlText w:val="-"/>
      <w:lvlJc w:val="left"/>
      <w:pPr>
        <w:ind w:left="1500" w:hanging="360"/>
      </w:pPr>
      <w:rPr>
        <w:rFonts w:ascii="Arial" w:eastAsiaTheme="minorHAnsi" w:hAnsi="Arial" w:cs="Aria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5" w15:restartNumberingAfterBreak="0">
    <w:nsid w:val="119F2EC5"/>
    <w:multiLevelType w:val="hybridMultilevel"/>
    <w:tmpl w:val="D64248C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D29CB"/>
    <w:multiLevelType w:val="hybridMultilevel"/>
    <w:tmpl w:val="AC72044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4AD688B"/>
    <w:multiLevelType w:val="multilevel"/>
    <w:tmpl w:val="E87212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605876"/>
    <w:multiLevelType w:val="multilevel"/>
    <w:tmpl w:val="F3F47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C55813"/>
    <w:multiLevelType w:val="hybridMultilevel"/>
    <w:tmpl w:val="3768000E"/>
    <w:lvl w:ilvl="0" w:tplc="111CD8EE">
      <w:start w:val="4"/>
      <w:numFmt w:val="bullet"/>
      <w:lvlText w:val="-"/>
      <w:lvlJc w:val="left"/>
      <w:pPr>
        <w:ind w:left="1500" w:hanging="360"/>
      </w:pPr>
      <w:rPr>
        <w:rFonts w:ascii="Arial" w:eastAsiaTheme="minorHAnsi" w:hAnsi="Arial" w:cs="Aria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10" w15:restartNumberingAfterBreak="0">
    <w:nsid w:val="23A248A8"/>
    <w:multiLevelType w:val="hybridMultilevel"/>
    <w:tmpl w:val="8EB42B68"/>
    <w:lvl w:ilvl="0" w:tplc="241A000F">
      <w:start w:val="1"/>
      <w:numFmt w:val="decimal"/>
      <w:lvlText w:val="%1."/>
      <w:lvlJc w:val="left"/>
      <w:pPr>
        <w:ind w:left="1211" w:hanging="360"/>
      </w:pPr>
    </w:lvl>
    <w:lvl w:ilvl="1" w:tplc="241A000F">
      <w:start w:val="1"/>
      <w:numFmt w:val="decimal"/>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15:restartNumberingAfterBreak="0">
    <w:nsid w:val="252A6CF5"/>
    <w:multiLevelType w:val="hybridMultilevel"/>
    <w:tmpl w:val="91E0DDC4"/>
    <w:lvl w:ilvl="0" w:tplc="111CD8EE">
      <w:start w:val="4"/>
      <w:numFmt w:val="bullet"/>
      <w:lvlText w:val="-"/>
      <w:lvlJc w:val="left"/>
      <w:pPr>
        <w:ind w:left="1500" w:hanging="360"/>
      </w:pPr>
      <w:rPr>
        <w:rFonts w:ascii="Arial" w:eastAsiaTheme="minorHAnsi" w:hAnsi="Arial" w:cs="Aria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12" w15:restartNumberingAfterBreak="0">
    <w:nsid w:val="26F00D33"/>
    <w:multiLevelType w:val="hybridMultilevel"/>
    <w:tmpl w:val="2A126DE0"/>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E774D6"/>
    <w:multiLevelType w:val="hybridMultilevel"/>
    <w:tmpl w:val="265C2292"/>
    <w:lvl w:ilvl="0" w:tplc="241A000F">
      <w:start w:val="1"/>
      <w:numFmt w:val="decimal"/>
      <w:lvlText w:val="%1."/>
      <w:lvlJc w:val="left"/>
      <w:pPr>
        <w:ind w:left="720" w:hanging="360"/>
      </w:pPr>
    </w:lvl>
    <w:lvl w:ilvl="1" w:tplc="241A000F">
      <w:start w:val="1"/>
      <w:numFmt w:val="decimal"/>
      <w:lvlText w:val="%2."/>
      <w:lvlJc w:val="left"/>
      <w:pPr>
        <w:ind w:left="1211"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86311"/>
    <w:multiLevelType w:val="hybridMultilevel"/>
    <w:tmpl w:val="81D09BE4"/>
    <w:lvl w:ilvl="0" w:tplc="241A0011">
      <w:start w:val="1"/>
      <w:numFmt w:val="decimal"/>
      <w:lvlText w:val="%1)"/>
      <w:lvlJc w:val="left"/>
      <w:pPr>
        <w:ind w:left="1440" w:hanging="360"/>
      </w:pPr>
      <w:rPr>
        <w:rFonts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5" w15:restartNumberingAfterBreak="0">
    <w:nsid w:val="29D05117"/>
    <w:multiLevelType w:val="hybridMultilevel"/>
    <w:tmpl w:val="4C4C74A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9EB4856"/>
    <w:multiLevelType w:val="hybridMultilevel"/>
    <w:tmpl w:val="B9D6B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5E5C23"/>
    <w:multiLevelType w:val="multilevel"/>
    <w:tmpl w:val="F0BC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E5D7349"/>
    <w:multiLevelType w:val="hybridMultilevel"/>
    <w:tmpl w:val="1A64B746"/>
    <w:lvl w:ilvl="0" w:tplc="2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BE58B2"/>
    <w:multiLevelType w:val="hybridMultilevel"/>
    <w:tmpl w:val="DC4A9F0A"/>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010B4"/>
    <w:multiLevelType w:val="hybridMultilevel"/>
    <w:tmpl w:val="08DC6422"/>
    <w:lvl w:ilvl="0" w:tplc="241A000F">
      <w:start w:val="1"/>
      <w:numFmt w:val="decimal"/>
      <w:lvlText w:val="%1."/>
      <w:lvlJc w:val="left"/>
      <w:pPr>
        <w:ind w:left="720" w:hanging="360"/>
      </w:pPr>
    </w:lvl>
    <w:lvl w:ilvl="1" w:tplc="241A000F">
      <w:start w:val="1"/>
      <w:numFmt w:val="decimal"/>
      <w:lvlText w:val="%2."/>
      <w:lvlJc w:val="left"/>
      <w:pPr>
        <w:ind w:left="64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E7B2C"/>
    <w:multiLevelType w:val="hybridMultilevel"/>
    <w:tmpl w:val="0FE41748"/>
    <w:lvl w:ilvl="0" w:tplc="111CD8EE">
      <w:start w:val="4"/>
      <w:numFmt w:val="bullet"/>
      <w:lvlText w:val="-"/>
      <w:lvlJc w:val="left"/>
      <w:pPr>
        <w:ind w:left="144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2" w15:restartNumberingAfterBreak="0">
    <w:nsid w:val="3686686B"/>
    <w:multiLevelType w:val="hybridMultilevel"/>
    <w:tmpl w:val="18FE09AC"/>
    <w:lvl w:ilvl="0" w:tplc="241A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8B15AA"/>
    <w:multiLevelType w:val="hybridMultilevel"/>
    <w:tmpl w:val="821E4C4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45F936DF"/>
    <w:multiLevelType w:val="hybridMultilevel"/>
    <w:tmpl w:val="7A1015B0"/>
    <w:lvl w:ilvl="0" w:tplc="241A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498B2F1D"/>
    <w:multiLevelType w:val="hybridMultilevel"/>
    <w:tmpl w:val="36FA63D2"/>
    <w:lvl w:ilvl="0" w:tplc="241A000F">
      <w:start w:val="1"/>
      <w:numFmt w:val="decimal"/>
      <w:lvlText w:val="%1."/>
      <w:lvlJc w:val="left"/>
      <w:pPr>
        <w:ind w:left="1211" w:hanging="360"/>
      </w:p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26" w15:restartNumberingAfterBreak="0">
    <w:nsid w:val="4AD52111"/>
    <w:multiLevelType w:val="hybridMultilevel"/>
    <w:tmpl w:val="69487EE0"/>
    <w:lvl w:ilvl="0" w:tplc="2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013A01"/>
    <w:multiLevelType w:val="hybridMultilevel"/>
    <w:tmpl w:val="E11C94B8"/>
    <w:lvl w:ilvl="0" w:tplc="241A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8" w15:restartNumberingAfterBreak="0">
    <w:nsid w:val="4CAD5971"/>
    <w:multiLevelType w:val="hybridMultilevel"/>
    <w:tmpl w:val="A8CC458E"/>
    <w:lvl w:ilvl="0" w:tplc="A202D818">
      <w:start w:val="1"/>
      <w:numFmt w:val="lowerLetter"/>
      <w:lvlText w:val="%1)"/>
      <w:lvlJc w:val="left"/>
      <w:pPr>
        <w:ind w:left="-567" w:hanging="360"/>
      </w:pPr>
      <w:rPr>
        <w:rFonts w:eastAsia="Arial" w:hint="default"/>
      </w:rPr>
    </w:lvl>
    <w:lvl w:ilvl="1" w:tplc="04090019" w:tentative="1">
      <w:start w:val="1"/>
      <w:numFmt w:val="lowerLetter"/>
      <w:lvlText w:val="%2."/>
      <w:lvlJc w:val="left"/>
      <w:pPr>
        <w:ind w:left="153" w:hanging="360"/>
      </w:pPr>
    </w:lvl>
    <w:lvl w:ilvl="2" w:tplc="0409001B" w:tentative="1">
      <w:start w:val="1"/>
      <w:numFmt w:val="lowerRoman"/>
      <w:lvlText w:val="%3."/>
      <w:lvlJc w:val="right"/>
      <w:pPr>
        <w:ind w:left="873" w:hanging="180"/>
      </w:pPr>
    </w:lvl>
    <w:lvl w:ilvl="3" w:tplc="0409000F" w:tentative="1">
      <w:start w:val="1"/>
      <w:numFmt w:val="decimal"/>
      <w:lvlText w:val="%4."/>
      <w:lvlJc w:val="left"/>
      <w:pPr>
        <w:ind w:left="1593" w:hanging="360"/>
      </w:pPr>
    </w:lvl>
    <w:lvl w:ilvl="4" w:tplc="04090019" w:tentative="1">
      <w:start w:val="1"/>
      <w:numFmt w:val="lowerLetter"/>
      <w:lvlText w:val="%5."/>
      <w:lvlJc w:val="left"/>
      <w:pPr>
        <w:ind w:left="2313" w:hanging="360"/>
      </w:pPr>
    </w:lvl>
    <w:lvl w:ilvl="5" w:tplc="0409001B" w:tentative="1">
      <w:start w:val="1"/>
      <w:numFmt w:val="lowerRoman"/>
      <w:lvlText w:val="%6."/>
      <w:lvlJc w:val="right"/>
      <w:pPr>
        <w:ind w:left="3033" w:hanging="180"/>
      </w:pPr>
    </w:lvl>
    <w:lvl w:ilvl="6" w:tplc="0409000F" w:tentative="1">
      <w:start w:val="1"/>
      <w:numFmt w:val="decimal"/>
      <w:lvlText w:val="%7."/>
      <w:lvlJc w:val="left"/>
      <w:pPr>
        <w:ind w:left="3753" w:hanging="360"/>
      </w:pPr>
    </w:lvl>
    <w:lvl w:ilvl="7" w:tplc="04090019" w:tentative="1">
      <w:start w:val="1"/>
      <w:numFmt w:val="lowerLetter"/>
      <w:lvlText w:val="%8."/>
      <w:lvlJc w:val="left"/>
      <w:pPr>
        <w:ind w:left="4473" w:hanging="360"/>
      </w:pPr>
    </w:lvl>
    <w:lvl w:ilvl="8" w:tplc="0409001B" w:tentative="1">
      <w:start w:val="1"/>
      <w:numFmt w:val="lowerRoman"/>
      <w:lvlText w:val="%9."/>
      <w:lvlJc w:val="right"/>
      <w:pPr>
        <w:ind w:left="5193" w:hanging="180"/>
      </w:pPr>
    </w:lvl>
  </w:abstractNum>
  <w:abstractNum w:abstractNumId="29" w15:restartNumberingAfterBreak="0">
    <w:nsid w:val="505D4BAB"/>
    <w:multiLevelType w:val="hybridMultilevel"/>
    <w:tmpl w:val="4738AEC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5CBA1693"/>
    <w:multiLevelType w:val="hybridMultilevel"/>
    <w:tmpl w:val="2AC4FD5C"/>
    <w:lvl w:ilvl="0" w:tplc="DECCD738">
      <w:start w:val="2"/>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E4B2497"/>
    <w:multiLevelType w:val="hybridMultilevel"/>
    <w:tmpl w:val="BEA66820"/>
    <w:lvl w:ilvl="0" w:tplc="2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101E61"/>
    <w:multiLevelType w:val="hybridMultilevel"/>
    <w:tmpl w:val="2C788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6F50881"/>
    <w:multiLevelType w:val="hybridMultilevel"/>
    <w:tmpl w:val="BFD84E9E"/>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4" w15:restartNumberingAfterBreak="0">
    <w:nsid w:val="6C7F1693"/>
    <w:multiLevelType w:val="multilevel"/>
    <w:tmpl w:val="90685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17C73AB"/>
    <w:multiLevelType w:val="multilevel"/>
    <w:tmpl w:val="5FC45F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75" w:hanging="795"/>
      </w:pPr>
      <w:rPr>
        <w:rFonts w:eastAsia="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5686BED"/>
    <w:multiLevelType w:val="multilevel"/>
    <w:tmpl w:val="4002E6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6752A8C"/>
    <w:multiLevelType w:val="hybridMultilevel"/>
    <w:tmpl w:val="0FFED498"/>
    <w:lvl w:ilvl="0" w:tplc="241A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8" w15:restartNumberingAfterBreak="0">
    <w:nsid w:val="767542E5"/>
    <w:multiLevelType w:val="multilevel"/>
    <w:tmpl w:val="311A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81B6D0B"/>
    <w:multiLevelType w:val="hybridMultilevel"/>
    <w:tmpl w:val="F7728F12"/>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D7058"/>
    <w:multiLevelType w:val="multilevel"/>
    <w:tmpl w:val="3C88A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AED1784"/>
    <w:multiLevelType w:val="hybridMultilevel"/>
    <w:tmpl w:val="967A55E6"/>
    <w:lvl w:ilvl="0" w:tplc="111CD8EE">
      <w:start w:val="4"/>
      <w:numFmt w:val="bullet"/>
      <w:lvlText w:val="-"/>
      <w:lvlJc w:val="left"/>
      <w:pPr>
        <w:ind w:left="144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2" w15:restartNumberingAfterBreak="0">
    <w:nsid w:val="7D423007"/>
    <w:multiLevelType w:val="hybridMultilevel"/>
    <w:tmpl w:val="83B0735A"/>
    <w:lvl w:ilvl="0" w:tplc="D09A2A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6"/>
  </w:num>
  <w:num w:numId="3">
    <w:abstractNumId w:val="28"/>
  </w:num>
  <w:num w:numId="4">
    <w:abstractNumId w:val="18"/>
  </w:num>
  <w:num w:numId="5">
    <w:abstractNumId w:val="1"/>
  </w:num>
  <w:num w:numId="6">
    <w:abstractNumId w:val="27"/>
  </w:num>
  <w:num w:numId="7">
    <w:abstractNumId w:val="37"/>
  </w:num>
  <w:num w:numId="8">
    <w:abstractNumId w:val="31"/>
  </w:num>
  <w:num w:numId="9">
    <w:abstractNumId w:val="12"/>
  </w:num>
  <w:num w:numId="10">
    <w:abstractNumId w:val="33"/>
  </w:num>
  <w:num w:numId="11">
    <w:abstractNumId w:val="2"/>
  </w:num>
  <w:num w:numId="12">
    <w:abstractNumId w:val="6"/>
  </w:num>
  <w:num w:numId="13">
    <w:abstractNumId w:val="23"/>
  </w:num>
  <w:num w:numId="14">
    <w:abstractNumId w:val="38"/>
  </w:num>
  <w:num w:numId="15">
    <w:abstractNumId w:val="3"/>
  </w:num>
  <w:num w:numId="16">
    <w:abstractNumId w:val="17"/>
  </w:num>
  <w:num w:numId="17">
    <w:abstractNumId w:val="40"/>
  </w:num>
  <w:num w:numId="18">
    <w:abstractNumId w:val="8"/>
  </w:num>
  <w:num w:numId="19">
    <w:abstractNumId w:val="35"/>
  </w:num>
  <w:num w:numId="20">
    <w:abstractNumId w:val="34"/>
  </w:num>
  <w:num w:numId="21">
    <w:abstractNumId w:val="19"/>
  </w:num>
  <w:num w:numId="22">
    <w:abstractNumId w:val="26"/>
  </w:num>
  <w:num w:numId="23">
    <w:abstractNumId w:val="22"/>
  </w:num>
  <w:num w:numId="24">
    <w:abstractNumId w:val="24"/>
  </w:num>
  <w:num w:numId="25">
    <w:abstractNumId w:val="42"/>
  </w:num>
  <w:num w:numId="26">
    <w:abstractNumId w:val="5"/>
  </w:num>
  <w:num w:numId="27">
    <w:abstractNumId w:val="20"/>
  </w:num>
  <w:num w:numId="28">
    <w:abstractNumId w:val="13"/>
  </w:num>
  <w:num w:numId="29">
    <w:abstractNumId w:val="10"/>
  </w:num>
  <w:num w:numId="30">
    <w:abstractNumId w:val="39"/>
  </w:num>
  <w:num w:numId="31">
    <w:abstractNumId w:val="16"/>
  </w:num>
  <w:num w:numId="32">
    <w:abstractNumId w:val="15"/>
  </w:num>
  <w:num w:numId="33">
    <w:abstractNumId w:val="29"/>
  </w:num>
  <w:num w:numId="34">
    <w:abstractNumId w:val="25"/>
  </w:num>
  <w:num w:numId="35">
    <w:abstractNumId w:val="41"/>
  </w:num>
  <w:num w:numId="36">
    <w:abstractNumId w:val="30"/>
  </w:num>
  <w:num w:numId="37">
    <w:abstractNumId w:val="0"/>
  </w:num>
  <w:num w:numId="38">
    <w:abstractNumId w:val="21"/>
  </w:num>
  <w:num w:numId="39">
    <w:abstractNumId w:val="11"/>
  </w:num>
  <w:num w:numId="40">
    <w:abstractNumId w:val="4"/>
  </w:num>
  <w:num w:numId="41">
    <w:abstractNumId w:val="14"/>
  </w:num>
  <w:num w:numId="42">
    <w:abstractNumId w:val="9"/>
  </w:num>
  <w:num w:numId="43">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E45"/>
    <w:rsid w:val="00003BB3"/>
    <w:rsid w:val="00007CD6"/>
    <w:rsid w:val="00013E45"/>
    <w:rsid w:val="00015459"/>
    <w:rsid w:val="000407C0"/>
    <w:rsid w:val="000445DE"/>
    <w:rsid w:val="00064A8E"/>
    <w:rsid w:val="00065409"/>
    <w:rsid w:val="00065590"/>
    <w:rsid w:val="00070F53"/>
    <w:rsid w:val="0007103C"/>
    <w:rsid w:val="00071675"/>
    <w:rsid w:val="00072244"/>
    <w:rsid w:val="000812A7"/>
    <w:rsid w:val="00083879"/>
    <w:rsid w:val="00085DC0"/>
    <w:rsid w:val="00090454"/>
    <w:rsid w:val="0009299C"/>
    <w:rsid w:val="000A303D"/>
    <w:rsid w:val="000B55D3"/>
    <w:rsid w:val="000C7AE7"/>
    <w:rsid w:val="000E2ED7"/>
    <w:rsid w:val="000F0564"/>
    <w:rsid w:val="000F61C7"/>
    <w:rsid w:val="000F6695"/>
    <w:rsid w:val="000F733A"/>
    <w:rsid w:val="0010101A"/>
    <w:rsid w:val="00123D5A"/>
    <w:rsid w:val="00135410"/>
    <w:rsid w:val="00144C87"/>
    <w:rsid w:val="00144CAD"/>
    <w:rsid w:val="00145B59"/>
    <w:rsid w:val="0015107B"/>
    <w:rsid w:val="00151938"/>
    <w:rsid w:val="001528F1"/>
    <w:rsid w:val="00156CC0"/>
    <w:rsid w:val="001660C1"/>
    <w:rsid w:val="00170400"/>
    <w:rsid w:val="00171C0D"/>
    <w:rsid w:val="001744AA"/>
    <w:rsid w:val="00177538"/>
    <w:rsid w:val="00182981"/>
    <w:rsid w:val="0018382C"/>
    <w:rsid w:val="00191850"/>
    <w:rsid w:val="001926CD"/>
    <w:rsid w:val="001A7DE4"/>
    <w:rsid w:val="001C06C4"/>
    <w:rsid w:val="001C52B0"/>
    <w:rsid w:val="001D0687"/>
    <w:rsid w:val="001D073F"/>
    <w:rsid w:val="001D701A"/>
    <w:rsid w:val="001E6A65"/>
    <w:rsid w:val="001F5AC2"/>
    <w:rsid w:val="001F7EE8"/>
    <w:rsid w:val="00200677"/>
    <w:rsid w:val="0021361B"/>
    <w:rsid w:val="002178D2"/>
    <w:rsid w:val="0022026D"/>
    <w:rsid w:val="00221945"/>
    <w:rsid w:val="002228BD"/>
    <w:rsid w:val="00230CFE"/>
    <w:rsid w:val="00231AEF"/>
    <w:rsid w:val="00233F04"/>
    <w:rsid w:val="00240FF2"/>
    <w:rsid w:val="00241248"/>
    <w:rsid w:val="00242A58"/>
    <w:rsid w:val="00242F50"/>
    <w:rsid w:val="002467D9"/>
    <w:rsid w:val="00250133"/>
    <w:rsid w:val="00253998"/>
    <w:rsid w:val="00254A2C"/>
    <w:rsid w:val="00254E79"/>
    <w:rsid w:val="00257E8A"/>
    <w:rsid w:val="002612AB"/>
    <w:rsid w:val="00266A1D"/>
    <w:rsid w:val="002735B9"/>
    <w:rsid w:val="00274060"/>
    <w:rsid w:val="00283459"/>
    <w:rsid w:val="00292705"/>
    <w:rsid w:val="002A46D8"/>
    <w:rsid w:val="002A6A39"/>
    <w:rsid w:val="002C0C7A"/>
    <w:rsid w:val="002C1823"/>
    <w:rsid w:val="002C2DFF"/>
    <w:rsid w:val="002C3D46"/>
    <w:rsid w:val="002D6570"/>
    <w:rsid w:val="002D7F0B"/>
    <w:rsid w:val="002E116B"/>
    <w:rsid w:val="002E5BE1"/>
    <w:rsid w:val="002E6B11"/>
    <w:rsid w:val="002F011E"/>
    <w:rsid w:val="002F7637"/>
    <w:rsid w:val="00304478"/>
    <w:rsid w:val="00310088"/>
    <w:rsid w:val="0031545C"/>
    <w:rsid w:val="00316447"/>
    <w:rsid w:val="00326D48"/>
    <w:rsid w:val="00335941"/>
    <w:rsid w:val="00343B37"/>
    <w:rsid w:val="00351CFE"/>
    <w:rsid w:val="00367EEB"/>
    <w:rsid w:val="003752AF"/>
    <w:rsid w:val="0037653D"/>
    <w:rsid w:val="00377844"/>
    <w:rsid w:val="00382951"/>
    <w:rsid w:val="00382EA3"/>
    <w:rsid w:val="0039688F"/>
    <w:rsid w:val="003A1410"/>
    <w:rsid w:val="003A3096"/>
    <w:rsid w:val="003A4014"/>
    <w:rsid w:val="003B002D"/>
    <w:rsid w:val="003B1DB7"/>
    <w:rsid w:val="003B60E0"/>
    <w:rsid w:val="003B6B2D"/>
    <w:rsid w:val="003C70C1"/>
    <w:rsid w:val="003E169C"/>
    <w:rsid w:val="003E7242"/>
    <w:rsid w:val="003F3FC9"/>
    <w:rsid w:val="004006BD"/>
    <w:rsid w:val="00404D57"/>
    <w:rsid w:val="00414E3E"/>
    <w:rsid w:val="00417AB4"/>
    <w:rsid w:val="00417EEC"/>
    <w:rsid w:val="00420CDC"/>
    <w:rsid w:val="00422797"/>
    <w:rsid w:val="004241DB"/>
    <w:rsid w:val="00432ED5"/>
    <w:rsid w:val="00442D4B"/>
    <w:rsid w:val="00447003"/>
    <w:rsid w:val="0045567A"/>
    <w:rsid w:val="00482C67"/>
    <w:rsid w:val="0048636C"/>
    <w:rsid w:val="004869D6"/>
    <w:rsid w:val="00493F9A"/>
    <w:rsid w:val="004A1457"/>
    <w:rsid w:val="004B2D48"/>
    <w:rsid w:val="004C12DD"/>
    <w:rsid w:val="004D791A"/>
    <w:rsid w:val="004D7976"/>
    <w:rsid w:val="004E2872"/>
    <w:rsid w:val="004E3468"/>
    <w:rsid w:val="004F4CF3"/>
    <w:rsid w:val="00501B4F"/>
    <w:rsid w:val="0050218B"/>
    <w:rsid w:val="005050BE"/>
    <w:rsid w:val="00517472"/>
    <w:rsid w:val="005221E8"/>
    <w:rsid w:val="005229F9"/>
    <w:rsid w:val="00525D86"/>
    <w:rsid w:val="00530056"/>
    <w:rsid w:val="005323ED"/>
    <w:rsid w:val="00544A8E"/>
    <w:rsid w:val="005504EB"/>
    <w:rsid w:val="005741D8"/>
    <w:rsid w:val="00580ACD"/>
    <w:rsid w:val="00581CC2"/>
    <w:rsid w:val="005848A2"/>
    <w:rsid w:val="005A1E01"/>
    <w:rsid w:val="005A2E01"/>
    <w:rsid w:val="005A3A42"/>
    <w:rsid w:val="005B28E9"/>
    <w:rsid w:val="005B2DC8"/>
    <w:rsid w:val="005C210C"/>
    <w:rsid w:val="005C22ED"/>
    <w:rsid w:val="005C254A"/>
    <w:rsid w:val="005D11F5"/>
    <w:rsid w:val="005D30C0"/>
    <w:rsid w:val="005D358C"/>
    <w:rsid w:val="005E0409"/>
    <w:rsid w:val="005E215B"/>
    <w:rsid w:val="005E452A"/>
    <w:rsid w:val="005F156A"/>
    <w:rsid w:val="005F4707"/>
    <w:rsid w:val="005F6703"/>
    <w:rsid w:val="00607C4B"/>
    <w:rsid w:val="006226F8"/>
    <w:rsid w:val="00632DF1"/>
    <w:rsid w:val="0064543B"/>
    <w:rsid w:val="00645DED"/>
    <w:rsid w:val="00647067"/>
    <w:rsid w:val="00650D7E"/>
    <w:rsid w:val="00653D7D"/>
    <w:rsid w:val="00655CAC"/>
    <w:rsid w:val="006646E5"/>
    <w:rsid w:val="00665F91"/>
    <w:rsid w:val="0066729F"/>
    <w:rsid w:val="0068171A"/>
    <w:rsid w:val="00682308"/>
    <w:rsid w:val="00684C00"/>
    <w:rsid w:val="006A7830"/>
    <w:rsid w:val="006A7DC1"/>
    <w:rsid w:val="006B580E"/>
    <w:rsid w:val="006B5C63"/>
    <w:rsid w:val="006B7F5D"/>
    <w:rsid w:val="006D2C12"/>
    <w:rsid w:val="006D32FE"/>
    <w:rsid w:val="006D3C26"/>
    <w:rsid w:val="006D4774"/>
    <w:rsid w:val="006D4F50"/>
    <w:rsid w:val="006E2F35"/>
    <w:rsid w:val="006E5532"/>
    <w:rsid w:val="006F1188"/>
    <w:rsid w:val="006F6267"/>
    <w:rsid w:val="007014CC"/>
    <w:rsid w:val="007045A5"/>
    <w:rsid w:val="0071093F"/>
    <w:rsid w:val="00711AC4"/>
    <w:rsid w:val="00711F0F"/>
    <w:rsid w:val="00717661"/>
    <w:rsid w:val="00720294"/>
    <w:rsid w:val="0072220E"/>
    <w:rsid w:val="007314C4"/>
    <w:rsid w:val="007447C6"/>
    <w:rsid w:val="00746A05"/>
    <w:rsid w:val="0075492C"/>
    <w:rsid w:val="00757AF8"/>
    <w:rsid w:val="007709A2"/>
    <w:rsid w:val="00772D5C"/>
    <w:rsid w:val="007818C0"/>
    <w:rsid w:val="00782B5E"/>
    <w:rsid w:val="00785EA0"/>
    <w:rsid w:val="00786E25"/>
    <w:rsid w:val="00792080"/>
    <w:rsid w:val="00793503"/>
    <w:rsid w:val="007A12E4"/>
    <w:rsid w:val="007B0BA4"/>
    <w:rsid w:val="007B17F2"/>
    <w:rsid w:val="007B224F"/>
    <w:rsid w:val="007B53A1"/>
    <w:rsid w:val="007C09A1"/>
    <w:rsid w:val="007C7F16"/>
    <w:rsid w:val="007D16F1"/>
    <w:rsid w:val="007D4138"/>
    <w:rsid w:val="007E0940"/>
    <w:rsid w:val="007E2AC1"/>
    <w:rsid w:val="007E7D53"/>
    <w:rsid w:val="007F1B2E"/>
    <w:rsid w:val="008002C5"/>
    <w:rsid w:val="0080068F"/>
    <w:rsid w:val="00810FB4"/>
    <w:rsid w:val="00811139"/>
    <w:rsid w:val="008146B2"/>
    <w:rsid w:val="008219FA"/>
    <w:rsid w:val="0083277F"/>
    <w:rsid w:val="008427F5"/>
    <w:rsid w:val="00845616"/>
    <w:rsid w:val="008559C7"/>
    <w:rsid w:val="00855C1A"/>
    <w:rsid w:val="0086327D"/>
    <w:rsid w:val="00863D81"/>
    <w:rsid w:val="00866A0C"/>
    <w:rsid w:val="00867DA9"/>
    <w:rsid w:val="00870C43"/>
    <w:rsid w:val="00887D33"/>
    <w:rsid w:val="00892B5F"/>
    <w:rsid w:val="008A104B"/>
    <w:rsid w:val="008A1C32"/>
    <w:rsid w:val="008A6BBC"/>
    <w:rsid w:val="008B19D9"/>
    <w:rsid w:val="008B1E68"/>
    <w:rsid w:val="008C09CE"/>
    <w:rsid w:val="008D0B20"/>
    <w:rsid w:val="008D571D"/>
    <w:rsid w:val="008D5907"/>
    <w:rsid w:val="008D6119"/>
    <w:rsid w:val="00900131"/>
    <w:rsid w:val="00906A79"/>
    <w:rsid w:val="00907C16"/>
    <w:rsid w:val="009138AA"/>
    <w:rsid w:val="009155AC"/>
    <w:rsid w:val="0093170B"/>
    <w:rsid w:val="00947835"/>
    <w:rsid w:val="00951A41"/>
    <w:rsid w:val="00964308"/>
    <w:rsid w:val="0096544B"/>
    <w:rsid w:val="00970694"/>
    <w:rsid w:val="00976567"/>
    <w:rsid w:val="00981EDA"/>
    <w:rsid w:val="00984B70"/>
    <w:rsid w:val="00994AB3"/>
    <w:rsid w:val="009B3995"/>
    <w:rsid w:val="009B547E"/>
    <w:rsid w:val="009B5B8F"/>
    <w:rsid w:val="009C5740"/>
    <w:rsid w:val="009C722F"/>
    <w:rsid w:val="009C7CA6"/>
    <w:rsid w:val="009D1694"/>
    <w:rsid w:val="009D1FF5"/>
    <w:rsid w:val="009D40E9"/>
    <w:rsid w:val="009D57DF"/>
    <w:rsid w:val="009F0F94"/>
    <w:rsid w:val="00A07BD4"/>
    <w:rsid w:val="00A1055B"/>
    <w:rsid w:val="00A16727"/>
    <w:rsid w:val="00A22A80"/>
    <w:rsid w:val="00A25B7B"/>
    <w:rsid w:val="00A25CBF"/>
    <w:rsid w:val="00A33698"/>
    <w:rsid w:val="00A338B6"/>
    <w:rsid w:val="00A50A4F"/>
    <w:rsid w:val="00A60DAA"/>
    <w:rsid w:val="00A61229"/>
    <w:rsid w:val="00A61F53"/>
    <w:rsid w:val="00A659CF"/>
    <w:rsid w:val="00A71217"/>
    <w:rsid w:val="00A714D4"/>
    <w:rsid w:val="00A72B26"/>
    <w:rsid w:val="00A773EE"/>
    <w:rsid w:val="00A87854"/>
    <w:rsid w:val="00A87BEA"/>
    <w:rsid w:val="00A90281"/>
    <w:rsid w:val="00A96CB5"/>
    <w:rsid w:val="00AA4EBB"/>
    <w:rsid w:val="00AB7E1A"/>
    <w:rsid w:val="00AD2744"/>
    <w:rsid w:val="00AD4317"/>
    <w:rsid w:val="00AD4808"/>
    <w:rsid w:val="00AE0D71"/>
    <w:rsid w:val="00AE6F92"/>
    <w:rsid w:val="00AF3A20"/>
    <w:rsid w:val="00AF4D91"/>
    <w:rsid w:val="00B02FA5"/>
    <w:rsid w:val="00B17016"/>
    <w:rsid w:val="00B247D0"/>
    <w:rsid w:val="00B31DA6"/>
    <w:rsid w:val="00B50012"/>
    <w:rsid w:val="00B51E0B"/>
    <w:rsid w:val="00B66301"/>
    <w:rsid w:val="00B706A6"/>
    <w:rsid w:val="00B9266B"/>
    <w:rsid w:val="00B93745"/>
    <w:rsid w:val="00BA061E"/>
    <w:rsid w:val="00BA4A33"/>
    <w:rsid w:val="00BB4F07"/>
    <w:rsid w:val="00BB77DE"/>
    <w:rsid w:val="00BC09A9"/>
    <w:rsid w:val="00BD5A90"/>
    <w:rsid w:val="00BD77B6"/>
    <w:rsid w:val="00BE1DB0"/>
    <w:rsid w:val="00BE1FDE"/>
    <w:rsid w:val="00BF47DD"/>
    <w:rsid w:val="00C01B3B"/>
    <w:rsid w:val="00C04294"/>
    <w:rsid w:val="00C215AF"/>
    <w:rsid w:val="00C2585D"/>
    <w:rsid w:val="00C40271"/>
    <w:rsid w:val="00C4658C"/>
    <w:rsid w:val="00C500DD"/>
    <w:rsid w:val="00C5288B"/>
    <w:rsid w:val="00C549F3"/>
    <w:rsid w:val="00C5657A"/>
    <w:rsid w:val="00C56A01"/>
    <w:rsid w:val="00C56F57"/>
    <w:rsid w:val="00C632C6"/>
    <w:rsid w:val="00C639DB"/>
    <w:rsid w:val="00C63E09"/>
    <w:rsid w:val="00C70E46"/>
    <w:rsid w:val="00C72152"/>
    <w:rsid w:val="00C735B5"/>
    <w:rsid w:val="00C818DE"/>
    <w:rsid w:val="00C83CAE"/>
    <w:rsid w:val="00C9119C"/>
    <w:rsid w:val="00CA4DF7"/>
    <w:rsid w:val="00CB4673"/>
    <w:rsid w:val="00CB6929"/>
    <w:rsid w:val="00CB7043"/>
    <w:rsid w:val="00CC4B5A"/>
    <w:rsid w:val="00CC546A"/>
    <w:rsid w:val="00CC7995"/>
    <w:rsid w:val="00CD063A"/>
    <w:rsid w:val="00CD327E"/>
    <w:rsid w:val="00CD603E"/>
    <w:rsid w:val="00CE5B6A"/>
    <w:rsid w:val="00CF4902"/>
    <w:rsid w:val="00CF7E1E"/>
    <w:rsid w:val="00D008ED"/>
    <w:rsid w:val="00D12F6C"/>
    <w:rsid w:val="00D16595"/>
    <w:rsid w:val="00D168D9"/>
    <w:rsid w:val="00D32C1C"/>
    <w:rsid w:val="00D4392F"/>
    <w:rsid w:val="00D51C8A"/>
    <w:rsid w:val="00D5578B"/>
    <w:rsid w:val="00D5734C"/>
    <w:rsid w:val="00D575A6"/>
    <w:rsid w:val="00D605E5"/>
    <w:rsid w:val="00D6072C"/>
    <w:rsid w:val="00D607C7"/>
    <w:rsid w:val="00D626CC"/>
    <w:rsid w:val="00D63D69"/>
    <w:rsid w:val="00D72DB7"/>
    <w:rsid w:val="00D80118"/>
    <w:rsid w:val="00D80625"/>
    <w:rsid w:val="00D81048"/>
    <w:rsid w:val="00D84FEF"/>
    <w:rsid w:val="00D87D3F"/>
    <w:rsid w:val="00D90BCC"/>
    <w:rsid w:val="00D91F0A"/>
    <w:rsid w:val="00D93CE8"/>
    <w:rsid w:val="00D95D87"/>
    <w:rsid w:val="00DA5292"/>
    <w:rsid w:val="00DB6E29"/>
    <w:rsid w:val="00DC582D"/>
    <w:rsid w:val="00DE0EB3"/>
    <w:rsid w:val="00DE1EFB"/>
    <w:rsid w:val="00DE2FE5"/>
    <w:rsid w:val="00DE537F"/>
    <w:rsid w:val="00DF3302"/>
    <w:rsid w:val="00DF71EC"/>
    <w:rsid w:val="00DF7F8C"/>
    <w:rsid w:val="00E037B5"/>
    <w:rsid w:val="00E04DF3"/>
    <w:rsid w:val="00E04F87"/>
    <w:rsid w:val="00E070C5"/>
    <w:rsid w:val="00E1470E"/>
    <w:rsid w:val="00E154FB"/>
    <w:rsid w:val="00E377DF"/>
    <w:rsid w:val="00E425DF"/>
    <w:rsid w:val="00E50DDA"/>
    <w:rsid w:val="00E54E85"/>
    <w:rsid w:val="00E70CCA"/>
    <w:rsid w:val="00E71797"/>
    <w:rsid w:val="00E7215B"/>
    <w:rsid w:val="00E7542B"/>
    <w:rsid w:val="00E75981"/>
    <w:rsid w:val="00E760DC"/>
    <w:rsid w:val="00E7731A"/>
    <w:rsid w:val="00E842E2"/>
    <w:rsid w:val="00E84647"/>
    <w:rsid w:val="00E85E2F"/>
    <w:rsid w:val="00E864B8"/>
    <w:rsid w:val="00E91D9B"/>
    <w:rsid w:val="00E95ED1"/>
    <w:rsid w:val="00EB3997"/>
    <w:rsid w:val="00EC454D"/>
    <w:rsid w:val="00ED1A4C"/>
    <w:rsid w:val="00ED312F"/>
    <w:rsid w:val="00ED50E8"/>
    <w:rsid w:val="00ED5477"/>
    <w:rsid w:val="00ED64F4"/>
    <w:rsid w:val="00ED78F1"/>
    <w:rsid w:val="00EE4E56"/>
    <w:rsid w:val="00EE5D2C"/>
    <w:rsid w:val="00EE676A"/>
    <w:rsid w:val="00EF5295"/>
    <w:rsid w:val="00F00839"/>
    <w:rsid w:val="00F0125E"/>
    <w:rsid w:val="00F07425"/>
    <w:rsid w:val="00F10FAD"/>
    <w:rsid w:val="00F1184D"/>
    <w:rsid w:val="00F23E7F"/>
    <w:rsid w:val="00F33518"/>
    <w:rsid w:val="00F436BD"/>
    <w:rsid w:val="00F43790"/>
    <w:rsid w:val="00F441B6"/>
    <w:rsid w:val="00F44CA3"/>
    <w:rsid w:val="00F44D71"/>
    <w:rsid w:val="00F50430"/>
    <w:rsid w:val="00F50C49"/>
    <w:rsid w:val="00F51086"/>
    <w:rsid w:val="00F60B89"/>
    <w:rsid w:val="00F67212"/>
    <w:rsid w:val="00F71925"/>
    <w:rsid w:val="00F745F4"/>
    <w:rsid w:val="00F81654"/>
    <w:rsid w:val="00F81745"/>
    <w:rsid w:val="00F82961"/>
    <w:rsid w:val="00F84840"/>
    <w:rsid w:val="00F84A8A"/>
    <w:rsid w:val="00F87197"/>
    <w:rsid w:val="00F93637"/>
    <w:rsid w:val="00F940C8"/>
    <w:rsid w:val="00F94DEB"/>
    <w:rsid w:val="00F96827"/>
    <w:rsid w:val="00F973AA"/>
    <w:rsid w:val="00FB2FD8"/>
    <w:rsid w:val="00FD290A"/>
    <w:rsid w:val="00FD516F"/>
    <w:rsid w:val="00FE0B44"/>
    <w:rsid w:val="00FE2972"/>
    <w:rsid w:val="00FF12E9"/>
    <w:rsid w:val="00FF2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32F1C5"/>
  <w15:docId w15:val="{57627DC8-BE18-4D55-89FC-FEEB60F0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r-Latn-RS"/>
    </w:rPr>
  </w:style>
  <w:style w:type="paragraph" w:styleId="Heading1">
    <w:name w:val="heading 1"/>
    <w:basedOn w:val="Normal"/>
    <w:link w:val="Heading1Char"/>
    <w:uiPriority w:val="9"/>
    <w:qFormat/>
    <w:rsid w:val="00C40271"/>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iPriority w:val="9"/>
    <w:semiHidden/>
    <w:unhideWhenUsed/>
    <w:qFormat/>
    <w:rsid w:val="00F4379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3E45"/>
    <w:pPr>
      <w:spacing w:after="0" w:line="240" w:lineRule="auto"/>
    </w:pPr>
    <w:rPr>
      <w:rFonts w:ascii="Arial" w:eastAsia="Times New Roman" w:hAnsi="Arial" w:cs="Arial"/>
      <w:sz w:val="20"/>
      <w:szCs w:val="20"/>
      <w:lang w:eastAsia="sr-Latn-RS"/>
    </w:rPr>
  </w:style>
  <w:style w:type="paragraph" w:styleId="NoSpacing">
    <w:name w:val="No Spacing"/>
    <w:basedOn w:val="Normal"/>
    <w:link w:val="NoSpacingChar"/>
    <w:uiPriority w:val="1"/>
    <w:qFormat/>
    <w:rsid w:val="00013E45"/>
    <w:pPr>
      <w:spacing w:after="0" w:line="240" w:lineRule="auto"/>
    </w:pPr>
    <w:rPr>
      <w:rFonts w:ascii="Arial" w:eastAsia="Times New Roman" w:hAnsi="Arial" w:cs="Arial"/>
      <w:sz w:val="20"/>
      <w:szCs w:val="20"/>
      <w:lang w:eastAsia="sr-Latn-RS"/>
    </w:rPr>
  </w:style>
  <w:style w:type="paragraph" w:styleId="ListParagraph">
    <w:name w:val="List Paragraph"/>
    <w:basedOn w:val="Normal"/>
    <w:uiPriority w:val="34"/>
    <w:qFormat/>
    <w:rsid w:val="00013E45"/>
    <w:pPr>
      <w:spacing w:after="0" w:line="240" w:lineRule="auto"/>
    </w:pPr>
    <w:rPr>
      <w:rFonts w:ascii="Arial" w:eastAsia="Times New Roman" w:hAnsi="Arial" w:cs="Arial"/>
      <w:sz w:val="20"/>
      <w:szCs w:val="20"/>
      <w:lang w:eastAsia="sr-Latn-RS"/>
    </w:rPr>
  </w:style>
  <w:style w:type="paragraph" w:customStyle="1" w:styleId="section1">
    <w:name w:val="section1"/>
    <w:basedOn w:val="Normal"/>
    <w:rsid w:val="00013E45"/>
    <w:pPr>
      <w:spacing w:after="0" w:line="240" w:lineRule="auto"/>
    </w:pPr>
    <w:rPr>
      <w:rFonts w:ascii="Arial" w:eastAsia="Times New Roman" w:hAnsi="Arial" w:cs="Arial"/>
      <w:sz w:val="20"/>
      <w:szCs w:val="20"/>
      <w:lang w:eastAsia="sr-Latn-RS"/>
    </w:rPr>
  </w:style>
  <w:style w:type="paragraph" w:customStyle="1" w:styleId="Normal1">
    <w:name w:val="Normal1"/>
    <w:basedOn w:val="Normal"/>
    <w:rsid w:val="00013E45"/>
    <w:pPr>
      <w:spacing w:after="0" w:line="240" w:lineRule="auto"/>
    </w:pPr>
    <w:rPr>
      <w:rFonts w:ascii="Arial" w:eastAsia="Times New Roman" w:hAnsi="Arial" w:cs="Arial"/>
      <w:sz w:val="20"/>
      <w:szCs w:val="20"/>
      <w:lang w:eastAsia="sr-Latn-RS"/>
    </w:rPr>
  </w:style>
  <w:style w:type="character" w:styleId="Strong">
    <w:name w:val="Strong"/>
    <w:uiPriority w:val="22"/>
    <w:qFormat/>
    <w:rsid w:val="00013E45"/>
    <w:rPr>
      <w:b/>
      <w:bCs/>
    </w:rPr>
  </w:style>
  <w:style w:type="character" w:styleId="CommentReference">
    <w:name w:val="annotation reference"/>
    <w:uiPriority w:val="99"/>
    <w:semiHidden/>
    <w:unhideWhenUsed/>
    <w:rsid w:val="008D6119"/>
    <w:rPr>
      <w:sz w:val="16"/>
      <w:szCs w:val="16"/>
    </w:rPr>
  </w:style>
  <w:style w:type="paragraph" w:styleId="CommentText">
    <w:name w:val="annotation text"/>
    <w:basedOn w:val="Normal"/>
    <w:link w:val="CommentTextChar"/>
    <w:uiPriority w:val="99"/>
    <w:semiHidden/>
    <w:unhideWhenUsed/>
    <w:rsid w:val="008D6119"/>
    <w:pPr>
      <w:spacing w:line="240" w:lineRule="auto"/>
    </w:pPr>
    <w:rPr>
      <w:sz w:val="20"/>
      <w:szCs w:val="20"/>
    </w:rPr>
  </w:style>
  <w:style w:type="character" w:customStyle="1" w:styleId="CommentTextChar">
    <w:name w:val="Comment Text Char"/>
    <w:link w:val="CommentText"/>
    <w:uiPriority w:val="99"/>
    <w:semiHidden/>
    <w:rsid w:val="008D6119"/>
    <w:rPr>
      <w:sz w:val="20"/>
      <w:szCs w:val="20"/>
    </w:rPr>
  </w:style>
  <w:style w:type="paragraph" w:styleId="CommentSubject">
    <w:name w:val="annotation subject"/>
    <w:basedOn w:val="CommentText"/>
    <w:next w:val="CommentText"/>
    <w:link w:val="CommentSubjectChar"/>
    <w:uiPriority w:val="99"/>
    <w:semiHidden/>
    <w:unhideWhenUsed/>
    <w:rsid w:val="008D6119"/>
    <w:rPr>
      <w:b/>
      <w:bCs/>
    </w:rPr>
  </w:style>
  <w:style w:type="character" w:customStyle="1" w:styleId="CommentSubjectChar">
    <w:name w:val="Comment Subject Char"/>
    <w:link w:val="CommentSubject"/>
    <w:uiPriority w:val="99"/>
    <w:semiHidden/>
    <w:rsid w:val="008D6119"/>
    <w:rPr>
      <w:b/>
      <w:bCs/>
      <w:sz w:val="20"/>
      <w:szCs w:val="20"/>
    </w:rPr>
  </w:style>
  <w:style w:type="paragraph" w:styleId="BalloonText">
    <w:name w:val="Balloon Text"/>
    <w:basedOn w:val="Normal"/>
    <w:link w:val="BalloonTextChar"/>
    <w:uiPriority w:val="99"/>
    <w:semiHidden/>
    <w:unhideWhenUsed/>
    <w:rsid w:val="008D61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D6119"/>
    <w:rPr>
      <w:rFonts w:ascii="Tahoma" w:hAnsi="Tahoma" w:cs="Tahoma"/>
      <w:sz w:val="16"/>
      <w:szCs w:val="16"/>
    </w:rPr>
  </w:style>
  <w:style w:type="character" w:customStyle="1" w:styleId="NoSpacingChar">
    <w:name w:val="No Spacing Char"/>
    <w:link w:val="NoSpacing"/>
    <w:uiPriority w:val="1"/>
    <w:rsid w:val="00B66301"/>
    <w:rPr>
      <w:rFonts w:ascii="Arial" w:eastAsia="Times New Roman" w:hAnsi="Arial" w:cs="Arial"/>
      <w:sz w:val="20"/>
      <w:szCs w:val="20"/>
      <w:lang w:eastAsia="sr-Latn-RS"/>
    </w:rPr>
  </w:style>
  <w:style w:type="paragraph" w:styleId="Header">
    <w:name w:val="header"/>
    <w:basedOn w:val="Normal"/>
    <w:link w:val="HeaderChar"/>
    <w:uiPriority w:val="99"/>
    <w:unhideWhenUsed/>
    <w:rsid w:val="00A60DAA"/>
    <w:pPr>
      <w:tabs>
        <w:tab w:val="center" w:pos="4703"/>
        <w:tab w:val="right" w:pos="9406"/>
      </w:tabs>
      <w:spacing w:after="0" w:line="240" w:lineRule="auto"/>
    </w:pPr>
  </w:style>
  <w:style w:type="character" w:customStyle="1" w:styleId="HeaderChar">
    <w:name w:val="Header Char"/>
    <w:basedOn w:val="DefaultParagraphFont"/>
    <w:link w:val="Header"/>
    <w:uiPriority w:val="99"/>
    <w:rsid w:val="00A60DAA"/>
  </w:style>
  <w:style w:type="paragraph" w:styleId="Footer">
    <w:name w:val="footer"/>
    <w:basedOn w:val="Normal"/>
    <w:link w:val="FooterChar"/>
    <w:uiPriority w:val="99"/>
    <w:unhideWhenUsed/>
    <w:rsid w:val="00A60D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60DAA"/>
  </w:style>
  <w:style w:type="table" w:styleId="TableGrid">
    <w:name w:val="Table Grid"/>
    <w:basedOn w:val="TableNormal"/>
    <w:uiPriority w:val="59"/>
    <w:rsid w:val="009F0F94"/>
    <w:rPr>
      <w:sz w:val="22"/>
      <w:szCs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C40271"/>
    <w:rPr>
      <w:rFonts w:ascii="Times New Roman" w:eastAsia="Times New Roman" w:hAnsi="Times New Roman"/>
      <w:b/>
      <w:bCs/>
      <w:kern w:val="36"/>
      <w:sz w:val="48"/>
      <w:szCs w:val="48"/>
    </w:rPr>
  </w:style>
  <w:style w:type="paragraph" w:styleId="BodyText">
    <w:name w:val="Body Text"/>
    <w:basedOn w:val="Normal"/>
    <w:link w:val="BodyText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Char">
    <w:name w:val="Body Text Char"/>
    <w:link w:val="BodyText"/>
    <w:uiPriority w:val="99"/>
    <w:rsid w:val="00C40271"/>
    <w:rPr>
      <w:rFonts w:ascii="Times New Roman" w:eastAsia="Times New Roman" w:hAnsi="Times New Roman"/>
      <w:sz w:val="24"/>
      <w:szCs w:val="24"/>
    </w:rPr>
  </w:style>
  <w:style w:type="paragraph" w:styleId="BodyTextIndent">
    <w:name w:val="Body Text Indent"/>
    <w:basedOn w:val="Normal"/>
    <w:link w:val="BodyTextIndent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IndentChar">
    <w:name w:val="Body Text Indent Char"/>
    <w:link w:val="BodyTextIndent"/>
    <w:uiPriority w:val="99"/>
    <w:rsid w:val="00C40271"/>
    <w:rPr>
      <w:rFonts w:ascii="Times New Roman" w:eastAsia="Times New Roman" w:hAnsi="Times New Roman"/>
      <w:sz w:val="24"/>
      <w:szCs w:val="24"/>
    </w:rPr>
  </w:style>
  <w:style w:type="paragraph" w:styleId="BodyText2">
    <w:name w:val="Body Text 2"/>
    <w:basedOn w:val="Normal"/>
    <w:link w:val="BodyText2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2Char">
    <w:name w:val="Body Text 2 Char"/>
    <w:link w:val="BodyText2"/>
    <w:uiPriority w:val="99"/>
    <w:rsid w:val="00C40271"/>
    <w:rPr>
      <w:rFonts w:ascii="Times New Roman" w:eastAsia="Times New Roman" w:hAnsi="Times New Roman"/>
      <w:sz w:val="24"/>
      <w:szCs w:val="24"/>
    </w:rPr>
  </w:style>
  <w:style w:type="paragraph" w:styleId="BodyText3">
    <w:name w:val="Body Text 3"/>
    <w:basedOn w:val="Normal"/>
    <w:link w:val="BodyText3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3Char">
    <w:name w:val="Body Text 3 Char"/>
    <w:link w:val="BodyText3"/>
    <w:uiPriority w:val="99"/>
    <w:rsid w:val="00C40271"/>
    <w:rPr>
      <w:rFonts w:ascii="Times New Roman" w:eastAsia="Times New Roman" w:hAnsi="Times New Roman"/>
      <w:sz w:val="24"/>
      <w:szCs w:val="24"/>
    </w:rPr>
  </w:style>
  <w:style w:type="paragraph" w:customStyle="1" w:styleId="ww-bodytextindent2">
    <w:name w:val="ww-bodytextindent2"/>
    <w:basedOn w:val="Normal"/>
    <w:rsid w:val="00C40271"/>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D5578B"/>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C210C"/>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F43790"/>
    <w:rPr>
      <w:rFonts w:asciiTheme="majorHAnsi" w:eastAsiaTheme="majorEastAsia" w:hAnsiTheme="majorHAnsi" w:cstheme="majorBidi"/>
      <w:color w:val="365F91" w:themeColor="accent1" w:themeShade="BF"/>
      <w:sz w:val="26"/>
      <w:szCs w:val="26"/>
      <w:lang w:val="sr-Latn-RS"/>
    </w:rPr>
  </w:style>
  <w:style w:type="character" w:styleId="Hyperlink">
    <w:name w:val="Hyperlink"/>
    <w:basedOn w:val="DefaultParagraphFont"/>
    <w:uiPriority w:val="99"/>
    <w:unhideWhenUsed/>
    <w:rsid w:val="00F67212"/>
    <w:rPr>
      <w:color w:val="0000FF" w:themeColor="hyperlink"/>
      <w:u w:val="single"/>
    </w:rPr>
  </w:style>
  <w:style w:type="paragraph" w:customStyle="1" w:styleId="Default">
    <w:name w:val="Default"/>
    <w:rsid w:val="00F67212"/>
    <w:pPr>
      <w:autoSpaceDE w:val="0"/>
      <w:autoSpaceDN w:val="0"/>
      <w:adjustRightInd w:val="0"/>
    </w:pPr>
    <w:rPr>
      <w:rFonts w:ascii="Arial" w:hAnsi="Arial" w:cs="Arial"/>
      <w:color w:val="000000"/>
      <w:sz w:val="24"/>
      <w:szCs w:val="24"/>
      <w:lang w:val="sr-Latn-RS"/>
    </w:rPr>
  </w:style>
  <w:style w:type="paragraph" w:customStyle="1" w:styleId="xmsonormal">
    <w:name w:val="x_msonormal"/>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xmsobodytext">
    <w:name w:val="x_msobodytext"/>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3">
    <w:name w:val="Table Grid3"/>
    <w:basedOn w:val="TableNormal"/>
    <w:next w:val="TableGrid"/>
    <w:uiPriority w:val="59"/>
    <w:rsid w:val="00866A0C"/>
    <w:rPr>
      <w:rFonts w:asciiTheme="minorHAnsi" w:eastAsiaTheme="minorHAnsi" w:hAnsiTheme="minorHAnsi" w:cstheme="minorBidi"/>
      <w:sz w:val="22"/>
      <w:szCs w:val="22"/>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811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36304">
      <w:bodyDiv w:val="1"/>
      <w:marLeft w:val="0"/>
      <w:marRight w:val="0"/>
      <w:marTop w:val="0"/>
      <w:marBottom w:val="0"/>
      <w:divBdr>
        <w:top w:val="none" w:sz="0" w:space="0" w:color="auto"/>
        <w:left w:val="none" w:sz="0" w:space="0" w:color="auto"/>
        <w:bottom w:val="none" w:sz="0" w:space="0" w:color="auto"/>
        <w:right w:val="none" w:sz="0" w:space="0" w:color="auto"/>
      </w:divBdr>
    </w:div>
    <w:div w:id="360978645">
      <w:bodyDiv w:val="1"/>
      <w:marLeft w:val="0"/>
      <w:marRight w:val="0"/>
      <w:marTop w:val="0"/>
      <w:marBottom w:val="0"/>
      <w:divBdr>
        <w:top w:val="none" w:sz="0" w:space="0" w:color="auto"/>
        <w:left w:val="none" w:sz="0" w:space="0" w:color="auto"/>
        <w:bottom w:val="none" w:sz="0" w:space="0" w:color="auto"/>
        <w:right w:val="none" w:sz="0" w:space="0" w:color="auto"/>
      </w:divBdr>
    </w:div>
    <w:div w:id="395470297">
      <w:bodyDiv w:val="1"/>
      <w:marLeft w:val="0"/>
      <w:marRight w:val="0"/>
      <w:marTop w:val="0"/>
      <w:marBottom w:val="0"/>
      <w:divBdr>
        <w:top w:val="none" w:sz="0" w:space="0" w:color="auto"/>
        <w:left w:val="none" w:sz="0" w:space="0" w:color="auto"/>
        <w:bottom w:val="none" w:sz="0" w:space="0" w:color="auto"/>
        <w:right w:val="none" w:sz="0" w:space="0" w:color="auto"/>
      </w:divBdr>
    </w:div>
    <w:div w:id="412049174">
      <w:bodyDiv w:val="1"/>
      <w:marLeft w:val="0"/>
      <w:marRight w:val="0"/>
      <w:marTop w:val="0"/>
      <w:marBottom w:val="0"/>
      <w:divBdr>
        <w:top w:val="none" w:sz="0" w:space="0" w:color="auto"/>
        <w:left w:val="none" w:sz="0" w:space="0" w:color="auto"/>
        <w:bottom w:val="none" w:sz="0" w:space="0" w:color="auto"/>
        <w:right w:val="none" w:sz="0" w:space="0" w:color="auto"/>
      </w:divBdr>
    </w:div>
    <w:div w:id="496115741">
      <w:bodyDiv w:val="1"/>
      <w:marLeft w:val="0"/>
      <w:marRight w:val="0"/>
      <w:marTop w:val="0"/>
      <w:marBottom w:val="0"/>
      <w:divBdr>
        <w:top w:val="none" w:sz="0" w:space="0" w:color="auto"/>
        <w:left w:val="none" w:sz="0" w:space="0" w:color="auto"/>
        <w:bottom w:val="none" w:sz="0" w:space="0" w:color="auto"/>
        <w:right w:val="none" w:sz="0" w:space="0" w:color="auto"/>
      </w:divBdr>
    </w:div>
    <w:div w:id="496917949">
      <w:bodyDiv w:val="1"/>
      <w:marLeft w:val="0"/>
      <w:marRight w:val="0"/>
      <w:marTop w:val="0"/>
      <w:marBottom w:val="0"/>
      <w:divBdr>
        <w:top w:val="none" w:sz="0" w:space="0" w:color="auto"/>
        <w:left w:val="none" w:sz="0" w:space="0" w:color="auto"/>
        <w:bottom w:val="none" w:sz="0" w:space="0" w:color="auto"/>
        <w:right w:val="none" w:sz="0" w:space="0" w:color="auto"/>
      </w:divBdr>
    </w:div>
    <w:div w:id="616529627">
      <w:bodyDiv w:val="1"/>
      <w:marLeft w:val="0"/>
      <w:marRight w:val="0"/>
      <w:marTop w:val="0"/>
      <w:marBottom w:val="0"/>
      <w:divBdr>
        <w:top w:val="none" w:sz="0" w:space="0" w:color="auto"/>
        <w:left w:val="none" w:sz="0" w:space="0" w:color="auto"/>
        <w:bottom w:val="none" w:sz="0" w:space="0" w:color="auto"/>
        <w:right w:val="none" w:sz="0" w:space="0" w:color="auto"/>
      </w:divBdr>
      <w:divsChild>
        <w:div w:id="1948928934">
          <w:marLeft w:val="0"/>
          <w:marRight w:val="0"/>
          <w:marTop w:val="0"/>
          <w:marBottom w:val="0"/>
          <w:divBdr>
            <w:top w:val="single" w:sz="6" w:space="0" w:color="FF0000"/>
            <w:left w:val="single" w:sz="6" w:space="0" w:color="FF0000"/>
            <w:bottom w:val="single" w:sz="6" w:space="0" w:color="FF0000"/>
            <w:right w:val="single" w:sz="6" w:space="0" w:color="FF0000"/>
          </w:divBdr>
          <w:divsChild>
            <w:div w:id="2091727826">
              <w:marLeft w:val="0"/>
              <w:marRight w:val="0"/>
              <w:marTop w:val="0"/>
              <w:marBottom w:val="0"/>
              <w:divBdr>
                <w:top w:val="single" w:sz="2" w:space="1" w:color="808080"/>
                <w:left w:val="single" w:sz="2" w:space="4" w:color="808080"/>
                <w:bottom w:val="single" w:sz="2" w:space="1" w:color="808080"/>
                <w:right w:val="single" w:sz="2" w:space="9" w:color="808080"/>
              </w:divBdr>
            </w:div>
          </w:divsChild>
        </w:div>
      </w:divsChild>
    </w:div>
    <w:div w:id="1042630406">
      <w:bodyDiv w:val="1"/>
      <w:marLeft w:val="0"/>
      <w:marRight w:val="0"/>
      <w:marTop w:val="0"/>
      <w:marBottom w:val="0"/>
      <w:divBdr>
        <w:top w:val="none" w:sz="0" w:space="0" w:color="auto"/>
        <w:left w:val="none" w:sz="0" w:space="0" w:color="auto"/>
        <w:bottom w:val="none" w:sz="0" w:space="0" w:color="auto"/>
        <w:right w:val="none" w:sz="0" w:space="0" w:color="auto"/>
      </w:divBdr>
      <w:divsChild>
        <w:div w:id="333730299">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133786438">
      <w:bodyDiv w:val="1"/>
      <w:marLeft w:val="0"/>
      <w:marRight w:val="0"/>
      <w:marTop w:val="0"/>
      <w:marBottom w:val="0"/>
      <w:divBdr>
        <w:top w:val="none" w:sz="0" w:space="0" w:color="auto"/>
        <w:left w:val="none" w:sz="0" w:space="0" w:color="auto"/>
        <w:bottom w:val="none" w:sz="0" w:space="0" w:color="auto"/>
        <w:right w:val="none" w:sz="0" w:space="0" w:color="auto"/>
      </w:divBdr>
    </w:div>
    <w:div w:id="1328943035">
      <w:bodyDiv w:val="1"/>
      <w:marLeft w:val="0"/>
      <w:marRight w:val="0"/>
      <w:marTop w:val="0"/>
      <w:marBottom w:val="0"/>
      <w:divBdr>
        <w:top w:val="none" w:sz="0" w:space="0" w:color="auto"/>
        <w:left w:val="none" w:sz="0" w:space="0" w:color="auto"/>
        <w:bottom w:val="none" w:sz="0" w:space="0" w:color="auto"/>
        <w:right w:val="none" w:sz="0" w:space="0" w:color="auto"/>
      </w:divBdr>
    </w:div>
    <w:div w:id="1347756333">
      <w:bodyDiv w:val="1"/>
      <w:marLeft w:val="0"/>
      <w:marRight w:val="0"/>
      <w:marTop w:val="0"/>
      <w:marBottom w:val="0"/>
      <w:divBdr>
        <w:top w:val="none" w:sz="0" w:space="0" w:color="auto"/>
        <w:left w:val="none" w:sz="0" w:space="0" w:color="auto"/>
        <w:bottom w:val="none" w:sz="0" w:space="0" w:color="auto"/>
        <w:right w:val="none" w:sz="0" w:space="0" w:color="auto"/>
      </w:divBdr>
    </w:div>
    <w:div w:id="1454399402">
      <w:bodyDiv w:val="1"/>
      <w:marLeft w:val="0"/>
      <w:marRight w:val="0"/>
      <w:marTop w:val="0"/>
      <w:marBottom w:val="0"/>
      <w:divBdr>
        <w:top w:val="none" w:sz="0" w:space="0" w:color="auto"/>
        <w:left w:val="none" w:sz="0" w:space="0" w:color="auto"/>
        <w:bottom w:val="none" w:sz="0" w:space="0" w:color="auto"/>
        <w:right w:val="none" w:sz="0" w:space="0" w:color="auto"/>
      </w:divBdr>
      <w:divsChild>
        <w:div w:id="951595808">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32327251">
      <w:bodyDiv w:val="1"/>
      <w:marLeft w:val="0"/>
      <w:marRight w:val="0"/>
      <w:marTop w:val="0"/>
      <w:marBottom w:val="0"/>
      <w:divBdr>
        <w:top w:val="none" w:sz="0" w:space="0" w:color="auto"/>
        <w:left w:val="none" w:sz="0" w:space="0" w:color="auto"/>
        <w:bottom w:val="none" w:sz="0" w:space="0" w:color="auto"/>
        <w:right w:val="none" w:sz="0" w:space="0" w:color="auto"/>
      </w:divBdr>
      <w:divsChild>
        <w:div w:id="783958700">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64577781">
      <w:bodyDiv w:val="1"/>
      <w:marLeft w:val="0"/>
      <w:marRight w:val="0"/>
      <w:marTop w:val="0"/>
      <w:marBottom w:val="0"/>
      <w:divBdr>
        <w:top w:val="none" w:sz="0" w:space="0" w:color="auto"/>
        <w:left w:val="none" w:sz="0" w:space="0" w:color="auto"/>
        <w:bottom w:val="none" w:sz="0" w:space="0" w:color="auto"/>
        <w:right w:val="none" w:sz="0" w:space="0" w:color="auto"/>
      </w:divBdr>
    </w:div>
    <w:div w:id="1685159340">
      <w:bodyDiv w:val="1"/>
      <w:marLeft w:val="0"/>
      <w:marRight w:val="0"/>
      <w:marTop w:val="0"/>
      <w:marBottom w:val="0"/>
      <w:divBdr>
        <w:top w:val="none" w:sz="0" w:space="0" w:color="auto"/>
        <w:left w:val="none" w:sz="0" w:space="0" w:color="auto"/>
        <w:bottom w:val="none" w:sz="0" w:space="0" w:color="auto"/>
        <w:right w:val="none" w:sz="0" w:space="0" w:color="auto"/>
      </w:divBdr>
    </w:div>
    <w:div w:id="20704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2EA51-C022-4A72-8ADA-D77C5D0A5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6416</Words>
  <Characters>36577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OTP banka Srbija a.d. Novi Sad</Company>
  <LinksUpToDate>false</LinksUpToDate>
  <CharactersWithSpaces>42908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vobadm</dc:creator>
  <cp:lastModifiedBy>Andjelka Opacic</cp:lastModifiedBy>
  <cp:revision>10</cp:revision>
  <cp:lastPrinted>2025-05-16T06:44:00Z</cp:lastPrinted>
  <dcterms:created xsi:type="dcterms:W3CDTF">2025-05-15T11:32:00Z</dcterms:created>
  <dcterms:modified xsi:type="dcterms:W3CDTF">2025-05-16T06:44:00Z</dcterms:modified>
</cp:coreProperties>
</file>