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ED791" w14:textId="77777777" w:rsidR="00E15351" w:rsidRPr="00C10491" w:rsidRDefault="00E15351" w:rsidP="00E15351">
      <w:pPr>
        <w:ind w:left="-720" w:firstLine="720"/>
        <w:jc w:val="center"/>
        <w:rPr>
          <w:lang w:val="sr-Cyrl-CS"/>
        </w:rPr>
      </w:pPr>
      <w:r w:rsidRPr="00C10491">
        <w:rPr>
          <w:lang w:val="sr-Cyrl-CS"/>
        </w:rPr>
        <w:t>О Б Р А З Л О Ж Е Њ Е</w:t>
      </w:r>
    </w:p>
    <w:p w14:paraId="29809AE9" w14:textId="77777777" w:rsidR="00E15351" w:rsidRPr="00C10491" w:rsidRDefault="00E15351" w:rsidP="00E15351">
      <w:pPr>
        <w:ind w:left="-720" w:firstLine="720"/>
        <w:jc w:val="center"/>
        <w:rPr>
          <w:lang w:val="sr-Cyrl-CS"/>
        </w:rPr>
      </w:pPr>
    </w:p>
    <w:p w14:paraId="45C3B031" w14:textId="77777777" w:rsidR="00E15351" w:rsidRPr="00C10491" w:rsidRDefault="00E15351" w:rsidP="00E15351">
      <w:pPr>
        <w:ind w:left="-720" w:firstLine="720"/>
        <w:jc w:val="center"/>
        <w:rPr>
          <w:lang w:val="sr-Cyrl-CS"/>
        </w:rPr>
      </w:pPr>
    </w:p>
    <w:p w14:paraId="7F4B0F94" w14:textId="77777777" w:rsidR="00E15351" w:rsidRPr="00C10491" w:rsidRDefault="00E15351" w:rsidP="00E15351">
      <w:pPr>
        <w:rPr>
          <w:bCs/>
          <w:lang w:val="sr-Cyrl-CS"/>
        </w:rPr>
      </w:pPr>
      <w:r w:rsidRPr="00C10491">
        <w:rPr>
          <w:bCs/>
          <w:lang w:val="sr-Cyrl-CS"/>
        </w:rPr>
        <w:t xml:space="preserve"> </w:t>
      </w:r>
      <w:r w:rsidRPr="00C10491">
        <w:rPr>
          <w:bCs/>
          <w:lang w:val="sr-Cyrl-CS"/>
        </w:rPr>
        <w:tab/>
        <w:t>I. УСТАВНИ ОСНОВ ЗА ДОНОШЕЊЕ ЗАКОНА</w:t>
      </w:r>
    </w:p>
    <w:p w14:paraId="7DA1A16A" w14:textId="77777777" w:rsidR="00E15351" w:rsidRPr="00C10491" w:rsidRDefault="00E15351" w:rsidP="00E15351">
      <w:pPr>
        <w:rPr>
          <w:bCs/>
          <w:lang w:val="sr-Cyrl-CS"/>
        </w:rPr>
      </w:pPr>
    </w:p>
    <w:p w14:paraId="3CBA5B11" w14:textId="77777777" w:rsidR="00E15351" w:rsidRPr="00C10491" w:rsidRDefault="00E15351" w:rsidP="00E15351">
      <w:pPr>
        <w:jc w:val="both"/>
        <w:rPr>
          <w:lang w:val="sr-Cyrl-CS"/>
        </w:rPr>
      </w:pPr>
      <w:r w:rsidRPr="00C10491">
        <w:rPr>
          <w:lang w:val="sr-Cyrl-CS"/>
        </w:rPr>
        <w:t xml:space="preserve"> </w:t>
      </w:r>
      <w:r w:rsidRPr="00C10491">
        <w:rPr>
          <w:lang w:val="sr-Cyrl-CS"/>
        </w:rPr>
        <w:tab/>
        <w:t xml:space="preserve">Уставни основ за доношење овог закона садржан је у одредби члана </w:t>
      </w:r>
      <w:r w:rsidRPr="00537633">
        <w:rPr>
          <w:lang w:val="sr-Cyrl-CS"/>
        </w:rPr>
        <w:t>99. став 1. тачка 4. Устава Републике Србије, којом је прописано да Народна ску</w:t>
      </w:r>
      <w:r w:rsidRPr="00C10491">
        <w:rPr>
          <w:lang w:val="sr-Cyrl-CS"/>
        </w:rPr>
        <w:t xml:space="preserve">пштина потврђује међународне уговоре кад је законом предвиђена обавеза њиховог потврђивања. </w:t>
      </w:r>
    </w:p>
    <w:p w14:paraId="544462E2" w14:textId="77777777" w:rsidR="00E15351" w:rsidRPr="00C10491" w:rsidRDefault="00E15351" w:rsidP="00E15351">
      <w:pPr>
        <w:jc w:val="both"/>
        <w:rPr>
          <w:lang w:val="sr-Cyrl-CS"/>
        </w:rPr>
      </w:pPr>
      <w:r w:rsidRPr="00C10491">
        <w:rPr>
          <w:lang w:val="sr-Cyrl-CS"/>
        </w:rPr>
        <w:t xml:space="preserve"> </w:t>
      </w:r>
    </w:p>
    <w:p w14:paraId="5E924B6C" w14:textId="77777777" w:rsidR="00E15351" w:rsidRPr="00C10491" w:rsidRDefault="00E15351" w:rsidP="00E15351">
      <w:pPr>
        <w:ind w:firstLine="720"/>
        <w:jc w:val="both"/>
        <w:rPr>
          <w:lang w:val="sr-Cyrl-CS"/>
        </w:rPr>
      </w:pPr>
      <w:r w:rsidRPr="00C10491">
        <w:rPr>
          <w:bCs/>
          <w:lang w:val="sr-Cyrl-CS"/>
        </w:rPr>
        <w:t xml:space="preserve"> II. РАЗЛОЗИ ЗА </w:t>
      </w:r>
      <w:r>
        <w:rPr>
          <w:bCs/>
          <w:lang w:val="sr-Cyrl-CS"/>
        </w:rPr>
        <w:t xml:space="preserve">ДОНОШЕЊЕ ЗАКОНА </w:t>
      </w:r>
    </w:p>
    <w:p w14:paraId="2D64477A" w14:textId="77777777" w:rsidR="00E15351" w:rsidRPr="00C10491" w:rsidRDefault="00E15351" w:rsidP="00E15351">
      <w:pPr>
        <w:rPr>
          <w:bCs/>
          <w:lang w:val="sr-Cyrl-CS"/>
        </w:rPr>
      </w:pPr>
    </w:p>
    <w:p w14:paraId="7B16D39B" w14:textId="77777777" w:rsidR="00E15351" w:rsidRPr="00EE2F7F" w:rsidRDefault="00E15351" w:rsidP="00E15351">
      <w:pPr>
        <w:ind w:firstLine="708"/>
        <w:jc w:val="both"/>
        <w:rPr>
          <w:lang w:val="sr-Cyrl-CS"/>
        </w:rPr>
      </w:pPr>
      <w:r w:rsidRPr="00C10491">
        <w:rPr>
          <w:lang w:val="sr-Cyrl-CS"/>
        </w:rPr>
        <w:t xml:space="preserve">Разлози за потврђивање Споразума </w:t>
      </w:r>
      <w:r w:rsidRPr="001F3C5E">
        <w:rPr>
          <w:lang w:val="sr-Cyrl-CS"/>
        </w:rPr>
        <w:t xml:space="preserve">о зајму </w:t>
      </w:r>
      <w:r w:rsidRPr="00CF7349">
        <w:rPr>
          <w:lang w:val="sr-Cyrl-CS"/>
        </w:rPr>
        <w:t>између KfW, Франкф</w:t>
      </w:r>
      <w:r>
        <w:rPr>
          <w:lang w:val="sr-Cyrl-CS"/>
        </w:rPr>
        <w:t>урт на Мајни и Републике Србије</w:t>
      </w:r>
      <w:r w:rsidRPr="00CF7349">
        <w:rPr>
          <w:lang w:val="sr-Cyrl-CS"/>
        </w:rPr>
        <w:t xml:space="preserve"> коју заступа Влада Републике Србије делујући преко и путем Министарства финанси</w:t>
      </w:r>
      <w:r>
        <w:rPr>
          <w:lang w:val="sr-Cyrl-CS"/>
        </w:rPr>
        <w:t>ја</w:t>
      </w:r>
      <w:r w:rsidRPr="00CF7349">
        <w:rPr>
          <w:lang w:val="sr-Cyrl-CS"/>
        </w:rPr>
        <w:t xml:space="preserve"> за „Програм ефикасног водоснабдевања и пречишћавања отпадних вода за еколошке и одрживе градове у Републици Србији („Зелени градови”) (DKTI</w:t>
      </w:r>
      <w:r w:rsidRPr="00054A18">
        <w:rPr>
          <w:lang w:val="sr-Cyrl-CS"/>
        </w:rPr>
        <w:t>)</w:t>
      </w:r>
      <w:r w:rsidRPr="00CF7349">
        <w:rPr>
          <w:lang w:val="sr-Cyrl-CS"/>
        </w:rPr>
        <w:t>”</w:t>
      </w:r>
      <w:r w:rsidRPr="00054A18">
        <w:rPr>
          <w:lang w:val="sr-Cyrl-CS"/>
        </w:rPr>
        <w:t>, који је потписан 27. децембра 2024. године у Франкфурту на Мајни и Београду (</w:t>
      </w:r>
      <w:r w:rsidRPr="00B263AE">
        <w:rPr>
          <w:lang w:val="sr-Cyrl-CS"/>
        </w:rPr>
        <w:t>у даљем тексту: Споразум о зајму),</w:t>
      </w:r>
      <w:r w:rsidRPr="001F3C5E">
        <w:rPr>
          <w:lang w:val="sr-Cyrl-CS"/>
        </w:rPr>
        <w:t xml:space="preserve"> садржани су у одредби члана </w:t>
      </w:r>
      <w:r w:rsidRPr="00537633">
        <w:rPr>
          <w:lang w:val="sr-Cyrl-CS"/>
        </w:rPr>
        <w:t>5. став 2.</w:t>
      </w:r>
      <w:r w:rsidRPr="001F3C5E">
        <w:rPr>
          <w:lang w:val="sr-Cyrl-CS"/>
        </w:rPr>
        <w:t xml:space="preserve"> Закона о јавном дугу („Службени гласник РС”, бр. 61/05, 107/09, 78/11, 68/15, 95/18, 91/19 и 149/20), према којој На</w:t>
      </w:r>
      <w:r>
        <w:rPr>
          <w:lang w:val="sr-Cyrl-CS"/>
        </w:rPr>
        <w:t>родна скупштина</w:t>
      </w:r>
      <w:r w:rsidRPr="001F3C5E">
        <w:rPr>
          <w:lang w:val="sr-Cyrl-CS"/>
        </w:rPr>
        <w:t xml:space="preserve"> одлучује о задуживању Републике Србије и одредби члан</w:t>
      </w:r>
      <w:r w:rsidRPr="00537633">
        <w:rPr>
          <w:lang w:val="sr-Cyrl-CS"/>
        </w:rPr>
        <w:t>а 14. став 1. Закона</w:t>
      </w:r>
      <w:r w:rsidRPr="001F3C5E">
        <w:rPr>
          <w:lang w:val="sr-Cyrl-CS"/>
        </w:rPr>
        <w:t xml:space="preserve"> о закључивању и извршавању међународних уговора („Службени гласник РС”, број 32/13), према којој Народна скупштина, између осталог, потврђује уговоре </w:t>
      </w:r>
      <w:r w:rsidRPr="00EE2F7F">
        <w:rPr>
          <w:lang w:val="sr-Cyrl-CS"/>
        </w:rPr>
        <w:t>којима се стварају финансијске обавезе за Републику Србију.</w:t>
      </w:r>
      <w:r>
        <w:rPr>
          <w:lang w:val="sr-Cyrl-CS"/>
        </w:rPr>
        <w:t xml:space="preserve"> </w:t>
      </w:r>
    </w:p>
    <w:p w14:paraId="35C0DBAB" w14:textId="77777777" w:rsidR="00E15351" w:rsidRDefault="00E15351" w:rsidP="00E15351">
      <w:pPr>
        <w:ind w:right="29" w:firstLine="720"/>
        <w:jc w:val="both"/>
        <w:rPr>
          <w:bCs/>
          <w:color w:val="000000"/>
          <w:lang w:val="sr-Cyrl-RS"/>
        </w:rPr>
      </w:pPr>
      <w:r w:rsidRPr="00CF7349">
        <w:rPr>
          <w:bCs/>
          <w:color w:val="000000"/>
          <w:lang w:val="sr-Cyrl-RS"/>
        </w:rPr>
        <w:t>Законом о буџету Републике Србије за 2024. годину („Службени гласник РС”, бр. 92/23 и 79/24) у члану 3. одобрено је задуживање код Немачкe развојнe банкe (KfW) за спровођење Програма водоснабдевања и пречишћавања отпадних вода у општинама средње величине у Србији, Зелени градови у износу до 70.000.000 евра, који се односи на споразум о зајму за Програм ефикасног водоснабдевања и пречишћавања отпадних вода за еколошке и одрживе градове у Републици Србији („Зелени градови”) (DKTI)” у износу до 70.000.000 евра (у даљем тексту: Програм).</w:t>
      </w:r>
      <w:r>
        <w:rPr>
          <w:bCs/>
          <w:color w:val="000000"/>
          <w:lang w:val="sr-Cyrl-RS"/>
        </w:rPr>
        <w:t xml:space="preserve"> </w:t>
      </w:r>
    </w:p>
    <w:p w14:paraId="42B7FA6D" w14:textId="77777777" w:rsidR="00E15351" w:rsidRPr="001F3C5E" w:rsidRDefault="00E15351" w:rsidP="00E15351">
      <w:pPr>
        <w:ind w:right="29" w:firstLine="720"/>
        <w:jc w:val="both"/>
        <w:rPr>
          <w:bCs/>
          <w:color w:val="000000"/>
          <w:lang w:val="sr-Cyrl-RS"/>
        </w:rPr>
      </w:pPr>
      <w:r w:rsidRPr="00356501">
        <w:rPr>
          <w:bCs/>
          <w:color w:val="000000"/>
          <w:lang w:val="sr-Cyrl-RS"/>
        </w:rPr>
        <w:t xml:space="preserve">Закључком Владе 05 Број: </w:t>
      </w:r>
      <w:r w:rsidRPr="00AC0FF4">
        <w:rPr>
          <w:bCs/>
          <w:color w:val="000000"/>
          <w:lang w:val="sr-Cyrl-RS"/>
        </w:rPr>
        <w:t>48-12979/2024 од 26. децембра 2024</w:t>
      </w:r>
      <w:r w:rsidRPr="00356501">
        <w:rPr>
          <w:bCs/>
          <w:color w:val="000000"/>
          <w:lang w:val="sr-Cyrl-RS"/>
        </w:rPr>
        <w:t xml:space="preserve">. године, утврђена је </w:t>
      </w:r>
      <w:r w:rsidRPr="00CF7349">
        <w:rPr>
          <w:bCs/>
          <w:color w:val="000000"/>
          <w:lang w:val="sr-Cyrl-RS"/>
        </w:rPr>
        <w:t>Oснова за вођење преговора са Немачком развојном банком KfW, Франкфурт на Мајни, у вези са одобравањем зајма за Програм</w:t>
      </w:r>
      <w:r>
        <w:rPr>
          <w:bCs/>
          <w:color w:val="000000"/>
          <w:lang w:val="sr-Cyrl-RS"/>
        </w:rPr>
        <w:t xml:space="preserve">, </w:t>
      </w:r>
      <w:r w:rsidRPr="00356501">
        <w:rPr>
          <w:bCs/>
          <w:color w:val="000000"/>
          <w:lang w:val="sr-Cyrl-RS"/>
        </w:rPr>
        <w:t>одређен је преговарачки тим Републике Србије и усвојен</w:t>
      </w:r>
      <w:r>
        <w:rPr>
          <w:bCs/>
          <w:color w:val="000000"/>
          <w:lang w:val="sr-Cyrl-RS"/>
        </w:rPr>
        <w:t xml:space="preserve"> н</w:t>
      </w:r>
      <w:r w:rsidRPr="00356501">
        <w:rPr>
          <w:bCs/>
          <w:color w:val="000000"/>
          <w:lang w:val="sr-Cyrl-RS"/>
        </w:rPr>
        <w:t>ацрт Споразума о зајму.</w:t>
      </w:r>
    </w:p>
    <w:p w14:paraId="270EF021" w14:textId="77777777" w:rsidR="00E15351" w:rsidRPr="00CF7349" w:rsidRDefault="00E15351" w:rsidP="00E15351">
      <w:pPr>
        <w:ind w:right="29" w:firstLine="720"/>
        <w:jc w:val="both"/>
        <w:rPr>
          <w:bCs/>
          <w:color w:val="000000"/>
          <w:lang w:val="sr-Cyrl-RS"/>
        </w:rPr>
      </w:pPr>
      <w:r w:rsidRPr="00CF7349">
        <w:rPr>
          <w:bCs/>
          <w:color w:val="000000"/>
          <w:lang w:val="sr-Cyrl-RS"/>
        </w:rPr>
        <w:t>Програм ће представљати финансијску допуну и даље проширење инвестиционих мера у текућем, већ потписаном програму „Водоснабдевање и пречишћавање отпадних вода у општинама средње величине у Србији VI” (у даљем тексту: „Програм VI”). Програм је дефинисан у складу са циљевима и приоритетима Националне стратегије управљања водама до 2034. године који су усмерени на унапређење сектора управљања комуналним отпадним водама, циљевима и приоритетима које је Влада Републике Србије дефинисала у оквиру преговора о приступању ЕУ у вези са Поглављем 27, резултатима прве фазе Програма VI, као и добро успостављеном концепту имплементације који је примењен на претходним Програмима, чија је реализација успешно завршена изградњом свих планираних инвестиција за које су у потпуности искоришћена уговорена средства.</w:t>
      </w:r>
    </w:p>
    <w:p w14:paraId="031EF53D" w14:textId="77777777" w:rsidR="00E15351" w:rsidRPr="00CF7349" w:rsidRDefault="00E15351" w:rsidP="00E15351">
      <w:pPr>
        <w:ind w:right="29" w:firstLine="720"/>
        <w:jc w:val="both"/>
        <w:rPr>
          <w:bCs/>
          <w:color w:val="000000"/>
          <w:lang w:val="sr-Cyrl-RS"/>
        </w:rPr>
      </w:pPr>
      <w:r w:rsidRPr="00CF7349">
        <w:rPr>
          <w:bCs/>
          <w:color w:val="000000"/>
          <w:lang w:val="sr-Cyrl-RS"/>
        </w:rPr>
        <w:t xml:space="preserve">Од посебног је значаја и </w:t>
      </w:r>
      <w:r>
        <w:rPr>
          <w:bCs/>
          <w:color w:val="000000"/>
          <w:lang w:val="sr-Cyrl-RS"/>
        </w:rPr>
        <w:t>то што се реализацијом</w:t>
      </w:r>
      <w:r w:rsidRPr="00CF7349">
        <w:rPr>
          <w:bCs/>
          <w:color w:val="000000"/>
          <w:lang w:val="sr-Cyrl-RS"/>
        </w:rPr>
        <w:t xml:space="preserve"> Програма, доприноси правовременом испуњењу преузетих међународних обавеза </w:t>
      </w:r>
      <w:r>
        <w:rPr>
          <w:bCs/>
          <w:color w:val="000000"/>
          <w:lang w:val="sr-Cyrl-RS"/>
        </w:rPr>
        <w:t>у процесу приступања Европској у</w:t>
      </w:r>
      <w:r w:rsidRPr="00CF7349">
        <w:rPr>
          <w:bCs/>
          <w:color w:val="000000"/>
          <w:lang w:val="sr-Cyrl-RS"/>
        </w:rPr>
        <w:t>нији у оквиру преговора Републике Србије за Кластер 4, као и испуњењу циљева Агенде УН 2030 за одрживи развој и Зелене агенде за Западни Балкан.</w:t>
      </w:r>
    </w:p>
    <w:p w14:paraId="55B2D111" w14:textId="77777777" w:rsidR="00E15351" w:rsidRPr="00CF7349" w:rsidRDefault="00E15351" w:rsidP="00E15351">
      <w:pPr>
        <w:ind w:right="29" w:firstLine="720"/>
        <w:jc w:val="both"/>
        <w:rPr>
          <w:bCs/>
          <w:color w:val="000000"/>
          <w:lang w:val="sr-Cyrl-RS"/>
        </w:rPr>
      </w:pPr>
      <w:r w:rsidRPr="00CF7349">
        <w:rPr>
          <w:bCs/>
          <w:color w:val="000000"/>
          <w:lang w:val="sr-Cyrl-RS"/>
        </w:rPr>
        <w:t xml:space="preserve">Овај програм је наставак претходног Програма VI, у коме су у првој припремној фази учествовали градови Вршац, Кикинда, Смедерево, Пожаревац, Јагодина, Пирот и Трстеник. Услед пораста тржишних цена током припремне Фазе 1 Програма VI увидело се да неће бити довољно финансијских средстава за извршење свих планираних активности у оквиру Фазе 2 програма, тј. за изградњу и реконструкцију канализационе мреже и изградњу постројења за прераду отпадних вода. </w:t>
      </w:r>
    </w:p>
    <w:p w14:paraId="480B63F3" w14:textId="77777777" w:rsidR="00E15351" w:rsidRPr="00CF7349" w:rsidRDefault="00E15351" w:rsidP="00E15351">
      <w:pPr>
        <w:ind w:right="29" w:firstLine="720"/>
        <w:jc w:val="both"/>
        <w:rPr>
          <w:bCs/>
          <w:color w:val="000000"/>
          <w:lang w:val="sr-Cyrl-RS"/>
        </w:rPr>
      </w:pPr>
      <w:r w:rsidRPr="00CF7349">
        <w:rPr>
          <w:bCs/>
          <w:color w:val="000000"/>
          <w:lang w:val="sr-Cyrl-RS"/>
        </w:rPr>
        <w:lastRenderedPageBreak/>
        <w:t>Током  2023. године одржана је серија састанака на тему Програма који је првенствено намењен енергетској ефикасности али и санацији и изградњи и реконструкцији канализационе мреже и изградњи постројења за прераду отпадних вода. На њима су присуствовали представници како градова тако и комуналних предузећа из: Вршца, Кикинде, Смедерева, Пожаревца, Јагодине, Пирота, Трстеника, Крушевца и Врања. Током јуна 2024. године Записник са састанка (Minutes of Meeting) је потписан од стране учесника и надлежних институција и стекли су се услови за почетак преговора са Немачком развојном Банком о новом инвестиционом кредиту.</w:t>
      </w:r>
    </w:p>
    <w:p w14:paraId="78064BE6" w14:textId="77777777" w:rsidR="00E15351" w:rsidRPr="00CF7349" w:rsidRDefault="00E15351" w:rsidP="00E15351">
      <w:pPr>
        <w:ind w:right="29" w:firstLine="720"/>
        <w:jc w:val="both"/>
        <w:rPr>
          <w:bCs/>
          <w:color w:val="000000"/>
          <w:lang w:val="sr-Cyrl-RS"/>
        </w:rPr>
      </w:pPr>
      <w:r w:rsidRPr="00CF7349">
        <w:rPr>
          <w:bCs/>
          <w:color w:val="000000"/>
          <w:lang w:val="sr-Cyrl-RS"/>
        </w:rPr>
        <w:t>Програм има за циљ да обезбеди урбану инфраструктуру коју развија на одржив, флексибилан, ефикасан и економичан начин, као и рационално коришћење водних и енергетских ресурса. Фокус финансирања је на мерама заштите животне средине и побољшања услова живота локалног становништва у градовима и општинама, као и примена иновативних технологија у циљу заштите животне средине. Циљна група ће имати користи од побољшаних услуга водоснадбевања и отпадних вода, чистије животне средине и повећане заштите од последица временских појава повезаних са климатским променама.</w:t>
      </w:r>
    </w:p>
    <w:p w14:paraId="249AA29A" w14:textId="77777777" w:rsidR="00E15351" w:rsidRPr="008A1EDF" w:rsidRDefault="00E15351" w:rsidP="00E15351">
      <w:pPr>
        <w:ind w:right="29" w:firstLine="720"/>
        <w:jc w:val="both"/>
        <w:rPr>
          <w:bCs/>
          <w:color w:val="000000"/>
          <w:lang w:val="sr-Cyrl-RS"/>
        </w:rPr>
      </w:pPr>
      <w:r w:rsidRPr="00CF7349">
        <w:rPr>
          <w:bCs/>
          <w:color w:val="000000"/>
          <w:lang w:val="sr-Cyrl-RS"/>
        </w:rPr>
        <w:t xml:space="preserve">Услови зајма су усклађени са захтевима Организације за економску сарадњу и развој (Organisation for Economic Co-operation and Development - OECD) који се примењују на дан потписивања споразума о зајму, како би био признат као Званична развојна помоћ (Official Development Assistance - ODA). KfW ће oбезбедити рефинансирање зајма одобреног у складу са условима овог споразума о зајму субвенционисањем камата из буџетских средстава са ниским каматама које обезбеђује Савезна Република Немачка за пројекте који испуњавају критеријуме прихватљивости у оквиру политике развоја. </w:t>
      </w:r>
      <w:r w:rsidRPr="001F3C5E">
        <w:rPr>
          <w:bCs/>
          <w:color w:val="000000"/>
          <w:lang w:val="sr-Cyrl-RS"/>
        </w:rPr>
        <w:t>Предложени финансијски услов</w:t>
      </w:r>
      <w:r>
        <w:rPr>
          <w:bCs/>
          <w:color w:val="000000"/>
          <w:lang w:val="sr-Cyrl-RS"/>
        </w:rPr>
        <w:t xml:space="preserve">и задуживања код KfW-а </w:t>
      </w:r>
      <w:r w:rsidRPr="001F3C5E">
        <w:rPr>
          <w:bCs/>
          <w:color w:val="000000"/>
          <w:lang w:val="sr-Cyrl-RS"/>
        </w:rPr>
        <w:t>су оцењени као повољни и прихватљиви, са становишта управљања јавним дугом и буџетских могућности Републике Србије за уредно сервисирање обавеза које ће преузети на основу овог кредитног аранжмана.</w:t>
      </w:r>
    </w:p>
    <w:p w14:paraId="5B5CC516" w14:textId="77777777" w:rsidR="00E15351" w:rsidRPr="00985433" w:rsidRDefault="00E15351" w:rsidP="00E15351">
      <w:pPr>
        <w:spacing w:line="276" w:lineRule="auto"/>
        <w:ind w:firstLine="720"/>
        <w:jc w:val="both"/>
        <w:rPr>
          <w:lang w:val="sr-Cyrl-RS"/>
        </w:rPr>
      </w:pPr>
      <w:r w:rsidRPr="00985433">
        <w:rPr>
          <w:lang w:val="sr-Cyrl-RS"/>
        </w:rPr>
        <w:t>За кре</w:t>
      </w:r>
      <w:r>
        <w:rPr>
          <w:lang w:val="sr-Cyrl-RS"/>
        </w:rPr>
        <w:t xml:space="preserve">дитно финансирање </w:t>
      </w:r>
      <w:r w:rsidRPr="008A1EDF">
        <w:rPr>
          <w:lang w:val="sr-Cyrl-RS"/>
        </w:rPr>
        <w:t>Програма</w:t>
      </w:r>
      <w:r>
        <w:rPr>
          <w:lang w:val="sr-Cyrl-RS"/>
        </w:rPr>
        <w:t xml:space="preserve"> пред</w:t>
      </w:r>
      <w:r w:rsidRPr="00985433">
        <w:rPr>
          <w:lang w:val="sr-Cyrl-RS"/>
        </w:rPr>
        <w:t>ложени су следећи финансијски услови:</w:t>
      </w:r>
    </w:p>
    <w:p w14:paraId="1101C05A" w14:textId="77777777" w:rsidR="00E15351" w:rsidRPr="00DB6D84" w:rsidRDefault="00E15351" w:rsidP="00E15351">
      <w:pPr>
        <w:numPr>
          <w:ilvl w:val="0"/>
          <w:numId w:val="11"/>
        </w:numPr>
        <w:tabs>
          <w:tab w:val="num" w:pos="1170"/>
        </w:tabs>
        <w:ind w:left="720" w:firstLine="0"/>
        <w:jc w:val="both"/>
        <w:rPr>
          <w:bCs/>
          <w:iCs/>
          <w:lang w:val="sr-Cyrl-RS"/>
        </w:rPr>
      </w:pPr>
      <w:r w:rsidRPr="00DB6D84">
        <w:rPr>
          <w:bCs/>
          <w:lang w:val="sr-Cyrl-RS"/>
        </w:rPr>
        <w:t xml:space="preserve">Зајмопримац је Република Србија коју </w:t>
      </w:r>
      <w:r w:rsidRPr="00DB6D84">
        <w:rPr>
          <w:lang w:val="sr-Cyrl-RS"/>
        </w:rPr>
        <w:t>заступа Влада Републике Србије делујући преко и путем Министарства финансија</w:t>
      </w:r>
      <w:r w:rsidRPr="00DB6D84">
        <w:rPr>
          <w:bCs/>
          <w:lang w:val="sr-Cyrl-RS"/>
        </w:rPr>
        <w:t>;</w:t>
      </w:r>
    </w:p>
    <w:p w14:paraId="0B3CEAA1" w14:textId="77777777" w:rsidR="00E15351" w:rsidRDefault="00E15351" w:rsidP="00E15351">
      <w:pPr>
        <w:numPr>
          <w:ilvl w:val="0"/>
          <w:numId w:val="11"/>
        </w:numPr>
        <w:tabs>
          <w:tab w:val="num" w:pos="1170"/>
        </w:tabs>
        <w:ind w:left="720" w:firstLine="0"/>
        <w:jc w:val="both"/>
        <w:rPr>
          <w:bCs/>
          <w:iCs/>
          <w:lang w:val="sr-Cyrl-RS"/>
        </w:rPr>
      </w:pPr>
      <w:r w:rsidRPr="00DB6D84">
        <w:rPr>
          <w:bCs/>
          <w:iCs/>
          <w:lang w:val="sr-Cyrl-RS"/>
        </w:rPr>
        <w:t xml:space="preserve">износ зајма је </w:t>
      </w:r>
      <w:r>
        <w:rPr>
          <w:bCs/>
          <w:iCs/>
          <w:lang w:val="sr-Cyrl-RS"/>
        </w:rPr>
        <w:t>7</w:t>
      </w:r>
      <w:r w:rsidRPr="008A1EDF">
        <w:rPr>
          <w:bCs/>
          <w:iCs/>
          <w:lang w:val="sr-Cyrl-RS"/>
        </w:rPr>
        <w:t>0</w:t>
      </w:r>
      <w:r w:rsidRPr="00DB6D84">
        <w:rPr>
          <w:bCs/>
          <w:iCs/>
          <w:lang w:val="sr-Cyrl-RS"/>
        </w:rPr>
        <w:t>.000.000 евра;</w:t>
      </w:r>
    </w:p>
    <w:p w14:paraId="3B01E33A" w14:textId="77777777" w:rsidR="00E15351" w:rsidRPr="002924F3" w:rsidRDefault="00E15351" w:rsidP="00E15351">
      <w:pPr>
        <w:numPr>
          <w:ilvl w:val="0"/>
          <w:numId w:val="11"/>
        </w:numPr>
        <w:tabs>
          <w:tab w:val="num" w:pos="1170"/>
        </w:tabs>
        <w:ind w:left="720" w:firstLine="0"/>
        <w:jc w:val="both"/>
        <w:rPr>
          <w:bCs/>
          <w:iCs/>
          <w:lang w:val="sr-Cyrl-RS"/>
        </w:rPr>
      </w:pPr>
      <w:r w:rsidRPr="002924F3">
        <w:rPr>
          <w:bCs/>
          <w:iCs/>
          <w:lang w:val="sr-Cyrl-RS"/>
        </w:rPr>
        <w:t>период расположивости зајма је до 30. јуна 2030. године;</w:t>
      </w:r>
    </w:p>
    <w:p w14:paraId="5276FF83" w14:textId="77777777" w:rsidR="00E15351" w:rsidRDefault="00E15351" w:rsidP="00E15351">
      <w:pPr>
        <w:numPr>
          <w:ilvl w:val="0"/>
          <w:numId w:val="11"/>
        </w:numPr>
        <w:tabs>
          <w:tab w:val="clear" w:pos="1680"/>
          <w:tab w:val="num" w:pos="1170"/>
        </w:tabs>
        <w:ind w:left="720" w:firstLine="0"/>
        <w:jc w:val="both"/>
        <w:rPr>
          <w:bCs/>
          <w:iCs/>
          <w:lang w:val="sr-Cyrl-RS"/>
        </w:rPr>
      </w:pPr>
      <w:r w:rsidRPr="00233763">
        <w:rPr>
          <w:bCs/>
          <w:iCs/>
          <w:lang w:val="sr-Cyrl-RS"/>
        </w:rPr>
        <w:t xml:space="preserve">период отплате зајма - прва рата отплате главнице доспева 15. маја 2030. </w:t>
      </w:r>
      <w:r w:rsidRPr="00D11214">
        <w:rPr>
          <w:bCs/>
          <w:iCs/>
          <w:lang w:val="sr-Cyrl-RS"/>
        </w:rPr>
        <w:t>године, а последња 15. маја 2040. године;</w:t>
      </w:r>
    </w:p>
    <w:p w14:paraId="3A351D75" w14:textId="77777777" w:rsidR="00E15351" w:rsidRPr="002924F3" w:rsidRDefault="00E15351" w:rsidP="00E15351">
      <w:pPr>
        <w:numPr>
          <w:ilvl w:val="0"/>
          <w:numId w:val="11"/>
        </w:numPr>
        <w:tabs>
          <w:tab w:val="clear" w:pos="1680"/>
          <w:tab w:val="num" w:pos="1170"/>
        </w:tabs>
        <w:ind w:left="720" w:firstLine="0"/>
        <w:jc w:val="both"/>
        <w:rPr>
          <w:bCs/>
          <w:iCs/>
          <w:lang w:val="sr-Cyrl-RS"/>
        </w:rPr>
      </w:pPr>
      <w:r w:rsidRPr="002924F3">
        <w:rPr>
          <w:bCs/>
          <w:iCs/>
          <w:lang w:val="sr-Cyrl-RS"/>
        </w:rPr>
        <w:t>каматна стопа - каматна стопа ће се утврдити на основу Блумберг странице „</w:t>
      </w:r>
      <w:r w:rsidRPr="002924F3">
        <w:rPr>
          <w:bCs/>
          <w:iCs/>
          <w:lang w:val="sr-Latn-RS"/>
        </w:rPr>
        <w:t>ICAE</w:t>
      </w:r>
      <w:r w:rsidRPr="002924F3">
        <w:rPr>
          <w:bCs/>
          <w:iCs/>
          <w:lang w:val="sr-Cyrl-RS"/>
        </w:rPr>
        <w:t>”. На утврђени износ каматне стопе обрачунава се маржа која износи 0,6</w:t>
      </w:r>
      <w:r w:rsidRPr="002924F3">
        <w:rPr>
          <w:bCs/>
          <w:iCs/>
          <w:lang w:val="sr-Latn-RS"/>
        </w:rPr>
        <w:t>5</w:t>
      </w:r>
      <w:r w:rsidRPr="002924F3">
        <w:rPr>
          <w:bCs/>
          <w:iCs/>
          <w:lang w:val="sr-Cyrl-RS"/>
        </w:rPr>
        <w:t>% на годишњем нивоу;</w:t>
      </w:r>
      <w:r w:rsidRPr="002924F3">
        <w:rPr>
          <w:lang w:val="sr-Cyrl-RS"/>
        </w:rPr>
        <w:t xml:space="preserve"> </w:t>
      </w:r>
    </w:p>
    <w:p w14:paraId="22B7D551" w14:textId="77777777" w:rsidR="00E15351" w:rsidRPr="00DB6D84" w:rsidRDefault="00E15351" w:rsidP="00E15351">
      <w:pPr>
        <w:numPr>
          <w:ilvl w:val="0"/>
          <w:numId w:val="11"/>
        </w:numPr>
        <w:tabs>
          <w:tab w:val="num" w:pos="1170"/>
        </w:tabs>
        <w:ind w:left="720" w:firstLine="0"/>
        <w:jc w:val="both"/>
        <w:rPr>
          <w:bCs/>
          <w:iCs/>
          <w:lang w:val="sr-Cyrl-RS"/>
        </w:rPr>
      </w:pPr>
      <w:r w:rsidRPr="00DB6D84">
        <w:rPr>
          <w:bCs/>
          <w:iCs/>
          <w:lang w:val="sr-Cyrl-RS"/>
        </w:rPr>
        <w:t xml:space="preserve">накнада за организовање посла плаћа се једнократно у износу од </w:t>
      </w:r>
      <w:r w:rsidRPr="002924F3">
        <w:rPr>
          <w:bCs/>
          <w:iCs/>
          <w:lang w:val="sr-Cyrl-RS"/>
        </w:rPr>
        <w:t>0,50</w:t>
      </w:r>
      <w:r w:rsidRPr="00DB6D84">
        <w:rPr>
          <w:bCs/>
          <w:iCs/>
          <w:lang w:val="sr-Cyrl-RS"/>
        </w:rPr>
        <w:t>% износа зајма;</w:t>
      </w:r>
    </w:p>
    <w:p w14:paraId="017F46AB" w14:textId="77777777" w:rsidR="00E15351" w:rsidRPr="002924F3" w:rsidRDefault="00E15351" w:rsidP="00E15351">
      <w:pPr>
        <w:numPr>
          <w:ilvl w:val="0"/>
          <w:numId w:val="11"/>
        </w:numPr>
        <w:tabs>
          <w:tab w:val="num" w:pos="1170"/>
        </w:tabs>
        <w:ind w:left="720" w:firstLine="0"/>
        <w:jc w:val="both"/>
        <w:rPr>
          <w:bCs/>
          <w:lang w:val="sr-Cyrl-RS"/>
        </w:rPr>
      </w:pPr>
      <w:r w:rsidRPr="002924F3">
        <w:rPr>
          <w:bCs/>
          <w:lang w:val="sr-Cyrl-RS"/>
        </w:rPr>
        <w:t>провизија на неповучена средства обрачунаваће се по стопи од 0,25% годишње на неискоришћени износ зајма и плаћа се</w:t>
      </w:r>
      <w:r w:rsidRPr="002924F3">
        <w:rPr>
          <w:rFonts w:cs="Arial"/>
          <w:lang w:val="sr-Cyrl-RS"/>
        </w:rPr>
        <w:t xml:space="preserve"> полугодишње за протекли период, на дан </w:t>
      </w:r>
      <w:r w:rsidRPr="002924F3">
        <w:rPr>
          <w:rFonts w:cs="Arial"/>
          <w:bCs/>
          <w:iCs/>
          <w:lang w:val="sr-Cyrl-RS"/>
        </w:rPr>
        <w:t>15. мај и 15. новембар свaкe гoдинe, а први пут 15. маја 2026. године</w:t>
      </w:r>
      <w:r w:rsidRPr="002924F3">
        <w:rPr>
          <w:rFonts w:cs="Arial"/>
          <w:lang w:val="sr-Cyrl-RS"/>
        </w:rPr>
        <w:t>, aли нe прe</w:t>
      </w:r>
      <w:r w:rsidRPr="002924F3">
        <w:rPr>
          <w:bCs/>
          <w:lang w:val="sr-Cyrl-RS"/>
        </w:rPr>
        <w:t xml:space="preserve"> </w:t>
      </w:r>
      <w:r w:rsidRPr="002924F3">
        <w:rPr>
          <w:rFonts w:cs="Arial"/>
          <w:lang w:val="sr-Cyrl-RS"/>
        </w:rPr>
        <w:t>одговарајућег датума кojи слeди нaкoн ступања на снагу и правоснажности Споразума о зајму;</w:t>
      </w:r>
    </w:p>
    <w:p w14:paraId="0AC6B11E" w14:textId="77777777" w:rsidR="00E15351" w:rsidRDefault="00E15351" w:rsidP="00E15351">
      <w:pPr>
        <w:numPr>
          <w:ilvl w:val="0"/>
          <w:numId w:val="11"/>
        </w:numPr>
        <w:tabs>
          <w:tab w:val="num" w:pos="1170"/>
        </w:tabs>
        <w:ind w:left="720" w:firstLine="0"/>
        <w:jc w:val="both"/>
        <w:rPr>
          <w:lang w:val="sr-Cyrl-RS"/>
        </w:rPr>
      </w:pPr>
      <w:r w:rsidRPr="00DB6D84">
        <w:rPr>
          <w:lang w:val="sr-Cyrl-RS"/>
        </w:rPr>
        <w:t xml:space="preserve">затезна камата за доцњу у плаћању обавеза зајмопримца, обрачунава се по стопи од </w:t>
      </w:r>
      <w:r w:rsidRPr="002924F3">
        <w:rPr>
          <w:rFonts w:cs="Arial"/>
          <w:lang w:val="sr-Cyrl-RS"/>
        </w:rPr>
        <w:t xml:space="preserve">200 </w:t>
      </w:r>
      <w:r w:rsidRPr="002924F3">
        <w:rPr>
          <w:lang w:val="sr-Cyrl-RS"/>
        </w:rPr>
        <w:t>базних</w:t>
      </w:r>
      <w:r w:rsidRPr="00DB6D84">
        <w:rPr>
          <w:lang w:val="sr-Cyrl-RS"/>
        </w:rPr>
        <w:t xml:space="preserve"> поена на годишњем нивоу изнад редовне каматне стопе. </w:t>
      </w:r>
    </w:p>
    <w:p w14:paraId="038578B6" w14:textId="77777777" w:rsidR="00E15351" w:rsidRPr="0044522B" w:rsidRDefault="00E15351" w:rsidP="00E15351">
      <w:pPr>
        <w:numPr>
          <w:ilvl w:val="0"/>
          <w:numId w:val="11"/>
        </w:numPr>
        <w:tabs>
          <w:tab w:val="num" w:pos="1170"/>
        </w:tabs>
        <w:ind w:left="720" w:firstLine="0"/>
        <w:jc w:val="both"/>
        <w:rPr>
          <w:lang w:val="sr-Cyrl-RS"/>
        </w:rPr>
      </w:pPr>
      <w:r w:rsidRPr="002924F3">
        <w:rPr>
          <w:lang w:val="sr-Latn-RS"/>
        </w:rPr>
        <w:t xml:space="preserve">Зајмопримац ће пренети до </w:t>
      </w:r>
      <w:r w:rsidRPr="002924F3">
        <w:rPr>
          <w:lang w:val="sr-Cyrl-RS"/>
        </w:rPr>
        <w:t>3</w:t>
      </w:r>
      <w:r w:rsidRPr="002924F3">
        <w:rPr>
          <w:lang w:val="sr-Latn-RS"/>
        </w:rPr>
        <w:t xml:space="preserve">0% </w:t>
      </w:r>
      <w:r w:rsidRPr="002924F3">
        <w:rPr>
          <w:lang w:val="sr-Cyrl-RS"/>
        </w:rPr>
        <w:t>износа з</w:t>
      </w:r>
      <w:r w:rsidRPr="002924F3">
        <w:rPr>
          <w:lang w:val="sr-Latn-RS"/>
        </w:rPr>
        <w:t xml:space="preserve">ајма </w:t>
      </w:r>
      <w:r w:rsidRPr="002924F3">
        <w:rPr>
          <w:lang w:val="sr-Cyrl-RS"/>
        </w:rPr>
        <w:t>о</w:t>
      </w:r>
      <w:r w:rsidRPr="002924F3">
        <w:rPr>
          <w:lang w:val="sr-Latn-RS"/>
        </w:rPr>
        <w:t>пштинама и њиховим одговарајућим јавним комуналним предузећима задуженим за управљање отпадним водама</w:t>
      </w:r>
      <w:r>
        <w:rPr>
          <w:lang w:val="sr-Cyrl-RS"/>
        </w:rPr>
        <w:t xml:space="preserve"> у виду зајма према условима дефинисаним у чл.</w:t>
      </w:r>
      <w:r w:rsidRPr="002924F3">
        <w:rPr>
          <w:lang w:val="sr-Cyrl-RS"/>
        </w:rPr>
        <w:t xml:space="preserve"> 5.1 и 6.1 Споразума о зајму и најмање 70% износа зајма као грант.</w:t>
      </w:r>
    </w:p>
    <w:p w14:paraId="32748E8F" w14:textId="77777777" w:rsidR="00E15351" w:rsidRPr="001F3C5E" w:rsidRDefault="00E15351" w:rsidP="00E15351">
      <w:pPr>
        <w:ind w:firstLine="720"/>
        <w:jc w:val="both"/>
        <w:rPr>
          <w:highlight w:val="yellow"/>
          <w:lang w:val="sr-Cyrl-CS"/>
        </w:rPr>
      </w:pPr>
    </w:p>
    <w:p w14:paraId="3C8DDB21" w14:textId="77777777" w:rsidR="00E15351" w:rsidRPr="001F3C5E" w:rsidRDefault="00E15351" w:rsidP="00E15351">
      <w:pPr>
        <w:ind w:firstLine="720"/>
        <w:jc w:val="both"/>
        <w:rPr>
          <w:lang w:val="sr-Cyrl-CS"/>
        </w:rPr>
      </w:pPr>
      <w:r w:rsidRPr="001F3C5E">
        <w:rPr>
          <w:lang w:val="sr-Cyrl-CS"/>
        </w:rPr>
        <w:lastRenderedPageBreak/>
        <w:t xml:space="preserve">III. ОБЈАШЊЕЊЕ ОСНОВНИХ ПРАВНИХ ИНСТИТУТА И ПОЈЕДИНАЧНИХ РЕШЕЊА </w:t>
      </w:r>
    </w:p>
    <w:p w14:paraId="291C54A6" w14:textId="77777777" w:rsidR="00E15351" w:rsidRPr="001F3C5E" w:rsidRDefault="00E15351" w:rsidP="00E15351">
      <w:pPr>
        <w:jc w:val="both"/>
        <w:rPr>
          <w:highlight w:val="yellow"/>
          <w:lang w:val="sr-Cyrl-CS"/>
        </w:rPr>
      </w:pPr>
    </w:p>
    <w:p w14:paraId="3EE82365" w14:textId="77777777" w:rsidR="00E15351" w:rsidRPr="00BF368D" w:rsidRDefault="00E15351" w:rsidP="00E15351">
      <w:pPr>
        <w:ind w:firstLine="720"/>
        <w:jc w:val="both"/>
        <w:rPr>
          <w:rFonts w:eastAsia="SimSun"/>
          <w:lang w:val="sr-Cyrl-CS"/>
        </w:rPr>
      </w:pPr>
      <w:r w:rsidRPr="00BF368D">
        <w:rPr>
          <w:lang w:val="sr-Cyrl-CS"/>
        </w:rPr>
        <w:t xml:space="preserve">Одредбом члана 1. </w:t>
      </w:r>
      <w:r>
        <w:rPr>
          <w:lang w:val="sr-Cyrl-CS"/>
        </w:rPr>
        <w:t>овог</w:t>
      </w:r>
      <w:r w:rsidRPr="00BF368D">
        <w:rPr>
          <w:lang w:val="sr-Cyrl-CS"/>
        </w:rPr>
        <w:t xml:space="preserve"> закона предвиђа се потврђивање</w:t>
      </w:r>
      <w:r w:rsidRPr="00BF368D">
        <w:rPr>
          <w:rFonts w:eastAsia="SimSun"/>
          <w:lang w:val="sr-Cyrl-CS"/>
        </w:rPr>
        <w:t xml:space="preserve"> Споразума о зајму </w:t>
      </w:r>
      <w:r w:rsidRPr="007653F3">
        <w:rPr>
          <w:rFonts w:eastAsia="SimSun"/>
          <w:lang w:val="de-DE"/>
        </w:rPr>
        <w:t>између KfW, Франкфурт на Мајни и Републике Србије коју заступа Влада Републике Србије делујући преко и путем Министарства финансија за „Програм ефикасног водоснабдевања и пречишћавања отпадних вода за еколошке и одрживе градове у Републици Србији („Зелени градови”) (DKTI)</w:t>
      </w:r>
      <w:r w:rsidRPr="00CF7349">
        <w:rPr>
          <w:lang w:val="sr-Cyrl-CS"/>
        </w:rPr>
        <w:t>”</w:t>
      </w:r>
      <w:r w:rsidRPr="009D5731">
        <w:rPr>
          <w:rFonts w:eastAsia="SimSun"/>
          <w:lang w:val="sr-Cyrl-CS"/>
        </w:rPr>
        <w:t xml:space="preserve">, </w:t>
      </w:r>
      <w:r w:rsidRPr="00054A18">
        <w:rPr>
          <w:rFonts w:eastAsia="SimSun"/>
          <w:lang w:val="sr-Cyrl-CS"/>
        </w:rPr>
        <w:t>који је потписан 27. децембра 2024. године у Франкфурту на Мајни и Београду, у оригиналу</w:t>
      </w:r>
      <w:r w:rsidRPr="00BF368D">
        <w:rPr>
          <w:rFonts w:eastAsia="SimSun"/>
          <w:lang w:val="sr-Cyrl-CS"/>
        </w:rPr>
        <w:t xml:space="preserve"> на енглеском језику.</w:t>
      </w:r>
    </w:p>
    <w:p w14:paraId="6AA2B148" w14:textId="77777777" w:rsidR="00E15351" w:rsidRPr="001F3C5E" w:rsidRDefault="00E15351" w:rsidP="00E15351">
      <w:pPr>
        <w:ind w:firstLine="720"/>
        <w:jc w:val="both"/>
        <w:rPr>
          <w:highlight w:val="yellow"/>
          <w:lang w:val="sr-Cyrl-CS"/>
        </w:rPr>
      </w:pPr>
      <w:r w:rsidRPr="00BF368D">
        <w:rPr>
          <w:lang w:val="sr-Cyrl-CS"/>
        </w:rPr>
        <w:t xml:space="preserve"> Одредба члана 2. </w:t>
      </w:r>
      <w:r>
        <w:rPr>
          <w:lang w:val="sr-Cyrl-CS"/>
        </w:rPr>
        <w:t>овог</w:t>
      </w:r>
      <w:r w:rsidRPr="00BF368D">
        <w:rPr>
          <w:lang w:val="sr-Cyrl-CS"/>
        </w:rPr>
        <w:t xml:space="preserve"> закона садржи текст </w:t>
      </w:r>
      <w:r w:rsidRPr="00661CA3">
        <w:rPr>
          <w:rFonts w:eastAsia="SimSun"/>
          <w:lang w:val="de-DE"/>
        </w:rPr>
        <w:t>Споразума о зајму између KfW, Франкфурт на Мајни и Републике Србије коју заступа Влада Републике Србије делујући преко и путем Министарства финансија за „Програм ефикасног водоснабдевања и пречишћавања отпадних вода за еколошке и одрживе градове у Републици Србији („Зелени градови”) (DKTI)”</w:t>
      </w:r>
      <w:r w:rsidRPr="00BF368D">
        <w:rPr>
          <w:rFonts w:eastAsia="SimSun"/>
          <w:lang w:val="sr-Cyrl-CS"/>
        </w:rPr>
        <w:t xml:space="preserve">, </w:t>
      </w:r>
      <w:r w:rsidRPr="00BF368D">
        <w:rPr>
          <w:lang w:val="sr-Cyrl-CS"/>
        </w:rPr>
        <w:t>у оригиналу на енглеском језику и у преводу на српски језик.</w:t>
      </w:r>
      <w:r>
        <w:rPr>
          <w:lang w:val="sr-Cyrl-CS"/>
        </w:rPr>
        <w:t xml:space="preserve"> </w:t>
      </w:r>
    </w:p>
    <w:p w14:paraId="7E77FDF4" w14:textId="77777777" w:rsidR="00E15351" w:rsidRPr="00F02A32" w:rsidRDefault="00E15351" w:rsidP="00E15351">
      <w:pPr>
        <w:ind w:firstLine="720"/>
        <w:jc w:val="both"/>
        <w:rPr>
          <w:lang w:val="sr-Cyrl-CS"/>
        </w:rPr>
      </w:pPr>
      <w:r w:rsidRPr="00F02A32">
        <w:rPr>
          <w:lang w:val="sr-Cyrl-CS"/>
        </w:rPr>
        <w:t xml:space="preserve">Одредбом члана 3. </w:t>
      </w:r>
      <w:r>
        <w:rPr>
          <w:lang w:val="sr-Cyrl-CS"/>
        </w:rPr>
        <w:t>овог</w:t>
      </w:r>
      <w:r w:rsidRPr="00F02A32">
        <w:rPr>
          <w:lang w:val="sr-Cyrl-CS"/>
        </w:rPr>
        <w:t xml:space="preserve"> закона уређује се ступање на снагу овог закона.</w:t>
      </w:r>
    </w:p>
    <w:p w14:paraId="5C5681EF" w14:textId="77777777" w:rsidR="00E15351" w:rsidRPr="001F3C5E" w:rsidRDefault="00E15351" w:rsidP="00E15351">
      <w:pPr>
        <w:ind w:firstLine="720"/>
        <w:jc w:val="both"/>
        <w:rPr>
          <w:bCs/>
          <w:highlight w:val="yellow"/>
          <w:lang w:val="sr-Cyrl-CS"/>
        </w:rPr>
      </w:pPr>
    </w:p>
    <w:p w14:paraId="7DC3973F" w14:textId="77777777" w:rsidR="00E15351" w:rsidRPr="001F3C5E" w:rsidRDefault="00E15351" w:rsidP="00E15351">
      <w:pPr>
        <w:ind w:firstLine="720"/>
        <w:jc w:val="both"/>
        <w:rPr>
          <w:bCs/>
          <w:lang w:val="sr-Cyrl-CS"/>
        </w:rPr>
      </w:pPr>
      <w:r w:rsidRPr="001F3C5E">
        <w:rPr>
          <w:bCs/>
          <w:lang w:val="sr-Cyrl-CS"/>
        </w:rPr>
        <w:t>IV. ПРОЦЕНА ИЗНОСА ФИНАНСИЈСКИХ СРЕДСТАВА ПОТРЕБНИХ ЗА   СПРОВОЂЕЊЕ ЗАКОНА</w:t>
      </w:r>
    </w:p>
    <w:p w14:paraId="538E3B87" w14:textId="77777777" w:rsidR="00E15351" w:rsidRPr="001F3C5E" w:rsidRDefault="00E15351" w:rsidP="00E15351">
      <w:pPr>
        <w:jc w:val="both"/>
        <w:rPr>
          <w:highlight w:val="yellow"/>
          <w:lang w:val="sr-Cyrl-CS"/>
        </w:rPr>
      </w:pPr>
    </w:p>
    <w:p w14:paraId="128E9CC3" w14:textId="77777777" w:rsidR="00692046" w:rsidRPr="00C10491" w:rsidRDefault="00E15351" w:rsidP="00E15351">
      <w:pPr>
        <w:jc w:val="both"/>
        <w:rPr>
          <w:lang w:val="sr-Cyrl-CS"/>
        </w:rPr>
      </w:pPr>
      <w:r w:rsidRPr="001F3C5E">
        <w:rPr>
          <w:lang w:val="sr-Cyrl-CS"/>
        </w:rPr>
        <w:tab/>
        <w:t>За спровођење овог закона обезбеђиваће се средства у буџету Републике Србије.</w:t>
      </w:r>
    </w:p>
    <w:p w14:paraId="04209BD7" w14:textId="77777777" w:rsidR="00B31118" w:rsidRPr="00F843FC" w:rsidRDefault="00B31118" w:rsidP="003F5D5C">
      <w:pPr>
        <w:jc w:val="both"/>
        <w:rPr>
          <w:lang w:val="sr-Cyrl-RS"/>
        </w:rPr>
      </w:pPr>
    </w:p>
    <w:sectPr w:rsidR="00B31118" w:rsidRPr="00F843FC" w:rsidSect="003F5D5C">
      <w:headerReference w:type="even" r:id="rId7"/>
      <w:headerReference w:type="default" r:id="rId8"/>
      <w:footerReference w:type="even" r:id="rId9"/>
      <w:pgSz w:w="11909" w:h="16834" w:code="9"/>
      <w:pgMar w:top="709" w:right="1469" w:bottom="284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87307" w14:textId="77777777" w:rsidR="00A718D9" w:rsidRDefault="00A718D9">
      <w:r>
        <w:separator/>
      </w:r>
    </w:p>
  </w:endnote>
  <w:endnote w:type="continuationSeparator" w:id="0">
    <w:p w14:paraId="2EC4F2C7" w14:textId="77777777" w:rsidR="00A718D9" w:rsidRDefault="00A71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2C855" w14:textId="77777777" w:rsidR="00726477" w:rsidRDefault="001F46C5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2647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AC4C5C" w14:textId="77777777" w:rsidR="00726477" w:rsidRDefault="00726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2157F" w14:textId="77777777" w:rsidR="00A718D9" w:rsidRDefault="00A718D9">
      <w:r>
        <w:separator/>
      </w:r>
    </w:p>
  </w:footnote>
  <w:footnote w:type="continuationSeparator" w:id="0">
    <w:p w14:paraId="6EE1FBF4" w14:textId="77777777" w:rsidR="00A718D9" w:rsidRDefault="00A71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CFAC8" w14:textId="77777777" w:rsidR="00726477" w:rsidRDefault="001F46C5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2647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7DA64C" w14:textId="77777777"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764F7" w14:textId="77777777" w:rsidR="00726477" w:rsidRDefault="001F46C5" w:rsidP="004A33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2647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15351">
      <w:rPr>
        <w:rStyle w:val="PageNumber"/>
        <w:noProof/>
      </w:rPr>
      <w:t>2</w:t>
    </w:r>
    <w:r>
      <w:rPr>
        <w:rStyle w:val="PageNumber"/>
      </w:rPr>
      <w:fldChar w:fldCharType="end"/>
    </w:r>
  </w:p>
  <w:p w14:paraId="25F92EF3" w14:textId="77777777" w:rsidR="00726477" w:rsidRDefault="007264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C0F43"/>
    <w:multiLevelType w:val="multilevel"/>
    <w:tmpl w:val="CA1059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0076807"/>
    <w:multiLevelType w:val="hybridMultilevel"/>
    <w:tmpl w:val="3F1219A4"/>
    <w:lvl w:ilvl="0" w:tplc="54A240BA">
      <w:start w:val="1"/>
      <w:numFmt w:val="bullet"/>
      <w:lvlText w:val=""/>
      <w:lvlJc w:val="left"/>
      <w:pPr>
        <w:tabs>
          <w:tab w:val="num" w:pos="1680"/>
        </w:tabs>
        <w:ind w:left="1680" w:hanging="9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4999957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72978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1624688">
    <w:abstractNumId w:val="6"/>
  </w:num>
  <w:num w:numId="4" w16cid:durableId="1288662466">
    <w:abstractNumId w:val="9"/>
  </w:num>
  <w:num w:numId="5" w16cid:durableId="1655721305">
    <w:abstractNumId w:val="5"/>
  </w:num>
  <w:num w:numId="6" w16cid:durableId="637950696">
    <w:abstractNumId w:val="4"/>
  </w:num>
  <w:num w:numId="7" w16cid:durableId="1925143561">
    <w:abstractNumId w:val="8"/>
  </w:num>
  <w:num w:numId="8" w16cid:durableId="798230408">
    <w:abstractNumId w:val="1"/>
  </w:num>
  <w:num w:numId="9" w16cid:durableId="159934102">
    <w:abstractNumId w:val="7"/>
  </w:num>
  <w:num w:numId="10" w16cid:durableId="696152969">
    <w:abstractNumId w:val="2"/>
  </w:num>
  <w:num w:numId="11" w16cid:durableId="7264970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E17"/>
    <w:rsid w:val="00005C63"/>
    <w:rsid w:val="00007E59"/>
    <w:rsid w:val="00020FCC"/>
    <w:rsid w:val="00024D90"/>
    <w:rsid w:val="00032B9A"/>
    <w:rsid w:val="00035CC8"/>
    <w:rsid w:val="000437FA"/>
    <w:rsid w:val="00054A18"/>
    <w:rsid w:val="00056957"/>
    <w:rsid w:val="00062F06"/>
    <w:rsid w:val="00064108"/>
    <w:rsid w:val="0006418D"/>
    <w:rsid w:val="0006552C"/>
    <w:rsid w:val="00073E3C"/>
    <w:rsid w:val="00077157"/>
    <w:rsid w:val="000803A4"/>
    <w:rsid w:val="000821BE"/>
    <w:rsid w:val="000828FE"/>
    <w:rsid w:val="000857F9"/>
    <w:rsid w:val="00086BAE"/>
    <w:rsid w:val="000934C3"/>
    <w:rsid w:val="0009350A"/>
    <w:rsid w:val="000942EB"/>
    <w:rsid w:val="000A0D8B"/>
    <w:rsid w:val="000A50DC"/>
    <w:rsid w:val="000B0459"/>
    <w:rsid w:val="000B433B"/>
    <w:rsid w:val="000B4E48"/>
    <w:rsid w:val="000B53A9"/>
    <w:rsid w:val="000C1F4C"/>
    <w:rsid w:val="000C4E82"/>
    <w:rsid w:val="000E05B7"/>
    <w:rsid w:val="000E4805"/>
    <w:rsid w:val="000E7A48"/>
    <w:rsid w:val="000F4947"/>
    <w:rsid w:val="000F4E4E"/>
    <w:rsid w:val="00102190"/>
    <w:rsid w:val="00103B05"/>
    <w:rsid w:val="00113ACC"/>
    <w:rsid w:val="00115F04"/>
    <w:rsid w:val="00117CB4"/>
    <w:rsid w:val="00126325"/>
    <w:rsid w:val="0013568A"/>
    <w:rsid w:val="00144767"/>
    <w:rsid w:val="00147749"/>
    <w:rsid w:val="00153626"/>
    <w:rsid w:val="001630F8"/>
    <w:rsid w:val="001667F5"/>
    <w:rsid w:val="00180F34"/>
    <w:rsid w:val="00186A15"/>
    <w:rsid w:val="001964E8"/>
    <w:rsid w:val="001A3B02"/>
    <w:rsid w:val="001A5D00"/>
    <w:rsid w:val="001A7148"/>
    <w:rsid w:val="001A7748"/>
    <w:rsid w:val="001A77EC"/>
    <w:rsid w:val="001B38D5"/>
    <w:rsid w:val="001B66FD"/>
    <w:rsid w:val="001C279E"/>
    <w:rsid w:val="001C546D"/>
    <w:rsid w:val="001C5E2D"/>
    <w:rsid w:val="001E147B"/>
    <w:rsid w:val="001E1C8B"/>
    <w:rsid w:val="001E418E"/>
    <w:rsid w:val="001E57EF"/>
    <w:rsid w:val="001E7107"/>
    <w:rsid w:val="001E7301"/>
    <w:rsid w:val="001F1228"/>
    <w:rsid w:val="001F27F5"/>
    <w:rsid w:val="001F3C5E"/>
    <w:rsid w:val="001F46C5"/>
    <w:rsid w:val="00200CAF"/>
    <w:rsid w:val="00202EF4"/>
    <w:rsid w:val="00204A89"/>
    <w:rsid w:val="002052E3"/>
    <w:rsid w:val="00205A37"/>
    <w:rsid w:val="00241C0E"/>
    <w:rsid w:val="0024219F"/>
    <w:rsid w:val="00243DD8"/>
    <w:rsid w:val="002451DF"/>
    <w:rsid w:val="00253453"/>
    <w:rsid w:val="00255BA5"/>
    <w:rsid w:val="0025659C"/>
    <w:rsid w:val="0025742D"/>
    <w:rsid w:val="00264F52"/>
    <w:rsid w:val="00272201"/>
    <w:rsid w:val="0027673C"/>
    <w:rsid w:val="002813E0"/>
    <w:rsid w:val="00284188"/>
    <w:rsid w:val="00286C70"/>
    <w:rsid w:val="00286D1B"/>
    <w:rsid w:val="00291078"/>
    <w:rsid w:val="002912F5"/>
    <w:rsid w:val="002924F3"/>
    <w:rsid w:val="002A19F2"/>
    <w:rsid w:val="002A448B"/>
    <w:rsid w:val="002A630B"/>
    <w:rsid w:val="002B1288"/>
    <w:rsid w:val="002C140C"/>
    <w:rsid w:val="002C1806"/>
    <w:rsid w:val="002D4568"/>
    <w:rsid w:val="002F1750"/>
    <w:rsid w:val="002F4AA5"/>
    <w:rsid w:val="0030234C"/>
    <w:rsid w:val="00305E1D"/>
    <w:rsid w:val="0030767F"/>
    <w:rsid w:val="00316AB7"/>
    <w:rsid w:val="00324A09"/>
    <w:rsid w:val="003325AA"/>
    <w:rsid w:val="003441BE"/>
    <w:rsid w:val="00344F7E"/>
    <w:rsid w:val="00356442"/>
    <w:rsid w:val="00356501"/>
    <w:rsid w:val="003627B1"/>
    <w:rsid w:val="00375309"/>
    <w:rsid w:val="0037575B"/>
    <w:rsid w:val="003811CA"/>
    <w:rsid w:val="0038219E"/>
    <w:rsid w:val="00384EA3"/>
    <w:rsid w:val="00387AD2"/>
    <w:rsid w:val="003A48CD"/>
    <w:rsid w:val="003B34BB"/>
    <w:rsid w:val="003B52EA"/>
    <w:rsid w:val="003C0CD0"/>
    <w:rsid w:val="003C2142"/>
    <w:rsid w:val="003C4108"/>
    <w:rsid w:val="003E6854"/>
    <w:rsid w:val="003E6BA6"/>
    <w:rsid w:val="003F42ED"/>
    <w:rsid w:val="003F5D5C"/>
    <w:rsid w:val="003F7B23"/>
    <w:rsid w:val="0040226C"/>
    <w:rsid w:val="004052A8"/>
    <w:rsid w:val="00423BF8"/>
    <w:rsid w:val="004352B7"/>
    <w:rsid w:val="004477B2"/>
    <w:rsid w:val="00452464"/>
    <w:rsid w:val="00463141"/>
    <w:rsid w:val="00470AE5"/>
    <w:rsid w:val="00475346"/>
    <w:rsid w:val="00475C98"/>
    <w:rsid w:val="00481EDB"/>
    <w:rsid w:val="00485D86"/>
    <w:rsid w:val="0049044D"/>
    <w:rsid w:val="004A31BF"/>
    <w:rsid w:val="004A33F0"/>
    <w:rsid w:val="004A3461"/>
    <w:rsid w:val="004B0478"/>
    <w:rsid w:val="004B4959"/>
    <w:rsid w:val="004B74C6"/>
    <w:rsid w:val="004C5540"/>
    <w:rsid w:val="004E689B"/>
    <w:rsid w:val="004F51EE"/>
    <w:rsid w:val="004F5575"/>
    <w:rsid w:val="005038FB"/>
    <w:rsid w:val="00507384"/>
    <w:rsid w:val="00507842"/>
    <w:rsid w:val="0051245E"/>
    <w:rsid w:val="005159DA"/>
    <w:rsid w:val="00525E17"/>
    <w:rsid w:val="00526BD0"/>
    <w:rsid w:val="005278E3"/>
    <w:rsid w:val="00537633"/>
    <w:rsid w:val="00542F03"/>
    <w:rsid w:val="00543111"/>
    <w:rsid w:val="0056231B"/>
    <w:rsid w:val="00562EF5"/>
    <w:rsid w:val="005632C2"/>
    <w:rsid w:val="00564468"/>
    <w:rsid w:val="00565E0D"/>
    <w:rsid w:val="005667F8"/>
    <w:rsid w:val="00567F01"/>
    <w:rsid w:val="005759C0"/>
    <w:rsid w:val="005808B4"/>
    <w:rsid w:val="00584A3D"/>
    <w:rsid w:val="0058518B"/>
    <w:rsid w:val="00590734"/>
    <w:rsid w:val="005937ED"/>
    <w:rsid w:val="00596B97"/>
    <w:rsid w:val="005A230F"/>
    <w:rsid w:val="005B7034"/>
    <w:rsid w:val="005B78AF"/>
    <w:rsid w:val="005C0446"/>
    <w:rsid w:val="005C442E"/>
    <w:rsid w:val="005C62A0"/>
    <w:rsid w:val="005D0A0B"/>
    <w:rsid w:val="005D1821"/>
    <w:rsid w:val="005D3EEB"/>
    <w:rsid w:val="005D4E8E"/>
    <w:rsid w:val="005E48C7"/>
    <w:rsid w:val="005F3A87"/>
    <w:rsid w:val="005F7752"/>
    <w:rsid w:val="00604F72"/>
    <w:rsid w:val="00606517"/>
    <w:rsid w:val="00612F27"/>
    <w:rsid w:val="006130E2"/>
    <w:rsid w:val="00621F25"/>
    <w:rsid w:val="00624117"/>
    <w:rsid w:val="0063212E"/>
    <w:rsid w:val="0064720E"/>
    <w:rsid w:val="00654444"/>
    <w:rsid w:val="00660AFD"/>
    <w:rsid w:val="006610A8"/>
    <w:rsid w:val="00661CA3"/>
    <w:rsid w:val="00663D77"/>
    <w:rsid w:val="006655D8"/>
    <w:rsid w:val="00674C67"/>
    <w:rsid w:val="0069053B"/>
    <w:rsid w:val="00692046"/>
    <w:rsid w:val="0069359B"/>
    <w:rsid w:val="006941D5"/>
    <w:rsid w:val="006961E3"/>
    <w:rsid w:val="006B2DE0"/>
    <w:rsid w:val="006B3D26"/>
    <w:rsid w:val="006B4040"/>
    <w:rsid w:val="006B6E0D"/>
    <w:rsid w:val="006C0CB7"/>
    <w:rsid w:val="006C21E3"/>
    <w:rsid w:val="006C671B"/>
    <w:rsid w:val="006C6834"/>
    <w:rsid w:val="006D0F53"/>
    <w:rsid w:val="006D1429"/>
    <w:rsid w:val="006D192D"/>
    <w:rsid w:val="006D7EB7"/>
    <w:rsid w:val="006E0532"/>
    <w:rsid w:val="006F005C"/>
    <w:rsid w:val="006F0436"/>
    <w:rsid w:val="006F1D87"/>
    <w:rsid w:val="006F32C9"/>
    <w:rsid w:val="006F412B"/>
    <w:rsid w:val="006F4986"/>
    <w:rsid w:val="00700EB7"/>
    <w:rsid w:val="0070299B"/>
    <w:rsid w:val="00703AD7"/>
    <w:rsid w:val="007173D8"/>
    <w:rsid w:val="0072050A"/>
    <w:rsid w:val="00723279"/>
    <w:rsid w:val="00726477"/>
    <w:rsid w:val="0072730D"/>
    <w:rsid w:val="00740858"/>
    <w:rsid w:val="00743369"/>
    <w:rsid w:val="00746BDE"/>
    <w:rsid w:val="0075508D"/>
    <w:rsid w:val="00756EEE"/>
    <w:rsid w:val="00757A2E"/>
    <w:rsid w:val="007603E0"/>
    <w:rsid w:val="00764C5D"/>
    <w:rsid w:val="007653F3"/>
    <w:rsid w:val="00774BEC"/>
    <w:rsid w:val="007769D6"/>
    <w:rsid w:val="00790D84"/>
    <w:rsid w:val="00792FB6"/>
    <w:rsid w:val="00796DC0"/>
    <w:rsid w:val="007A1385"/>
    <w:rsid w:val="007B14FA"/>
    <w:rsid w:val="007C379C"/>
    <w:rsid w:val="007C3802"/>
    <w:rsid w:val="007C5ECC"/>
    <w:rsid w:val="007D3CBB"/>
    <w:rsid w:val="007F45DA"/>
    <w:rsid w:val="007F76C7"/>
    <w:rsid w:val="00812742"/>
    <w:rsid w:val="00813AE6"/>
    <w:rsid w:val="00824570"/>
    <w:rsid w:val="0082735B"/>
    <w:rsid w:val="0082789C"/>
    <w:rsid w:val="00836B68"/>
    <w:rsid w:val="00845874"/>
    <w:rsid w:val="00860400"/>
    <w:rsid w:val="008604C6"/>
    <w:rsid w:val="00862E50"/>
    <w:rsid w:val="00864A3D"/>
    <w:rsid w:val="008652F7"/>
    <w:rsid w:val="008654D2"/>
    <w:rsid w:val="00866F6D"/>
    <w:rsid w:val="00874CB0"/>
    <w:rsid w:val="00875385"/>
    <w:rsid w:val="008758C8"/>
    <w:rsid w:val="00890B04"/>
    <w:rsid w:val="00890DFB"/>
    <w:rsid w:val="0089793E"/>
    <w:rsid w:val="008A1EDF"/>
    <w:rsid w:val="008A2893"/>
    <w:rsid w:val="008A5900"/>
    <w:rsid w:val="008B4ED3"/>
    <w:rsid w:val="008B4F87"/>
    <w:rsid w:val="008C220C"/>
    <w:rsid w:val="008C39C2"/>
    <w:rsid w:val="008C45A6"/>
    <w:rsid w:val="008C6565"/>
    <w:rsid w:val="008D29F9"/>
    <w:rsid w:val="008D4D47"/>
    <w:rsid w:val="008E11B1"/>
    <w:rsid w:val="008F15A3"/>
    <w:rsid w:val="008F54A3"/>
    <w:rsid w:val="008F65DA"/>
    <w:rsid w:val="00902EE5"/>
    <w:rsid w:val="009142C3"/>
    <w:rsid w:val="00923785"/>
    <w:rsid w:val="0092393B"/>
    <w:rsid w:val="009314BE"/>
    <w:rsid w:val="009327F0"/>
    <w:rsid w:val="009333FB"/>
    <w:rsid w:val="00933B8D"/>
    <w:rsid w:val="00935EEF"/>
    <w:rsid w:val="0094174E"/>
    <w:rsid w:val="00947089"/>
    <w:rsid w:val="00947F14"/>
    <w:rsid w:val="0095097B"/>
    <w:rsid w:val="0095321A"/>
    <w:rsid w:val="00960D16"/>
    <w:rsid w:val="0096620B"/>
    <w:rsid w:val="00966D91"/>
    <w:rsid w:val="0097521F"/>
    <w:rsid w:val="0099088A"/>
    <w:rsid w:val="00994ACB"/>
    <w:rsid w:val="009A546D"/>
    <w:rsid w:val="009A781A"/>
    <w:rsid w:val="009B3000"/>
    <w:rsid w:val="009C0011"/>
    <w:rsid w:val="009C0876"/>
    <w:rsid w:val="009C1125"/>
    <w:rsid w:val="009C3D4A"/>
    <w:rsid w:val="009C4F87"/>
    <w:rsid w:val="009C535A"/>
    <w:rsid w:val="009D1A3E"/>
    <w:rsid w:val="009D5731"/>
    <w:rsid w:val="009E0DF2"/>
    <w:rsid w:val="009E43BE"/>
    <w:rsid w:val="009E62DB"/>
    <w:rsid w:val="009E66D1"/>
    <w:rsid w:val="009E6D0B"/>
    <w:rsid w:val="009F0496"/>
    <w:rsid w:val="009F5D83"/>
    <w:rsid w:val="00A023ED"/>
    <w:rsid w:val="00A037E5"/>
    <w:rsid w:val="00A054F7"/>
    <w:rsid w:val="00A1714E"/>
    <w:rsid w:val="00A218FF"/>
    <w:rsid w:val="00A24C0E"/>
    <w:rsid w:val="00A34124"/>
    <w:rsid w:val="00A36EB5"/>
    <w:rsid w:val="00A37D3D"/>
    <w:rsid w:val="00A46254"/>
    <w:rsid w:val="00A56DC0"/>
    <w:rsid w:val="00A64D3B"/>
    <w:rsid w:val="00A65285"/>
    <w:rsid w:val="00A66499"/>
    <w:rsid w:val="00A67B90"/>
    <w:rsid w:val="00A718D9"/>
    <w:rsid w:val="00A7379C"/>
    <w:rsid w:val="00A75C60"/>
    <w:rsid w:val="00A8587A"/>
    <w:rsid w:val="00A91491"/>
    <w:rsid w:val="00A93F82"/>
    <w:rsid w:val="00AA5172"/>
    <w:rsid w:val="00AA5E8B"/>
    <w:rsid w:val="00AA7FD3"/>
    <w:rsid w:val="00AB0889"/>
    <w:rsid w:val="00AB09A7"/>
    <w:rsid w:val="00AB1D87"/>
    <w:rsid w:val="00AC0FF4"/>
    <w:rsid w:val="00AC23DB"/>
    <w:rsid w:val="00AC319E"/>
    <w:rsid w:val="00AC6967"/>
    <w:rsid w:val="00AC6E28"/>
    <w:rsid w:val="00AD7404"/>
    <w:rsid w:val="00AE225D"/>
    <w:rsid w:val="00AE3B6D"/>
    <w:rsid w:val="00AE54F2"/>
    <w:rsid w:val="00AF05CC"/>
    <w:rsid w:val="00B01134"/>
    <w:rsid w:val="00B0221D"/>
    <w:rsid w:val="00B050C0"/>
    <w:rsid w:val="00B11D1A"/>
    <w:rsid w:val="00B12106"/>
    <w:rsid w:val="00B15893"/>
    <w:rsid w:val="00B17620"/>
    <w:rsid w:val="00B207D5"/>
    <w:rsid w:val="00B236F6"/>
    <w:rsid w:val="00B263AE"/>
    <w:rsid w:val="00B26F3A"/>
    <w:rsid w:val="00B31118"/>
    <w:rsid w:val="00B31EEB"/>
    <w:rsid w:val="00B41779"/>
    <w:rsid w:val="00B41E3D"/>
    <w:rsid w:val="00B6096C"/>
    <w:rsid w:val="00B63E98"/>
    <w:rsid w:val="00B8231A"/>
    <w:rsid w:val="00B82F86"/>
    <w:rsid w:val="00B92820"/>
    <w:rsid w:val="00BA558F"/>
    <w:rsid w:val="00BA5836"/>
    <w:rsid w:val="00BB13B0"/>
    <w:rsid w:val="00BC462E"/>
    <w:rsid w:val="00BD3CFF"/>
    <w:rsid w:val="00BE2870"/>
    <w:rsid w:val="00BE4ADF"/>
    <w:rsid w:val="00BF1722"/>
    <w:rsid w:val="00BF1E3A"/>
    <w:rsid w:val="00BF368D"/>
    <w:rsid w:val="00BF6BB4"/>
    <w:rsid w:val="00C10491"/>
    <w:rsid w:val="00C14179"/>
    <w:rsid w:val="00C161E1"/>
    <w:rsid w:val="00C21708"/>
    <w:rsid w:val="00C22ED9"/>
    <w:rsid w:val="00C4011F"/>
    <w:rsid w:val="00C454A1"/>
    <w:rsid w:val="00C574E3"/>
    <w:rsid w:val="00C645D8"/>
    <w:rsid w:val="00C661C9"/>
    <w:rsid w:val="00C67E62"/>
    <w:rsid w:val="00C72296"/>
    <w:rsid w:val="00C7414C"/>
    <w:rsid w:val="00C7690A"/>
    <w:rsid w:val="00C8116C"/>
    <w:rsid w:val="00C8159D"/>
    <w:rsid w:val="00C8376C"/>
    <w:rsid w:val="00C847B1"/>
    <w:rsid w:val="00C86847"/>
    <w:rsid w:val="00C90848"/>
    <w:rsid w:val="00C95A13"/>
    <w:rsid w:val="00CB0050"/>
    <w:rsid w:val="00CB11E2"/>
    <w:rsid w:val="00CB1589"/>
    <w:rsid w:val="00CB387A"/>
    <w:rsid w:val="00CB49F6"/>
    <w:rsid w:val="00CC41C3"/>
    <w:rsid w:val="00CE0C84"/>
    <w:rsid w:val="00CE2009"/>
    <w:rsid w:val="00CE2765"/>
    <w:rsid w:val="00CF1B02"/>
    <w:rsid w:val="00CF7349"/>
    <w:rsid w:val="00D01EB5"/>
    <w:rsid w:val="00D055F0"/>
    <w:rsid w:val="00D07955"/>
    <w:rsid w:val="00D14908"/>
    <w:rsid w:val="00D324C9"/>
    <w:rsid w:val="00D33E18"/>
    <w:rsid w:val="00D4554A"/>
    <w:rsid w:val="00D57EE4"/>
    <w:rsid w:val="00D60D13"/>
    <w:rsid w:val="00D7163A"/>
    <w:rsid w:val="00D71C65"/>
    <w:rsid w:val="00D724E0"/>
    <w:rsid w:val="00D809EF"/>
    <w:rsid w:val="00D8309B"/>
    <w:rsid w:val="00D85E6D"/>
    <w:rsid w:val="00D922A2"/>
    <w:rsid w:val="00DA3A35"/>
    <w:rsid w:val="00DB40FC"/>
    <w:rsid w:val="00DB562E"/>
    <w:rsid w:val="00DB6D84"/>
    <w:rsid w:val="00DC41DF"/>
    <w:rsid w:val="00DD71DE"/>
    <w:rsid w:val="00DE046C"/>
    <w:rsid w:val="00DE3BDE"/>
    <w:rsid w:val="00DF1329"/>
    <w:rsid w:val="00DF2E0D"/>
    <w:rsid w:val="00DF2F34"/>
    <w:rsid w:val="00DF3348"/>
    <w:rsid w:val="00DF6CDF"/>
    <w:rsid w:val="00E15351"/>
    <w:rsid w:val="00E219CE"/>
    <w:rsid w:val="00E3026C"/>
    <w:rsid w:val="00E30ACD"/>
    <w:rsid w:val="00E3429D"/>
    <w:rsid w:val="00E40475"/>
    <w:rsid w:val="00E43DBF"/>
    <w:rsid w:val="00E45A97"/>
    <w:rsid w:val="00E45C01"/>
    <w:rsid w:val="00E64495"/>
    <w:rsid w:val="00E72529"/>
    <w:rsid w:val="00E77BF9"/>
    <w:rsid w:val="00E804EE"/>
    <w:rsid w:val="00E80D89"/>
    <w:rsid w:val="00E80F05"/>
    <w:rsid w:val="00E83756"/>
    <w:rsid w:val="00E85949"/>
    <w:rsid w:val="00E8762A"/>
    <w:rsid w:val="00E92AE5"/>
    <w:rsid w:val="00E92CF1"/>
    <w:rsid w:val="00E93238"/>
    <w:rsid w:val="00EA60E5"/>
    <w:rsid w:val="00EB0767"/>
    <w:rsid w:val="00EC2CAE"/>
    <w:rsid w:val="00EC61DD"/>
    <w:rsid w:val="00EE2F7F"/>
    <w:rsid w:val="00EE585F"/>
    <w:rsid w:val="00EE6B63"/>
    <w:rsid w:val="00EE7076"/>
    <w:rsid w:val="00EF129A"/>
    <w:rsid w:val="00EF61F0"/>
    <w:rsid w:val="00EF6FF3"/>
    <w:rsid w:val="00F00453"/>
    <w:rsid w:val="00F00C37"/>
    <w:rsid w:val="00F01185"/>
    <w:rsid w:val="00F02A32"/>
    <w:rsid w:val="00F25689"/>
    <w:rsid w:val="00F332F8"/>
    <w:rsid w:val="00F40184"/>
    <w:rsid w:val="00F56DA4"/>
    <w:rsid w:val="00F62120"/>
    <w:rsid w:val="00F765C6"/>
    <w:rsid w:val="00F843FC"/>
    <w:rsid w:val="00F84AFF"/>
    <w:rsid w:val="00F86715"/>
    <w:rsid w:val="00F90C89"/>
    <w:rsid w:val="00F9386E"/>
    <w:rsid w:val="00FA2CF0"/>
    <w:rsid w:val="00FA3B8A"/>
    <w:rsid w:val="00FC1322"/>
    <w:rsid w:val="00FD0E68"/>
    <w:rsid w:val="00FD2475"/>
    <w:rsid w:val="00FD5F0D"/>
    <w:rsid w:val="00FE006C"/>
    <w:rsid w:val="00FE46FB"/>
    <w:rsid w:val="00FE755B"/>
    <w:rsid w:val="00FE7DB0"/>
    <w:rsid w:val="00FF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FB205F"/>
  <w15:docId w15:val="{7CD14ABD-29E8-4F01-94C1-0DE3BEF61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DA3A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8123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Ivana Vojinović</cp:lastModifiedBy>
  <cp:revision>2</cp:revision>
  <cp:lastPrinted>2024-10-30T13:10:00Z</cp:lastPrinted>
  <dcterms:created xsi:type="dcterms:W3CDTF">2025-01-17T12:11:00Z</dcterms:created>
  <dcterms:modified xsi:type="dcterms:W3CDTF">2025-01-17T12:11:00Z</dcterms:modified>
</cp:coreProperties>
</file>