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EED" w:rsidRPr="00AA4A09" w:rsidRDefault="00BF3EED" w:rsidP="00BF3EED">
      <w:pPr>
        <w:spacing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AA4A09">
        <w:rPr>
          <w:rFonts w:ascii="Times New Roman" w:hAnsi="Times New Roman"/>
          <w:b/>
          <w:noProof/>
          <w:sz w:val="24"/>
          <w:lang w:val="sr-Cyrl-RS"/>
        </w:rPr>
        <w:t>ОДЛУКА БРОЈ 1/202</w:t>
      </w:r>
      <w:r w:rsidRPr="00AA4A09">
        <w:rPr>
          <w:rFonts w:ascii="Times New Roman" w:hAnsi="Times New Roman"/>
          <w:b/>
          <w:noProof/>
          <w:sz w:val="24"/>
        </w:rPr>
        <w:t>4</w:t>
      </w:r>
    </w:p>
    <w:p w:rsidR="00BF3EED" w:rsidRPr="00AA4A09" w:rsidRDefault="00BF3EED" w:rsidP="00BF3EE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AA4A09">
        <w:rPr>
          <w:rFonts w:ascii="Times New Roman" w:hAnsi="Times New Roman"/>
          <w:b/>
          <w:noProof/>
          <w:sz w:val="24"/>
          <w:lang w:val="sr-Cyrl-RS"/>
        </w:rPr>
        <w:t>ЗАЈЕДНИЧКОГ КОМИТЕТА</w:t>
      </w:r>
      <w:r w:rsidRPr="00AA4A09">
        <w:rPr>
          <w:rFonts w:ascii="Times New Roman" w:hAnsi="Times New Roman"/>
          <w:b/>
          <w:noProof/>
          <w:sz w:val="24"/>
        </w:rPr>
        <w:t xml:space="preserve"> </w:t>
      </w:r>
    </w:p>
    <w:p w:rsidR="00BF3EED" w:rsidRPr="00AA4A09" w:rsidRDefault="00BF3EED" w:rsidP="00BF3EED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 w:rsidRPr="00AA4A09">
        <w:rPr>
          <w:rFonts w:ascii="Times New Roman" w:hAnsi="Times New Roman"/>
          <w:b/>
          <w:sz w:val="24"/>
          <w:lang w:val="sr-Cyrl-RS"/>
        </w:rPr>
        <w:t xml:space="preserve">УСТАНОВЉЕНОГ СПОРАЗУМОМ О СЛОБОДНОЈ ТРГОВИНИ </w:t>
      </w:r>
    </w:p>
    <w:p w:rsidR="00BF3EED" w:rsidRPr="00AA4A09" w:rsidRDefault="00BF3EED" w:rsidP="00BF3EE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 w:rsidRPr="00AA4A09">
        <w:rPr>
          <w:rFonts w:ascii="Times New Roman" w:hAnsi="Times New Roman"/>
          <w:b/>
          <w:sz w:val="24"/>
          <w:lang w:val="sr-Cyrl-RS"/>
        </w:rPr>
        <w:t>ИЗМЕЂУ РЕПУБЛИКЕ СРБИЈЕ И РЕПУБЛИКЕ ТУРСКЕ</w:t>
      </w:r>
      <w:r w:rsidRPr="00AA4A09">
        <w:rPr>
          <w:rFonts w:ascii="Times New Roman" w:hAnsi="Times New Roman"/>
          <w:b/>
          <w:noProof/>
          <w:sz w:val="24"/>
          <w:lang w:val="sr-Cyrl-RS"/>
        </w:rPr>
        <w:t xml:space="preserve"> </w:t>
      </w:r>
    </w:p>
    <w:p w:rsidR="00BF3EED" w:rsidRPr="00AA4A09" w:rsidRDefault="00BF3EED" w:rsidP="00BF3EED">
      <w:pPr>
        <w:spacing w:before="120" w:after="12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 w:rsidRPr="00AA4A09">
        <w:rPr>
          <w:rFonts w:ascii="Times New Roman" w:hAnsi="Times New Roman"/>
          <w:b/>
          <w:noProof/>
          <w:sz w:val="24"/>
          <w:lang w:val="sr-Cyrl-RS"/>
        </w:rPr>
        <w:t>О</w:t>
      </w:r>
    </w:p>
    <w:p w:rsidR="00BF3EED" w:rsidRPr="00AA4A09" w:rsidRDefault="00BF3EED" w:rsidP="00BF3EED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 w:rsidRPr="00AA4A09">
        <w:rPr>
          <w:rFonts w:ascii="Times New Roman" w:hAnsi="Times New Roman"/>
          <w:b/>
          <w:sz w:val="24"/>
          <w:lang w:val="sr-Cyrl-RS"/>
        </w:rPr>
        <w:t xml:space="preserve">ИЗМЕНИ СПОРАЗУМА О СЛОБОДНОЈ ТРГОВИНИ </w:t>
      </w:r>
    </w:p>
    <w:p w:rsidR="00BF3EED" w:rsidRPr="00AA4A09" w:rsidRDefault="00BF3EED" w:rsidP="00BF3EED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 w:rsidRPr="00AA4A09">
        <w:rPr>
          <w:rFonts w:ascii="Times New Roman" w:hAnsi="Times New Roman"/>
          <w:b/>
          <w:sz w:val="24"/>
          <w:lang w:val="sr-Cyrl-RS"/>
        </w:rPr>
        <w:t xml:space="preserve">ИЗМЕЂУ РЕПУБЛИКЕ СРБИЈЕ И РЕПУБЛИКЕ ТУРСКЕ </w:t>
      </w:r>
    </w:p>
    <w:p w:rsidR="00BF3EED" w:rsidRPr="00AA4A09" w:rsidRDefault="00BF3EED" w:rsidP="00BF3EED">
      <w:pPr>
        <w:spacing w:after="0" w:line="240" w:lineRule="auto"/>
        <w:jc w:val="center"/>
        <w:rPr>
          <w:rFonts w:ascii="Times New Roman" w:hAnsi="Times New Roman"/>
          <w:b/>
          <w:sz w:val="24"/>
          <w:lang w:val="sr-Latn-RS"/>
        </w:rPr>
      </w:pPr>
      <w:r w:rsidRPr="00AA4A09">
        <w:rPr>
          <w:rFonts w:ascii="Times New Roman" w:hAnsi="Times New Roman"/>
          <w:b/>
          <w:sz w:val="24"/>
          <w:lang w:val="sr-Cyrl-RS"/>
        </w:rPr>
        <w:t xml:space="preserve">ЗАМЕНОМ ПРОТОКОЛА </w:t>
      </w:r>
      <w:r w:rsidRPr="00AA4A09">
        <w:rPr>
          <w:rFonts w:ascii="Times New Roman" w:hAnsi="Times New Roman"/>
          <w:b/>
          <w:sz w:val="24"/>
          <w:lang w:val="sr-Latn-RS"/>
        </w:rPr>
        <w:t>II</w:t>
      </w:r>
      <w:r w:rsidRPr="00AA4A09">
        <w:rPr>
          <w:rFonts w:ascii="Times New Roman" w:hAnsi="Times New Roman"/>
          <w:b/>
          <w:sz w:val="24"/>
          <w:lang w:val="sr-Cyrl-RS"/>
        </w:rPr>
        <w:t xml:space="preserve"> </w:t>
      </w:r>
      <w:r w:rsidRPr="00AA4A09">
        <w:rPr>
          <w:rFonts w:ascii="Times New Roman" w:eastAsia="Times New Roman" w:hAnsi="Times New Roman"/>
          <w:b/>
          <w:sz w:val="24"/>
          <w:szCs w:val="20"/>
          <w:lang w:val="sr-Cyrl-RS" w:eastAsia="en-GB"/>
        </w:rPr>
        <w:t>О ДЕФИНИЦИЈИ ПОЈМА</w:t>
      </w:r>
      <w:r w:rsidRPr="00AA4A09">
        <w:rPr>
          <w:rFonts w:ascii="Times New Roman" w:hAnsi="Times New Roman"/>
          <w:b/>
          <w:sz w:val="24"/>
          <w:lang w:val="sr-Cyrl-RS"/>
        </w:rPr>
        <w:t xml:space="preserve"> „ПРОИЗВОДИ СА ПОРЕКЛОМ“ И МЕТОДАМА АДМИНИСТРАТИВНЕ САРАДЊЕ</w:t>
      </w:r>
    </w:p>
    <w:p w:rsidR="00BF3EED" w:rsidRPr="00AA4A09" w:rsidRDefault="00BF3EED" w:rsidP="00BF3EED">
      <w:pPr>
        <w:spacing w:before="120" w:after="12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</w:p>
    <w:p w:rsidR="00BF3EED" w:rsidRPr="00AA4A09" w:rsidRDefault="00BF3EED" w:rsidP="00BF3EED">
      <w:pPr>
        <w:keepNext/>
        <w:spacing w:before="120" w:after="120" w:line="240" w:lineRule="auto"/>
        <w:jc w:val="both"/>
        <w:rPr>
          <w:rFonts w:ascii="Times New Roman" w:hAnsi="Times New Roman"/>
          <w:caps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lang w:val="sr-Cyrl-RS"/>
        </w:rPr>
        <w:t>Заједнички комитет,</w:t>
      </w:r>
    </w:p>
    <w:p w:rsidR="00BF3EED" w:rsidRPr="00AA4A09" w:rsidRDefault="00BF3EED" w:rsidP="00BF3EED">
      <w:pPr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lang w:val="sr-Cyrl-RS"/>
        </w:rPr>
        <w:t>Имајући у виду Споразум о слободној трговини између Републике Србије и Републике Турске (у даљем тексту „Споразум</w:t>
      </w:r>
      <w:r w:rsidRPr="00AA4A09">
        <w:rPr>
          <w:rFonts w:ascii="Times New Roman" w:hAnsi="Times New Roman"/>
          <w:sz w:val="24"/>
        </w:rPr>
        <w:t>”</w:t>
      </w:r>
      <w:r w:rsidRPr="00AA4A09">
        <w:rPr>
          <w:rFonts w:ascii="Times New Roman" w:hAnsi="Times New Roman"/>
          <w:sz w:val="24"/>
          <w:lang w:val="sr-Cyrl-RS"/>
        </w:rPr>
        <w:t xml:space="preserve">), </w:t>
      </w:r>
      <w:r w:rsidRPr="00AA4A09">
        <w:rPr>
          <w:rFonts w:ascii="Times New Roman" w:eastAsia="Times New Roman" w:hAnsi="Times New Roman"/>
          <w:sz w:val="24"/>
          <w:szCs w:val="20"/>
          <w:lang w:val="sr-Cyrl-RS" w:eastAsia="en-GB"/>
        </w:rPr>
        <w:t xml:space="preserve">а посебно члан 3. Протокола </w:t>
      </w:r>
      <w:r w:rsidRPr="00AA4A09">
        <w:rPr>
          <w:rFonts w:ascii="Times New Roman" w:hAnsi="Times New Roman"/>
          <w:sz w:val="24"/>
          <w:lang w:val="sr-Latn-RS"/>
        </w:rPr>
        <w:t>II</w:t>
      </w:r>
      <w:r w:rsidRPr="00AA4A09">
        <w:rPr>
          <w:rFonts w:ascii="Times New Roman" w:hAnsi="Times New Roman"/>
          <w:sz w:val="24"/>
          <w:lang w:val="sr-Cyrl-RS"/>
        </w:rPr>
        <w:t xml:space="preserve"> о дефиницији појма „производи са пореклом” и методама административне сарадње (у даљем тексту „Протокол </w:t>
      </w:r>
      <w:r w:rsidRPr="00AA4A09">
        <w:rPr>
          <w:rFonts w:ascii="Times New Roman" w:hAnsi="Times New Roman"/>
          <w:sz w:val="24"/>
          <w:lang w:val="sr-Latn-RS"/>
        </w:rPr>
        <w:t>II</w:t>
      </w:r>
      <w:r w:rsidRPr="00AA4A09">
        <w:rPr>
          <w:rFonts w:ascii="Times New Roman" w:hAnsi="Times New Roman"/>
          <w:sz w:val="24"/>
        </w:rPr>
        <w:t>”</w:t>
      </w:r>
      <w:r w:rsidRPr="00AA4A09">
        <w:rPr>
          <w:rFonts w:ascii="Times New Roman" w:hAnsi="Times New Roman"/>
          <w:sz w:val="24"/>
          <w:lang w:val="sr-Cyrl-RS"/>
        </w:rPr>
        <w:t>),</w:t>
      </w:r>
    </w:p>
    <w:p w:rsidR="00BF3EED" w:rsidRPr="00AA4A09" w:rsidRDefault="00BF3EED" w:rsidP="00BF3EED">
      <w:pPr>
        <w:suppressAutoHyphens/>
        <w:spacing w:before="120" w:after="12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</w:pPr>
      <w:r w:rsidRPr="00AA4A09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>С обзиром на то да: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szCs w:val="24"/>
          <w:lang w:val="sr-Cyrl-RS"/>
        </w:rPr>
        <w:t xml:space="preserve">Члан 23. </w:t>
      </w:r>
      <w:r w:rsidRPr="00AA4A09">
        <w:rPr>
          <w:rFonts w:ascii="Times New Roman" w:hAnsi="Times New Roman"/>
          <w:sz w:val="24"/>
          <w:lang w:val="sr-Cyrl-RS"/>
        </w:rPr>
        <w:t>Споразума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 односи се на Протокол </w:t>
      </w:r>
      <w:r w:rsidRPr="00AA4A09">
        <w:rPr>
          <w:rFonts w:ascii="Times New Roman" w:hAnsi="Times New Roman"/>
          <w:sz w:val="24"/>
          <w:lang w:val="sr-Latn-RS"/>
        </w:rPr>
        <w:t>II</w:t>
      </w:r>
      <w:r w:rsidRPr="00AA4A09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AA4A09">
        <w:rPr>
          <w:rFonts w:ascii="Times New Roman" w:hAnsi="Times New Roman"/>
          <w:sz w:val="24"/>
          <w:szCs w:val="24"/>
          <w:lang w:val="sr-Cyrl-RS"/>
        </w:rPr>
        <w:t>који садржи правила о пореклу,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noProof/>
          <w:sz w:val="24"/>
          <w:lang w:val="sr-Cyrl-RS"/>
        </w:rPr>
        <w:t xml:space="preserve">Чланом 3. </w:t>
      </w:r>
      <w:r w:rsidRPr="00AA4A09">
        <w:rPr>
          <w:rFonts w:ascii="Times New Roman" w:eastAsia="Times New Roman" w:hAnsi="Times New Roman"/>
          <w:sz w:val="24"/>
          <w:szCs w:val="20"/>
          <w:lang w:val="sr-Cyrl-RS" w:eastAsia="en-GB"/>
        </w:rPr>
        <w:t xml:space="preserve">Протокола </w:t>
      </w:r>
      <w:r w:rsidRPr="00AA4A09">
        <w:rPr>
          <w:rFonts w:ascii="Times New Roman" w:hAnsi="Times New Roman"/>
          <w:sz w:val="24"/>
          <w:lang w:val="sr-Latn-RS"/>
        </w:rPr>
        <w:t>II</w:t>
      </w:r>
      <w:r w:rsidRPr="00AA4A09">
        <w:rPr>
          <w:rFonts w:ascii="Times New Roman" w:hAnsi="Times New Roman"/>
          <w:sz w:val="24"/>
          <w:lang w:val="sr-Cyrl-RS"/>
        </w:rPr>
        <w:t xml:space="preserve"> </w:t>
      </w:r>
      <w:r w:rsidRPr="00AA4A09">
        <w:rPr>
          <w:rFonts w:ascii="Times New Roman" w:hAnsi="Times New Roman"/>
          <w:noProof/>
          <w:sz w:val="24"/>
          <w:lang w:val="sr-Cyrl-RS"/>
        </w:rPr>
        <w:t xml:space="preserve">прописано је да Заједнички комитет </w:t>
      </w:r>
      <w:r w:rsidRPr="00AA4A09">
        <w:rPr>
          <w:rFonts w:ascii="Times New Roman" w:hAnsi="Times New Roman"/>
          <w:sz w:val="24"/>
          <w:szCs w:val="24"/>
          <w:lang w:val="sr-Cyrl-RS"/>
        </w:rPr>
        <w:t>основан чланом 29. став 1. Споразума може одлучити да измени одредбе овог протокола,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szCs w:val="24"/>
          <w:lang w:val="sr-Cyrl-RS"/>
        </w:rPr>
        <w:t>Регионална Конвенција о пан-евро-медитеранским преференцијалним правилима о пореклу</w:t>
      </w:r>
      <w:r w:rsidRPr="00AA4A09">
        <w:rPr>
          <w:rFonts w:ascii="Times New Roman" w:hAnsi="Times New Roman"/>
          <w:noProof/>
          <w:sz w:val="24"/>
          <w:vertAlign w:val="superscript"/>
        </w:rPr>
        <w:footnoteReference w:id="1"/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 (у даљем тексту: „Конвенција“) </w:t>
      </w:r>
      <w:r w:rsidRPr="00AA4A09">
        <w:rPr>
          <w:rFonts w:ascii="Times New Roman" w:hAnsi="Times New Roman"/>
          <w:sz w:val="24"/>
          <w:szCs w:val="24"/>
        </w:rPr>
        <w:t>усмерена је на преношење постојећих билатералних система правила о пореклу установљених у билатералним споразумима о слободној трговини закључених између Страна уговорница Конвенције у мултилатерални оквир, не доводећи у питање начела садржана у тим билатералним споразумима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,  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ind w:left="851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noProof/>
          <w:sz w:val="24"/>
          <w:lang w:val="sr-Cyrl-RS"/>
        </w:rPr>
        <w:t xml:space="preserve">Република Србија и Република Турска </w:t>
      </w:r>
      <w:r w:rsidRPr="00AA4A09">
        <w:rPr>
          <w:rFonts w:ascii="Times New Roman" w:hAnsi="Times New Roman"/>
          <w:sz w:val="24"/>
          <w:szCs w:val="24"/>
          <w:lang w:val="sr-Cyrl-RS"/>
        </w:rPr>
        <w:t>потписале су Конвенцију 12. новембра 2012. године, односно 4. новембра 2011. године,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szCs w:val="24"/>
          <w:lang w:val="sr-Cyrl-RS"/>
        </w:rPr>
        <w:t>Република Србија и Република Турска депоновале су своје инструменте приступања код депозитара Конвенције 1. јула 2013. године</w:t>
      </w:r>
      <w:r w:rsidRPr="00AA4A09">
        <w:rPr>
          <w:rFonts w:ascii="Times New Roman" w:hAnsi="Times New Roman"/>
          <w:sz w:val="24"/>
          <w:szCs w:val="24"/>
        </w:rPr>
        <w:t>,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 односно 4. децембра 2013. године. Стога, у складу са чланом 10.</w:t>
      </w:r>
      <w:r w:rsidRPr="00AA4A09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A4A09">
        <w:rPr>
          <w:rFonts w:ascii="Times New Roman" w:hAnsi="Times New Roman"/>
          <w:sz w:val="24"/>
          <w:szCs w:val="24"/>
          <w:lang w:val="sr-Cyrl-RS"/>
        </w:rPr>
        <w:t>став 3. Конвенције, Конвенција је ступила на снагу 1. септембра 2013. године у односу на Републику Србију и 1. фебруара 2014. године у односу на Републику Турску,</w:t>
      </w:r>
    </w:p>
    <w:p w:rsidR="00BF3EED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lang w:val="sr-Cyrl-RS"/>
        </w:rPr>
        <w:t>Одлуком бр. 1/2017 Заједничког комитета установљеног Споразумом о слободној трговини између Републике Србије и Републике Турске</w:t>
      </w:r>
      <w:r w:rsidRPr="00AA4A09">
        <w:rPr>
          <w:rFonts w:ascii="Times New Roman" w:hAnsi="Times New Roman"/>
          <w:sz w:val="24"/>
          <w:lang w:val="sr-Latn-RS"/>
        </w:rPr>
        <w:t xml:space="preserve"> </w:t>
      </w:r>
      <w:r w:rsidRPr="00AA4A09">
        <w:rPr>
          <w:rFonts w:ascii="Times New Roman" w:hAnsi="Times New Roman"/>
          <w:sz w:val="24"/>
          <w:lang w:val="sr-Cyrl-RS"/>
        </w:rPr>
        <w:t>о замени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 Протокола </w:t>
      </w:r>
      <w:r w:rsidRPr="00AA4A09">
        <w:rPr>
          <w:rFonts w:ascii="Times New Roman" w:hAnsi="Times New Roman"/>
          <w:sz w:val="24"/>
        </w:rPr>
        <w:t>II</w:t>
      </w:r>
      <w:r w:rsidRPr="00AA4A09">
        <w:rPr>
          <w:rFonts w:ascii="Times New Roman" w:hAnsi="Times New Roman"/>
          <w:sz w:val="24"/>
          <w:lang w:val="sr-Cyrl-RS"/>
        </w:rPr>
        <w:t xml:space="preserve"> уз Споразум о слободној трговини, о дефиницији појма „производи са пореклом” и методама административне сарадње, 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Протокол </w:t>
      </w:r>
      <w:r w:rsidRPr="00AA4A09">
        <w:rPr>
          <w:rFonts w:ascii="Times New Roman" w:hAnsi="Times New Roman"/>
          <w:sz w:val="24"/>
        </w:rPr>
        <w:t>II</w:t>
      </w:r>
      <w:r w:rsidRPr="00AA4A09">
        <w:rPr>
          <w:rFonts w:ascii="Times New Roman" w:hAnsi="Times New Roman"/>
          <w:sz w:val="24"/>
          <w:lang w:val="sr-Cyrl-RS"/>
        </w:rPr>
        <w:t xml:space="preserve"> је замењен новим протоколом, који се позива на Конвенцију, </w:t>
      </w:r>
    </w:p>
    <w:p w:rsidR="00BF3EED" w:rsidRDefault="00BF3EED" w:rsidP="00BF3EED">
      <w:pPr>
        <w:spacing w:before="120" w:after="120" w:line="240" w:lineRule="auto"/>
        <w:ind w:left="851"/>
        <w:jc w:val="both"/>
        <w:rPr>
          <w:rFonts w:ascii="Times New Roman" w:hAnsi="Times New Roman"/>
          <w:noProof/>
          <w:sz w:val="24"/>
          <w:lang w:val="sr-Cyrl-RS"/>
        </w:rPr>
      </w:pPr>
    </w:p>
    <w:p w:rsidR="00A909C7" w:rsidRDefault="00A909C7" w:rsidP="00BF3EED">
      <w:pPr>
        <w:spacing w:before="120" w:after="120" w:line="240" w:lineRule="auto"/>
        <w:ind w:left="851"/>
        <w:jc w:val="both"/>
        <w:rPr>
          <w:rFonts w:ascii="Times New Roman" w:hAnsi="Times New Roman"/>
          <w:noProof/>
          <w:sz w:val="24"/>
          <w:lang w:val="sr-Cyrl-RS"/>
        </w:rPr>
      </w:pPr>
    </w:p>
    <w:p w:rsidR="00A909C7" w:rsidRPr="00AA4A09" w:rsidRDefault="00A909C7" w:rsidP="00BF3EED">
      <w:pPr>
        <w:spacing w:before="120" w:after="120" w:line="240" w:lineRule="auto"/>
        <w:ind w:left="851"/>
        <w:jc w:val="both"/>
        <w:rPr>
          <w:rFonts w:ascii="Times New Roman" w:hAnsi="Times New Roman"/>
          <w:noProof/>
          <w:sz w:val="24"/>
          <w:lang w:val="sr-Cyrl-RS"/>
        </w:rPr>
      </w:pPr>
    </w:p>
    <w:p w:rsidR="00BF3EED" w:rsidRPr="00A909C7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lastRenderedPageBreak/>
        <w:t>Уколико</w:t>
      </w: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прелазак на Конвенцију није истовремен за све стране уговорнице, 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тиме оне</w:t>
      </w: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не би требало да 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буду доведене у </w:t>
      </w: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>неповољниј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у</w:t>
      </w: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ситуациј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у</w:t>
      </w: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него што је то било раније пре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двиђено</w:t>
      </w: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Протокол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ом,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ind w:left="851" w:hanging="851"/>
        <w:jc w:val="both"/>
        <w:rPr>
          <w:rFonts w:ascii="Times New Roman" w:hAnsi="Times New Roman"/>
          <w:noProof/>
          <w:sz w:val="24"/>
          <w:lang w:val="sr-Cyrl-RS"/>
        </w:rPr>
      </w:pPr>
      <w:r w:rsidRPr="00A909C7">
        <w:rPr>
          <w:rFonts w:ascii="Times New Roman" w:eastAsia="Times New Roman" w:hAnsi="Times New Roman"/>
          <w:sz w:val="24"/>
          <w:szCs w:val="24"/>
          <w:lang w:val="sr-Latn-RS" w:eastAsia="en-GB"/>
        </w:rPr>
        <w:t>Конвенција је измењена Одлуком бр. 1/2023 Заједничког комитета Регионалне конвенције о пан-евро-медитеранским преференцијалним правилима о пореклу од 7. децембра 2023</w:t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. године</w:t>
      </w:r>
      <w:r w:rsidRPr="00A909C7">
        <w:rPr>
          <w:rFonts w:ascii="Times New Roman" w:eastAsia="Times New Roman" w:hAnsi="Times New Roman"/>
          <w:b/>
          <w:sz w:val="24"/>
          <w:szCs w:val="24"/>
          <w:vertAlign w:val="superscript"/>
          <w:lang w:val="sr-Cyrl-RS" w:eastAsia="en-GB"/>
        </w:rPr>
        <w:footnoteReference w:id="2"/>
      </w:r>
      <w:r w:rsidRPr="00A909C7">
        <w:rPr>
          <w:rFonts w:ascii="Times New Roman" w:eastAsia="Times New Roman" w:hAnsi="Times New Roman"/>
          <w:sz w:val="24"/>
          <w:szCs w:val="24"/>
          <w:lang w:val="sr-Cyrl-RS" w:eastAsia="en-GB"/>
        </w:rPr>
        <w:t>,</w:t>
      </w:r>
    </w:p>
    <w:p w:rsidR="00BF3EED" w:rsidRPr="00AA4A09" w:rsidRDefault="00BF3EED" w:rsidP="00BF3EE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szCs w:val="24"/>
          <w:lang w:val="sr-Cyrl-RS"/>
        </w:rPr>
        <w:t xml:space="preserve">Протокол </w:t>
      </w:r>
      <w:r w:rsidRPr="00AA4A09">
        <w:rPr>
          <w:rFonts w:ascii="Times New Roman" w:hAnsi="Times New Roman"/>
          <w:sz w:val="24"/>
          <w:lang w:val="sr-Latn-RS"/>
        </w:rPr>
        <w:t>II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 стога треба да буде замењен новим протоколом који би укључивао динамичну везу са Конвенцијом, тако да се увек позива на најновију верзију Конвенције на снази.  </w:t>
      </w:r>
    </w:p>
    <w:p w:rsidR="00BF3EED" w:rsidRPr="00AA4A09" w:rsidRDefault="00BF3EED" w:rsidP="00BF3EED">
      <w:pPr>
        <w:keepNext/>
        <w:spacing w:before="120" w:after="120" w:line="240" w:lineRule="auto"/>
        <w:jc w:val="both"/>
        <w:rPr>
          <w:rFonts w:ascii="Times New Roman" w:hAnsi="Times New Roman"/>
          <w:caps/>
          <w:noProof/>
          <w:sz w:val="24"/>
          <w:lang w:val="sr-Cyrl-RS"/>
        </w:rPr>
      </w:pPr>
    </w:p>
    <w:p w:rsidR="00BF3EED" w:rsidRPr="00AA4A09" w:rsidRDefault="00BF3EED" w:rsidP="00BF3EED">
      <w:pPr>
        <w:keepNext/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noProof/>
          <w:sz w:val="24"/>
          <w:lang w:val="sr-Cyrl-RS"/>
        </w:rPr>
        <w:t>УСВОЈИО ЈЕ ОВУ ОДЛУКУ:</w:t>
      </w:r>
    </w:p>
    <w:p w:rsidR="00BF3EED" w:rsidRPr="00AA4A09" w:rsidRDefault="00BF3EED" w:rsidP="00BF3EED">
      <w:pPr>
        <w:keepNext/>
        <w:spacing w:before="120" w:after="120" w:line="240" w:lineRule="auto"/>
        <w:jc w:val="center"/>
        <w:rPr>
          <w:rFonts w:ascii="Times New Roman" w:hAnsi="Times New Roman"/>
          <w:i/>
          <w:noProof/>
          <w:sz w:val="24"/>
          <w:lang w:val="sr-Cyrl-RS"/>
        </w:rPr>
      </w:pPr>
      <w:r w:rsidRPr="00AA4A09">
        <w:rPr>
          <w:rFonts w:ascii="Times New Roman" w:hAnsi="Times New Roman"/>
          <w:i/>
          <w:noProof/>
          <w:sz w:val="24"/>
          <w:lang w:val="sr-Cyrl-RS"/>
        </w:rPr>
        <w:t>Члан 1</w:t>
      </w:r>
    </w:p>
    <w:p w:rsidR="00BF3EED" w:rsidRPr="00AA4A09" w:rsidRDefault="00BF3EED" w:rsidP="00BF3EED">
      <w:pPr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AA4A09">
        <w:rPr>
          <w:rFonts w:ascii="Times New Roman" w:hAnsi="Times New Roman"/>
          <w:sz w:val="24"/>
          <w:szCs w:val="24"/>
          <w:lang w:val="sr-Cyrl-RS"/>
        </w:rPr>
        <w:t xml:space="preserve">Протокол </w:t>
      </w:r>
      <w:r w:rsidRPr="00AA4A09">
        <w:rPr>
          <w:rFonts w:ascii="Times New Roman" w:hAnsi="Times New Roman"/>
          <w:sz w:val="24"/>
          <w:szCs w:val="24"/>
        </w:rPr>
        <w:t>II</w:t>
      </w:r>
      <w:r w:rsidRPr="00AA4A09">
        <w:rPr>
          <w:rFonts w:ascii="Times New Roman" w:hAnsi="Times New Roman"/>
          <w:sz w:val="24"/>
          <w:szCs w:val="24"/>
          <w:lang w:val="sr-Cyrl-RS"/>
        </w:rPr>
        <w:t xml:space="preserve"> Споразума </w:t>
      </w:r>
      <w:r w:rsidRPr="00AA4A09">
        <w:rPr>
          <w:rFonts w:ascii="Times New Roman" w:hAnsi="Times New Roman"/>
          <w:sz w:val="24"/>
          <w:lang w:val="sr-Cyrl-RS"/>
        </w:rPr>
        <w:t>замењује се текстом приложеним у Анексу ове Одлуке.</w:t>
      </w:r>
    </w:p>
    <w:p w:rsidR="00BF3EED" w:rsidRPr="00AA4A09" w:rsidRDefault="00BF3EED" w:rsidP="00BF3EED">
      <w:pPr>
        <w:keepNext/>
        <w:spacing w:before="120" w:after="120" w:line="240" w:lineRule="auto"/>
        <w:jc w:val="center"/>
        <w:rPr>
          <w:rFonts w:ascii="Times New Roman" w:hAnsi="Times New Roman"/>
          <w:i/>
          <w:noProof/>
          <w:sz w:val="24"/>
          <w:lang w:val="sr-Cyrl-RS"/>
        </w:rPr>
      </w:pPr>
      <w:r w:rsidRPr="00AA4A09">
        <w:rPr>
          <w:rFonts w:ascii="Times New Roman" w:hAnsi="Times New Roman"/>
          <w:i/>
          <w:noProof/>
          <w:sz w:val="24"/>
          <w:lang w:val="sr-Cyrl-RS"/>
        </w:rPr>
        <w:t>Члан 2</w:t>
      </w:r>
    </w:p>
    <w:p w:rsidR="00BF3EED" w:rsidRPr="00AA4A09" w:rsidRDefault="00BF3EED" w:rsidP="00BF3EE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AA4A09">
        <w:rPr>
          <w:rFonts w:ascii="Times New Roman" w:hAnsi="Times New Roman"/>
          <w:sz w:val="24"/>
          <w:lang w:val="sr-Cyrl-RS"/>
        </w:rPr>
        <w:t>Ова Одлука ступа на снагу даном</w:t>
      </w:r>
      <w:r w:rsidRPr="00AA4A0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пријема последњег писменог обавештења дипломатским путем, којим Стране обавештавају једна другу да су испуњени сви </w:t>
      </w:r>
      <w:r w:rsidRPr="00AA4A0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потребни </w:t>
      </w:r>
      <w:r w:rsidRPr="00AA4A09">
        <w:rPr>
          <w:rFonts w:ascii="Times New Roman" w:hAnsi="Times New Roman"/>
          <w:color w:val="000000"/>
          <w:sz w:val="24"/>
          <w:szCs w:val="24"/>
          <w:lang w:val="sr-Cyrl-CS"/>
        </w:rPr>
        <w:t>услови предвиђени њиховим националним законодавствима за ступање Одлуке на снагу.</w:t>
      </w:r>
    </w:p>
    <w:p w:rsidR="00BF3EED" w:rsidRPr="00AA4A09" w:rsidRDefault="00BF3EED" w:rsidP="00BF3EED">
      <w:pPr>
        <w:spacing w:before="120"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AA4A09">
        <w:rPr>
          <w:rFonts w:ascii="Times New Roman" w:hAnsi="Times New Roman"/>
          <w:sz w:val="24"/>
          <w:lang w:val="sr-Cyrl-RS"/>
        </w:rPr>
        <w:t>Ова Одлука се примењује од 1. јануара 2025. године.</w:t>
      </w:r>
    </w:p>
    <w:p w:rsidR="00BF3EED" w:rsidRPr="00AA4A09" w:rsidRDefault="00BF3EED" w:rsidP="00BF3EED">
      <w:pPr>
        <w:spacing w:before="120"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:rsidR="00BF3EED" w:rsidRPr="00AA4A09" w:rsidRDefault="00BF3EED" w:rsidP="00BF3EED">
      <w:pPr>
        <w:spacing w:before="120"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AA4A09">
        <w:rPr>
          <w:rFonts w:ascii="Times New Roman" w:hAnsi="Times New Roman"/>
          <w:sz w:val="24"/>
          <w:lang w:val="sr-Cyrl-RS"/>
        </w:rPr>
        <w:t>Сачињено у Београду, дана 11. октобра 2024. године, у два оригинална примерка</w:t>
      </w:r>
      <w:r w:rsidRPr="00AA4A09">
        <w:rPr>
          <w:rFonts w:ascii="Times New Roman" w:hAnsi="Times New Roman"/>
          <w:sz w:val="24"/>
        </w:rPr>
        <w:t>,</w:t>
      </w:r>
      <w:r w:rsidRPr="00AA4A09">
        <w:rPr>
          <w:rFonts w:ascii="Times New Roman" w:hAnsi="Times New Roman"/>
          <w:sz w:val="24"/>
          <w:lang w:val="sr-Cyrl-RS"/>
        </w:rPr>
        <w:t xml:space="preserve"> </w:t>
      </w:r>
      <w:r w:rsidRPr="00AA4A0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сваки на српском, турском и енглеском језику, при чему сва три текста имају једнаку важност. У случају </w:t>
      </w:r>
      <w:r w:rsidRPr="00AA4A09">
        <w:rPr>
          <w:rFonts w:ascii="Times New Roman" w:hAnsi="Times New Roman"/>
          <w:sz w:val="24"/>
          <w:szCs w:val="24"/>
          <w:lang w:val="sr-Cyrl-CS"/>
        </w:rPr>
        <w:t>различитог т</w:t>
      </w:r>
      <w:r w:rsidRPr="00AA4A09">
        <w:rPr>
          <w:rFonts w:ascii="Times New Roman" w:hAnsi="Times New Roman"/>
          <w:color w:val="000000"/>
          <w:sz w:val="24"/>
          <w:szCs w:val="24"/>
          <w:lang w:val="sr-Cyrl-CS"/>
        </w:rPr>
        <w:t>умачења ове Одлуке меродаван је текст на енглеском језику</w:t>
      </w:r>
      <w:r w:rsidRPr="00AA4A09">
        <w:rPr>
          <w:rFonts w:ascii="Times New Roman" w:hAnsi="Times New Roman"/>
          <w:sz w:val="24"/>
          <w:lang w:val="sr-Cyrl-RS"/>
        </w:rPr>
        <w:t xml:space="preserve">. </w:t>
      </w:r>
    </w:p>
    <w:p w:rsidR="00BF3EED" w:rsidRPr="00AA4A09" w:rsidRDefault="00BF3EED" w:rsidP="00BF3EED">
      <w:pPr>
        <w:keepNext/>
        <w:tabs>
          <w:tab w:val="left" w:pos="4252"/>
        </w:tabs>
        <w:spacing w:before="120" w:after="120" w:line="240" w:lineRule="auto"/>
        <w:rPr>
          <w:rFonts w:ascii="Times New Roman" w:hAnsi="Times New Roman"/>
          <w:i/>
          <w:noProof/>
          <w:sz w:val="24"/>
          <w:lang w:val="sr-Cyrl-RS"/>
        </w:rPr>
      </w:pPr>
      <w:r w:rsidRPr="00AA4A09">
        <w:rPr>
          <w:rFonts w:ascii="Times New Roman" w:hAnsi="Times New Roman"/>
          <w:i/>
          <w:noProof/>
          <w:sz w:val="24"/>
          <w:lang w:val="sr-Cyrl-RS"/>
        </w:rPr>
        <w:tab/>
      </w:r>
    </w:p>
    <w:tbl>
      <w:tblPr>
        <w:tblW w:w="9123" w:type="dxa"/>
        <w:tblLook w:val="04A0" w:firstRow="1" w:lastRow="0" w:firstColumn="1" w:lastColumn="0" w:noHBand="0" w:noVBand="1"/>
      </w:tblPr>
      <w:tblGrid>
        <w:gridCol w:w="4619"/>
        <w:gridCol w:w="4504"/>
      </w:tblGrid>
      <w:tr w:rsidR="00BF3EED" w:rsidRPr="00AA4A09" w:rsidTr="00BC52B6">
        <w:trPr>
          <w:trHeight w:val="1985"/>
        </w:trPr>
        <w:tc>
          <w:tcPr>
            <w:tcW w:w="4366" w:type="dxa"/>
            <w:shd w:val="clear" w:color="auto" w:fill="auto"/>
          </w:tcPr>
          <w:p w:rsidR="00BF3EED" w:rsidRPr="00AA4A09" w:rsidRDefault="00BF3EED" w:rsidP="00BC52B6">
            <w:pPr>
              <w:spacing w:before="120" w:after="120" w:line="360" w:lineRule="auto"/>
              <w:ind w:left="740" w:right="738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AA4A09">
              <w:rPr>
                <w:rFonts w:ascii="Times New Roman" w:hAnsi="Times New Roman"/>
                <w:sz w:val="24"/>
                <w:lang w:val="sr-Cyrl-RS"/>
              </w:rPr>
              <w:t xml:space="preserve">За Владу </w:t>
            </w:r>
          </w:p>
          <w:p w:rsidR="00BF3EED" w:rsidRPr="00AA4A09" w:rsidRDefault="00BF3EED" w:rsidP="00BC52B6">
            <w:pPr>
              <w:spacing w:before="120" w:after="120" w:line="360" w:lineRule="auto"/>
              <w:ind w:left="740" w:right="738"/>
              <w:jc w:val="center"/>
              <w:rPr>
                <w:rFonts w:ascii="Times New Roman" w:hAnsi="Times New Roman"/>
                <w:sz w:val="24"/>
              </w:rPr>
            </w:pPr>
            <w:r w:rsidRPr="00AA4A09">
              <w:rPr>
                <w:rFonts w:ascii="Times New Roman" w:hAnsi="Times New Roman"/>
                <w:sz w:val="24"/>
                <w:lang w:val="sr-Cyrl-RS"/>
              </w:rPr>
              <w:t>Републике Србије</w:t>
            </w:r>
          </w:p>
          <w:p w:rsidR="00BF3EED" w:rsidRPr="00AA4A09" w:rsidRDefault="00BF3EED" w:rsidP="00BC52B6">
            <w:pPr>
              <w:spacing w:before="120" w:after="120" w:line="360" w:lineRule="auto"/>
              <w:ind w:left="317" w:right="455"/>
              <w:jc w:val="center"/>
              <w:rPr>
                <w:rFonts w:ascii="Times New Roman" w:hAnsi="Times New Roman"/>
                <w:sz w:val="24"/>
              </w:rPr>
            </w:pPr>
          </w:p>
          <w:p w:rsidR="00BF3EED" w:rsidRPr="00AA4A09" w:rsidRDefault="00BF3EED" w:rsidP="00BC52B6">
            <w:pPr>
              <w:spacing w:before="120" w:after="120" w:line="360" w:lineRule="auto"/>
              <w:ind w:left="317" w:right="455"/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A4A09">
              <w:rPr>
                <w:rFonts w:ascii="Times New Roman" w:hAnsi="Times New Roman"/>
                <w:b/>
                <w:bCs/>
                <w:sz w:val="24"/>
                <w:lang w:val="sr-Cyrl-RS"/>
              </w:rPr>
              <w:t>Томислав Момировић</w:t>
            </w:r>
          </w:p>
          <w:p w:rsidR="00BF3EED" w:rsidRPr="00AA4A09" w:rsidRDefault="00BF3EED" w:rsidP="00BC52B6">
            <w:pPr>
              <w:spacing w:before="120" w:after="120" w:line="360" w:lineRule="auto"/>
              <w:ind w:left="740" w:right="738"/>
              <w:jc w:val="center"/>
              <w:rPr>
                <w:rFonts w:ascii="Times New Roman" w:hAnsi="Times New Roman"/>
                <w:sz w:val="24"/>
              </w:rPr>
            </w:pPr>
            <w:r w:rsidRPr="00AA4A09">
              <w:rPr>
                <w:rFonts w:ascii="Times New Roman" w:hAnsi="Times New Roman"/>
                <w:sz w:val="24"/>
                <w:lang w:val="sr-Cyrl-RS"/>
              </w:rPr>
              <w:t xml:space="preserve">Министар унутрашње и </w:t>
            </w:r>
            <w:r>
              <w:rPr>
                <w:rFonts w:ascii="Times New Roman" w:hAnsi="Times New Roman"/>
                <w:sz w:val="24"/>
                <w:lang w:val="sr-Cyrl-RS"/>
              </w:rPr>
              <w:t>с</w:t>
            </w:r>
            <w:r w:rsidRPr="00AA4A09">
              <w:rPr>
                <w:rFonts w:ascii="Times New Roman" w:hAnsi="Times New Roman"/>
                <w:sz w:val="24"/>
                <w:lang w:val="sr-Cyrl-RS"/>
              </w:rPr>
              <w:t xml:space="preserve">пољне трговине </w:t>
            </w:r>
          </w:p>
        </w:tc>
        <w:tc>
          <w:tcPr>
            <w:tcW w:w="4257" w:type="dxa"/>
            <w:shd w:val="clear" w:color="auto" w:fill="auto"/>
          </w:tcPr>
          <w:p w:rsidR="00BF3EED" w:rsidRPr="00AA4A09" w:rsidRDefault="00BF3EED" w:rsidP="00BC52B6">
            <w:pPr>
              <w:spacing w:before="120" w:after="120" w:line="360" w:lineRule="auto"/>
              <w:ind w:left="740" w:right="738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AA4A09">
              <w:rPr>
                <w:rFonts w:ascii="Times New Roman" w:hAnsi="Times New Roman"/>
                <w:sz w:val="24"/>
                <w:lang w:val="sr-Cyrl-RS"/>
              </w:rPr>
              <w:t xml:space="preserve">За Владу </w:t>
            </w:r>
          </w:p>
          <w:p w:rsidR="00BF3EED" w:rsidRPr="00AA4A09" w:rsidRDefault="00BF3EED" w:rsidP="00BC52B6">
            <w:pPr>
              <w:spacing w:before="120" w:after="120" w:line="360" w:lineRule="auto"/>
              <w:ind w:left="740" w:right="738"/>
              <w:jc w:val="center"/>
              <w:rPr>
                <w:rFonts w:ascii="Times New Roman" w:hAnsi="Times New Roman"/>
                <w:sz w:val="24"/>
              </w:rPr>
            </w:pPr>
            <w:r w:rsidRPr="00AA4A09">
              <w:rPr>
                <w:rFonts w:ascii="Times New Roman" w:hAnsi="Times New Roman"/>
                <w:sz w:val="24"/>
                <w:lang w:val="sr-Cyrl-RS"/>
              </w:rPr>
              <w:t xml:space="preserve">Републике Турске </w:t>
            </w:r>
          </w:p>
          <w:p w:rsidR="00BF3EED" w:rsidRPr="00AA4A09" w:rsidRDefault="00BF3EED" w:rsidP="00BC52B6">
            <w:pPr>
              <w:spacing w:before="120" w:after="120" w:line="360" w:lineRule="auto"/>
              <w:ind w:left="317" w:right="455"/>
              <w:jc w:val="center"/>
              <w:rPr>
                <w:rFonts w:ascii="Times New Roman" w:hAnsi="Times New Roman"/>
                <w:sz w:val="24"/>
              </w:rPr>
            </w:pPr>
          </w:p>
          <w:p w:rsidR="00BF3EED" w:rsidRPr="00AA4A09" w:rsidRDefault="00BF3EED" w:rsidP="00BC52B6">
            <w:pPr>
              <w:keepNext/>
              <w:tabs>
                <w:tab w:val="left" w:pos="5669"/>
              </w:tabs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A4A09">
              <w:rPr>
                <w:rFonts w:ascii="Times New Roman" w:hAnsi="Times New Roman"/>
                <w:b/>
                <w:bCs/>
                <w:sz w:val="24"/>
                <w:lang w:val="sr-Cyrl-RS"/>
              </w:rPr>
              <w:t>Проф. др Омер Болат</w:t>
            </w:r>
          </w:p>
          <w:p w:rsidR="00BF3EED" w:rsidRPr="00AA4A09" w:rsidRDefault="00BF3EED" w:rsidP="00BC52B6">
            <w:pPr>
              <w:spacing w:before="120" w:after="120" w:line="360" w:lineRule="auto"/>
              <w:ind w:left="317" w:right="455"/>
              <w:jc w:val="center"/>
              <w:rPr>
                <w:rFonts w:ascii="Times New Roman" w:hAnsi="Times New Roman"/>
                <w:sz w:val="24"/>
              </w:rPr>
            </w:pPr>
            <w:r w:rsidRPr="00AA4A09">
              <w:rPr>
                <w:rFonts w:ascii="Times New Roman" w:hAnsi="Times New Roman"/>
                <w:sz w:val="24"/>
                <w:lang w:val="sr-Cyrl-RS"/>
              </w:rPr>
              <w:t>Министар трговине</w:t>
            </w:r>
          </w:p>
        </w:tc>
      </w:tr>
    </w:tbl>
    <w:p w:rsidR="00BF3EED" w:rsidRPr="00AA4A09" w:rsidRDefault="00BF3EED" w:rsidP="00BF3EED">
      <w:pPr>
        <w:tabs>
          <w:tab w:val="num" w:pos="850"/>
        </w:tabs>
        <w:spacing w:before="120" w:after="120" w:line="240" w:lineRule="auto"/>
        <w:ind w:left="850" w:hanging="850"/>
        <w:jc w:val="both"/>
        <w:rPr>
          <w:rFonts w:ascii="Times New Roman" w:hAnsi="Times New Roman"/>
          <w:noProof/>
          <w:sz w:val="24"/>
          <w:lang w:val="sr-Cyrl-RS"/>
        </w:rPr>
        <w:sectPr w:rsidR="00BF3EED" w:rsidRPr="00AA4A09" w:rsidSect="006631A3">
          <w:footerReference w:type="default" r:id="rId8"/>
          <w:footerReference w:type="first" r:id="rId9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08"/>
          <w:titlePg/>
          <w:docGrid w:linePitch="360"/>
        </w:sectPr>
      </w:pPr>
      <w:bookmarkStart w:id="0" w:name="DQCNUMB_1"/>
      <w:bookmarkEnd w:id="0"/>
    </w:p>
    <w:p w:rsidR="00BF3EED" w:rsidRPr="00F62D24" w:rsidRDefault="00BF3EED" w:rsidP="00BF3EED">
      <w:pPr>
        <w:spacing w:before="80" w:after="120" w:line="240" w:lineRule="auto"/>
        <w:jc w:val="center"/>
        <w:rPr>
          <w:rFonts w:ascii="Times New Roman" w:hAnsi="Times New Roman"/>
          <w:smallCaps/>
          <w:noProof/>
          <w:sz w:val="24"/>
          <w:szCs w:val="20"/>
          <w:lang w:val="sr-Cyrl-RS"/>
        </w:rPr>
      </w:pPr>
      <w:r w:rsidRPr="00F62D24">
        <w:rPr>
          <w:rFonts w:ascii="Times New Roman" w:hAnsi="Times New Roman"/>
          <w:smallCaps/>
          <w:noProof/>
          <w:sz w:val="24"/>
          <w:szCs w:val="20"/>
          <w:lang w:val="sr-Cyrl-RS"/>
        </w:rPr>
        <w:lastRenderedPageBreak/>
        <w:t>АНЕКС</w:t>
      </w:r>
    </w:p>
    <w:p w:rsidR="00BF3EED" w:rsidRPr="00F62D24" w:rsidRDefault="00BF3EED" w:rsidP="00BF3EED">
      <w:pPr>
        <w:spacing w:before="80" w:after="8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 w:rsidRPr="00F62D24">
        <w:rPr>
          <w:rFonts w:ascii="Times New Roman" w:eastAsia="Times New Roman" w:hAnsi="Times New Roman"/>
          <w:b/>
          <w:sz w:val="24"/>
          <w:szCs w:val="20"/>
          <w:lang w:val="sr-Cyrl-RS" w:eastAsia="en-GB"/>
        </w:rPr>
        <w:t>„Протокол 2</w:t>
      </w:r>
      <w:r w:rsidRPr="00F62D24">
        <w:rPr>
          <w:rFonts w:ascii="Times New Roman" w:hAnsi="Times New Roman"/>
          <w:b/>
          <w:sz w:val="24"/>
          <w:lang w:val="sr-Cyrl-RS"/>
        </w:rPr>
        <w:t xml:space="preserve"> </w:t>
      </w:r>
    </w:p>
    <w:p w:rsidR="00BF3EED" w:rsidRPr="00F62D24" w:rsidRDefault="00BF3EED" w:rsidP="00BF3EED">
      <w:pPr>
        <w:spacing w:before="80"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F62D24">
        <w:rPr>
          <w:rFonts w:ascii="Times New Roman" w:hAnsi="Times New Roman"/>
          <w:b/>
          <w:sz w:val="24"/>
          <w:szCs w:val="24"/>
          <w:lang w:val="sr-Cyrl-RS"/>
        </w:rPr>
        <w:t>о дефиницији појма „производи са порек</w:t>
      </w:r>
      <w:r w:rsidR="002F0D0B" w:rsidRPr="00F62D24">
        <w:rPr>
          <w:rFonts w:ascii="Times New Roman" w:hAnsi="Times New Roman"/>
          <w:b/>
          <w:sz w:val="24"/>
          <w:szCs w:val="24"/>
          <w:lang w:val="sr-Cyrl-RS"/>
        </w:rPr>
        <w:t xml:space="preserve">лом” и методама административне </w:t>
      </w:r>
      <w:r w:rsidRPr="00F62D24">
        <w:rPr>
          <w:rFonts w:ascii="Times New Roman" w:hAnsi="Times New Roman"/>
          <w:b/>
          <w:sz w:val="24"/>
          <w:szCs w:val="24"/>
          <w:lang w:val="sr-Cyrl-RS"/>
        </w:rPr>
        <w:t>сарадње</w:t>
      </w:r>
    </w:p>
    <w:p w:rsidR="00BF3EED" w:rsidRPr="00F62D24" w:rsidRDefault="00BF3EED" w:rsidP="00BF3EED">
      <w:pPr>
        <w:keepNext/>
        <w:spacing w:before="80" w:after="80" w:line="240" w:lineRule="auto"/>
        <w:jc w:val="center"/>
        <w:rPr>
          <w:rFonts w:ascii="Times New Roman" w:hAnsi="Times New Roman"/>
          <w:i/>
          <w:noProof/>
          <w:sz w:val="24"/>
          <w:lang w:val="sr-Cyrl-RS"/>
        </w:rPr>
      </w:pPr>
      <w:r w:rsidRPr="00F62D24">
        <w:rPr>
          <w:rFonts w:ascii="Times New Roman" w:hAnsi="Times New Roman"/>
          <w:i/>
          <w:noProof/>
          <w:sz w:val="24"/>
          <w:lang w:val="sr-Cyrl-RS"/>
        </w:rPr>
        <w:t>Члан 1</w:t>
      </w:r>
    </w:p>
    <w:p w:rsidR="00BF3EED" w:rsidRPr="00F62D24" w:rsidRDefault="00BF3EED" w:rsidP="00BF3EED">
      <w:pPr>
        <w:spacing w:before="80" w:after="8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 w:rsidRPr="00F62D24">
        <w:rPr>
          <w:rFonts w:ascii="Times New Roman" w:hAnsi="Times New Roman"/>
          <w:b/>
          <w:noProof/>
          <w:sz w:val="24"/>
          <w:lang w:val="sr-Cyrl-RS"/>
        </w:rPr>
        <w:t xml:space="preserve">Правила о пореклу </w:t>
      </w:r>
    </w:p>
    <w:p w:rsidR="00BF3EED" w:rsidRPr="00F62D24" w:rsidRDefault="00BF3EED" w:rsidP="00BF3EED">
      <w:pPr>
        <w:tabs>
          <w:tab w:val="left" w:pos="567"/>
        </w:tabs>
        <w:spacing w:before="120" w:after="6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F62D24">
        <w:rPr>
          <w:rFonts w:ascii="Times New Roman" w:hAnsi="Times New Roman"/>
          <w:noProof/>
          <w:sz w:val="24"/>
          <w:lang w:val="sr-Cyrl-RS"/>
        </w:rPr>
        <w:t>1.</w:t>
      </w:r>
      <w:r w:rsidRPr="00F62D24">
        <w:rPr>
          <w:rFonts w:ascii="Times New Roman" w:hAnsi="Times New Roman"/>
          <w:noProof/>
          <w:sz w:val="24"/>
          <w:lang w:val="sr-Cyrl-RS"/>
        </w:rPr>
        <w:tab/>
      </w:r>
      <w:r w:rsidRPr="00F62D24">
        <w:rPr>
          <w:rFonts w:ascii="Times New Roman" w:hAnsi="Times New Roman"/>
          <w:sz w:val="24"/>
          <w:lang w:val="sr-Cyrl-RS"/>
        </w:rPr>
        <w:t xml:space="preserve">У сврху спровођења овог споразума, примењују се Прилог </w:t>
      </w:r>
      <w:r w:rsidRPr="00F62D24">
        <w:rPr>
          <w:rFonts w:ascii="Times New Roman" w:hAnsi="Times New Roman"/>
          <w:sz w:val="24"/>
        </w:rPr>
        <w:t>I</w:t>
      </w:r>
      <w:r w:rsidR="002F0D0B" w:rsidRPr="00F62D24">
        <w:rPr>
          <w:rFonts w:ascii="Times New Roman" w:hAnsi="Times New Roman"/>
          <w:sz w:val="24"/>
          <w:lang w:val="sr-Cyrl-RS"/>
        </w:rPr>
        <w:t xml:space="preserve"> и одговарајуће </w:t>
      </w:r>
      <w:r w:rsidRPr="00F62D24">
        <w:rPr>
          <w:rFonts w:ascii="Times New Roman" w:hAnsi="Times New Roman"/>
          <w:sz w:val="24"/>
          <w:lang w:val="sr-Cyrl-RS"/>
        </w:rPr>
        <w:t xml:space="preserve">одредбе Прилога </w:t>
      </w:r>
      <w:r w:rsidRPr="00F62D24">
        <w:rPr>
          <w:rFonts w:ascii="Times New Roman" w:hAnsi="Times New Roman"/>
          <w:sz w:val="24"/>
        </w:rPr>
        <w:t>II</w:t>
      </w:r>
      <w:r w:rsidRPr="00F62D24">
        <w:rPr>
          <w:rFonts w:ascii="Times New Roman" w:hAnsi="Times New Roman"/>
          <w:sz w:val="24"/>
          <w:lang w:val="sr-Cyrl-RS"/>
        </w:rPr>
        <w:t xml:space="preserve"> Регионалне Конвенције о пан-евро-медитеранским преференцијалним правилима о пореклу</w:t>
      </w:r>
      <w:r w:rsidR="009F0E8A" w:rsidRPr="009F0E8A">
        <w:rPr>
          <w:rFonts w:ascii="Times New Roman" w:hAnsi="Times New Roman"/>
          <w:sz w:val="24"/>
          <w:vertAlign w:val="superscript"/>
          <w:lang w:val="sr-Cyrl-RS"/>
        </w:rPr>
        <w:t>3</w:t>
      </w:r>
      <w:r w:rsidRPr="00F62D24">
        <w:rPr>
          <w:rFonts w:ascii="Times New Roman" w:hAnsi="Times New Roman"/>
          <w:sz w:val="24"/>
          <w:lang w:val="sr-Cyrl-RS"/>
        </w:rPr>
        <w:t xml:space="preserve"> (у даљем тексту: Конвенција), која је последњи пут измењена и објављена у </w:t>
      </w:r>
      <w:r w:rsidRPr="00F62D24">
        <w:rPr>
          <w:rFonts w:ascii="Times New Roman" w:hAnsi="Times New Roman"/>
          <w:sz w:val="24"/>
          <w:lang w:val="sr-Latn-RS"/>
        </w:rPr>
        <w:t>„</w:t>
      </w:r>
      <w:r w:rsidRPr="00F62D24">
        <w:rPr>
          <w:rFonts w:ascii="Times New Roman" w:hAnsi="Times New Roman"/>
          <w:sz w:val="24"/>
          <w:lang w:val="sr-Cyrl-RS"/>
        </w:rPr>
        <w:t>Службеном листу Европске уније</w:t>
      </w:r>
      <w:r w:rsidRPr="00F62D24">
        <w:rPr>
          <w:rFonts w:ascii="Times New Roman" w:hAnsi="Times New Roman"/>
          <w:sz w:val="24"/>
          <w:lang w:val="sr-Latn-RS"/>
        </w:rPr>
        <w:t>”</w:t>
      </w:r>
      <w:r w:rsidRPr="00F62D24">
        <w:rPr>
          <w:rFonts w:ascii="Times New Roman" w:hAnsi="Times New Roman"/>
          <w:sz w:val="24"/>
          <w:lang w:val="sr-Cyrl-RS"/>
        </w:rPr>
        <w:t>.</w:t>
      </w:r>
    </w:p>
    <w:p w:rsidR="00BF3EED" w:rsidRPr="00F62D24" w:rsidRDefault="00BF3EED" w:rsidP="00BF3EED">
      <w:pPr>
        <w:tabs>
          <w:tab w:val="left" w:pos="567"/>
        </w:tabs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F62D24">
        <w:rPr>
          <w:rFonts w:ascii="Times New Roman" w:hAnsi="Times New Roman"/>
          <w:noProof/>
          <w:sz w:val="24"/>
          <w:lang w:val="sr-Cyrl-RS"/>
        </w:rPr>
        <w:t>2.</w:t>
      </w:r>
      <w:r w:rsidRPr="00F62D24">
        <w:rPr>
          <w:rFonts w:ascii="Times New Roman" w:hAnsi="Times New Roman"/>
          <w:noProof/>
          <w:sz w:val="24"/>
          <w:lang w:val="sr-Cyrl-RS"/>
        </w:rPr>
        <w:tab/>
      </w:r>
      <w:r w:rsidRPr="00F62D24">
        <w:rPr>
          <w:rFonts w:ascii="Times New Roman" w:hAnsi="Times New Roman"/>
          <w:sz w:val="24"/>
          <w:lang w:val="sr-Cyrl-RS"/>
        </w:rPr>
        <w:t xml:space="preserve">Сва позивања на „одговарајући споразумˮ у Прилогу </w:t>
      </w:r>
      <w:r w:rsidRPr="00F62D24">
        <w:rPr>
          <w:rFonts w:ascii="Times New Roman" w:hAnsi="Times New Roman"/>
          <w:sz w:val="24"/>
        </w:rPr>
        <w:t>I</w:t>
      </w:r>
      <w:r w:rsidRPr="00F62D24">
        <w:rPr>
          <w:rFonts w:ascii="Times New Roman" w:hAnsi="Times New Roman"/>
          <w:sz w:val="24"/>
          <w:lang w:val="sr-Cyrl-RS"/>
        </w:rPr>
        <w:t xml:space="preserve"> и у одговарајућим одредбама Прилога  </w:t>
      </w:r>
      <w:r w:rsidRPr="00F62D24">
        <w:rPr>
          <w:rFonts w:ascii="Times New Roman" w:hAnsi="Times New Roman"/>
          <w:sz w:val="24"/>
        </w:rPr>
        <w:t>II</w:t>
      </w:r>
      <w:r w:rsidRPr="00F62D24">
        <w:rPr>
          <w:rFonts w:ascii="Times New Roman" w:hAnsi="Times New Roman"/>
          <w:sz w:val="24"/>
          <w:lang w:val="sr-Cyrl-RS"/>
        </w:rPr>
        <w:t xml:space="preserve">  Конвенције, тумаче се тако да се односе на Споразум.</w:t>
      </w:r>
    </w:p>
    <w:p w:rsidR="00BF3EED" w:rsidRPr="00F62D24" w:rsidRDefault="00BF3EED" w:rsidP="00BF3EED">
      <w:pPr>
        <w:keepNext/>
        <w:tabs>
          <w:tab w:val="left" w:pos="567"/>
        </w:tabs>
        <w:spacing w:before="80" w:after="80" w:line="240" w:lineRule="auto"/>
        <w:jc w:val="center"/>
        <w:rPr>
          <w:rFonts w:ascii="Times New Roman" w:hAnsi="Times New Roman"/>
          <w:i/>
          <w:noProof/>
          <w:sz w:val="24"/>
          <w:lang w:val="sr-Cyrl-RS"/>
        </w:rPr>
      </w:pPr>
      <w:r w:rsidRPr="00F62D24">
        <w:rPr>
          <w:rFonts w:ascii="Times New Roman" w:hAnsi="Times New Roman"/>
          <w:i/>
          <w:noProof/>
          <w:sz w:val="24"/>
          <w:lang w:val="sr-Cyrl-RS"/>
        </w:rPr>
        <w:t>Члан 2</w:t>
      </w:r>
    </w:p>
    <w:p w:rsidR="00BF3EED" w:rsidRPr="00F62D24" w:rsidRDefault="00BF3EED" w:rsidP="00BF3EED">
      <w:pPr>
        <w:tabs>
          <w:tab w:val="left" w:pos="567"/>
        </w:tabs>
        <w:spacing w:before="80" w:after="8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 w:rsidRPr="00F62D24">
        <w:rPr>
          <w:rFonts w:ascii="Times New Roman" w:hAnsi="Times New Roman"/>
          <w:b/>
          <w:noProof/>
          <w:sz w:val="24"/>
          <w:lang w:val="sr-Cyrl-RS"/>
        </w:rPr>
        <w:t>Решавање спорова</w:t>
      </w:r>
    </w:p>
    <w:p w:rsidR="00BF3EED" w:rsidRPr="00F62D24" w:rsidRDefault="00BF3EED" w:rsidP="00BF3EED">
      <w:pPr>
        <w:tabs>
          <w:tab w:val="left" w:pos="567"/>
        </w:tabs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F62D24">
        <w:rPr>
          <w:rFonts w:ascii="Times New Roman" w:hAnsi="Times New Roman"/>
          <w:noProof/>
          <w:sz w:val="24"/>
          <w:lang w:val="sr-Cyrl-RS"/>
        </w:rPr>
        <w:t>1.</w:t>
      </w:r>
      <w:r w:rsidRPr="00F62D24">
        <w:rPr>
          <w:rFonts w:ascii="Times New Roman" w:hAnsi="Times New Roman"/>
          <w:noProof/>
          <w:sz w:val="24"/>
          <w:lang w:val="sr-Cyrl-RS"/>
        </w:rPr>
        <w:tab/>
      </w:r>
      <w:r w:rsidRPr="00F62D24">
        <w:rPr>
          <w:rFonts w:ascii="Times New Roman" w:hAnsi="Times New Roman"/>
          <w:sz w:val="24"/>
          <w:lang w:val="sr-Cyrl-RS"/>
        </w:rPr>
        <w:t>Ако дође до спорова у односу на поступке провере из чл</w:t>
      </w:r>
      <w:r w:rsidRPr="00F62D24">
        <w:rPr>
          <w:rFonts w:ascii="Times New Roman" w:hAnsi="Times New Roman"/>
          <w:sz w:val="24"/>
        </w:rPr>
        <w:t xml:space="preserve">. </w:t>
      </w:r>
      <w:r w:rsidRPr="00F62D24">
        <w:rPr>
          <w:rFonts w:ascii="Times New Roman" w:hAnsi="Times New Roman"/>
          <w:sz w:val="24"/>
          <w:lang w:val="sr-Cyrl-RS"/>
        </w:rPr>
        <w:t>3</w:t>
      </w:r>
      <w:r w:rsidRPr="00F62D24">
        <w:rPr>
          <w:rFonts w:ascii="Times New Roman" w:hAnsi="Times New Roman"/>
          <w:sz w:val="24"/>
        </w:rPr>
        <w:t xml:space="preserve">4 </w:t>
      </w:r>
      <w:r w:rsidRPr="00F62D24">
        <w:rPr>
          <w:rFonts w:ascii="Times New Roman" w:hAnsi="Times New Roman"/>
          <w:sz w:val="24"/>
          <w:lang w:val="sr-Cyrl-RS"/>
        </w:rPr>
        <w:t xml:space="preserve">и 35. Прилога </w:t>
      </w:r>
      <w:r w:rsidRPr="00F62D24">
        <w:rPr>
          <w:rFonts w:ascii="Times New Roman" w:hAnsi="Times New Roman"/>
          <w:sz w:val="24"/>
        </w:rPr>
        <w:t>I</w:t>
      </w:r>
      <w:r w:rsidRPr="00F62D24">
        <w:rPr>
          <w:rFonts w:ascii="Times New Roman" w:hAnsi="Times New Roman"/>
          <w:sz w:val="24"/>
          <w:lang w:val="sr-Cyrl-RS"/>
        </w:rPr>
        <w:t xml:space="preserve"> Конвенције, који не могу бити решени између царинских органа који су поднели захтев за проверу и царинских органа одговорних за обављање провере, они се упућују Заједничком комитету.</w:t>
      </w:r>
    </w:p>
    <w:p w:rsidR="00BF3EED" w:rsidRPr="00F62D24" w:rsidRDefault="00BF3EED" w:rsidP="00BF3EED">
      <w:pPr>
        <w:tabs>
          <w:tab w:val="left" w:pos="567"/>
        </w:tabs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F62D24">
        <w:rPr>
          <w:rFonts w:ascii="Times New Roman" w:hAnsi="Times New Roman"/>
          <w:noProof/>
          <w:sz w:val="24"/>
          <w:lang w:val="sr-Cyrl-RS"/>
        </w:rPr>
        <w:t>2.</w:t>
      </w:r>
      <w:r w:rsidRPr="00F62D24">
        <w:rPr>
          <w:rFonts w:ascii="Times New Roman" w:hAnsi="Times New Roman"/>
          <w:noProof/>
          <w:sz w:val="24"/>
          <w:lang w:val="sr-Cyrl-RS"/>
        </w:rPr>
        <w:tab/>
      </w:r>
      <w:r w:rsidRPr="00F62D24">
        <w:rPr>
          <w:rFonts w:ascii="Times New Roman" w:hAnsi="Times New Roman"/>
          <w:sz w:val="24"/>
          <w:lang w:val="sr-Cyrl-RS"/>
        </w:rPr>
        <w:t>У свим случајевима решавања спорова између увозника и царинских органа земље увознице, примењује се законодавство те земље.</w:t>
      </w:r>
    </w:p>
    <w:p w:rsidR="00BF3EED" w:rsidRPr="00F62D24" w:rsidRDefault="00BF3EED" w:rsidP="00BF3EED">
      <w:pPr>
        <w:keepNext/>
        <w:spacing w:before="120" w:after="120" w:line="240" w:lineRule="auto"/>
        <w:jc w:val="center"/>
        <w:rPr>
          <w:rFonts w:ascii="Times New Roman" w:hAnsi="Times New Roman"/>
          <w:i/>
          <w:noProof/>
          <w:sz w:val="24"/>
          <w:lang w:val="sr-Cyrl-RS"/>
        </w:rPr>
      </w:pPr>
      <w:r w:rsidRPr="00F62D24">
        <w:rPr>
          <w:rFonts w:ascii="Times New Roman" w:hAnsi="Times New Roman"/>
          <w:i/>
          <w:noProof/>
          <w:sz w:val="24"/>
          <w:lang w:val="sr-Cyrl-RS"/>
        </w:rPr>
        <w:t>Члан 3</w:t>
      </w:r>
    </w:p>
    <w:p w:rsidR="00BF3EED" w:rsidRPr="00F62D24" w:rsidRDefault="00BF3EED" w:rsidP="00BF3EED">
      <w:pPr>
        <w:spacing w:before="120" w:after="12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 w:rsidRPr="00F62D24">
        <w:rPr>
          <w:rFonts w:ascii="Times New Roman" w:hAnsi="Times New Roman"/>
          <w:b/>
          <w:noProof/>
          <w:sz w:val="24"/>
          <w:lang w:val="sr-Cyrl-RS"/>
        </w:rPr>
        <w:t>Измене Протокола</w:t>
      </w:r>
    </w:p>
    <w:p w:rsidR="00BF3EED" w:rsidRPr="00F62D24" w:rsidRDefault="00BF3EED" w:rsidP="00BF3EED">
      <w:pPr>
        <w:spacing w:before="120" w:after="12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F62D24">
        <w:rPr>
          <w:rFonts w:ascii="Times New Roman" w:hAnsi="Times New Roman"/>
          <w:sz w:val="24"/>
          <w:lang w:val="sr-Cyrl-RS"/>
        </w:rPr>
        <w:t xml:space="preserve">Заједнички комитет основан </w:t>
      </w:r>
      <w:r w:rsidRPr="00F62D24">
        <w:rPr>
          <w:rFonts w:ascii="Times New Roman" w:hAnsi="Times New Roman"/>
          <w:sz w:val="24"/>
          <w:szCs w:val="24"/>
          <w:lang w:val="sr-Cyrl-RS"/>
        </w:rPr>
        <w:t xml:space="preserve">чланом 29. Споразума </w:t>
      </w:r>
      <w:r w:rsidRPr="00F62D24">
        <w:rPr>
          <w:rFonts w:ascii="Times New Roman" w:hAnsi="Times New Roman"/>
          <w:sz w:val="24"/>
          <w:lang w:val="sr-Cyrl-RS"/>
        </w:rPr>
        <w:t>може одлучити да измени одредбе овог протокола.</w:t>
      </w:r>
    </w:p>
    <w:p w:rsidR="00BF3EED" w:rsidRPr="00F62D24" w:rsidRDefault="00BF3EED" w:rsidP="00BF3EED">
      <w:pPr>
        <w:keepNext/>
        <w:spacing w:before="120" w:after="120" w:line="240" w:lineRule="auto"/>
        <w:jc w:val="center"/>
        <w:rPr>
          <w:rFonts w:ascii="Times New Roman" w:hAnsi="Times New Roman"/>
          <w:i/>
          <w:noProof/>
          <w:sz w:val="24"/>
          <w:lang w:val="sr-Cyrl-RS"/>
        </w:rPr>
      </w:pPr>
      <w:r w:rsidRPr="00F62D24">
        <w:rPr>
          <w:rFonts w:ascii="Times New Roman" w:hAnsi="Times New Roman"/>
          <w:i/>
          <w:noProof/>
          <w:sz w:val="24"/>
          <w:lang w:val="sr-Cyrl-RS"/>
        </w:rPr>
        <w:t>Члан 4</w:t>
      </w:r>
    </w:p>
    <w:p w:rsidR="00BF3EED" w:rsidRPr="00F62D24" w:rsidRDefault="00BF3EED" w:rsidP="00BF3EED">
      <w:pPr>
        <w:spacing w:before="120" w:after="12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 w:rsidRPr="00F62D24">
        <w:rPr>
          <w:rFonts w:ascii="Times New Roman" w:hAnsi="Times New Roman"/>
          <w:b/>
          <w:noProof/>
          <w:sz w:val="24"/>
          <w:lang w:val="sr-Cyrl-RS"/>
        </w:rPr>
        <w:t>Иступање из Конвенције</w:t>
      </w:r>
    </w:p>
    <w:p w:rsidR="00BF3EED" w:rsidRPr="00F62D24" w:rsidRDefault="00BF3EED" w:rsidP="00BF3EED">
      <w:pPr>
        <w:tabs>
          <w:tab w:val="left" w:pos="567"/>
        </w:tabs>
        <w:spacing w:before="120" w:after="60" w:line="240" w:lineRule="auto"/>
        <w:jc w:val="both"/>
        <w:rPr>
          <w:rFonts w:ascii="Times New Roman" w:hAnsi="Times New Roman"/>
          <w:noProof/>
          <w:sz w:val="24"/>
          <w:lang w:val="sr-Cyrl-RS"/>
        </w:rPr>
      </w:pPr>
      <w:r w:rsidRPr="00F62D24">
        <w:rPr>
          <w:rFonts w:ascii="Times New Roman" w:hAnsi="Times New Roman"/>
          <w:noProof/>
          <w:sz w:val="24"/>
          <w:lang w:val="sr-Cyrl-RS"/>
        </w:rPr>
        <w:t>1.</w:t>
      </w:r>
      <w:r w:rsidRPr="00F62D24">
        <w:rPr>
          <w:rFonts w:ascii="Times New Roman" w:hAnsi="Times New Roman"/>
          <w:noProof/>
          <w:sz w:val="24"/>
          <w:lang w:val="sr-Cyrl-RS"/>
        </w:rPr>
        <w:tab/>
        <w:t xml:space="preserve">Ако Република Србија или Република Турска 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>достав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CS" w:eastAsia="hi-IN" w:bidi="hi-IN"/>
        </w:rPr>
        <w:t>е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писмено обавештење депозитару Конвенције о својој намери да иступи из Конвенције у складу са њеним чланом 9, </w:t>
      </w:r>
      <w:r w:rsidRPr="00F62D24">
        <w:rPr>
          <w:rFonts w:ascii="Times New Roman" w:hAnsi="Times New Roman"/>
          <w:noProof/>
          <w:sz w:val="24"/>
          <w:lang w:val="sr-Cyrl-RS"/>
        </w:rPr>
        <w:t>Република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>Србија и Република Турска одмах улазе у преговоре о правилима о пореклу у сврху примене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Споразума.  </w:t>
      </w:r>
    </w:p>
    <w:p w:rsidR="00BF3EED" w:rsidRDefault="00BF3EED" w:rsidP="00BF3EED">
      <w:pPr>
        <w:tabs>
          <w:tab w:val="left" w:pos="567"/>
        </w:tabs>
        <w:spacing w:before="120"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</w:pPr>
      <w:r w:rsidRPr="00F62D24">
        <w:rPr>
          <w:rFonts w:ascii="Times New Roman" w:hAnsi="Times New Roman"/>
          <w:noProof/>
          <w:sz w:val="24"/>
          <w:lang w:val="sr-Cyrl-RS"/>
        </w:rPr>
        <w:t>2.</w:t>
      </w:r>
      <w:r w:rsidRPr="00F62D24">
        <w:rPr>
          <w:rFonts w:ascii="Times New Roman" w:hAnsi="Times New Roman"/>
          <w:noProof/>
          <w:sz w:val="24"/>
          <w:lang w:val="sr-Cyrl-RS"/>
        </w:rPr>
        <w:tab/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>До ступања на снагу таквих новодоговорених правила о пореклу, у овом споразуму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>настављају да се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CS" w:eastAsia="hi-IN" w:bidi="hi-IN"/>
        </w:rPr>
        <w:t xml:space="preserve">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примењују правила о пореклу садржана у Прилогу </w:t>
      </w:r>
      <w:r w:rsidRPr="00F62D24">
        <w:rPr>
          <w:rFonts w:ascii="Times New Roman" w:eastAsia="SimSun" w:hAnsi="Times New Roman"/>
          <w:kern w:val="24"/>
          <w:sz w:val="24"/>
          <w:szCs w:val="24"/>
          <w:lang w:eastAsia="hi-IN" w:bidi="hi-IN"/>
        </w:rPr>
        <w:t>I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>, и када је то потребно,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одговарајуће одредбе Прилога </w:t>
      </w:r>
      <w:r w:rsidRPr="00F62D24">
        <w:rPr>
          <w:rFonts w:ascii="Times New Roman" w:eastAsia="SimSun" w:hAnsi="Times New Roman"/>
          <w:kern w:val="24"/>
          <w:sz w:val="24"/>
          <w:szCs w:val="24"/>
          <w:lang w:eastAsia="hi-IN" w:bidi="hi-IN"/>
        </w:rPr>
        <w:t>II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 Конвенције које су на снази у моменту иступања. Међутим,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од тренутка иступања, правила о пореклу садржана у Прилогу </w:t>
      </w:r>
      <w:r w:rsidRPr="00F62D24">
        <w:rPr>
          <w:rFonts w:ascii="Times New Roman" w:eastAsia="SimSun" w:hAnsi="Times New Roman"/>
          <w:kern w:val="24"/>
          <w:sz w:val="24"/>
          <w:szCs w:val="24"/>
          <w:lang w:eastAsia="hi-IN" w:bidi="hi-IN"/>
        </w:rPr>
        <w:t>I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, и када је то потребно,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CS" w:eastAsia="hi-IN" w:bidi="hi-IN"/>
        </w:rPr>
        <w:t>у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CS" w:eastAsia="hi-IN" w:bidi="hi-IN"/>
        </w:rPr>
        <w:t xml:space="preserve"> 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одговарајућим одредбама Прилога </w:t>
      </w:r>
      <w:r w:rsidRPr="00F62D24">
        <w:rPr>
          <w:rFonts w:ascii="Times New Roman" w:eastAsia="SimSun" w:hAnsi="Times New Roman"/>
          <w:kern w:val="24"/>
          <w:sz w:val="24"/>
          <w:szCs w:val="24"/>
          <w:lang w:eastAsia="hi-IN" w:bidi="hi-IN"/>
        </w:rPr>
        <w:t>II</w:t>
      </w:r>
      <w:r w:rsidRPr="00F62D24">
        <w:rPr>
          <w:rFonts w:ascii="Times New Roman" w:eastAsia="SimSun" w:hAnsi="Times New Roman"/>
          <w:kern w:val="24"/>
          <w:sz w:val="24"/>
          <w:szCs w:val="24"/>
          <w:lang w:val="sr-Cyrl-RS" w:eastAsia="hi-IN" w:bidi="hi-IN"/>
        </w:rPr>
        <w:t xml:space="preserve"> Конвенције, тумаче се тако да омогуће једино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билатералну кумулацију између </w:t>
      </w:r>
      <w:r w:rsidRPr="00F62D24">
        <w:rPr>
          <w:rFonts w:ascii="Times New Roman" w:hAnsi="Times New Roman"/>
          <w:noProof/>
          <w:sz w:val="24"/>
          <w:lang w:val="sr-Cyrl-RS"/>
        </w:rPr>
        <w:t>Републике</w:t>
      </w:r>
      <w:r w:rsidRPr="00F62D24"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 xml:space="preserve"> Србије и Републике Турске.</w:t>
      </w:r>
    </w:p>
    <w:p w:rsidR="009F0E8A" w:rsidRDefault="009F0E8A" w:rsidP="00BF3EED">
      <w:pPr>
        <w:tabs>
          <w:tab w:val="left" w:pos="567"/>
        </w:tabs>
        <w:spacing w:before="120"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  <w:t>_____________________</w:t>
      </w:r>
      <w:bookmarkStart w:id="1" w:name="_GoBack"/>
      <w:bookmarkEnd w:id="1"/>
    </w:p>
    <w:p w:rsidR="009F0E8A" w:rsidRPr="00AA4A09" w:rsidRDefault="009F0E8A" w:rsidP="009F0E8A">
      <w:pPr>
        <w:tabs>
          <w:tab w:val="left" w:pos="567"/>
        </w:tabs>
        <w:spacing w:before="120" w:after="0" w:line="240" w:lineRule="auto"/>
        <w:jc w:val="both"/>
        <w:rPr>
          <w:rFonts w:ascii="Times New Roman" w:hAnsi="Times New Roman"/>
          <w:noProof/>
          <w:sz w:val="18"/>
          <w:szCs w:val="18"/>
          <w:lang w:val="sr-Cyrl-RS"/>
        </w:rPr>
      </w:pPr>
      <w:r w:rsidRPr="009F0E8A">
        <w:rPr>
          <w:rFonts w:ascii="Times New Roman" w:hAnsi="Times New Roman"/>
          <w:sz w:val="18"/>
          <w:szCs w:val="18"/>
          <w:vertAlign w:val="superscript"/>
          <w:lang w:val="sr-Cyrl-RS"/>
        </w:rPr>
        <w:t>3</w:t>
      </w:r>
      <w:r w:rsidRPr="002E6FFB">
        <w:rPr>
          <w:rFonts w:ascii="Times New Roman" w:hAnsi="Times New Roman"/>
          <w:iCs/>
          <w:sz w:val="18"/>
          <w:szCs w:val="18"/>
          <w:lang w:val="sr-Cyrl-RS"/>
        </w:rPr>
        <w:t>„</w:t>
      </w:r>
      <w:r w:rsidRPr="002E6FFB">
        <w:rPr>
          <w:rFonts w:ascii="Times New Roman" w:hAnsi="Times New Roman"/>
          <w:sz w:val="18"/>
          <w:szCs w:val="18"/>
          <w:lang w:val="sr-Cyrl-RS"/>
        </w:rPr>
        <w:t xml:space="preserve">Службени лист Европске унијеˮ </w:t>
      </w:r>
      <w:r w:rsidRPr="002E6FFB">
        <w:rPr>
          <w:rFonts w:ascii="Times New Roman" w:hAnsi="Times New Roman"/>
          <w:sz w:val="18"/>
          <w:szCs w:val="18"/>
          <w:lang w:val="pl-PL"/>
        </w:rPr>
        <w:t xml:space="preserve"> L</w:t>
      </w:r>
      <w:r w:rsidRPr="002E6FFB">
        <w:rPr>
          <w:rFonts w:ascii="Times New Roman" w:hAnsi="Times New Roman"/>
          <w:iCs/>
          <w:sz w:val="18"/>
          <w:szCs w:val="18"/>
          <w:lang w:val="pl-PL"/>
        </w:rPr>
        <w:t xml:space="preserve">54 </w:t>
      </w:r>
      <w:r w:rsidRPr="002E6FFB">
        <w:rPr>
          <w:rFonts w:ascii="Times New Roman" w:hAnsi="Times New Roman"/>
          <w:iCs/>
          <w:sz w:val="18"/>
          <w:szCs w:val="18"/>
          <w:lang w:val="sr-Cyrl-RS"/>
        </w:rPr>
        <w:t xml:space="preserve">од </w:t>
      </w:r>
      <w:r w:rsidRPr="002E6FFB">
        <w:rPr>
          <w:rFonts w:ascii="Times New Roman" w:hAnsi="Times New Roman"/>
          <w:iCs/>
          <w:sz w:val="18"/>
          <w:szCs w:val="18"/>
          <w:lang w:val="pl-PL"/>
        </w:rPr>
        <w:t xml:space="preserve">26.2.2013, </w:t>
      </w:r>
      <w:r w:rsidRPr="002E6FFB">
        <w:rPr>
          <w:rFonts w:ascii="Times New Roman" w:hAnsi="Times New Roman"/>
          <w:iCs/>
          <w:sz w:val="18"/>
          <w:szCs w:val="18"/>
          <w:lang w:val="sr-Cyrl-RS"/>
        </w:rPr>
        <w:t>стр</w:t>
      </w:r>
      <w:r w:rsidRPr="002E6FFB">
        <w:rPr>
          <w:rFonts w:ascii="Times New Roman" w:hAnsi="Times New Roman"/>
          <w:iCs/>
          <w:sz w:val="18"/>
          <w:szCs w:val="18"/>
          <w:lang w:val="pl-PL"/>
        </w:rPr>
        <w:t>. 4.</w:t>
      </w:r>
    </w:p>
    <w:p w:rsidR="009F0E8A" w:rsidRDefault="009F0E8A" w:rsidP="00BF3EED">
      <w:pPr>
        <w:tabs>
          <w:tab w:val="left" w:pos="567"/>
        </w:tabs>
        <w:spacing w:before="120"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sr-Cyrl-RS" w:eastAsia="hi-IN" w:bidi="hi-IN"/>
        </w:rPr>
      </w:pPr>
    </w:p>
    <w:sectPr w:rsidR="009F0E8A" w:rsidSect="00F62D24">
      <w:pgSz w:w="11907" w:h="16840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A1" w:rsidRDefault="002616A1" w:rsidP="00BF3EED">
      <w:pPr>
        <w:spacing w:after="0" w:line="240" w:lineRule="auto"/>
      </w:pPr>
      <w:r>
        <w:separator/>
      </w:r>
    </w:p>
  </w:endnote>
  <w:endnote w:type="continuationSeparator" w:id="0">
    <w:p w:rsidR="002616A1" w:rsidRDefault="002616A1" w:rsidP="00BF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857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3EED" w:rsidRDefault="00BF3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E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3EED" w:rsidRDefault="00BF3E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909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3EED" w:rsidRDefault="00BF3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E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3EED" w:rsidRDefault="00BF3E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A1" w:rsidRDefault="002616A1" w:rsidP="00BF3EED">
      <w:pPr>
        <w:spacing w:after="0" w:line="240" w:lineRule="auto"/>
      </w:pPr>
      <w:r>
        <w:separator/>
      </w:r>
    </w:p>
  </w:footnote>
  <w:footnote w:type="continuationSeparator" w:id="0">
    <w:p w:rsidR="002616A1" w:rsidRDefault="002616A1" w:rsidP="00BF3EED">
      <w:pPr>
        <w:spacing w:after="0" w:line="240" w:lineRule="auto"/>
      </w:pPr>
      <w:r>
        <w:continuationSeparator/>
      </w:r>
    </w:p>
  </w:footnote>
  <w:footnote w:id="1">
    <w:p w:rsidR="00BF3EED" w:rsidRPr="002E1BD1" w:rsidRDefault="00BF3EED" w:rsidP="00BF3EED">
      <w:pPr>
        <w:pStyle w:val="FootnoteText"/>
        <w:rPr>
          <w:iCs/>
          <w:lang w:val="pl-PL"/>
        </w:rPr>
      </w:pPr>
      <w:r w:rsidRPr="002E1BD1">
        <w:rPr>
          <w:rStyle w:val="FootnoteReference"/>
        </w:rPr>
        <w:footnoteRef/>
      </w:r>
      <w:r w:rsidRPr="002E1BD1">
        <w:rPr>
          <w:lang w:val="pl-PL"/>
        </w:rPr>
        <w:tab/>
      </w:r>
      <w:r w:rsidRPr="002E1BD1">
        <w:rPr>
          <w:lang w:val="sr-Cyrl-RS"/>
        </w:rPr>
        <w:t xml:space="preserve">„Службени лист Европске унијеˮ </w:t>
      </w:r>
      <w:r w:rsidRPr="002E1BD1">
        <w:rPr>
          <w:lang w:val="pl-PL"/>
        </w:rPr>
        <w:t xml:space="preserve"> L</w:t>
      </w:r>
      <w:r w:rsidRPr="002E1BD1">
        <w:rPr>
          <w:iCs/>
          <w:lang w:val="pl-PL"/>
        </w:rPr>
        <w:t xml:space="preserve">54 </w:t>
      </w:r>
      <w:r w:rsidRPr="002E1BD1">
        <w:rPr>
          <w:iCs/>
          <w:lang w:val="sr-Cyrl-RS"/>
        </w:rPr>
        <w:t xml:space="preserve">од </w:t>
      </w:r>
      <w:r w:rsidRPr="002E1BD1">
        <w:rPr>
          <w:iCs/>
          <w:lang w:val="pl-PL"/>
        </w:rPr>
        <w:t xml:space="preserve">26.2.2013, </w:t>
      </w:r>
      <w:r w:rsidRPr="002E1BD1">
        <w:rPr>
          <w:iCs/>
          <w:lang w:val="sr-Cyrl-RS"/>
        </w:rPr>
        <w:t>стр</w:t>
      </w:r>
      <w:r w:rsidRPr="002E1BD1">
        <w:rPr>
          <w:iCs/>
          <w:lang w:val="pl-PL"/>
        </w:rPr>
        <w:t>. 4.</w:t>
      </w:r>
    </w:p>
    <w:p w:rsidR="00BF3EED" w:rsidRPr="009A370E" w:rsidRDefault="00BF3EED" w:rsidP="00BF3EED">
      <w:pPr>
        <w:pStyle w:val="FootnoteText"/>
        <w:rPr>
          <w:lang w:val="sr-Cyrl-RS"/>
        </w:rPr>
      </w:pPr>
    </w:p>
  </w:footnote>
  <w:footnote w:id="2">
    <w:p w:rsidR="00BF3EED" w:rsidRPr="00C327CF" w:rsidRDefault="00BF3EED" w:rsidP="00BF3EED">
      <w:pPr>
        <w:pStyle w:val="FootnoteText"/>
        <w:rPr>
          <w:lang w:val="sr-Cyrl-RS"/>
        </w:rPr>
      </w:pPr>
      <w:r w:rsidRPr="00C327CF">
        <w:rPr>
          <w:rStyle w:val="FootnoteReference"/>
        </w:rPr>
        <w:footnoteRef/>
      </w:r>
      <w:r w:rsidRPr="00C327CF">
        <w:t xml:space="preserve"> </w:t>
      </w:r>
      <w:r w:rsidRPr="00C327CF">
        <w:rPr>
          <w:lang w:val="sr-Cyrl-RS"/>
        </w:rPr>
        <w:t xml:space="preserve">Службени лист Европске уније </w:t>
      </w:r>
      <w:r w:rsidRPr="00C327CF">
        <w:rPr>
          <w:lang w:val="sr-Latn-RS"/>
        </w:rPr>
        <w:t xml:space="preserve">L2024/390 </w:t>
      </w:r>
      <w:r w:rsidRPr="00C327CF">
        <w:rPr>
          <w:lang w:val="sr-Cyrl-RS"/>
        </w:rPr>
        <w:t>од 19.2.2024.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2D"/>
    <w:rsid w:val="0000186F"/>
    <w:rsid w:val="0001391A"/>
    <w:rsid w:val="00013AE0"/>
    <w:rsid w:val="00022477"/>
    <w:rsid w:val="000457ED"/>
    <w:rsid w:val="000738A3"/>
    <w:rsid w:val="000859A6"/>
    <w:rsid w:val="000A5795"/>
    <w:rsid w:val="000F241C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16A1"/>
    <w:rsid w:val="002627E0"/>
    <w:rsid w:val="0027659C"/>
    <w:rsid w:val="00281B05"/>
    <w:rsid w:val="002B1A12"/>
    <w:rsid w:val="002C3457"/>
    <w:rsid w:val="002C4F41"/>
    <w:rsid w:val="002E6328"/>
    <w:rsid w:val="002E6E56"/>
    <w:rsid w:val="002E73FF"/>
    <w:rsid w:val="002F0D0B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04742"/>
    <w:rsid w:val="00415F00"/>
    <w:rsid w:val="00436980"/>
    <w:rsid w:val="00456F0C"/>
    <w:rsid w:val="004913C5"/>
    <w:rsid w:val="004B09D0"/>
    <w:rsid w:val="004B4D18"/>
    <w:rsid w:val="004B5A94"/>
    <w:rsid w:val="004C0FD2"/>
    <w:rsid w:val="004C2ACC"/>
    <w:rsid w:val="004D09B4"/>
    <w:rsid w:val="00507CB9"/>
    <w:rsid w:val="0053719F"/>
    <w:rsid w:val="005542ED"/>
    <w:rsid w:val="00572F65"/>
    <w:rsid w:val="005927D0"/>
    <w:rsid w:val="005A6141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77BF6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4CF6"/>
    <w:rsid w:val="007969CD"/>
    <w:rsid w:val="007A46FC"/>
    <w:rsid w:val="007A4CE3"/>
    <w:rsid w:val="007A70C8"/>
    <w:rsid w:val="007B6C48"/>
    <w:rsid w:val="007B705D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3EA6"/>
    <w:rsid w:val="0092735D"/>
    <w:rsid w:val="00935687"/>
    <w:rsid w:val="00944BD4"/>
    <w:rsid w:val="009535FA"/>
    <w:rsid w:val="00960467"/>
    <w:rsid w:val="00963FD6"/>
    <w:rsid w:val="00966ADC"/>
    <w:rsid w:val="009B0951"/>
    <w:rsid w:val="009C4955"/>
    <w:rsid w:val="009E01A4"/>
    <w:rsid w:val="009E0399"/>
    <w:rsid w:val="009E0A38"/>
    <w:rsid w:val="009F0E8A"/>
    <w:rsid w:val="00A00F88"/>
    <w:rsid w:val="00A244DC"/>
    <w:rsid w:val="00A30218"/>
    <w:rsid w:val="00A561DB"/>
    <w:rsid w:val="00A82B08"/>
    <w:rsid w:val="00A909C7"/>
    <w:rsid w:val="00AB2AD1"/>
    <w:rsid w:val="00AD4302"/>
    <w:rsid w:val="00AE64D6"/>
    <w:rsid w:val="00B06ABF"/>
    <w:rsid w:val="00B230D6"/>
    <w:rsid w:val="00B512CA"/>
    <w:rsid w:val="00B97864"/>
    <w:rsid w:val="00BA3196"/>
    <w:rsid w:val="00BA49A3"/>
    <w:rsid w:val="00BF3EED"/>
    <w:rsid w:val="00C00360"/>
    <w:rsid w:val="00C0127D"/>
    <w:rsid w:val="00C426A4"/>
    <w:rsid w:val="00C63D53"/>
    <w:rsid w:val="00C86F42"/>
    <w:rsid w:val="00CA12DE"/>
    <w:rsid w:val="00CE0AAE"/>
    <w:rsid w:val="00CE29F4"/>
    <w:rsid w:val="00CE5A6E"/>
    <w:rsid w:val="00D128E7"/>
    <w:rsid w:val="00D22A73"/>
    <w:rsid w:val="00D238D9"/>
    <w:rsid w:val="00D27DDB"/>
    <w:rsid w:val="00D412C2"/>
    <w:rsid w:val="00D44434"/>
    <w:rsid w:val="00D47873"/>
    <w:rsid w:val="00D619AC"/>
    <w:rsid w:val="00D741B4"/>
    <w:rsid w:val="00D9517F"/>
    <w:rsid w:val="00DC1AFE"/>
    <w:rsid w:val="00DF468A"/>
    <w:rsid w:val="00E00B27"/>
    <w:rsid w:val="00E2562D"/>
    <w:rsid w:val="00E4688B"/>
    <w:rsid w:val="00EB4808"/>
    <w:rsid w:val="00EC6B9A"/>
    <w:rsid w:val="00F45D4C"/>
    <w:rsid w:val="00F57825"/>
    <w:rsid w:val="00F62D24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98C3B"/>
  <w15:chartTrackingRefBased/>
  <w15:docId w15:val="{C843F111-913E-4FC3-BF5F-5C7BB4D8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EED"/>
    <w:pPr>
      <w:spacing w:after="200" w:line="27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inal Footnote Text,Footnote Text 2,fn,Footnotes,ft,fn cafc,Footnote ak,fn Char,footnote text Char,Footnotes Char,Footnote ak Char,footnote citation,Footnotes Char Char,Footnote Text Char Char,fn Char Char,footnote text Char Char Char Ch"/>
    <w:basedOn w:val="Normal"/>
    <w:link w:val="FootnoteTextChar"/>
    <w:uiPriority w:val="99"/>
    <w:rsid w:val="00BF3EED"/>
    <w:pPr>
      <w:widowControl w:val="0"/>
      <w:wordWrap w:val="0"/>
      <w:autoSpaceDE w:val="0"/>
      <w:autoSpaceDN w:val="0"/>
      <w:snapToGrid w:val="0"/>
      <w:spacing w:after="0" w:line="240" w:lineRule="auto"/>
      <w:jc w:val="both"/>
    </w:pPr>
    <w:rPr>
      <w:rFonts w:ascii="Times New Roman" w:eastAsia="Batang" w:hAnsi="Times New Roman"/>
      <w:kern w:val="2"/>
      <w:sz w:val="20"/>
      <w:szCs w:val="24"/>
      <w:lang w:val="en-US" w:eastAsia="ko-KR"/>
    </w:rPr>
  </w:style>
  <w:style w:type="character" w:customStyle="1" w:styleId="FootnoteTextChar">
    <w:name w:val="Footnote Text Char"/>
    <w:aliases w:val="Final Footnote Text Char,Footnote Text 2 Char,fn Char1,Footnotes Char1,ft Char,fn cafc Char,Footnote ak Char1,fn Char Char1,footnote text Char Char,Footnotes Char Char1,Footnote ak Char Char,footnote citation Char,fn Char Char Char"/>
    <w:basedOn w:val="DefaultParagraphFont"/>
    <w:link w:val="FootnoteText"/>
    <w:uiPriority w:val="99"/>
    <w:rsid w:val="00BF3EED"/>
    <w:rPr>
      <w:rFonts w:eastAsia="Batang"/>
      <w:kern w:val="2"/>
      <w:szCs w:val="24"/>
      <w:lang w:eastAsia="ko-KR"/>
    </w:rPr>
  </w:style>
  <w:style w:type="character" w:styleId="FootnoteReference">
    <w:name w:val="footnote reference"/>
    <w:aliases w:val="Ref,de nota al pie"/>
    <w:uiPriority w:val="99"/>
    <w:rsid w:val="00BF3EE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BF3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3EED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F3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EED"/>
    <w:rPr>
      <w:rFonts w:ascii="Calibri" w:eastAsia="Calibri" w:hAnsi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665E-F147-4529-B3DE-EED2D896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Daktilobiro06</cp:lastModifiedBy>
  <cp:revision>19</cp:revision>
  <dcterms:created xsi:type="dcterms:W3CDTF">2024-11-20T09:32:00Z</dcterms:created>
  <dcterms:modified xsi:type="dcterms:W3CDTF">2024-11-21T13:14:00Z</dcterms:modified>
</cp:coreProperties>
</file>