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10AC3" w14:textId="77777777" w:rsidR="006E2B10" w:rsidRPr="00584E9E" w:rsidRDefault="00584E9E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 xml:space="preserve">VI. </w:t>
      </w:r>
      <w:r w:rsidR="009F336C" w:rsidRPr="00584E9E">
        <w:rPr>
          <w:b/>
          <w:lang w:val="sr-Cyrl-CS"/>
        </w:rPr>
        <w:t>АНАЛИЗА ЕФЕКАТА ЗАКОНА</w:t>
      </w:r>
    </w:p>
    <w:p w14:paraId="10A6DCD8" w14:textId="77777777" w:rsidR="006E2B10" w:rsidRPr="00584E9E" w:rsidRDefault="006E2B10">
      <w:pPr>
        <w:jc w:val="center"/>
        <w:rPr>
          <w:b/>
          <w:lang w:val="sr-Cyrl-CS"/>
        </w:rPr>
      </w:pPr>
    </w:p>
    <w:p w14:paraId="6C730390" w14:textId="77777777" w:rsidR="006E2B10" w:rsidRPr="00584E9E" w:rsidRDefault="006E2B10">
      <w:pPr>
        <w:jc w:val="center"/>
        <w:rPr>
          <w:b/>
          <w:lang w:val="sr-Cyrl-CS"/>
        </w:rPr>
      </w:pPr>
    </w:p>
    <w:p w14:paraId="135C94E4" w14:textId="77777777" w:rsidR="006E2B10" w:rsidRPr="00584E9E" w:rsidRDefault="009F336C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>1. Кључна питања за анализу постојећег стања и правилно дефинисање промене која се предлаже</w:t>
      </w:r>
    </w:p>
    <w:p w14:paraId="61C89FC1" w14:textId="77777777" w:rsidR="006E2B10" w:rsidRPr="00584E9E" w:rsidRDefault="006E2B10">
      <w:pPr>
        <w:jc w:val="center"/>
        <w:rPr>
          <w:b/>
          <w:lang w:val="sr-Cyrl-CS"/>
        </w:rPr>
      </w:pPr>
    </w:p>
    <w:p w14:paraId="68A5A067" w14:textId="77777777" w:rsidR="006E2B10" w:rsidRPr="00584E9E" w:rsidRDefault="009F336C">
      <w:pPr>
        <w:pStyle w:val="ListParagraph"/>
        <w:numPr>
          <w:ilvl w:val="0"/>
          <w:numId w:val="1"/>
        </w:numPr>
        <w:ind w:left="0" w:firstLine="36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Који показатељи се прате у области, који су разлози због којих се ови показатељи прате и које су њихове вредности? Да ли се у предметној области спроводи или се спроводио документ јавне 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вредностима.</w:t>
      </w:r>
    </w:p>
    <w:p w14:paraId="350781D6" w14:textId="77777777" w:rsidR="006E2B10" w:rsidRPr="00584E9E" w:rsidRDefault="006E2B10">
      <w:pPr>
        <w:jc w:val="both"/>
        <w:rPr>
          <w:b/>
          <w:i/>
          <w:highlight w:val="yellow"/>
          <w:lang w:val="sr-Cyrl-CS"/>
        </w:rPr>
      </w:pPr>
    </w:p>
    <w:p w14:paraId="7C0CB03A" w14:textId="77777777" w:rsidR="006E2B10" w:rsidRPr="00584E9E" w:rsidRDefault="009F336C">
      <w:pPr>
        <w:jc w:val="both"/>
        <w:rPr>
          <w:b/>
          <w:iCs/>
          <w:lang w:val="sr-Cyrl-CS"/>
        </w:rPr>
      </w:pPr>
      <w:bookmarkStart w:id="0" w:name="_Hlk167091024"/>
      <w:r w:rsidRPr="00584E9E">
        <w:rPr>
          <w:b/>
          <w:iCs/>
          <w:lang w:val="sr-Cyrl-CS"/>
        </w:rPr>
        <w:t>Сектор за истраживање несрећа у ваздушном саобраћају:</w:t>
      </w:r>
    </w:p>
    <w:bookmarkEnd w:id="0"/>
    <w:p w14:paraId="0DD197D6" w14:textId="77777777" w:rsidR="006E2B10" w:rsidRPr="00584E9E" w:rsidRDefault="006E2B10">
      <w:pPr>
        <w:jc w:val="both"/>
        <w:rPr>
          <w:b/>
          <w:i/>
          <w:highlight w:val="yellow"/>
          <w:lang w:val="sr-Cyrl-CS"/>
        </w:rPr>
      </w:pPr>
    </w:p>
    <w:p w14:paraId="3CBA9C79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 xml:space="preserve">Како је основни документ који се односи на предметну област </w:t>
      </w:r>
      <w:bookmarkStart w:id="1" w:name="_Hlk167096901"/>
      <w:r w:rsidRPr="00584E9E">
        <w:rPr>
          <w:bCs w:val="0"/>
          <w:iCs/>
          <w:lang w:val="sr-Cyrl-CS"/>
        </w:rPr>
        <w:t xml:space="preserve">Закон о истраживању несрећа у ваздушном, железничком и водном саобраћају </w:t>
      </w:r>
      <w:bookmarkEnd w:id="1"/>
      <w:r w:rsidRPr="00584E9E">
        <w:rPr>
          <w:bCs w:val="0"/>
          <w:iCs/>
          <w:lang w:val="sr-Cyrl-CS"/>
        </w:rPr>
        <w:t>(</w:t>
      </w:r>
      <w:r w:rsidR="00584E9E">
        <w:rPr>
          <w:bCs w:val="0"/>
          <w:iCs/>
          <w:lang w:val="sr-Cyrl-CS"/>
        </w:rPr>
        <w:t>„</w:t>
      </w:r>
      <w:r w:rsidRPr="00584E9E">
        <w:rPr>
          <w:bCs w:val="0"/>
          <w:iCs/>
          <w:lang w:val="sr-Cyrl-CS"/>
        </w:rPr>
        <w:t>Сл</w:t>
      </w:r>
      <w:r w:rsidR="00584E9E">
        <w:rPr>
          <w:bCs w:val="0"/>
          <w:iCs/>
          <w:lang w:val="sr-Cyrl-CS"/>
        </w:rPr>
        <w:t>ужбени</w:t>
      </w:r>
      <w:r w:rsidRPr="00584E9E">
        <w:rPr>
          <w:bCs w:val="0"/>
          <w:iCs/>
          <w:lang w:val="sr-Cyrl-CS"/>
        </w:rPr>
        <w:t xml:space="preserve"> гласник РС</w:t>
      </w:r>
      <w:r w:rsidR="00584E9E">
        <w:rPr>
          <w:bCs w:val="0"/>
          <w:iCs/>
          <w:lang w:val="sr-Cyrl-CS"/>
        </w:rPr>
        <w:t>”,</w:t>
      </w:r>
      <w:r w:rsidRPr="00584E9E">
        <w:rPr>
          <w:bCs w:val="0"/>
          <w:iCs/>
          <w:lang w:val="sr-Cyrl-CS"/>
        </w:rPr>
        <w:t xml:space="preserve"> бр</w:t>
      </w:r>
      <w:r w:rsidR="00584E9E">
        <w:rPr>
          <w:bCs w:val="0"/>
          <w:iCs/>
          <w:lang w:val="sr-Cyrl-CS"/>
        </w:rPr>
        <w:t>.</w:t>
      </w:r>
      <w:r w:rsidRPr="00584E9E">
        <w:rPr>
          <w:bCs w:val="0"/>
          <w:iCs/>
          <w:lang w:val="sr-Cyrl-CS"/>
        </w:rPr>
        <w:t xml:space="preserve"> 66/15 и 83/18, даље - Закон), којим је уређено истраживање несрећа – удеса и озбиљних незгода у ваздушном саобраћају, основни индикатор је број удеса и озбиљних незгода. У табели је дат преглед удеса и озбиљних незгода које су се десиле у периоду од измене и допуне Закона 2018. године:</w:t>
      </w:r>
    </w:p>
    <w:p w14:paraId="5E119C7B" w14:textId="77777777" w:rsidR="006E2B10" w:rsidRPr="00584E9E" w:rsidRDefault="006E2B10">
      <w:pPr>
        <w:jc w:val="both"/>
        <w:rPr>
          <w:bCs w:val="0"/>
          <w:iCs/>
          <w:lang w:val="sr-Cyrl-CS"/>
        </w:rPr>
      </w:pPr>
    </w:p>
    <w:p w14:paraId="64AD024F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noProof/>
          <w:lang w:val="sr-Cyrl-CS"/>
        </w:rPr>
        <w:drawing>
          <wp:inline distT="0" distB="0" distL="0" distR="0" wp14:anchorId="1EC42C38" wp14:editId="66E12B32">
            <wp:extent cx="5731510" cy="3226435"/>
            <wp:effectExtent l="0" t="0" r="2540" b="12065"/>
            <wp:docPr id="33200279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C3E728E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>2018. године било је 3 несрећа – 3 удеса и 4 озб. незгоде</w:t>
      </w:r>
    </w:p>
    <w:p w14:paraId="62BD93F7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>2019. године било је 4 несрећа – 2 удеса и 2 озб. незгоде*</w:t>
      </w:r>
    </w:p>
    <w:p w14:paraId="1DE25787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>2020. године било је 2 несреће - 2 удеса</w:t>
      </w:r>
    </w:p>
    <w:p w14:paraId="0F44A5FF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>2021. године било је 5 несрећа - 5 озб. незгода</w:t>
      </w:r>
    </w:p>
    <w:p w14:paraId="57A0D3D8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>2022. године било је 3 несрећа – 2 удеса и 1 озб. незгода*</w:t>
      </w:r>
    </w:p>
    <w:p w14:paraId="4FEBE5C0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>2023. године било је 4 несрећа – 2 удеса и 2 озб. незгоде</w:t>
      </w:r>
    </w:p>
    <w:p w14:paraId="27D9E040" w14:textId="77777777" w:rsidR="006E2B10" w:rsidRPr="00584E9E" w:rsidRDefault="009F336C">
      <w:pPr>
        <w:jc w:val="both"/>
        <w:rPr>
          <w:bCs w:val="0"/>
          <w:iCs/>
          <w:lang w:val="sr-Cyrl-CS"/>
        </w:rPr>
      </w:pPr>
      <w:r w:rsidRPr="00584E9E">
        <w:rPr>
          <w:bCs w:val="0"/>
          <w:iCs/>
          <w:lang w:val="sr-Cyrl-CS"/>
        </w:rPr>
        <w:t xml:space="preserve">(* - 2022. године озбиљна незгода је пренета на другу државу у складу са међународним прописима услед адекватнијих услова за истрагу, односно поседовања и посаде и ваздухоплова на другој дестинацији; Центар је 2019. године истраживао озбиљну незгоду </w:t>
      </w:r>
      <w:r w:rsidRPr="00584E9E">
        <w:rPr>
          <w:bCs w:val="0"/>
          <w:iCs/>
          <w:lang w:val="sr-Cyrl-CS"/>
        </w:rPr>
        <w:lastRenderedPageBreak/>
        <w:t>која се догодила на територији друге државе али су посада и авион слетели у нужди на територију Републике Србије која је преузела истрагу дате озб. незгоде у складу са међународним прописима)</w:t>
      </w:r>
    </w:p>
    <w:p w14:paraId="6C7CC77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У складу са наведеном табелом, индикативно је да број несрећа генерално прати обим саобраћаја и генералних трендова у авио саобраћају. На пример, у 2019. години је било 4 несрећа, као и 2023. године у којој је обим авио саобраћаја достигао ниво из 2019. године, односно пре пандемије Covid19. У 2020. години, услед дате пандемије, дошло је до пада обима авио саобраћаја (са вишемесечним ограничењима и застојима), те и последичног броја несрећа. У 2021. години, са обнављањем обима авио саобраћаја дошло је и</w:t>
      </w:r>
      <w:r w:rsidR="00584E9E">
        <w:rPr>
          <w:lang w:val="sr-Cyrl-CS"/>
        </w:rPr>
        <w:t>н</w:t>
      </w:r>
      <w:r w:rsidRPr="00584E9E">
        <w:rPr>
          <w:lang w:val="sr-Cyrl-CS"/>
        </w:rPr>
        <w:t xml:space="preserve">дикативног повећања броја несрећа услед недостатка налета у претходном периоду, са пратећим обукама и стицањем, односно освежењима знања. 2022. године, број несрећа се приближио обиму саобраћаја. </w:t>
      </w:r>
    </w:p>
    <w:p w14:paraId="09FE4196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 xml:space="preserve">Сам ваздушни саобраћај, као и техника и технологија укључени у њему, су у основи међународног садржаја и обима. Ваздухоплови и њихови делови и компоненте се производе у више различитих држава, док сами ваздухоплови и њихове посаде лете између држава, повезујући различите државе, народе и последично националне прописе. Тиме, као и за остале послове у ваздушном саобраћају, можда и више, битно је да прописи Републике Србије буду усаглашени са прописима међународних организација које се односе на истраживање несрећа у ваздушном саобраћају, како би се спречиле несреће из истих или сличних узрока, са унапређењем безбедности ваздушног саобраћаја. </w:t>
      </w:r>
    </w:p>
    <w:p w14:paraId="7A26C113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lang w:val="sr-Cyrl-CS"/>
        </w:rPr>
        <w:t xml:space="preserve">У датом периоду и у складу са наведеним, дошло је и до несрећа ваздухоплова за које покретање истраживања није у складу са важећим прописима Европске Уније (даље - ЕУ), као и поступцима који се односе на истраживање несрећа у складу са одредбама прописа Међународне организације за цивилно ваздухопловство (даље - ICAO). При томе, дошло је до мање усаглашености прописа који се односе на истраживање несрећа у ваздушном саобраћају Републике Србије у односу на релевантне прописе ЕУ и ICAO, а </w:t>
      </w:r>
      <w:r w:rsidRPr="00584E9E">
        <w:rPr>
          <w:bCs w:val="0"/>
          <w:lang w:val="sr-Cyrl-CS"/>
        </w:rPr>
        <w:t>које је Република Србија дужна да прати и примени.</w:t>
      </w:r>
    </w:p>
    <w:p w14:paraId="3BC9EED6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Истовремено, у  датом периоду је индиковано да одређени број несрећа није одмах и непосредно пријављено од стране власника ваздухоплова као физичких лица, односно да је о њима Центар за истраживање несрећа у саобраћају Републике Србије (даље - Центар) сазнао посредном методом и касније, при чему је дошло до недостатка података који су битни за истражне поступке у датим несрећама, а за које Центар није могао да покрене прекршајне поступке услед нејасноћа у делу Закона.</w:t>
      </w:r>
    </w:p>
    <w:p w14:paraId="4CDC682D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Тиме, исказана је потреба за изменом и допуном Закона, као што је даље појашњено.</w:t>
      </w:r>
    </w:p>
    <w:p w14:paraId="3E95576C" w14:textId="77777777" w:rsidR="006E2B10" w:rsidRPr="00584E9E" w:rsidRDefault="006E2B10">
      <w:pPr>
        <w:ind w:firstLine="720"/>
        <w:jc w:val="both"/>
        <w:rPr>
          <w:b/>
          <w:i/>
          <w:highlight w:val="yellow"/>
          <w:lang w:val="sr-Cyrl-CS"/>
        </w:rPr>
      </w:pPr>
    </w:p>
    <w:p w14:paraId="0247923F" w14:textId="77777777" w:rsidR="006E2B10" w:rsidRPr="00584E9E" w:rsidRDefault="009F336C">
      <w:pPr>
        <w:rPr>
          <w:b/>
          <w:iCs/>
          <w:lang w:val="sr-Cyrl-CS"/>
        </w:rPr>
      </w:pPr>
      <w:r w:rsidRPr="00584E9E">
        <w:rPr>
          <w:b/>
          <w:iCs/>
          <w:lang w:val="sr-Cyrl-CS"/>
        </w:rPr>
        <w:t>Сектор за истраживање несрећа у железничком саобраћају:</w:t>
      </w:r>
    </w:p>
    <w:p w14:paraId="0EC21D5B" w14:textId="77777777" w:rsidR="006E2B10" w:rsidRPr="00584E9E" w:rsidRDefault="006E2B10">
      <w:pPr>
        <w:rPr>
          <w:b/>
          <w:iCs/>
          <w:lang w:val="sr-Cyrl-CS"/>
        </w:rPr>
      </w:pPr>
    </w:p>
    <w:p w14:paraId="47ECF4D1" w14:textId="77777777" w:rsidR="006E2B10" w:rsidRPr="00584E9E" w:rsidRDefault="009F336C">
      <w:pPr>
        <w:ind w:firstLine="720"/>
        <w:jc w:val="both"/>
        <w:rPr>
          <w:lang w:val="sr-Cyrl-CS"/>
        </w:rPr>
      </w:pPr>
      <w:bookmarkStart w:id="2" w:name="_Hlk166855960"/>
      <w:r w:rsidRPr="00584E9E">
        <w:rPr>
          <w:lang w:val="sr-Cyrl-CS"/>
        </w:rPr>
        <w:t>У складу са Законом о истраживању несрећа у ваздушном, железничком и водном саобраћају („Службени гласник РС</w:t>
      </w:r>
      <w:r w:rsidR="00584E9E">
        <w:rPr>
          <w:lang w:val="sr-Cyrl-CS"/>
        </w:rPr>
        <w:t>”,</w:t>
      </w:r>
      <w:r w:rsidRPr="00584E9E">
        <w:rPr>
          <w:lang w:val="sr-Cyrl-CS"/>
        </w:rPr>
        <w:t xml:space="preserve"> бр</w:t>
      </w:r>
      <w:r w:rsidR="00584E9E">
        <w:rPr>
          <w:lang w:val="sr-Cyrl-CS"/>
        </w:rPr>
        <w:t>.</w:t>
      </w:r>
      <w:r w:rsidRPr="00584E9E">
        <w:rPr>
          <w:lang w:val="sr-Cyrl-CS"/>
        </w:rPr>
        <w:t xml:space="preserve"> 66/15 и 83/18), предвиђена је обавезна пријава несрећа и незгода у железничком саобраћају од стране управљача, железничких превозника и других укључених лица.</w:t>
      </w:r>
    </w:p>
    <w:p w14:paraId="6878CEB7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У току 2018. године пријављено је укупно 648 несрећа и незгода. Од тог броја биле су укупно 2 озбиљне несреће које су истраживане као и 2 несреће (за које не постоји законска обавеза истраживања). У 2018. години су издате 33 безбедносне препоруке.</w:t>
      </w:r>
      <w:bookmarkEnd w:id="2"/>
    </w:p>
    <w:p w14:paraId="7D9F25A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 xml:space="preserve">У току 2019. године пријављено је укупно 645 несрећа и незгода. Од тог броја била је укупно 1 озбиљна несрећа која је истраживана као и 1 несрећа (за коју не постоји законска обавеза истраживања). У 2019. години </w:t>
      </w:r>
      <w:bookmarkStart w:id="3" w:name="_Hlk166856977"/>
      <w:r w:rsidRPr="00584E9E">
        <w:rPr>
          <w:lang w:val="sr-Cyrl-CS"/>
        </w:rPr>
        <w:t>су издате 32 безбедносне препоруке</w:t>
      </w:r>
      <w:bookmarkEnd w:id="3"/>
      <w:r w:rsidRPr="00584E9E">
        <w:rPr>
          <w:lang w:val="sr-Cyrl-CS"/>
        </w:rPr>
        <w:t>.</w:t>
      </w:r>
    </w:p>
    <w:p w14:paraId="5D75974B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lastRenderedPageBreak/>
        <w:t>Правилник о истраживању несрећа и незгода у железничком саобраћају („Службени гласник РС“ број 58/19) је донет у 2019. години.</w:t>
      </w:r>
    </w:p>
    <w:p w14:paraId="033A07AB" w14:textId="77777777" w:rsidR="006E2B10" w:rsidRPr="00584E9E" w:rsidRDefault="009F336C">
      <w:pPr>
        <w:ind w:firstLine="720"/>
        <w:jc w:val="both"/>
        <w:rPr>
          <w:lang w:val="sr-Cyrl-CS"/>
        </w:rPr>
      </w:pPr>
      <w:bookmarkStart w:id="4" w:name="_Hlk166856668"/>
      <w:r w:rsidRPr="00584E9E">
        <w:rPr>
          <w:lang w:val="sr-Cyrl-CS"/>
        </w:rPr>
        <w:t>У току 2020. године пријављена је укупно 481 несрећа и незгода (247 несрећа и 234 незгоде). Од укупног броја несрећа биле су укупно 3 озбиљне несреће које су истраживане као и 1 несрећа (за коју не постоји законска обавеза истраживања). У 2020. години је издато 10 безбедносних препорука.</w:t>
      </w:r>
      <w:bookmarkEnd w:id="4"/>
    </w:p>
    <w:p w14:paraId="6444E26B" w14:textId="77777777" w:rsidR="006E2B10" w:rsidRPr="00584E9E" w:rsidRDefault="009F336C">
      <w:pPr>
        <w:ind w:firstLine="720"/>
        <w:jc w:val="both"/>
        <w:rPr>
          <w:lang w:val="sr-Cyrl-CS"/>
        </w:rPr>
      </w:pPr>
      <w:bookmarkStart w:id="5" w:name="_Hlk166857029"/>
      <w:r w:rsidRPr="00584E9E">
        <w:rPr>
          <w:lang w:val="sr-Cyrl-CS"/>
        </w:rPr>
        <w:t>У току 2021. године пријављено је укупно 596 несрећа и незгода (270 несрећа и 326 незгода). Од укупног броја несрећа биле су укупно 2 озбиљне несреће које су истраживане. У 2021. години су издате 32 безбедносне препоруке.</w:t>
      </w:r>
      <w:bookmarkEnd w:id="5"/>
    </w:p>
    <w:p w14:paraId="41AEFEA9" w14:textId="77777777" w:rsidR="006E2B10" w:rsidRPr="00584E9E" w:rsidRDefault="009F336C">
      <w:pPr>
        <w:ind w:firstLine="720"/>
        <w:jc w:val="both"/>
        <w:rPr>
          <w:lang w:val="sr-Cyrl-CS"/>
        </w:rPr>
      </w:pPr>
      <w:bookmarkStart w:id="6" w:name="_Hlk166857365"/>
      <w:r w:rsidRPr="00584E9E">
        <w:rPr>
          <w:lang w:val="sr-Cyrl-CS"/>
        </w:rPr>
        <w:t>У току 2022. године пријављена је укупно 551 несрећа и незгода (265 несрећа и 286 незгода). Од укупног броја несрећа била је укупно 1 озбиљна несрећа која је истраживана. У 2022. години је издато 8 безбедносних препорука.</w:t>
      </w:r>
      <w:bookmarkEnd w:id="6"/>
    </w:p>
    <w:p w14:paraId="716C776D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У току 2023. године пријављене су укупно 542 несреће и незгоде (263 несреће и 279 незгода). Од укупног броја несрећа била је укупно 1 озбиљна несрећа за коју је покренута истрага и истражни поступак је у току. У 2023. години је издато 10 безбедносних препорука.</w:t>
      </w:r>
    </w:p>
    <w:p w14:paraId="692E8F39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У области железничког саобраћаја спроводи се Закон о истраживању несрећа у ваздушном, железничком и водном саобраћају („Службени гласник РС</w:t>
      </w:r>
      <w:r w:rsidR="00584E9E">
        <w:rPr>
          <w:lang w:val="sr-Cyrl-CS"/>
        </w:rPr>
        <w:t>”,</w:t>
      </w:r>
      <w:r w:rsidRPr="00584E9E">
        <w:rPr>
          <w:lang w:val="sr-Cyrl-CS"/>
        </w:rPr>
        <w:t xml:space="preserve"> бр</w:t>
      </w:r>
      <w:r w:rsidR="00584E9E">
        <w:rPr>
          <w:lang w:val="sr-Cyrl-CS"/>
        </w:rPr>
        <w:t>.</w:t>
      </w:r>
      <w:r w:rsidRPr="00584E9E">
        <w:rPr>
          <w:lang w:val="sr-Cyrl-CS"/>
        </w:rPr>
        <w:t xml:space="preserve"> 66/15 и 83/18), као и подзаконски акти донети на основу наведеног закона и то: Правилник о начину издавања и обрасцу службене легитимације истражитеља и о начину вођења евиденције о издатим службеним легитимацијама („Службени гласник РС</w:t>
      </w:r>
      <w:r w:rsidR="00584E9E">
        <w:rPr>
          <w:lang w:val="sr-Cyrl-CS"/>
        </w:rPr>
        <w:t>”,</w:t>
      </w:r>
      <w:r w:rsidRPr="00584E9E">
        <w:rPr>
          <w:lang w:val="sr-Cyrl-CS"/>
        </w:rPr>
        <w:t xml:space="preserve"> број 86/15), </w:t>
      </w:r>
      <w:r w:rsidRPr="00584E9E">
        <w:rPr>
          <w:color w:val="auto"/>
          <w:lang w:val="sr-Cyrl-CS"/>
        </w:rPr>
        <w:t xml:space="preserve">Прaвилник о садржини коначног извештаја о истрагама несрећа и незгода у железничком саобраћају </w:t>
      </w:r>
      <w:r w:rsidRPr="00584E9E">
        <w:rPr>
          <w:lang w:val="sr-Cyrl-CS"/>
        </w:rPr>
        <w:t>(„Службени гласник РС</w:t>
      </w:r>
      <w:r w:rsidR="00584E9E">
        <w:rPr>
          <w:lang w:val="sr-Cyrl-CS"/>
        </w:rPr>
        <w:t>”,</w:t>
      </w:r>
      <w:r w:rsidRPr="00584E9E">
        <w:rPr>
          <w:lang w:val="sr-Cyrl-CS"/>
        </w:rPr>
        <w:t xml:space="preserve"> број 89/15) и Правилник о истраживању несрећа и незгода у железничком саобраћају („Службени гласник РС</w:t>
      </w:r>
      <w:r w:rsidR="00584E9E">
        <w:rPr>
          <w:lang w:val="sr-Cyrl-CS"/>
        </w:rPr>
        <w:t>”,</w:t>
      </w:r>
      <w:r w:rsidRPr="00584E9E">
        <w:rPr>
          <w:lang w:val="sr-Cyrl-CS"/>
        </w:rPr>
        <w:t xml:space="preserve"> број 58/19), чији су резултати спровођења дати у претходном тексту.</w:t>
      </w:r>
    </w:p>
    <w:p w14:paraId="3A397D03" w14:textId="77777777" w:rsidR="006E2B10" w:rsidRPr="00584E9E" w:rsidRDefault="006E2B10">
      <w:pPr>
        <w:ind w:firstLine="720"/>
        <w:jc w:val="both"/>
        <w:rPr>
          <w:lang w:val="sr-Cyrl-CS"/>
        </w:rPr>
      </w:pPr>
    </w:p>
    <w:p w14:paraId="4A7DA6DE" w14:textId="77777777" w:rsidR="006E2B10" w:rsidRPr="00584E9E" w:rsidRDefault="009F336C">
      <w:pPr>
        <w:jc w:val="both"/>
        <w:rPr>
          <w:b/>
          <w:iCs/>
          <w:lang w:val="sr-Cyrl-CS"/>
        </w:rPr>
      </w:pPr>
      <w:r w:rsidRPr="00584E9E">
        <w:rPr>
          <w:b/>
          <w:iCs/>
          <w:lang w:val="sr-Cyrl-CS"/>
        </w:rPr>
        <w:t>Сектор за истраживање несрећа у водном саобраћају:</w:t>
      </w:r>
    </w:p>
    <w:p w14:paraId="51777720" w14:textId="77777777" w:rsidR="006E2B10" w:rsidRPr="00584E9E" w:rsidRDefault="006E2B10">
      <w:pPr>
        <w:jc w:val="both"/>
        <w:rPr>
          <w:b/>
          <w:iCs/>
          <w:lang w:val="sr-Cyrl-CS"/>
        </w:rPr>
      </w:pPr>
    </w:p>
    <w:p w14:paraId="6F21F6B7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Узимајући у обзир да је основни документ за предметну област Закон о истраживању несрећа у ваздушном, железничком и водном саобраћају (66/2015-3, 83/2018-60), којим се  уређује истраживање врло озбиљних поморских несрећа, озбиљних поморских несрећа, поморских несрећа, поморских незгода, озбиљних пловидбених незгода и пловидбених незгода у водном саобраћају. У табели 2. је дат преглед укупног броја озбиљних пловидбених незгода и пловидбених незгода за период 2018-2023.</w:t>
      </w:r>
    </w:p>
    <w:p w14:paraId="0502C07F" w14:textId="77777777" w:rsidR="006E2B10" w:rsidRPr="00584E9E" w:rsidRDefault="009F336C">
      <w:pPr>
        <w:ind w:firstLine="720"/>
        <w:jc w:val="center"/>
        <w:rPr>
          <w:lang w:val="sr-Cyrl-CS"/>
        </w:rPr>
      </w:pPr>
      <w:r w:rsidRPr="00584E9E">
        <w:rPr>
          <w:noProof/>
          <w:lang w:val="sr-Cyrl-CS"/>
          <w14:ligatures w14:val="standardContextual"/>
        </w:rPr>
        <w:lastRenderedPageBreak/>
        <w:drawing>
          <wp:inline distT="0" distB="0" distL="0" distR="0" wp14:anchorId="6743089C" wp14:editId="11AE34A6">
            <wp:extent cx="4572000" cy="2743200"/>
            <wp:effectExtent l="0" t="0" r="0" b="6985"/>
            <wp:docPr id="36524611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59F7EE9" w14:textId="77777777" w:rsidR="006E2B10" w:rsidRPr="00584E9E" w:rsidRDefault="009F336C">
      <w:pPr>
        <w:ind w:firstLine="720"/>
        <w:jc w:val="center"/>
        <w:rPr>
          <w:lang w:val="sr-Cyrl-CS"/>
        </w:rPr>
      </w:pPr>
      <w:r w:rsidRPr="00584E9E">
        <w:rPr>
          <w:lang w:val="sr-Cyrl-CS"/>
        </w:rPr>
        <w:t>Табела 2.</w:t>
      </w:r>
    </w:p>
    <w:p w14:paraId="62D48204" w14:textId="77777777" w:rsidR="006E2B10" w:rsidRPr="00584E9E" w:rsidRDefault="006E2B10">
      <w:pPr>
        <w:ind w:firstLine="720"/>
        <w:jc w:val="both"/>
        <w:rPr>
          <w:lang w:val="sr-Cyrl-CS"/>
        </w:rPr>
      </w:pPr>
    </w:p>
    <w:p w14:paraId="0D8CB756" w14:textId="77777777" w:rsidR="006E2B10" w:rsidRPr="00584E9E" w:rsidRDefault="009F336C">
      <w:pPr>
        <w:pStyle w:val="NoSpacing"/>
        <w:ind w:firstLine="720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584E9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Правилником о начину спровођења поступка истраживања несрећа и незгода у поморској пловидби („Службени гласник РС</w:t>
      </w:r>
      <w:r w:rsidR="00584E9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”,</w:t>
      </w:r>
      <w:r w:rsidRPr="00584E9E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број 50/16), прописује се начин спровођења поступка истраживања врло озбиљних поморских несрећа, озбиљних поморских несрећа, поморских несрећа и поморских незгода у поморској пловидби, као и начин праћења примене безбедносних препорука. Одредбе наведеног правилника примењују се и на истраживање озбиљних пловидбених незгода и пловидбених незгода у унутрашњој пловидби, осим одредби које се односе на обавештавање и унос података у Европску информациону платформу за поморске несреће (ЕCIP).</w:t>
      </w:r>
    </w:p>
    <w:p w14:paraId="6A621696" w14:textId="77777777" w:rsidR="006E2B10" w:rsidRPr="00584E9E" w:rsidRDefault="009F336C">
      <w:pPr>
        <w:pStyle w:val="NoSpacing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84E9E">
        <w:rPr>
          <w:rFonts w:ascii="Times New Roman" w:hAnsi="Times New Roman" w:cs="Times New Roman"/>
          <w:sz w:val="24"/>
          <w:szCs w:val="24"/>
          <w:lang w:val="sr-Cyrl-CS"/>
        </w:rPr>
        <w:t>Правилником о садржини извештаја о безбедносној истрази, садржини обавештења, садржини и начину вођења базе података о безбедносној истрази несрећа и незгода у водном саобраћају („Службени гласник РС</w:t>
      </w:r>
      <w:r w:rsidR="00584E9E">
        <w:rPr>
          <w:rFonts w:ascii="Times New Roman" w:hAnsi="Times New Roman" w:cs="Times New Roman"/>
          <w:sz w:val="24"/>
          <w:szCs w:val="24"/>
          <w:lang w:val="sr-Cyrl-CS"/>
        </w:rPr>
        <w:t>”,</w:t>
      </w:r>
      <w:r w:rsidRPr="00584E9E">
        <w:rPr>
          <w:rFonts w:ascii="Times New Roman" w:hAnsi="Times New Roman" w:cs="Times New Roman"/>
          <w:sz w:val="24"/>
          <w:szCs w:val="24"/>
          <w:lang w:val="sr-Cyrl-CS"/>
        </w:rPr>
        <w:t xml:space="preserve"> број 26/16) се ближе прописује садржина извештаја о безбедносној истрази.</w:t>
      </w:r>
    </w:p>
    <w:p w14:paraId="5009691C" w14:textId="77777777" w:rsidR="006E2B10" w:rsidRPr="00584E9E" w:rsidRDefault="009F336C">
      <w:pPr>
        <w:jc w:val="both"/>
        <w:rPr>
          <w:b/>
          <w:iCs/>
          <w:lang w:val="sr-Cyrl-CS"/>
        </w:rPr>
      </w:pPr>
      <w:r w:rsidRPr="00584E9E">
        <w:rPr>
          <w:b/>
          <w:iCs/>
          <w:lang w:val="sr-Cyrl-CS"/>
        </w:rPr>
        <w:tab/>
      </w:r>
    </w:p>
    <w:p w14:paraId="1412313D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2) Који су важећи прописи и документи јавних политика од значаја за промену која се предлаже и у чему се тај значај огледа?</w:t>
      </w:r>
    </w:p>
    <w:p w14:paraId="18F7B160" w14:textId="77777777" w:rsidR="006E2B10" w:rsidRPr="00584E9E" w:rsidRDefault="006E2B10">
      <w:pPr>
        <w:rPr>
          <w:b/>
          <w:highlight w:val="yellow"/>
          <w:lang w:val="sr-Cyrl-CS"/>
        </w:rPr>
      </w:pPr>
    </w:p>
    <w:p w14:paraId="715C7CE6" w14:textId="77777777" w:rsidR="006E2B10" w:rsidRPr="00584E9E" w:rsidRDefault="009F336C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584E9E">
        <w:rPr>
          <w:rFonts w:ascii="Times New Roman" w:hAnsi="Times New Roman" w:cs="Times New Roman"/>
          <w:lang w:val="sr-Cyrl-CS"/>
        </w:rPr>
        <w:t xml:space="preserve">У делу који се односи на ваздушни саобраћај предлаже се измена и допуна Закона о истраживању несрећа у ваздушном, железничком и водном саобраћају </w:t>
      </w:r>
      <w:r w:rsidR="00584E9E" w:rsidRPr="00584E9E">
        <w:rPr>
          <w:rFonts w:ascii="Times New Roman" w:hAnsi="Times New Roman" w:cs="Times New Roman"/>
          <w:lang w:val="sr-Cyrl-CS"/>
        </w:rPr>
        <w:t>(„Службени гласник РС</w:t>
      </w:r>
      <w:r w:rsidR="00584E9E">
        <w:rPr>
          <w:rFonts w:ascii="Times New Roman" w:hAnsi="Times New Roman" w:cs="Times New Roman"/>
          <w:lang w:val="sr-Cyrl-CS"/>
        </w:rPr>
        <w:t>”,</w:t>
      </w:r>
      <w:r w:rsidR="00584E9E" w:rsidRPr="00584E9E">
        <w:rPr>
          <w:rFonts w:ascii="Times New Roman" w:hAnsi="Times New Roman" w:cs="Times New Roman"/>
          <w:lang w:val="sr-Cyrl-CS"/>
        </w:rPr>
        <w:t xml:space="preserve"> </w:t>
      </w:r>
      <w:r w:rsidR="00584E9E">
        <w:rPr>
          <w:rFonts w:ascii="Times New Roman" w:hAnsi="Times New Roman" w:cs="Times New Roman"/>
          <w:lang w:val="sr-Cyrl-CS"/>
        </w:rPr>
        <w:t>бр.</w:t>
      </w:r>
      <w:r w:rsidRPr="00584E9E">
        <w:rPr>
          <w:rFonts w:ascii="Times New Roman" w:hAnsi="Times New Roman" w:cs="Times New Roman"/>
          <w:lang w:val="sr-Cyrl-CS"/>
        </w:rPr>
        <w:t xml:space="preserve"> 66/15 и 83/18, даље - Закон) у складу са изменама и допунама Европске Уредбе 996/2010 која се односи на истраживање несрећа у ваздушном саобраћају (</w:t>
      </w:r>
      <w:r w:rsidRPr="00584E9E">
        <w:rPr>
          <w:rFonts w:ascii="Times New Roman" w:hAnsi="Times New Roman" w:cs="Times New Roman"/>
          <w:color w:val="19161B"/>
          <w:lang w:val="sr-Cyrl-CS"/>
        </w:rPr>
        <w:t>REGULATION (EU) No 996/2010 OF THE EUROPEAN PARLIAMENT AND OF THE COUNCIL of 20 October 2010 on the investigation and prevention of accidents and incidents in civil aviation and repealing Directive 94/56/EC – Уредба ЕУ број 996/2010 Европског парламента и Савета од 20. октобра 2010. године која се односи на истраживање и превенцију удеса и несрећа у цивилном ваздухопловству и која замењује Директиву 94/56/EC</w:t>
      </w:r>
      <w:r w:rsidRPr="00584E9E">
        <w:rPr>
          <w:rFonts w:ascii="Times New Roman" w:hAnsi="Times New Roman" w:cs="Times New Roman"/>
          <w:lang w:val="sr-Cyrl-CS"/>
        </w:rPr>
        <w:t>).</w:t>
      </w:r>
    </w:p>
    <w:p w14:paraId="04307945" w14:textId="77777777" w:rsidR="006E2B10" w:rsidRPr="00584E9E" w:rsidRDefault="009F336C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584E9E">
        <w:rPr>
          <w:rFonts w:ascii="Times New Roman" w:hAnsi="Times New Roman" w:cs="Times New Roman"/>
          <w:lang w:val="sr-Cyrl-CS"/>
        </w:rPr>
        <w:t xml:space="preserve">Уредба број 996/2010 је 2018. године измењена и допуњена Европском Уредбом број 2018/1139 од 4. јула 2018. године која је поставила општа правила у области цивилног ваздухопловства Европске Уније(REGULATION (EU) 2018/1139 OF THE EUROPEAN PARLIAMENT AND OF THE COUNCIL of 4 July 2018 on common rules in the field of civil </w:t>
      </w:r>
      <w:r w:rsidRPr="00584E9E">
        <w:rPr>
          <w:rFonts w:ascii="Times New Roman" w:hAnsi="Times New Roman" w:cs="Times New Roman"/>
          <w:lang w:val="sr-Cyrl-CS"/>
        </w:rPr>
        <w:lastRenderedPageBreak/>
        <w:t>aviation and establishing a European Union Aviation Safety Agency, and amending Regulations (EC) No 2111/2005, (EC) No 1008/2008, (EU) No 996/2010, (EU) No 376/2014 and Directives 2014/30/EU and 2014/53/EU of the European Parliament and of the Council, and repealing Regulations (EC) No 552/2004 and (EC) No 216/2008 of the European Parliament and of the Council and Council Regulation (EEC) No 3922/91 – Уредба ЕУ 2018/1139 Европског парламента и Савета од 4. јула 2018. о општим правилима у области цивилног ваздухопловства и образовању Агенције за безбедност ваздухопловства Европске Уније и допуну Уредби  EC број 2111/2005, EC број 1008/2008, ЕУ број 996/2010, ЕУ број 376/2014 и Директиве 2014/30/EU i 2014/53/EU Европског парламента и Савета и која замењује Уредбе EC број 552/2004 i EC број 216/2008 Европског парламента и Савета EEC број 3922/91).</w:t>
      </w:r>
    </w:p>
    <w:p w14:paraId="52A90D54" w14:textId="77777777" w:rsidR="006E2B10" w:rsidRPr="00584E9E" w:rsidRDefault="009F336C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584E9E">
        <w:rPr>
          <w:rFonts w:ascii="Times New Roman" w:hAnsi="Times New Roman" w:cs="Times New Roman"/>
          <w:lang w:val="sr-Cyrl-CS"/>
        </w:rPr>
        <w:t>Такође, измена и допуна Закона се предлаже у односу на одредбе Анекса 13 Чикашке Конвенције Међународне организације за цивилно ваздухопловство који се односи на истраживање удеса и незгода ваздухоплова (ICAO - International civil aviation organization, Annex 13 - Aircraft accident and incident investigation), односно његово 12. издање од Јула 2020. године, у појединим деловима који су измењени и допуњени у односу на постојеће одредбе Закона које су донете 2015. и 2018. године, односно пре публиковања 12. издања Анекса 13 у 2020. години.</w:t>
      </w:r>
    </w:p>
    <w:p w14:paraId="3A71315F" w14:textId="77777777" w:rsidR="006E2B10" w:rsidRPr="00584E9E" w:rsidRDefault="006E2B10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</w:p>
    <w:p w14:paraId="237FEBE5" w14:textId="77777777" w:rsidR="006E2B10" w:rsidRPr="00584E9E" w:rsidRDefault="006E2B10">
      <w:pPr>
        <w:pStyle w:val="Default"/>
        <w:jc w:val="both"/>
        <w:rPr>
          <w:rFonts w:ascii="Times New Roman" w:hAnsi="Times New Roman" w:cs="Times New Roman"/>
          <w:lang w:val="sr-Cyrl-CS"/>
        </w:rPr>
      </w:pPr>
    </w:p>
    <w:p w14:paraId="7D89769F" w14:textId="77777777" w:rsidR="006E2B10" w:rsidRPr="00584E9E" w:rsidRDefault="009F336C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584E9E">
        <w:rPr>
          <w:rFonts w:ascii="Times New Roman" w:hAnsi="Times New Roman" w:cs="Times New Roman"/>
          <w:lang w:val="sr-Cyrl-CS"/>
        </w:rPr>
        <w:t>У оба претходна случаја, ради се о прописима међународних организација чији је Република Србија члан (ICAO) или потписница споразума (Мултилатерални споразум о успостављању Заједничког европског ваздухопловног подручја (ЕСАА споразум), које је Република Србија дужна да прати и примени. Наведени прописи се мењају и допуњују у циљу унапређења безбедности цивилног ваздухопловства, као и процеса спровођења поступка истрага несрећа у ваздушном саобраћају, те је потребно стално усклађивање прописа Републике Србије са прописима наведених међународних организација, што се и чини овом приликом.</w:t>
      </w:r>
    </w:p>
    <w:p w14:paraId="1D98A813" w14:textId="77777777" w:rsidR="006E2B10" w:rsidRPr="00584E9E" w:rsidRDefault="009F336C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584E9E">
        <w:rPr>
          <w:rFonts w:ascii="Times New Roman" w:hAnsi="Times New Roman" w:cs="Times New Roman"/>
          <w:lang w:val="sr-Cyrl-CS"/>
        </w:rPr>
        <w:t>Истовремено, изменама и допунама се ближе појашњавању и допуњују одредбе Закона за које је у претходном периоду установљено да доводе до нејасноћа у примени и спровођењу Закона.</w:t>
      </w:r>
    </w:p>
    <w:p w14:paraId="0474B38D" w14:textId="77777777" w:rsidR="006E2B10" w:rsidRPr="00584E9E" w:rsidRDefault="009F336C">
      <w:pPr>
        <w:pStyle w:val="Default"/>
        <w:ind w:firstLine="720"/>
        <w:jc w:val="both"/>
        <w:rPr>
          <w:rFonts w:ascii="Times New Roman" w:hAnsi="Times New Roman" w:cs="Times New Roman"/>
          <w:lang w:val="sr-Cyrl-CS"/>
        </w:rPr>
      </w:pPr>
      <w:r w:rsidRPr="00584E9E">
        <w:rPr>
          <w:rFonts w:ascii="Times New Roman" w:hAnsi="Times New Roman" w:cs="Times New Roman"/>
          <w:bCs/>
          <w:lang w:val="sr-Cyrl-CS"/>
        </w:rPr>
        <w:t>У делу који се односни на железнички саобраћај, поред Закона о истраживању несрећа у ваздушном, железничком и водном саобраћају („Службени гласник РС</w:t>
      </w:r>
      <w:r w:rsidR="00584E9E">
        <w:rPr>
          <w:rFonts w:ascii="Times New Roman" w:hAnsi="Times New Roman" w:cs="Times New Roman"/>
          <w:bCs/>
          <w:lang w:val="sr-Cyrl-CS"/>
        </w:rPr>
        <w:t>”,</w:t>
      </w:r>
      <w:r w:rsidRPr="00584E9E">
        <w:rPr>
          <w:rFonts w:ascii="Times New Roman" w:hAnsi="Times New Roman" w:cs="Times New Roman"/>
          <w:bCs/>
          <w:lang w:val="sr-Cyrl-CS"/>
        </w:rPr>
        <w:t xml:space="preserve"> бр</w:t>
      </w:r>
      <w:r w:rsidR="00584E9E">
        <w:rPr>
          <w:rFonts w:ascii="Times New Roman" w:hAnsi="Times New Roman" w:cs="Times New Roman"/>
          <w:bCs/>
          <w:lang w:val="sr-Cyrl-CS"/>
        </w:rPr>
        <w:t>.</w:t>
      </w:r>
      <w:r w:rsidRPr="00584E9E">
        <w:rPr>
          <w:rFonts w:ascii="Times New Roman" w:hAnsi="Times New Roman" w:cs="Times New Roman"/>
          <w:bCs/>
          <w:lang w:val="sr-Cyrl-CS"/>
        </w:rPr>
        <w:t xml:space="preserve"> 66/15 и 83/18) у Републици Србији, на међународном нивоу су </w:t>
      </w:r>
      <w:bookmarkStart w:id="7" w:name="_Hlk166861376"/>
      <w:r w:rsidRPr="00584E9E">
        <w:rPr>
          <w:rFonts w:ascii="Times New Roman" w:hAnsi="Times New Roman" w:cs="Times New Roman"/>
          <w:bCs/>
          <w:lang w:val="sr-Cyrl-CS"/>
        </w:rPr>
        <w:t>Directive 2004/49/EC</w:t>
      </w:r>
      <w:bookmarkEnd w:id="7"/>
      <w:r w:rsidRPr="00584E9E">
        <w:rPr>
          <w:rFonts w:ascii="Times New Roman" w:hAnsi="Times New Roman" w:cs="Times New Roman"/>
          <w:bCs/>
          <w:lang w:val="sr-Cyrl-CS"/>
        </w:rPr>
        <w:t xml:space="preserve"> и </w:t>
      </w:r>
      <w:bookmarkStart w:id="8" w:name="_Hlk166861358"/>
      <w:r w:rsidRPr="00584E9E">
        <w:rPr>
          <w:rFonts w:ascii="Times New Roman" w:hAnsi="Times New Roman" w:cs="Times New Roman"/>
          <w:bCs/>
          <w:lang w:val="sr-Cyrl-CS"/>
        </w:rPr>
        <w:t xml:space="preserve">Directive 2016/798/EC </w:t>
      </w:r>
      <w:bookmarkEnd w:id="8"/>
      <w:r w:rsidRPr="00584E9E">
        <w:rPr>
          <w:rFonts w:ascii="Times New Roman" w:hAnsi="Times New Roman" w:cs="Times New Roman"/>
          <w:bCs/>
          <w:lang w:val="sr-Cyrl-CS"/>
        </w:rPr>
        <w:t xml:space="preserve">као и Regulation (EU) 2020/572. Неопходно је стално праћење међународних прописа и усклађивање националног законодавства са међународним прописима. С тим у вези кроз измене и допуне Закона о истраживању несрећа у ваздушном, железничком и водном саобраћају је неопходно извршити правилну и потпуну примену </w:t>
      </w:r>
      <w:bookmarkStart w:id="9" w:name="_Hlk166861714"/>
      <w:r w:rsidRPr="00584E9E">
        <w:rPr>
          <w:rFonts w:ascii="Times New Roman" w:hAnsi="Times New Roman" w:cs="Times New Roman"/>
          <w:bCs/>
          <w:lang w:val="sr-Cyrl-CS"/>
        </w:rPr>
        <w:t>Directive 2016/798/EC</w:t>
      </w:r>
      <w:bookmarkEnd w:id="9"/>
      <w:r w:rsidRPr="00584E9E">
        <w:rPr>
          <w:rFonts w:ascii="Times New Roman" w:hAnsi="Times New Roman" w:cs="Times New Roman"/>
          <w:bCs/>
          <w:lang w:val="sr-Cyrl-CS"/>
        </w:rPr>
        <w:t xml:space="preserve"> </w:t>
      </w:r>
      <w:bookmarkStart w:id="10" w:name="_Hlk166861732"/>
      <w:r w:rsidRPr="00584E9E">
        <w:rPr>
          <w:rFonts w:ascii="Times New Roman" w:hAnsi="Times New Roman" w:cs="Times New Roman"/>
          <w:bCs/>
          <w:lang w:val="sr-Cyrl-CS"/>
        </w:rPr>
        <w:t>као и Directive 2004/49/E</w:t>
      </w:r>
      <w:bookmarkEnd w:id="10"/>
      <w:r w:rsidRPr="00584E9E">
        <w:rPr>
          <w:rFonts w:ascii="Times New Roman" w:hAnsi="Times New Roman" w:cs="Times New Roman"/>
          <w:bCs/>
          <w:lang w:val="sr-Cyrl-CS"/>
        </w:rPr>
        <w:t xml:space="preserve">. Такође, неопходно је имати у виду да је у новембру 2019. године од стране европског тима Панела и обсервера одржан </w:t>
      </w:r>
      <w:bookmarkStart w:id="11" w:name="_Hlk166861519"/>
      <w:r w:rsidRPr="00584E9E">
        <w:rPr>
          <w:rFonts w:ascii="Times New Roman" w:hAnsi="Times New Roman" w:cs="Times New Roman"/>
          <w:bCs/>
          <w:lang w:val="sr-Cyrl-CS"/>
        </w:rPr>
        <w:t xml:space="preserve">Peer review </w:t>
      </w:r>
      <w:bookmarkEnd w:id="11"/>
      <w:r w:rsidRPr="00584E9E">
        <w:rPr>
          <w:rFonts w:ascii="Times New Roman" w:hAnsi="Times New Roman" w:cs="Times New Roman"/>
          <w:bCs/>
          <w:lang w:val="sr-Cyrl-CS"/>
        </w:rPr>
        <w:t xml:space="preserve">преглед у Сектору за истраживање несрећа у железничком саобраћају и достављен </w:t>
      </w:r>
      <w:bookmarkStart w:id="12" w:name="_Hlk166861921"/>
      <w:r w:rsidRPr="00584E9E">
        <w:rPr>
          <w:rFonts w:ascii="Times New Roman" w:hAnsi="Times New Roman" w:cs="Times New Roman"/>
          <w:bCs/>
          <w:lang w:val="sr-Cyrl-CS"/>
        </w:rPr>
        <w:t xml:space="preserve">Финални извештај Peer review </w:t>
      </w:r>
      <w:bookmarkEnd w:id="12"/>
      <w:r w:rsidRPr="00584E9E">
        <w:rPr>
          <w:rFonts w:ascii="Times New Roman" w:hAnsi="Times New Roman" w:cs="Times New Roman"/>
          <w:bCs/>
          <w:lang w:val="sr-Cyrl-CS"/>
        </w:rPr>
        <w:t>у 2021. години, и да је као основни захтев наведено усклађивање законодавства у Републици Србији односно овог закона са Directive 2016/798/EC као и Directive 2004/49/EC.</w:t>
      </w:r>
    </w:p>
    <w:p w14:paraId="0C18E91D" w14:textId="77777777" w:rsidR="006E2B10" w:rsidRPr="00584E9E" w:rsidRDefault="006E2B10">
      <w:pPr>
        <w:rPr>
          <w:b/>
          <w:lang w:val="sr-Cyrl-CS"/>
        </w:rPr>
      </w:pPr>
    </w:p>
    <w:p w14:paraId="32B3BC8D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3) Да ли су уочени проблеми у области и на кога се они односе? Представити узроке и последице проблема.</w:t>
      </w:r>
    </w:p>
    <w:p w14:paraId="34553DD9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iCs/>
          <w:lang w:val="sr-Cyrl-CS"/>
        </w:rPr>
        <w:lastRenderedPageBreak/>
        <w:t xml:space="preserve">Везано за истраживање несрећа у ваздушном саобраћају, индикован је примарни проблем који се односи на усклађивање Закона </w:t>
      </w:r>
      <w:r w:rsidRPr="00584E9E">
        <w:rPr>
          <w:bCs w:val="0"/>
          <w:lang w:val="sr-Cyrl-CS"/>
        </w:rPr>
        <w:t xml:space="preserve">о истраживању несрећа у ваздушном, железничком и водном саобраћају </w:t>
      </w:r>
      <w:r w:rsidR="00584E9E" w:rsidRPr="00584E9E">
        <w:rPr>
          <w:lang w:val="sr-Cyrl-CS"/>
        </w:rPr>
        <w:t>(„Службени гласник РС</w:t>
      </w:r>
      <w:r w:rsidR="00584E9E">
        <w:rPr>
          <w:bCs w:val="0"/>
          <w:lang w:val="sr-Cyrl-CS"/>
        </w:rPr>
        <w:t>”,</w:t>
      </w:r>
      <w:r w:rsidR="00584E9E" w:rsidRPr="00584E9E">
        <w:rPr>
          <w:lang w:val="sr-Cyrl-CS"/>
        </w:rPr>
        <w:t xml:space="preserve"> бр</w:t>
      </w:r>
      <w:r w:rsidR="00584E9E">
        <w:rPr>
          <w:bCs w:val="0"/>
          <w:lang w:val="sr-Cyrl-CS"/>
        </w:rPr>
        <w:t>.</w:t>
      </w:r>
      <w:r w:rsidR="00584E9E">
        <w:rPr>
          <w:lang w:val="sr-Cyrl-CS"/>
        </w:rPr>
        <w:t xml:space="preserve"> 66/15 и 83/18,</w:t>
      </w:r>
      <w:r w:rsidRPr="00584E9E">
        <w:rPr>
          <w:bCs w:val="0"/>
          <w:lang w:val="sr-Cyrl-CS"/>
        </w:rPr>
        <w:t xml:space="preserve"> даље - Закон) у складу са изменама и допунама Европске Уредбе 996/2010 која се односи на истраживање несрећа у ваздушном саобраћају, а које су спроведене са Уредбом ЕУ 2018/1139 Европског парламента и Савета од 4. јула 2018. Измењене су одредбе које се односе на члан 5. Уредбе 996/2010 – Обавеза истраживања (Article 135 - Amendments to Regulation (EU) No 996/2010 -  Article 5 of Regulation (EU) No 996/2010 is replaced by the following: ‘Article 5 Obligation to investigate...`), а која се односи на обавезу истраживања удеса и незгода од стране органа за истраживања несрећа у ваздушном саобраћају. До промене је дошло услед развоја технологије у ваздушном саобраћају, као и типа и модела ваздухоплова који се уводе у систем ваздушног саобраћаја, те потребе да се јасно наведу који удеси и незгоде ваздухоплова је неопходно истражити, као и други услови под којима је неопходно и/или пожељно покренути истрагу. Као што је наведено у претходном питању, исто је потребно у складу са ECAA споразуму. </w:t>
      </w:r>
    </w:p>
    <w:p w14:paraId="45327264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bCs w:val="0"/>
          <w:lang w:val="sr-Cyrl-CS"/>
        </w:rPr>
        <w:t>Анексом 13 Чикашке конвенције који се односи на истраживање удеса и незгода, односно његовим издањем од јула 2020. године, које је такође потребно спровести, истовремено су уведене измене и допуне у поступку спровођења истраге удеса и незгода, а које су последица потребе спровођења ефикасније истраге и активније размене података са циљем унапређења безбедности цивилног ваздухопловства на нивоу међународне заједнице, чији ваздушни саобраћај представља све већи начин повезивања и сарадње.</w:t>
      </w:r>
    </w:p>
    <w:p w14:paraId="3B5B47E3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lang w:val="sr-Cyrl-CS"/>
        </w:rPr>
        <w:t>Истовремено, потребно је поједине одредбе Закона боље и прецизније дефинисати, како не би доводили до нејасноћа у примени и спровођења Закона – на пример, ставом 1. члана 52. су дефинисане прекршајне обавезе за лица уколико не пријављују несреће у ваздушном саобраћају, а која нису у вези са одредбама чланова Закона на које се став 1. члана 52. Закона позива – на овај начин дошло је до проблема спровођења прекршајних одредби Закона према лицима која су кршила Закон.</w:t>
      </w:r>
    </w:p>
    <w:p w14:paraId="37E195F9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lang w:val="sr-Cyrl-CS"/>
        </w:rPr>
        <w:t>У примени постојећег прописа примећен је и проблем у вези са недовољно предвиђеним одредбама у оквиру казнених одредби у области железничког саобраћаја, што оставља простор да привредни субјекти односно управљачи, превозници и друга укључена лица не достављају неопходну документацију Сектору за истраживање несрећа у железничком саобраћају за вођење истражног поступка. Уколико би се предвиделе и додатне казнене одредбе, Центар за истраживање несрећа у саобраћају би бар имао могућност за покретање прекршајних поступака чиме би привредни субјекти сносили последице уколико не поступају у складу са законом. У пракси се примећује, да када привредни субјекти уоче да могу сносити последице сасвим другачије поступају те достављају неопходне информације Центру.</w:t>
      </w:r>
    </w:p>
    <w:p w14:paraId="6443485F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lang w:val="sr-Cyrl-CS"/>
        </w:rPr>
        <w:t>Уочени су проблеми око размене података и информација нарочито ако су у вези са истрагом укључени и страни субјекти. Directive 2016/798/EC је предвидела одредбе у вези сарадње националних истражних тела различитих држава, што је свакако добро као помоћ у истражном поступку који води Сектор за истраживање несрећа у железничком саобраћају.</w:t>
      </w:r>
    </w:p>
    <w:p w14:paraId="043C5954" w14:textId="77777777" w:rsidR="006E2B10" w:rsidRPr="00584E9E" w:rsidRDefault="009F336C">
      <w:pPr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ab/>
      </w:r>
    </w:p>
    <w:p w14:paraId="1A3BA5D0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4) Која промена се предлаже? Да ли је промена заиста неопходна и у ком обиму?</w:t>
      </w:r>
    </w:p>
    <w:p w14:paraId="7D54DC2C" w14:textId="77777777" w:rsidR="006E2B10" w:rsidRPr="00584E9E" w:rsidRDefault="009F336C">
      <w:pPr>
        <w:jc w:val="both"/>
        <w:rPr>
          <w:lang w:val="sr-Cyrl-CS"/>
        </w:rPr>
      </w:pPr>
      <w:r w:rsidRPr="00584E9E">
        <w:rPr>
          <w:lang w:val="sr-Cyrl-CS"/>
        </w:rPr>
        <w:tab/>
        <w:t>Све предложене измене Закона усмерене су на решавање идентификованих проблема у примени закона у пракси, као и на даље усклађивање са обавезујућим међународним актима који су наведени у одговору на претходно питање.</w:t>
      </w:r>
    </w:p>
    <w:p w14:paraId="3B8F8C5B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0D084904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b/>
          <w:i/>
          <w:lang w:val="sr-Cyrl-CS"/>
        </w:rPr>
        <w:lastRenderedPageBreak/>
        <w:t>5) На које циљне групе ће утицати предложена промена? Утврдити и представити циљне групе на које ће промена имати непосредан односно посредан утицај.</w:t>
      </w:r>
      <w:r w:rsidRPr="00584E9E">
        <w:rPr>
          <w:b/>
          <w:i/>
          <w:lang w:val="sr-Cyrl-CS"/>
        </w:rPr>
        <w:cr/>
      </w:r>
      <w:r w:rsidRPr="00584E9E">
        <w:rPr>
          <w:lang w:val="sr-Cyrl-CS"/>
        </w:rPr>
        <w:tab/>
      </w:r>
      <w:bookmarkStart w:id="13" w:name="_Hlk166857812"/>
      <w:r w:rsidRPr="00584E9E">
        <w:rPr>
          <w:color w:val="auto"/>
          <w:lang w:val="sr-Cyrl-CS"/>
        </w:rPr>
        <w:t xml:space="preserve">Утицај предложених промена постоји како на државне институције при чему нарочито на Центар за истраживање несрећа у саобраћају који примењује закон тако и на </w:t>
      </w:r>
      <w:bookmarkStart w:id="14" w:name="_Hlk166862592"/>
      <w:r w:rsidRPr="00584E9E">
        <w:rPr>
          <w:color w:val="auto"/>
          <w:lang w:val="sr-Cyrl-CS"/>
        </w:rPr>
        <w:t>субјекте ваздушног и железничког саобраћаја,</w:t>
      </w:r>
      <w:r w:rsidRPr="00584E9E">
        <w:rPr>
          <w:lang w:val="sr-Cyrl-CS"/>
        </w:rPr>
        <w:t xml:space="preserve"> подразумевајући под њима управљаче инфраструктуре, управљаче саобраћаја, </w:t>
      </w:r>
      <w:r w:rsidRPr="00584E9E">
        <w:rPr>
          <w:color w:val="auto"/>
          <w:lang w:val="sr-Cyrl-CS"/>
        </w:rPr>
        <w:t>превози</w:t>
      </w:r>
      <w:r w:rsidR="00584E9E">
        <w:rPr>
          <w:color w:val="auto"/>
          <w:lang w:val="sr-Cyrl-CS"/>
        </w:rPr>
        <w:t>о</w:t>
      </w:r>
      <w:r w:rsidRPr="00584E9E">
        <w:rPr>
          <w:color w:val="auto"/>
          <w:lang w:val="sr-Cyrl-CS"/>
        </w:rPr>
        <w:t>це у одређеном виду саобраћаја, регулаторна тела, тако и индиректно на кориснике услуга</w:t>
      </w:r>
      <w:bookmarkEnd w:id="14"/>
      <w:r w:rsidRPr="00584E9E">
        <w:rPr>
          <w:color w:val="auto"/>
          <w:lang w:val="sr-Cyrl-CS"/>
        </w:rPr>
        <w:t>.</w:t>
      </w:r>
      <w:r w:rsidRPr="00584E9E">
        <w:rPr>
          <w:lang w:val="sr-Cyrl-CS"/>
        </w:rPr>
        <w:t xml:space="preserve"> П</w:t>
      </w:r>
      <w:r w:rsidRPr="00584E9E">
        <w:rPr>
          <w:color w:val="auto"/>
          <w:lang w:val="sr-Cyrl-CS"/>
        </w:rPr>
        <w:t xml:space="preserve">редвиђене су измене и допуне закона у деловима који се односе на: дефинисање појмова, безбедност на раду, истражни поступак посебно у области железничког саобраћаја, међудржавну сарадњу, заштиту информација и обавезе поверљивости, извештавање, безбедносне препоруке, заштиту и чување доказа, размену информација и прекршаје. </w:t>
      </w:r>
    </w:p>
    <w:bookmarkEnd w:id="13"/>
    <w:p w14:paraId="11E5DCA6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3A4E76A4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 xml:space="preserve">6) Да ли постоје важећи документи јавних политика којима би се могла остварити жељена промена и о којим документима се ради? </w:t>
      </w:r>
    </w:p>
    <w:p w14:paraId="6F2A3D1A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Не постоје важећи документи јавних политика којим би се могла остварити промена предложена овим законом.</w:t>
      </w:r>
    </w:p>
    <w:p w14:paraId="4277123F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6D03C1D7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7) Да ли је промену могуће остварити применом важећих прописа?</w:t>
      </w:r>
    </w:p>
    <w:p w14:paraId="443055D5" w14:textId="77777777" w:rsidR="006E2B10" w:rsidRPr="00584E9E" w:rsidRDefault="009F336C">
      <w:pPr>
        <w:jc w:val="both"/>
        <w:rPr>
          <w:lang w:val="sr-Cyrl-CS"/>
        </w:rPr>
      </w:pPr>
      <w:r w:rsidRPr="00584E9E">
        <w:rPr>
          <w:lang w:val="sr-Cyrl-CS"/>
        </w:rPr>
        <w:tab/>
        <w:t xml:space="preserve">Измена Закона је једини начин да се постигну жењени циљеви. Циљеве није могуће постићи на други начин. </w:t>
      </w:r>
    </w:p>
    <w:p w14:paraId="0D59A89E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43A67FE1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8) Квантитативно (нумерички, статистички) представити очекиване трендове у предметној области, уколико се одустане од интервенције (status quo).</w:t>
      </w:r>
    </w:p>
    <w:p w14:paraId="6584A358" w14:textId="77777777" w:rsidR="006E2B10" w:rsidRPr="00584E9E" w:rsidRDefault="006E2B10">
      <w:pPr>
        <w:ind w:firstLine="720"/>
        <w:jc w:val="both"/>
        <w:rPr>
          <w:b/>
          <w:i/>
          <w:lang w:val="sr-Cyrl-CS"/>
        </w:rPr>
      </w:pPr>
    </w:p>
    <w:p w14:paraId="2C7B412F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iCs/>
          <w:lang w:val="sr-Cyrl-CS"/>
        </w:rPr>
        <w:t xml:space="preserve">Обзиром да је основна потреба предложених измена и допуна Закона </w:t>
      </w:r>
      <w:r w:rsidRPr="00584E9E">
        <w:rPr>
          <w:bCs w:val="0"/>
          <w:lang w:val="sr-Cyrl-CS"/>
        </w:rPr>
        <w:t xml:space="preserve">о истраживању несрећа у ваздушном, железничком и водном саобраћају </w:t>
      </w:r>
      <w:r w:rsidR="00584E9E" w:rsidRPr="00584E9E">
        <w:rPr>
          <w:lang w:val="sr-Cyrl-CS"/>
        </w:rPr>
        <w:t>(„Службени гласник РС</w:t>
      </w:r>
      <w:r w:rsidR="00584E9E">
        <w:rPr>
          <w:bCs w:val="0"/>
          <w:lang w:val="sr-Cyrl-CS"/>
        </w:rPr>
        <w:t>”,</w:t>
      </w:r>
      <w:r w:rsidR="00584E9E" w:rsidRPr="00584E9E">
        <w:rPr>
          <w:lang w:val="sr-Cyrl-CS"/>
        </w:rPr>
        <w:t xml:space="preserve"> бр</w:t>
      </w:r>
      <w:r w:rsidR="00584E9E">
        <w:rPr>
          <w:bCs w:val="0"/>
          <w:lang w:val="sr-Cyrl-CS"/>
        </w:rPr>
        <w:t>.</w:t>
      </w:r>
      <w:r w:rsidR="00584E9E">
        <w:rPr>
          <w:lang w:val="sr-Cyrl-CS"/>
        </w:rPr>
        <w:t xml:space="preserve"> 66/15 и 83/18</w:t>
      </w:r>
      <w:r w:rsidRPr="00584E9E">
        <w:rPr>
          <w:bCs w:val="0"/>
          <w:lang w:val="sr-Cyrl-CS"/>
        </w:rPr>
        <w:t xml:space="preserve">, даље - Закон) </w:t>
      </w:r>
      <w:r w:rsidRPr="00584E9E">
        <w:rPr>
          <w:bCs w:val="0"/>
          <w:iCs/>
          <w:lang w:val="sr-Cyrl-CS"/>
        </w:rPr>
        <w:t xml:space="preserve"> усаглашавање са измењеним и допуњеним одредбама </w:t>
      </w:r>
      <w:r w:rsidRPr="00584E9E">
        <w:rPr>
          <w:bCs w:val="0"/>
          <w:lang w:val="sr-Cyrl-CS"/>
        </w:rPr>
        <w:t>Европске Уредбе 996/2010 која се односи на истраживање несрећа у ваздушном саобраћају и Анекса 13 Чикашке Конвенције Међународне организације за цивилно ваздухопловство који се односи на истраживање удеса и незгода ваздухоплова, одустајање од измена и допуна Закона би довело до негативних последица на усаглашеност прописа Републике Србије са одредбама наведених међународних организација које је Република Србија дужна да прати и примењује. Са доношењем Закона 2015. године, као и изменама и допунама Закона 2018. године, Република Србија је имала усаглашеност прописа који се односе на међународне прописе са прописима наведених међународних прописа 90 - 95% у случају ЕУ и 95-100% у случају ICAO (зависно од просене међународних проверивача). Након измена и допуна међународних прописа, усаглашеност прописа Републике Србије који се односе на истраживање несрећа у ваздушном саобраћају је испод 80% у оба случаја. Доношењем предложених измена Закона, прописи Републике Србије који се односе на истраживање несрећа у ваздушном саобраћају би се вратили на претходни ниво. Битно је напоменути да Република Србија не може да уведе у правни оквир одређене прописе ЕУ који се односе само и искључиво на чланице ЕУ, те до стицања пуноправног чланства % не може да буде већи од 90-95%.</w:t>
      </w:r>
    </w:p>
    <w:p w14:paraId="0F80763A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lang w:val="sr-Cyrl-CS"/>
        </w:rPr>
        <w:t xml:space="preserve">Истовремено, дошло би до директног и непосредног проблема у спровођењу истражног поступка у цивилном ваздухопловству које је у својој природи – међународно. Сви авиони имају делове и компоненте који се производе од стране разних произвођача из </w:t>
      </w:r>
      <w:r w:rsidRPr="00584E9E">
        <w:rPr>
          <w:bCs w:val="0"/>
          <w:lang w:val="sr-Cyrl-CS"/>
        </w:rPr>
        <w:lastRenderedPageBreak/>
        <w:t>читавог света, као високо специфична и технолошки напредна индустријска роба. У јавном авио саобраћају, авиони и посаде лете између аеродрома на територији Републике Србије ка аеродромима који се налазе на територијама других држава, посебно ЕУ за коју је битно усаглашавање са њеним прописима, као и Кини, САД, Русији и другим државама, са којима је битно усаглашавање са прописима ICAO (а које и сама ЕУ прати у својим прописима, са специфичностима ваздушног саобраћаја ЕУ као једног од најразвијенијих у свету).</w:t>
      </w:r>
    </w:p>
    <w:p w14:paraId="4E4453DB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lang w:val="sr-Cyrl-CS"/>
        </w:rPr>
        <w:t>Оператери који базирају на територији Републике Србије у својим интерним документима прате прописе Републике Србије, а који би неусвајањем предложених измена и допуна Закона, довели до тога да нису усаглашени и са прописима наведених међународних организација.</w:t>
      </w:r>
    </w:p>
    <w:p w14:paraId="2E51C8A9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Cs w:val="0"/>
          <w:lang w:val="sr-Cyrl-CS"/>
        </w:rPr>
        <w:t>На основу претходно наведеног, уколико би дошло до даљег неусаглашавања прописа Републике Србије са прописима наведених међународних организација, односно не усвајања предложених измена и допуна Закона, постоји могућност директног утицаја на сам ваздушни саобраћај Републике Србије односно поступака у случају несрећа како на територији Републике Србије, тако и друге државе. Истовремено, у међународним оквирима, послови који се односе на истраживање несрећа у ваздушном саобраћају Републике Србије, односно Центра за истраживање несрећа у саобраћају, би били ограничени или онемогућени, посебно јер би постојале разлике у несрећама које је обавезно истражити и поступцима током истраге несрећа.</w:t>
      </w:r>
    </w:p>
    <w:p w14:paraId="128BB58B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bCs w:val="0"/>
          <w:iCs/>
          <w:lang w:val="sr-Cyrl-CS"/>
        </w:rPr>
        <w:t xml:space="preserve">Не усвајање предложених измена и допуна закона, могло би да доведе до негативних последица у вези са функционисањем Сектора за истраживање несрећа у железничком саобраћају. </w:t>
      </w:r>
      <w:r w:rsidRPr="00584E9E">
        <w:rPr>
          <w:lang w:val="sr-Cyrl-CS"/>
        </w:rPr>
        <w:t xml:space="preserve">Такође, постојала би и могућност губљења статуса IPA земље, чиме би била онемогућена интеграција са истражним телима других држава EU Network. Обавеза Преговарачког поглавља 14 је између осталог уређење области у вези са истраживањем несрећа у железничком саобраћају, што би директно довело у проблем Републику Србију у вези са испуњењем услова за затварање Преговарачког поглавља 14. Сектор за истраживање несрећа у железничком саобраћају би изгубио и бројне бенефите које добија од Европске агенције за железнице која Сектору пружа помоћ и подршку. </w:t>
      </w:r>
    </w:p>
    <w:p w14:paraId="14C0472D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Уколико се казнене одредбе не би прошириле у складу са предложеним, оставило би и даље простора привредним субјектима односно управљачима, превозницима и другим укљученим лицима да не достављају неопходну документацију Сектору за истраживање несрећа у железничком саобраћају. То би се директно негативно одразило на вођење истражног поступка у области железничког саобраћаја.</w:t>
      </w:r>
    </w:p>
    <w:p w14:paraId="2F774D3C" w14:textId="77777777" w:rsidR="006E2B10" w:rsidRPr="00584E9E" w:rsidRDefault="006E2B10">
      <w:pPr>
        <w:ind w:firstLine="720"/>
        <w:jc w:val="both"/>
        <w:rPr>
          <w:b/>
          <w:i/>
          <w:lang w:val="sr-Cyrl-CS"/>
        </w:rPr>
      </w:pPr>
    </w:p>
    <w:p w14:paraId="0EDAC001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9) Какво је искуство у остваривању оваквих промена у поређењу са искуством других држава, односно локалних самоуправа (ако је реч о јавној политици или акту локалне самоуправе)?</w:t>
      </w:r>
    </w:p>
    <w:p w14:paraId="7904AB98" w14:textId="77777777" w:rsidR="006E2B10" w:rsidRPr="00584E9E" w:rsidRDefault="006E2B10">
      <w:pPr>
        <w:ind w:firstLine="720"/>
        <w:jc w:val="both"/>
        <w:rPr>
          <w:b/>
          <w:i/>
          <w:lang w:val="sr-Cyrl-CS"/>
        </w:rPr>
      </w:pPr>
    </w:p>
    <w:p w14:paraId="4337E021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Државе које у довољној мери не прате међународне стандарде у области Истраживања несрећа у ваздушном, железничком и водном саобраћају и не врше одговарајуће измене својих националних законодавстава ради имплементације тих стандарда, лоше су оцењене од стране меродавних међународних организацију.</w:t>
      </w:r>
    </w:p>
    <w:p w14:paraId="519E19D8" w14:textId="77777777" w:rsidR="006E2B10" w:rsidRPr="00584E9E" w:rsidRDefault="006E2B10">
      <w:pPr>
        <w:jc w:val="both"/>
        <w:rPr>
          <w:i/>
          <w:lang w:val="sr-Cyrl-CS"/>
        </w:rPr>
      </w:pPr>
    </w:p>
    <w:p w14:paraId="395254BA" w14:textId="77777777" w:rsidR="006E2B10" w:rsidRPr="00584E9E" w:rsidRDefault="009F336C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>2. Кључна питања за утврђивање циљева</w:t>
      </w:r>
    </w:p>
    <w:p w14:paraId="26893492" w14:textId="77777777" w:rsidR="006E2B10" w:rsidRPr="00584E9E" w:rsidRDefault="006E2B10">
      <w:pPr>
        <w:jc w:val="center"/>
        <w:rPr>
          <w:b/>
          <w:lang w:val="sr-Cyrl-CS"/>
        </w:rPr>
      </w:pPr>
    </w:p>
    <w:p w14:paraId="78B28613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 xml:space="preserve">1) Због чега је неопходно постићи жељену промену на нивоу друштва? (одговором на ово питање дефинише се општи циљ). </w:t>
      </w:r>
    </w:p>
    <w:p w14:paraId="73CE7A37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lastRenderedPageBreak/>
        <w:t xml:space="preserve">У духу </w:t>
      </w:r>
      <w:r w:rsidRPr="00584E9E">
        <w:rPr>
          <w:iCs/>
          <w:lang w:val="sr-Cyrl-CS"/>
        </w:rPr>
        <w:t xml:space="preserve">Закон о истраживању несрећа у ваздушном, железничком и водном саобраћају </w:t>
      </w:r>
      <w:r w:rsidRPr="00584E9E">
        <w:rPr>
          <w:lang w:val="sr-Cyrl-CS"/>
        </w:rPr>
        <w:t>је унапређење нивоа безбедности и обезбеђивања у ваздушном, железничком и водном цивилном саобраћају Републике Србије па и предложене измене за општи циљ имају унапређење нивоа безбедности.</w:t>
      </w:r>
    </w:p>
    <w:p w14:paraId="53337ECC" w14:textId="77777777" w:rsidR="006E2B10" w:rsidRPr="00584E9E" w:rsidRDefault="006E2B10">
      <w:pPr>
        <w:jc w:val="both"/>
        <w:rPr>
          <w:i/>
          <w:lang w:val="sr-Cyrl-CS"/>
        </w:rPr>
      </w:pPr>
    </w:p>
    <w:p w14:paraId="79944AD2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2) Шта се предметном променом жели постићи? (одговором на ово питање дефинишу се посебни циљеви, чије постизање треба да доводе до остварења општег циља. У односу на посебне циљеве, формулишу се мере за њихово постизање).</w:t>
      </w:r>
    </w:p>
    <w:p w14:paraId="49075E03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 xml:space="preserve">Изменом закона се на јаснији начин желе: прецизирати обавезе субјеката; отклонити уочене правне празнине; успоставити боља координација Центра за истраживање несрећа у саобраћају и органа Републике Србије и других држава и међународних организација; утицати на </w:t>
      </w:r>
      <w:bookmarkStart w:id="15" w:name="_Hlk166858983"/>
      <w:r w:rsidRPr="00584E9E">
        <w:rPr>
          <w:lang w:val="sr-Cyrl-CS"/>
        </w:rPr>
        <w:t xml:space="preserve">смањење броја </w:t>
      </w:r>
      <w:bookmarkStart w:id="16" w:name="_Hlk166859138"/>
      <w:bookmarkEnd w:id="15"/>
      <w:r w:rsidRPr="00584E9E">
        <w:rPr>
          <w:lang w:val="sr-Cyrl-CS"/>
        </w:rPr>
        <w:t>удеса и озбиљних незгода у ваздушном саобраћају; смањење броја великих штета, незгода, несрећа, озбиљних несрећа и осталих несрећа у железничком саобраћају; смањење броја врло озбиљних и озбиљних поморских несрећа, озбиљних пловидбених незгода на унутрашњим водама, пловидбених незгода на унутрашњим водама, те поморских несрећа и поморских незгода у  водном саобраћају</w:t>
      </w:r>
      <w:bookmarkEnd w:id="16"/>
      <w:r w:rsidRPr="00584E9E">
        <w:rPr>
          <w:lang w:val="sr-Cyrl-CS"/>
        </w:rPr>
        <w:t xml:space="preserve">, као и на смањење броја извршених прекршаја у овој области.   </w:t>
      </w:r>
    </w:p>
    <w:p w14:paraId="3AAE7F84" w14:textId="77777777" w:rsidR="006E2B10" w:rsidRPr="00584E9E" w:rsidRDefault="006E2B10">
      <w:pPr>
        <w:jc w:val="both"/>
        <w:rPr>
          <w:i/>
          <w:lang w:val="sr-Cyrl-CS"/>
        </w:rPr>
      </w:pPr>
    </w:p>
    <w:p w14:paraId="535ED068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3) Да ли су општи и посебни циљеви усклађени са важећим документима јавних политика и постојећим правним оквиром, а пре свега са приоритетним циљевима Владе?</w:t>
      </w:r>
    </w:p>
    <w:p w14:paraId="776DFD5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Измена и допуна закона у складу је са постојећим правним оквиром, а пре свега са приоритетним циљевима Владе у смислу стварања услова да се ваздушни, железнички и водни саобраћај у Републици Србији одвијају на безбедан и обезбеђен начин. Такође усаглашени су циљеви стварања услова за извршење међународно преузетих обавеза, хармонизацију домаћих прописа са међународним и европским прописима и остваривање чланства у Европској унији.</w:t>
      </w:r>
    </w:p>
    <w:p w14:paraId="519E0C50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374B3AFF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4) На основу којих показатеља учинка ће бити могуће утврдити да ли је дошло до остваривања општих односно посебних циљева?</w:t>
      </w:r>
    </w:p>
    <w:p w14:paraId="5C230B9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Најбољи показатељ јесте број удеса и озбиљних незгода у ваздушном саобраћају; број великих штета, незгода, несрећа, озбиљних несрећа и осталих несрећа у железничком саобраћају; број врло озбиљних и озбиљних поморских несрећа, озбиљних пловидбених незгода на унутрашњим водама, пловидбених незгода на унутрашњим водама, те поморских несрећа и поморских незгода у  водном саобраћају).</w:t>
      </w:r>
    </w:p>
    <w:p w14:paraId="4781BB70" w14:textId="77777777" w:rsidR="006E2B10" w:rsidRPr="00584E9E" w:rsidRDefault="006E2B10">
      <w:pPr>
        <w:jc w:val="both"/>
        <w:rPr>
          <w:i/>
          <w:lang w:val="sr-Cyrl-CS"/>
        </w:rPr>
      </w:pPr>
    </w:p>
    <w:p w14:paraId="57008802" w14:textId="77777777" w:rsidR="006E2B10" w:rsidRPr="00584E9E" w:rsidRDefault="006E2B10">
      <w:pPr>
        <w:jc w:val="both"/>
        <w:rPr>
          <w:i/>
          <w:lang w:val="sr-Cyrl-CS"/>
        </w:rPr>
      </w:pPr>
    </w:p>
    <w:p w14:paraId="4A6EAA24" w14:textId="77777777" w:rsidR="006E2B10" w:rsidRPr="00584E9E" w:rsidRDefault="009F336C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>3. Кључна питања за идентификовање опција јавних политика</w:t>
      </w:r>
    </w:p>
    <w:p w14:paraId="1281F2C2" w14:textId="77777777" w:rsidR="006E2B10" w:rsidRPr="00584E9E" w:rsidRDefault="006E2B10">
      <w:pPr>
        <w:jc w:val="center"/>
        <w:rPr>
          <w:b/>
          <w:lang w:val="sr-Cyrl-CS"/>
        </w:rPr>
      </w:pPr>
    </w:p>
    <w:p w14:paraId="1E4AC17D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1) Које релевантне опције (алтернативне мере, односно групе мера) за остварење циља су узете у разматрање? Да ли је разматрана „status quo”опција?</w:t>
      </w:r>
    </w:p>
    <w:p w14:paraId="34ED970D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Разматрана је „Status quo” опција сходно члану 21. Уредбе о методологији управљања јавним политикама, анализи ефеката јавних политика и прописа и садржају појединачних докумената јавних политика („Службени гласник РСˮ, број 8/19), али је морала бити одбачена имајући у виду последице које би наступиле одустајањем од предметне измене закона. Нема алтернативних мера за остварење циља имајући у виду да су на снази законске одредбе које нужно морају да претрпе измене.</w:t>
      </w:r>
    </w:p>
    <w:p w14:paraId="19C8A1DF" w14:textId="77777777" w:rsidR="006E2B10" w:rsidRPr="00584E9E" w:rsidRDefault="006E2B10">
      <w:pPr>
        <w:jc w:val="both"/>
        <w:rPr>
          <w:i/>
          <w:lang w:val="sr-Cyrl-CS"/>
        </w:rPr>
      </w:pPr>
    </w:p>
    <w:p w14:paraId="40F69AD0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2) Да ли су, поред регулаторних мера, идентификоване и друге опције за постизање жељене промене и анализирани њихови потенцијални ефекти?</w:t>
      </w:r>
    </w:p>
    <w:p w14:paraId="4F9DFD3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Измена закона је основни услов те нема других опција за постизање жељене промене.  Решења представљају нормативну материју која се деф</w:t>
      </w:r>
      <w:r w:rsidR="00584E9E">
        <w:rPr>
          <w:lang w:val="sr-Cyrl-CS"/>
        </w:rPr>
        <w:t>и</w:t>
      </w:r>
      <w:r w:rsidRPr="00584E9E">
        <w:rPr>
          <w:lang w:val="sr-Cyrl-CS"/>
        </w:rPr>
        <w:t>нише управо законом.</w:t>
      </w:r>
    </w:p>
    <w:p w14:paraId="7B093200" w14:textId="77777777" w:rsidR="006E2B10" w:rsidRPr="00584E9E" w:rsidRDefault="006E2B10">
      <w:pPr>
        <w:jc w:val="both"/>
        <w:rPr>
          <w:i/>
          <w:lang w:val="sr-Cyrl-CS"/>
        </w:rPr>
      </w:pPr>
    </w:p>
    <w:p w14:paraId="2AD01B38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 xml:space="preserve">3) Да ли су, поред рестриктивних мера (забране, ограничења, санкције и слично), испитане и подстицајне мере за постизање посебног циља? </w:t>
      </w:r>
    </w:p>
    <w:p w14:paraId="0CB0F882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 xml:space="preserve">Предложена измена закона предвиђа управо подстицајне мере које се огледају у олакшаној размени информација, предвиђеном учесталијем извештавању и повећаној кооперацији и транспарентности рада Центра за истраживање несрећа у саобраћају. Измена закона осим проширења постојећих прекршајних одредби, не предвиђа рестриктивне мере. </w:t>
      </w:r>
    </w:p>
    <w:p w14:paraId="7C3A3970" w14:textId="77777777" w:rsidR="006E2B10" w:rsidRPr="00584E9E" w:rsidRDefault="006E2B10">
      <w:pPr>
        <w:ind w:firstLine="720"/>
        <w:jc w:val="both"/>
        <w:rPr>
          <w:lang w:val="sr-Cyrl-CS"/>
        </w:rPr>
      </w:pPr>
    </w:p>
    <w:p w14:paraId="60BA6FF4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b/>
          <w:i/>
          <w:lang w:val="sr-Cyrl-CS"/>
        </w:rPr>
        <w:t>4)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циљеви?</w:t>
      </w:r>
      <w:r w:rsidRPr="00584E9E">
        <w:rPr>
          <w:b/>
          <w:i/>
          <w:lang w:val="sr-Cyrl-CS"/>
        </w:rPr>
        <w:cr/>
      </w:r>
      <w:r w:rsidRPr="00584E9E">
        <w:rPr>
          <w:b/>
          <w:i/>
          <w:lang w:val="sr-Cyrl-CS"/>
        </w:rPr>
        <w:tab/>
      </w:r>
      <w:r w:rsidRPr="00584E9E">
        <w:rPr>
          <w:lang w:val="sr-Cyrl-CS"/>
        </w:rPr>
        <w:t>У оквиру предложених измена Закона, нема идентификованих институционално управљачких и организационих мера које је неопходно спровести да би се постигли посебни циљеви.</w:t>
      </w:r>
    </w:p>
    <w:p w14:paraId="6B65BDA1" w14:textId="77777777" w:rsidR="006E2B10" w:rsidRPr="00584E9E" w:rsidRDefault="006E2B10">
      <w:pPr>
        <w:jc w:val="both"/>
        <w:rPr>
          <w:lang w:val="sr-Cyrl-CS"/>
        </w:rPr>
      </w:pPr>
    </w:p>
    <w:p w14:paraId="3928A919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5) Да ли се промена може постићи кроз спровођење информативно-едукативних мера?</w:t>
      </w:r>
    </w:p>
    <w:p w14:paraId="67EBF53A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Измену Закона свакако треба да прати информисање свих субјеката о предложеним изменама, што ће се пре самог доношења закона остварити спровођењем поступка јавне расправе, а након доношења закона организовањем информативно-едукативних мера, али ове мере самостално нису довољне да се постигну они жељени ефекти.</w:t>
      </w:r>
    </w:p>
    <w:p w14:paraId="622BA768" w14:textId="77777777" w:rsidR="006E2B10" w:rsidRPr="00584E9E" w:rsidRDefault="006E2B10">
      <w:pPr>
        <w:jc w:val="both"/>
        <w:rPr>
          <w:lang w:val="sr-Cyrl-CS"/>
        </w:rPr>
      </w:pPr>
    </w:p>
    <w:p w14:paraId="3FC22BDB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6) Да ли циљне групе и друге заинтересоване стране из цивилног и приватног сектора могу да буду укључене у процес спровођења јавне политике, односно прописа или се проблем може решити искључиво интервенцијом јавног сектора?</w:t>
      </w:r>
    </w:p>
    <w:p w14:paraId="171939B1" w14:textId="77777777" w:rsidR="006E2B10" w:rsidRPr="00584E9E" w:rsidRDefault="006E2B10">
      <w:pPr>
        <w:ind w:firstLine="720"/>
        <w:jc w:val="both"/>
        <w:rPr>
          <w:lang w:val="sr-Cyrl-CS"/>
        </w:rPr>
      </w:pPr>
    </w:p>
    <w:p w14:paraId="3DC6F991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Интервенција јавног сектора је неопходна јер је измена Закона у његовом оквиру деловања.</w:t>
      </w:r>
    </w:p>
    <w:p w14:paraId="15610758" w14:textId="77777777" w:rsidR="006E2B10" w:rsidRPr="00584E9E" w:rsidRDefault="006E2B10">
      <w:pPr>
        <w:ind w:firstLine="720"/>
        <w:jc w:val="both"/>
        <w:rPr>
          <w:b/>
          <w:i/>
          <w:lang w:val="sr-Cyrl-CS"/>
        </w:rPr>
      </w:pPr>
    </w:p>
    <w:p w14:paraId="46638260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7) Да ли постоје расположиви, односно потенцијални ресурси за спровођење идентификованих опција?</w:t>
      </w:r>
    </w:p>
    <w:p w14:paraId="728D7AA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Постоје надлежни органи у области ваздушног, железничког и водног саобраћају  располажу у моменту предлагања измена и допуна закона довољним ресурсима, односно административним капацитетима за спровођење закона.</w:t>
      </w:r>
    </w:p>
    <w:p w14:paraId="38A8754C" w14:textId="77777777" w:rsidR="006E2B10" w:rsidRPr="00584E9E" w:rsidRDefault="006E2B10">
      <w:pPr>
        <w:jc w:val="both"/>
        <w:rPr>
          <w:lang w:val="sr-Cyrl-CS"/>
        </w:rPr>
      </w:pPr>
    </w:p>
    <w:p w14:paraId="31A8C9D7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8) Која опција је изабрана за спровођење и на основу чега је процењено да ће се том опцијом постићи жељена промена и остварење утврђених циљева?</w:t>
      </w:r>
    </w:p>
    <w:p w14:paraId="3353FFCB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 xml:space="preserve">Одабрана је опција измене закона јер је потребна промена регулаторног оквира, односно измена одредаба постојећег Закона о истраживању несрећа у ваздушном, железничком и водном саобраћају. Не постоје друге опције за постизање жељене промене и остварење утврђених циљева, изузев доношења Закона о изменама и допунама Закона. </w:t>
      </w:r>
    </w:p>
    <w:p w14:paraId="3888DB8C" w14:textId="77777777" w:rsidR="006E2B10" w:rsidRPr="00584E9E" w:rsidRDefault="006E2B10">
      <w:pPr>
        <w:jc w:val="both"/>
        <w:rPr>
          <w:lang w:val="sr-Cyrl-CS"/>
        </w:rPr>
      </w:pPr>
    </w:p>
    <w:p w14:paraId="755B6AAA" w14:textId="77777777" w:rsidR="006E2B10" w:rsidRPr="00584E9E" w:rsidRDefault="006E2B10">
      <w:pPr>
        <w:jc w:val="both"/>
        <w:rPr>
          <w:i/>
          <w:lang w:val="sr-Cyrl-CS"/>
        </w:rPr>
      </w:pPr>
    </w:p>
    <w:p w14:paraId="4F17EFAC" w14:textId="77777777" w:rsidR="006E2B10" w:rsidRPr="00584E9E" w:rsidRDefault="009F336C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>4. Кључна питања за анализу финансијских ефеката</w:t>
      </w:r>
    </w:p>
    <w:p w14:paraId="64527352" w14:textId="77777777" w:rsidR="006E2B10" w:rsidRPr="00584E9E" w:rsidRDefault="006E2B10">
      <w:pPr>
        <w:jc w:val="center"/>
        <w:rPr>
          <w:b/>
          <w:lang w:val="sr-Cyrl-CS"/>
        </w:rPr>
      </w:pPr>
    </w:p>
    <w:p w14:paraId="4A1F08D3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1) Какве ће ефекте изабранa опцијa имати на јавне приходе и расходе у средњем и дугом року?</w:t>
      </w:r>
    </w:p>
    <w:p w14:paraId="23A2600B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Када је реч о јавним приходима и расходима, измене и допуне одредби Закона не предвиђају нова средства или финансијска оптерећења према субјектима ваздушног, железничког и водног саобраћаја на које се одредбе директно односе, нити у односу на кориснике услуга на које се одредбе закона индиректно односе.</w:t>
      </w:r>
    </w:p>
    <w:p w14:paraId="274B5439" w14:textId="77777777" w:rsidR="006E2B10" w:rsidRPr="00584E9E" w:rsidRDefault="006E2B10">
      <w:pPr>
        <w:jc w:val="both"/>
        <w:rPr>
          <w:i/>
          <w:lang w:val="sr-Cyrl-CS"/>
        </w:rPr>
      </w:pPr>
    </w:p>
    <w:p w14:paraId="0FEADA76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2) Да ли је финансијске ресурсе за спровођење изабране опције потребно обезбедити у буџету, или из других извора финансирања и којих?</w:t>
      </w:r>
    </w:p>
    <w:p w14:paraId="3FCBACD8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Није потребно обезбедити посебна финансијска средства за спровођење овог закона.</w:t>
      </w:r>
    </w:p>
    <w:p w14:paraId="03B2BB5B" w14:textId="77777777" w:rsidR="006E2B10" w:rsidRPr="00584E9E" w:rsidRDefault="006E2B10">
      <w:pPr>
        <w:jc w:val="both"/>
        <w:rPr>
          <w:i/>
          <w:lang w:val="sr-Cyrl-CS"/>
        </w:rPr>
      </w:pPr>
    </w:p>
    <w:p w14:paraId="7ACA4036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3) Како ће спровођење изабране опције утицати на међународне финансијске обавезе?</w:t>
      </w:r>
    </w:p>
    <w:p w14:paraId="3C0E53A0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Доношење закона неће утицати на међународне финансијске обавезе.</w:t>
      </w:r>
    </w:p>
    <w:p w14:paraId="0CAAEC48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143740C1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4) Колики су процењени трошкови увођења промена који проистичу из спровођења изабране опције (оснивање нових институција, реструктурирање постојећих институција и обука државних службеника) исказани у категоријама капиталних трошкова, текућих трошкова и зарада?</w:t>
      </w:r>
    </w:p>
    <w:p w14:paraId="26BBE13D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 xml:space="preserve">Не очекују се  било какви нови трошкови, будући да постојећи институционални капацитети задовољавају постављене циљеве, у моменту предлагања измене и допуне закона. </w:t>
      </w:r>
    </w:p>
    <w:p w14:paraId="10BCB2AF" w14:textId="77777777" w:rsidR="006E2B10" w:rsidRPr="00584E9E" w:rsidRDefault="006E2B10">
      <w:pPr>
        <w:jc w:val="both"/>
        <w:rPr>
          <w:i/>
          <w:lang w:val="sr-Cyrl-CS"/>
        </w:rPr>
      </w:pPr>
    </w:p>
    <w:p w14:paraId="321FAF07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5) Да ли је могуће финансирати расходе изабране опције кроз редистрибуцију постојећих средстава?</w:t>
      </w:r>
    </w:p>
    <w:p w14:paraId="048A7604" w14:textId="77777777" w:rsidR="006E2B10" w:rsidRPr="00584E9E" w:rsidRDefault="009F336C">
      <w:pPr>
        <w:jc w:val="both"/>
        <w:rPr>
          <w:i/>
          <w:lang w:val="sr-Cyrl-CS"/>
        </w:rPr>
      </w:pPr>
      <w:r w:rsidRPr="00584E9E">
        <w:rPr>
          <w:i/>
          <w:lang w:val="sr-Cyrl-CS"/>
        </w:rPr>
        <w:tab/>
        <w:t>/</w:t>
      </w:r>
    </w:p>
    <w:p w14:paraId="4EDE1C18" w14:textId="77777777" w:rsidR="006E2B10" w:rsidRPr="00584E9E" w:rsidRDefault="006E2B10">
      <w:pPr>
        <w:jc w:val="both"/>
        <w:rPr>
          <w:i/>
          <w:lang w:val="sr-Cyrl-CS"/>
        </w:rPr>
      </w:pPr>
    </w:p>
    <w:p w14:paraId="39E897BD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6) Какви ће бити ефекти спровођења изабране опције на расходе других институција?</w:t>
      </w:r>
    </w:p>
    <w:p w14:paraId="2B121164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Не очекују се било какви нови расходи других институција.</w:t>
      </w:r>
    </w:p>
    <w:p w14:paraId="6F31FA19" w14:textId="77777777" w:rsidR="006E2B10" w:rsidRPr="00584E9E" w:rsidRDefault="006E2B10">
      <w:pPr>
        <w:jc w:val="both"/>
        <w:rPr>
          <w:i/>
          <w:lang w:val="sr-Cyrl-CS"/>
        </w:rPr>
      </w:pPr>
    </w:p>
    <w:p w14:paraId="6B5489F0" w14:textId="77777777" w:rsidR="006E2B10" w:rsidRPr="00584E9E" w:rsidRDefault="009F336C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>5. Кључна питања за анализу економских ефеката</w:t>
      </w:r>
    </w:p>
    <w:p w14:paraId="253CBBF1" w14:textId="77777777" w:rsidR="006E2B10" w:rsidRPr="00584E9E" w:rsidRDefault="006E2B10">
      <w:pPr>
        <w:jc w:val="center"/>
        <w:rPr>
          <w:b/>
          <w:lang w:val="sr-Cyrl-CS"/>
        </w:rPr>
      </w:pPr>
    </w:p>
    <w:p w14:paraId="2602DADA" w14:textId="77777777" w:rsidR="006E2B10" w:rsidRPr="00584E9E" w:rsidRDefault="009F336C">
      <w:pPr>
        <w:ind w:firstLine="720"/>
        <w:jc w:val="both"/>
        <w:rPr>
          <w:bCs w:val="0"/>
          <w:lang w:val="sr-Cyrl-CS"/>
        </w:rPr>
      </w:pPr>
      <w:r w:rsidRPr="00584E9E">
        <w:rPr>
          <w:b/>
          <w:i/>
          <w:lang w:val="sr-Cyrl-CS"/>
        </w:rPr>
        <w:t>1) Које трошкове и користи (материјалне и нематеријалне) ће изабрана опција проузроковати привреди, појединој грани, односно одређеној категорији привредних субјеката?</w:t>
      </w:r>
      <w:r w:rsidRPr="00584E9E">
        <w:rPr>
          <w:i/>
          <w:lang w:val="sr-Cyrl-CS"/>
        </w:rPr>
        <w:cr/>
      </w:r>
      <w:r w:rsidRPr="00584E9E">
        <w:rPr>
          <w:i/>
          <w:lang w:val="sr-Cyrl-CS"/>
        </w:rPr>
        <w:tab/>
      </w:r>
      <w:r w:rsidRPr="00584E9E">
        <w:rPr>
          <w:lang w:val="sr-Cyrl-CS"/>
        </w:rPr>
        <w:t>Изменом закона предвиђа се да већи број категорија субјеката подлеже прекршајној одговорности. Нпр. изменом члана 52. став 1. закона, утврђује се прекршајна одговорност свих физичких лица у побројаним случајевима овог члана, а до сада је формулација била усмерена на „одговорно лице - заповедника брода или лице које га замењује, друге чланове посаде и друга физичка лица</w:t>
      </w:r>
      <w:r w:rsidR="00584E9E">
        <w:rPr>
          <w:lang w:val="sr-Cyrl-CS"/>
        </w:rPr>
        <w:t>”</w:t>
      </w:r>
      <w:r w:rsidRPr="00584E9E">
        <w:rPr>
          <w:lang w:val="sr-Cyrl-CS"/>
        </w:rPr>
        <w:t>.</w:t>
      </w:r>
    </w:p>
    <w:p w14:paraId="5692AFEA" w14:textId="77777777" w:rsidR="006E2B10" w:rsidRPr="00584E9E" w:rsidRDefault="009F336C">
      <w:pPr>
        <w:ind w:firstLine="720"/>
        <w:jc w:val="both"/>
        <w:rPr>
          <w:rFonts w:eastAsia="Times New Roman"/>
          <w:lang w:val="sr-Cyrl-CS" w:eastAsia="sr-Latn-CS"/>
        </w:rPr>
      </w:pPr>
      <w:r w:rsidRPr="00584E9E">
        <w:rPr>
          <w:rFonts w:eastAsia="Times New Roman"/>
          <w:lang w:val="sr-Cyrl-CS" w:eastAsia="sr-Latn-CS"/>
        </w:rPr>
        <w:t xml:space="preserve">Примена овог закона неће изазвати значајне нове трошкове привреди, односно ваздухопловним, железничким и водним субјектима, с обзиром да се његовим одредбама </w:t>
      </w:r>
      <w:r w:rsidRPr="00584E9E">
        <w:rPr>
          <w:rFonts w:eastAsia="Times New Roman"/>
          <w:lang w:val="sr-Cyrl-CS" w:eastAsia="sr-Latn-CS"/>
        </w:rPr>
        <w:lastRenderedPageBreak/>
        <w:t>постојећа решења не мењају значајно, већ се унапређују и уређују на јаснији и детаљнији начин.</w:t>
      </w:r>
    </w:p>
    <w:p w14:paraId="5473923A" w14:textId="77777777" w:rsidR="006E2B10" w:rsidRPr="00584E9E" w:rsidRDefault="009F336C">
      <w:pPr>
        <w:jc w:val="both"/>
        <w:rPr>
          <w:b/>
          <w:lang w:val="sr-Cyrl-CS"/>
        </w:rPr>
      </w:pPr>
      <w:r w:rsidRPr="00584E9E">
        <w:rPr>
          <w:b/>
          <w:lang w:val="sr-Cyrl-CS"/>
        </w:rPr>
        <w:tab/>
      </w:r>
    </w:p>
    <w:p w14:paraId="70BD9C53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2) Да ли изабрана опција утиче на конкурентност привредних субјеката на домаћем и иностраном тржишту (укључујући и ефекте на конкурентност цена) и на који начин?</w:t>
      </w:r>
    </w:p>
    <w:p w14:paraId="35231384" w14:textId="77777777" w:rsidR="006E2B10" w:rsidRPr="00584E9E" w:rsidRDefault="009F336C">
      <w:pPr>
        <w:jc w:val="both"/>
        <w:rPr>
          <w:lang w:val="sr-Cyrl-CS"/>
        </w:rPr>
      </w:pPr>
      <w:r w:rsidRPr="00584E9E">
        <w:rPr>
          <w:lang w:val="sr-Cyrl-CS"/>
        </w:rPr>
        <w:tab/>
        <w:t xml:space="preserve">Прецизираним уређивањем система у области истраживања несрећа значајно ће се </w:t>
      </w:r>
    </w:p>
    <w:p w14:paraId="1DB07011" w14:textId="77777777" w:rsidR="006E2B10" w:rsidRPr="00584E9E" w:rsidRDefault="009F336C">
      <w:pPr>
        <w:jc w:val="both"/>
        <w:rPr>
          <w:lang w:val="sr-Cyrl-CS"/>
        </w:rPr>
      </w:pPr>
      <w:r w:rsidRPr="00584E9E">
        <w:rPr>
          <w:lang w:val="sr-Cyrl-CS"/>
        </w:rPr>
        <w:t xml:space="preserve">подстаћи интересовање домаћих и страних правних и физичких лица за улагања у област </w:t>
      </w:r>
    </w:p>
    <w:p w14:paraId="14C81019" w14:textId="77777777" w:rsidR="006E2B10" w:rsidRPr="00584E9E" w:rsidRDefault="009F336C">
      <w:pPr>
        <w:jc w:val="both"/>
        <w:rPr>
          <w:lang w:val="sr-Cyrl-CS"/>
        </w:rPr>
      </w:pPr>
      <w:r w:rsidRPr="00584E9E">
        <w:rPr>
          <w:lang w:val="sr-Cyrl-CS"/>
        </w:rPr>
        <w:t>саобраћаја јер истраживање несрећа индиректно ствара повољнији амбијент за развој  транспортне делатности.</w:t>
      </w:r>
    </w:p>
    <w:p w14:paraId="5A1E5357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58701CA7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3) Да ли изабране опције утичу на услове конкуренције и на који начин?</w:t>
      </w:r>
    </w:p>
    <w:p w14:paraId="600809A8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Изабрана опција нема утицаја на услове конкуренције.</w:t>
      </w:r>
    </w:p>
    <w:p w14:paraId="2F676DD0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2DECA11A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b/>
          <w:i/>
          <w:lang w:val="sr-Cyrl-CS"/>
        </w:rPr>
        <w:t>4) Да ли изабрана опција утиче на трансфер технологије и/или примену техничкотехнолошких, организационих и пословних иновација и на који начин?</w:t>
      </w:r>
      <w:r w:rsidRPr="00584E9E">
        <w:rPr>
          <w:b/>
          <w:i/>
          <w:lang w:val="sr-Cyrl-CS"/>
        </w:rPr>
        <w:cr/>
      </w:r>
      <w:r w:rsidRPr="00584E9E">
        <w:rPr>
          <w:b/>
          <w:i/>
          <w:lang w:val="sr-Cyrl-CS"/>
        </w:rPr>
        <w:tab/>
      </w:r>
      <w:r w:rsidRPr="00584E9E">
        <w:rPr>
          <w:lang w:val="sr-Cyrl-CS"/>
        </w:rPr>
        <w:t>Предложене измене и допуне закона имају индиректан утицај на трансфер технологије и/или примену техничкотехнолошких, али пре свега организационих и пословних иновација. Разменом информација и извештаја стиче се увих у праксу функц</w:t>
      </w:r>
      <w:r w:rsidR="00584E9E">
        <w:rPr>
          <w:lang w:val="sr-Cyrl-CS"/>
        </w:rPr>
        <w:t>и</w:t>
      </w:r>
      <w:r w:rsidRPr="00584E9E">
        <w:rPr>
          <w:lang w:val="sr-Cyrl-CS"/>
        </w:rPr>
        <w:t>онисања истих или сличних органа и организација у ин</w:t>
      </w:r>
      <w:r w:rsidR="00584E9E">
        <w:rPr>
          <w:lang w:val="sr-Cyrl-CS"/>
        </w:rPr>
        <w:t>о</w:t>
      </w:r>
      <w:r w:rsidRPr="00584E9E">
        <w:rPr>
          <w:lang w:val="sr-Cyrl-CS"/>
        </w:rPr>
        <w:t>странству и на међународном нивоу те се из ових сазнања могу преузети добри модели и процедуре.</w:t>
      </w:r>
      <w:r w:rsidRPr="00584E9E">
        <w:rPr>
          <w:lang w:val="sr-Cyrl-CS"/>
        </w:rPr>
        <w:cr/>
      </w:r>
    </w:p>
    <w:p w14:paraId="69ED226F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5) Да ли изабрана опција утиче на друштвено богатство и његову расподелу и на који начин?</w:t>
      </w:r>
    </w:p>
    <w:p w14:paraId="494EDAC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Изабрана опција нема утицаја на друштвено богатство и његову расподелу.</w:t>
      </w:r>
    </w:p>
    <w:p w14:paraId="712D12E9" w14:textId="77777777" w:rsidR="006E2B10" w:rsidRPr="00584E9E" w:rsidRDefault="006E2B10">
      <w:pPr>
        <w:jc w:val="both"/>
        <w:rPr>
          <w:lang w:val="sr-Cyrl-CS"/>
        </w:rPr>
      </w:pPr>
    </w:p>
    <w:p w14:paraId="693B5B12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6) Какве ће ефекте изабрана опција имати на квалитет и статус радне снаге (права, обавезе и одговорности), као и права, обавезе и одговорности послодаваца?</w:t>
      </w:r>
    </w:p>
    <w:p w14:paraId="2521A712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Изменама закона не постиже се директан ефекат на квалитет и статус радне снаге (права, обавезе и одговорности), као ни на права, обавезе и одговорности послодаваца</w:t>
      </w:r>
    </w:p>
    <w:p w14:paraId="171315BD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5235AFFA" w14:textId="77777777" w:rsidR="006E2B10" w:rsidRPr="00584E9E" w:rsidRDefault="009F336C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>6. Кључна питања за анализу управљачких ефеката</w:t>
      </w:r>
    </w:p>
    <w:p w14:paraId="70ACEC20" w14:textId="77777777" w:rsidR="006E2B10" w:rsidRPr="00584E9E" w:rsidRDefault="006E2B10">
      <w:pPr>
        <w:jc w:val="center"/>
        <w:rPr>
          <w:b/>
          <w:lang w:val="sr-Cyrl-CS"/>
        </w:rPr>
      </w:pPr>
    </w:p>
    <w:p w14:paraId="34EB6D74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1) Да ли се изабраном опцијом уводе организационе, управљачке или институционалне промене и које су то промене?</w:t>
      </w:r>
    </w:p>
    <w:p w14:paraId="46D2CF49" w14:textId="77777777" w:rsidR="006E2B10" w:rsidRPr="00584E9E" w:rsidRDefault="009F336C">
      <w:pPr>
        <w:jc w:val="both"/>
        <w:rPr>
          <w:lang w:val="sr-Cyrl-CS"/>
        </w:rPr>
      </w:pPr>
      <w:r w:rsidRPr="00584E9E">
        <w:rPr>
          <w:lang w:val="sr-Cyrl-CS"/>
        </w:rPr>
        <w:tab/>
      </w:r>
    </w:p>
    <w:p w14:paraId="2066FCB0" w14:textId="77777777" w:rsidR="006E2B10" w:rsidRPr="00584E9E" w:rsidRDefault="009F336C">
      <w:pPr>
        <w:jc w:val="both"/>
        <w:rPr>
          <w:lang w:val="sr-Cyrl-CS"/>
        </w:rPr>
      </w:pPr>
      <w:r w:rsidRPr="00584E9E">
        <w:rPr>
          <w:lang w:val="sr-Cyrl-CS"/>
        </w:rPr>
        <w:t>Измена закона не уводи организационе управљачке или институционалне промене.</w:t>
      </w:r>
    </w:p>
    <w:p w14:paraId="29F8A542" w14:textId="77777777" w:rsidR="006E2B10" w:rsidRPr="00584E9E" w:rsidRDefault="006E2B10">
      <w:pPr>
        <w:ind w:firstLine="720"/>
        <w:jc w:val="both"/>
        <w:rPr>
          <w:b/>
          <w:i/>
          <w:lang w:val="sr-Cyrl-CS"/>
        </w:rPr>
      </w:pPr>
    </w:p>
    <w:p w14:paraId="42E8AD18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b/>
          <w:i/>
          <w:lang w:val="sr-Cyrl-CS"/>
        </w:rPr>
        <w:t>2) Да ли постојећа јавна управа има капацитет за спровођење изабране опције (укључујући и квалитет и квантитет расположивих капацитета) и да ли је потребно предузети одређене мере за побољшање тих капацитета?</w:t>
      </w:r>
      <w:r w:rsidRPr="00584E9E">
        <w:rPr>
          <w:b/>
          <w:i/>
          <w:lang w:val="sr-Cyrl-CS"/>
        </w:rPr>
        <w:cr/>
      </w:r>
      <w:r w:rsidRPr="00584E9E">
        <w:rPr>
          <w:lang w:val="sr-Cyrl-CS"/>
        </w:rPr>
        <w:tab/>
        <w:t>Министарство грађевинарства, саобраћаја и инфраструктуре и Центар за истраживање несрећа у саобраћају располажу квантитативно и к</w:t>
      </w:r>
      <w:r w:rsidR="00584E9E">
        <w:rPr>
          <w:lang w:val="sr-Cyrl-CS"/>
        </w:rPr>
        <w:t>в</w:t>
      </w:r>
      <w:r w:rsidRPr="00584E9E">
        <w:rPr>
          <w:lang w:val="sr-Cyrl-CS"/>
        </w:rPr>
        <w:t>алитативно капацитетима за спровођење измена закона. Имајући у виду убрзан развој све три области саобраћаја  у Републици Србији, те тиме и потребу за повећањем безбедности оправдано је и основано у будућности разматрати проширење кадровских и материјалних капацитета Центра за истраживање несрећа у саобраћају</w:t>
      </w:r>
    </w:p>
    <w:p w14:paraId="73453C92" w14:textId="77777777" w:rsidR="006E2B10" w:rsidRPr="00584E9E" w:rsidRDefault="006E2B10">
      <w:pPr>
        <w:ind w:firstLine="720"/>
        <w:jc w:val="both"/>
        <w:rPr>
          <w:b/>
          <w:i/>
          <w:lang w:val="sr-Cyrl-CS"/>
        </w:rPr>
      </w:pPr>
    </w:p>
    <w:p w14:paraId="4231987D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3) Да ли је за реализацију изабране опције било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</w:t>
      </w:r>
    </w:p>
    <w:p w14:paraId="03B3B92C" w14:textId="77777777" w:rsidR="006E2B10" w:rsidRPr="00584E9E" w:rsidRDefault="009F336C">
      <w:pPr>
        <w:ind w:firstLine="720"/>
        <w:jc w:val="both"/>
        <w:rPr>
          <w:lang w:val="sr-Cyrl-CS"/>
        </w:rPr>
      </w:pPr>
      <w:bookmarkStart w:id="17" w:name="_Hlk166862328"/>
      <w:r w:rsidRPr="00584E9E">
        <w:rPr>
          <w:lang w:val="sr-Cyrl-CS"/>
        </w:rPr>
        <w:t xml:space="preserve">Центар за истраживање несрећа у саобраћају је данас организован на начин да успешно испуњава све законом поверене надлежности и међународне обавезе које стоје пред Републиком Србијом у области ваздушног, железничког и водног саобраћаја. </w:t>
      </w:r>
      <w:bookmarkStart w:id="18" w:name="_Hlk166860835"/>
      <w:bookmarkEnd w:id="17"/>
    </w:p>
    <w:p w14:paraId="20D38495" w14:textId="77777777" w:rsidR="006E2B10" w:rsidRPr="00584E9E" w:rsidRDefault="006E2B10">
      <w:pPr>
        <w:jc w:val="both"/>
        <w:rPr>
          <w:b/>
          <w:i/>
          <w:lang w:val="sr-Cyrl-CS"/>
        </w:rPr>
      </w:pPr>
    </w:p>
    <w:bookmarkEnd w:id="18"/>
    <w:p w14:paraId="6D92196C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4) Да ли је изабрана опција у сагласности са важећим прописима, међународним споразумима и усвојеним документима јавних политика?</w:t>
      </w:r>
    </w:p>
    <w:p w14:paraId="18E64783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Изабрана опција је у сагласности са важећим прописима.</w:t>
      </w:r>
    </w:p>
    <w:p w14:paraId="5552290E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4BFDEE54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5) Да ли изабрана опција утиче на владавину права и безбедност? Да ли изабрана опција утиче на одговорност и транспарентност рада јавне управе и на који начин?</w:t>
      </w:r>
    </w:p>
    <w:p w14:paraId="67ACEA19" w14:textId="77777777" w:rsidR="006E2B10" w:rsidRPr="00584E9E" w:rsidRDefault="006E2B10">
      <w:pPr>
        <w:ind w:firstLine="720"/>
        <w:jc w:val="both"/>
        <w:rPr>
          <w:lang w:val="sr-Cyrl-CS"/>
        </w:rPr>
      </w:pPr>
    </w:p>
    <w:p w14:paraId="6F9DBC43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Доношењем измена закона се поступа у складу са уставним одредбама о хијерархији правних аката и обавези усклађености домаћих закона и других општих аката са потврђеним међународним уговорима. У конкрет</w:t>
      </w:r>
      <w:r w:rsidR="00584E9E">
        <w:rPr>
          <w:lang w:val="sr-Cyrl-CS"/>
        </w:rPr>
        <w:t>н</w:t>
      </w:r>
      <w:r w:rsidRPr="00584E9E">
        <w:rPr>
          <w:lang w:val="sr-Cyrl-CS"/>
        </w:rPr>
        <w:t>ом случају наведеним изменама врши се усклађивање са стандардима који проистичу из међународних уговора. Владавини права се доприноси и јаснијим прецизирањем права и обавеза субјеката ваздушног, железничког и водног саобраћаја. Директан је утицај прецизног дефинисања права и обавеза субјеката на повећање степена безбедности и транспарентност у раду.</w:t>
      </w:r>
    </w:p>
    <w:p w14:paraId="114C47DC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366D7D97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6) Које додатне мере треба спровести и колико времена ће бити потребно да се спроведе изабрана опција и обезбеди њено касније доследно спровођење, односно њена одрживост?</w:t>
      </w:r>
    </w:p>
    <w:p w14:paraId="2177EC50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Након доношења закона биће потребно ускладити одговарајуће подзаконске прописе, за шта је у прелазним одредбама предвиђен максимални рок од 12 месеци.</w:t>
      </w:r>
    </w:p>
    <w:p w14:paraId="10B18677" w14:textId="77777777" w:rsidR="006E2B10" w:rsidRPr="00584E9E" w:rsidRDefault="006E2B10">
      <w:pPr>
        <w:ind w:firstLine="720"/>
        <w:jc w:val="both"/>
        <w:rPr>
          <w:lang w:val="sr-Cyrl-CS"/>
        </w:rPr>
      </w:pPr>
    </w:p>
    <w:p w14:paraId="05804F10" w14:textId="77777777" w:rsidR="006E2B10" w:rsidRPr="00584E9E" w:rsidRDefault="006E2B10">
      <w:pPr>
        <w:jc w:val="both"/>
        <w:rPr>
          <w:b/>
          <w:i/>
          <w:highlight w:val="cyan"/>
          <w:lang w:val="sr-Cyrl-CS"/>
        </w:rPr>
      </w:pPr>
    </w:p>
    <w:p w14:paraId="2665C566" w14:textId="77777777" w:rsidR="006E2B10" w:rsidRPr="00584E9E" w:rsidRDefault="009F336C">
      <w:pPr>
        <w:jc w:val="center"/>
        <w:rPr>
          <w:b/>
          <w:lang w:val="sr-Cyrl-CS"/>
        </w:rPr>
      </w:pPr>
      <w:r w:rsidRPr="00584E9E">
        <w:rPr>
          <w:b/>
          <w:lang w:val="sr-Cyrl-CS"/>
        </w:rPr>
        <w:t>7. Кључна питања за анализу ризика</w:t>
      </w:r>
    </w:p>
    <w:p w14:paraId="29529074" w14:textId="77777777" w:rsidR="006E2B10" w:rsidRPr="00584E9E" w:rsidRDefault="006E2B10">
      <w:pPr>
        <w:jc w:val="center"/>
        <w:rPr>
          <w:b/>
          <w:lang w:val="sr-Cyrl-CS"/>
        </w:rPr>
      </w:pPr>
    </w:p>
    <w:p w14:paraId="5F7C8708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1) Да ли је за спровођење изабране опције обезбеђена подршка свих кључних заинтересованих страна и циљних група? Да ли је спровођење изабране опције приоритет за доносиоце одлука у наредном периоду (Народну скупштину, Владу, државне органе и слично)?</w:t>
      </w:r>
    </w:p>
    <w:p w14:paraId="47553664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Потреба за прописивањем одређених мера предмет је континуираног интересовања заинтересованих лица. С тим у вези, спровођење изабране опције представља приоритет за доносиоце одлука у наредном периоду.</w:t>
      </w:r>
      <w:r w:rsidR="00584E9E">
        <w:rPr>
          <w:lang w:val="sr-Cyrl-CS"/>
        </w:rPr>
        <w:t xml:space="preserve"> </w:t>
      </w:r>
      <w:r w:rsidRPr="00584E9E">
        <w:rPr>
          <w:lang w:val="sr-Cyrl-CS"/>
        </w:rPr>
        <w:t xml:space="preserve">За спровођење изабране опције обезбеђена је подршка свих кључних заинтересованих страна и циљних група. </w:t>
      </w:r>
    </w:p>
    <w:p w14:paraId="2B14772A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4B2C621F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b/>
          <w:i/>
          <w:lang w:val="sr-Cyrl-CS"/>
        </w:rPr>
        <w:t>2) Да ли су обезбеђена финансијска средства за спровођење изабране опције? Да ли је за спровођење изабране опције обезбеђено довољно времена за спровођење поступка јавне набавке уколико је она потребна?</w:t>
      </w:r>
      <w:r w:rsidRPr="00584E9E">
        <w:rPr>
          <w:b/>
          <w:i/>
          <w:lang w:val="sr-Cyrl-CS"/>
        </w:rPr>
        <w:cr/>
      </w:r>
      <w:r w:rsidRPr="00584E9E">
        <w:rPr>
          <w:b/>
          <w:i/>
          <w:lang w:val="sr-Cyrl-CS"/>
        </w:rPr>
        <w:tab/>
      </w:r>
      <w:r w:rsidRPr="00584E9E">
        <w:rPr>
          <w:lang w:val="sr-Cyrl-CS"/>
        </w:rPr>
        <w:t>Обезбеђена су финансијска средства потребна за редован рад и спровођење прописа, а сама измена закона не захтева обезбеђење додатних средстава.</w:t>
      </w:r>
    </w:p>
    <w:p w14:paraId="00BD0D44" w14:textId="77777777" w:rsidR="006E2B10" w:rsidRPr="00584E9E" w:rsidRDefault="006E2B10">
      <w:pPr>
        <w:jc w:val="both"/>
        <w:rPr>
          <w:lang w:val="sr-Cyrl-CS"/>
        </w:rPr>
      </w:pPr>
    </w:p>
    <w:p w14:paraId="6FB2A08C" w14:textId="77777777" w:rsidR="006E2B10" w:rsidRPr="00584E9E" w:rsidRDefault="009F336C">
      <w:pPr>
        <w:ind w:firstLine="720"/>
        <w:jc w:val="both"/>
        <w:rPr>
          <w:b/>
          <w:i/>
          <w:lang w:val="sr-Cyrl-CS"/>
        </w:rPr>
      </w:pPr>
      <w:r w:rsidRPr="00584E9E">
        <w:rPr>
          <w:b/>
          <w:i/>
          <w:lang w:val="sr-Cyrl-CS"/>
        </w:rPr>
        <w:t>3) Да ли постоји још неки ризик за спровођење изабране опције?</w:t>
      </w:r>
    </w:p>
    <w:p w14:paraId="32C61991" w14:textId="77777777" w:rsidR="006E2B10" w:rsidRPr="00584E9E" w:rsidRDefault="009F336C">
      <w:pPr>
        <w:ind w:firstLine="720"/>
        <w:jc w:val="both"/>
        <w:rPr>
          <w:lang w:val="sr-Cyrl-CS"/>
        </w:rPr>
      </w:pPr>
      <w:r w:rsidRPr="00584E9E">
        <w:rPr>
          <w:lang w:val="sr-Cyrl-CS"/>
        </w:rPr>
        <w:t>Не постоје уочени ризици за спровођење.</w:t>
      </w:r>
    </w:p>
    <w:p w14:paraId="74CF94AF" w14:textId="77777777" w:rsidR="006E2B10" w:rsidRPr="00584E9E" w:rsidRDefault="006E2B10">
      <w:pPr>
        <w:jc w:val="both"/>
        <w:rPr>
          <w:b/>
          <w:i/>
          <w:lang w:val="sr-Cyrl-CS"/>
        </w:rPr>
      </w:pPr>
    </w:p>
    <w:p w14:paraId="5A87E294" w14:textId="77777777" w:rsidR="006E2B10" w:rsidRPr="00584E9E" w:rsidRDefault="009F336C">
      <w:pPr>
        <w:ind w:firstLine="720"/>
        <w:jc w:val="both"/>
        <w:rPr>
          <w:b/>
          <w:i/>
          <w:color w:val="auto"/>
          <w:lang w:val="sr-Cyrl-CS"/>
        </w:rPr>
      </w:pPr>
      <w:r w:rsidRPr="00584E9E">
        <w:rPr>
          <w:b/>
          <w:i/>
          <w:color w:val="auto"/>
          <w:lang w:val="sr-Cyrl-CS"/>
        </w:rPr>
        <w:t>Информације о спроведеним консултацијама:</w:t>
      </w:r>
    </w:p>
    <w:p w14:paraId="2A0C1BE9" w14:textId="77777777" w:rsidR="006E2B10" w:rsidRPr="00584E9E" w:rsidRDefault="009F336C">
      <w:pPr>
        <w:ind w:firstLine="720"/>
        <w:jc w:val="both"/>
        <w:rPr>
          <w:bCs w:val="0"/>
          <w:iCs/>
          <w:color w:val="auto"/>
          <w:lang w:val="sr-Cyrl-CS"/>
        </w:rPr>
      </w:pPr>
      <w:r w:rsidRPr="00584E9E">
        <w:rPr>
          <w:bCs w:val="0"/>
          <w:iCs/>
          <w:color w:val="auto"/>
          <w:lang w:val="sr-Cyrl-CS"/>
        </w:rPr>
        <w:t>За израду Нацрта закона о изменама и допунама закона Министарство грађевинарства, саобраћаја и инфраструктуре је формирало радну групу у чијем раду су учешће узели и представници Центра за истраживање несрећа</w:t>
      </w:r>
      <w:r w:rsidR="00584E9E">
        <w:rPr>
          <w:bCs w:val="0"/>
          <w:iCs/>
          <w:color w:val="auto"/>
          <w:lang w:val="sr-Cyrl-CS"/>
        </w:rPr>
        <w:t xml:space="preserve"> </w:t>
      </w:r>
      <w:r w:rsidRPr="00584E9E">
        <w:rPr>
          <w:bCs w:val="0"/>
          <w:iCs/>
          <w:color w:val="auto"/>
          <w:lang w:val="sr-Cyrl-CS"/>
        </w:rPr>
        <w:t>у саобраћају. Сви субјекти су били у прилици да изнесу своје ставове и предлоге.</w:t>
      </w:r>
    </w:p>
    <w:p w14:paraId="2D9792D0" w14:textId="77777777" w:rsidR="006E2B10" w:rsidRPr="00584E9E" w:rsidRDefault="006E2B10">
      <w:pPr>
        <w:rPr>
          <w:lang w:val="sr-Cyrl-CS"/>
        </w:rPr>
      </w:pPr>
    </w:p>
    <w:p w14:paraId="2AE7EEE2" w14:textId="77777777" w:rsidR="006E2B10" w:rsidRPr="00584E9E" w:rsidRDefault="006E2B10">
      <w:pPr>
        <w:ind w:firstLine="720"/>
        <w:jc w:val="both"/>
        <w:rPr>
          <w:color w:val="auto"/>
          <w:highlight w:val="yellow"/>
          <w:lang w:val="sr-Cyrl-CS"/>
        </w:rPr>
      </w:pPr>
    </w:p>
    <w:sectPr w:rsidR="006E2B10" w:rsidRPr="00584E9E" w:rsidSect="00584E9E">
      <w:footerReference w:type="default" r:id="rId10"/>
      <w:pgSz w:w="12240" w:h="15840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21C4C" w14:textId="77777777" w:rsidR="008775B7" w:rsidRDefault="008775B7" w:rsidP="00584E9E">
      <w:r>
        <w:separator/>
      </w:r>
    </w:p>
  </w:endnote>
  <w:endnote w:type="continuationSeparator" w:id="0">
    <w:p w14:paraId="23C33BA7" w14:textId="77777777" w:rsidR="008775B7" w:rsidRDefault="008775B7" w:rsidP="0058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08557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8A31F5" w14:textId="77777777" w:rsidR="00584E9E" w:rsidRDefault="00584E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0DAB7839" w14:textId="77777777" w:rsidR="00584E9E" w:rsidRDefault="00584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BCB5E" w14:textId="77777777" w:rsidR="008775B7" w:rsidRDefault="008775B7" w:rsidP="00584E9E">
      <w:r>
        <w:separator/>
      </w:r>
    </w:p>
  </w:footnote>
  <w:footnote w:type="continuationSeparator" w:id="0">
    <w:p w14:paraId="1DB43D39" w14:textId="77777777" w:rsidR="008775B7" w:rsidRDefault="008775B7" w:rsidP="00584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2F4C9E"/>
    <w:multiLevelType w:val="multilevel"/>
    <w:tmpl w:val="792F4C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567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73F"/>
    <w:rsid w:val="00012A5A"/>
    <w:rsid w:val="0003204C"/>
    <w:rsid w:val="00034735"/>
    <w:rsid w:val="00052696"/>
    <w:rsid w:val="00060D7A"/>
    <w:rsid w:val="000706E3"/>
    <w:rsid w:val="000808A5"/>
    <w:rsid w:val="000A2BB4"/>
    <w:rsid w:val="000A33DD"/>
    <w:rsid w:val="000A6593"/>
    <w:rsid w:val="000B521F"/>
    <w:rsid w:val="000F37E0"/>
    <w:rsid w:val="000F60DF"/>
    <w:rsid w:val="001067F3"/>
    <w:rsid w:val="00143961"/>
    <w:rsid w:val="001530FC"/>
    <w:rsid w:val="001626AF"/>
    <w:rsid w:val="00165453"/>
    <w:rsid w:val="00172765"/>
    <w:rsid w:val="001731F5"/>
    <w:rsid w:val="0017754A"/>
    <w:rsid w:val="00180BDC"/>
    <w:rsid w:val="0019609D"/>
    <w:rsid w:val="001C741D"/>
    <w:rsid w:val="001D3088"/>
    <w:rsid w:val="0020126A"/>
    <w:rsid w:val="0020554B"/>
    <w:rsid w:val="00206EE3"/>
    <w:rsid w:val="0022601F"/>
    <w:rsid w:val="00227A0D"/>
    <w:rsid w:val="002653EF"/>
    <w:rsid w:val="00280559"/>
    <w:rsid w:val="0028583B"/>
    <w:rsid w:val="00290636"/>
    <w:rsid w:val="002C2CCF"/>
    <w:rsid w:val="002D0649"/>
    <w:rsid w:val="002D3FD4"/>
    <w:rsid w:val="002D46A3"/>
    <w:rsid w:val="002E4128"/>
    <w:rsid w:val="00311AD4"/>
    <w:rsid w:val="00325AB5"/>
    <w:rsid w:val="00341FB9"/>
    <w:rsid w:val="00344E1D"/>
    <w:rsid w:val="00350256"/>
    <w:rsid w:val="00392538"/>
    <w:rsid w:val="003A1AD9"/>
    <w:rsid w:val="003C4FC9"/>
    <w:rsid w:val="003D70E0"/>
    <w:rsid w:val="003E2CC1"/>
    <w:rsid w:val="003F0AB9"/>
    <w:rsid w:val="003F0CFC"/>
    <w:rsid w:val="003F301F"/>
    <w:rsid w:val="00406783"/>
    <w:rsid w:val="00430DD1"/>
    <w:rsid w:val="00440976"/>
    <w:rsid w:val="00455206"/>
    <w:rsid w:val="00455347"/>
    <w:rsid w:val="00483297"/>
    <w:rsid w:val="004835F5"/>
    <w:rsid w:val="004C0FDC"/>
    <w:rsid w:val="004D6E02"/>
    <w:rsid w:val="004E5074"/>
    <w:rsid w:val="00504F44"/>
    <w:rsid w:val="00514CEB"/>
    <w:rsid w:val="00527401"/>
    <w:rsid w:val="00530156"/>
    <w:rsid w:val="005368BE"/>
    <w:rsid w:val="0054671B"/>
    <w:rsid w:val="00552653"/>
    <w:rsid w:val="0056130C"/>
    <w:rsid w:val="00563B28"/>
    <w:rsid w:val="00584E9E"/>
    <w:rsid w:val="005911AF"/>
    <w:rsid w:val="005A5DF3"/>
    <w:rsid w:val="005C793E"/>
    <w:rsid w:val="005E11B8"/>
    <w:rsid w:val="0060030D"/>
    <w:rsid w:val="00604A0F"/>
    <w:rsid w:val="006248EA"/>
    <w:rsid w:val="00642898"/>
    <w:rsid w:val="0065127E"/>
    <w:rsid w:val="00655A32"/>
    <w:rsid w:val="006602DC"/>
    <w:rsid w:val="00671B33"/>
    <w:rsid w:val="00687A97"/>
    <w:rsid w:val="00692477"/>
    <w:rsid w:val="0069326E"/>
    <w:rsid w:val="00695D1E"/>
    <w:rsid w:val="006967CE"/>
    <w:rsid w:val="006D090F"/>
    <w:rsid w:val="006E2175"/>
    <w:rsid w:val="006E2B10"/>
    <w:rsid w:val="00717C22"/>
    <w:rsid w:val="00717DC9"/>
    <w:rsid w:val="00750C50"/>
    <w:rsid w:val="0076105E"/>
    <w:rsid w:val="00763A90"/>
    <w:rsid w:val="0077592F"/>
    <w:rsid w:val="00791555"/>
    <w:rsid w:val="007C2830"/>
    <w:rsid w:val="007C4DEE"/>
    <w:rsid w:val="007D2B3E"/>
    <w:rsid w:val="007D37A7"/>
    <w:rsid w:val="007E1A28"/>
    <w:rsid w:val="007F6133"/>
    <w:rsid w:val="0082436E"/>
    <w:rsid w:val="00842D82"/>
    <w:rsid w:val="008507E2"/>
    <w:rsid w:val="00861EF1"/>
    <w:rsid w:val="00873195"/>
    <w:rsid w:val="008775B7"/>
    <w:rsid w:val="00884A87"/>
    <w:rsid w:val="008970E7"/>
    <w:rsid w:val="008B2CAA"/>
    <w:rsid w:val="008B4B78"/>
    <w:rsid w:val="008C1AEC"/>
    <w:rsid w:val="008D1755"/>
    <w:rsid w:val="008D4773"/>
    <w:rsid w:val="008E41A9"/>
    <w:rsid w:val="008F35C5"/>
    <w:rsid w:val="0090389F"/>
    <w:rsid w:val="00904F89"/>
    <w:rsid w:val="00912D54"/>
    <w:rsid w:val="00913D09"/>
    <w:rsid w:val="00934EAC"/>
    <w:rsid w:val="009467CE"/>
    <w:rsid w:val="00952EBB"/>
    <w:rsid w:val="0096331F"/>
    <w:rsid w:val="00963A8C"/>
    <w:rsid w:val="00974125"/>
    <w:rsid w:val="00981453"/>
    <w:rsid w:val="00994553"/>
    <w:rsid w:val="009947BA"/>
    <w:rsid w:val="009B4A16"/>
    <w:rsid w:val="009B4EA2"/>
    <w:rsid w:val="009C11AF"/>
    <w:rsid w:val="009C7603"/>
    <w:rsid w:val="009E7968"/>
    <w:rsid w:val="009F0171"/>
    <w:rsid w:val="009F336C"/>
    <w:rsid w:val="009F6661"/>
    <w:rsid w:val="009F7D5C"/>
    <w:rsid w:val="00A06C35"/>
    <w:rsid w:val="00A14EA1"/>
    <w:rsid w:val="00A16A34"/>
    <w:rsid w:val="00A25D1A"/>
    <w:rsid w:val="00A26C67"/>
    <w:rsid w:val="00A311C4"/>
    <w:rsid w:val="00A329C3"/>
    <w:rsid w:val="00A402EE"/>
    <w:rsid w:val="00A66EDD"/>
    <w:rsid w:val="00A67D23"/>
    <w:rsid w:val="00A71F31"/>
    <w:rsid w:val="00A976A7"/>
    <w:rsid w:val="00AA669B"/>
    <w:rsid w:val="00AB7355"/>
    <w:rsid w:val="00AE159A"/>
    <w:rsid w:val="00AE1F76"/>
    <w:rsid w:val="00AE3715"/>
    <w:rsid w:val="00AF002C"/>
    <w:rsid w:val="00B0273F"/>
    <w:rsid w:val="00B07AB4"/>
    <w:rsid w:val="00B339BA"/>
    <w:rsid w:val="00B36C6F"/>
    <w:rsid w:val="00B40210"/>
    <w:rsid w:val="00B641DD"/>
    <w:rsid w:val="00B87010"/>
    <w:rsid w:val="00B961BE"/>
    <w:rsid w:val="00BC47F5"/>
    <w:rsid w:val="00BC58FA"/>
    <w:rsid w:val="00BD60E1"/>
    <w:rsid w:val="00BE2EC3"/>
    <w:rsid w:val="00BE5381"/>
    <w:rsid w:val="00C151F3"/>
    <w:rsid w:val="00C231F0"/>
    <w:rsid w:val="00C25D5B"/>
    <w:rsid w:val="00C33794"/>
    <w:rsid w:val="00C34878"/>
    <w:rsid w:val="00C431AC"/>
    <w:rsid w:val="00C60AC9"/>
    <w:rsid w:val="00C7154B"/>
    <w:rsid w:val="00C921AB"/>
    <w:rsid w:val="00CE42FF"/>
    <w:rsid w:val="00CF7929"/>
    <w:rsid w:val="00D0415C"/>
    <w:rsid w:val="00D10DA0"/>
    <w:rsid w:val="00D54547"/>
    <w:rsid w:val="00D54790"/>
    <w:rsid w:val="00D56680"/>
    <w:rsid w:val="00D76214"/>
    <w:rsid w:val="00D84A84"/>
    <w:rsid w:val="00D92ECB"/>
    <w:rsid w:val="00DA03FB"/>
    <w:rsid w:val="00DF0EF8"/>
    <w:rsid w:val="00DF5E41"/>
    <w:rsid w:val="00DF732C"/>
    <w:rsid w:val="00E004A6"/>
    <w:rsid w:val="00E005D1"/>
    <w:rsid w:val="00E2215E"/>
    <w:rsid w:val="00E420C4"/>
    <w:rsid w:val="00E673D1"/>
    <w:rsid w:val="00E71C05"/>
    <w:rsid w:val="00E84CB1"/>
    <w:rsid w:val="00E875D0"/>
    <w:rsid w:val="00EE6CB9"/>
    <w:rsid w:val="00F148DF"/>
    <w:rsid w:val="00F149CA"/>
    <w:rsid w:val="00F35EFD"/>
    <w:rsid w:val="00F36152"/>
    <w:rsid w:val="00F63874"/>
    <w:rsid w:val="00F85209"/>
    <w:rsid w:val="00F938A6"/>
    <w:rsid w:val="00FA4703"/>
    <w:rsid w:val="00FB2FF8"/>
    <w:rsid w:val="00FC1870"/>
    <w:rsid w:val="00FE181B"/>
    <w:rsid w:val="00FF1893"/>
    <w:rsid w:val="57E743AB"/>
    <w:rsid w:val="6CA8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18C80"/>
  <w15:docId w15:val="{D6A851EC-FEE8-40AF-93EC-C369BA916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bCs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</w:p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bCs w:val="0"/>
      <w:color w:val="auto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paragraph" w:customStyle="1" w:styleId="Revision1">
    <w:name w:val="Revision1"/>
    <w:hidden/>
    <w:uiPriority w:val="99"/>
    <w:semiHidden/>
    <w:qFormat/>
    <w:rPr>
      <w:bCs/>
      <w:color w:val="000000" w:themeColor="text1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customStyle="1" w:styleId="Default">
    <w:name w:val="Default"/>
    <w:basedOn w:val="Normal"/>
    <w:qFormat/>
    <w:pPr>
      <w:autoSpaceDE w:val="0"/>
      <w:autoSpaceDN w:val="0"/>
    </w:pPr>
    <w:rPr>
      <w:rFonts w:ascii="EUAlbertina" w:hAnsi="EUAlbertina" w:cs="Calibri"/>
      <w:bCs w:val="0"/>
      <w:color w:val="000000"/>
      <w14:ligatures w14:val="standardContextual"/>
    </w:rPr>
  </w:style>
  <w:style w:type="paragraph" w:styleId="NoSpacing">
    <w:name w:val="No Spacing"/>
    <w:uiPriority w:val="1"/>
    <w:qFormat/>
    <w:pPr>
      <w:jc w:val="both"/>
    </w:pPr>
    <w:rPr>
      <w:rFonts w:ascii="Arial" w:hAnsi="Arial" w:cstheme="minorBidi"/>
      <w:sz w:val="22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D:\Rad\Plovidbena%20nezgoda\Godisnji%20izvestaj\2022\Grafikon%20za%20godisnji%20izvestaj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0" vertOverflow="ellipsis" vert="horz" wrap="square" anchor="ctr" anchorCtr="1"/>
          <a:lstStyle/>
          <a:p>
            <a:pPr>
              <a:defRPr lang="en-US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sr-Cyrl-RS" sz="1000"/>
              <a:t>УКУПАН</a:t>
            </a:r>
            <a:r>
              <a:rPr lang="sr-Cyrl-RS" sz="1000" baseline="0"/>
              <a:t> БРОЈ УДЕСА И НЕЗГОДА - упоредни приказ по годинама </a:t>
            </a:r>
            <a:endParaRPr lang="en-US" sz="10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4.3701942917512698E-2"/>
          <c:y val="0.119128167607368"/>
          <c:w val="0.80194902523976996"/>
          <c:h val="0.7103088054258700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'Укупан број удеса'!$C$3</c:f>
              <c:strCache>
                <c:ptCount val="1"/>
                <c:pt idx="0">
                  <c:v>Удеси</c:v>
                </c:pt>
              </c:strCache>
            </c:strRef>
          </c:tx>
          <c:invertIfNegative val="0"/>
          <c:cat>
            <c:numRef>
              <c:f>'Укупан број удеса'!$B$8:$B$19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'Укупан број удеса'!$C$8:$C$19</c:f>
              <c:numCache>
                <c:formatCode>General</c:formatCode>
                <c:ptCount val="6"/>
                <c:pt idx="0">
                  <c:v>3</c:v>
                </c:pt>
                <c:pt idx="1">
                  <c:v>2</c:v>
                </c:pt>
                <c:pt idx="2">
                  <c:v>2</c:v>
                </c:pt>
                <c:pt idx="3">
                  <c:v>0</c:v>
                </c:pt>
                <c:pt idx="4">
                  <c:v>2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052-4D5F-90B4-C659AE34DE0F}"/>
            </c:ext>
          </c:extLst>
        </c:ser>
        <c:ser>
          <c:idx val="1"/>
          <c:order val="1"/>
          <c:tx>
            <c:strRef>
              <c:f>'Укупан број удеса'!$D$3</c:f>
              <c:strCache>
                <c:ptCount val="1"/>
                <c:pt idx="0">
                  <c:v>Незгоде</c:v>
                </c:pt>
              </c:strCache>
            </c:strRef>
          </c:tx>
          <c:invertIfNegative val="0"/>
          <c:cat>
            <c:numRef>
              <c:f>'Укупан број удеса'!$B$8:$B$19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'Укупан број удеса'!$D$8:$D$19</c:f>
              <c:numCache>
                <c:formatCode>General</c:formatCode>
                <c:ptCount val="6"/>
                <c:pt idx="0">
                  <c:v>4</c:v>
                </c:pt>
                <c:pt idx="1">
                  <c:v>2</c:v>
                </c:pt>
                <c:pt idx="2">
                  <c:v>0</c:v>
                </c:pt>
                <c:pt idx="3">
                  <c:v>5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052-4D5F-90B4-C659AE34DE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3161472"/>
        <c:axId val="43171840"/>
        <c:extLst>
          <c:ext xmlns:c15="http://schemas.microsoft.com/office/drawing/2012/chart" uri="{02D57815-91ED-43cb-92C2-25804820EDAC}">
            <c15:filteredBarSeries>
              <c15:ser>
                <c:idx val="2"/>
                <c:order val="2"/>
                <c:tx>
                  <c:strRef>
                    <c:extLst>
                      <c:ext uri="{02D57815-91ED-43cb-92C2-25804820EDAC}">
                        <c15:formulaRef>
                          <c15:sqref>'Укупан број удеса'!$E$3</c15:sqref>
                        </c15:formulaRef>
                      </c:ext>
                    </c:extLst>
                    <c:strCache>
                      <c:ptCount val="1"/>
                      <c:pt idx="0">
                        <c:v>Погинули</c:v>
                      </c:pt>
                    </c:strCache>
                  </c:strRef>
                </c:tx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'Укупан број удеса'!$B$8:$B$19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2018</c:v>
                      </c:pt>
                      <c:pt idx="1">
                        <c:v>2019</c:v>
                      </c:pt>
                      <c:pt idx="2">
                        <c:v>2020</c:v>
                      </c:pt>
                      <c:pt idx="3">
                        <c:v>2021</c:v>
                      </c:pt>
                      <c:pt idx="4">
                        <c:v>2022</c:v>
                      </c:pt>
                      <c:pt idx="5">
                        <c:v>2023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'Укупан број удеса'!$E$8:$E$19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3</c:v>
                      </c:pt>
                      <c:pt idx="1">
                        <c:v>1</c:v>
                      </c:pt>
                      <c:pt idx="2">
                        <c:v>1</c:v>
                      </c:pt>
                      <c:pt idx="3">
                        <c:v>0</c:v>
                      </c:pt>
                      <c:pt idx="5">
                        <c:v>0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0052-4D5F-90B4-C659AE34DE0F}"/>
                  </c:ext>
                </c:extLst>
              </c15:ser>
            </c15:filteredBarSeries>
            <c15:filteredBarSeries>
              <c15:ser>
                <c:idx val="3"/>
                <c:order val="3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'Укупан број удеса'!$F$3</c15:sqref>
                        </c15:formulaRef>
                      </c:ext>
                    </c:extLst>
                    <c:strCache>
                      <c:ptCount val="1"/>
                      <c:pt idx="0">
                        <c:v>Повређени</c:v>
                      </c:pt>
                    </c:strCache>
                  </c:strRef>
                </c:tx>
                <c:invertIfNegative val="0"/>
                <c:cat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'Укупан број удеса'!$B$8:$B$19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2018</c:v>
                      </c:pt>
                      <c:pt idx="1">
                        <c:v>2019</c:v>
                      </c:pt>
                      <c:pt idx="2">
                        <c:v>2020</c:v>
                      </c:pt>
                      <c:pt idx="3">
                        <c:v>2021</c:v>
                      </c:pt>
                      <c:pt idx="4">
                        <c:v>2022</c:v>
                      </c:pt>
                      <c:pt idx="5">
                        <c:v>2023</c:v>
                      </c:pt>
                    </c:numCache>
                  </c:num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'Укупан број удеса'!$F$8:$F$19</c15:sqref>
                        </c15:formulaRef>
                      </c:ext>
                    </c:extLst>
                    <c:numCache>
                      <c:formatCode>General</c:formatCode>
                      <c:ptCount val="6"/>
                      <c:pt idx="0">
                        <c:v>0</c:v>
                      </c:pt>
                      <c:pt idx="1">
                        <c:v>0</c:v>
                      </c:pt>
                      <c:pt idx="2">
                        <c:v>0</c:v>
                      </c:pt>
                      <c:pt idx="3">
                        <c:v>0</c:v>
                      </c:pt>
                      <c:pt idx="5">
                        <c:v>2</c:v>
                      </c:pt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3-0052-4D5F-90B4-C659AE34DE0F}"/>
                  </c:ext>
                </c:extLst>
              </c15:ser>
            </c15:filteredBarSeries>
          </c:ext>
        </c:extLst>
      </c:barChart>
      <c:catAx>
        <c:axId val="43161472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>
                  <a:defRPr lang="en-US" sz="10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sr-Cyrl-RS"/>
                  <a:t>ГОДИНА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en-US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43171840"/>
        <c:crosses val="autoZero"/>
        <c:auto val="1"/>
        <c:lblAlgn val="ctr"/>
        <c:lblOffset val="100"/>
        <c:noMultiLvlLbl val="0"/>
      </c:catAx>
      <c:valAx>
        <c:axId val="431718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en-US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43161472"/>
        <c:crosses val="autoZero"/>
        <c:crossBetween val="between"/>
      </c:valAx>
    </c:plotArea>
    <c:legend>
      <c:legendPos val="r"/>
      <c:overlay val="0"/>
      <c:txPr>
        <a:bodyPr rot="0" spcFirstLastPara="0" vertOverflow="ellipsis" vert="horz" wrap="square" anchor="ctr" anchorCtr="1"/>
        <a:lstStyle/>
        <a:p>
          <a:pPr>
            <a:defRPr lang="en-US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txPr>
    <a:bodyPr/>
    <a:lstStyle/>
    <a:p>
      <a:pPr>
        <a:defRPr lang="en-US"/>
      </a:pPr>
      <a:endParaRPr lang="sr-Latn-R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lang="en-US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sr-Cyrl-RS"/>
              <a:t>Укупан број озбиљних</a:t>
            </a:r>
            <a:r>
              <a:rPr lang="sr-Cyrl-RS" baseline="0"/>
              <a:t> пловидбених незгода и </a:t>
            </a:r>
            <a:r>
              <a:rPr lang="sr-Cyrl-RS"/>
              <a:t>пловидбених незгода</a:t>
            </a:r>
            <a:r>
              <a:rPr lang="sr-Cyrl-RS" baseline="0"/>
              <a:t> </a:t>
            </a:r>
            <a:r>
              <a:rPr lang="sr-Cyrl-RS"/>
              <a:t>за период 2018-2023</a:t>
            </a:r>
          </a:p>
        </c:rich>
      </c:tx>
      <c:layout>
        <c:manualLayout>
          <c:xMode val="edge"/>
          <c:yMode val="edge"/>
          <c:x val="0.13122900262467199"/>
          <c:y val="3.240740740740739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en-US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Година</c:f>
              <c:strCache>
                <c:ptCount val="1"/>
                <c:pt idx="0">
                  <c:v>Година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'Srpski 2023 za Zakon'!$A$2:$A$7</c:f>
              <c:numCache>
                <c:formatCode>General</c:formatCode>
                <c:ptCount val="6"/>
                <c:pt idx="0">
                  <c:v>2023</c:v>
                </c:pt>
                <c:pt idx="1">
                  <c:v>2022</c:v>
                </c:pt>
                <c:pt idx="2">
                  <c:v>2021</c:v>
                </c:pt>
                <c:pt idx="3">
                  <c:v>2020</c:v>
                </c:pt>
                <c:pt idx="4">
                  <c:v>2019</c:v>
                </c:pt>
                <c:pt idx="5">
                  <c:v>2018</c:v>
                </c:pt>
              </c:numCache>
            </c:numRef>
          </c:cat>
          <c:val>
            <c:numRef>
              <c:f>'Srpski 2023 za Zakon'!$B$2:$B$7</c:f>
              <c:numCache>
                <c:formatCode>General</c:formatCode>
                <c:ptCount val="6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7</c:v>
                </c:pt>
                <c:pt idx="4">
                  <c:v>3</c:v>
                </c:pt>
                <c:pt idx="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03-4B59-B143-92EB2AC5E2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39676640"/>
        <c:axId val="739679520"/>
      </c:barChart>
      <c:catAx>
        <c:axId val="739676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739679520"/>
        <c:crosses val="autoZero"/>
        <c:auto val="1"/>
        <c:lblAlgn val="ctr"/>
        <c:lblOffset val="100"/>
        <c:noMultiLvlLbl val="0"/>
      </c:catAx>
      <c:valAx>
        <c:axId val="739679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en-US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sr-Latn-RS"/>
          </a:p>
        </c:txPr>
        <c:crossAx val="7396766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en-US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sr-Latn-R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en-US"/>
      </a:pPr>
      <a:endParaRPr lang="sr-Latn-R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0B632-D9F2-4DEB-9A90-33EF4870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5407</Words>
  <Characters>30825</Characters>
  <Application>Microsoft Office Word</Application>
  <DocSecurity>0</DocSecurity>
  <Lines>256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36160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Ivana Vojinović</cp:lastModifiedBy>
  <cp:revision>2</cp:revision>
  <cp:lastPrinted>2024-05-20T08:43:00Z</cp:lastPrinted>
  <dcterms:created xsi:type="dcterms:W3CDTF">2024-11-15T16:41:00Z</dcterms:created>
  <dcterms:modified xsi:type="dcterms:W3CDTF">2024-11-15T16:41:00Z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1033-12.2.0.16909</vt:lpwstr>
  </property>
  <property fmtid="{D5CDD505-2E9C-101B-9397-08002B2CF9AE}" pid="3" name="ICV">
    <vt:lpwstr>ABC34D3383BF473A98959D6688C4F70A_13</vt:lpwstr>
  </property>
</Properties>
</file>