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Pr="00A20C3F" w:rsidRDefault="005570F2" w:rsidP="00012A61">
      <w:pPr>
        <w:shd w:val="clear" w:color="auto" w:fill="FFFFFF"/>
        <w:jc w:val="center"/>
        <w:rPr>
          <w:b/>
          <w:sz w:val="28"/>
          <w:lang w:val="sr-Cyrl-RS"/>
        </w:rPr>
      </w:pPr>
      <w:r w:rsidRPr="00A20C3F">
        <w:rPr>
          <w:b/>
          <w:sz w:val="28"/>
          <w:lang w:val="sr-Cyrl-RS"/>
        </w:rPr>
        <w:t xml:space="preserve">        </w:t>
      </w:r>
      <w:r w:rsidR="00012A61" w:rsidRPr="00A20C3F">
        <w:rPr>
          <w:b/>
          <w:sz w:val="28"/>
          <w:lang w:val="sr-Cyrl-RS"/>
        </w:rPr>
        <w:t>ИЗЈАВ</w:t>
      </w:r>
      <w:r w:rsidRPr="00A20C3F">
        <w:rPr>
          <w:b/>
          <w:sz w:val="28"/>
          <w:lang w:val="sr-Cyrl-RS"/>
        </w:rPr>
        <w:t>А</w:t>
      </w:r>
      <w:r w:rsidR="00012A61" w:rsidRPr="00A20C3F">
        <w:rPr>
          <w:b/>
          <w:sz w:val="28"/>
          <w:lang w:val="sr-Cyrl-RS"/>
        </w:rPr>
        <w:t xml:space="preserve"> О УСКЛАЂЕНОСТИ ПРОПИСА СА ПРОПИСИМА ЕВРОПСКЕ УНИЈЕ</w:t>
      </w:r>
    </w:p>
    <w:p w:rsidR="00012A61" w:rsidRPr="00A20C3F" w:rsidRDefault="00012A61" w:rsidP="00012A61">
      <w:pPr>
        <w:shd w:val="clear" w:color="auto" w:fill="FFFFFF"/>
        <w:jc w:val="center"/>
        <w:rPr>
          <w:b/>
          <w:sz w:val="28"/>
          <w:lang w:val="sr-Cyrl-RS"/>
        </w:rPr>
      </w:pPr>
    </w:p>
    <w:p w:rsidR="00012A61" w:rsidRPr="00A20C3F" w:rsidRDefault="00012A61" w:rsidP="00012A61">
      <w:pPr>
        <w:pStyle w:val="FootnoteText"/>
        <w:spacing w:line="240" w:lineRule="auto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1. Овлашћени предлагач: ВЛАДА</w:t>
      </w:r>
    </w:p>
    <w:p w:rsidR="00012A61" w:rsidRPr="00A20C3F" w:rsidRDefault="00012A61" w:rsidP="00012A61">
      <w:pPr>
        <w:jc w:val="both"/>
        <w:rPr>
          <w:lang w:val="sr-Cyrl-RS"/>
        </w:rPr>
      </w:pPr>
      <w:r w:rsidRPr="00A20C3F">
        <w:rPr>
          <w:lang w:val="sr-Cyrl-RS"/>
        </w:rPr>
        <w:t xml:space="preserve">    Обрађивач: МИНИСТАРСТВО ФИНАНСИЈА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2. Назив прописа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A600BB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012A61" w:rsidRPr="00A20C3F">
        <w:rPr>
          <w:lang w:val="sr-Cyrl-RS"/>
        </w:rPr>
        <w:t xml:space="preserve"> закона о завршном рачун</w:t>
      </w:r>
      <w:r w:rsidR="00E37916" w:rsidRPr="00A20C3F">
        <w:rPr>
          <w:lang w:val="sr-Cyrl-RS"/>
        </w:rPr>
        <w:t>у</w:t>
      </w:r>
      <w:r w:rsidR="00395022">
        <w:rPr>
          <w:lang w:val="sr-Cyrl-RS"/>
        </w:rPr>
        <w:t xml:space="preserve"> буџета Републике Србије за 2023</w:t>
      </w:r>
      <w:r w:rsidR="00012A61" w:rsidRPr="00A20C3F">
        <w:rPr>
          <w:lang w:val="sr-Cyrl-RS"/>
        </w:rPr>
        <w:t>. годину</w:t>
      </w:r>
    </w:p>
    <w:p w:rsidR="004E4BF6" w:rsidRPr="00A20C3F" w:rsidRDefault="004E4BF6" w:rsidP="004E4BF6">
      <w:pPr>
        <w:jc w:val="both"/>
        <w:rPr>
          <w:lang w:val="sr-Cyrl-RS"/>
        </w:rPr>
      </w:pPr>
      <w:r w:rsidRPr="00A20C3F">
        <w:rPr>
          <w:lang w:val="sr-Cyrl-RS"/>
        </w:rPr>
        <w:t>The draft Law on Final Account o</w:t>
      </w:r>
      <w:r w:rsidR="00E37916" w:rsidRPr="00A20C3F">
        <w:rPr>
          <w:lang w:val="sr-Cyrl-RS"/>
        </w:rPr>
        <w:t>f</w:t>
      </w:r>
      <w:r w:rsidR="00395022">
        <w:rPr>
          <w:lang w:val="sr-Cyrl-RS"/>
        </w:rPr>
        <w:t xml:space="preserve"> the Republic of Serbia for 2023</w:t>
      </w:r>
      <w:r w:rsidRPr="00A20C3F">
        <w:rPr>
          <w:lang w:val="sr-Cyrl-RS"/>
        </w:rPr>
        <w:t>.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а) Одредба Споразума која се односи на нормативну садржину прописа,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 постоје релевантне одредбе Споразума</w:t>
      </w:r>
    </w:p>
    <w:p w:rsidR="00012A61" w:rsidRPr="00A20C3F" w:rsidRDefault="00012A61" w:rsidP="00012A61">
      <w:pPr>
        <w:jc w:val="center"/>
        <w:rPr>
          <w:b/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б) Прелазни рок за усклађивање законодавства према одредбама Споразума 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Нема</w:t>
      </w:r>
    </w:p>
    <w:p w:rsidR="00012A61" w:rsidRPr="00A20C3F" w:rsidRDefault="00012A61" w:rsidP="00012A61">
      <w:pPr>
        <w:jc w:val="center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Оцена испуњености обавезе које произлазе из наведене одредбе Споразума </w:t>
      </w:r>
    </w:p>
    <w:p w:rsidR="00012A61" w:rsidRPr="00A20C3F" w:rsidRDefault="00012A61" w:rsidP="00012A61">
      <w:pPr>
        <w:jc w:val="center"/>
        <w:rPr>
          <w:lang w:val="sr-Cyrl-RS"/>
        </w:rPr>
      </w:pPr>
      <w:r w:rsidRPr="00A20C3F">
        <w:rPr>
          <w:lang w:val="sr-Cyrl-RS"/>
        </w:rPr>
        <w:t>/</w:t>
      </w:r>
    </w:p>
    <w:p w:rsidR="00012A61" w:rsidRPr="00A20C3F" w:rsidRDefault="00012A61" w:rsidP="00012A61">
      <w:pPr>
        <w:jc w:val="center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center"/>
        <w:rPr>
          <w:b/>
          <w:lang w:val="sr-Cyrl-RS"/>
        </w:rPr>
      </w:pPr>
    </w:p>
    <w:p w:rsidR="00012A61" w:rsidRPr="00A20C3F" w:rsidRDefault="00012A61" w:rsidP="00012A61">
      <w:pPr>
        <w:jc w:val="both"/>
        <w:rPr>
          <w:lang w:val="sr-Cyrl-RS"/>
        </w:rPr>
      </w:pPr>
      <w:r w:rsidRPr="00A20C3F">
        <w:rPr>
          <w:b/>
          <w:lang w:val="sr-Cyrl-RS"/>
        </w:rPr>
        <w:t>д) Веза са Националним програмом за усвајање правних тековина Европске уније</w:t>
      </w:r>
      <w:r w:rsidRPr="00A20C3F">
        <w:rPr>
          <w:lang w:val="sr-Cyrl-RS"/>
        </w:rPr>
        <w:t xml:space="preserve">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4. Усклађеност прописа са прописима Европске уније: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а) Навођење одредби примарних извора права Европске уније и оцене усклађености са њима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б) Навођење секундарних извора права Европске уније и оцене усклађености са њима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в) Навођење осталих извора права Европске уније и усклађенoст са њима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г) Разлози за делимичну усклађеност, односно неусклађеност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>д) Рок у којем је предвиђено постизање потпуне усклађености прописа са прописима Европске уније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color w:val="000000"/>
          <w:lang w:val="sr-Cyrl-RS"/>
        </w:rPr>
      </w:pPr>
      <w:r w:rsidRPr="00A20C3F">
        <w:rPr>
          <w:b/>
          <w:lang w:val="sr-Cyrl-RS"/>
        </w:rPr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A20C3F">
        <w:rPr>
          <w:b/>
          <w:color w:val="000000"/>
          <w:lang w:val="sr-Cyrl-RS"/>
        </w:rPr>
        <w:t xml:space="preserve"> </w:t>
      </w:r>
      <w:r w:rsidRPr="00A20C3F">
        <w:rPr>
          <w:b/>
          <w:color w:val="000000"/>
          <w:lang w:val="sr-Cyrl-RS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A600BB" w:rsidRDefault="00A600BB" w:rsidP="00012A61">
      <w:pPr>
        <w:jc w:val="center"/>
        <w:rPr>
          <w:color w:val="000000"/>
          <w:lang w:val="sr-Cyrl-RS"/>
        </w:rPr>
      </w:pPr>
    </w:p>
    <w:p w:rsidR="00012A61" w:rsidRPr="00A20C3F" w:rsidRDefault="00012A61" w:rsidP="00012A61">
      <w:pPr>
        <w:jc w:val="center"/>
        <w:rPr>
          <w:color w:val="000000"/>
          <w:lang w:val="sr-Cyrl-RS"/>
        </w:rPr>
      </w:pPr>
      <w:r w:rsidRPr="00A20C3F">
        <w:rPr>
          <w:color w:val="000000"/>
          <w:lang w:val="sr-Cyrl-RS"/>
        </w:rPr>
        <w:t>Не постоје прописи са којима је потребно обезбедити усклађеност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6. Да ли су претходно наведени извори права Европске уније преведени на српски језик?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7. Да ли је пропис преведен на неки службени језик Европске уније? </w:t>
      </w:r>
    </w:p>
    <w:p w:rsidR="00A600BB" w:rsidRDefault="00A600BB" w:rsidP="00012A61">
      <w:pPr>
        <w:jc w:val="center"/>
        <w:rPr>
          <w:lang w:val="sr-Cyrl-RS"/>
        </w:rPr>
      </w:pP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lang w:val="sr-Cyrl-RS"/>
        </w:rPr>
        <w:t>Није преведен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both"/>
        <w:rPr>
          <w:b/>
          <w:lang w:val="sr-Cyrl-RS"/>
        </w:rPr>
      </w:pPr>
      <w:r w:rsidRPr="00A20C3F">
        <w:rPr>
          <w:b/>
          <w:lang w:val="sr-Cyrl-RS"/>
        </w:rPr>
        <w:t xml:space="preserve">8. Сарадња са Европском унијом и учешће консултаната у изради прописа и њихово мишљење о усклађености. </w:t>
      </w:r>
    </w:p>
    <w:p w:rsidR="00012A61" w:rsidRPr="00A20C3F" w:rsidRDefault="00012A61" w:rsidP="00012A61">
      <w:pPr>
        <w:jc w:val="center"/>
        <w:rPr>
          <w:b/>
          <w:lang w:val="sr-Cyrl-RS"/>
        </w:rPr>
      </w:pPr>
      <w:r w:rsidRPr="00A20C3F">
        <w:rPr>
          <w:b/>
          <w:lang w:val="sr-Cyrl-RS"/>
        </w:rPr>
        <w:t>/</w:t>
      </w:r>
    </w:p>
    <w:p w:rsidR="00012A61" w:rsidRPr="00A20C3F" w:rsidRDefault="00012A61" w:rsidP="00012A61">
      <w:pPr>
        <w:jc w:val="both"/>
        <w:rPr>
          <w:lang w:val="sr-Cyrl-RS"/>
        </w:rPr>
      </w:pPr>
    </w:p>
    <w:p w:rsidR="00012A61" w:rsidRPr="00A20C3F" w:rsidRDefault="00012A61" w:rsidP="00012A61">
      <w:pPr>
        <w:jc w:val="center"/>
        <w:rPr>
          <w:b/>
          <w:bCs/>
          <w:lang w:val="sr-Cyrl-RS"/>
        </w:rPr>
      </w:pPr>
      <w:bookmarkStart w:id="0" w:name="_GoBack"/>
      <w:bookmarkEnd w:id="0"/>
    </w:p>
    <w:sectPr w:rsidR="00012A61" w:rsidRPr="00A20C3F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FC" w:rsidRDefault="00DB5DFC">
      <w:r>
        <w:separator/>
      </w:r>
    </w:p>
  </w:endnote>
  <w:endnote w:type="continuationSeparator" w:id="0">
    <w:p w:rsidR="00DB5DFC" w:rsidRDefault="00DB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DB5D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0BB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DB5D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FC" w:rsidRDefault="00DB5DFC">
      <w:r>
        <w:separator/>
      </w:r>
    </w:p>
  </w:footnote>
  <w:footnote w:type="continuationSeparator" w:id="0">
    <w:p w:rsidR="00DB5DFC" w:rsidRDefault="00DB5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0B2B03"/>
    <w:rsid w:val="00124D64"/>
    <w:rsid w:val="002B75C2"/>
    <w:rsid w:val="002D6974"/>
    <w:rsid w:val="00335326"/>
    <w:rsid w:val="00395022"/>
    <w:rsid w:val="0046168D"/>
    <w:rsid w:val="004E4BF6"/>
    <w:rsid w:val="00554086"/>
    <w:rsid w:val="005570F2"/>
    <w:rsid w:val="005D4FA6"/>
    <w:rsid w:val="00663292"/>
    <w:rsid w:val="00666280"/>
    <w:rsid w:val="007A365A"/>
    <w:rsid w:val="007C10DE"/>
    <w:rsid w:val="007D6302"/>
    <w:rsid w:val="008C5731"/>
    <w:rsid w:val="00A20C3F"/>
    <w:rsid w:val="00A47AD9"/>
    <w:rsid w:val="00A543F5"/>
    <w:rsid w:val="00A600BB"/>
    <w:rsid w:val="00AB5177"/>
    <w:rsid w:val="00B438F1"/>
    <w:rsid w:val="00B97843"/>
    <w:rsid w:val="00BD03B7"/>
    <w:rsid w:val="00BE5632"/>
    <w:rsid w:val="00BF5A2F"/>
    <w:rsid w:val="00C20061"/>
    <w:rsid w:val="00C40477"/>
    <w:rsid w:val="00D20EFF"/>
    <w:rsid w:val="00D27DBC"/>
    <w:rsid w:val="00D524EA"/>
    <w:rsid w:val="00DB5DFC"/>
    <w:rsid w:val="00E37916"/>
    <w:rsid w:val="00E52879"/>
    <w:rsid w:val="00EC4329"/>
    <w:rsid w:val="00F302B1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72090"/>
  <w15:docId w15:val="{B1B125B5-E330-457E-93F9-3BD7F7B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3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B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Snezana Marinovic</cp:lastModifiedBy>
  <cp:revision>45</cp:revision>
  <cp:lastPrinted>2021-06-17T09:52:00Z</cp:lastPrinted>
  <dcterms:created xsi:type="dcterms:W3CDTF">2018-06-16T07:42:00Z</dcterms:created>
  <dcterms:modified xsi:type="dcterms:W3CDTF">2024-10-30T09:27:00Z</dcterms:modified>
</cp:coreProperties>
</file>