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jc w:val="center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С А Д Р Ж А Ј</w:t>
      </w:r>
    </w:p>
    <w:p w:rsidR="00643E0A" w:rsidRPr="00643E0A" w:rsidRDefault="008A4A8B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ПРЕДЛОГ</w:t>
      </w:r>
      <w:bookmarkStart w:id="0" w:name="_GoBack"/>
      <w:bookmarkEnd w:id="0"/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ЗАКОНА О ЗАВРШНОМ РАЧУНУ БУЏЕТА РЕПУБЛИКЕ СРБИЈЕ ЗА 202</w:t>
      </w:r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ГОДИНУ</w:t>
      </w:r>
      <w:r w:rsidR="00643E0A"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1</w:t>
      </w:r>
    </w:p>
    <w:p w:rsidR="00643E0A" w:rsidRPr="00643E0A" w:rsidRDefault="00643E0A" w:rsidP="00643E0A">
      <w:pPr>
        <w:widowControl w:val="0"/>
        <w:tabs>
          <w:tab w:val="left" w:pos="1134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en-GB"/>
        </w:rPr>
        <w:t>I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ОПШТИ ДЕО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ПОСЕБАН ДЕО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  <w:t>6</w:t>
      </w:r>
    </w:p>
    <w:p w:rsidR="00643E0A" w:rsidRPr="00643E0A" w:rsidRDefault="00643E0A" w:rsidP="00643E0A">
      <w:pPr>
        <w:widowControl w:val="0"/>
        <w:tabs>
          <w:tab w:val="left" w:pos="1276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ОБРАЗЛОЖЕЊЕ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64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УСТАВНИ ОСНОВ ЗА ДОНОШЕЊЕ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  <w:t>6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РАЗЛОЗИ ЗА ДОНОШЕЊЕ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  <w:t>6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III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САДРЖИНА ЗАКОНА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  <w:t>6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IV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ОБЈАШЊЕЊЕ ОСНОВНИХ ПРАВНИХ ИНСТИТУТА И ПОЈЕДИНАЧНИХ РЕШЕЊА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ab/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66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GB"/>
        </w:rPr>
        <w:t>V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ПОТРЕБНА СРЕДСТВА ЗА СПРОВОЂЕЊЕ ЗАКОНА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67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1) ИЗВЕШТАЈ О ИЗВРШЕЊУ БУЏЕТА РЕПУБЛИКЕ СРБИЈЕ ЗА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ГОДИНУ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СА ОБЈАШЊЕЊИМА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US"/>
        </w:rPr>
        <w:t>68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РАЧУН УКУПНИХ ПРИХОДА И ПРИМАЊА, РАСХОДА И ИЗДАТАКА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US"/>
        </w:rPr>
        <w:t>68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УКУПНИ ПРИХОДИ И ПРИМАЊА БУЏЕТА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69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УКУПНИ РАСХОДИ И ИЗДАЦИ БУЏЕТА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72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ИЗВЕШТАЈ О УЧИНКУ - ПРОГРАМИ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82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ОБРАЗЛОЖЕЊА ОДСТУПАЊА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207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2) ИЗВЕШТАЈ О ПРИМЉЕНИМ ДОНАЦИЈАМА И КРЕДИТИМА, ДОМАЋИМ И ИНОСТРАНИМ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И ИЗВРШЕНИМ ОТПЛАТАМА ДУГОВА У ТОКУ 202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345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2.1. ИЗВЕШТАЈ О ПРИМЉЕНИМ ДОНАЦИЈАМА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345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before="240"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2.2. ИЗВЕШТАЈ О ПРИМЉЕНИМ КРЕДИТИМА, ДОМАЋИМ И ИНОСТРАНИМ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И ИЗВРШЕНИМ ОТПЛАТАМА ДУГОВА У ТОКУ 202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502B5C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348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СТАЊ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en-GB"/>
        </w:rPr>
        <w:t>E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 xml:space="preserve"> ЈАВНОГ ДУГА РЕПУБЛИКЕ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НА ДАН 31. ДЕЦЕМБАР 202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noProof/>
          <w:sz w:val="18"/>
          <w:szCs w:val="18"/>
          <w:lang w:val="ru-RU"/>
        </w:rPr>
        <w:t>. ГОДИНЕ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="00502B5C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348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ПРЕГЛЕД ОБАВЕЗА ПО ОСНОВУ ЈАВНОГ ДУГА РЕПУБЛИКЕ СРБИЈЕ НА ДАН 31. ДЕЦЕМБАР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 (СТАЊЕ ДУГА И ОТПЛАТЕ ГЛАВНИЦЕ И КАМАТЕ ТОКОМ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en-GB"/>
        </w:rPr>
        <w:t>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ДИРЕКТНЕ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ДИРЕКТНЕ ОБАВЕЗЕ – УНУТРАШЊИ ЈАВНИ ДУГ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ДРЖАВНЕ ХАРТИЈЕ ОД ВРЕДНОСТИ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  <w:t>350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КРАТКОРОЧНЕ ДИНАРСКЕ ДРЖАВНЕ ХАРТИЈЕ ОД ВРЕДНОСТИ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ДУГОРОЧНЕ ДИНАРСКЕ ДРЖАВНЕ ХАРТИЈЕ ОД ВРЕДНОСТИ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ШТЕДНЕ ДИНАРСКЕ ОБВЕЗНИЦЕ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ДУГОРОЧНЕ ДРЖАВНЕ ХАРТИЈЕ ОД ВРЕДНОСТИ ДЕНОМИНОВАНЕ У ЕВРИМА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ШТЕДНЕ ОБВЕЗНИЦЕ ДЕНОМИНОВАНЕ У ЕВРИМА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351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ДРЖАВНЕ ОБВЕЗНИЦЕ ЕМИТОВАНЕ РАДИ РЕГУЛИСАЊА ОБАВЕЗА ПО ОСНОВУ ЗАКОНА О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ВРАЋАЊУ ОДУЗЕТЕ ИМОВИНЕ И ОБЕШТЕЋЕЊУ………………………………………………………………352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ПРЕУЗЕТЕ ОБАВЕЗЕ ПО ОСНОВУ НЕИСПЛАЋЕНИХ ПЕНЗИЈА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ДЕВИЗНА ШТЕДЊА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РАЂАНА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ДЕВИЗНА ШТЕДЊА - неисплаћена девизна штедња грађана положена код банака чије је седиште на 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lastRenderedPageBreak/>
        <w:t>територији Републике Србије и њиховим филијалама на територијама бивших република СФРЈ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ЗАЈАМ ЗА ПРИВРЕДНИ РАЗВОЈ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ПРЕУЗЕТА ОБАВЕЗА VOJVODJANSKE BANKE A.D. NOVI SAD ПРЕМА НАРОДНОЈ БАНЦИ СРБИЈЕ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СРЈ ПРЕМА НАРОДНОЈ БАНЦИ СРБИЈЕ ПО ОСНОВУ УГОВОРА Г. БР. 840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ОБАВЕЗЕ СРЈ ПРЕМА НАРОДНОЈ БАНЦИ СРБИЈЕ ПО ОСНОВУ УГОВОРА Г. БР. 132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UNICREDIT BANK SRBIJA A.D BEOGRAD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356</w:t>
      </w:r>
    </w:p>
    <w:p w:rsidR="00643E0A" w:rsidRPr="00643E0A" w:rsidRDefault="00643E0A" w:rsidP="00643E0A">
      <w:pPr>
        <w:widowControl w:val="0"/>
        <w:tabs>
          <w:tab w:val="left" w:pos="709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OTP BANKA SRBIJA A.D. NOVI SAD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реконструкције и модернизације железничке пруге Суботица - Хоргош граница са Мађарском (Сегедин)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BANCA INTESA A.D. BEOGRAD -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NLB KOMERCIJALNA BANKA A.D. BEOGRAD - Пројекат изградње државног пута ИБ реда, деоница брзе саобраћајнице: Ауто-пут Е - 75 Београд - Ниш (петља "Пожaревац") - Пожаревац (Обилазница) - Велико Градиште - Голубац (Дунавска магистрала)………………………………………………………………………………………………………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356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ОБАВЕЗЕ ПО ОСНОВУ ДУГОРОЧНОГ ИНВЕСТИЦИОНОГ КРЕДИТА BANCA INTESA A.D. BEOGRAD - Пројекат Рума - Шабац - Лозница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  <w:t>357</w:t>
      </w:r>
    </w:p>
    <w:p w:rsidR="00643E0A" w:rsidRPr="00643E0A" w:rsidRDefault="00643E0A" w:rsidP="00643E0A">
      <w:pPr>
        <w:widowControl w:val="0"/>
        <w:tabs>
          <w:tab w:val="left" w:pos="709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ОБАВЕЗЕ ПО ОСНОВУ ДУГОРОЧНОГ ИНВЕСТИЦИОНОГ КРЕДИТА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OTP BANKA SRBIJA A.D. NOVI SAD –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Финансирање пројеката изградње брзе саобраћајнице, деонице Пожаревац – Голубац (Дунавска магистрала)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UNICREDIT BANK SRBIJA A.D. BEOGRAD - Финансирање пројекта Изградња линијске инфаструктуре - Национални стадион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  <w:t>357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NLB KOMERCIJALNA BANKA A.D. BEOGRAD - Пројекат изградње обилазнице око Крагујевца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  <w:t>357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ОБАВЕЗЕ ПО ОСНОВУ ДУГОРОЧНОГ ИНВЕСТИЦИОНОГ КРЕДИТА BANKA POŠTANSKA ŠTEDIONICA A.D. BEOGRAD - Пројекат изградње линијске инфаструктуре - Национални стадион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  <w:t>358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ДИРЕКТНЕ ОБАВЕЗЕ - СПОЉНИ ЈАВНИ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358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1. КРЕДИТИ МЕЂУНАРОДНЕ БАНКЕ ЗА ОБНОВУ И РАЗВОЈ (IBRD)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358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2. КРЕДИТИ МЕЂУНАРОДНОГ УДРУЖЕЊА ЗА РАЗВОЈ (IDА)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364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3. КРЕДИТИ ЕВРОПСКЕ ИНВЕСТИЦИОНЕ БАНКЕ (EIB)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366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4. КРЕДИТИ ЕВРОПСКЕ БАНКЕ ЗА ОБНОВУ И РАЗВОЈ (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EBRD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369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5. КРЕДИТИ БАНКЕ ЗА РАЗВОЈ САВЕТА ЕВРОПЕ (CEB)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370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6. КРЕДИТИ НЕМАЧКЕ РАЗВОЈНЕ БАНКЕ (KFW)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373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7. КРЕДИТИ КИНЕСКЕ EX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PORT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-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 xml:space="preserve">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IMPORT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БАНКЕ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375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8. ОСТАЛЕ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378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II ИНДИРЕКТНЕ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386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ИНДИРЕКТНЕ ОБАВЕЗЕ - УНУТРАШЊИ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386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ИНДИРЕКТНЕ ОБАВЕЗЕ - СПОЉНИ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1. КРЕДИТИ ЕВРОПСКЕ БАНКЕ ЗА ОБНОВУ И РАЗВОЈ (EBRD)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390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2. КРЕДИТИ ЕВРОПСКЕ ИНВЕСТИЦИОНЕ БАНКЕ (EIB)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3. КРЕДИТИ НЕМАЧКЕ РАЗВОЈНЕ БАНКЕ (K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F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W)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394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4. ОСТАЛИ КРЕДИТИ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395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III НЕГАРАНТОВАНИ ЈАВНИ ДУГ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IV ЈАВНИ ДУГ НА НИВОУ СЕКТОРА ДРЖАВЕ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V НОВЕ ДИРЕКТНЕ ОБАВЕЗЕ ПО ОСНОВУ УЗЕТИХ ЗАЈМОВА У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397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VI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 xml:space="preserve"> НОВЕ ОБАВЕЗЕ ПО 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ОСНОВУ ЗАКОНА О ВРАЋАЊУ ОДУЗЕТЕ ИМОВИНЕ И ОБЕШТЕЋЕЊУ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ab/>
        <w:t>403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VI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I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 xml:space="preserve"> НОВЕ ИНДИРЕКТНЕ ОБАВЕЗЕ У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403</w:t>
      </w:r>
    </w:p>
    <w:p w:rsidR="00643E0A" w:rsidRPr="00643E0A" w:rsidRDefault="00643E0A" w:rsidP="00643E0A">
      <w:pPr>
        <w:widowControl w:val="0"/>
        <w:tabs>
          <w:tab w:val="left" w:pos="1418"/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3) ИЗВЕШТАЈ О КОРИШЋЕЊУ СРЕДСТАВА ИЗ ТЕКУЋЕ И СТАЛНЕ БУЏЕТСКЕ РЕЗЕРВЕ У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ГОДИНИ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407</w:t>
      </w: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4) ИЗВЕШТАЈ О ГАРАНЦИЈАМА ДАТИМ У ТОКУ 202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</w:rPr>
        <w:t>3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. ГОДИНЕ - НОВЕ ИНДИРЕКТНЕ ОБАВЕЗЕ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sr-Latn-RS"/>
        </w:rPr>
        <w:t>476</w:t>
      </w: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</w:p>
    <w:p w:rsidR="00643E0A" w:rsidRPr="00643E0A" w:rsidRDefault="00643E0A" w:rsidP="00643E0A">
      <w:pPr>
        <w:widowControl w:val="0"/>
        <w:tabs>
          <w:tab w:val="right" w:leader="dot" w:pos="8784"/>
        </w:tabs>
        <w:spacing w:after="0" w:line="240" w:lineRule="auto"/>
        <w:ind w:right="898"/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sr-Latn-RS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5) ИЗВЕШТАЈ ЕКСТЕРНЕ РЕВИЗИЈЕ О ФИНАНСИЈСКИМ ИЗВЕШТАЈИМА ИЗ ЧЛАНА 106. ЗАКОНА О БУЏЕТСКОМ СИСТЕМУ</w:t>
      </w: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ab/>
        <w:t>476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jc w:val="center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lastRenderedPageBreak/>
        <w:t>*                      *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jc w:val="center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*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ОБРАСЦИ ЗАВРШНОГ РАЧУНА БУЏЕТА РЕПУБЛИКЕ СРБИЈЕ ЗА 202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ГОДИНУ: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БИЛАНС СТАЊА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  <w:t>БИЛАНС ПРИХОДА И РАСХОДА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ИЗВЕШТАЈ О КАПИТАЛНИМ ИЗДАЦИМА И ПРИМАЊИМА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ИЗВЕШТАЈ О НОВЧАНИМ ТОКОВИМА</w:t>
      </w:r>
    </w:p>
    <w:p w:rsidR="00643E0A" w:rsidRPr="00643E0A" w:rsidRDefault="00643E0A" w:rsidP="00643E0A">
      <w:pPr>
        <w:keepNext/>
        <w:tabs>
          <w:tab w:val="right" w:leader="dot" w:pos="8784"/>
        </w:tabs>
        <w:spacing w:before="240" w:after="0" w:line="240" w:lineRule="auto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ИЗВЕШТАЈ О ИЗВРШЕЊУ БУЏЕТА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0" w:line="276" w:lineRule="auto"/>
        <w:outlineLvl w:val="0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ОБРАСЦИ БУЏЕТА РЕПУБЛИКЕ СРБИЈЕ ЗА 202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ГОДИНУ: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ЗБИРНИ БИЛАНС СТАЊА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КОНСОЛИДОВАНИ </w:t>
      </w:r>
      <w:r w:rsidRPr="00643E0A">
        <w:rPr>
          <w:rFonts w:ascii="Times New Roman" w:eastAsia="Calibri" w:hAnsi="Times New Roman" w:cs="Times New Roman"/>
          <w:noProof/>
          <w:color w:val="000000"/>
          <w:sz w:val="18"/>
          <w:szCs w:val="18"/>
          <w:lang w:val="ru-RU"/>
        </w:rPr>
        <w:t>БИЛАНС ПРИХОДА И РАСХОДА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ИЗВЕШТАЈ О КАПИТАЛНИМ ИЗДАЦИМА И ПРИМАЊИМА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КОНСОЛИДОВАНИ ИЗВЕШТАЈ О НОВЧАНИМ ТОКОВИМА</w:t>
      </w:r>
    </w:p>
    <w:p w:rsidR="00643E0A" w:rsidRPr="00643E0A" w:rsidRDefault="00643E0A" w:rsidP="00643E0A">
      <w:pPr>
        <w:keepNext/>
        <w:tabs>
          <w:tab w:val="right" w:leader="dot" w:pos="8784"/>
        </w:tabs>
        <w:spacing w:before="240" w:after="0" w:line="240" w:lineRule="auto"/>
        <w:outlineLvl w:val="1"/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</w:pPr>
      <w:r w:rsidRPr="00643E0A">
        <w:rPr>
          <w:rFonts w:ascii="Times New Roman" w:eastAsia="Times New Roman" w:hAnsi="Times New Roman" w:cs="Times New Roman"/>
          <w:bCs/>
          <w:noProof/>
          <w:sz w:val="18"/>
          <w:szCs w:val="18"/>
          <w:lang w:val="ru-RU"/>
        </w:rPr>
        <w:t>КОНСОЛИДОВАНИ ИЗВЕШТАЈ О ИЗВРШЕЊУ БУЏЕТА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ОДЛУКА О УСВАЈАЊУ ЗАВРШНОГ РАЧУНА РЕПУБЛИЧКОГ ФОНДА ЗА ПЕНЗИЈСКО И ИНВАЛИДСКО ОСИГУРАЊЕ ЗА ПЕРИОД 01.01. – 31.12.202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ГОДИНЕ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ru-RU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ОДЛУКА О ЗАВРШНОМ РАЧУНУ НАЦИОНАЛНЕ СЛУЖБЕ ЗА ЗАПОШЉАВАЊЕ ЗА 202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>. ГОДИНУ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ОДЛУКА О 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УСВАЈАЊУ ЗАВРШНОГ РАЧУНА РЕПУБЛИЧКОГ ФОНДА ЗА ЗДРАВСТВЕНО ОСИГУРАЊЕ ЗА 202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sr-Latn-RS"/>
        </w:rPr>
        <w:t>3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. ГОДИНУ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en-GB"/>
        </w:rPr>
      </w:pP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ОДЛУКА О УСВАЈАЊУ </w:t>
      </w:r>
      <w:r w:rsidRPr="00643E0A">
        <w:rPr>
          <w:rFonts w:ascii="Times New Roman" w:eastAsia="Calibri" w:hAnsi="Times New Roman" w:cs="Times New Roman"/>
          <w:noProof/>
          <w:sz w:val="18"/>
          <w:szCs w:val="18"/>
        </w:rPr>
        <w:t>ГОДИШЊЕГ ФИНАНСИЈСКОГ ИЗВЕШТАЈА (ЗАВРШНОГ РАЧУНА)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ru-RU"/>
        </w:rPr>
        <w:t xml:space="preserve"> ФОНДА ЗА СОЦИЈАЛНО ОСИГУРАЊЕ ВОЈНИХ ОСИГУРАНИКА ЗА ПЕРИОД ОД 01. </w:t>
      </w:r>
      <w:r w:rsidRPr="00643E0A">
        <w:rPr>
          <w:rFonts w:ascii="Times New Roman" w:eastAsia="Calibri" w:hAnsi="Times New Roman" w:cs="Times New Roman"/>
          <w:noProof/>
          <w:sz w:val="18"/>
          <w:szCs w:val="18"/>
          <w:lang w:val="en-GB"/>
        </w:rPr>
        <w:t>ЈАНУАРА ДО 31. ДЕЦЕМБРА 2023. ГОДИНЕ</w:t>
      </w:r>
    </w:p>
    <w:p w:rsidR="00643E0A" w:rsidRPr="00643E0A" w:rsidRDefault="00643E0A" w:rsidP="00643E0A">
      <w:pPr>
        <w:tabs>
          <w:tab w:val="right" w:leader="dot" w:pos="8784"/>
        </w:tabs>
        <w:spacing w:before="240" w:after="200" w:line="276" w:lineRule="auto"/>
        <w:rPr>
          <w:rFonts w:ascii="Times New Roman" w:eastAsia="Calibri" w:hAnsi="Times New Roman" w:cs="Times New Roman"/>
          <w:noProof/>
          <w:sz w:val="18"/>
          <w:szCs w:val="18"/>
          <w:lang w:val="en-GB"/>
        </w:rPr>
      </w:pPr>
    </w:p>
    <w:p w:rsidR="00496FF2" w:rsidRDefault="00496FF2"/>
    <w:sectPr w:rsidR="00496FF2" w:rsidSect="002B36A7">
      <w:pgSz w:w="12240" w:h="15840"/>
      <w:pgMar w:top="1418" w:right="1138" w:bottom="1134" w:left="1699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9A"/>
    <w:rsid w:val="00496FF2"/>
    <w:rsid w:val="00502B5C"/>
    <w:rsid w:val="00643E0A"/>
    <w:rsid w:val="008A4A8B"/>
    <w:rsid w:val="00F1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6855"/>
  <w15:chartTrackingRefBased/>
  <w15:docId w15:val="{13B53C13-02A4-42BE-9409-B44C6022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Tanja Mrkalj</cp:lastModifiedBy>
  <cp:revision>4</cp:revision>
  <dcterms:created xsi:type="dcterms:W3CDTF">2024-06-14T07:14:00Z</dcterms:created>
  <dcterms:modified xsi:type="dcterms:W3CDTF">2024-10-30T09:54:00Z</dcterms:modified>
</cp:coreProperties>
</file>