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4A9E9" w14:textId="77777777" w:rsidR="0013113D" w:rsidRPr="005B2B41" w:rsidRDefault="00903C59" w:rsidP="00E474CA">
      <w:pPr>
        <w:jc w:val="center"/>
        <w:rPr>
          <w:bCs/>
          <w:lang w:val="sr-Cyrl-CS"/>
        </w:rPr>
      </w:pPr>
      <w:r w:rsidRPr="005B2B41">
        <w:rPr>
          <w:bCs/>
          <w:lang w:val="sr-Cyrl-CS"/>
        </w:rPr>
        <w:t xml:space="preserve">О </w:t>
      </w:r>
      <w:r w:rsidR="00662717" w:rsidRPr="005B2B41">
        <w:rPr>
          <w:bCs/>
          <w:lang w:val="sr-Cyrl-CS"/>
        </w:rPr>
        <w:t>Б Р А</w:t>
      </w:r>
      <w:r w:rsidR="0013113D" w:rsidRPr="005B2B41">
        <w:rPr>
          <w:bCs/>
          <w:lang w:val="sr-Cyrl-CS"/>
        </w:rPr>
        <w:t xml:space="preserve"> З Л О Ж Е Њ Е</w:t>
      </w:r>
    </w:p>
    <w:p w14:paraId="2DF729DC" w14:textId="77777777" w:rsidR="008754FF" w:rsidRPr="005B2B41" w:rsidRDefault="008754FF" w:rsidP="00E474CA">
      <w:pPr>
        <w:jc w:val="center"/>
        <w:rPr>
          <w:bCs/>
          <w:lang w:val="sr-Cyrl-CS"/>
        </w:rPr>
      </w:pPr>
    </w:p>
    <w:p w14:paraId="7E0DAB12" w14:textId="77777777" w:rsidR="0013113D" w:rsidRPr="005B2B41" w:rsidRDefault="0013113D" w:rsidP="00E474CA">
      <w:pPr>
        <w:ind w:left="360"/>
        <w:jc w:val="center"/>
        <w:rPr>
          <w:bCs/>
          <w:lang w:val="sr-Cyrl-CS"/>
        </w:rPr>
      </w:pPr>
    </w:p>
    <w:p w14:paraId="6D68BCAF" w14:textId="02823DC0" w:rsidR="006F5526" w:rsidRPr="005B2B41" w:rsidRDefault="00C938C5" w:rsidP="00CB5BF1">
      <w:pPr>
        <w:ind w:left="720"/>
        <w:jc w:val="both"/>
        <w:rPr>
          <w:lang w:val="sr-Cyrl-CS"/>
        </w:rPr>
      </w:pPr>
      <w:r w:rsidRPr="005B2B41">
        <w:rPr>
          <w:lang w:val="sr-Cyrl-CS"/>
        </w:rPr>
        <w:t>I</w:t>
      </w:r>
      <w:r w:rsidR="00D81743" w:rsidRPr="005B2B41">
        <w:rPr>
          <w:lang w:val="sr-Cyrl-CS"/>
        </w:rPr>
        <w:t>.</w:t>
      </w:r>
      <w:r w:rsidR="006F5526" w:rsidRPr="005B2B41">
        <w:rPr>
          <w:lang w:val="sr-Cyrl-CS"/>
        </w:rPr>
        <w:t xml:space="preserve"> </w:t>
      </w:r>
      <w:r w:rsidR="00CB5BF1" w:rsidRPr="005B2B41">
        <w:rPr>
          <w:lang w:val="sr-Cyrl-CS"/>
        </w:rPr>
        <w:t>УСТАВНИ ОСНОВ ЗА ДОНОШЕЊЕ ЗАКОНА</w:t>
      </w:r>
    </w:p>
    <w:p w14:paraId="661B7C2F" w14:textId="77777777" w:rsidR="006F5526" w:rsidRPr="005B2B41" w:rsidRDefault="006F5526" w:rsidP="00E474CA">
      <w:pPr>
        <w:pStyle w:val="ListParagraph"/>
        <w:ind w:left="1080"/>
        <w:jc w:val="both"/>
        <w:rPr>
          <w:lang w:val="sr-Cyrl-CS"/>
        </w:rPr>
      </w:pPr>
    </w:p>
    <w:p w14:paraId="47780598" w14:textId="2757889E" w:rsidR="00F35954" w:rsidRPr="005B2B41" w:rsidRDefault="00CB5BF1" w:rsidP="00E474CA">
      <w:pPr>
        <w:ind w:right="-34" w:firstLine="720"/>
        <w:jc w:val="both"/>
        <w:rPr>
          <w:lang w:val="sr-Cyrl-CS"/>
        </w:rPr>
      </w:pPr>
      <w:r w:rsidRPr="005B2B41">
        <w:rPr>
          <w:lang w:val="sr-Cyrl-CS"/>
        </w:rPr>
        <w:t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</w:t>
      </w:r>
      <w:r w:rsidR="00F35954" w:rsidRPr="005B2B41">
        <w:rPr>
          <w:lang w:val="sr-Cyrl-CS"/>
        </w:rPr>
        <w:t xml:space="preserve"> </w:t>
      </w:r>
    </w:p>
    <w:p w14:paraId="627B6EFC" w14:textId="77777777" w:rsidR="00F35954" w:rsidRPr="005B2B41" w:rsidRDefault="00F35954" w:rsidP="00E474CA">
      <w:pPr>
        <w:ind w:right="-34" w:firstLine="720"/>
        <w:jc w:val="both"/>
        <w:rPr>
          <w:lang w:val="sr-Cyrl-CS"/>
        </w:rPr>
      </w:pPr>
    </w:p>
    <w:p w14:paraId="345DA06D" w14:textId="5987A526" w:rsidR="006F5526" w:rsidRPr="005B2B41" w:rsidRDefault="00C938C5" w:rsidP="00E474CA">
      <w:pPr>
        <w:ind w:left="720" w:right="-601"/>
        <w:jc w:val="both"/>
        <w:rPr>
          <w:lang w:val="sr-Cyrl-CS"/>
        </w:rPr>
      </w:pPr>
      <w:r w:rsidRPr="005B2B41">
        <w:rPr>
          <w:lang w:val="sr-Cyrl-CS"/>
        </w:rPr>
        <w:t>II</w:t>
      </w:r>
      <w:r w:rsidR="00D81743" w:rsidRPr="005B2B41">
        <w:rPr>
          <w:lang w:val="sr-Cyrl-CS"/>
        </w:rPr>
        <w:t>.</w:t>
      </w:r>
      <w:r w:rsidR="006F5526" w:rsidRPr="005B2B41">
        <w:rPr>
          <w:lang w:val="sr-Cyrl-CS"/>
        </w:rPr>
        <w:t xml:space="preserve"> </w:t>
      </w:r>
      <w:r w:rsidR="00CB5BF1" w:rsidRPr="005B2B41">
        <w:rPr>
          <w:lang w:val="sr-Cyrl-CS"/>
        </w:rPr>
        <w:t>РАЗЛОЗИ ЗА ПОТВРЂИВАЊЕ УГОВОРА</w:t>
      </w:r>
    </w:p>
    <w:p w14:paraId="06E03823" w14:textId="77777777" w:rsidR="006F5526" w:rsidRPr="005B2B41" w:rsidRDefault="006F5526" w:rsidP="00E474CA">
      <w:pPr>
        <w:tabs>
          <w:tab w:val="left" w:pos="0"/>
        </w:tabs>
        <w:ind w:firstLine="720"/>
        <w:jc w:val="both"/>
        <w:rPr>
          <w:lang w:val="sr-Cyrl-CS"/>
        </w:rPr>
      </w:pPr>
    </w:p>
    <w:p w14:paraId="3613769B" w14:textId="1D257634" w:rsidR="001E586A" w:rsidRPr="005B2B41" w:rsidRDefault="001E586A" w:rsidP="001E586A">
      <w:pPr>
        <w:tabs>
          <w:tab w:val="left" w:pos="0"/>
        </w:tabs>
        <w:ind w:firstLine="720"/>
        <w:jc w:val="both"/>
        <w:rPr>
          <w:lang w:val="sr-Cyrl-CS"/>
        </w:rPr>
      </w:pPr>
      <w:r w:rsidRPr="005B2B41">
        <w:rPr>
          <w:lang w:val="sr-Cyrl-CS"/>
        </w:rPr>
        <w:t xml:space="preserve">Разлози за потврђивањe Уговора о гаранцији </w:t>
      </w:r>
      <w:r w:rsidR="00F362EB" w:rsidRPr="005B2B41">
        <w:rPr>
          <w:lang w:val="sr-Cyrl-CS"/>
        </w:rPr>
        <w:t>(Пројекат уградње паметних бројила у Србији) између Републике Србије и Европске инвестиционе банке</w:t>
      </w:r>
      <w:r w:rsidRPr="005B2B41">
        <w:rPr>
          <w:lang w:val="sr-Cyrl-CS"/>
        </w:rPr>
        <w:t xml:space="preserve">, потписаног </w:t>
      </w:r>
      <w:r w:rsidR="00F362EB" w:rsidRPr="005B2B41">
        <w:rPr>
          <w:lang w:val="sr-Cyrl-CS"/>
        </w:rPr>
        <w:t>у Београду, 24. јуна 2024. године и у Луксембургу, 28. јуна 2024. године</w:t>
      </w:r>
      <w:r w:rsidRPr="005B2B41">
        <w:rPr>
          <w:lang w:val="sr-Cyrl-CS"/>
        </w:rPr>
        <w:t xml:space="preserve"> (у даљем тексту: </w:t>
      </w:r>
      <w:r w:rsidR="00DB4A6C" w:rsidRPr="005B2B41">
        <w:rPr>
          <w:lang w:val="sr-Cyrl-CS"/>
        </w:rPr>
        <w:t>„</w:t>
      </w:r>
      <w:r w:rsidRPr="005B2B41">
        <w:rPr>
          <w:lang w:val="sr-Cyrl-CS"/>
        </w:rPr>
        <w:t>Уговор о гаранцији</w:t>
      </w:r>
      <w:r w:rsidR="00D81743" w:rsidRPr="005B2B41">
        <w:rPr>
          <w:lang w:val="sr-Cyrl-CS"/>
        </w:rPr>
        <w:t>”</w:t>
      </w:r>
      <w:r w:rsidRPr="005B2B41">
        <w:rPr>
          <w:lang w:val="sr-Cyrl-CS"/>
        </w:rPr>
        <w:t xml:space="preserve">), садржани су у чињеници да је Европска </w:t>
      </w:r>
      <w:r w:rsidR="00F362EB" w:rsidRPr="005B2B41">
        <w:rPr>
          <w:lang w:val="sr-Cyrl-CS"/>
        </w:rPr>
        <w:t xml:space="preserve">инвестициона банка (у даљем тексту: </w:t>
      </w:r>
      <w:r w:rsidR="00DB4A6C" w:rsidRPr="005B2B41">
        <w:rPr>
          <w:lang w:val="sr-Cyrl-CS"/>
        </w:rPr>
        <w:t>„</w:t>
      </w:r>
      <w:r w:rsidR="00F362EB" w:rsidRPr="005B2B41">
        <w:rPr>
          <w:lang w:val="sr-Cyrl-CS"/>
        </w:rPr>
        <w:t>Банка</w:t>
      </w:r>
      <w:r w:rsidR="00D81743" w:rsidRPr="005B2B41">
        <w:rPr>
          <w:lang w:val="sr-Cyrl-CS"/>
        </w:rPr>
        <w:t>”</w:t>
      </w:r>
      <w:r w:rsidR="00F362EB" w:rsidRPr="005B2B41">
        <w:rPr>
          <w:lang w:val="sr-Cyrl-CS"/>
        </w:rPr>
        <w:t>)</w:t>
      </w:r>
      <w:r w:rsidRPr="005B2B41">
        <w:rPr>
          <w:lang w:val="sr-Cyrl-CS"/>
        </w:rPr>
        <w:t xml:space="preserve"> одобрила зајам од </w:t>
      </w:r>
      <w:r w:rsidR="00F362EB" w:rsidRPr="005B2B41">
        <w:rPr>
          <w:lang w:val="sr-Cyrl-CS"/>
        </w:rPr>
        <w:t>80</w:t>
      </w:r>
      <w:r w:rsidRPr="005B2B41">
        <w:rPr>
          <w:lang w:val="sr-Cyrl-CS"/>
        </w:rPr>
        <w:t xml:space="preserve">.000.000 евра </w:t>
      </w:r>
      <w:r w:rsidR="00DB4A6C" w:rsidRPr="005B2B41">
        <w:rPr>
          <w:lang w:val="sr-Cyrl-CS"/>
        </w:rPr>
        <w:t>Електродист</w:t>
      </w:r>
      <w:r w:rsidR="005B2B41">
        <w:rPr>
          <w:lang w:val="sr-Cyrl-CS"/>
        </w:rPr>
        <w:t>р</w:t>
      </w:r>
      <w:r w:rsidR="00DB4A6C" w:rsidRPr="005B2B41">
        <w:rPr>
          <w:lang w:val="sr-Cyrl-CS"/>
        </w:rPr>
        <w:t>ибуцији Србије д.о.о. Београд</w:t>
      </w:r>
      <w:r w:rsidRPr="005B2B41">
        <w:rPr>
          <w:lang w:val="sr-Cyrl-CS"/>
        </w:rPr>
        <w:t xml:space="preserve">, као зајмопримцу, према Уговору о </w:t>
      </w:r>
      <w:r w:rsidR="00DB4A6C" w:rsidRPr="005B2B41">
        <w:rPr>
          <w:lang w:val="sr-Cyrl-CS"/>
        </w:rPr>
        <w:t>финансирању</w:t>
      </w:r>
      <w:r w:rsidRPr="005B2B41">
        <w:rPr>
          <w:lang w:val="sr-Cyrl-CS"/>
        </w:rPr>
        <w:t xml:space="preserve"> (</w:t>
      </w:r>
      <w:r w:rsidR="00DB4A6C" w:rsidRPr="005B2B41">
        <w:rPr>
          <w:lang w:val="sr-Cyrl-CS"/>
        </w:rPr>
        <w:t>Пројекат уградње паметних бројила у Србији</w:t>
      </w:r>
      <w:r w:rsidRPr="005B2B41">
        <w:rPr>
          <w:lang w:val="sr-Cyrl-CS"/>
        </w:rPr>
        <w:t xml:space="preserve">) између </w:t>
      </w:r>
      <w:r w:rsidR="00DB4A6C" w:rsidRPr="005B2B41">
        <w:rPr>
          <w:lang w:val="sr-Cyrl-CS"/>
        </w:rPr>
        <w:t>Европске инвестиционе банке</w:t>
      </w:r>
      <w:r w:rsidRPr="005B2B41">
        <w:rPr>
          <w:lang w:val="sr-Cyrl-CS"/>
        </w:rPr>
        <w:t xml:space="preserve"> и </w:t>
      </w:r>
      <w:r w:rsidR="00DB4A6C" w:rsidRPr="005B2B41">
        <w:rPr>
          <w:lang w:val="sr-Cyrl-CS"/>
        </w:rPr>
        <w:t>Електродист</w:t>
      </w:r>
      <w:r w:rsidR="005B2B41">
        <w:rPr>
          <w:lang w:val="sr-Cyrl-CS"/>
        </w:rPr>
        <w:t>р</w:t>
      </w:r>
      <w:r w:rsidR="00DB4A6C" w:rsidRPr="005B2B41">
        <w:rPr>
          <w:lang w:val="sr-Cyrl-CS"/>
        </w:rPr>
        <w:t>ибуције Србије д.о.о. Београд</w:t>
      </w:r>
      <w:r w:rsidRPr="005B2B41">
        <w:rPr>
          <w:lang w:val="sr-Cyrl-CS"/>
        </w:rPr>
        <w:t xml:space="preserve">, који је такође потписан </w:t>
      </w:r>
      <w:r w:rsidR="00DB4A6C" w:rsidRPr="005B2B41">
        <w:rPr>
          <w:lang w:val="sr-Cyrl-CS"/>
        </w:rPr>
        <w:t>у Београду, 24. јуна 2024. године и у Луксембургу, 28. јуна 2024. године</w:t>
      </w:r>
      <w:r w:rsidRPr="005B2B41">
        <w:rPr>
          <w:lang w:val="sr-Cyrl-CS"/>
        </w:rPr>
        <w:t xml:space="preserve"> (у даљем тексту: </w:t>
      </w:r>
      <w:r w:rsidR="00DB4A6C" w:rsidRPr="005B2B41">
        <w:rPr>
          <w:lang w:val="sr-Cyrl-CS"/>
        </w:rPr>
        <w:t>„</w:t>
      </w:r>
      <w:r w:rsidRPr="005B2B41">
        <w:rPr>
          <w:lang w:val="sr-Cyrl-CS"/>
        </w:rPr>
        <w:t xml:space="preserve">Уговор о </w:t>
      </w:r>
      <w:r w:rsidR="00D81743" w:rsidRPr="005B2B41">
        <w:rPr>
          <w:lang w:val="sr-Cyrl-CS"/>
        </w:rPr>
        <w:t>финансирању”</w:t>
      </w:r>
      <w:r w:rsidRPr="005B2B41">
        <w:rPr>
          <w:lang w:val="sr-Cyrl-CS"/>
        </w:rPr>
        <w:t xml:space="preserve">), уз услов да Република Србија гарантује за обавезе зајмопримцa. </w:t>
      </w:r>
    </w:p>
    <w:p w14:paraId="23B9ECE8" w14:textId="77777777" w:rsidR="001E586A" w:rsidRPr="005B2B41" w:rsidRDefault="001E586A" w:rsidP="001E586A">
      <w:pPr>
        <w:tabs>
          <w:tab w:val="left" w:pos="0"/>
        </w:tabs>
        <w:ind w:firstLine="720"/>
        <w:jc w:val="both"/>
        <w:rPr>
          <w:lang w:val="sr-Cyrl-CS"/>
        </w:rPr>
      </w:pPr>
      <w:r w:rsidRPr="005B2B41">
        <w:rPr>
          <w:lang w:val="sr-Cyrl-CS"/>
        </w:rPr>
        <w:t>Према одредби члана 5. став 2. Закона о јавном дугу („Службени гласник РС”, бр. 61/05, 107/09, 78/11, 68/15, 95/18, 91/19 и 149/20) Народна скупштина Републике Србије, између осталог, одлучује о давању гаранција, као и непосредном преузимању обавеза у својству дужника по основу дате гаранције.</w:t>
      </w:r>
    </w:p>
    <w:p w14:paraId="2EC23688" w14:textId="77777777" w:rsidR="001E586A" w:rsidRPr="005B2B41" w:rsidRDefault="001E586A" w:rsidP="001E586A">
      <w:pPr>
        <w:tabs>
          <w:tab w:val="left" w:pos="0"/>
        </w:tabs>
        <w:ind w:firstLine="720"/>
        <w:jc w:val="both"/>
        <w:rPr>
          <w:lang w:val="sr-Cyrl-CS"/>
        </w:rPr>
      </w:pPr>
      <w:r w:rsidRPr="005B2B41">
        <w:rPr>
          <w:lang w:val="sr-Cyrl-CS"/>
        </w:rPr>
        <w:t>Такође, Народна скупштина потврђује Уговор о гаранцији, као међународни уговор, у складу са одредбама члана 14. став 1. Закона о закључивању и извршавању међународних уговора („Службени гласник РС”, број 32/13).</w:t>
      </w:r>
    </w:p>
    <w:p w14:paraId="62D65594" w14:textId="6CA81978" w:rsidR="00F36366" w:rsidRPr="005B2B41" w:rsidRDefault="003366A9" w:rsidP="001E586A">
      <w:pPr>
        <w:tabs>
          <w:tab w:val="left" w:pos="0"/>
        </w:tabs>
        <w:ind w:firstLine="720"/>
        <w:jc w:val="both"/>
        <w:rPr>
          <w:lang w:val="sr-Cyrl-CS"/>
        </w:rPr>
      </w:pPr>
      <w:r w:rsidRPr="005B2B41">
        <w:rPr>
          <w:lang w:val="sr-Cyrl-CS"/>
        </w:rPr>
        <w:t>Законом о буџету Републике Србије за 202</w:t>
      </w:r>
      <w:r w:rsidR="00307985" w:rsidRPr="005B2B41">
        <w:rPr>
          <w:lang w:val="sr-Cyrl-CS"/>
        </w:rPr>
        <w:t>4</w:t>
      </w:r>
      <w:r w:rsidRPr="005B2B41">
        <w:rPr>
          <w:lang w:val="sr-Cyrl-CS"/>
        </w:rPr>
        <w:t xml:space="preserve">. годину („Службени гласник РС”, број </w:t>
      </w:r>
      <w:r w:rsidR="00307985" w:rsidRPr="005B2B41">
        <w:rPr>
          <w:lang w:val="sr-Cyrl-CS"/>
        </w:rPr>
        <w:t>92</w:t>
      </w:r>
      <w:r w:rsidRPr="005B2B41">
        <w:rPr>
          <w:lang w:val="sr-Cyrl-CS"/>
        </w:rPr>
        <w:t>/2</w:t>
      </w:r>
      <w:r w:rsidR="00307985" w:rsidRPr="005B2B41">
        <w:rPr>
          <w:lang w:val="sr-Cyrl-CS"/>
        </w:rPr>
        <w:t>3</w:t>
      </w:r>
      <w:r w:rsidRPr="005B2B41">
        <w:rPr>
          <w:lang w:val="sr-Cyrl-CS"/>
        </w:rPr>
        <w:t>) предвиђено</w:t>
      </w:r>
      <w:r w:rsidR="000F6B64" w:rsidRPr="005B2B41">
        <w:rPr>
          <w:lang w:val="sr-Cyrl-CS"/>
        </w:rPr>
        <w:t xml:space="preserve"> је</w:t>
      </w:r>
      <w:r w:rsidRPr="005B2B41">
        <w:rPr>
          <w:lang w:val="sr-Cyrl-CS"/>
        </w:rPr>
        <w:t xml:space="preserve"> давање гаранције Републике Србије Европској </w:t>
      </w:r>
      <w:r w:rsidR="00307985" w:rsidRPr="005B2B41">
        <w:rPr>
          <w:lang w:val="sr-Cyrl-CS"/>
        </w:rPr>
        <w:t>инвестиционој банци</w:t>
      </w:r>
      <w:r w:rsidRPr="005B2B41">
        <w:rPr>
          <w:lang w:val="sr-Cyrl-CS"/>
        </w:rPr>
        <w:t xml:space="preserve">  у износу до </w:t>
      </w:r>
      <w:r w:rsidR="00307985" w:rsidRPr="005B2B41">
        <w:rPr>
          <w:lang w:val="sr-Cyrl-CS"/>
        </w:rPr>
        <w:t>8</w:t>
      </w:r>
      <w:r w:rsidRPr="005B2B41">
        <w:rPr>
          <w:lang w:val="sr-Cyrl-CS"/>
        </w:rPr>
        <w:t>0.000.000 евра по основу задужења Електродист</w:t>
      </w:r>
      <w:r w:rsidR="005B2B41">
        <w:rPr>
          <w:lang w:val="sr-Cyrl-RS"/>
        </w:rPr>
        <w:t>р</w:t>
      </w:r>
      <w:r w:rsidRPr="005B2B41">
        <w:rPr>
          <w:lang w:val="sr-Cyrl-CS"/>
        </w:rPr>
        <w:t>ибуције Србије д.о.о. Београд, као зајмопримца</w:t>
      </w:r>
      <w:r w:rsidR="00E474CA" w:rsidRPr="005B2B41">
        <w:rPr>
          <w:lang w:val="sr-Cyrl-CS"/>
        </w:rPr>
        <w:t xml:space="preserve"> за финансирање Пројекта за паметна бројила</w:t>
      </w:r>
      <w:r w:rsidR="00DB4A6C" w:rsidRPr="005B2B41">
        <w:rPr>
          <w:lang w:val="sr-Cyrl-CS"/>
        </w:rPr>
        <w:t>, а то је био и правни основ за закључивање Уговора о финансирању и давање државне гаранције у оквиру лимита утврђеног законом којим се уређује буџет Републике Србије.</w:t>
      </w:r>
    </w:p>
    <w:p w14:paraId="539DF7D0" w14:textId="77777777" w:rsidR="00F36366" w:rsidRPr="005B2B41" w:rsidRDefault="005C51FD" w:rsidP="001E586A">
      <w:pPr>
        <w:tabs>
          <w:tab w:val="left" w:pos="0"/>
        </w:tabs>
        <w:ind w:firstLine="720"/>
        <w:jc w:val="both"/>
        <w:rPr>
          <w:lang w:val="sr-Cyrl-CS"/>
        </w:rPr>
      </w:pPr>
      <w:r w:rsidRPr="005B2B41">
        <w:rPr>
          <w:lang w:val="sr-Cyrl-CS"/>
        </w:rPr>
        <w:t xml:space="preserve">Увођење паметних система мерења у енергетски сектор један </w:t>
      </w:r>
      <w:r w:rsidR="00E972B1" w:rsidRPr="005B2B41">
        <w:rPr>
          <w:lang w:val="sr-Cyrl-CS"/>
        </w:rPr>
        <w:t xml:space="preserve">је </w:t>
      </w:r>
      <w:r w:rsidRPr="005B2B41">
        <w:rPr>
          <w:lang w:val="sr-Cyrl-CS"/>
        </w:rPr>
        <w:t>од најважнијих циљева енергетске политике Републике Србије. Побољшање мерне инфраструктуре и комуникације са купцима електричне енергије у циљу ефикаснијег коришћења исте</w:t>
      </w:r>
      <w:r w:rsidR="00E972B1" w:rsidRPr="005B2B41">
        <w:rPr>
          <w:lang w:val="sr-Cyrl-CS"/>
        </w:rPr>
        <w:t>,</w:t>
      </w:r>
      <w:r w:rsidRPr="005B2B41">
        <w:rPr>
          <w:lang w:val="sr-Cyrl-CS"/>
        </w:rPr>
        <w:t xml:space="preserve"> представља приоритетни задатак у модернизацији система преноса и дистрибуције електричне енергије. </w:t>
      </w:r>
    </w:p>
    <w:p w14:paraId="16059561" w14:textId="41347BC3" w:rsidR="00E474CA" w:rsidRPr="005B2B41" w:rsidRDefault="006C2113" w:rsidP="00F36366">
      <w:pPr>
        <w:tabs>
          <w:tab w:val="left" w:pos="0"/>
        </w:tabs>
        <w:spacing w:after="120"/>
        <w:ind w:firstLine="720"/>
        <w:jc w:val="both"/>
        <w:rPr>
          <w:lang w:val="sr-Cyrl-CS"/>
        </w:rPr>
      </w:pPr>
      <w:r w:rsidRPr="005B2B41">
        <w:rPr>
          <w:lang w:val="sr-Cyrl-CS"/>
        </w:rPr>
        <w:t>Ради модернизације мерне инфраструктуре и развоја напредних мерних система, Електродист</w:t>
      </w:r>
      <w:r w:rsidR="005B2B41">
        <w:rPr>
          <w:lang w:val="sr-Cyrl-CS"/>
        </w:rPr>
        <w:t>р</w:t>
      </w:r>
      <w:r w:rsidRPr="005B2B41">
        <w:rPr>
          <w:lang w:val="sr-Cyrl-CS"/>
        </w:rPr>
        <w:t>ибуција Србије д.о.о. Београд</w:t>
      </w:r>
      <w:r w:rsidR="008349EB" w:rsidRPr="005B2B41">
        <w:rPr>
          <w:lang w:val="sr-Cyrl-CS"/>
        </w:rPr>
        <w:t xml:space="preserve"> </w:t>
      </w:r>
      <w:r w:rsidR="00D81743" w:rsidRPr="005B2B41">
        <w:rPr>
          <w:lang w:val="sr-Cyrl-CS"/>
        </w:rPr>
        <w:t>(у даљем тексту: „ЕДС”</w:t>
      </w:r>
      <w:r w:rsidR="008349EB" w:rsidRPr="005B2B41">
        <w:rPr>
          <w:lang w:val="sr-Cyrl-CS"/>
        </w:rPr>
        <w:t>)</w:t>
      </w:r>
      <w:r w:rsidRPr="005B2B41">
        <w:rPr>
          <w:lang w:val="sr-Cyrl-CS"/>
        </w:rPr>
        <w:t>, као оператор дистрибутивног система</w:t>
      </w:r>
      <w:r w:rsidR="00B02F32" w:rsidRPr="005B2B41">
        <w:rPr>
          <w:lang w:val="sr-Cyrl-CS"/>
        </w:rPr>
        <w:t>,</w:t>
      </w:r>
      <w:r w:rsidRPr="005B2B41">
        <w:rPr>
          <w:lang w:val="sr-Cyrl-CS"/>
        </w:rPr>
        <w:t xml:space="preserve"> иницирала </w:t>
      </w:r>
      <w:r w:rsidR="00B02F32" w:rsidRPr="005B2B41">
        <w:rPr>
          <w:lang w:val="sr-Cyrl-CS"/>
        </w:rPr>
        <w:t xml:space="preserve">je </w:t>
      </w:r>
      <w:r w:rsidR="00DB25EB" w:rsidRPr="005B2B41">
        <w:rPr>
          <w:lang w:val="sr-Cyrl-CS"/>
        </w:rPr>
        <w:t xml:space="preserve">стратешки </w:t>
      </w:r>
      <w:r w:rsidR="009A195F" w:rsidRPr="005B2B41">
        <w:rPr>
          <w:lang w:val="sr-Cyrl-CS"/>
        </w:rPr>
        <w:t>Пројекат уградње паметних бројила у Србији</w:t>
      </w:r>
      <w:r w:rsidR="00DB25EB" w:rsidRPr="005B2B41">
        <w:rPr>
          <w:lang w:val="sr-Cyrl-CS"/>
        </w:rPr>
        <w:t xml:space="preserve"> </w:t>
      </w:r>
      <w:r w:rsidRPr="005B2B41">
        <w:rPr>
          <w:lang w:val="sr-Cyrl-CS"/>
        </w:rPr>
        <w:t xml:space="preserve">(у даљем тексту: </w:t>
      </w:r>
      <w:r w:rsidR="008349EB" w:rsidRPr="005B2B41">
        <w:rPr>
          <w:lang w:val="sr-Cyrl-CS"/>
        </w:rPr>
        <w:t>„</w:t>
      </w:r>
      <w:r w:rsidRPr="005B2B41">
        <w:rPr>
          <w:lang w:val="sr-Cyrl-CS"/>
        </w:rPr>
        <w:t>Пројекат</w:t>
      </w:r>
      <w:r w:rsidR="00D81743" w:rsidRPr="005B2B41">
        <w:rPr>
          <w:lang w:val="sr-Cyrl-CS"/>
        </w:rPr>
        <w:t>”</w:t>
      </w:r>
      <w:r w:rsidRPr="005B2B41">
        <w:rPr>
          <w:lang w:val="sr-Cyrl-CS"/>
        </w:rPr>
        <w:t xml:space="preserve">) </w:t>
      </w:r>
      <w:r w:rsidR="00E474CA" w:rsidRPr="005B2B41">
        <w:rPr>
          <w:lang w:val="sr-Cyrl-CS"/>
        </w:rPr>
        <w:t xml:space="preserve">који подразумева набавку и замену класичних бројила савременим електронским бројилима која имају могућност комуникације (паметна бројила), као и набавку и успостављање система (софтвера и хардвера) за њихово очитавање, управљање и прикупљање података.  </w:t>
      </w:r>
    </w:p>
    <w:p w14:paraId="6F4077C9" w14:textId="3C3C0E9B" w:rsidR="00E474CA" w:rsidRPr="005B2B41" w:rsidRDefault="00D81743" w:rsidP="00F36366">
      <w:pPr>
        <w:tabs>
          <w:tab w:val="left" w:pos="0"/>
        </w:tabs>
        <w:spacing w:after="120"/>
        <w:ind w:firstLine="720"/>
        <w:jc w:val="both"/>
        <w:rPr>
          <w:lang w:val="sr-Cyrl-CS"/>
        </w:rPr>
      </w:pPr>
      <w:r w:rsidRPr="005B2B41">
        <w:rPr>
          <w:lang w:val="sr-Cyrl-CS"/>
        </w:rPr>
        <w:lastRenderedPageBreak/>
        <w:t>Циљеви П</w:t>
      </w:r>
      <w:r w:rsidR="00E474CA" w:rsidRPr="005B2B41">
        <w:rPr>
          <w:lang w:val="sr-Cyrl-CS"/>
        </w:rPr>
        <w:t xml:space="preserve">ројекта су: </w:t>
      </w:r>
    </w:p>
    <w:p w14:paraId="17405A26" w14:textId="77777777" w:rsidR="00E474CA" w:rsidRPr="005B2B41" w:rsidRDefault="00E474CA" w:rsidP="00F36366">
      <w:pPr>
        <w:pStyle w:val="ListParagraph"/>
        <w:numPr>
          <w:ilvl w:val="0"/>
          <w:numId w:val="18"/>
        </w:numPr>
        <w:tabs>
          <w:tab w:val="left" w:pos="0"/>
        </w:tabs>
        <w:spacing w:after="120"/>
        <w:jc w:val="both"/>
        <w:rPr>
          <w:lang w:val="sr-Cyrl-CS"/>
        </w:rPr>
      </w:pPr>
      <w:r w:rsidRPr="005B2B41">
        <w:rPr>
          <w:lang w:val="sr-Cyrl-CS"/>
        </w:rPr>
        <w:t>унапређење ефикасности, управљања и контроле над дистрибутивним системом електричне енергије;</w:t>
      </w:r>
    </w:p>
    <w:p w14:paraId="1ACF2EA9" w14:textId="3FE86A0C" w:rsidR="00E474CA" w:rsidRPr="005B2B41" w:rsidRDefault="00E474CA" w:rsidP="00F36366">
      <w:pPr>
        <w:pStyle w:val="ListParagraph"/>
        <w:numPr>
          <w:ilvl w:val="0"/>
          <w:numId w:val="18"/>
        </w:numPr>
        <w:tabs>
          <w:tab w:val="left" w:pos="0"/>
        </w:tabs>
        <w:spacing w:after="120"/>
        <w:jc w:val="both"/>
        <w:rPr>
          <w:lang w:val="sr-Cyrl-CS"/>
        </w:rPr>
      </w:pPr>
      <w:r w:rsidRPr="005B2B41">
        <w:rPr>
          <w:lang w:val="sr-Cyrl-CS"/>
        </w:rPr>
        <w:t>смањ</w:t>
      </w:r>
      <w:r w:rsidR="002F46CF" w:rsidRPr="005B2B41">
        <w:rPr>
          <w:lang w:val="sr-Cyrl-CS"/>
        </w:rPr>
        <w:t>ење</w:t>
      </w:r>
      <w:r w:rsidRPr="005B2B41">
        <w:rPr>
          <w:lang w:val="sr-Cyrl-CS"/>
        </w:rPr>
        <w:t xml:space="preserve"> нивоа губитака у дистрибутивној мрежи (комерцијални и технички губици);</w:t>
      </w:r>
    </w:p>
    <w:p w14:paraId="193DCE7B" w14:textId="77777777" w:rsidR="00C75323" w:rsidRPr="005B2B41" w:rsidRDefault="00E474CA" w:rsidP="00F36366">
      <w:pPr>
        <w:pStyle w:val="ListParagraph"/>
        <w:numPr>
          <w:ilvl w:val="0"/>
          <w:numId w:val="18"/>
        </w:numPr>
        <w:tabs>
          <w:tab w:val="left" w:pos="0"/>
        </w:tabs>
        <w:spacing w:after="120"/>
        <w:jc w:val="both"/>
        <w:rPr>
          <w:lang w:val="sr-Cyrl-CS"/>
        </w:rPr>
      </w:pPr>
      <w:r w:rsidRPr="005B2B41">
        <w:rPr>
          <w:lang w:val="sr-Cyrl-CS"/>
        </w:rPr>
        <w:t xml:space="preserve">смањење оперативних трошкова; </w:t>
      </w:r>
      <w:r w:rsidR="00C75323" w:rsidRPr="005B2B41">
        <w:rPr>
          <w:lang w:val="sr-Cyrl-CS"/>
        </w:rPr>
        <w:t>и</w:t>
      </w:r>
    </w:p>
    <w:p w14:paraId="73270A4A" w14:textId="77777777" w:rsidR="00C75323" w:rsidRPr="005B2B41" w:rsidRDefault="00C75323" w:rsidP="00F36366">
      <w:pPr>
        <w:pStyle w:val="ListParagraph"/>
        <w:numPr>
          <w:ilvl w:val="0"/>
          <w:numId w:val="18"/>
        </w:numPr>
        <w:tabs>
          <w:tab w:val="left" w:pos="0"/>
        </w:tabs>
        <w:spacing w:after="120"/>
        <w:jc w:val="both"/>
        <w:rPr>
          <w:lang w:val="sr-Cyrl-CS"/>
        </w:rPr>
      </w:pPr>
      <w:r w:rsidRPr="005B2B41">
        <w:rPr>
          <w:lang w:val="sr-Cyrl-CS"/>
        </w:rPr>
        <w:t>развој тржишта електричне енергије</w:t>
      </w:r>
    </w:p>
    <w:p w14:paraId="3BC2AF45" w14:textId="1EAAA3EE" w:rsidR="00F36366" w:rsidRPr="005B2B41" w:rsidRDefault="005A28B7" w:rsidP="001E586A">
      <w:pPr>
        <w:tabs>
          <w:tab w:val="left" w:pos="0"/>
        </w:tabs>
        <w:ind w:firstLine="720"/>
        <w:jc w:val="both"/>
        <w:rPr>
          <w:color w:val="FF0000"/>
          <w:lang w:val="sr-Cyrl-CS"/>
        </w:rPr>
      </w:pPr>
      <w:r w:rsidRPr="005B2B41">
        <w:rPr>
          <w:lang w:val="sr-Cyrl-CS"/>
        </w:rPr>
        <w:t>Процењена вредност П</w:t>
      </w:r>
      <w:r w:rsidR="00E474CA" w:rsidRPr="005B2B41">
        <w:rPr>
          <w:lang w:val="sr-Cyrl-CS"/>
        </w:rPr>
        <w:t xml:space="preserve">ројекта је </w:t>
      </w:r>
      <w:r w:rsidR="00307985" w:rsidRPr="005B2B41">
        <w:rPr>
          <w:lang w:val="sr-Cyrl-CS"/>
        </w:rPr>
        <w:t>238</w:t>
      </w:r>
      <w:r w:rsidR="00E474CA" w:rsidRPr="005B2B41">
        <w:rPr>
          <w:lang w:val="sr-Cyrl-CS"/>
        </w:rPr>
        <w:t>.000.000 евра</w:t>
      </w:r>
      <w:r w:rsidR="00E972B1" w:rsidRPr="005B2B41">
        <w:rPr>
          <w:lang w:val="sr-Cyrl-CS"/>
        </w:rPr>
        <w:t xml:space="preserve"> који ће се</w:t>
      </w:r>
      <w:r w:rsidR="00E474CA" w:rsidRPr="005B2B41">
        <w:rPr>
          <w:lang w:val="sr-Cyrl-CS"/>
        </w:rPr>
        <w:t xml:space="preserve"> изводи</w:t>
      </w:r>
      <w:r w:rsidR="00E972B1" w:rsidRPr="005B2B41">
        <w:rPr>
          <w:lang w:val="sr-Cyrl-CS"/>
        </w:rPr>
        <w:t>ти</w:t>
      </w:r>
      <w:r w:rsidR="00E474CA" w:rsidRPr="005B2B41">
        <w:rPr>
          <w:lang w:val="sr-Cyrl-CS"/>
        </w:rPr>
        <w:t xml:space="preserve"> у две секвенцијалне фазе (1А и 1Б). Планирано је да финансирање фазе 1А пројекта буде обезбеђено кредитом </w:t>
      </w:r>
      <w:r w:rsidR="00307985" w:rsidRPr="005B2B41">
        <w:rPr>
          <w:lang w:val="sr-Cyrl-CS"/>
        </w:rPr>
        <w:t>Европске банке за обнову и развој</w:t>
      </w:r>
      <w:r w:rsidR="00E474CA" w:rsidRPr="005B2B41">
        <w:rPr>
          <w:lang w:val="sr-Cyrl-CS"/>
        </w:rPr>
        <w:t xml:space="preserve"> </w:t>
      </w:r>
      <w:r w:rsidR="00BB7DDD" w:rsidRPr="005B2B41">
        <w:rPr>
          <w:lang w:val="sr-Cyrl-CS"/>
        </w:rPr>
        <w:t>(40.000.000 евра), уз државну гаранцију,</w:t>
      </w:r>
      <w:r w:rsidR="00F36366" w:rsidRPr="005B2B41">
        <w:rPr>
          <w:lang w:val="sr-Cyrl-CS"/>
        </w:rPr>
        <w:t xml:space="preserve"> као и</w:t>
      </w:r>
      <w:r w:rsidR="00BB7DDD" w:rsidRPr="005B2B41">
        <w:rPr>
          <w:lang w:val="sr-Cyrl-CS"/>
        </w:rPr>
        <w:t xml:space="preserve"> </w:t>
      </w:r>
      <w:r w:rsidR="00E46A9F" w:rsidRPr="005B2B41">
        <w:rPr>
          <w:lang w:val="sr-Cyrl-CS"/>
        </w:rPr>
        <w:t>бесповратним средставима</w:t>
      </w:r>
      <w:r w:rsidR="00F36366" w:rsidRPr="005B2B41">
        <w:rPr>
          <w:lang w:val="sr-Cyrl-CS"/>
        </w:rPr>
        <w:t xml:space="preserve"> Инвестиционог оквира за Западни Балкан (Western Balkan Investment Framework – WBIF) у износу до 8.000.000 евра. Ф</w:t>
      </w:r>
      <w:r w:rsidR="00BB7DDD" w:rsidRPr="005B2B41">
        <w:rPr>
          <w:lang w:val="sr-Cyrl-CS"/>
        </w:rPr>
        <w:t xml:space="preserve">аза 1Б </w:t>
      </w:r>
      <w:r w:rsidR="00F36366" w:rsidRPr="005B2B41">
        <w:rPr>
          <w:lang w:val="sr-Cyrl-CS"/>
        </w:rPr>
        <w:t>биће</w:t>
      </w:r>
      <w:r w:rsidR="00BB7DDD" w:rsidRPr="005B2B41">
        <w:rPr>
          <w:lang w:val="sr-Cyrl-CS"/>
        </w:rPr>
        <w:t xml:space="preserve"> финансирана кредитом Европске инвестиционе банке (</w:t>
      </w:r>
      <w:r w:rsidR="00307985" w:rsidRPr="005B2B41">
        <w:rPr>
          <w:lang w:val="sr-Cyrl-CS"/>
        </w:rPr>
        <w:t>8</w:t>
      </w:r>
      <w:r w:rsidR="00BB7DDD" w:rsidRPr="005B2B41">
        <w:rPr>
          <w:lang w:val="sr-Cyrl-CS"/>
        </w:rPr>
        <w:t>0.000.000 евра), такође уз државну гаранцију</w:t>
      </w:r>
      <w:r w:rsidR="00F36366" w:rsidRPr="005B2B41">
        <w:rPr>
          <w:lang w:val="sr-Cyrl-CS"/>
        </w:rPr>
        <w:t xml:space="preserve">. Поред наведених средстава из кредита, расположива су и </w:t>
      </w:r>
      <w:r w:rsidR="00915372" w:rsidRPr="005B2B41">
        <w:rPr>
          <w:lang w:val="sr-Cyrl-CS"/>
        </w:rPr>
        <w:t>Средства из гранта ЕУ, по основу Споразума између Републике Србије и Европске комисије о Годишњем акционом плану за буџетску подршку енергетском сектору за 2023. годину, у оквиру Инструмента за претприступну помоћ (IPA III) у износу до 110.000.000 евра.</w:t>
      </w:r>
    </w:p>
    <w:p w14:paraId="36CAC39B" w14:textId="53229B9A" w:rsidR="008349EB" w:rsidRPr="005B2B41" w:rsidRDefault="008349EB" w:rsidP="00F36366">
      <w:pPr>
        <w:tabs>
          <w:tab w:val="left" w:pos="0"/>
        </w:tabs>
        <w:spacing w:after="120"/>
        <w:ind w:firstLine="720"/>
        <w:jc w:val="both"/>
        <w:rPr>
          <w:color w:val="FF0000"/>
          <w:lang w:val="sr-Cyrl-CS"/>
        </w:rPr>
      </w:pPr>
      <w:r w:rsidRPr="005B2B41">
        <w:rPr>
          <w:lang w:val="sr-Cyrl-CS"/>
        </w:rPr>
        <w:t>За реализацију фаз</w:t>
      </w:r>
      <w:r w:rsidR="00E46A9F" w:rsidRPr="005B2B41">
        <w:rPr>
          <w:lang w:val="sr-Cyrl-CS"/>
        </w:rPr>
        <w:t>е</w:t>
      </w:r>
      <w:r w:rsidRPr="005B2B41">
        <w:rPr>
          <w:lang w:val="sr-Cyrl-CS"/>
        </w:rPr>
        <w:t xml:space="preserve"> 1A</w:t>
      </w:r>
      <w:r w:rsidR="003E579A" w:rsidRPr="005B2B41">
        <w:rPr>
          <w:lang w:val="sr-Cyrl-CS"/>
        </w:rPr>
        <w:t>, 14. септембра 2021. године потписан је Уговор о зајму (Паметна бројила) између Електродистрибуције Србије д.о.о. Београд и Европске банке за обнову и развој у износу од 40 милиона евра.</w:t>
      </w:r>
      <w:r w:rsidRPr="005B2B41">
        <w:rPr>
          <w:lang w:val="sr-Cyrl-CS"/>
        </w:rPr>
        <w:t xml:space="preserve"> </w:t>
      </w:r>
      <w:r w:rsidR="003E579A" w:rsidRPr="005B2B41">
        <w:rPr>
          <w:lang w:val="sr-Cyrl-CS"/>
        </w:rPr>
        <w:t>Уговор о гаранцији (Паметна бројила) између Републике Србије и Европске банке за обнову и развој, потписан је 14. септембра 2021. године</w:t>
      </w:r>
      <w:r w:rsidRPr="005B2B41">
        <w:rPr>
          <w:lang w:val="sr-Cyrl-CS"/>
        </w:rPr>
        <w:t xml:space="preserve"> </w:t>
      </w:r>
      <w:r w:rsidR="003E579A" w:rsidRPr="005B2B41">
        <w:rPr>
          <w:lang w:val="sr-Cyrl-CS"/>
        </w:rPr>
        <w:t>и потврђен од стране Народне скупштине Републике Србије 3. новембра 2021. године доношењем Закона о потврђивању Уговора о гаранцији (Паметна бројила) између Републике Србије и Европске банке за обнову и развој</w:t>
      </w:r>
      <w:r w:rsidR="00D81743" w:rsidRPr="005B2B41">
        <w:rPr>
          <w:lang w:val="sr-Cyrl-CS"/>
        </w:rPr>
        <w:t xml:space="preserve"> („Службени гласник РС</w:t>
      </w:r>
      <w:r w:rsidR="003E579A" w:rsidRPr="005B2B41">
        <w:rPr>
          <w:lang w:val="sr-Cyrl-CS"/>
        </w:rPr>
        <w:t xml:space="preserve"> - Међународни уговори</w:t>
      </w:r>
      <w:r w:rsidR="00D81743" w:rsidRPr="005B2B41">
        <w:rPr>
          <w:lang w:val="sr-Cyrl-CS"/>
        </w:rPr>
        <w:t>”</w:t>
      </w:r>
      <w:r w:rsidR="003E579A" w:rsidRPr="005B2B41">
        <w:rPr>
          <w:lang w:val="sr-Cyrl-CS"/>
        </w:rPr>
        <w:t>, број 22/21)</w:t>
      </w:r>
      <w:r w:rsidRPr="005B2B41">
        <w:rPr>
          <w:lang w:val="sr-Cyrl-CS"/>
        </w:rPr>
        <w:t xml:space="preserve">. </w:t>
      </w:r>
    </w:p>
    <w:p w14:paraId="1BBEED79" w14:textId="77777777" w:rsidR="00E474CA" w:rsidRPr="005B2B41" w:rsidRDefault="00E474CA" w:rsidP="00F36366">
      <w:pPr>
        <w:tabs>
          <w:tab w:val="left" w:pos="0"/>
        </w:tabs>
        <w:spacing w:after="120"/>
        <w:ind w:firstLine="720"/>
        <w:jc w:val="both"/>
        <w:rPr>
          <w:lang w:val="sr-Cyrl-CS"/>
        </w:rPr>
      </w:pPr>
      <w:r w:rsidRPr="005B2B41">
        <w:rPr>
          <w:lang w:val="sr-Cyrl-CS"/>
        </w:rPr>
        <w:t>Фазом 1А планирана је реализација</w:t>
      </w:r>
      <w:r w:rsidR="00E972B1" w:rsidRPr="005B2B41">
        <w:rPr>
          <w:lang w:val="sr-Cyrl-CS"/>
        </w:rPr>
        <w:t xml:space="preserve"> следећих активности</w:t>
      </w:r>
      <w:r w:rsidRPr="005B2B41">
        <w:rPr>
          <w:lang w:val="sr-Cyrl-CS"/>
        </w:rPr>
        <w:t>:</w:t>
      </w:r>
    </w:p>
    <w:p w14:paraId="06A8FE79" w14:textId="77777777" w:rsidR="00E474CA" w:rsidRPr="005B2B41" w:rsidRDefault="00BB7DDD" w:rsidP="00F36366">
      <w:pPr>
        <w:pStyle w:val="ListParagraph"/>
        <w:numPr>
          <w:ilvl w:val="0"/>
          <w:numId w:val="18"/>
        </w:numPr>
        <w:tabs>
          <w:tab w:val="left" w:pos="0"/>
        </w:tabs>
        <w:spacing w:after="120"/>
        <w:jc w:val="both"/>
        <w:rPr>
          <w:lang w:val="sr-Cyrl-CS"/>
        </w:rPr>
      </w:pPr>
      <w:r w:rsidRPr="005B2B41">
        <w:rPr>
          <w:u w:val="single"/>
          <w:lang w:val="sr-Cyrl-CS"/>
        </w:rPr>
        <w:t>Избор</w:t>
      </w:r>
      <w:r w:rsidR="00E474CA" w:rsidRPr="005B2B41">
        <w:rPr>
          <w:u w:val="single"/>
          <w:lang w:val="sr-Cyrl-CS"/>
        </w:rPr>
        <w:t xml:space="preserve"> консултанта са дефинисаним задацима</w:t>
      </w:r>
      <w:r w:rsidR="00E474CA" w:rsidRPr="005B2B41">
        <w:rPr>
          <w:lang w:val="sr-Cyrl-CS"/>
        </w:rPr>
        <w:t xml:space="preserve">: </w:t>
      </w:r>
    </w:p>
    <w:p w14:paraId="1C370E53" w14:textId="77777777" w:rsidR="00E474CA" w:rsidRPr="005B2B41" w:rsidRDefault="00E474CA" w:rsidP="00F36366">
      <w:pPr>
        <w:pStyle w:val="ListParagraph"/>
        <w:numPr>
          <w:ilvl w:val="0"/>
          <w:numId w:val="20"/>
        </w:numPr>
        <w:tabs>
          <w:tab w:val="left" w:pos="0"/>
        </w:tabs>
        <w:spacing w:after="120"/>
        <w:jc w:val="both"/>
        <w:rPr>
          <w:lang w:val="sr-Cyrl-CS"/>
        </w:rPr>
      </w:pPr>
      <w:r w:rsidRPr="005B2B41">
        <w:rPr>
          <w:lang w:val="sr-Cyrl-CS"/>
        </w:rPr>
        <w:t>Задатак 1: Анализа постојеће мерне инфраструктуре ради проналажења изводљивог решења са постојећим инсталираним системом и паметним бројилима</w:t>
      </w:r>
      <w:r w:rsidR="00BB7DDD" w:rsidRPr="005B2B41">
        <w:rPr>
          <w:lang w:val="sr-Cyrl-CS"/>
        </w:rPr>
        <w:t>;</w:t>
      </w:r>
    </w:p>
    <w:p w14:paraId="072D39A2" w14:textId="77777777" w:rsidR="00E474CA" w:rsidRPr="005B2B41" w:rsidRDefault="00E474CA" w:rsidP="00F36366">
      <w:pPr>
        <w:pStyle w:val="ListParagraph"/>
        <w:numPr>
          <w:ilvl w:val="0"/>
          <w:numId w:val="20"/>
        </w:numPr>
        <w:tabs>
          <w:tab w:val="left" w:pos="0"/>
        </w:tabs>
        <w:spacing w:after="120"/>
        <w:jc w:val="both"/>
        <w:rPr>
          <w:lang w:val="sr-Cyrl-CS"/>
        </w:rPr>
      </w:pPr>
      <w:r w:rsidRPr="005B2B41">
        <w:rPr>
          <w:lang w:val="sr-Cyrl-CS"/>
        </w:rPr>
        <w:t>Задатак 2: Помоћ у припреми тендерске документације, спровођења поступка набавке, евалуације понуда и поступка уговарања набавке додатних паметних бројила и набавке надоградње или ажурирања система за даљинско мерење и управљање како би се достиг</w:t>
      </w:r>
      <w:r w:rsidR="00BB7DDD" w:rsidRPr="005B2B41">
        <w:rPr>
          <w:lang w:val="sr-Cyrl-CS"/>
        </w:rPr>
        <w:t>ао идентификовани изводљиви циљ;</w:t>
      </w:r>
    </w:p>
    <w:p w14:paraId="6D08A728" w14:textId="77777777" w:rsidR="00E474CA" w:rsidRPr="005B2B41" w:rsidRDefault="00E474CA" w:rsidP="00F36366">
      <w:pPr>
        <w:pStyle w:val="ListParagraph"/>
        <w:numPr>
          <w:ilvl w:val="0"/>
          <w:numId w:val="20"/>
        </w:numPr>
        <w:tabs>
          <w:tab w:val="left" w:pos="0"/>
        </w:tabs>
        <w:spacing w:after="120"/>
        <w:jc w:val="both"/>
        <w:rPr>
          <w:lang w:val="sr-Cyrl-CS"/>
        </w:rPr>
      </w:pPr>
      <w:r w:rsidRPr="005B2B41">
        <w:rPr>
          <w:lang w:val="sr-Cyrl-CS"/>
        </w:rPr>
        <w:t>Задатак 3: Техничка помоћ приликом инсталације и пушта</w:t>
      </w:r>
      <w:r w:rsidR="00BB7DDD" w:rsidRPr="005B2B41">
        <w:rPr>
          <w:lang w:val="sr-Cyrl-CS"/>
        </w:rPr>
        <w:t>ња у рад свих компонети система;</w:t>
      </w:r>
    </w:p>
    <w:p w14:paraId="0001A94A" w14:textId="06EABE4D" w:rsidR="00E474CA" w:rsidRPr="005B2B41" w:rsidRDefault="00E474CA" w:rsidP="007609DC">
      <w:pPr>
        <w:pStyle w:val="ListParagraph"/>
        <w:numPr>
          <w:ilvl w:val="0"/>
          <w:numId w:val="18"/>
        </w:numPr>
        <w:tabs>
          <w:tab w:val="left" w:pos="0"/>
        </w:tabs>
        <w:spacing w:after="120"/>
        <w:jc w:val="both"/>
        <w:rPr>
          <w:lang w:val="sr-Cyrl-CS"/>
        </w:rPr>
      </w:pPr>
      <w:r w:rsidRPr="005B2B41">
        <w:rPr>
          <w:u w:val="single"/>
          <w:lang w:val="sr-Cyrl-CS"/>
        </w:rPr>
        <w:t>Набавка надоградње/ажурирања система за даљинско мерење и управљање потрошњом</w:t>
      </w:r>
      <w:r w:rsidRPr="005B2B41">
        <w:rPr>
          <w:lang w:val="sr-Cyrl-CS"/>
        </w:rPr>
        <w:t xml:space="preserve"> са паметних (дигиталних) бројила ел</w:t>
      </w:r>
      <w:r w:rsidR="00E972B1" w:rsidRPr="005B2B41">
        <w:rPr>
          <w:lang w:val="sr-Cyrl-CS"/>
        </w:rPr>
        <w:t>ектричне</w:t>
      </w:r>
      <w:r w:rsidRPr="005B2B41">
        <w:rPr>
          <w:lang w:val="sr-Cyrl-CS"/>
        </w:rPr>
        <w:t xml:space="preserve"> енергије за подручје Ниша, Краљева и Чачка као и за све велике (индустријске) потрошаче у Републици Србији.</w:t>
      </w:r>
      <w:r w:rsidR="00F36366" w:rsidRPr="005B2B41">
        <w:rPr>
          <w:lang w:val="sr-Cyrl-CS"/>
        </w:rPr>
        <w:t xml:space="preserve"> Планирано је да се кроз Фазу 1А Пројекта за паметна бројила изврши набавка и инсталација система, пратећег софтвера и приближно око 205.000 паметних (дигиталних) бројила.</w:t>
      </w:r>
    </w:p>
    <w:p w14:paraId="5AC823D1" w14:textId="77777777" w:rsidR="008349EB" w:rsidRPr="005B2B41" w:rsidRDefault="008349EB" w:rsidP="001E586A">
      <w:pPr>
        <w:tabs>
          <w:tab w:val="left" w:pos="0"/>
        </w:tabs>
        <w:ind w:firstLine="720"/>
        <w:jc w:val="both"/>
        <w:rPr>
          <w:lang w:val="sr-Cyrl-CS"/>
        </w:rPr>
      </w:pPr>
      <w:r w:rsidRPr="005B2B41">
        <w:rPr>
          <w:lang w:val="sr-Cyrl-CS"/>
        </w:rPr>
        <w:lastRenderedPageBreak/>
        <w:t>Инсталирањем система у фази 1А омогућава се реализација фазе 1Б, тј. набавка додатних 400.000 бројила за подручја са највећим губицима, а која ће бити дефинисана од стране ЕДС у тренутку припреме тендерске документације.</w:t>
      </w:r>
    </w:p>
    <w:p w14:paraId="334102CF" w14:textId="77777777" w:rsidR="00D10164" w:rsidRPr="005B2B41" w:rsidRDefault="00D51E11" w:rsidP="001E586A">
      <w:pPr>
        <w:ind w:firstLine="720"/>
        <w:jc w:val="both"/>
        <w:rPr>
          <w:color w:val="000000"/>
          <w:lang w:val="sr-Cyrl-CS"/>
        </w:rPr>
      </w:pPr>
      <w:r w:rsidRPr="005B2B41">
        <w:rPr>
          <w:lang w:val="sr-Cyrl-CS"/>
        </w:rPr>
        <w:t>Реализацијом П</w:t>
      </w:r>
      <w:r w:rsidR="00D10164" w:rsidRPr="005B2B41">
        <w:rPr>
          <w:lang w:val="sr-Cyrl-CS"/>
        </w:rPr>
        <w:t>ројекта и увођењем паметних бројила омогућиће се</w:t>
      </w:r>
      <w:r w:rsidR="00D10164" w:rsidRPr="005B2B41">
        <w:rPr>
          <w:color w:val="000000"/>
          <w:lang w:val="sr-Cyrl-CS"/>
        </w:rPr>
        <w:t xml:space="preserve"> унапређење енергетске ефикасности, управљање и контрола над дистрибутивним системом електричне енергије, смањење оперативних трошкова, као и комерцијалних и техничких губитака. Поред тачног и брзог очитавања бројила, могуће је купцима обезбедити свакодневни увид у тачну потрошњу електричне енергије на њиховим мерним местима што може да стимулише купце да рационалније троше електричну енергију.</w:t>
      </w:r>
    </w:p>
    <w:p w14:paraId="6015913E" w14:textId="20DE0E85" w:rsidR="00C75323" w:rsidRPr="005B2B41" w:rsidRDefault="00C75323" w:rsidP="001E586A">
      <w:pPr>
        <w:ind w:firstLine="720"/>
        <w:jc w:val="both"/>
        <w:rPr>
          <w:color w:val="000000"/>
          <w:lang w:val="sr-Cyrl-CS"/>
        </w:rPr>
      </w:pPr>
      <w:r w:rsidRPr="005B2B41">
        <w:rPr>
          <w:color w:val="000000"/>
          <w:lang w:val="sr-Cyrl-CS"/>
        </w:rPr>
        <w:t xml:space="preserve">Пројекат ће представљати језгро будућег система за даљинско очитавање бројила који би требало етапно да обухвати око 80% бројила широке потрошње у Републици Србији. Кроз овај пројекат било би обухваћено око 15% </w:t>
      </w:r>
      <w:r w:rsidR="00E46A9F" w:rsidRPr="005B2B41">
        <w:rPr>
          <w:color w:val="000000"/>
          <w:lang w:val="sr-Cyrl-CS"/>
        </w:rPr>
        <w:t>свих бројила у Републици Србији</w:t>
      </w:r>
      <w:r w:rsidRPr="005B2B41">
        <w:rPr>
          <w:color w:val="000000"/>
          <w:lang w:val="sr-Cyrl-CS"/>
        </w:rPr>
        <w:t>. Такође, извесно је да би такав систем постао део ширег система напредних мрежа (SmartGrid) што је и тенденција у свету.</w:t>
      </w:r>
    </w:p>
    <w:p w14:paraId="6083B13F" w14:textId="58A13A47" w:rsidR="00F362EB" w:rsidRPr="005B2B41" w:rsidRDefault="00F362EB" w:rsidP="00F362EB">
      <w:pPr>
        <w:ind w:right="28" w:firstLine="720"/>
        <w:jc w:val="both"/>
        <w:rPr>
          <w:lang w:val="sr-Cyrl-CS"/>
        </w:rPr>
      </w:pPr>
      <w:r w:rsidRPr="005B2B41">
        <w:rPr>
          <w:lang w:val="sr-Cyrl-CS"/>
        </w:rPr>
        <w:t>Закључком Владе 05 Број: 48-</w:t>
      </w:r>
      <w:r w:rsidR="00B44B2A" w:rsidRPr="005B2B41">
        <w:rPr>
          <w:lang w:val="sr-Cyrl-CS"/>
        </w:rPr>
        <w:t>5198</w:t>
      </w:r>
      <w:r w:rsidRPr="005B2B41">
        <w:rPr>
          <w:lang w:val="sr-Cyrl-CS"/>
        </w:rPr>
        <w:t>/202</w:t>
      </w:r>
      <w:r w:rsidR="008A7694" w:rsidRPr="005B2B41">
        <w:rPr>
          <w:lang w:val="sr-Cyrl-CS"/>
        </w:rPr>
        <w:t>4</w:t>
      </w:r>
      <w:r w:rsidRPr="005B2B41">
        <w:rPr>
          <w:lang w:val="sr-Cyrl-CS"/>
        </w:rPr>
        <w:t xml:space="preserve">-1 од </w:t>
      </w:r>
      <w:r w:rsidR="008A7694" w:rsidRPr="005B2B41">
        <w:rPr>
          <w:lang w:val="sr-Cyrl-CS"/>
        </w:rPr>
        <w:t>13</w:t>
      </w:r>
      <w:r w:rsidRPr="005B2B41">
        <w:rPr>
          <w:lang w:val="sr-Cyrl-CS"/>
        </w:rPr>
        <w:t xml:space="preserve">. </w:t>
      </w:r>
      <w:r w:rsidR="008A7694" w:rsidRPr="005B2B41">
        <w:rPr>
          <w:lang w:val="sr-Cyrl-CS"/>
        </w:rPr>
        <w:t>јуна 2024</w:t>
      </w:r>
      <w:r w:rsidRPr="005B2B41">
        <w:rPr>
          <w:lang w:val="sr-Cyrl-CS"/>
        </w:rPr>
        <w:t xml:space="preserve">. године, утврђена је </w:t>
      </w:r>
      <w:r w:rsidR="008A7694" w:rsidRPr="005B2B41">
        <w:rPr>
          <w:lang w:val="sr-Cyrl-CS"/>
        </w:rPr>
        <w:t>Oснова за вођење преговора са Европском инвестиционом банком у вези са одобравањем зајма Електродистрибуцији Србије д.о.о. Београд, ради спровођења Пројекта уградње паметних бројила у Србији и давањем гаранције Републике Србије Европској инвестиционој банци по задуживању Електродистрибуцијe Србије д.о.о. Београд</w:t>
      </w:r>
      <w:r w:rsidRPr="005B2B41">
        <w:rPr>
          <w:lang w:val="sr-Cyrl-CS"/>
        </w:rPr>
        <w:t xml:space="preserve">, одређен је преговарачки тим Републике Србије и усвојен нацрт </w:t>
      </w:r>
      <w:r w:rsidR="008A7694" w:rsidRPr="005B2B41">
        <w:rPr>
          <w:lang w:val="sr-Cyrl-CS"/>
        </w:rPr>
        <w:t>Уговора о гаранцији</w:t>
      </w:r>
      <w:r w:rsidRPr="005B2B41">
        <w:rPr>
          <w:lang w:val="sr-Cyrl-CS"/>
        </w:rPr>
        <w:t xml:space="preserve">.  </w:t>
      </w:r>
    </w:p>
    <w:p w14:paraId="64BADAEB" w14:textId="157CBDA3" w:rsidR="001E586A" w:rsidRPr="005B2B41" w:rsidRDefault="001E586A" w:rsidP="00D81743">
      <w:pPr>
        <w:ind w:firstLine="720"/>
        <w:jc w:val="both"/>
        <w:rPr>
          <w:bCs/>
          <w:lang w:val="sr-Cyrl-CS"/>
        </w:rPr>
      </w:pPr>
      <w:r w:rsidRPr="005B2B41">
        <w:rPr>
          <w:lang w:val="sr-Cyrl-CS"/>
        </w:rPr>
        <w:t xml:space="preserve">Стандардни услови под којима Банка одобрава дугорочне кредите за финансирање пројеката познати су српској страни, a финансијски услови предложени у </w:t>
      </w:r>
      <w:r w:rsidR="00D12173" w:rsidRPr="005B2B41">
        <w:rPr>
          <w:lang w:val="sr-Cyrl-CS"/>
        </w:rPr>
        <w:t>Уговору</w:t>
      </w:r>
      <w:r w:rsidRPr="005B2B41">
        <w:rPr>
          <w:lang w:val="sr-Cyrl-CS"/>
        </w:rPr>
        <w:t xml:space="preserve"> о финансирању, који </w:t>
      </w:r>
      <w:r w:rsidR="00D12173" w:rsidRPr="005B2B41">
        <w:rPr>
          <w:lang w:val="sr-Cyrl-CS"/>
        </w:rPr>
        <w:t>је</w:t>
      </w:r>
      <w:r w:rsidRPr="005B2B41">
        <w:rPr>
          <w:lang w:val="sr-Cyrl-CS"/>
        </w:rPr>
        <w:t xml:space="preserve"> Електродист</w:t>
      </w:r>
      <w:r w:rsidR="005B2B41">
        <w:rPr>
          <w:lang w:val="sr-Cyrl-CS"/>
        </w:rPr>
        <w:t>р</w:t>
      </w:r>
      <w:r w:rsidRPr="005B2B41">
        <w:rPr>
          <w:lang w:val="sr-Cyrl-CS"/>
        </w:rPr>
        <w:t>ибуција Србије д.о.о. Београд</w:t>
      </w:r>
      <w:r w:rsidR="00D12173" w:rsidRPr="005B2B41">
        <w:rPr>
          <w:lang w:val="sr-Cyrl-CS"/>
        </w:rPr>
        <w:t xml:space="preserve"> закључила</w:t>
      </w:r>
      <w:r w:rsidRPr="005B2B41">
        <w:rPr>
          <w:lang w:val="sr-Cyrl-CS"/>
        </w:rPr>
        <w:t xml:space="preserve"> са овом финансијском институцијом, уз државну гаранцију, су како следи:</w:t>
      </w:r>
      <w:r w:rsidRPr="005B2B41">
        <w:rPr>
          <w:bCs/>
          <w:lang w:val="sr-Cyrl-CS"/>
        </w:rPr>
        <w:t xml:space="preserve"> </w:t>
      </w:r>
    </w:p>
    <w:p w14:paraId="6F6D4A53" w14:textId="77777777" w:rsidR="001E586A" w:rsidRPr="005B2B41" w:rsidRDefault="001E586A" w:rsidP="001E586A">
      <w:pPr>
        <w:numPr>
          <w:ilvl w:val="0"/>
          <w:numId w:val="23"/>
        </w:numPr>
        <w:ind w:right="380"/>
        <w:jc w:val="both"/>
        <w:rPr>
          <w:rFonts w:eastAsia="Batang"/>
          <w:bCs/>
          <w:lang w:val="sr-Cyrl-CS" w:eastAsia="ko-KR"/>
        </w:rPr>
      </w:pPr>
      <w:r w:rsidRPr="005B2B41">
        <w:rPr>
          <w:rFonts w:eastAsia="Batang"/>
          <w:bCs/>
          <w:lang w:val="sr-Cyrl-CS" w:eastAsia="ko-KR"/>
        </w:rPr>
        <w:t xml:space="preserve">   износ задужења: 80</w:t>
      </w:r>
      <w:r w:rsidRPr="005B2B41">
        <w:rPr>
          <w:rFonts w:eastAsia="Batang"/>
          <w:lang w:val="sr-Cyrl-CS" w:eastAsia="ko-KR"/>
        </w:rPr>
        <w:t xml:space="preserve"> милиона евра;</w:t>
      </w:r>
    </w:p>
    <w:p w14:paraId="4EC95401" w14:textId="0E036CB5" w:rsidR="001E586A" w:rsidRPr="005B2B41" w:rsidRDefault="001E586A" w:rsidP="001E586A">
      <w:pPr>
        <w:numPr>
          <w:ilvl w:val="0"/>
          <w:numId w:val="22"/>
        </w:numPr>
        <w:ind w:left="1276" w:right="380" w:hanging="567"/>
        <w:jc w:val="both"/>
        <w:rPr>
          <w:rFonts w:eastAsia="Batang"/>
          <w:bCs/>
          <w:lang w:val="sr-Cyrl-CS" w:eastAsia="ko-KR"/>
        </w:rPr>
      </w:pPr>
      <w:r w:rsidRPr="005B2B41">
        <w:rPr>
          <w:rFonts w:eastAsia="Batang"/>
          <w:bCs/>
          <w:lang w:val="sr-Cyrl-CS" w:eastAsia="ko-KR"/>
        </w:rPr>
        <w:t>период отплате кредита: 15 година</w:t>
      </w:r>
      <w:r w:rsidR="00D81743" w:rsidRPr="005B2B41">
        <w:rPr>
          <w:rFonts w:eastAsia="Batang"/>
          <w:bCs/>
          <w:lang w:val="sr-Cyrl-CS" w:eastAsia="ko-KR"/>
        </w:rPr>
        <w:t>, укључујући периода почека од четири</w:t>
      </w:r>
      <w:r w:rsidRPr="005B2B41">
        <w:rPr>
          <w:rFonts w:eastAsia="Batang"/>
          <w:bCs/>
          <w:lang w:val="sr-Cyrl-CS" w:eastAsia="ko-KR"/>
        </w:rPr>
        <w:t xml:space="preserve"> годинe;</w:t>
      </w:r>
    </w:p>
    <w:p w14:paraId="1CA87BF6" w14:textId="77777777" w:rsidR="001E586A" w:rsidRPr="005B2B41" w:rsidRDefault="001E586A" w:rsidP="001E586A">
      <w:pPr>
        <w:numPr>
          <w:ilvl w:val="0"/>
          <w:numId w:val="22"/>
        </w:numPr>
        <w:ind w:left="1276" w:right="380" w:hanging="556"/>
        <w:jc w:val="both"/>
        <w:rPr>
          <w:rFonts w:eastAsia="Batang"/>
          <w:bCs/>
          <w:lang w:val="sr-Cyrl-CS" w:eastAsia="ko-KR"/>
        </w:rPr>
      </w:pPr>
      <w:r w:rsidRPr="005B2B41">
        <w:rPr>
          <w:rFonts w:eastAsia="Batang"/>
          <w:bCs/>
          <w:lang w:val="sr-Cyrl-CS" w:eastAsia="ko-KR"/>
        </w:rPr>
        <w:t>каматна стопа: одређује се приликом повлачења сваке транше посебно, уз могућност избора фиксне или варијабилне каматне стопе;</w:t>
      </w:r>
    </w:p>
    <w:p w14:paraId="06A85ECB" w14:textId="60033713" w:rsidR="001E586A" w:rsidRPr="005B2B41" w:rsidRDefault="001E586A" w:rsidP="001E586A">
      <w:pPr>
        <w:tabs>
          <w:tab w:val="left" w:pos="1134"/>
        </w:tabs>
        <w:ind w:left="1276" w:right="380" w:hanging="556"/>
        <w:jc w:val="both"/>
        <w:rPr>
          <w:rFonts w:eastAsia="Batang"/>
          <w:bCs/>
          <w:highlight w:val="cyan"/>
          <w:lang w:val="sr-Cyrl-CS" w:eastAsia="ko-KR"/>
        </w:rPr>
      </w:pPr>
      <w:r w:rsidRPr="005B2B41">
        <w:rPr>
          <w:rFonts w:eastAsia="Batang"/>
          <w:bCs/>
          <w:lang w:val="sr-Cyrl-CS" w:eastAsia="ko-KR"/>
        </w:rPr>
        <w:t>-</w:t>
      </w:r>
      <w:r w:rsidRPr="005B2B41">
        <w:rPr>
          <w:rFonts w:eastAsia="Batang"/>
          <w:bCs/>
          <w:lang w:val="sr-Cyrl-CS" w:eastAsia="ko-KR"/>
        </w:rPr>
        <w:tab/>
        <w:t xml:space="preserve">  фиксна каматна стопа означава годишњу ка</w:t>
      </w:r>
      <w:r w:rsidR="00D81743" w:rsidRPr="005B2B41">
        <w:rPr>
          <w:rFonts w:eastAsia="Batang"/>
          <w:bCs/>
          <w:lang w:val="sr-Cyrl-CS" w:eastAsia="ko-KR"/>
        </w:rPr>
        <w:t>матну стопу одређену од стране Б</w:t>
      </w:r>
      <w:r w:rsidRPr="005B2B41">
        <w:rPr>
          <w:rFonts w:eastAsia="Batang"/>
          <w:bCs/>
          <w:lang w:val="sr-Cyrl-CS" w:eastAsia="ko-KR"/>
        </w:rPr>
        <w:t>анке, у складу са принципима које п</w:t>
      </w:r>
      <w:r w:rsidR="00D81743" w:rsidRPr="005B2B41">
        <w:rPr>
          <w:rFonts w:eastAsia="Batang"/>
          <w:bCs/>
          <w:lang w:val="sr-Cyrl-CS" w:eastAsia="ko-KR"/>
        </w:rPr>
        <w:t>овремено утврђују управна тела Б</w:t>
      </w:r>
      <w:r w:rsidRPr="005B2B41">
        <w:rPr>
          <w:rFonts w:eastAsia="Batang"/>
          <w:bCs/>
          <w:lang w:val="sr-Cyrl-CS" w:eastAsia="ko-KR"/>
        </w:rPr>
        <w:t>анке за кредите изражене у валути евро;</w:t>
      </w:r>
    </w:p>
    <w:p w14:paraId="04493DBC" w14:textId="77EE3E4C" w:rsidR="001E586A" w:rsidRPr="005B2B41" w:rsidRDefault="001E586A" w:rsidP="001E586A">
      <w:pPr>
        <w:tabs>
          <w:tab w:val="left" w:pos="1200"/>
        </w:tabs>
        <w:ind w:left="1276" w:right="380" w:hanging="556"/>
        <w:jc w:val="both"/>
        <w:rPr>
          <w:rFonts w:eastAsia="Batang"/>
          <w:bCs/>
          <w:lang w:val="sr-Cyrl-CS" w:eastAsia="ko-KR"/>
        </w:rPr>
      </w:pPr>
      <w:r w:rsidRPr="005B2B41">
        <w:rPr>
          <w:rFonts w:eastAsia="Batang"/>
          <w:bCs/>
          <w:lang w:val="sr-Cyrl-CS" w:eastAsia="ko-KR"/>
        </w:rPr>
        <w:t>-</w:t>
      </w:r>
      <w:r w:rsidRPr="005B2B41">
        <w:rPr>
          <w:rFonts w:eastAsia="Batang"/>
          <w:bCs/>
          <w:lang w:val="sr-Cyrl-CS" w:eastAsia="ko-KR"/>
        </w:rPr>
        <w:tab/>
      </w:r>
      <w:r w:rsidRPr="005B2B41">
        <w:rPr>
          <w:rFonts w:eastAsia="Batang"/>
          <w:bCs/>
          <w:lang w:val="sr-Cyrl-CS" w:eastAsia="ko-KR"/>
        </w:rPr>
        <w:tab/>
        <w:t>варијабилна каматна стопа означава каматну стопу на годишњем нивоу која је једнака EURIBOR</w:t>
      </w:r>
      <w:r w:rsidR="00D81743" w:rsidRPr="005B2B41">
        <w:rPr>
          <w:rFonts w:eastAsia="Batang"/>
          <w:bCs/>
          <w:lang w:val="sr-Cyrl-CS" w:eastAsia="ko-KR"/>
        </w:rPr>
        <w:t>-у, плус одређени распон, који Б</w:t>
      </w:r>
      <w:r w:rsidRPr="005B2B41">
        <w:rPr>
          <w:rFonts w:eastAsia="Batang"/>
          <w:bCs/>
          <w:lang w:val="sr-Cyrl-CS" w:eastAsia="ko-KR"/>
        </w:rPr>
        <w:t>анка одређује за сваки референтни период. Распон се утврђује за цео период отплате транше;</w:t>
      </w:r>
    </w:p>
    <w:p w14:paraId="08D1FA51" w14:textId="794E9043" w:rsidR="001E586A" w:rsidRPr="005B2B41" w:rsidRDefault="001E586A" w:rsidP="001E586A">
      <w:pPr>
        <w:tabs>
          <w:tab w:val="left" w:pos="1200"/>
        </w:tabs>
        <w:ind w:left="1276" w:right="380" w:hanging="556"/>
        <w:jc w:val="both"/>
        <w:rPr>
          <w:bCs/>
          <w:lang w:val="sr-Cyrl-CS" w:eastAsia="x-none"/>
        </w:rPr>
      </w:pPr>
      <w:r w:rsidRPr="005B2B41">
        <w:rPr>
          <w:bCs/>
          <w:lang w:val="sr-Cyrl-CS" w:eastAsia="x-none"/>
        </w:rPr>
        <w:t>-</w:t>
      </w:r>
      <w:r w:rsidRPr="005B2B41">
        <w:rPr>
          <w:bCs/>
          <w:lang w:val="sr-Cyrl-CS" w:eastAsia="x-none"/>
        </w:rPr>
        <w:tab/>
      </w:r>
      <w:r w:rsidRPr="005B2B41">
        <w:rPr>
          <w:bCs/>
          <w:lang w:val="sr-Cyrl-CS" w:eastAsia="x-none"/>
        </w:rPr>
        <w:tab/>
        <w:t>приликом повлачења транше зајмопримац има могућност избора између отплате кредита у годишњим, полугодишњим или тромесечним ратама. Додатно, дата је и могућност отплате транше у једној р</w:t>
      </w:r>
      <w:r w:rsidR="00D81743" w:rsidRPr="005B2B41">
        <w:rPr>
          <w:bCs/>
          <w:lang w:val="sr-Cyrl-CS" w:eastAsia="x-none"/>
        </w:rPr>
        <w:t>ати на датум који је најраније три године и најкасније десет</w:t>
      </w:r>
      <w:r w:rsidRPr="005B2B41">
        <w:rPr>
          <w:bCs/>
          <w:lang w:val="sr-Cyrl-CS" w:eastAsia="x-none"/>
        </w:rPr>
        <w:t xml:space="preserve"> година од датума повлачења те транше;</w:t>
      </w:r>
    </w:p>
    <w:p w14:paraId="7A7C9E8F" w14:textId="2910B323" w:rsidR="001E586A" w:rsidRPr="005B2B41" w:rsidRDefault="001E586A" w:rsidP="001E586A">
      <w:pPr>
        <w:tabs>
          <w:tab w:val="left" w:pos="1200"/>
        </w:tabs>
        <w:ind w:left="1260" w:right="380" w:hanging="540"/>
        <w:jc w:val="both"/>
        <w:rPr>
          <w:rFonts w:eastAsia="Batang"/>
          <w:bCs/>
          <w:lang w:val="sr-Cyrl-CS" w:eastAsia="ko-KR"/>
        </w:rPr>
      </w:pPr>
      <w:r w:rsidRPr="005B2B41">
        <w:rPr>
          <w:rFonts w:eastAsia="Batang"/>
          <w:bCs/>
          <w:lang w:val="sr-Cyrl-CS" w:eastAsia="ko-KR"/>
        </w:rPr>
        <w:t>-</w:t>
      </w:r>
      <w:r w:rsidRPr="005B2B41">
        <w:rPr>
          <w:rFonts w:eastAsia="Batang"/>
          <w:bCs/>
          <w:lang w:val="sr-Cyrl-CS" w:eastAsia="ko-KR"/>
        </w:rPr>
        <w:tab/>
        <w:t xml:space="preserve"> приступна накнада и провизија на неп</w:t>
      </w:r>
      <w:r w:rsidR="00D81743" w:rsidRPr="005B2B41">
        <w:rPr>
          <w:rFonts w:eastAsia="Batang"/>
          <w:bCs/>
          <w:lang w:val="sr-Cyrl-CS" w:eastAsia="ko-KR"/>
        </w:rPr>
        <w:t>овучена средства се не плаћају Б</w:t>
      </w:r>
      <w:r w:rsidRPr="005B2B41">
        <w:rPr>
          <w:rFonts w:eastAsia="Batang"/>
          <w:bCs/>
          <w:lang w:val="sr-Cyrl-CS" w:eastAsia="ko-KR"/>
        </w:rPr>
        <w:t>анци;</w:t>
      </w:r>
    </w:p>
    <w:p w14:paraId="19DBC970" w14:textId="77777777" w:rsidR="001E586A" w:rsidRPr="005B2B41" w:rsidRDefault="001E586A" w:rsidP="001E586A">
      <w:pPr>
        <w:numPr>
          <w:ilvl w:val="0"/>
          <w:numId w:val="21"/>
        </w:numPr>
        <w:tabs>
          <w:tab w:val="num" w:pos="1276"/>
        </w:tabs>
        <w:ind w:left="1276" w:right="380" w:hanging="556"/>
        <w:jc w:val="both"/>
        <w:rPr>
          <w:rFonts w:eastAsia="Batang"/>
          <w:lang w:val="sr-Cyrl-CS" w:eastAsia="ko-KR"/>
        </w:rPr>
      </w:pPr>
      <w:r w:rsidRPr="005B2B41">
        <w:rPr>
          <w:rFonts w:eastAsia="Batang"/>
          <w:lang w:val="sr-Cyrl-CS" w:eastAsia="ko-KR"/>
        </w:rPr>
        <w:t>кредит се реализује у највише 20 транши, са минималним износом транше од 4 милиона евра, осим у случају последње транше која може бити у мањем износу уколико је то укупан преостали износ кредита. Такође, у случају прве транше која је, само уколико се користи за прелиминарно плаћање, у максималном износу од 4 милиона евра и минималном износу од 1 милион евра;</w:t>
      </w:r>
    </w:p>
    <w:p w14:paraId="1FCBA056" w14:textId="366FBC21" w:rsidR="001E586A" w:rsidRPr="005B2B41" w:rsidRDefault="001E586A" w:rsidP="001E586A">
      <w:pPr>
        <w:numPr>
          <w:ilvl w:val="0"/>
          <w:numId w:val="21"/>
        </w:numPr>
        <w:tabs>
          <w:tab w:val="num" w:pos="1276"/>
        </w:tabs>
        <w:ind w:left="1276" w:right="380" w:hanging="556"/>
        <w:jc w:val="both"/>
        <w:rPr>
          <w:rFonts w:eastAsia="Batang"/>
          <w:lang w:val="sr-Cyrl-CS" w:eastAsia="ko-KR"/>
        </w:rPr>
      </w:pPr>
      <w:r w:rsidRPr="005B2B41">
        <w:rPr>
          <w:rFonts w:eastAsia="Batang"/>
          <w:lang w:val="sr-Cyrl-CS" w:eastAsia="ko-KR"/>
        </w:rPr>
        <w:lastRenderedPageBreak/>
        <w:t xml:space="preserve">крајњи датум расположивости зајма је </w:t>
      </w:r>
      <w:r w:rsidR="00D81743" w:rsidRPr="005B2B41">
        <w:rPr>
          <w:rFonts w:eastAsia="Batang"/>
          <w:lang w:val="sr-Cyrl-CS" w:eastAsia="ko-KR"/>
        </w:rPr>
        <w:t>60 месеци (пет</w:t>
      </w:r>
      <w:r w:rsidRPr="005B2B41">
        <w:rPr>
          <w:rFonts w:eastAsia="Batang"/>
          <w:lang w:val="sr-Cyrl-CS" w:eastAsia="ko-KR"/>
        </w:rPr>
        <w:t xml:space="preserve"> година) од датума потписивања уговора; </w:t>
      </w:r>
    </w:p>
    <w:p w14:paraId="577497C9" w14:textId="77777777" w:rsidR="000707B3" w:rsidRPr="005B2B41" w:rsidRDefault="001E586A" w:rsidP="000707B3">
      <w:pPr>
        <w:numPr>
          <w:ilvl w:val="0"/>
          <w:numId w:val="21"/>
        </w:numPr>
        <w:tabs>
          <w:tab w:val="num" w:pos="1276"/>
        </w:tabs>
        <w:ind w:left="1276" w:right="380" w:hanging="556"/>
        <w:jc w:val="both"/>
        <w:rPr>
          <w:rFonts w:eastAsia="Batang"/>
          <w:lang w:val="sr-Cyrl-CS" w:eastAsia="ko-KR"/>
        </w:rPr>
      </w:pPr>
      <w:r w:rsidRPr="005B2B41">
        <w:rPr>
          <w:rFonts w:eastAsia="Batang"/>
          <w:lang w:val="sr-Cyrl-CS" w:eastAsia="ko-KR"/>
        </w:rPr>
        <w:t xml:space="preserve">предвиђено време реализације Пројекта је у периоду од 2024-2028. године; </w:t>
      </w:r>
    </w:p>
    <w:p w14:paraId="57CB1484" w14:textId="07C2CE64" w:rsidR="001E586A" w:rsidRPr="005B2B41" w:rsidRDefault="001E586A" w:rsidP="000707B3">
      <w:pPr>
        <w:numPr>
          <w:ilvl w:val="0"/>
          <w:numId w:val="21"/>
        </w:numPr>
        <w:tabs>
          <w:tab w:val="num" w:pos="1276"/>
        </w:tabs>
        <w:ind w:left="1276" w:right="380" w:hanging="556"/>
        <w:jc w:val="both"/>
        <w:rPr>
          <w:rFonts w:eastAsia="Batang"/>
          <w:lang w:val="sr-Cyrl-CS" w:eastAsia="ko-KR"/>
        </w:rPr>
      </w:pPr>
      <w:r w:rsidRPr="005B2B41">
        <w:rPr>
          <w:rFonts w:eastAsia="Batang"/>
          <w:lang w:val="sr-Cyrl-CS" w:eastAsia="ko-KR"/>
        </w:rPr>
        <w:t>предвиђена је могућност превремене отплате свих транши или дела било које транше.</w:t>
      </w:r>
    </w:p>
    <w:p w14:paraId="4CA11319" w14:textId="77777777" w:rsidR="00BB7DDD" w:rsidRPr="005B2B41" w:rsidRDefault="00BB7DDD" w:rsidP="00BB7DDD">
      <w:pPr>
        <w:ind w:right="29" w:firstLine="720"/>
        <w:jc w:val="both"/>
        <w:rPr>
          <w:lang w:val="sr-Cyrl-CS"/>
        </w:rPr>
      </w:pPr>
    </w:p>
    <w:p w14:paraId="6EFFC3D6" w14:textId="779110EE" w:rsidR="00156DA7" w:rsidRPr="005B2B41" w:rsidRDefault="00156DA7" w:rsidP="00156DA7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5B2B41">
        <w:rPr>
          <w:rFonts w:ascii="Times New Roman" w:hAnsi="Times New Roman" w:cs="Times New Roman"/>
          <w:color w:val="auto"/>
          <w:lang w:val="sr-Cyrl-CS"/>
        </w:rPr>
        <w:t>III</w:t>
      </w:r>
      <w:r w:rsidR="00D81743" w:rsidRPr="005B2B41">
        <w:rPr>
          <w:rFonts w:ascii="Times New Roman" w:hAnsi="Times New Roman" w:cs="Times New Roman"/>
          <w:color w:val="auto"/>
          <w:lang w:val="sr-Cyrl-CS"/>
        </w:rPr>
        <w:t>.</w:t>
      </w:r>
      <w:r w:rsidRPr="005B2B41">
        <w:rPr>
          <w:rFonts w:ascii="Times New Roman" w:hAnsi="Times New Roman" w:cs="Times New Roman"/>
          <w:color w:val="auto"/>
          <w:lang w:val="sr-Cyrl-CS"/>
        </w:rPr>
        <w:t xml:space="preserve"> ОБЈАШЊЕЊЕ ОСНОВНИХ ПРАВНИХ ИНСТИТУТА И ПОЈЕДИНАЧНИХ РЕШЕЊА </w:t>
      </w:r>
    </w:p>
    <w:p w14:paraId="6508DC64" w14:textId="77777777" w:rsidR="00156DA7" w:rsidRPr="005B2B41" w:rsidRDefault="00156DA7" w:rsidP="00156DA7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</w:p>
    <w:p w14:paraId="1FFBE34A" w14:textId="13437D97" w:rsidR="00156DA7" w:rsidRPr="005B2B41" w:rsidRDefault="00156DA7" w:rsidP="00156DA7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5B2B41">
        <w:rPr>
          <w:rFonts w:ascii="Times New Roman" w:hAnsi="Times New Roman" w:cs="Times New Roman"/>
          <w:color w:val="auto"/>
          <w:lang w:val="sr-Cyrl-CS"/>
        </w:rPr>
        <w:t>Одредбом члана 1. овог закона предвиђа се потврђивање Уговора о гаранцији (</w:t>
      </w:r>
      <w:r w:rsidR="000707B3" w:rsidRPr="005B2B41">
        <w:rPr>
          <w:rFonts w:ascii="Times New Roman" w:hAnsi="Times New Roman" w:cs="Times New Roman"/>
          <w:color w:val="auto"/>
          <w:lang w:val="sr-Cyrl-CS"/>
        </w:rPr>
        <w:t>Пројекат уградње паметних бројила у Србији) између Републике Србије и Европске инвестиционе банке</w:t>
      </w:r>
      <w:r w:rsidRPr="005B2B41">
        <w:rPr>
          <w:rFonts w:ascii="Times New Roman" w:hAnsi="Times New Roman" w:cs="Times New Roman"/>
          <w:color w:val="auto"/>
          <w:lang w:val="sr-Cyrl-CS"/>
        </w:rPr>
        <w:t xml:space="preserve">, потписаног </w:t>
      </w:r>
      <w:r w:rsidR="000707B3" w:rsidRPr="005B2B41">
        <w:rPr>
          <w:rFonts w:ascii="Times New Roman" w:hAnsi="Times New Roman" w:cs="Times New Roman"/>
          <w:color w:val="auto"/>
          <w:lang w:val="sr-Cyrl-CS"/>
        </w:rPr>
        <w:t>у Београду, 24. јуна 2024. године и у Луксембургу, 28. јуна 2024. године</w:t>
      </w:r>
      <w:r w:rsidR="00D81743" w:rsidRPr="005B2B41">
        <w:rPr>
          <w:rFonts w:ascii="Times New Roman" w:hAnsi="Times New Roman" w:cs="Times New Roman"/>
          <w:color w:val="auto"/>
          <w:lang w:val="sr-Cyrl-CS"/>
        </w:rPr>
        <w:t>,</w:t>
      </w:r>
      <w:r w:rsidRPr="005B2B41">
        <w:rPr>
          <w:rFonts w:ascii="Times New Roman" w:hAnsi="Times New Roman" w:cs="Times New Roman"/>
          <w:color w:val="auto"/>
          <w:lang w:val="sr-Cyrl-CS"/>
        </w:rPr>
        <w:t xml:space="preserve"> у оригиналу на енглеском језику. </w:t>
      </w:r>
    </w:p>
    <w:p w14:paraId="1D4B4422" w14:textId="08FB8CAC" w:rsidR="00156DA7" w:rsidRPr="005B2B41" w:rsidRDefault="00156DA7" w:rsidP="009D241F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5B2B41">
        <w:rPr>
          <w:rFonts w:ascii="Times New Roman" w:hAnsi="Times New Roman" w:cs="Times New Roman"/>
          <w:color w:val="auto"/>
          <w:lang w:val="sr-Cyrl-CS"/>
        </w:rPr>
        <w:t xml:space="preserve">Одредба члана 2. овог закона садржи текст </w:t>
      </w:r>
      <w:r w:rsidR="000707B3" w:rsidRPr="005B2B41">
        <w:rPr>
          <w:rFonts w:ascii="Times New Roman" w:hAnsi="Times New Roman" w:cs="Times New Roman"/>
          <w:color w:val="auto"/>
          <w:lang w:val="sr-Cyrl-CS"/>
        </w:rPr>
        <w:t>Уговора о гаранцији (Пројекат уградње паметних бројила у Србији) између Републике Србије и Европске инвестиционе банке</w:t>
      </w:r>
      <w:r w:rsidRPr="005B2B41">
        <w:rPr>
          <w:rFonts w:ascii="Times New Roman" w:hAnsi="Times New Roman" w:cs="Times New Roman"/>
          <w:color w:val="auto"/>
          <w:lang w:val="sr-Cyrl-CS"/>
        </w:rPr>
        <w:t xml:space="preserve">, у оригиналу на енглеском језику и преводу на српски језик.  </w:t>
      </w:r>
    </w:p>
    <w:p w14:paraId="6B81934E" w14:textId="4AB6BC74" w:rsidR="00156DA7" w:rsidRPr="005B2B41" w:rsidRDefault="009D241F" w:rsidP="00156DA7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5B2B41">
        <w:rPr>
          <w:rFonts w:ascii="Times New Roman" w:hAnsi="Times New Roman" w:cs="Times New Roman"/>
          <w:color w:val="auto"/>
          <w:lang w:val="sr-Cyrl-CS"/>
        </w:rPr>
        <w:t>У одредби члана 3.</w:t>
      </w:r>
      <w:r w:rsidR="00156DA7" w:rsidRPr="005B2B41">
        <w:rPr>
          <w:rFonts w:ascii="Times New Roman" w:hAnsi="Times New Roman" w:cs="Times New Roman"/>
          <w:color w:val="auto"/>
          <w:lang w:val="sr-Cyrl-CS"/>
        </w:rPr>
        <w:t xml:space="preserve"> уређује се ступање на снагу овог закона. </w:t>
      </w:r>
    </w:p>
    <w:p w14:paraId="64FD1810" w14:textId="77777777" w:rsidR="00156DA7" w:rsidRPr="005B2B41" w:rsidRDefault="00156DA7" w:rsidP="00156DA7">
      <w:pPr>
        <w:pStyle w:val="Default"/>
        <w:jc w:val="both"/>
        <w:rPr>
          <w:rFonts w:ascii="Times New Roman" w:hAnsi="Times New Roman" w:cs="Times New Roman"/>
          <w:color w:val="auto"/>
          <w:lang w:val="sr-Cyrl-CS"/>
        </w:rPr>
      </w:pPr>
    </w:p>
    <w:p w14:paraId="5C90FA0C" w14:textId="5F688C06" w:rsidR="00156DA7" w:rsidRPr="005B2B41" w:rsidRDefault="00156DA7" w:rsidP="00156DA7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5B2B41">
        <w:rPr>
          <w:rFonts w:ascii="Times New Roman" w:hAnsi="Times New Roman" w:cs="Times New Roman"/>
          <w:color w:val="auto"/>
          <w:lang w:val="sr-Cyrl-CS"/>
        </w:rPr>
        <w:t>IV</w:t>
      </w:r>
      <w:r w:rsidR="009D241F" w:rsidRPr="005B2B41">
        <w:rPr>
          <w:rFonts w:ascii="Times New Roman" w:hAnsi="Times New Roman" w:cs="Times New Roman"/>
          <w:color w:val="auto"/>
          <w:lang w:val="sr-Cyrl-CS"/>
        </w:rPr>
        <w:t>.</w:t>
      </w:r>
      <w:r w:rsidRPr="005B2B41">
        <w:rPr>
          <w:rFonts w:ascii="Times New Roman" w:hAnsi="Times New Roman" w:cs="Times New Roman"/>
          <w:color w:val="auto"/>
          <w:lang w:val="sr-Cyrl-CS"/>
        </w:rPr>
        <w:t xml:space="preserve"> ФИНАНСИЈСКЕ ОБАВЕЗЕ И ПРОЦЕНА ФИНАНСИЈСКИХ СРЕДСТАВА КОЈА НАСТАЈУ ИЗВРШАВАЊЕМ ЗАКОНА</w:t>
      </w:r>
    </w:p>
    <w:p w14:paraId="40D58F34" w14:textId="77777777" w:rsidR="00156DA7" w:rsidRPr="005B2B41" w:rsidRDefault="00156DA7" w:rsidP="00156DA7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5B2B41">
        <w:rPr>
          <w:rFonts w:ascii="Times New Roman" w:hAnsi="Times New Roman" w:cs="Times New Roman"/>
          <w:color w:val="auto"/>
          <w:lang w:val="sr-Cyrl-CS"/>
        </w:rPr>
        <w:t xml:space="preserve"> </w:t>
      </w:r>
    </w:p>
    <w:p w14:paraId="140B0A29" w14:textId="43CFF760" w:rsidR="007B0CB8" w:rsidRPr="005B2B41" w:rsidRDefault="00156DA7" w:rsidP="000707B3">
      <w:pPr>
        <w:pStyle w:val="Default"/>
        <w:ind w:firstLine="720"/>
        <w:jc w:val="both"/>
        <w:rPr>
          <w:lang w:val="sr-Cyrl-CS"/>
        </w:rPr>
      </w:pPr>
      <w:r w:rsidRPr="005B2B41">
        <w:rPr>
          <w:rFonts w:ascii="Times New Roman" w:hAnsi="Times New Roman" w:cs="Times New Roman"/>
          <w:color w:val="auto"/>
          <w:lang w:val="sr-Cyrl-CS"/>
        </w:rPr>
        <w:t>За спровођење овог закона обезбеђиваће се средства у буџету Републике Србије.</w:t>
      </w:r>
    </w:p>
    <w:sectPr w:rsidR="007B0CB8" w:rsidRPr="005B2B41" w:rsidSect="005B2B41">
      <w:footerReference w:type="default" r:id="rId8"/>
      <w:pgSz w:w="12240" w:h="15840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8D2EB" w14:textId="77777777" w:rsidR="000E4E8B" w:rsidRDefault="000E4E8B" w:rsidP="005B2B41">
      <w:r>
        <w:separator/>
      </w:r>
    </w:p>
  </w:endnote>
  <w:endnote w:type="continuationSeparator" w:id="0">
    <w:p w14:paraId="0392DC30" w14:textId="77777777" w:rsidR="000E4E8B" w:rsidRDefault="000E4E8B" w:rsidP="005B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24860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FDF545" w14:textId="3F29B0E0" w:rsidR="005B2B41" w:rsidRDefault="005B2B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04A801D" w14:textId="77777777" w:rsidR="005B2B41" w:rsidRDefault="005B2B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4E1DE" w14:textId="77777777" w:rsidR="000E4E8B" w:rsidRDefault="000E4E8B" w:rsidP="005B2B41">
      <w:r>
        <w:separator/>
      </w:r>
    </w:p>
  </w:footnote>
  <w:footnote w:type="continuationSeparator" w:id="0">
    <w:p w14:paraId="55F2CA4F" w14:textId="77777777" w:rsidR="000E4E8B" w:rsidRDefault="000E4E8B" w:rsidP="005B2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464A"/>
    <w:multiLevelType w:val="hybridMultilevel"/>
    <w:tmpl w:val="8BEAF708"/>
    <w:lvl w:ilvl="0" w:tplc="828CDCF2">
      <w:numFmt w:val="bullet"/>
      <w:lvlText w:val="•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A24B55"/>
    <w:multiLevelType w:val="hybridMultilevel"/>
    <w:tmpl w:val="EFC0330C"/>
    <w:lvl w:ilvl="0" w:tplc="828CDCF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0A2944"/>
    <w:multiLevelType w:val="hybridMultilevel"/>
    <w:tmpl w:val="A9DABD1E"/>
    <w:lvl w:ilvl="0" w:tplc="DACA16E4">
      <w:start w:val="176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83D25"/>
    <w:multiLevelType w:val="hybridMultilevel"/>
    <w:tmpl w:val="E3A0F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90E9B"/>
    <w:multiLevelType w:val="hybridMultilevel"/>
    <w:tmpl w:val="189C6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166E4F"/>
    <w:multiLevelType w:val="hybridMultilevel"/>
    <w:tmpl w:val="371EF9E6"/>
    <w:lvl w:ilvl="0" w:tplc="040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6" w15:restartNumberingAfterBreak="0">
    <w:nsid w:val="26A842F8"/>
    <w:multiLevelType w:val="hybridMultilevel"/>
    <w:tmpl w:val="ECCAB1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CB7F55"/>
    <w:multiLevelType w:val="hybridMultilevel"/>
    <w:tmpl w:val="6B3EA4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DB4006"/>
    <w:multiLevelType w:val="hybridMultilevel"/>
    <w:tmpl w:val="FFE45806"/>
    <w:lvl w:ilvl="0" w:tplc="78E8F26A">
      <w:start w:val="7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9F81E25"/>
    <w:multiLevelType w:val="hybridMultilevel"/>
    <w:tmpl w:val="78A60478"/>
    <w:lvl w:ilvl="0" w:tplc="6406B314">
      <w:start w:val="1"/>
      <w:numFmt w:val="decimal"/>
      <w:lvlText w:val="%1."/>
      <w:lvlJc w:val="left"/>
      <w:pPr>
        <w:ind w:left="138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023FA9"/>
    <w:multiLevelType w:val="hybridMultilevel"/>
    <w:tmpl w:val="5CB60D66"/>
    <w:lvl w:ilvl="0" w:tplc="907EC39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B03970"/>
    <w:multiLevelType w:val="hybridMultilevel"/>
    <w:tmpl w:val="63E6D870"/>
    <w:lvl w:ilvl="0" w:tplc="20E2DFFA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1D707B1"/>
    <w:multiLevelType w:val="hybridMultilevel"/>
    <w:tmpl w:val="31ACEDD0"/>
    <w:lvl w:ilvl="0" w:tplc="B59CBD2E">
      <w:numFmt w:val="bullet"/>
      <w:lvlText w:val="-"/>
      <w:lvlJc w:val="left"/>
      <w:pPr>
        <w:ind w:left="156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50E5BDA"/>
    <w:multiLevelType w:val="hybridMultilevel"/>
    <w:tmpl w:val="3D520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3E01B6"/>
    <w:multiLevelType w:val="hybridMultilevel"/>
    <w:tmpl w:val="4EC8D2F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E39C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8497B"/>
    <w:multiLevelType w:val="hybridMultilevel"/>
    <w:tmpl w:val="83CEFE48"/>
    <w:lvl w:ilvl="0" w:tplc="E0E6719A">
      <w:start w:val="176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C6935FB"/>
    <w:multiLevelType w:val="hybridMultilevel"/>
    <w:tmpl w:val="B39017FE"/>
    <w:lvl w:ilvl="0" w:tplc="2D129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B82C2C"/>
    <w:multiLevelType w:val="hybridMultilevel"/>
    <w:tmpl w:val="C836521E"/>
    <w:lvl w:ilvl="0" w:tplc="EC40F8C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C80D30"/>
    <w:multiLevelType w:val="hybridMultilevel"/>
    <w:tmpl w:val="3844F5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92100023">
    <w:abstractNumId w:val="11"/>
  </w:num>
  <w:num w:numId="2" w16cid:durableId="1890919126">
    <w:abstractNumId w:val="5"/>
  </w:num>
  <w:num w:numId="3" w16cid:durableId="1249655565">
    <w:abstractNumId w:val="21"/>
  </w:num>
  <w:num w:numId="4" w16cid:durableId="1949727375">
    <w:abstractNumId w:val="20"/>
  </w:num>
  <w:num w:numId="5" w16cid:durableId="367338715">
    <w:abstractNumId w:val="18"/>
  </w:num>
  <w:num w:numId="6" w16cid:durableId="1738505543">
    <w:abstractNumId w:val="3"/>
  </w:num>
  <w:num w:numId="7" w16cid:durableId="1755975058">
    <w:abstractNumId w:val="2"/>
  </w:num>
  <w:num w:numId="8" w16cid:durableId="1551922477">
    <w:abstractNumId w:val="19"/>
  </w:num>
  <w:num w:numId="9" w16cid:durableId="1704666411">
    <w:abstractNumId w:val="13"/>
  </w:num>
  <w:num w:numId="10" w16cid:durableId="1437284076">
    <w:abstractNumId w:val="14"/>
  </w:num>
  <w:num w:numId="11" w16cid:durableId="20570005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783460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43587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0130940">
    <w:abstractNumId w:val="4"/>
  </w:num>
  <w:num w:numId="15" w16cid:durableId="1448692895">
    <w:abstractNumId w:val="7"/>
  </w:num>
  <w:num w:numId="16" w16cid:durableId="1259368040">
    <w:abstractNumId w:val="17"/>
  </w:num>
  <w:num w:numId="17" w16cid:durableId="961690534">
    <w:abstractNumId w:val="6"/>
  </w:num>
  <w:num w:numId="18" w16cid:durableId="357198785">
    <w:abstractNumId w:val="1"/>
  </w:num>
  <w:num w:numId="19" w16cid:durableId="1012074642">
    <w:abstractNumId w:val="0"/>
  </w:num>
  <w:num w:numId="20" w16cid:durableId="1432314575">
    <w:abstractNumId w:val="10"/>
  </w:num>
  <w:num w:numId="21" w16cid:durableId="493644640">
    <w:abstractNumId w:val="9"/>
  </w:num>
  <w:num w:numId="22" w16cid:durableId="1871140208">
    <w:abstractNumId w:val="15"/>
  </w:num>
  <w:num w:numId="23" w16cid:durableId="20456691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FBD"/>
    <w:rsid w:val="00007241"/>
    <w:rsid w:val="00007909"/>
    <w:rsid w:val="00022157"/>
    <w:rsid w:val="00025FAE"/>
    <w:rsid w:val="000308D2"/>
    <w:rsid w:val="000308EE"/>
    <w:rsid w:val="000438D6"/>
    <w:rsid w:val="00045A79"/>
    <w:rsid w:val="00053E29"/>
    <w:rsid w:val="00056416"/>
    <w:rsid w:val="00057EF3"/>
    <w:rsid w:val="000707B3"/>
    <w:rsid w:val="0008314E"/>
    <w:rsid w:val="00084C76"/>
    <w:rsid w:val="000A55FB"/>
    <w:rsid w:val="000D3186"/>
    <w:rsid w:val="000D46CF"/>
    <w:rsid w:val="000D7C9E"/>
    <w:rsid w:val="000E4E8B"/>
    <w:rsid w:val="000E6BC9"/>
    <w:rsid w:val="000E7087"/>
    <w:rsid w:val="000F6B64"/>
    <w:rsid w:val="00101A83"/>
    <w:rsid w:val="00106152"/>
    <w:rsid w:val="00111537"/>
    <w:rsid w:val="00111949"/>
    <w:rsid w:val="00127F12"/>
    <w:rsid w:val="00127F95"/>
    <w:rsid w:val="0013113D"/>
    <w:rsid w:val="00134416"/>
    <w:rsid w:val="00136135"/>
    <w:rsid w:val="001407BB"/>
    <w:rsid w:val="001502CF"/>
    <w:rsid w:val="00154920"/>
    <w:rsid w:val="00156DA7"/>
    <w:rsid w:val="0016070F"/>
    <w:rsid w:val="00161D6F"/>
    <w:rsid w:val="00184857"/>
    <w:rsid w:val="00186841"/>
    <w:rsid w:val="00197AC3"/>
    <w:rsid w:val="001B7B3D"/>
    <w:rsid w:val="001D0A37"/>
    <w:rsid w:val="001D4610"/>
    <w:rsid w:val="001E0312"/>
    <w:rsid w:val="001E1622"/>
    <w:rsid w:val="001E586A"/>
    <w:rsid w:val="001F2D86"/>
    <w:rsid w:val="00201A19"/>
    <w:rsid w:val="002023EA"/>
    <w:rsid w:val="002035BF"/>
    <w:rsid w:val="00210429"/>
    <w:rsid w:val="00211131"/>
    <w:rsid w:val="0022268B"/>
    <w:rsid w:val="0023402E"/>
    <w:rsid w:val="0023433E"/>
    <w:rsid w:val="00256431"/>
    <w:rsid w:val="002575BC"/>
    <w:rsid w:val="00273006"/>
    <w:rsid w:val="00274FC7"/>
    <w:rsid w:val="0029218C"/>
    <w:rsid w:val="002A6BC1"/>
    <w:rsid w:val="002A795D"/>
    <w:rsid w:val="002B4595"/>
    <w:rsid w:val="002C0DA5"/>
    <w:rsid w:val="002C372A"/>
    <w:rsid w:val="002D4C28"/>
    <w:rsid w:val="002E225C"/>
    <w:rsid w:val="002E5EBD"/>
    <w:rsid w:val="002F3207"/>
    <w:rsid w:val="002F46CF"/>
    <w:rsid w:val="00302290"/>
    <w:rsid w:val="00307985"/>
    <w:rsid w:val="0031234A"/>
    <w:rsid w:val="003140A0"/>
    <w:rsid w:val="00324010"/>
    <w:rsid w:val="00326067"/>
    <w:rsid w:val="00327FFB"/>
    <w:rsid w:val="00335E46"/>
    <w:rsid w:val="003366A9"/>
    <w:rsid w:val="00356D9D"/>
    <w:rsid w:val="003602FB"/>
    <w:rsid w:val="0037148C"/>
    <w:rsid w:val="0037696C"/>
    <w:rsid w:val="00380B33"/>
    <w:rsid w:val="003810B1"/>
    <w:rsid w:val="00386EF6"/>
    <w:rsid w:val="00392A66"/>
    <w:rsid w:val="003A156B"/>
    <w:rsid w:val="003A3121"/>
    <w:rsid w:val="003B7CE4"/>
    <w:rsid w:val="003C2E07"/>
    <w:rsid w:val="003C7F79"/>
    <w:rsid w:val="003D0930"/>
    <w:rsid w:val="003D1FF8"/>
    <w:rsid w:val="003D2331"/>
    <w:rsid w:val="003E579A"/>
    <w:rsid w:val="003F5164"/>
    <w:rsid w:val="003F68D4"/>
    <w:rsid w:val="004124BB"/>
    <w:rsid w:val="00437A91"/>
    <w:rsid w:val="00450451"/>
    <w:rsid w:val="00461EAC"/>
    <w:rsid w:val="00486DA2"/>
    <w:rsid w:val="004879E7"/>
    <w:rsid w:val="004903AF"/>
    <w:rsid w:val="00493AC4"/>
    <w:rsid w:val="004978DA"/>
    <w:rsid w:val="004C0EAB"/>
    <w:rsid w:val="004C7766"/>
    <w:rsid w:val="004D69B6"/>
    <w:rsid w:val="004D7E00"/>
    <w:rsid w:val="004F127E"/>
    <w:rsid w:val="004F4718"/>
    <w:rsid w:val="004F60B1"/>
    <w:rsid w:val="00523B2C"/>
    <w:rsid w:val="00527A42"/>
    <w:rsid w:val="00536E88"/>
    <w:rsid w:val="00537C30"/>
    <w:rsid w:val="0056098C"/>
    <w:rsid w:val="00563E7C"/>
    <w:rsid w:val="00576286"/>
    <w:rsid w:val="00590524"/>
    <w:rsid w:val="005A26E5"/>
    <w:rsid w:val="005A28B7"/>
    <w:rsid w:val="005A37A6"/>
    <w:rsid w:val="005A561F"/>
    <w:rsid w:val="005B2B41"/>
    <w:rsid w:val="005B723B"/>
    <w:rsid w:val="005B756E"/>
    <w:rsid w:val="005C51FD"/>
    <w:rsid w:val="005D2A8D"/>
    <w:rsid w:val="005E5D2F"/>
    <w:rsid w:val="005F1EA7"/>
    <w:rsid w:val="00601275"/>
    <w:rsid w:val="00603BB9"/>
    <w:rsid w:val="00612864"/>
    <w:rsid w:val="00626AA8"/>
    <w:rsid w:val="00626F6F"/>
    <w:rsid w:val="00630149"/>
    <w:rsid w:val="00642E27"/>
    <w:rsid w:val="006515E5"/>
    <w:rsid w:val="00652A96"/>
    <w:rsid w:val="00662717"/>
    <w:rsid w:val="006700DB"/>
    <w:rsid w:val="00676757"/>
    <w:rsid w:val="00677A65"/>
    <w:rsid w:val="006860F4"/>
    <w:rsid w:val="00696062"/>
    <w:rsid w:val="006978DD"/>
    <w:rsid w:val="006A2FD9"/>
    <w:rsid w:val="006B269A"/>
    <w:rsid w:val="006B389F"/>
    <w:rsid w:val="006B49DB"/>
    <w:rsid w:val="006C2113"/>
    <w:rsid w:val="006E3847"/>
    <w:rsid w:val="006F021C"/>
    <w:rsid w:val="006F45A3"/>
    <w:rsid w:val="006F5526"/>
    <w:rsid w:val="007017CA"/>
    <w:rsid w:val="007025CB"/>
    <w:rsid w:val="00715169"/>
    <w:rsid w:val="00732755"/>
    <w:rsid w:val="007441FB"/>
    <w:rsid w:val="0075764D"/>
    <w:rsid w:val="0076069D"/>
    <w:rsid w:val="007609DC"/>
    <w:rsid w:val="00767E3A"/>
    <w:rsid w:val="00773ADB"/>
    <w:rsid w:val="00774649"/>
    <w:rsid w:val="00782D96"/>
    <w:rsid w:val="00783664"/>
    <w:rsid w:val="00783FB9"/>
    <w:rsid w:val="00784A05"/>
    <w:rsid w:val="007921FF"/>
    <w:rsid w:val="00793826"/>
    <w:rsid w:val="007965D5"/>
    <w:rsid w:val="007B0116"/>
    <w:rsid w:val="007B0CB8"/>
    <w:rsid w:val="007B6128"/>
    <w:rsid w:val="007B6C53"/>
    <w:rsid w:val="007C1812"/>
    <w:rsid w:val="007C6ABE"/>
    <w:rsid w:val="007C75E3"/>
    <w:rsid w:val="007D32E4"/>
    <w:rsid w:val="007D6570"/>
    <w:rsid w:val="007E0EA5"/>
    <w:rsid w:val="007E10E8"/>
    <w:rsid w:val="007E7AE3"/>
    <w:rsid w:val="007F34DB"/>
    <w:rsid w:val="00806E6E"/>
    <w:rsid w:val="00807C82"/>
    <w:rsid w:val="008144D6"/>
    <w:rsid w:val="00821A25"/>
    <w:rsid w:val="008349EB"/>
    <w:rsid w:val="00840A93"/>
    <w:rsid w:val="00852E21"/>
    <w:rsid w:val="008564DE"/>
    <w:rsid w:val="00865738"/>
    <w:rsid w:val="008754FF"/>
    <w:rsid w:val="00881A1D"/>
    <w:rsid w:val="008A1B8E"/>
    <w:rsid w:val="008A3918"/>
    <w:rsid w:val="008A7694"/>
    <w:rsid w:val="008B020E"/>
    <w:rsid w:val="008B10D2"/>
    <w:rsid w:val="008C5DA4"/>
    <w:rsid w:val="008E6A64"/>
    <w:rsid w:val="00903B0B"/>
    <w:rsid w:val="00903C59"/>
    <w:rsid w:val="00906C63"/>
    <w:rsid w:val="0090790A"/>
    <w:rsid w:val="00913C17"/>
    <w:rsid w:val="00915372"/>
    <w:rsid w:val="0092092B"/>
    <w:rsid w:val="0092163F"/>
    <w:rsid w:val="00933F88"/>
    <w:rsid w:val="00934502"/>
    <w:rsid w:val="00934A9F"/>
    <w:rsid w:val="00943B08"/>
    <w:rsid w:val="00982DAC"/>
    <w:rsid w:val="00992677"/>
    <w:rsid w:val="009A195F"/>
    <w:rsid w:val="009B1B4D"/>
    <w:rsid w:val="009B5CC3"/>
    <w:rsid w:val="009B7E0B"/>
    <w:rsid w:val="009C6CFB"/>
    <w:rsid w:val="009D241F"/>
    <w:rsid w:val="009D5FE7"/>
    <w:rsid w:val="009F56A8"/>
    <w:rsid w:val="009F5829"/>
    <w:rsid w:val="009F5FC7"/>
    <w:rsid w:val="00A20B7A"/>
    <w:rsid w:val="00A32211"/>
    <w:rsid w:val="00A32BC3"/>
    <w:rsid w:val="00A339C5"/>
    <w:rsid w:val="00A350FA"/>
    <w:rsid w:val="00A63541"/>
    <w:rsid w:val="00A67656"/>
    <w:rsid w:val="00A70A1E"/>
    <w:rsid w:val="00A952CE"/>
    <w:rsid w:val="00AB02E8"/>
    <w:rsid w:val="00AB413E"/>
    <w:rsid w:val="00AB4E55"/>
    <w:rsid w:val="00AE048D"/>
    <w:rsid w:val="00AE0B47"/>
    <w:rsid w:val="00AF171A"/>
    <w:rsid w:val="00B004F9"/>
    <w:rsid w:val="00B01404"/>
    <w:rsid w:val="00B02CF4"/>
    <w:rsid w:val="00B02F32"/>
    <w:rsid w:val="00B06815"/>
    <w:rsid w:val="00B30A38"/>
    <w:rsid w:val="00B30B14"/>
    <w:rsid w:val="00B33F29"/>
    <w:rsid w:val="00B373ED"/>
    <w:rsid w:val="00B44B2A"/>
    <w:rsid w:val="00B60208"/>
    <w:rsid w:val="00B605B8"/>
    <w:rsid w:val="00B62F22"/>
    <w:rsid w:val="00B71186"/>
    <w:rsid w:val="00B85FB5"/>
    <w:rsid w:val="00B86BAC"/>
    <w:rsid w:val="00B90A1B"/>
    <w:rsid w:val="00B90C0D"/>
    <w:rsid w:val="00B94AA7"/>
    <w:rsid w:val="00BB0EAB"/>
    <w:rsid w:val="00BB6E15"/>
    <w:rsid w:val="00BB7DDD"/>
    <w:rsid w:val="00BC66EC"/>
    <w:rsid w:val="00BF6CA9"/>
    <w:rsid w:val="00C02B4D"/>
    <w:rsid w:val="00C120C9"/>
    <w:rsid w:val="00C357A9"/>
    <w:rsid w:val="00C46034"/>
    <w:rsid w:val="00C5040A"/>
    <w:rsid w:val="00C52EE1"/>
    <w:rsid w:val="00C60A3B"/>
    <w:rsid w:val="00C65970"/>
    <w:rsid w:val="00C72FBD"/>
    <w:rsid w:val="00C75323"/>
    <w:rsid w:val="00C7737B"/>
    <w:rsid w:val="00C938C5"/>
    <w:rsid w:val="00CA025E"/>
    <w:rsid w:val="00CB205D"/>
    <w:rsid w:val="00CB5BF1"/>
    <w:rsid w:val="00CD3E05"/>
    <w:rsid w:val="00CD6A61"/>
    <w:rsid w:val="00CE5822"/>
    <w:rsid w:val="00CF7631"/>
    <w:rsid w:val="00D06BE2"/>
    <w:rsid w:val="00D10164"/>
    <w:rsid w:val="00D12173"/>
    <w:rsid w:val="00D13861"/>
    <w:rsid w:val="00D41E73"/>
    <w:rsid w:val="00D4278A"/>
    <w:rsid w:val="00D448CE"/>
    <w:rsid w:val="00D51E11"/>
    <w:rsid w:val="00D5739D"/>
    <w:rsid w:val="00D621A9"/>
    <w:rsid w:val="00D6377A"/>
    <w:rsid w:val="00D703FB"/>
    <w:rsid w:val="00D75847"/>
    <w:rsid w:val="00D76553"/>
    <w:rsid w:val="00D81743"/>
    <w:rsid w:val="00D82596"/>
    <w:rsid w:val="00DA38D6"/>
    <w:rsid w:val="00DB240F"/>
    <w:rsid w:val="00DB25EB"/>
    <w:rsid w:val="00DB4A6C"/>
    <w:rsid w:val="00DC1DD0"/>
    <w:rsid w:val="00DC2E48"/>
    <w:rsid w:val="00DD4F1D"/>
    <w:rsid w:val="00DF1BC1"/>
    <w:rsid w:val="00DF52F4"/>
    <w:rsid w:val="00E13D02"/>
    <w:rsid w:val="00E17EC6"/>
    <w:rsid w:val="00E41E2F"/>
    <w:rsid w:val="00E44EDA"/>
    <w:rsid w:val="00E46A9F"/>
    <w:rsid w:val="00E474CA"/>
    <w:rsid w:val="00E51ED2"/>
    <w:rsid w:val="00E554C0"/>
    <w:rsid w:val="00E60506"/>
    <w:rsid w:val="00E72E0E"/>
    <w:rsid w:val="00E73429"/>
    <w:rsid w:val="00E7642B"/>
    <w:rsid w:val="00E972B1"/>
    <w:rsid w:val="00EA6BDC"/>
    <w:rsid w:val="00EA7722"/>
    <w:rsid w:val="00EB5CBA"/>
    <w:rsid w:val="00EC32C3"/>
    <w:rsid w:val="00EE3B29"/>
    <w:rsid w:val="00EE7DEC"/>
    <w:rsid w:val="00F12D8E"/>
    <w:rsid w:val="00F1474B"/>
    <w:rsid w:val="00F30F4C"/>
    <w:rsid w:val="00F35954"/>
    <w:rsid w:val="00F362EB"/>
    <w:rsid w:val="00F36366"/>
    <w:rsid w:val="00F402ED"/>
    <w:rsid w:val="00F465E9"/>
    <w:rsid w:val="00F82DC3"/>
    <w:rsid w:val="00F85DFE"/>
    <w:rsid w:val="00F87BA8"/>
    <w:rsid w:val="00F9688E"/>
    <w:rsid w:val="00FA34D8"/>
    <w:rsid w:val="00FC25BA"/>
    <w:rsid w:val="00FD7F57"/>
    <w:rsid w:val="00FE6876"/>
    <w:rsid w:val="00FF4823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52BF"/>
  <w15:docId w15:val="{0FE3AF59-9D65-46FC-BB5D-5FAD33D5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FB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B0CB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0CB8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7B0CB8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1tekst">
    <w:name w:val="1tekst"/>
    <w:basedOn w:val="Normal"/>
    <w:rsid w:val="007B0CB8"/>
    <w:pPr>
      <w:ind w:left="375" w:right="375" w:firstLine="240"/>
      <w:jc w:val="both"/>
    </w:pPr>
    <w:rPr>
      <w:rFonts w:ascii="Arial" w:hAnsi="Arial" w:cs="Arial"/>
      <w:sz w:val="20"/>
      <w:szCs w:val="20"/>
    </w:rPr>
  </w:style>
  <w:style w:type="paragraph" w:styleId="NoSpacing">
    <w:name w:val="No Spacing"/>
    <w:uiPriority w:val="1"/>
    <w:qFormat/>
    <w:rsid w:val="00B004F9"/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B004F9"/>
    <w:pPr>
      <w:pBdr>
        <w:bottom w:val="single" w:sz="8" w:space="4" w:color="D34817"/>
      </w:pBdr>
      <w:spacing w:after="160"/>
      <w:contextualSpacing/>
      <w:jc w:val="center"/>
    </w:pPr>
    <w:rPr>
      <w:rFonts w:ascii="Franklin Gothic Book" w:eastAsia="Perpetua" w:hAnsi="Franklin Gothic Book"/>
      <w:b/>
      <w:smallCaps/>
      <w:color w:val="D3481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004F9"/>
    <w:rPr>
      <w:rFonts w:ascii="Franklin Gothic Book" w:eastAsia="Perpetua" w:hAnsi="Franklin Gothic Book" w:cs="Times New Roman"/>
      <w:b/>
      <w:smallCaps/>
      <w:color w:val="D34817"/>
      <w:sz w:val="48"/>
      <w:szCs w:val="48"/>
    </w:rPr>
  </w:style>
  <w:style w:type="paragraph" w:styleId="ListParagraph">
    <w:name w:val="List Paragraph"/>
    <w:basedOn w:val="Normal"/>
    <w:link w:val="ListParagraphChar"/>
    <w:uiPriority w:val="34"/>
    <w:qFormat/>
    <w:rsid w:val="00D138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3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B2C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B2C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B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2C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F35954"/>
    <w:rPr>
      <w:rFonts w:ascii="Times New Roman" w:eastAsia="Times New Roman" w:hAnsi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16070F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16070F"/>
    <w:pPr>
      <w:spacing w:after="120"/>
    </w:pPr>
    <w:rPr>
      <w:rFonts w:ascii="Arial" w:eastAsia="Calibr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16070F"/>
    <w:rPr>
      <w:rFonts w:ascii="Times New Roman" w:eastAsia="Times New Roman" w:hAnsi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537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5372"/>
    <w:rPr>
      <w:rFonts w:ascii="Times New Roman" w:eastAsia="Times New Roman" w:hAnsi="Times New Roman"/>
    </w:rPr>
  </w:style>
  <w:style w:type="paragraph" w:customStyle="1" w:styleId="Default">
    <w:name w:val="Default"/>
    <w:rsid w:val="00156DA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B2B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B4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2B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B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9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EFC1F-CA6D-4EED-8AE0-7643E0D9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Simovic</dc:creator>
  <cp:lastModifiedBy>Ivana Vojinović</cp:lastModifiedBy>
  <cp:revision>2</cp:revision>
  <cp:lastPrinted>2024-07-24T11:59:00Z</cp:lastPrinted>
  <dcterms:created xsi:type="dcterms:W3CDTF">2024-07-25T14:24:00Z</dcterms:created>
  <dcterms:modified xsi:type="dcterms:W3CDTF">2024-07-25T14:24:00Z</dcterms:modified>
</cp:coreProperties>
</file>