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F075A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sz w:val="24"/>
          <w:szCs w:val="24"/>
          <w:lang w:val="sr-Cyrl-CS"/>
        </w:rPr>
        <w:t>ОБРАЗЛОЖЕЊЕ</w:t>
      </w:r>
    </w:p>
    <w:p w14:paraId="7339CA9A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0B1E7E05" w14:textId="77777777" w:rsidR="005270E5" w:rsidRPr="00670367" w:rsidRDefault="005270E5" w:rsidP="005270E5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14:paraId="2BD533E6" w14:textId="77777777" w:rsidR="005270E5" w:rsidRPr="00670367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>I</w:t>
      </w:r>
      <w:r w:rsidRPr="00670367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>Уставн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и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основ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за доношење Закона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 </w:t>
      </w:r>
    </w:p>
    <w:p w14:paraId="2D34CD3B" w14:textId="77777777" w:rsidR="005270E5" w:rsidRPr="00670367" w:rsidRDefault="005270E5" w:rsidP="005270E5">
      <w:pPr>
        <w:rPr>
          <w:rFonts w:ascii="Times New Roman" w:hAnsi="Times New Roman"/>
          <w:sz w:val="24"/>
          <w:szCs w:val="24"/>
          <w:lang w:val="sr-Cyrl-CS"/>
        </w:rPr>
      </w:pPr>
    </w:p>
    <w:p w14:paraId="5DB21FA2" w14:textId="77777777" w:rsidR="005270E5" w:rsidRPr="003A774A" w:rsidRDefault="005270E5" w:rsidP="0034086F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70367">
        <w:rPr>
          <w:rFonts w:ascii="Times New Roman" w:hAnsi="Times New Roman"/>
          <w:sz w:val="24"/>
          <w:szCs w:val="24"/>
          <w:lang w:val="sr-Cyrl-CS"/>
        </w:rPr>
        <w:t xml:space="preserve">             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Уставни основ за </w:t>
      </w:r>
      <w:r>
        <w:rPr>
          <w:rFonts w:ascii="Times New Roman" w:hAnsi="Times New Roman"/>
          <w:sz w:val="24"/>
          <w:szCs w:val="24"/>
          <w:lang w:val="sr-Cyrl-CS"/>
        </w:rPr>
        <w:t xml:space="preserve">доношење </w:t>
      </w:r>
      <w:r w:rsidR="00F003A2" w:rsidRPr="00F736EF">
        <w:rPr>
          <w:rFonts w:ascii="Times New Roman" w:hAnsi="Times New Roman"/>
          <w:bCs/>
          <w:sz w:val="24"/>
          <w:szCs w:val="24"/>
          <w:lang w:val="ru-RU"/>
        </w:rPr>
        <w:t>Споразум</w:t>
      </w:r>
      <w:r w:rsidR="00F003A2">
        <w:rPr>
          <w:rFonts w:ascii="Times New Roman" w:hAnsi="Times New Roman"/>
          <w:bCs/>
          <w:sz w:val="24"/>
          <w:szCs w:val="24"/>
          <w:lang w:val="ru-RU"/>
        </w:rPr>
        <w:t>а</w:t>
      </w:r>
      <w:r w:rsidR="00F003A2" w:rsidRPr="00F736EF">
        <w:rPr>
          <w:rFonts w:ascii="Times New Roman" w:hAnsi="Times New Roman"/>
          <w:bCs/>
          <w:sz w:val="24"/>
          <w:szCs w:val="24"/>
          <w:lang w:val="ru-RU"/>
        </w:rPr>
        <w:t xml:space="preserve"> о финансирању поновног успостављања заједничке стал</w:t>
      </w:r>
      <w:r w:rsidR="00C677AF">
        <w:rPr>
          <w:rFonts w:ascii="Times New Roman" w:hAnsi="Times New Roman"/>
          <w:bCs/>
          <w:sz w:val="24"/>
          <w:szCs w:val="24"/>
        </w:rPr>
        <w:t xml:space="preserve">не изложбе </w:t>
      </w:r>
      <w:r w:rsidR="00F003A2" w:rsidRPr="00F736EF">
        <w:rPr>
          <w:rFonts w:ascii="Times New Roman" w:hAnsi="Times New Roman"/>
          <w:bCs/>
          <w:sz w:val="24"/>
          <w:szCs w:val="24"/>
          <w:lang w:val="ru-RU"/>
        </w:rPr>
        <w:t xml:space="preserve">у Блоку 17 Државног музеја </w:t>
      </w:r>
      <w:r w:rsidR="00F003A2" w:rsidRPr="001F71AA">
        <w:rPr>
          <w:rFonts w:ascii="Times New Roman" w:hAnsi="Times New Roman"/>
          <w:bCs/>
          <w:sz w:val="24"/>
          <w:szCs w:val="24"/>
          <w:lang w:val="ru-RU"/>
        </w:rPr>
        <w:t>Аушвиц-Биркенау</w:t>
      </w:r>
      <w:r w:rsidRPr="001F71AA">
        <w:rPr>
          <w:rFonts w:ascii="Times New Roman" w:hAnsi="Times New Roman"/>
          <w:sz w:val="24"/>
          <w:szCs w:val="24"/>
          <w:lang w:val="ru-RU"/>
        </w:rPr>
        <w:t>,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 садржан је у члану 9</w:t>
      </w:r>
      <w:r>
        <w:rPr>
          <w:rFonts w:ascii="Times New Roman" w:hAnsi="Times New Roman"/>
          <w:sz w:val="24"/>
          <w:szCs w:val="24"/>
          <w:lang w:val="sr-Cyrl-CS"/>
        </w:rPr>
        <w:t>9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. став 1. тачка </w:t>
      </w:r>
      <w:r>
        <w:rPr>
          <w:rFonts w:ascii="Times New Roman" w:hAnsi="Times New Roman"/>
          <w:sz w:val="24"/>
          <w:szCs w:val="24"/>
          <w:lang w:val="sr-Cyrl-CS"/>
        </w:rPr>
        <w:t>4</w:t>
      </w:r>
      <w:r w:rsidRPr="00D73375">
        <w:rPr>
          <w:rFonts w:ascii="Times New Roman" w:hAnsi="Times New Roman"/>
          <w:sz w:val="24"/>
          <w:szCs w:val="24"/>
          <w:lang w:val="sr-Cyrl-CS"/>
        </w:rPr>
        <w:t xml:space="preserve">. Устава Републике Србије по коме Република Србија </w:t>
      </w:r>
      <w:r>
        <w:rPr>
          <w:rFonts w:ascii="Times New Roman" w:hAnsi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потврђивања.</w:t>
      </w:r>
    </w:p>
    <w:p w14:paraId="15746378" w14:textId="77777777" w:rsidR="00D62445" w:rsidRPr="00670367" w:rsidRDefault="00D62445" w:rsidP="0034086F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D18AF5D" w14:textId="77777777" w:rsidR="005270E5" w:rsidRDefault="005270E5" w:rsidP="00A04DC3">
      <w:pPr>
        <w:tabs>
          <w:tab w:val="left" w:pos="0"/>
          <w:tab w:val="left" w:pos="8518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t>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Разлози </w:t>
      </w:r>
      <w:r w:rsidR="003053C6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због којих се предлаже потврђивање </w:t>
      </w:r>
      <w:r w:rsidR="00D21A3D">
        <w:rPr>
          <w:rFonts w:ascii="Times New Roman" w:hAnsi="Times New Roman"/>
          <w:b/>
          <w:kern w:val="24"/>
          <w:sz w:val="24"/>
          <w:szCs w:val="24"/>
          <w:lang w:val="ru-RU"/>
        </w:rPr>
        <w:t>Споразума</w:t>
      </w:r>
      <w:r w:rsidR="00A04DC3">
        <w:rPr>
          <w:rFonts w:ascii="Times New Roman" w:hAnsi="Times New Roman"/>
          <w:b/>
          <w:kern w:val="24"/>
          <w:sz w:val="24"/>
          <w:szCs w:val="24"/>
          <w:lang w:val="ru-RU"/>
        </w:rPr>
        <w:tab/>
      </w:r>
    </w:p>
    <w:p w14:paraId="270C422D" w14:textId="77777777" w:rsidR="00F71BCB" w:rsidRPr="00282BC4" w:rsidRDefault="00F71BCB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16"/>
          <w:szCs w:val="16"/>
          <w:lang w:val="ru-RU"/>
        </w:rPr>
      </w:pPr>
    </w:p>
    <w:p w14:paraId="1C538574" w14:textId="77777777" w:rsidR="00606A8B" w:rsidRPr="00606A8B" w:rsidRDefault="004B2F2B" w:rsidP="00BC4514">
      <w:pPr>
        <w:spacing w:before="240" w:after="240"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 xml:space="preserve">У оквиру процеса </w:t>
      </w:r>
      <w:r w:rsidR="00BC4514">
        <w:rPr>
          <w:rFonts w:ascii="Times New Roman" w:hAnsi="Times New Roman"/>
          <w:sz w:val="24"/>
          <w:szCs w:val="24"/>
          <w:lang w:val="sr-Cyrl-RS" w:eastAsia="sr-Latn-RS"/>
        </w:rPr>
        <w:t>спровођења</w:t>
      </w:r>
      <w:r w:rsidR="00BC4514" w:rsidRPr="004B2F2B">
        <w:rPr>
          <w:rFonts w:ascii="Times New Roman" w:hAnsi="Times New Roman"/>
          <w:sz w:val="24"/>
          <w:szCs w:val="24"/>
        </w:rPr>
        <w:t xml:space="preserve"> </w:t>
      </w:r>
      <w:r w:rsidRPr="004B2F2B">
        <w:rPr>
          <w:rFonts w:ascii="Times New Roman" w:hAnsi="Times New Roman"/>
          <w:sz w:val="24"/>
          <w:szCs w:val="24"/>
        </w:rPr>
        <w:t>обнове бившег ју</w:t>
      </w:r>
      <w:r>
        <w:rPr>
          <w:rFonts w:ascii="Times New Roman" w:hAnsi="Times New Roman"/>
          <w:sz w:val="24"/>
          <w:szCs w:val="24"/>
        </w:rPr>
        <w:t xml:space="preserve">гословенског павиљона, </w:t>
      </w:r>
      <w:r w:rsidRPr="004B2F2B">
        <w:rPr>
          <w:rFonts w:ascii="Times New Roman" w:hAnsi="Times New Roman"/>
          <w:sz w:val="24"/>
          <w:szCs w:val="24"/>
        </w:rPr>
        <w:t>Блок 17</w:t>
      </w:r>
      <w:r w:rsidRPr="004B2F2B">
        <w:rPr>
          <w:rFonts w:ascii="Times New Roman" w:hAnsi="Times New Roman"/>
          <w:sz w:val="24"/>
          <w:szCs w:val="24"/>
          <w:lang w:val="sr-Cyrl-RS"/>
        </w:rPr>
        <w:t xml:space="preserve"> – Државни музеј </w:t>
      </w:r>
      <w:r w:rsidR="00D1515B" w:rsidRPr="001F71AA">
        <w:rPr>
          <w:rFonts w:ascii="Times New Roman" w:hAnsi="Times New Roman"/>
          <w:sz w:val="24"/>
          <w:szCs w:val="24"/>
          <w:lang w:val="sr-Cyrl-RS"/>
        </w:rPr>
        <w:t>Аушвиц</w:t>
      </w:r>
      <w:r w:rsidRPr="001F71AA">
        <w:rPr>
          <w:rFonts w:ascii="Times New Roman" w:hAnsi="Times New Roman"/>
          <w:sz w:val="24"/>
          <w:szCs w:val="24"/>
          <w:lang w:val="sr-Cyrl-RS"/>
        </w:rPr>
        <w:t>–Биркенау у Пољској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>, након одржаних консултација и усаглашавања текста свих страна, у координац</w:t>
      </w:r>
      <w:r w:rsidR="004A0BD7">
        <w:rPr>
          <w:rFonts w:ascii="Times New Roman" w:hAnsi="Times New Roman"/>
          <w:sz w:val="24"/>
          <w:szCs w:val="24"/>
          <w:lang w:val="sr-Cyrl-RS"/>
        </w:rPr>
        <w:t>ији Унеска, 25. јануара 2024. године</w:t>
      </w:r>
      <w:r w:rsidR="005D1417">
        <w:rPr>
          <w:rFonts w:ascii="Times New Roman" w:hAnsi="Times New Roman"/>
          <w:sz w:val="24"/>
          <w:szCs w:val="24"/>
          <w:lang w:val="sr-Cyrl-RS"/>
        </w:rPr>
        <w:t>,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 xml:space="preserve"> у седишту Унеска у Паризу, министри културе 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</w:t>
      </w:r>
      <w:r w:rsidR="00282BC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 xml:space="preserve">Србије, 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</w:t>
      </w:r>
      <w:r w:rsidR="00282BC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 xml:space="preserve">Северне Македоније, 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</w:t>
      </w:r>
      <w:r w:rsidR="00282BC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 xml:space="preserve">Хрватске, Црне Горе, представник Сталне делегације Босне и Херцеговине при Унеску и амбасадор Сталне делегације 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</w:t>
      </w:r>
      <w:r w:rsidR="00282BC4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="00282BC4"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</w:t>
      </w:r>
      <w:r w:rsidR="00BC4514" w:rsidRPr="001F71AA">
        <w:rPr>
          <w:rFonts w:ascii="Times New Roman" w:hAnsi="Times New Roman"/>
          <w:sz w:val="24"/>
          <w:szCs w:val="24"/>
          <w:lang w:val="sr-Cyrl-RS"/>
        </w:rPr>
        <w:t xml:space="preserve">Словеније при Унеску потписали су </w:t>
      </w:r>
      <w:r w:rsidR="00606A8B" w:rsidRPr="001F71AA">
        <w:rPr>
          <w:rFonts w:ascii="Times New Roman" w:hAnsi="Times New Roman"/>
          <w:bCs/>
          <w:sz w:val="24"/>
          <w:szCs w:val="24"/>
          <w:lang w:val="ru-RU"/>
        </w:rPr>
        <w:t>Споразум о финансирању поновног успостављања заједничке стал</w:t>
      </w:r>
      <w:r w:rsidR="00450912" w:rsidRPr="001F71AA">
        <w:rPr>
          <w:rFonts w:ascii="Times New Roman" w:hAnsi="Times New Roman"/>
          <w:bCs/>
          <w:sz w:val="24"/>
          <w:szCs w:val="24"/>
          <w:lang w:val="sr-Cyrl-RS"/>
        </w:rPr>
        <w:t>не изложбе</w:t>
      </w:r>
      <w:r w:rsidR="00606A8B" w:rsidRPr="001F71AA">
        <w:rPr>
          <w:rFonts w:ascii="Times New Roman" w:hAnsi="Times New Roman"/>
          <w:bCs/>
          <w:sz w:val="24"/>
          <w:szCs w:val="24"/>
          <w:lang w:val="ru-RU"/>
        </w:rPr>
        <w:t xml:space="preserve"> у Блоку 17 Државног музеја Аушвиц-Биркенау</w:t>
      </w:r>
      <w:bookmarkStart w:id="0" w:name="_Hlk152705550"/>
      <w:r w:rsidR="00606A8B" w:rsidRPr="001F71AA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 </w:t>
      </w:r>
      <w:bookmarkEnd w:id="0"/>
      <w:r w:rsidR="00606A8B" w:rsidRPr="001F71AA">
        <w:rPr>
          <w:rFonts w:ascii="Times New Roman" w:eastAsiaTheme="minorHAnsi" w:hAnsi="Times New Roman"/>
          <w:bCs/>
          <w:sz w:val="24"/>
          <w:szCs w:val="24"/>
          <w:lang w:val="sr-Cyrl-RS"/>
        </w:rPr>
        <w:t>(у даљем тексту: Споразум)</w:t>
      </w:r>
      <w:r w:rsidR="00BC4514" w:rsidRPr="001F71AA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 на енглеском језику.</w:t>
      </w:r>
      <w:r w:rsidR="00606A8B" w:rsidRPr="001F71AA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 </w:t>
      </w:r>
      <w:r w:rsidR="00277E20" w:rsidRPr="001F71AA">
        <w:rPr>
          <w:rFonts w:ascii="Times New Roman" w:eastAsiaTheme="minorHAnsi" w:hAnsi="Times New Roman"/>
          <w:bCs/>
          <w:sz w:val="24"/>
          <w:szCs w:val="24"/>
          <w:lang w:val="sr-Cyrl-RS"/>
        </w:rPr>
        <w:t xml:space="preserve">Унеско је координатор Пројекта од 2010. године, а депозитар Споразума је </w:t>
      </w:r>
      <w:r w:rsidR="008C7849" w:rsidRPr="001F71AA">
        <w:rPr>
          <w:rFonts w:ascii="Times New Roman" w:hAnsi="Times New Roman"/>
          <w:sz w:val="24"/>
          <w:szCs w:val="24"/>
          <w:lang w:val="sr-Cyrl-BA" w:eastAsia="en-GB"/>
        </w:rPr>
        <w:t>г</w:t>
      </w:r>
      <w:r w:rsidR="00EA13BE" w:rsidRPr="001F71AA">
        <w:rPr>
          <w:rFonts w:ascii="Times New Roman" w:hAnsi="Times New Roman"/>
          <w:sz w:val="24"/>
          <w:szCs w:val="24"/>
          <w:lang w:val="sr-Cyrl-BA" w:eastAsia="en-GB"/>
        </w:rPr>
        <w:t xml:space="preserve">енерални директор ове </w:t>
      </w:r>
      <w:r w:rsidR="00EA13BE" w:rsidRPr="001F71AA">
        <w:rPr>
          <w:rFonts w:ascii="Times New Roman" w:hAnsi="Times New Roman"/>
          <w:sz w:val="24"/>
          <w:szCs w:val="24"/>
          <w:lang w:eastAsia="en-GB"/>
        </w:rPr>
        <w:t>Организације.</w:t>
      </w:r>
      <w:r w:rsidR="00EA13BE" w:rsidRPr="001F71AA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606A8B" w:rsidRPr="001F71AA">
        <w:rPr>
          <w:rFonts w:ascii="Times New Roman" w:eastAsiaTheme="minorHAnsi" w:hAnsi="Times New Roman"/>
          <w:sz w:val="24"/>
          <w:szCs w:val="24"/>
          <w:lang w:val="sr-Cyrl-RS"/>
        </w:rPr>
        <w:t>Копију потписаног Споразума на енглеском језик</w:t>
      </w:r>
      <w:r w:rsidR="00444BD5" w:rsidRPr="001F71AA">
        <w:rPr>
          <w:rFonts w:ascii="Times New Roman" w:eastAsiaTheme="minorHAnsi" w:hAnsi="Times New Roman"/>
          <w:sz w:val="24"/>
          <w:szCs w:val="24"/>
          <w:lang w:val="sr-Cyrl-RS"/>
        </w:rPr>
        <w:t>у оверио је Унеско (координатор</w:t>
      </w:r>
      <w:r w:rsidR="00606A8B" w:rsidRPr="001F71AA">
        <w:rPr>
          <w:rFonts w:ascii="Times New Roman" w:eastAsiaTheme="minorHAnsi" w:hAnsi="Times New Roman"/>
          <w:sz w:val="24"/>
          <w:szCs w:val="24"/>
          <w:lang w:val="sr-Cyrl-RS"/>
        </w:rPr>
        <w:t xml:space="preserve"> пројекта) и проследио свим странама ради спровођења даље процедуре по питању</w:t>
      </w:r>
      <w:r w:rsidR="00606A8B" w:rsidRPr="00606A8B">
        <w:rPr>
          <w:rFonts w:ascii="Times New Roman" w:eastAsiaTheme="minorHAnsi" w:hAnsi="Times New Roman"/>
          <w:sz w:val="24"/>
          <w:szCs w:val="24"/>
          <w:lang w:val="sr-Cyrl-RS"/>
        </w:rPr>
        <w:t xml:space="preserve"> његове ратификације.</w:t>
      </w:r>
    </w:p>
    <w:p w14:paraId="4B336318" w14:textId="77777777" w:rsidR="001706DD" w:rsidRPr="00803A93" w:rsidRDefault="00606A8B" w:rsidP="00180213">
      <w:pPr>
        <w:widowControl/>
        <w:spacing w:after="200" w:line="276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bookmarkStart w:id="1" w:name="_Hlk152792024"/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Предмет Споразума је финансирање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понов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ног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успостав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љања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</w:t>
      </w:r>
      <w:r w:rsidRPr="00803A93">
        <w:rPr>
          <w:rFonts w:ascii="Times New Roman" w:hAnsi="Times New Roman"/>
          <w:bCs/>
          <w:sz w:val="24"/>
          <w:szCs w:val="24"/>
          <w:lang w:val="ru-RU" w:eastAsia="sr-Latn-RS"/>
        </w:rPr>
        <w:t>заједничке стал</w:t>
      </w:r>
      <w:r w:rsidR="00D1515B" w:rsidRPr="00803A93">
        <w:rPr>
          <w:rFonts w:ascii="Times New Roman" w:hAnsi="Times New Roman"/>
          <w:bCs/>
          <w:sz w:val="24"/>
          <w:szCs w:val="24"/>
          <w:lang w:val="sr-Cyrl-RS" w:eastAsia="sr-Latn-RS"/>
        </w:rPr>
        <w:t>не изложбе</w:t>
      </w:r>
      <w:r w:rsidRPr="00803A93">
        <w:rPr>
          <w:rFonts w:ascii="Times New Roman" w:hAnsi="Times New Roman"/>
          <w:bCs/>
          <w:sz w:val="24"/>
          <w:szCs w:val="24"/>
          <w:lang w:val="ru-RU" w:eastAsia="sr-Latn-RS"/>
        </w:rPr>
        <w:t xml:space="preserve"> у Блоку 17 Државног музеја Аушвиц-Биркенау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у Пољској као мест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у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сећања на жртве </w:t>
      </w:r>
      <w:r w:rsidR="00CC1ADD"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са територије бивше Југославије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у концентрационом логору Аушвиц-Биркенау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.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Србиј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а,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Босн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и Херцеговин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, Републик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Хрватск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, Црн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Гор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, Републик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Северн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Македониј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а и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Република Словениј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а </w:t>
      </w:r>
      <w:r w:rsidRPr="00803A93">
        <w:rPr>
          <w:rFonts w:ascii="Times New Roman" w:hAnsi="Times New Roman"/>
          <w:color w:val="000000"/>
          <w:sz w:val="24"/>
          <w:szCs w:val="24"/>
          <w:lang w:val="sr-Cyrl-RS" w:eastAsia="sr-Latn-RS"/>
        </w:rPr>
        <w:t xml:space="preserve">закључују Споразум имајући у виду 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>принцип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е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Конвенције о спречавању и кажњавању злочина геноцида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 xml:space="preserve"> и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Стратегије Савета министара Југоисточне Европе из 2014. 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године и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препозна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јући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Државн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и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музеј Аушвиц-Биркенау као јед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ан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 од централних историјских споменика у Европи у једном од најмрачнијих периода у историји човечанства. </w:t>
      </w:r>
      <w:r w:rsidRPr="00803A93">
        <w:rPr>
          <w:rFonts w:ascii="Times New Roman" w:hAnsi="Times New Roman"/>
          <w:sz w:val="24"/>
          <w:szCs w:val="24"/>
          <w:lang w:val="sr-Cyrl-RS" w:eastAsia="sr-Latn-RS"/>
        </w:rPr>
        <w:t>О</w:t>
      </w:r>
      <w:r w:rsidRPr="00803A93">
        <w:rPr>
          <w:rFonts w:ascii="Times New Roman" w:hAnsi="Times New Roman"/>
          <w:sz w:val="24"/>
          <w:szCs w:val="24"/>
          <w:lang w:val="sr-Latn-RS" w:eastAsia="sr-Latn-RS"/>
        </w:rPr>
        <w:t xml:space="preserve">ва иницијатива има за циљ да допринесе промоцији дијалога, мира и помирења у региону, развијајући иновативне и креативне приступе очувању културе сећања. </w:t>
      </w:r>
      <w:bookmarkEnd w:id="1"/>
    </w:p>
    <w:p w14:paraId="0D6D7327" w14:textId="77777777" w:rsidR="001706DD" w:rsidRPr="00282BC4" w:rsidRDefault="001706DD" w:rsidP="005270E5">
      <w:pPr>
        <w:tabs>
          <w:tab w:val="left" w:pos="0"/>
        </w:tabs>
        <w:ind w:firstLine="720"/>
        <w:rPr>
          <w:rFonts w:ascii="Times New Roman" w:hAnsi="Times New Roman"/>
          <w:b/>
          <w:bCs/>
          <w:sz w:val="16"/>
          <w:szCs w:val="16"/>
          <w:lang w:val="sr-Cyrl-RS"/>
        </w:rPr>
      </w:pPr>
    </w:p>
    <w:p w14:paraId="3AE75411" w14:textId="77777777" w:rsidR="005270E5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24"/>
          <w:szCs w:val="24"/>
          <w:lang w:val="ru-RU"/>
        </w:rPr>
      </w:pPr>
      <w:r w:rsidRPr="00670367">
        <w:rPr>
          <w:rFonts w:ascii="Times New Roman" w:hAnsi="Times New Roman"/>
          <w:b/>
          <w:bCs/>
          <w:sz w:val="24"/>
          <w:szCs w:val="24"/>
        </w:rPr>
        <w:t>III</w:t>
      </w:r>
      <w:r w:rsidRPr="00670367">
        <w:rPr>
          <w:rFonts w:ascii="Times New Roman" w:hAnsi="Times New Roman"/>
          <w:b/>
          <w:bCs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>Финансијске обавезе које настају извршавањем Споразума</w:t>
      </w:r>
    </w:p>
    <w:p w14:paraId="5790F328" w14:textId="77777777" w:rsidR="005270E5" w:rsidRPr="00F404CA" w:rsidRDefault="005270E5" w:rsidP="005270E5">
      <w:pPr>
        <w:tabs>
          <w:tab w:val="left" w:pos="0"/>
        </w:tabs>
        <w:ind w:firstLine="720"/>
        <w:rPr>
          <w:rFonts w:ascii="Times New Roman" w:hAnsi="Times New Roman"/>
          <w:b/>
          <w:kern w:val="24"/>
          <w:sz w:val="16"/>
          <w:szCs w:val="16"/>
          <w:lang w:val="ru-RU"/>
        </w:rPr>
      </w:pPr>
    </w:p>
    <w:p w14:paraId="6ECD1D58" w14:textId="77777777" w:rsidR="005270E5" w:rsidRPr="007752AB" w:rsidRDefault="005270E5" w:rsidP="005270E5">
      <w:pPr>
        <w:tabs>
          <w:tab w:val="left" w:pos="0"/>
        </w:tabs>
        <w:ind w:firstLine="720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>
        <w:rPr>
          <w:rFonts w:ascii="Times New Roman" w:hAnsi="Times New Roman"/>
          <w:kern w:val="24"/>
          <w:sz w:val="24"/>
          <w:szCs w:val="24"/>
          <w:lang w:val="ru-RU"/>
        </w:rPr>
        <w:t xml:space="preserve">Извршавањем </w:t>
      </w:r>
      <w:r w:rsidR="00C83A2B">
        <w:rPr>
          <w:rFonts w:ascii="Times New Roman" w:hAnsi="Times New Roman"/>
          <w:kern w:val="24"/>
          <w:sz w:val="24"/>
          <w:szCs w:val="24"/>
          <w:lang w:val="ru-RU"/>
        </w:rPr>
        <w:t>Споразума</w:t>
      </w:r>
      <w:r>
        <w:rPr>
          <w:rFonts w:ascii="Times New Roman" w:hAnsi="Times New Roman"/>
          <w:kern w:val="24"/>
          <w:sz w:val="24"/>
          <w:szCs w:val="24"/>
          <w:lang w:val="ru-RU"/>
        </w:rPr>
        <w:t xml:space="preserve"> настају директне финансијске обавезе за Републику Србију</w:t>
      </w:r>
      <w:r w:rsidR="00C83A2B">
        <w:rPr>
          <w:rFonts w:ascii="Times New Roman" w:hAnsi="Times New Roman"/>
          <w:kern w:val="24"/>
          <w:sz w:val="24"/>
          <w:szCs w:val="24"/>
          <w:lang w:val="ru-RU"/>
        </w:rPr>
        <w:t>.</w:t>
      </w:r>
    </w:p>
    <w:p w14:paraId="4DEBB4AD" w14:textId="77777777" w:rsidR="00614DFF" w:rsidRPr="001B6D58" w:rsidRDefault="00614DFF" w:rsidP="00F404CA">
      <w:pPr>
        <w:rPr>
          <w:rFonts w:ascii="Times New Roman" w:hAnsi="Times New Roman"/>
          <w:b/>
          <w:kern w:val="24"/>
          <w:sz w:val="24"/>
          <w:szCs w:val="24"/>
          <w:lang w:val="ru-RU"/>
        </w:rPr>
      </w:pPr>
    </w:p>
    <w:p w14:paraId="667F267D" w14:textId="77777777" w:rsidR="005270E5" w:rsidRPr="00670367" w:rsidRDefault="005270E5" w:rsidP="005270E5">
      <w:pPr>
        <w:ind w:firstLine="720"/>
        <w:rPr>
          <w:rFonts w:ascii="Times New Roman" w:hAnsi="Times New Roman"/>
          <w:b/>
          <w:kern w:val="24"/>
          <w:sz w:val="24"/>
          <w:szCs w:val="24"/>
          <w:lang w:val="sr-Cyrl-CS"/>
        </w:rPr>
      </w:pPr>
      <w:r w:rsidRPr="00670367">
        <w:rPr>
          <w:rFonts w:ascii="Times New Roman" w:hAnsi="Times New Roman"/>
          <w:b/>
          <w:kern w:val="24"/>
          <w:sz w:val="24"/>
          <w:szCs w:val="24"/>
        </w:rPr>
        <w:t>IV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. Процена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потребних </w:t>
      </w:r>
      <w:r w:rsidRPr="00670367"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финансијских средстава за </w:t>
      </w:r>
      <w:r>
        <w:rPr>
          <w:rFonts w:ascii="Times New Roman" w:hAnsi="Times New Roman"/>
          <w:b/>
          <w:kern w:val="24"/>
          <w:sz w:val="24"/>
          <w:szCs w:val="24"/>
          <w:lang w:val="ru-RU"/>
        </w:rPr>
        <w:t xml:space="preserve">извршавање </w:t>
      </w:r>
      <w:r w:rsidR="004A0BD7">
        <w:rPr>
          <w:rFonts w:ascii="Times New Roman" w:hAnsi="Times New Roman"/>
          <w:b/>
          <w:kern w:val="24"/>
          <w:sz w:val="24"/>
          <w:szCs w:val="24"/>
          <w:lang w:val="ru-RU"/>
        </w:rPr>
        <w:t>Споразума</w:t>
      </w:r>
    </w:p>
    <w:p w14:paraId="36F47ADA" w14:textId="77777777" w:rsidR="005270E5" w:rsidRPr="00F404CA" w:rsidRDefault="005270E5" w:rsidP="005270E5">
      <w:pPr>
        <w:jc w:val="both"/>
        <w:rPr>
          <w:rFonts w:ascii="Times New Roman" w:hAnsi="Times New Roman"/>
          <w:sz w:val="16"/>
          <w:szCs w:val="16"/>
          <w:highlight w:val="yellow"/>
          <w:lang w:val="sr-Cyrl-CS"/>
        </w:rPr>
      </w:pPr>
    </w:p>
    <w:p w14:paraId="5C19D72F" w14:textId="77777777" w:rsidR="00180213" w:rsidRPr="006D4196" w:rsidRDefault="00180213" w:rsidP="00D22F1B">
      <w:pPr>
        <w:widowControl/>
        <w:spacing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bookmarkStart w:id="2" w:name="_Hlk152698744"/>
      <w:r w:rsidRPr="006D4196">
        <w:rPr>
          <w:rFonts w:ascii="Times New Roman" w:eastAsiaTheme="minorHAnsi" w:hAnsi="Times New Roman"/>
          <w:bCs/>
          <w:iCs/>
          <w:sz w:val="24"/>
          <w:szCs w:val="24"/>
          <w:lang w:val="sr-Cyrl-BA"/>
        </w:rPr>
        <w:t>Споразумом</w:t>
      </w:r>
      <w:r w:rsidRPr="006D4196">
        <w:rPr>
          <w:rFonts w:ascii="Times New Roman" w:eastAsiaTheme="minorHAnsi" w:hAnsi="Times New Roman"/>
          <w:bCs/>
          <w:iCs/>
          <w:sz w:val="24"/>
          <w:szCs w:val="24"/>
          <w:lang w:val="sr-Latn-RS"/>
        </w:rPr>
        <w:t xml:space="preserve"> о поновном успостављању </w:t>
      </w:r>
      <w:r w:rsidRPr="006D4196">
        <w:rPr>
          <w:rFonts w:ascii="Times New Roman" w:hAnsi="Times New Roman"/>
          <w:bCs/>
          <w:sz w:val="24"/>
          <w:szCs w:val="24"/>
          <w:lang w:val="ru-RU"/>
        </w:rPr>
        <w:t>заједничке стал</w:t>
      </w:r>
      <w:r w:rsidR="002C6D40" w:rsidRPr="006D4196">
        <w:rPr>
          <w:rFonts w:ascii="Times New Roman" w:hAnsi="Times New Roman"/>
          <w:bCs/>
          <w:sz w:val="24"/>
          <w:szCs w:val="24"/>
          <w:lang w:val="sr-Cyrl-RS"/>
        </w:rPr>
        <w:t>не изложбе</w:t>
      </w:r>
      <w:r w:rsidRPr="006D4196">
        <w:rPr>
          <w:rFonts w:ascii="Times New Roman" w:hAnsi="Times New Roman"/>
          <w:bCs/>
          <w:sz w:val="24"/>
          <w:szCs w:val="24"/>
          <w:lang w:val="ru-RU"/>
        </w:rPr>
        <w:t xml:space="preserve"> у Блоку 17 Државног музеја Аушвиц-Биркенау</w:t>
      </w:r>
      <w:r w:rsidRPr="006D4196">
        <w:rPr>
          <w:rFonts w:ascii="Times New Roman" w:eastAsiaTheme="minorHAnsi" w:hAnsi="Times New Roman"/>
          <w:bCs/>
          <w:iCs/>
          <w:sz w:val="24"/>
          <w:szCs w:val="24"/>
          <w:lang w:val="sr-Cyrl-RS"/>
        </w:rPr>
        <w:t xml:space="preserve"> у члану 2.</w:t>
      </w:r>
      <w:r w:rsidRPr="006D4196">
        <w:rPr>
          <w:rFonts w:ascii="Times New Roman" w:eastAsia="Calibri" w:hAnsi="Times New Roman"/>
          <w:sz w:val="24"/>
          <w:szCs w:val="24"/>
          <w:lang w:val="sr-Latn-RS"/>
        </w:rPr>
        <w:t xml:space="preserve"> </w:t>
      </w:r>
      <w:r w:rsidRPr="006D4196">
        <w:rPr>
          <w:rFonts w:ascii="Times New Roman" w:eastAsia="Calibri" w:hAnsi="Times New Roman"/>
          <w:sz w:val="24"/>
          <w:szCs w:val="24"/>
          <w:lang w:val="sr-Cyrl-RS"/>
        </w:rPr>
        <w:t xml:space="preserve">стране се обавезују да ће заједнички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надокнадити трошкове реновирања и конзервације заједничких простора, објеката и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lastRenderedPageBreak/>
        <w:t xml:space="preserve">сегмената Блока 17 у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укупном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износу од 1.000.000,00 евра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које је финансирала Република Аустрија кроз донације дате Фондацији Аушвиц-Биркенау у Републи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ци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Пољск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ој. Надокнада ће се вршити према моделу који предвиђа да удео Републике Србије износи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35,77%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у складу са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посебним споразум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ом који ће Република Србија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закључити са Фондацијом Аушвиц-Биркенау у Републици Пољској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најкасније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две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године након последње ратификације Споразума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.</w:t>
      </w:r>
    </w:p>
    <w:p w14:paraId="666105AE" w14:textId="77777777" w:rsidR="00180213" w:rsidRPr="00282BC4" w:rsidRDefault="00180213" w:rsidP="00D22F1B">
      <w:pPr>
        <w:widowControl/>
        <w:spacing w:line="276" w:lineRule="auto"/>
        <w:ind w:firstLine="720"/>
        <w:jc w:val="both"/>
        <w:rPr>
          <w:rFonts w:ascii="Times New Roman" w:eastAsiaTheme="minorHAnsi" w:hAnsi="Times New Roman"/>
          <w:sz w:val="16"/>
          <w:szCs w:val="16"/>
          <w:lang w:val="sr-Cyrl-RS"/>
        </w:rPr>
      </w:pPr>
    </w:p>
    <w:p w14:paraId="3323DBB9" w14:textId="77777777" w:rsidR="00180213" w:rsidRPr="006D4196" w:rsidRDefault="00180213" w:rsidP="00D22F1B">
      <w:pPr>
        <w:widowControl/>
        <w:spacing w:line="276" w:lineRule="auto"/>
        <w:ind w:firstLine="720"/>
        <w:jc w:val="both"/>
        <w:rPr>
          <w:rFonts w:ascii="Times New Roman" w:eastAsia="Calibri" w:hAnsi="Times New Roman"/>
          <w:color w:val="0070C0"/>
          <w:sz w:val="24"/>
          <w:szCs w:val="24"/>
          <w:lang w:val="sr-Cyrl-RS"/>
        </w:rPr>
      </w:pPr>
      <w:r w:rsidRPr="006D4196">
        <w:rPr>
          <w:rFonts w:ascii="Times New Roman" w:eastAsia="Calibri" w:hAnsi="Times New Roman"/>
          <w:sz w:val="24"/>
          <w:szCs w:val="24"/>
          <w:lang w:val="sr-Cyrl-CS"/>
        </w:rPr>
        <w:t xml:space="preserve">Чланом 3. предвиђено је да ће Република Србија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заједнички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са другим странама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финансирати све неизмирене трошкове имплементације заједничке сталне изложбе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који не би били покривени донацијом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Фонда породице Херман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, све будуће трошкове одржавања како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ће бити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регулисано посебним билатералним споразумима који ће бити потписани између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Републике Србије и </w:t>
      </w:r>
      <w:r w:rsidR="00051786">
        <w:rPr>
          <w:rFonts w:ascii="Times New Roman" w:eastAsiaTheme="minorHAnsi" w:hAnsi="Times New Roman"/>
          <w:sz w:val="24"/>
          <w:szCs w:val="24"/>
          <w:lang w:val="sr-Latn-RS"/>
        </w:rPr>
        <w:t>Државног музеја Аушвиц-Биркенау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као и све друге доспеле трошкове везане за заједничку сталну поставку у Блоку 17 Државног музеја Аушвиц-Биркенау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. У погледу надокнаде наведених трошкова прописан је идентичан модел поделе трошкова као у члану 2. односно предвиђено је да удео Републике Србије у укупним трошковима износи 35,77%. Република Србија ће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трошкове одржавања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плаћати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директно Државном музеју Аушвиц-Биркенау једном годишње према примљеној фактури, почевши од прве</w:t>
      </w:r>
      <w:r w:rsidR="00AF0296"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године отварања сталне изложбе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, у складу са проценама трошкова које ће обезбед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ити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Државни музеј.</w:t>
      </w:r>
    </w:p>
    <w:p w14:paraId="01B11730" w14:textId="77777777" w:rsidR="00180213" w:rsidRPr="00282BC4" w:rsidRDefault="00180213" w:rsidP="00D22F1B">
      <w:pPr>
        <w:widowControl/>
        <w:spacing w:line="276" w:lineRule="auto"/>
        <w:ind w:firstLine="720"/>
        <w:jc w:val="both"/>
        <w:rPr>
          <w:rFonts w:ascii="Times New Roman" w:eastAsiaTheme="minorHAnsi" w:hAnsi="Times New Roman"/>
          <w:sz w:val="16"/>
          <w:szCs w:val="16"/>
          <w:lang w:val="sr-Cyrl-RS"/>
        </w:rPr>
      </w:pPr>
    </w:p>
    <w:p w14:paraId="01D32ACA" w14:textId="77777777" w:rsidR="00180213" w:rsidRPr="006D4196" w:rsidRDefault="00180213" w:rsidP="00D22F1B">
      <w:pPr>
        <w:widowControl/>
        <w:spacing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У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2024. години планирана су финансијска средства </w:t>
      </w:r>
      <w:r w:rsidR="003219BC" w:rsidRPr="006D4196">
        <w:rPr>
          <w:rFonts w:ascii="Times New Roman" w:eastAsiaTheme="minorHAnsi" w:hAnsi="Times New Roman"/>
          <w:sz w:val="24"/>
          <w:szCs w:val="24"/>
          <w:lang w:val="sr-Latn-RS"/>
        </w:rPr>
        <w:t>потребна за изврше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њ</w:t>
      </w:r>
      <w:r w:rsidRPr="006D4196">
        <w:rPr>
          <w:rFonts w:ascii="Times New Roman" w:eastAsiaTheme="minorHAnsi" w:hAnsi="Times New Roman"/>
          <w:sz w:val="24"/>
          <w:szCs w:val="24"/>
        </w:rPr>
        <w:t>e</w:t>
      </w:r>
      <w:r w:rsidR="008764C9"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 </w:t>
      </w:r>
      <w:r w:rsidR="008764C9" w:rsidRPr="006D4196">
        <w:rPr>
          <w:rFonts w:ascii="Times New Roman" w:eastAsiaTheme="minorHAnsi" w:hAnsi="Times New Roman"/>
          <w:sz w:val="24"/>
          <w:szCs w:val="24"/>
          <w:lang w:val="sr-Cyrl-RS"/>
        </w:rPr>
        <w:t>С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поразума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у износу од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 xml:space="preserve">20.000.000,00 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>динара (</w:t>
      </w:r>
      <w:r w:rsidR="003B1491" w:rsidRPr="006D4196">
        <w:rPr>
          <w:rFonts w:ascii="Times New Roman" w:eastAsiaTheme="minorHAnsi" w:hAnsi="Times New Roman"/>
          <w:sz w:val="24"/>
          <w:szCs w:val="24"/>
          <w:lang w:val="sr-Cyrl-RS"/>
        </w:rPr>
        <w:t>Раздео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29/Програм 1205/ПА 0006/ ЕК 424),</w:t>
      </w:r>
    </w:p>
    <w:p w14:paraId="1D1D2A28" w14:textId="77777777" w:rsidR="003219BC" w:rsidRPr="006D4196" w:rsidRDefault="00180213" w:rsidP="00D22F1B">
      <w:pPr>
        <w:widowControl/>
        <w:spacing w:line="27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што представља део средстава од укупног износа од 42.000.000,00 динара, колико износи удео Републике Србије у укупном износу од 1.000.000,00 евра, које су све Стране у обавези да заједно надокнаде, у складу са уговорном обавезом предвиђеном чланом 2. Споразума, а </w:t>
      </w:r>
      <w:r w:rsidRPr="006D4196">
        <w:rPr>
          <w:rFonts w:ascii="Times New Roman" w:eastAsiaTheme="minorHAnsi" w:hAnsi="Times New Roman"/>
          <w:sz w:val="24"/>
          <w:szCs w:val="24"/>
          <w:lang w:val="sr-Latn-RS"/>
        </w:rPr>
        <w:t>у оквиру лимита који за сваког буџетског корисника утврђује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Министарство финансија.</w:t>
      </w:r>
    </w:p>
    <w:p w14:paraId="02E6EF70" w14:textId="77777777" w:rsidR="003219BC" w:rsidRPr="006D4196" w:rsidRDefault="003219BC" w:rsidP="00D22F1B">
      <w:pPr>
        <w:widowControl/>
        <w:spacing w:line="276" w:lineRule="auto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У 2025. години </w:t>
      </w:r>
      <w:r w:rsidR="00E317BF" w:rsidRPr="006D4196">
        <w:rPr>
          <w:rFonts w:ascii="Times New Roman" w:eastAsiaTheme="minorHAnsi" w:hAnsi="Times New Roman"/>
          <w:sz w:val="24"/>
          <w:szCs w:val="24"/>
          <w:lang w:val="sr-Cyrl-RS"/>
        </w:rPr>
        <w:t>биће планирана финансијска средства преосталог дела обавезе  за извршење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Споразума</w:t>
      </w:r>
      <w:r w:rsidR="00E317BF" w:rsidRPr="006D4196">
        <w:rPr>
          <w:rFonts w:ascii="Times New Roman" w:eastAsiaTheme="minorHAnsi" w:hAnsi="Times New Roman"/>
          <w:sz w:val="24"/>
          <w:szCs w:val="24"/>
          <w:lang w:val="sr-Cyrl-RS"/>
        </w:rPr>
        <w:t>,</w:t>
      </w: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E317BF" w:rsidRPr="006D4196">
        <w:rPr>
          <w:rFonts w:ascii="Times New Roman" w:eastAsiaTheme="minorHAnsi" w:hAnsi="Times New Roman"/>
          <w:sz w:val="24"/>
          <w:szCs w:val="24"/>
          <w:lang w:val="sr-Cyrl-RS"/>
        </w:rPr>
        <w:t>у износу од 22.000.000,00 динара (раздео 29/Програм 1205/ПА 0006/ ЕК 424).</w:t>
      </w:r>
      <w:r w:rsidR="006823DA"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У 2026. години биће планирана финансијска средства за извршење Споразума по питању реализације изложбе и одржавања простора, у износу од 20.000.000,00 динара (</w:t>
      </w:r>
      <w:r w:rsidR="00116FE7" w:rsidRPr="006D4196">
        <w:rPr>
          <w:rFonts w:ascii="Times New Roman" w:eastAsiaTheme="minorHAnsi" w:hAnsi="Times New Roman"/>
          <w:sz w:val="24"/>
          <w:szCs w:val="24"/>
          <w:lang w:val="sr-Cyrl-RS"/>
        </w:rPr>
        <w:t>Раздео</w:t>
      </w:r>
      <w:r w:rsidR="006823DA"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29/Програм 1205/ПА 0006/ ЕК 424). </w:t>
      </w:r>
    </w:p>
    <w:p w14:paraId="707C3C47" w14:textId="77777777" w:rsidR="008764C9" w:rsidRPr="00282BC4" w:rsidRDefault="008764C9" w:rsidP="00D22F1B">
      <w:pPr>
        <w:widowControl/>
        <w:spacing w:line="276" w:lineRule="auto"/>
        <w:jc w:val="both"/>
        <w:rPr>
          <w:rFonts w:ascii="Times New Roman" w:eastAsiaTheme="minorHAnsi" w:hAnsi="Times New Roman"/>
          <w:sz w:val="16"/>
          <w:szCs w:val="16"/>
          <w:lang w:val="sr-Cyrl-RS"/>
        </w:rPr>
      </w:pPr>
    </w:p>
    <w:p w14:paraId="69217085" w14:textId="77777777" w:rsidR="00180213" w:rsidRDefault="003263A2" w:rsidP="008764C9">
      <w:pPr>
        <w:widowControl/>
        <w:spacing w:line="276" w:lineRule="auto"/>
        <w:ind w:firstLine="720"/>
        <w:jc w:val="both"/>
        <w:rPr>
          <w:rFonts w:ascii="Times New Roman" w:eastAsiaTheme="minorHAnsi" w:hAnsi="Times New Roman"/>
          <w:sz w:val="24"/>
          <w:szCs w:val="24"/>
          <w:lang w:val="sr-Cyrl-RS"/>
        </w:rPr>
      </w:pPr>
      <w:r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У наредним годинама </w:t>
      </w:r>
      <w:r w:rsidR="002D5D9E" w:rsidRPr="006D4196">
        <w:rPr>
          <w:rFonts w:ascii="Times New Roman" w:eastAsiaTheme="minorHAnsi" w:hAnsi="Times New Roman"/>
          <w:sz w:val="24"/>
          <w:szCs w:val="24"/>
          <w:lang w:val="sr-Cyrl-RS"/>
        </w:rPr>
        <w:t>биће планир</w:t>
      </w:r>
      <w:r w:rsidR="00262A63" w:rsidRPr="006D4196">
        <w:rPr>
          <w:rFonts w:ascii="Times New Roman" w:eastAsiaTheme="minorHAnsi" w:hAnsi="Times New Roman"/>
          <w:sz w:val="24"/>
          <w:szCs w:val="24"/>
          <w:lang w:val="sr-Cyrl-RS"/>
        </w:rPr>
        <w:t>а</w:t>
      </w:r>
      <w:r w:rsidR="002D5D9E" w:rsidRPr="006D4196">
        <w:rPr>
          <w:rFonts w:ascii="Times New Roman" w:eastAsiaTheme="minorHAnsi" w:hAnsi="Times New Roman"/>
          <w:sz w:val="24"/>
          <w:szCs w:val="24"/>
          <w:lang w:val="sr-Cyrl-RS"/>
        </w:rPr>
        <w:t>на</w:t>
      </w:r>
      <w:r w:rsidR="00262A63" w:rsidRPr="006D4196">
        <w:rPr>
          <w:rFonts w:ascii="Times New Roman" w:eastAsiaTheme="minorHAnsi" w:hAnsi="Times New Roman"/>
          <w:sz w:val="24"/>
          <w:szCs w:val="24"/>
          <w:lang w:val="sr-Cyrl-RS"/>
        </w:rPr>
        <w:t xml:space="preserve"> </w:t>
      </w:r>
      <w:r w:rsidR="00180213" w:rsidRPr="006D4196">
        <w:rPr>
          <w:rFonts w:ascii="Times New Roman" w:eastAsiaTheme="minorHAnsi" w:hAnsi="Times New Roman"/>
          <w:sz w:val="24"/>
          <w:szCs w:val="24"/>
          <w:lang w:val="sr-Cyrl-RS"/>
        </w:rPr>
        <w:t>финансијска</w:t>
      </w:r>
      <w:r w:rsidR="00180213" w:rsidRPr="00180213">
        <w:rPr>
          <w:rFonts w:ascii="Times New Roman" w:eastAsiaTheme="minorHAnsi" w:hAnsi="Times New Roman"/>
          <w:sz w:val="24"/>
          <w:szCs w:val="24"/>
          <w:lang w:val="sr-Cyrl-RS"/>
        </w:rPr>
        <w:t xml:space="preserve"> средства у складу са уговорном обавезом предвиђеном чланом 3. Споразума </w:t>
      </w:r>
      <w:r w:rsidR="00180213" w:rsidRPr="00180213">
        <w:rPr>
          <w:rFonts w:ascii="Times New Roman" w:eastAsiaTheme="minorHAnsi" w:hAnsi="Times New Roman"/>
          <w:sz w:val="24"/>
          <w:szCs w:val="24"/>
          <w:lang w:val="sr-Latn-RS"/>
        </w:rPr>
        <w:t>у оквиру лимита који за сваког буџетског корисника утврђује</w:t>
      </w:r>
      <w:r w:rsidR="00180213" w:rsidRPr="00180213">
        <w:rPr>
          <w:rFonts w:ascii="Times New Roman" w:eastAsiaTheme="minorHAnsi" w:hAnsi="Times New Roman"/>
          <w:sz w:val="24"/>
          <w:szCs w:val="24"/>
          <w:lang w:val="sr-Cyrl-RS"/>
        </w:rPr>
        <w:t xml:space="preserve"> Министарство финансија.</w:t>
      </w:r>
    </w:p>
    <w:p w14:paraId="42E6917B" w14:textId="77777777" w:rsidR="003219BC" w:rsidRPr="00282BC4" w:rsidRDefault="003219BC" w:rsidP="00D22F1B">
      <w:pPr>
        <w:widowControl/>
        <w:spacing w:line="276" w:lineRule="auto"/>
        <w:jc w:val="both"/>
        <w:rPr>
          <w:rFonts w:ascii="Times New Roman" w:eastAsiaTheme="minorHAnsi" w:hAnsi="Times New Roman"/>
          <w:sz w:val="16"/>
          <w:szCs w:val="16"/>
          <w:lang w:val="sr-Cyrl-RS"/>
        </w:rPr>
      </w:pPr>
    </w:p>
    <w:bookmarkEnd w:id="2"/>
    <w:p w14:paraId="2267FC7E" w14:textId="77777777" w:rsidR="001706DD" w:rsidRPr="00282BC4" w:rsidRDefault="00180213" w:rsidP="00282BC4">
      <w:pPr>
        <w:widowControl/>
        <w:spacing w:after="160" w:line="276" w:lineRule="auto"/>
        <w:ind w:firstLine="720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180213">
        <w:rPr>
          <w:rFonts w:ascii="Times New Roman" w:eastAsiaTheme="minorHAnsi" w:hAnsi="Times New Roman"/>
          <w:sz w:val="24"/>
          <w:szCs w:val="24"/>
          <w:lang w:val="ru-RU"/>
        </w:rPr>
        <w:t>У наредним годинама финансијска средства која су потребна за извршавањ</w:t>
      </w:r>
      <w:r w:rsidRPr="00180213">
        <w:rPr>
          <w:rFonts w:ascii="Times New Roman" w:eastAsiaTheme="minorHAnsi" w:hAnsi="Times New Roman"/>
          <w:sz w:val="24"/>
          <w:szCs w:val="24"/>
          <w:lang w:val="sr-Latn-RS"/>
        </w:rPr>
        <w:t>e</w:t>
      </w:r>
      <w:r w:rsidRPr="00180213">
        <w:rPr>
          <w:rFonts w:ascii="Times New Roman" w:eastAsiaTheme="minorHAnsi" w:hAnsi="Times New Roman"/>
          <w:sz w:val="24"/>
          <w:szCs w:val="24"/>
          <w:lang w:val="ru-RU"/>
        </w:rPr>
        <w:t xml:space="preserve"> Споразума планираће се у оквиру лимита расхода и издатака који за сваког буџетског корисника утврђује Министарство финансија у процесу припреме и доношења Закона о буџету.</w:t>
      </w:r>
    </w:p>
    <w:p w14:paraId="0A4E3B54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7646B8EA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1230DA14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772AE87C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425D83B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7AE51A95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p w14:paraId="4239CD73" w14:textId="77777777" w:rsidR="001706DD" w:rsidRDefault="001706DD" w:rsidP="005270E5">
      <w:pPr>
        <w:spacing w:before="7"/>
        <w:rPr>
          <w:rFonts w:ascii="Times New Roman" w:hAnsi="Times New Roman"/>
          <w:sz w:val="24"/>
          <w:szCs w:val="24"/>
          <w:lang w:val="sr-Cyrl-ME"/>
        </w:rPr>
      </w:pPr>
    </w:p>
    <w:sectPr w:rsidR="001706DD" w:rsidSect="00282BC4">
      <w:headerReference w:type="default" r:id="rId7"/>
      <w:footerReference w:type="default" r:id="rId8"/>
      <w:pgSz w:w="11910" w:h="16840"/>
      <w:pgMar w:top="1220" w:right="1340" w:bottom="1180" w:left="1320" w:header="746" w:footer="98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E9951" w14:textId="77777777" w:rsidR="00645761" w:rsidRDefault="00645761">
      <w:r>
        <w:separator/>
      </w:r>
    </w:p>
  </w:endnote>
  <w:endnote w:type="continuationSeparator" w:id="0">
    <w:p w14:paraId="57160237" w14:textId="77777777" w:rsidR="00645761" w:rsidRDefault="0064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D3A02" w14:textId="77777777" w:rsidR="00000000" w:rsidRDefault="00000000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E2F71" w14:textId="77777777" w:rsidR="00645761" w:rsidRDefault="00645761">
      <w:r>
        <w:separator/>
      </w:r>
    </w:p>
  </w:footnote>
  <w:footnote w:type="continuationSeparator" w:id="0">
    <w:p w14:paraId="54FC55A5" w14:textId="77777777" w:rsidR="00645761" w:rsidRDefault="00645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3282320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14:paraId="36D5F33C" w14:textId="77777777" w:rsidR="00282BC4" w:rsidRDefault="00282BC4">
        <w:pPr>
          <w:pStyle w:val="Header"/>
          <w:jc w:val="center"/>
        </w:pPr>
        <w:r w:rsidRPr="00915208">
          <w:rPr>
            <w:rFonts w:ascii="Times New Roman" w:hAnsi="Times New Roman"/>
          </w:rPr>
          <w:fldChar w:fldCharType="begin"/>
        </w:r>
        <w:r w:rsidRPr="00915208">
          <w:rPr>
            <w:rFonts w:ascii="Times New Roman" w:hAnsi="Times New Roman"/>
          </w:rPr>
          <w:instrText xml:space="preserve"> PAGE   \* MERGEFORMAT </w:instrText>
        </w:r>
        <w:r w:rsidRPr="00915208">
          <w:rPr>
            <w:rFonts w:ascii="Times New Roman" w:hAnsi="Times New Roman"/>
          </w:rPr>
          <w:fldChar w:fldCharType="separate"/>
        </w:r>
        <w:r w:rsidR="00D21A3D">
          <w:rPr>
            <w:rFonts w:ascii="Times New Roman" w:hAnsi="Times New Roman"/>
            <w:noProof/>
          </w:rPr>
          <w:t>2</w:t>
        </w:r>
        <w:r w:rsidRPr="00915208">
          <w:rPr>
            <w:rFonts w:ascii="Times New Roman" w:hAnsi="Times New Roman"/>
            <w:noProof/>
          </w:rPr>
          <w:fldChar w:fldCharType="end"/>
        </w:r>
      </w:p>
    </w:sdtContent>
  </w:sdt>
  <w:p w14:paraId="48E11BCA" w14:textId="77777777" w:rsidR="00000000" w:rsidRDefault="00000000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C618F"/>
    <w:multiLevelType w:val="multilevel"/>
    <w:tmpl w:val="FAC29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8E3785"/>
    <w:multiLevelType w:val="multilevel"/>
    <w:tmpl w:val="74F42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436672"/>
    <w:multiLevelType w:val="multilevel"/>
    <w:tmpl w:val="D7544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6495817">
    <w:abstractNumId w:val="1"/>
  </w:num>
  <w:num w:numId="2" w16cid:durableId="63072956">
    <w:abstractNumId w:val="2"/>
  </w:num>
  <w:num w:numId="3" w16cid:durableId="1815755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29A"/>
    <w:rsid w:val="00014AFD"/>
    <w:rsid w:val="0002029A"/>
    <w:rsid w:val="00026ECD"/>
    <w:rsid w:val="00051786"/>
    <w:rsid w:val="000A65D9"/>
    <w:rsid w:val="00107FF6"/>
    <w:rsid w:val="00116FE7"/>
    <w:rsid w:val="00136DBE"/>
    <w:rsid w:val="00153625"/>
    <w:rsid w:val="0015567A"/>
    <w:rsid w:val="001706DD"/>
    <w:rsid w:val="00180213"/>
    <w:rsid w:val="00191F95"/>
    <w:rsid w:val="001B6D58"/>
    <w:rsid w:val="001C69B9"/>
    <w:rsid w:val="001D59C7"/>
    <w:rsid w:val="001E5615"/>
    <w:rsid w:val="001F71AA"/>
    <w:rsid w:val="002156EE"/>
    <w:rsid w:val="002407A0"/>
    <w:rsid w:val="002522AA"/>
    <w:rsid w:val="00262A63"/>
    <w:rsid w:val="00264C7E"/>
    <w:rsid w:val="00273CB3"/>
    <w:rsid w:val="00277E20"/>
    <w:rsid w:val="00282BC4"/>
    <w:rsid w:val="002C6D40"/>
    <w:rsid w:val="002D5D9E"/>
    <w:rsid w:val="003053C6"/>
    <w:rsid w:val="0031507C"/>
    <w:rsid w:val="003219BC"/>
    <w:rsid w:val="003263A2"/>
    <w:rsid w:val="00337F36"/>
    <w:rsid w:val="0034086F"/>
    <w:rsid w:val="0037481C"/>
    <w:rsid w:val="00377B29"/>
    <w:rsid w:val="003A0CD7"/>
    <w:rsid w:val="003B1491"/>
    <w:rsid w:val="003F2946"/>
    <w:rsid w:val="003F3267"/>
    <w:rsid w:val="004203D2"/>
    <w:rsid w:val="00425705"/>
    <w:rsid w:val="00444BD5"/>
    <w:rsid w:val="00450912"/>
    <w:rsid w:val="00460AE0"/>
    <w:rsid w:val="004802FB"/>
    <w:rsid w:val="00491010"/>
    <w:rsid w:val="004A0BD7"/>
    <w:rsid w:val="004B2F2B"/>
    <w:rsid w:val="004E18FD"/>
    <w:rsid w:val="005270E5"/>
    <w:rsid w:val="00542C84"/>
    <w:rsid w:val="00560CC6"/>
    <w:rsid w:val="00564B76"/>
    <w:rsid w:val="005720DB"/>
    <w:rsid w:val="005A2BB8"/>
    <w:rsid w:val="005A7868"/>
    <w:rsid w:val="005D1417"/>
    <w:rsid w:val="005D15A9"/>
    <w:rsid w:val="00602441"/>
    <w:rsid w:val="00602DA9"/>
    <w:rsid w:val="00606A8B"/>
    <w:rsid w:val="00614DFF"/>
    <w:rsid w:val="00645761"/>
    <w:rsid w:val="00667191"/>
    <w:rsid w:val="00674C3E"/>
    <w:rsid w:val="006802C0"/>
    <w:rsid w:val="006823DA"/>
    <w:rsid w:val="00697BCD"/>
    <w:rsid w:val="006D4196"/>
    <w:rsid w:val="006F64A5"/>
    <w:rsid w:val="007541CA"/>
    <w:rsid w:val="00760803"/>
    <w:rsid w:val="007742A4"/>
    <w:rsid w:val="007807A6"/>
    <w:rsid w:val="00783858"/>
    <w:rsid w:val="00786567"/>
    <w:rsid w:val="0079055C"/>
    <w:rsid w:val="007B5A1B"/>
    <w:rsid w:val="007E01C2"/>
    <w:rsid w:val="00803A93"/>
    <w:rsid w:val="00816D6C"/>
    <w:rsid w:val="008178C4"/>
    <w:rsid w:val="0083173C"/>
    <w:rsid w:val="00852387"/>
    <w:rsid w:val="00862F25"/>
    <w:rsid w:val="008764C9"/>
    <w:rsid w:val="0088233B"/>
    <w:rsid w:val="00885763"/>
    <w:rsid w:val="008A4D6D"/>
    <w:rsid w:val="008A73AB"/>
    <w:rsid w:val="008C24DC"/>
    <w:rsid w:val="008C3133"/>
    <w:rsid w:val="008C7849"/>
    <w:rsid w:val="008D6918"/>
    <w:rsid w:val="008D72B8"/>
    <w:rsid w:val="008F3C83"/>
    <w:rsid w:val="00915208"/>
    <w:rsid w:val="00954970"/>
    <w:rsid w:val="009840FA"/>
    <w:rsid w:val="009978CD"/>
    <w:rsid w:val="009C2BF9"/>
    <w:rsid w:val="009F0A5B"/>
    <w:rsid w:val="00A04DC3"/>
    <w:rsid w:val="00A1093F"/>
    <w:rsid w:val="00A1336B"/>
    <w:rsid w:val="00A43D38"/>
    <w:rsid w:val="00A51F63"/>
    <w:rsid w:val="00A73654"/>
    <w:rsid w:val="00A965ED"/>
    <w:rsid w:val="00AB0DE3"/>
    <w:rsid w:val="00AE28B7"/>
    <w:rsid w:val="00AF0296"/>
    <w:rsid w:val="00AF150B"/>
    <w:rsid w:val="00B40F58"/>
    <w:rsid w:val="00B46A19"/>
    <w:rsid w:val="00B75F2C"/>
    <w:rsid w:val="00BB5183"/>
    <w:rsid w:val="00BC4514"/>
    <w:rsid w:val="00BD026C"/>
    <w:rsid w:val="00BD770B"/>
    <w:rsid w:val="00BE4532"/>
    <w:rsid w:val="00BE7E6B"/>
    <w:rsid w:val="00C0725F"/>
    <w:rsid w:val="00C61F74"/>
    <w:rsid w:val="00C677AF"/>
    <w:rsid w:val="00C83A2B"/>
    <w:rsid w:val="00CA6F87"/>
    <w:rsid w:val="00CC1ADD"/>
    <w:rsid w:val="00CE1B29"/>
    <w:rsid w:val="00CE47E6"/>
    <w:rsid w:val="00D1515B"/>
    <w:rsid w:val="00D205B5"/>
    <w:rsid w:val="00D21A3D"/>
    <w:rsid w:val="00D22F1B"/>
    <w:rsid w:val="00D33C9D"/>
    <w:rsid w:val="00D40C2C"/>
    <w:rsid w:val="00D56DFB"/>
    <w:rsid w:val="00D62445"/>
    <w:rsid w:val="00D6371F"/>
    <w:rsid w:val="00D9266F"/>
    <w:rsid w:val="00DC3B38"/>
    <w:rsid w:val="00DD7518"/>
    <w:rsid w:val="00DE6CAD"/>
    <w:rsid w:val="00E317BF"/>
    <w:rsid w:val="00E74F81"/>
    <w:rsid w:val="00E943B0"/>
    <w:rsid w:val="00EA13BE"/>
    <w:rsid w:val="00EA2965"/>
    <w:rsid w:val="00EB30C1"/>
    <w:rsid w:val="00EE267C"/>
    <w:rsid w:val="00F003A2"/>
    <w:rsid w:val="00F060CC"/>
    <w:rsid w:val="00F25AE3"/>
    <w:rsid w:val="00F404CA"/>
    <w:rsid w:val="00F43158"/>
    <w:rsid w:val="00F45550"/>
    <w:rsid w:val="00F70DC0"/>
    <w:rsid w:val="00F71BCB"/>
    <w:rsid w:val="00F9478D"/>
    <w:rsid w:val="00FA59F7"/>
    <w:rsid w:val="00FD5939"/>
    <w:rsid w:val="00FE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0AA64"/>
  <w15:chartTrackingRefBased/>
  <w15:docId w15:val="{D8819575-C210-4907-AA34-275B8831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0E5"/>
    <w:pPr>
      <w:widowControl w:val="0"/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70E5"/>
  </w:style>
  <w:style w:type="paragraph" w:styleId="NoSpacing">
    <w:name w:val="No Spacing"/>
    <w:qFormat/>
    <w:rsid w:val="005270E5"/>
    <w:pPr>
      <w:spacing w:after="0" w:line="240" w:lineRule="auto"/>
    </w:pPr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DF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DFF"/>
    <w:rPr>
      <w:rFonts w:ascii="Segoe UI" w:eastAsia="Times New Roman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8385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3A0CD7"/>
  </w:style>
  <w:style w:type="character" w:styleId="Emphasis">
    <w:name w:val="Emphasis"/>
    <w:basedOn w:val="DefaultParagraphFont"/>
    <w:uiPriority w:val="20"/>
    <w:qFormat/>
    <w:rsid w:val="00BD770B"/>
    <w:rPr>
      <w:i/>
      <w:iCs/>
    </w:rPr>
  </w:style>
  <w:style w:type="paragraph" w:customStyle="1" w:styleId="odluka-zakon">
    <w:name w:val="odluka-zakon"/>
    <w:basedOn w:val="Normal"/>
    <w:rsid w:val="005A2BB8"/>
    <w:pPr>
      <w:widowControl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2B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2BC4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82B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2BC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Stamenkovic</dc:creator>
  <cp:keywords/>
  <dc:description/>
  <cp:lastModifiedBy>Ivana Vojinović</cp:lastModifiedBy>
  <cp:revision>2</cp:revision>
  <cp:lastPrinted>2024-07-09T08:29:00Z</cp:lastPrinted>
  <dcterms:created xsi:type="dcterms:W3CDTF">2024-07-12T10:55:00Z</dcterms:created>
  <dcterms:modified xsi:type="dcterms:W3CDTF">2024-07-12T10:55:00Z</dcterms:modified>
</cp:coreProperties>
</file>