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footer8.xml" ContentType="application/vnd.openxmlformats-officedocument.wordprocessingml.footer+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1.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4.xml" ContentType="application/vnd.openxmlformats-officedocument.themeOverride+xml"/>
  <Override PartName="/word/drawings/drawing2.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drawings/drawing3.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drawings/drawing4.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7.xml" ContentType="application/vnd.openxmlformats-officedocument.themeOverride+xml"/>
  <Override PartName="/word/drawings/drawing5.xml" ContentType="application/vnd.openxmlformats-officedocument.drawingml.chartshapes+xml"/>
  <Override PartName="/word/charts/chart11.xml" ContentType="application/vnd.openxmlformats-officedocument.drawingml.chart+xml"/>
  <Override PartName="/word/theme/themeOverride8.xml" ContentType="application/vnd.openxmlformats-officedocument.themeOverride+xml"/>
  <Override PartName="/word/drawings/drawing6.xml" ContentType="application/vnd.openxmlformats-officedocument.drawingml.chartshapes+xml"/>
  <Override PartName="/word/charts/chart12.xml" ContentType="application/vnd.openxmlformats-officedocument.drawingml.chart+xml"/>
  <Override PartName="/word/theme/themeOverride9.xml" ContentType="application/vnd.openxmlformats-officedocument.themeOverride+xml"/>
  <Override PartName="/word/drawings/drawing7.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drawings/drawing8.xml" ContentType="application/vnd.openxmlformats-officedocument.drawingml.chartshapes+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drawings/drawing9.xml" ContentType="application/vnd.openxmlformats-officedocument.drawingml.chartshapes+xml"/>
  <Override PartName="/word/charts/chart15.xml" ContentType="application/vnd.openxmlformats-officedocument.drawingml.chart+xml"/>
  <Override PartName="/word/theme/themeOverride12.xml" ContentType="application/vnd.openxmlformats-officedocument.themeOverride+xml"/>
  <Override PartName="/word/drawings/drawing10.xml" ContentType="application/vnd.openxmlformats-officedocument.drawingml.chartshapes+xml"/>
  <Override PartName="/word/charts/chart16.xml" ContentType="application/vnd.openxmlformats-officedocument.drawingml.chart+xml"/>
  <Override PartName="/word/theme/themeOverride13.xml" ContentType="application/vnd.openxmlformats-officedocument.themeOverride+xml"/>
  <Override PartName="/word/drawings/drawing11.xml" ContentType="application/vnd.openxmlformats-officedocument.drawingml.chartshapes+xml"/>
  <Override PartName="/word/charts/chart17.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4.xml" ContentType="application/vnd.openxmlformats-officedocument.themeOverride+xml"/>
  <Override PartName="/word/charts/chart18.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5.xml" ContentType="application/vnd.openxmlformats-officedocument.themeOverride+xml"/>
  <Override PartName="/word/charts/chart19.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6.xml" ContentType="application/vnd.openxmlformats-officedocument.themeOverride+xml"/>
  <Override PartName="/word/charts/chart20.xml" ContentType="application/vnd.openxmlformats-officedocument.drawingml.chart+xml"/>
  <Override PartName="/word/theme/themeOverride17.xml" ContentType="application/vnd.openxmlformats-officedocument.themeOverride+xml"/>
  <Override PartName="/word/charts/chart21.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8.xml" ContentType="application/vnd.openxmlformats-officedocument.themeOverride+xml"/>
  <Override PartName="/word/charts/chart22.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9.xml" ContentType="application/vnd.openxmlformats-officedocument.themeOverride+xml"/>
  <Override PartName="/word/charts/chart23.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20.xml" ContentType="application/vnd.openxmlformats-officedocument.themeOverride+xml"/>
  <Override PartName="/word/charts/chart24.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21.xml" ContentType="application/vnd.openxmlformats-officedocument.themeOverride+xml"/>
  <Override PartName="/word/charts/chart25.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22.xml" ContentType="application/vnd.openxmlformats-officedocument.themeOverride+xml"/>
  <Override PartName="/word/charts/chart26.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23.xml" ContentType="application/vnd.openxmlformats-officedocument.themeOverride+xml"/>
  <Override PartName="/word/charts/chart27.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24.xml" ContentType="application/vnd.openxmlformats-officedocument.themeOverride+xml"/>
  <Override PartName="/word/charts/chart28.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25.xml" ContentType="application/vnd.openxmlformats-officedocument.themeOverride+xml"/>
  <Override PartName="/word/charts/chart29.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6.xml" ContentType="application/vnd.openxmlformats-officedocument.themeOverride+xml"/>
  <Override PartName="/word/charts/chart30.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7.xml" ContentType="application/vnd.openxmlformats-officedocument.themeOverride+xml"/>
  <Override PartName="/word/charts/chart31.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8.xml" ContentType="application/vnd.openxmlformats-officedocument.themeOverride+xml"/>
  <Override PartName="/word/charts/chart32.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9.xml" ContentType="application/vnd.openxmlformats-officedocument.themeOverride+xml"/>
  <Override PartName="/word/charts/chart33.xml" ContentType="application/vnd.openxmlformats-officedocument.drawingml.chart+xml"/>
  <Override PartName="/word/charts/style28.xml" ContentType="application/vnd.ms-office.chartstyle+xml"/>
  <Override PartName="/word/charts/colors28.xml" ContentType="application/vnd.ms-office.chartcolorstyle+xml"/>
  <Override PartName="/word/theme/themeOverride30.xml" ContentType="application/vnd.openxmlformats-officedocument.themeOverride+xml"/>
  <Override PartName="/word/charts/chart34.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31.xml" ContentType="application/vnd.openxmlformats-officedocument.themeOverride+xml"/>
  <Override PartName="/word/drawings/drawing12.xml" ContentType="application/vnd.openxmlformats-officedocument.drawingml.chartshapes+xml"/>
  <Override PartName="/word/charts/chart35.xml" ContentType="application/vnd.openxmlformats-officedocument.drawingml.chart+xml"/>
  <Override PartName="/word/charts/style30.xml" ContentType="application/vnd.ms-office.chartstyle+xml"/>
  <Override PartName="/word/charts/colors30.xml" ContentType="application/vnd.ms-office.chartcolorstyle+xml"/>
  <Override PartName="/word/theme/themeOverride32.xml" ContentType="application/vnd.openxmlformats-officedocument.themeOverride+xml"/>
  <Override PartName="/word/charts/chart36.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33.xml" ContentType="application/vnd.openxmlformats-officedocument.themeOverride+xml"/>
  <Override PartName="/word/charts/chart37.xml" ContentType="application/vnd.openxmlformats-officedocument.drawingml.chart+xml"/>
  <Override PartName="/word/charts/style32.xml" ContentType="application/vnd.ms-office.chartstyle+xml"/>
  <Override PartName="/word/charts/colors32.xml" ContentType="application/vnd.ms-office.chartcolorstyle+xml"/>
  <Override PartName="/word/theme/themeOverride34.xml" ContentType="application/vnd.openxmlformats-officedocument.themeOverride+xml"/>
  <Override PartName="/word/charts/chart38.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35.xml" ContentType="application/vnd.openxmlformats-officedocument.themeOverride+xml"/>
  <Override PartName="/word/charts/chart39.xml" ContentType="application/vnd.openxmlformats-officedocument.drawingml.chart+xml"/>
  <Override PartName="/word/charts/style34.xml" ContentType="application/vnd.ms-office.chartstyle+xml"/>
  <Override PartName="/word/charts/colors34.xml" ContentType="application/vnd.ms-office.chartcolorstyle+xml"/>
  <Override PartName="/word/theme/themeOverride36.xml" ContentType="application/vnd.openxmlformats-officedocument.themeOverride+xml"/>
  <Override PartName="/word/charts/chart40.xml" ContentType="application/vnd.openxmlformats-officedocument.drawingml.chart+xml"/>
  <Override PartName="/word/charts/style35.xml" ContentType="application/vnd.ms-office.chartstyle+xml"/>
  <Override PartName="/word/charts/colors35.xml" ContentType="application/vnd.ms-office.chartcolorstyle+xml"/>
  <Override PartName="/word/theme/themeOverride37.xml" ContentType="application/vnd.openxmlformats-officedocument.themeOverride+xml"/>
  <Override PartName="/word/charts/chart41.xml" ContentType="application/vnd.openxmlformats-officedocument.drawingml.chart+xml"/>
  <Override PartName="/word/charts/style36.xml" ContentType="application/vnd.ms-office.chartstyle+xml"/>
  <Override PartName="/word/charts/colors36.xml" ContentType="application/vnd.ms-office.chartcolorstyle+xml"/>
  <Override PartName="/word/footer13.xml" ContentType="application/vnd.openxmlformats-officedocument.wordprocessingml.footer+xml"/>
  <Override PartName="/word/header9.xml" ContentType="application/vnd.openxmlformats-officedocument.wordprocessingml.header+xml"/>
  <Override PartName="/word/charts/chart42.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38.xml" ContentType="application/vnd.openxmlformats-officedocument.themeOverride+xml"/>
  <Override PartName="/word/drawings/drawing13.xml" ContentType="application/vnd.openxmlformats-officedocument.drawingml.chartshapes+xml"/>
  <Override PartName="/word/charts/chart43.xml" ContentType="application/vnd.openxmlformats-officedocument.drawingml.chart+xml"/>
  <Override PartName="/word/charts/style38.xml" ContentType="application/vnd.ms-office.chartstyle+xml"/>
  <Override PartName="/word/charts/colors38.xml" ContentType="application/vnd.ms-office.chartcolorstyle+xml"/>
  <Override PartName="/word/theme/themeOverride39.xml" ContentType="application/vnd.openxmlformats-officedocument.themeOverride+xml"/>
  <Override PartName="/word/drawings/drawing14.xml" ContentType="application/vnd.openxmlformats-officedocument.drawingml.chartshapes+xml"/>
  <Override PartName="/word/charts/chart44.xml" ContentType="application/vnd.openxmlformats-officedocument.drawingml.chart+xml"/>
  <Override PartName="/word/charts/style39.xml" ContentType="application/vnd.ms-office.chartstyle+xml"/>
  <Override PartName="/word/charts/colors39.xml" ContentType="application/vnd.ms-office.chartcolorstyle+xml"/>
  <Override PartName="/word/theme/themeOverride40.xml" ContentType="application/vnd.openxmlformats-officedocument.themeOverride+xml"/>
  <Override PartName="/word/charts/chart45.xml" ContentType="application/vnd.openxmlformats-officedocument.drawingml.chart+xml"/>
  <Override PartName="/word/charts/style40.xml" ContentType="application/vnd.ms-office.chartstyle+xml"/>
  <Override PartName="/word/charts/colors40.xml" ContentType="application/vnd.ms-office.chartcolorstyle+xml"/>
  <Override PartName="/word/theme/themeOverride41.xml" ContentType="application/vnd.openxmlformats-officedocument.themeOverride+xml"/>
  <Override PartName="/word/drawings/drawing15.xml" ContentType="application/vnd.openxmlformats-officedocument.drawingml.chartshapes+xml"/>
  <Override PartName="/word/header10.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2.xml" ContentType="application/vnd.openxmlformats-officedocument.wordprocessingml.header+xml"/>
  <Override PartName="/word/footer16.xml" ContentType="application/vnd.openxmlformats-officedocument.wordprocessingml.footer+xml"/>
  <Override PartName="/word/charts/chart46.xml" ContentType="application/vnd.openxmlformats-officedocument.drawingml.chart+xml"/>
  <Override PartName="/word/charts/style41.xml" ContentType="application/vnd.ms-office.chartstyle+xml"/>
  <Override PartName="/word/charts/colors41.xml" ContentType="application/vnd.ms-office.chartcolorstyle+xml"/>
  <Override PartName="/word/theme/themeOverride42.xml" ContentType="application/vnd.openxmlformats-officedocument.themeOverride+xml"/>
  <Override PartName="/word/charts/chart47.xml" ContentType="application/vnd.openxmlformats-officedocument.drawingml.chart+xml"/>
  <Override PartName="/word/theme/themeOverride43.xml" ContentType="application/vnd.openxmlformats-officedocument.themeOverride+xml"/>
  <Override PartName="/word/drawings/drawing16.xml" ContentType="application/vnd.openxmlformats-officedocument.drawingml.chartshapes+xml"/>
  <Override PartName="/word/charts/chart48.xml" ContentType="application/vnd.openxmlformats-officedocument.drawingml.chart+xml"/>
  <Override PartName="/word/charts/style42.xml" ContentType="application/vnd.ms-office.chartstyle+xml"/>
  <Override PartName="/word/charts/colors42.xml" ContentType="application/vnd.ms-office.chartcolorstyle+xml"/>
  <Override PartName="/word/theme/themeOverride44.xml" ContentType="application/vnd.openxmlformats-officedocument.themeOverride+xml"/>
  <Override PartName="/word/charts/chart49.xml" ContentType="application/vnd.openxmlformats-officedocument.drawingml.chart+xml"/>
  <Override PartName="/word/charts/style43.xml" ContentType="application/vnd.ms-office.chartstyle+xml"/>
  <Override PartName="/word/charts/colors43.xml" ContentType="application/vnd.ms-office.chartcolorstyle+xml"/>
  <Override PartName="/word/theme/themeOverride45.xml" ContentType="application/vnd.openxmlformats-officedocument.themeOverride+xml"/>
  <Override PartName="/word/charts/chart50.xml" ContentType="application/vnd.openxmlformats-officedocument.drawingml.chart+xml"/>
  <Override PartName="/word/charts/style44.xml" ContentType="application/vnd.ms-office.chartstyle+xml"/>
  <Override PartName="/word/charts/colors44.xml" ContentType="application/vnd.ms-office.chartcolorstyle+xml"/>
  <Override PartName="/word/theme/themeOverride46.xml" ContentType="application/vnd.openxmlformats-officedocument.themeOverride+xml"/>
  <Override PartName="/word/charts/chart51.xml" ContentType="application/vnd.openxmlformats-officedocument.drawingml.chart+xml"/>
  <Override PartName="/word/charts/style45.xml" ContentType="application/vnd.ms-office.chartstyle+xml"/>
  <Override PartName="/word/charts/colors45.xml" ContentType="application/vnd.ms-office.chartcolorstyle+xml"/>
  <Override PartName="/word/theme/themeOverride47.xml" ContentType="application/vnd.openxmlformats-officedocument.themeOverride+xml"/>
  <Override PartName="/word/charts/chart52.xml" ContentType="application/vnd.openxmlformats-officedocument.drawingml.chart+xml"/>
  <Override PartName="/word/charts/style46.xml" ContentType="application/vnd.ms-office.chartstyle+xml"/>
  <Override PartName="/word/charts/colors46.xml" ContentType="application/vnd.ms-office.chartcolorstyle+xml"/>
  <Override PartName="/word/theme/themeOverride48.xml" ContentType="application/vnd.openxmlformats-officedocument.themeOverride+xml"/>
  <Override PartName="/word/drawings/drawing17.xml" ContentType="application/vnd.openxmlformats-officedocument.drawingml.chartshapes+xml"/>
  <Override PartName="/word/charts/chart53.xml" ContentType="application/vnd.openxmlformats-officedocument.drawingml.chart+xml"/>
  <Override PartName="/word/charts/style47.xml" ContentType="application/vnd.ms-office.chartstyle+xml"/>
  <Override PartName="/word/charts/colors47.xml" ContentType="application/vnd.ms-office.chartcolorstyle+xml"/>
  <Override PartName="/word/theme/themeOverride49.xml" ContentType="application/vnd.openxmlformats-officedocument.themeOverride+xml"/>
  <Override PartName="/word/drawings/drawing18.xml" ContentType="application/vnd.openxmlformats-officedocument.drawingml.chartshapes+xml"/>
  <Override PartName="/word/charts/chart54.xml" ContentType="application/vnd.openxmlformats-officedocument.drawingml.chart+xml"/>
  <Override PartName="/word/charts/style48.xml" ContentType="application/vnd.ms-office.chartstyle+xml"/>
  <Override PartName="/word/charts/colors48.xml" ContentType="application/vnd.ms-office.chartcolorstyle+xml"/>
  <Override PartName="/word/theme/themeOverride50.xml" ContentType="application/vnd.openxmlformats-officedocument.themeOverride+xml"/>
  <Override PartName="/word/charts/chart55.xml" ContentType="application/vnd.openxmlformats-officedocument.drawingml.chart+xml"/>
  <Override PartName="/word/theme/themeOverride51.xml" ContentType="application/vnd.openxmlformats-officedocument.themeOverride+xml"/>
  <Override PartName="/word/charts/chart56.xml" ContentType="application/vnd.openxmlformats-officedocument.drawingml.chart+xml"/>
  <Override PartName="/word/charts/style49.xml" ContentType="application/vnd.ms-office.chartstyle+xml"/>
  <Override PartName="/word/charts/colors49.xml" ContentType="application/vnd.ms-office.chartcolorstyle+xml"/>
  <Override PartName="/word/drawings/drawing19.xml" ContentType="application/vnd.openxmlformats-officedocument.drawingml.chartshapes+xml"/>
  <Override PartName="/word/charts/chart57.xml" ContentType="application/vnd.openxmlformats-officedocument.drawingml.chart+xml"/>
  <Override PartName="/word/charts/style50.xml" ContentType="application/vnd.ms-office.chartstyle+xml"/>
  <Override PartName="/word/charts/colors50.xml" ContentType="application/vnd.ms-office.chartcolorstyle+xml"/>
  <Override PartName="/word/drawings/drawing20.xml" ContentType="application/vnd.openxmlformats-officedocument.drawingml.chartshapes+xml"/>
  <Override PartName="/word/footer17.xml" ContentType="application/vnd.openxmlformats-officedocument.wordprocessingml.footer+xml"/>
  <Override PartName="/word/header13.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4.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charts/chart58.xml" ContentType="application/vnd.openxmlformats-officedocument.drawingml.chart+xml"/>
  <Override PartName="/word/charts/style51.xml" ContentType="application/vnd.ms-office.chartstyle+xml"/>
  <Override PartName="/word/charts/colors51.xml" ContentType="application/vnd.ms-office.chartcolorstyle+xml"/>
  <Override PartName="/word/header25.xml" ContentType="application/vnd.openxmlformats-officedocument.wordprocessingml.header+xml"/>
  <Override PartName="/word/header2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2.xml" ContentType="application/vnd.openxmlformats-officedocument.wordprocessingml.header+xml"/>
  <Override PartName="/word/charts/chart59.xml" ContentType="application/vnd.openxmlformats-officedocument.drawingml.chart+xml"/>
  <Override PartName="/word/charts/style52.xml" ContentType="application/vnd.ms-office.chartstyle+xml"/>
  <Override PartName="/word/charts/colors52.xml" ContentType="application/vnd.ms-office.chartcolorstyle+xml"/>
  <Override PartName="/word/drawings/drawing21.xml" ContentType="application/vnd.openxmlformats-officedocument.drawingml.chartshapes+xml"/>
  <Override PartName="/word/charts/chart60.xml" ContentType="application/vnd.openxmlformats-officedocument.drawingml.chart+xml"/>
  <Override PartName="/word/charts/style53.xml" ContentType="application/vnd.ms-office.chartstyle+xml"/>
  <Override PartName="/word/charts/colors53.xml" ContentType="application/vnd.ms-office.chartcolorstyle+xml"/>
  <Override PartName="/word/drawings/drawing22.xml" ContentType="application/vnd.openxmlformats-officedocument.drawingml.chartshapes+xml"/>
  <Override PartName="/word/charts/chart61.xml" ContentType="application/vnd.openxmlformats-officedocument.drawingml.chart+xml"/>
  <Override PartName="/word/charts/style54.xml" ContentType="application/vnd.ms-office.chartstyle+xml"/>
  <Override PartName="/word/charts/colors54.xml" ContentType="application/vnd.ms-office.chartcolorstyle+xml"/>
  <Override PartName="/word/header33.xml" ContentType="application/vnd.openxmlformats-officedocument.wordprocessingml.header+xml"/>
  <Override PartName="/word/header34.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7.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38.xml" ContentType="application/vnd.openxmlformats-officedocument.wordprocessingml.header+xml"/>
  <Override PartName="/word/charts/chart62.xml" ContentType="application/vnd.openxmlformats-officedocument.drawingml.chart+xml"/>
  <Override PartName="/word/drawings/drawing23.xml" ContentType="application/vnd.openxmlformats-officedocument.drawingml.chartshapes+xml"/>
  <Override PartName="/word/footer40.xml" ContentType="application/vnd.openxmlformats-officedocument.wordprocessingml.footer+xml"/>
  <Override PartName="/word/footer41.xml" ContentType="application/vnd.openxmlformats-officedocument.wordprocessingml.footer+xml"/>
  <Override PartName="/word/header39.xml" ContentType="application/vnd.openxmlformats-officedocument.wordprocessingml.header+xml"/>
  <Override PartName="/word/footer42.xml" ContentType="application/vnd.openxmlformats-officedocument.wordprocessingml.footer+xml"/>
  <Override PartName="/word/header40.xml" ContentType="application/vnd.openxmlformats-officedocument.wordprocessingml.header+xml"/>
  <Override PartName="/word/footer43.xml" ContentType="application/vnd.openxmlformats-officedocument.wordprocessingml.footer+xml"/>
  <Override PartName="/word/header41.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4.xml" ContentType="application/vnd.openxmlformats-officedocument.wordprocessingml.header+xml"/>
  <Override PartName="/word/charts/chart63.xml" ContentType="application/vnd.openxmlformats-officedocument.drawingml.chart+xml"/>
  <Override PartName="/word/charts/style55.xml" ContentType="application/vnd.ms-office.chartstyle+xml"/>
  <Override PartName="/word/charts/colors55.xml" ContentType="application/vnd.ms-office.chartcolorstyle+xml"/>
  <Override PartName="/word/theme/themeOverride52.xml" ContentType="application/vnd.openxmlformats-officedocument.themeOverride+xml"/>
  <Override PartName="/word/header45.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48.xml" ContentType="application/vnd.openxmlformats-officedocument.wordprocessingml.header+xml"/>
  <Override PartName="/word/charts/chart64.xml" ContentType="application/vnd.openxmlformats-officedocument.drawingml.chart+xml"/>
  <Override PartName="/word/charts/style56.xml" ContentType="application/vnd.ms-office.chartstyle+xml"/>
  <Override PartName="/word/charts/colors56.xml" ContentType="application/vnd.ms-office.chartcolorstyle+xml"/>
  <Override PartName="/word/theme/themeOverride53.xml" ContentType="application/vnd.openxmlformats-officedocument.themeOverride+xml"/>
  <Override PartName="/word/charts/chart65.xml" ContentType="application/vnd.openxmlformats-officedocument.drawingml.chart+xml"/>
  <Override PartName="/word/charts/style57.xml" ContentType="application/vnd.ms-office.chartstyle+xml"/>
  <Override PartName="/word/charts/colors57.xml" ContentType="application/vnd.ms-office.chartcolorstyle+xml"/>
  <Override PartName="/word/theme/themeOverride54.xml" ContentType="application/vnd.openxmlformats-officedocument.themeOverride+xml"/>
  <Override PartName="/word/drawings/drawing24.xml" ContentType="application/vnd.openxmlformats-officedocument.drawingml.chartshapes+xml"/>
  <Override PartName="/word/header49.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0.xml" ContentType="application/vnd.openxmlformats-officedocument.wordprocessingml.header+xml"/>
  <Override PartName="/word/charts/chart66.xml" ContentType="application/vnd.openxmlformats-officedocument.drawingml.chart+xml"/>
  <Override PartName="/word/charts/style58.xml" ContentType="application/vnd.ms-office.chartstyle+xml"/>
  <Override PartName="/word/charts/colors58.xml" ContentType="application/vnd.ms-office.chartcolorstyle+xml"/>
  <Override PartName="/word/drawings/drawing25.xml" ContentType="application/vnd.openxmlformats-officedocument.drawingml.chartshapes+xml"/>
  <Override PartName="/word/charts/chart67.xml" ContentType="application/vnd.openxmlformats-officedocument.drawingml.chart+xml"/>
  <Override PartName="/word/charts/style59.xml" ContentType="application/vnd.ms-office.chartstyle+xml"/>
  <Override PartName="/word/charts/colors59.xml" ContentType="application/vnd.ms-office.chartcolorstyle+xml"/>
  <Override PartName="/word/drawings/drawing26.xml" ContentType="application/vnd.openxmlformats-officedocument.drawingml.chartshapes+xml"/>
  <Override PartName="/word/charts/chart68.xml" ContentType="application/vnd.openxmlformats-officedocument.drawingml.chart+xml"/>
  <Override PartName="/word/theme/themeOverride55.xml" ContentType="application/vnd.openxmlformats-officedocument.themeOverride+xml"/>
  <Override PartName="/word/drawings/drawing27.xml" ContentType="application/vnd.openxmlformats-officedocument.drawingml.chartshapes+xml"/>
  <Override PartName="/word/header51.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52.xml" ContentType="application/vnd.openxmlformats-officedocument.wordprocessingml.header+xml"/>
  <Override PartName="/word/charts/chart69.xml" ContentType="application/vnd.openxmlformats-officedocument.drawingml.chart+xml"/>
  <Override PartName="/word/charts/style60.xml" ContentType="application/vnd.ms-office.chartstyle+xml"/>
  <Override PartName="/word/charts/colors60.xml" ContentType="application/vnd.ms-office.chartcolorstyle+xml"/>
  <Override PartName="/word/charts/chart70.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71.xml" ContentType="application/vnd.openxmlformats-officedocument.drawingml.chart+xml"/>
  <Override PartName="/word/charts/style62.xml" ContentType="application/vnd.ms-office.chartstyle+xml"/>
  <Override PartName="/word/charts/colors62.xml" ContentType="application/vnd.ms-office.chartcolorstyle+xml"/>
  <Override PartName="/word/drawings/drawing28.xml" ContentType="application/vnd.openxmlformats-officedocument.drawingml.chartshapes+xml"/>
  <Override PartName="/word/header53.xml" ContentType="application/vnd.openxmlformats-officedocument.wordprocessingml.header+xml"/>
  <Override PartName="/word/header54.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header55.xml" ContentType="application/vnd.openxmlformats-officedocument.wordprocessingml.header+xml"/>
  <Override PartName="/word/charts/chart72.xml" ContentType="application/vnd.openxmlformats-officedocument.drawingml.chart+xml"/>
  <Override PartName="/word/theme/themeOverride56.xml" ContentType="application/vnd.openxmlformats-officedocument.themeOverride+xml"/>
  <Override PartName="/word/charts/chart73.xml" ContentType="application/vnd.openxmlformats-officedocument.drawingml.chart+xml"/>
  <Override PartName="/word/theme/themeOverride57.xml" ContentType="application/vnd.openxmlformats-officedocument.themeOverride+xml"/>
  <Override PartName="/word/charts/chart74.xml" ContentType="application/vnd.openxmlformats-officedocument.drawingml.chart+xml"/>
  <Override PartName="/word/theme/themeOverride58.xml" ContentType="application/vnd.openxmlformats-officedocument.themeOverride+xml"/>
  <Override PartName="/word/header56.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charts/chart75.xml" ContentType="application/vnd.openxmlformats-officedocument.drawingml.chart+xml"/>
  <Override PartName="/word/theme/themeOverride59.xml" ContentType="application/vnd.openxmlformats-officedocument.themeOverride+xml"/>
  <Override PartName="/word/charts/chart76.xml" ContentType="application/vnd.openxmlformats-officedocument.drawingml.chart+xml"/>
  <Override PartName="/word/charts/chart77.xml" ContentType="application/vnd.openxmlformats-officedocument.drawingml.chart+xml"/>
  <Override PartName="/word/charts/style63.xml" ContentType="application/vnd.ms-office.chartstyle+xml"/>
  <Override PartName="/word/charts/colors6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D33978" w14:textId="77777777" w:rsidR="00D8744E" w:rsidRPr="0062711C" w:rsidRDefault="00D8744E" w:rsidP="003C3685">
      <w:pPr>
        <w:spacing w:before="240"/>
        <w:ind w:firstLine="720"/>
        <w:rPr>
          <w:rFonts w:cstheme="minorHAnsi"/>
          <w:sz w:val="48"/>
          <w:szCs w:val="64"/>
          <w:lang w:val="sr-Cyrl-RS"/>
        </w:rPr>
      </w:pPr>
      <w:r w:rsidRPr="0062711C">
        <w:rPr>
          <w:rFonts w:ascii="Calibri" w:eastAsia="Calibri" w:hAnsi="Calibri" w:cs="Calibri"/>
          <w:bCs/>
          <w:szCs w:val="72"/>
          <w:lang w:val="sr-Cyrl-RS"/>
        </w:rPr>
        <w:t>На основу члана 27в став 1. и члана 31. став 1. тачка 1) подтачка (7) Закона о буџетском систему („Службени гласник РС”, бр. 54/09, 73/10, 101/10, 101/11, 93/12, 62/13, 63/13 – исправка, 108/13, 142/14, 68/15 – др. закон, 103/15, 99/16, 113/17, 95/18, 31/19, 72/19, 149/20, 118/21, 118/21 – др. закон, 138/22</w:t>
      </w:r>
      <w:r w:rsidRPr="0062711C">
        <w:rPr>
          <w:lang w:val="sr-Cyrl-RS"/>
        </w:rPr>
        <w:t xml:space="preserve"> </w:t>
      </w:r>
      <w:r w:rsidRPr="0062711C">
        <w:rPr>
          <w:rFonts w:ascii="Calibri" w:eastAsia="Calibri" w:hAnsi="Calibri" w:cs="Calibri"/>
          <w:bCs/>
          <w:szCs w:val="72"/>
          <w:lang w:val="sr-Cyrl-RS"/>
        </w:rPr>
        <w:t>и 92/23)</w:t>
      </w:r>
      <w:r w:rsidRPr="0062711C">
        <w:rPr>
          <w:rFonts w:cstheme="minorHAnsi"/>
          <w:bCs/>
          <w:szCs w:val="72"/>
          <w:lang w:val="sr-Cyrl-RS"/>
        </w:rPr>
        <w:t>,</w:t>
      </w:r>
    </w:p>
    <w:p w14:paraId="035090F5" w14:textId="77777777" w:rsidR="00D8744E" w:rsidRPr="0062711C" w:rsidRDefault="00D8744E" w:rsidP="003C3685">
      <w:pPr>
        <w:ind w:firstLine="720"/>
        <w:rPr>
          <w:rFonts w:cstheme="minorHAnsi"/>
          <w:bCs/>
          <w:szCs w:val="72"/>
          <w:lang w:val="sr-Cyrl-RS"/>
        </w:rPr>
      </w:pPr>
      <w:r w:rsidRPr="0062711C">
        <w:rPr>
          <w:rFonts w:cstheme="minorHAnsi"/>
          <w:bCs/>
          <w:szCs w:val="72"/>
          <w:lang w:val="sr-Cyrl-RS"/>
        </w:rPr>
        <w:t>Влада усваја</w:t>
      </w:r>
    </w:p>
    <w:p w14:paraId="44D5AABF" w14:textId="77777777" w:rsidR="00D8744E" w:rsidRPr="0062711C" w:rsidRDefault="00D8744E" w:rsidP="008420D4">
      <w:pPr>
        <w:spacing w:after="0" w:line="240" w:lineRule="auto"/>
        <w:jc w:val="center"/>
        <w:rPr>
          <w:rFonts w:cstheme="minorHAnsi"/>
          <w:b/>
          <w:bCs/>
          <w:sz w:val="26"/>
          <w:szCs w:val="26"/>
          <w:lang w:val="sr-Cyrl-RS"/>
        </w:rPr>
      </w:pPr>
      <w:r w:rsidRPr="0062711C">
        <w:rPr>
          <w:rFonts w:cstheme="minorHAnsi"/>
          <w:b/>
          <w:bCs/>
          <w:sz w:val="26"/>
          <w:szCs w:val="26"/>
          <w:lang w:val="sr-Cyrl-RS"/>
        </w:rPr>
        <w:t>ФИСКАЛНУ СТРАТЕГИЈУ</w:t>
      </w:r>
    </w:p>
    <w:p w14:paraId="54042D84" w14:textId="77777777" w:rsidR="00D8744E" w:rsidRPr="0062711C" w:rsidRDefault="00D8744E" w:rsidP="008420D4">
      <w:pPr>
        <w:spacing w:after="0" w:line="240" w:lineRule="auto"/>
        <w:jc w:val="center"/>
        <w:rPr>
          <w:rFonts w:cstheme="minorHAnsi"/>
          <w:b/>
          <w:bCs/>
          <w:sz w:val="26"/>
          <w:szCs w:val="26"/>
          <w:lang w:val="sr-Cyrl-RS"/>
        </w:rPr>
      </w:pPr>
      <w:r w:rsidRPr="0062711C">
        <w:rPr>
          <w:rFonts w:cstheme="minorHAnsi"/>
          <w:b/>
          <w:bCs/>
          <w:sz w:val="26"/>
          <w:szCs w:val="26"/>
          <w:lang w:val="sr-Cyrl-RS"/>
        </w:rPr>
        <w:t>ЗА 2025. ГОДИНУ СА ПРОЈЕКЦИЈАМА ЗА 2026. И 2027. ГОДИНУ</w:t>
      </w:r>
    </w:p>
    <w:p w14:paraId="3F53006A" w14:textId="77777777" w:rsidR="00D8744E" w:rsidRPr="0062711C" w:rsidRDefault="00D8744E" w:rsidP="008420D4">
      <w:pPr>
        <w:spacing w:after="0" w:line="240" w:lineRule="auto"/>
        <w:jc w:val="center"/>
        <w:rPr>
          <w:rFonts w:cstheme="minorHAnsi"/>
          <w:b/>
          <w:bCs/>
          <w:sz w:val="24"/>
          <w:szCs w:val="72"/>
          <w:lang w:val="sr-Cyrl-RS"/>
        </w:rPr>
      </w:pPr>
    </w:p>
    <w:p w14:paraId="6E43A5B7" w14:textId="77777777" w:rsidR="00D8744E" w:rsidRPr="0062711C" w:rsidRDefault="00D8744E" w:rsidP="00D20C27">
      <w:pPr>
        <w:pStyle w:val="Heading1"/>
        <w:jc w:val="center"/>
        <w:rPr>
          <w:rFonts w:asciiTheme="minorHAnsi" w:hAnsiTheme="minorHAnsi" w:cstheme="minorHAnsi"/>
          <w:b/>
          <w:sz w:val="26"/>
          <w:szCs w:val="26"/>
          <w:lang w:val="sr-Cyrl-RS"/>
        </w:rPr>
      </w:pPr>
      <w:bookmarkStart w:id="0" w:name="_Toc146277910"/>
      <w:bookmarkStart w:id="1" w:name="_Toc148431263"/>
      <w:bookmarkStart w:id="2" w:name="_Toc170722299"/>
      <w:r w:rsidRPr="0062711C">
        <w:rPr>
          <w:rFonts w:asciiTheme="minorHAnsi" w:hAnsiTheme="minorHAnsi" w:cstheme="minorHAnsi"/>
          <w:b/>
          <w:sz w:val="26"/>
          <w:szCs w:val="26"/>
          <w:lang w:val="sr-Cyrl-RS"/>
        </w:rPr>
        <w:t>I. МАКРОЕКОНОМСКИ ОКВИР ЗА ПЕРИОД ОД 2025. ДО 2027. ГОДИНЕ</w:t>
      </w:r>
      <w:bookmarkEnd w:id="0"/>
      <w:bookmarkEnd w:id="1"/>
      <w:bookmarkEnd w:id="2"/>
    </w:p>
    <w:p w14:paraId="34395B10" w14:textId="77777777" w:rsidR="00D8744E" w:rsidRPr="0062711C" w:rsidRDefault="00D8744E" w:rsidP="00087CD9">
      <w:pPr>
        <w:spacing w:after="120"/>
        <w:jc w:val="center"/>
        <w:rPr>
          <w:rFonts w:cstheme="minorHAnsi"/>
          <w:color w:val="2F5496" w:themeColor="accent1" w:themeShade="BF"/>
          <w:sz w:val="18"/>
          <w:lang w:val="sr-Cyrl-RS"/>
        </w:rPr>
      </w:pPr>
    </w:p>
    <w:p w14:paraId="176738C6" w14:textId="77777777" w:rsidR="00D8744E" w:rsidRPr="0062711C" w:rsidRDefault="00D8744E" w:rsidP="00D20C27">
      <w:pPr>
        <w:pStyle w:val="Heading2"/>
        <w:jc w:val="center"/>
        <w:rPr>
          <w:rFonts w:asciiTheme="minorHAnsi" w:hAnsiTheme="minorHAnsi" w:cstheme="minorHAnsi"/>
          <w:b/>
          <w:sz w:val="24"/>
          <w:lang w:val="sr-Cyrl-RS"/>
        </w:rPr>
      </w:pPr>
      <w:bookmarkStart w:id="3" w:name="_Toc146277911"/>
      <w:bookmarkStart w:id="4" w:name="_Toc148431264"/>
      <w:bookmarkStart w:id="5" w:name="_Toc170722300"/>
      <w:r w:rsidRPr="0062711C">
        <w:rPr>
          <w:rFonts w:asciiTheme="minorHAnsi" w:hAnsiTheme="minorHAnsi" w:cstheme="minorHAnsi"/>
          <w:b/>
          <w:sz w:val="22"/>
          <w:lang w:val="sr-Cyrl-RS"/>
        </w:rPr>
        <w:t xml:space="preserve">1. </w:t>
      </w:r>
      <w:r w:rsidRPr="0062711C">
        <w:rPr>
          <w:rFonts w:asciiTheme="minorHAnsi" w:hAnsiTheme="minorHAnsi" w:cstheme="minorHAnsi"/>
          <w:b/>
          <w:sz w:val="24"/>
          <w:lang w:val="sr-Cyrl-RS"/>
        </w:rPr>
        <w:t>Општи оквир и главни циљеви и смернице економске политике</w:t>
      </w:r>
      <w:bookmarkEnd w:id="3"/>
      <w:bookmarkEnd w:id="4"/>
      <w:bookmarkEnd w:id="5"/>
    </w:p>
    <w:p w14:paraId="6DF9D41A" w14:textId="77777777" w:rsidR="00D8744E" w:rsidRPr="0062711C" w:rsidRDefault="00D8744E" w:rsidP="005C539B">
      <w:pPr>
        <w:rPr>
          <w:rFonts w:cstheme="minorHAnsi"/>
          <w:color w:val="auto"/>
          <w:sz w:val="18"/>
          <w:highlight w:val="darkGray"/>
          <w:lang w:val="sr-Cyrl-RS"/>
        </w:rPr>
      </w:pPr>
    </w:p>
    <w:p w14:paraId="244AD0EC" w14:textId="77777777" w:rsidR="00D8744E" w:rsidRPr="0062711C" w:rsidRDefault="00D8744E" w:rsidP="005C539B">
      <w:pPr>
        <w:rPr>
          <w:rFonts w:cstheme="minorHAnsi"/>
          <w:color w:val="auto"/>
          <w:sz w:val="18"/>
          <w:highlight w:val="darkGray"/>
          <w:lang w:val="sr-Cyrl-RS"/>
        </w:rPr>
        <w:sectPr w:rsidR="00D8744E" w:rsidRPr="0062711C" w:rsidSect="00F45C01">
          <w:footerReference w:type="default" r:id="rId8"/>
          <w:pgSz w:w="12240" w:h="15840" w:code="1"/>
          <w:pgMar w:top="1440" w:right="1440" w:bottom="1440" w:left="1440" w:header="720" w:footer="720" w:gutter="0"/>
          <w:pgNumType w:start="1"/>
          <w:cols w:space="720"/>
          <w:titlePg/>
          <w:docGrid w:linePitch="360"/>
        </w:sectPr>
      </w:pPr>
    </w:p>
    <w:p w14:paraId="653DC1BA" w14:textId="61781103" w:rsidR="00D8744E" w:rsidRPr="0062711C" w:rsidRDefault="00D8744E" w:rsidP="005C539B">
      <w:pPr>
        <w:rPr>
          <w:rFonts w:ascii="Calibri" w:eastAsia="Calibri" w:hAnsi="Calibri" w:cs="Calibri"/>
          <w:bCs/>
          <w:color w:val="0070C0"/>
          <w:szCs w:val="72"/>
          <w:lang w:val="sr-Cyrl-RS"/>
        </w:rPr>
      </w:pPr>
      <w:r w:rsidRPr="0062711C">
        <w:rPr>
          <w:rFonts w:ascii="Calibri" w:eastAsia="Calibri" w:hAnsi="Calibri" w:cs="Calibri"/>
          <w:b/>
          <w:bCs/>
          <w:color w:val="0070C0"/>
          <w:szCs w:val="72"/>
          <w:lang w:val="sr-Cyrl-RS"/>
        </w:rPr>
        <w:t>Привредна активност у Србији показала је довољну отпорност и поред изазовног глобалног и регионалног окружења.</w:t>
      </w:r>
      <w:r w:rsidRPr="0062711C">
        <w:rPr>
          <w:rFonts w:ascii="Calibri" w:eastAsia="Calibri" w:hAnsi="Calibri" w:cs="Calibri"/>
          <w:bCs/>
          <w:color w:val="0070C0"/>
          <w:szCs w:val="72"/>
          <w:lang w:val="sr-Cyrl-RS"/>
        </w:rPr>
        <w:t xml:space="preserve"> Макроекономска кретања у 2023. </w:t>
      </w:r>
      <w:r w:rsidR="00BE5311">
        <w:rPr>
          <w:rFonts w:ascii="Calibri" w:eastAsia="Calibri" w:hAnsi="Calibri" w:cs="Calibri"/>
          <w:bCs/>
          <w:color w:val="0070C0"/>
          <w:szCs w:val="72"/>
          <w:lang w:val="sr-Cyrl-RS"/>
        </w:rPr>
        <w:t xml:space="preserve">години </w:t>
      </w:r>
      <w:r w:rsidRPr="0062711C">
        <w:rPr>
          <w:rFonts w:ascii="Calibri" w:eastAsia="Calibri" w:hAnsi="Calibri" w:cs="Calibri"/>
          <w:bCs/>
          <w:color w:val="0070C0"/>
          <w:szCs w:val="72"/>
          <w:lang w:val="sr-Cyrl-RS"/>
        </w:rPr>
        <w:t xml:space="preserve">испунила су очекивања и била у складу са пројекцијама прошлогодишње Фискалне стратегије. Према прелиминарним подацима, привредни раст у 2023. години </w:t>
      </w:r>
      <w:r w:rsidR="00C833E6" w:rsidRPr="0062711C">
        <w:rPr>
          <w:rFonts w:ascii="Calibri" w:eastAsia="Calibri" w:hAnsi="Calibri" w:cs="Calibri"/>
          <w:bCs/>
          <w:color w:val="0070C0"/>
          <w:szCs w:val="72"/>
          <w:lang w:val="sr-Cyrl-RS"/>
        </w:rPr>
        <w:t xml:space="preserve">је </w:t>
      </w:r>
      <w:r w:rsidR="00C833E6">
        <w:rPr>
          <w:rFonts w:ascii="Calibri" w:eastAsia="Calibri" w:hAnsi="Calibri" w:cs="Calibri"/>
          <w:bCs/>
          <w:color w:val="0070C0"/>
          <w:szCs w:val="72"/>
          <w:lang w:val="sr-Cyrl-RS"/>
        </w:rPr>
        <w:t>износио 2,5% а</w:t>
      </w:r>
      <w:r w:rsidRPr="0062711C">
        <w:rPr>
          <w:rFonts w:ascii="Calibri" w:eastAsia="Calibri" w:hAnsi="Calibri" w:cs="Calibri"/>
          <w:bCs/>
          <w:color w:val="0070C0"/>
          <w:szCs w:val="72"/>
          <w:lang w:val="sr-Cyrl-RS"/>
        </w:rPr>
        <w:t xml:space="preserve"> тржиште рада је </w:t>
      </w:r>
      <w:r w:rsidR="001B65DD" w:rsidRPr="0062711C">
        <w:rPr>
          <w:rFonts w:ascii="Calibri" w:eastAsia="Calibri" w:hAnsi="Calibri" w:cs="Calibri"/>
          <w:bCs/>
          <w:color w:val="0070C0"/>
          <w:szCs w:val="72"/>
          <w:lang w:val="sr-Cyrl-RS"/>
        </w:rPr>
        <w:t xml:space="preserve">остало </w:t>
      </w:r>
      <w:r w:rsidRPr="0062711C">
        <w:rPr>
          <w:rFonts w:ascii="Calibri" w:eastAsia="Calibri" w:hAnsi="Calibri" w:cs="Calibri"/>
          <w:bCs/>
          <w:color w:val="0070C0"/>
          <w:szCs w:val="72"/>
          <w:lang w:val="sr-Cyrl-RS"/>
        </w:rPr>
        <w:t>ст</w:t>
      </w:r>
      <w:r w:rsidR="00D73282">
        <w:rPr>
          <w:rFonts w:ascii="Calibri" w:eastAsia="Calibri" w:hAnsi="Calibri" w:cs="Calibri"/>
          <w:bCs/>
          <w:color w:val="0070C0"/>
          <w:szCs w:val="72"/>
          <w:lang w:val="sr-Cyrl-RS"/>
        </w:rPr>
        <w:t>абилно. Инфлација је на опадајућој путањи и у мају</w:t>
      </w:r>
      <w:r w:rsidR="00C833E6">
        <w:rPr>
          <w:rFonts w:ascii="Calibri" w:eastAsia="Calibri" w:hAnsi="Calibri" w:cs="Calibri"/>
          <w:bCs/>
          <w:color w:val="0070C0"/>
          <w:szCs w:val="72"/>
          <w:lang w:val="sr-Cyrl-RS"/>
        </w:rPr>
        <w:t xml:space="preserve"> 2024. година</w:t>
      </w:r>
      <w:r w:rsidR="00D73282" w:rsidRPr="00BC64D1">
        <w:rPr>
          <w:rFonts w:cstheme="minorHAnsi"/>
          <w:bCs/>
          <w:color w:val="0070C0"/>
          <w:szCs w:val="72"/>
          <w:lang w:val="sr-Cyrl-RS"/>
        </w:rPr>
        <w:t xml:space="preserve"> је ушла у </w:t>
      </w:r>
      <w:r w:rsidR="00E814E4" w:rsidRPr="00E814E4">
        <w:rPr>
          <w:rFonts w:cstheme="minorHAnsi"/>
          <w:bCs/>
          <w:color w:val="0070C0"/>
          <w:szCs w:val="72"/>
          <w:lang w:val="sr-Cyrl-RS"/>
        </w:rPr>
        <w:t>границе циља</w:t>
      </w:r>
      <w:r w:rsidRPr="0062711C">
        <w:rPr>
          <w:rFonts w:ascii="Calibri" w:eastAsia="Calibri" w:hAnsi="Calibri" w:cs="Calibri"/>
          <w:bCs/>
          <w:color w:val="0070C0"/>
          <w:szCs w:val="72"/>
          <w:lang w:val="sr-Cyrl-RS"/>
        </w:rPr>
        <w:t>. Захваљујући нижим ценама енергије и повећаном извозу, дефицит текућег рачуна значајно је смањен, док су девизне резерве на рекордном нивоу, подржане снажним приливом страних директних инвестиција</w:t>
      </w:r>
      <w:r w:rsidR="0022712C" w:rsidRPr="0062711C">
        <w:rPr>
          <w:rFonts w:ascii="Calibri" w:eastAsia="Calibri" w:hAnsi="Calibri" w:cs="Calibri"/>
          <w:bCs/>
          <w:color w:val="0070C0"/>
          <w:szCs w:val="72"/>
          <w:lang w:val="sr-Cyrl-RS"/>
        </w:rPr>
        <w:t xml:space="preserve"> (у даљем тексту: СДИ)</w:t>
      </w:r>
      <w:r w:rsidRPr="0062711C">
        <w:rPr>
          <w:rFonts w:ascii="Calibri" w:eastAsia="Calibri" w:hAnsi="Calibri" w:cs="Calibri"/>
          <w:bCs/>
          <w:color w:val="0070C0"/>
          <w:szCs w:val="72"/>
          <w:lang w:val="sr-Cyrl-RS"/>
        </w:rPr>
        <w:t>. Уз снажан раст прихода и пад субвенција за енергију, фискални дефицит је смањен. Финансијска стабилност је очувана, а пажљиво праћење финансијског сектора се наставља.</w:t>
      </w:r>
    </w:p>
    <w:p w14:paraId="0D3DEE2A" w14:textId="40FDA272" w:rsidR="00D8744E" w:rsidRPr="0062711C" w:rsidRDefault="00D8744E">
      <w:pPr>
        <w:rPr>
          <w:rFonts w:ascii="Calibri" w:eastAsia="Calibri" w:hAnsi="Calibri" w:cs="Calibri"/>
          <w:bCs/>
          <w:i/>
          <w:color w:val="0070C0"/>
          <w:szCs w:val="72"/>
          <w:lang w:val="sr-Cyrl-RS"/>
        </w:rPr>
      </w:pPr>
      <w:r w:rsidRPr="0062711C">
        <w:rPr>
          <w:rFonts w:ascii="Calibri" w:eastAsia="Calibri" w:hAnsi="Calibri" w:cs="Calibri"/>
          <w:b/>
          <w:bCs/>
          <w:color w:val="0070C0"/>
          <w:szCs w:val="72"/>
          <w:lang w:val="sr-Cyrl-RS"/>
        </w:rPr>
        <w:t>У средњем року очекујемо убрзање раста</w:t>
      </w:r>
      <w:r w:rsidRPr="0062711C">
        <w:rPr>
          <w:rFonts w:ascii="Calibri" w:eastAsia="Calibri" w:hAnsi="Calibri" w:cs="Calibri"/>
          <w:bCs/>
          <w:color w:val="0070C0"/>
          <w:szCs w:val="72"/>
          <w:lang w:val="sr-Cyrl-RS"/>
        </w:rPr>
        <w:t xml:space="preserve">. Основни сценарио макроекономских кретања представљен Фискалном стратегијом предвиђа просечни годишњи раст српске привреде од 4,1%. Према средњорочној макроекономској пројекцији кумулативна стопа раста у периоду од 2025. до 2027. године износиће 12,7%. Раст ће бити вођен домаћом тражњом. Даљи раст запослености и зарада подржаће приватну потрошњу, док ће инвестициони раст бити подстакнут реализацијом пројеката у секторима транспорта, енергетике и комуналне инфраструктуре. Значајне јавне инвестиције </w:t>
      </w:r>
      <w:r w:rsidRPr="0062711C">
        <w:rPr>
          <w:rFonts w:ascii="Calibri" w:eastAsia="Calibri" w:hAnsi="Calibri" w:cs="Calibri"/>
          <w:bCs/>
          <w:color w:val="0070C0"/>
          <w:szCs w:val="72"/>
          <w:lang w:val="sr-Cyrl-RS"/>
        </w:rPr>
        <w:t>предвиђене су програмом „</w:t>
      </w:r>
      <w:r w:rsidRPr="0062711C">
        <w:rPr>
          <w:rFonts w:ascii="Calibri" w:eastAsia="Calibri" w:hAnsi="Calibri" w:cs="Calibri"/>
          <w:bCs/>
          <w:i/>
          <w:color w:val="0070C0"/>
          <w:szCs w:val="72"/>
          <w:lang w:val="sr-Cyrl-RS"/>
        </w:rPr>
        <w:t>Скок у будућност – Србија 2027</w:t>
      </w:r>
      <w:r w:rsidRPr="0062711C">
        <w:rPr>
          <w:rFonts w:ascii="Calibri" w:eastAsia="Calibri" w:hAnsi="Calibri" w:cs="Calibri"/>
          <w:bCs/>
          <w:color w:val="0070C0"/>
          <w:szCs w:val="72"/>
          <w:lang w:val="sr-Cyrl-RS"/>
        </w:rPr>
        <w:t>” посебно уочи домаћинства Специјализованој светској изложби 2027. године са темом „</w:t>
      </w:r>
      <w:r w:rsidRPr="0062711C">
        <w:rPr>
          <w:rFonts w:ascii="Calibri" w:eastAsia="Calibri" w:hAnsi="Calibri" w:cs="Calibri"/>
          <w:bCs/>
          <w:i/>
          <w:color w:val="0070C0"/>
          <w:szCs w:val="72"/>
          <w:lang w:val="sr-Cyrl-RS"/>
        </w:rPr>
        <w:t>Игра за човечанство: спорт и музика за све”.</w:t>
      </w:r>
    </w:p>
    <w:p w14:paraId="1BE682D3" w14:textId="37F2CE7F" w:rsidR="00D8744E" w:rsidRPr="0062711C" w:rsidRDefault="00D8744E">
      <w:pPr>
        <w:rPr>
          <w:color w:val="0070C0"/>
          <w:lang w:val="sr-Cyrl-RS"/>
        </w:rPr>
      </w:pPr>
      <w:r w:rsidRPr="0062711C">
        <w:rPr>
          <w:rFonts w:ascii="Calibri" w:eastAsia="Calibri" w:hAnsi="Calibri" w:cs="Calibri"/>
          <w:b/>
          <w:bCs/>
          <w:color w:val="0070C0"/>
          <w:szCs w:val="72"/>
          <w:lang w:val="sr-Cyrl-RS"/>
        </w:rPr>
        <w:t xml:space="preserve">Влада Републике Србије посвећена је одржању фискалне дисциплине у средњем року. </w:t>
      </w:r>
      <w:r w:rsidRPr="0062711C">
        <w:rPr>
          <w:rFonts w:ascii="Calibri" w:eastAsia="Calibri" w:hAnsi="Calibri" w:cs="Calibri"/>
          <w:bCs/>
          <w:color w:val="0070C0"/>
          <w:szCs w:val="72"/>
          <w:lang w:val="sr-Cyrl-RS"/>
        </w:rPr>
        <w:t xml:space="preserve">Циљани фискални дефицити у наредним годинама обезбеђују опадајућу путању јавног дуга. Предвиђени фискални дефицит у 2025. години, износи 2,5 одсто </w:t>
      </w:r>
      <w:r w:rsidR="00CC2E94" w:rsidRPr="0062711C">
        <w:rPr>
          <w:rFonts w:ascii="Calibri" w:eastAsia="Calibri" w:hAnsi="Calibri" w:cs="Calibri"/>
          <w:bCs/>
          <w:color w:val="0070C0"/>
          <w:szCs w:val="72"/>
          <w:lang w:val="sr-Cyrl-RS"/>
        </w:rPr>
        <w:t>бруто домаћег производа (у даљем тексту: БДП)</w:t>
      </w:r>
      <w:r w:rsidRPr="0062711C">
        <w:rPr>
          <w:rFonts w:ascii="Calibri" w:eastAsia="Calibri" w:hAnsi="Calibri" w:cs="Calibri"/>
          <w:bCs/>
          <w:color w:val="0070C0"/>
          <w:szCs w:val="72"/>
          <w:lang w:val="sr-Cyrl-RS"/>
        </w:rPr>
        <w:t xml:space="preserve">, отварајући простор за финансирање важних </w:t>
      </w:r>
      <w:r w:rsidR="0098343E" w:rsidRPr="0062711C">
        <w:rPr>
          <w:rFonts w:ascii="Calibri" w:eastAsia="Calibri" w:hAnsi="Calibri" w:cs="Calibri"/>
          <w:bCs/>
          <w:color w:val="0070C0"/>
          <w:szCs w:val="72"/>
          <w:lang w:val="sr-Cyrl-RS"/>
        </w:rPr>
        <w:t>инвестиционих</w:t>
      </w:r>
      <w:r w:rsidRPr="0062711C">
        <w:rPr>
          <w:rFonts w:ascii="Calibri" w:eastAsia="Calibri" w:hAnsi="Calibri" w:cs="Calibri"/>
          <w:bCs/>
          <w:color w:val="0070C0"/>
          <w:szCs w:val="72"/>
          <w:lang w:val="sr-Cyrl-RS"/>
        </w:rPr>
        <w:t xml:space="preserve"> пројеката у оквиру развојног плана „Скок у будућност – Србија 2027”, као и финансирање јачања националне безбедности. За 2026. годину и даље, циљани фискални дефицит је 2,25% БДП. Јавни дуг сектора државе на крају средњорочног периода износиће 50,5% БДП. Како би се у потпуности реализовао инвестициони циклус примена компоненте ограничења фискалног дефицита у оквиру фискалног правила одлаже се до 2029. године.</w:t>
      </w:r>
    </w:p>
    <w:p w14:paraId="753589A7" w14:textId="69EA58A8" w:rsidR="00D8744E" w:rsidRPr="0062711C" w:rsidRDefault="00D8744E">
      <w:pPr>
        <w:rPr>
          <w:rFonts w:ascii="Calibri" w:eastAsia="Calibri" w:hAnsi="Calibri" w:cs="Calibri"/>
          <w:bCs/>
          <w:color w:val="0070C0"/>
          <w:szCs w:val="72"/>
          <w:lang w:val="sr-Cyrl-RS"/>
        </w:rPr>
      </w:pPr>
      <w:r w:rsidRPr="0062711C">
        <w:rPr>
          <w:rFonts w:ascii="Calibri" w:eastAsia="Calibri" w:hAnsi="Calibri" w:cs="Calibri"/>
          <w:b/>
          <w:bCs/>
          <w:color w:val="0070C0"/>
          <w:szCs w:val="72"/>
          <w:lang w:val="sr-Cyrl-RS"/>
        </w:rPr>
        <w:t>Привреда Србије, као и других земаља у окружењу и на сличном нивоу привредног развоја, под утицајем је бројних неизвесности.</w:t>
      </w:r>
      <w:r w:rsidRPr="0062711C">
        <w:rPr>
          <w:rFonts w:ascii="Calibri" w:eastAsia="Calibri" w:hAnsi="Calibri" w:cs="Calibri"/>
          <w:bCs/>
          <w:color w:val="0070C0"/>
          <w:szCs w:val="72"/>
          <w:lang w:val="sr-Cyrl-RS"/>
        </w:rPr>
        <w:t xml:space="preserve"> Ипак, ризике</w:t>
      </w:r>
      <w:r w:rsidRPr="0062711C">
        <w:rPr>
          <w:lang w:val="sr-Cyrl-RS"/>
        </w:rPr>
        <w:t xml:space="preserve"> </w:t>
      </w:r>
      <w:r w:rsidRPr="0062711C">
        <w:rPr>
          <w:rFonts w:ascii="Calibri" w:eastAsia="Calibri" w:hAnsi="Calibri" w:cs="Calibri"/>
          <w:bCs/>
          <w:color w:val="0070C0"/>
          <w:szCs w:val="72"/>
          <w:lang w:val="sr-Cyrl-RS"/>
        </w:rPr>
        <w:t xml:space="preserve">пројекција представљених овом Фискалном стратегијом оцењујемо као уравнотежене. Кључни ризици из међународног окружења укључују изгледе за глобални раст, и даље присуство </w:t>
      </w:r>
      <w:r w:rsidR="00E814E4" w:rsidRPr="00E814E4">
        <w:rPr>
          <w:rFonts w:ascii="Calibri" w:eastAsia="Calibri" w:hAnsi="Calibri" w:cs="Calibri"/>
          <w:bCs/>
          <w:color w:val="0070C0"/>
          <w:szCs w:val="72"/>
          <w:lang w:val="sr-Cyrl-RS"/>
        </w:rPr>
        <w:t xml:space="preserve">повишене </w:t>
      </w:r>
      <w:r w:rsidRPr="0062711C">
        <w:rPr>
          <w:rFonts w:ascii="Calibri" w:eastAsia="Calibri" w:hAnsi="Calibri" w:cs="Calibri"/>
          <w:bCs/>
          <w:color w:val="0070C0"/>
          <w:szCs w:val="72"/>
          <w:lang w:val="sr-Cyrl-RS"/>
        </w:rPr>
        <w:t xml:space="preserve">базне инфлације глобално и, као последицу тога, и даље рестриктивне мере монетарне политике водећих </w:t>
      </w:r>
      <w:r w:rsidRPr="0062711C">
        <w:rPr>
          <w:rFonts w:ascii="Calibri" w:eastAsia="Calibri" w:hAnsi="Calibri" w:cs="Calibri"/>
          <w:bCs/>
          <w:color w:val="0070C0"/>
          <w:szCs w:val="72"/>
          <w:lang w:val="sr-Cyrl-RS"/>
        </w:rPr>
        <w:lastRenderedPageBreak/>
        <w:t>централних банака.</w:t>
      </w:r>
      <w:r w:rsidRPr="0062711C">
        <w:rPr>
          <w:lang w:val="sr-Cyrl-RS"/>
        </w:rPr>
        <w:t xml:space="preserve"> </w:t>
      </w:r>
      <w:r w:rsidRPr="0062711C">
        <w:rPr>
          <w:rFonts w:ascii="Calibri" w:eastAsia="Calibri" w:hAnsi="Calibri" w:cs="Calibri"/>
          <w:bCs/>
          <w:color w:val="0070C0"/>
          <w:szCs w:val="72"/>
          <w:lang w:val="sr-Cyrl-RS"/>
        </w:rPr>
        <w:t>Геополитичке тензије, као и глобалне цене енергената и основних сировина, такође су фактори ризика. Када је реч о домаћим факторима, ризици за пројекције су повезани са брзином опоравка домаће тражње, приливима</w:t>
      </w:r>
      <w:r w:rsidR="00486F60" w:rsidRPr="0062711C">
        <w:rPr>
          <w:rFonts w:ascii="Calibri" w:eastAsia="Calibri" w:hAnsi="Calibri" w:cs="Calibri"/>
          <w:bCs/>
          <w:color w:val="0070C0"/>
          <w:szCs w:val="72"/>
          <w:lang w:val="sr-Cyrl-RS"/>
        </w:rPr>
        <w:t xml:space="preserve"> </w:t>
      </w:r>
      <w:r w:rsidR="009D21EA" w:rsidRPr="0062711C">
        <w:rPr>
          <w:rFonts w:ascii="Calibri" w:eastAsia="Calibri" w:hAnsi="Calibri" w:cs="Calibri"/>
          <w:bCs/>
          <w:color w:val="0070C0"/>
          <w:szCs w:val="72"/>
          <w:lang w:val="sr-Cyrl-RS"/>
        </w:rPr>
        <w:t>СДИ</w:t>
      </w:r>
      <w:r w:rsidRPr="0062711C">
        <w:rPr>
          <w:rFonts w:ascii="Calibri" w:eastAsia="Calibri" w:hAnsi="Calibri" w:cs="Calibri"/>
          <w:bCs/>
          <w:color w:val="0070C0"/>
          <w:szCs w:val="72"/>
          <w:lang w:val="sr-Cyrl-RS"/>
        </w:rPr>
        <w:t>, динамиком и утицајем раста инвестиција у сектору енергије и инфраструктуре, као и исходом пољопривредне сезоне.</w:t>
      </w:r>
    </w:p>
    <w:p w14:paraId="21EEC3EE" w14:textId="42E29BCD" w:rsidR="00D8744E" w:rsidRPr="0062711C" w:rsidRDefault="00D8744E" w:rsidP="005C539B">
      <w:pPr>
        <w:rPr>
          <w:rFonts w:ascii="Calibri" w:eastAsia="Calibri" w:hAnsi="Calibri" w:cs="Calibri"/>
          <w:bCs/>
          <w:color w:val="0070C0"/>
          <w:szCs w:val="72"/>
          <w:lang w:val="sr-Cyrl-RS"/>
        </w:rPr>
      </w:pPr>
      <w:r w:rsidRPr="0062711C">
        <w:rPr>
          <w:rFonts w:ascii="Calibri" w:eastAsia="Calibri" w:hAnsi="Calibri" w:cs="Calibri"/>
          <w:b/>
          <w:bCs/>
          <w:color w:val="0070C0"/>
          <w:szCs w:val="72"/>
          <w:lang w:val="sr-Cyrl-RS"/>
        </w:rPr>
        <w:t>Србија има значајне резерве за заштиту од неизвесности.</w:t>
      </w:r>
      <w:r w:rsidRPr="0062711C">
        <w:rPr>
          <w:rFonts w:ascii="Calibri" w:eastAsia="Calibri" w:hAnsi="Calibri" w:cs="Calibri"/>
          <w:bCs/>
          <w:color w:val="0070C0"/>
          <w:szCs w:val="72"/>
          <w:lang w:val="sr-Cyrl-RS"/>
        </w:rPr>
        <w:t xml:space="preserve"> Високе девизне резерве и депозити јавног сектора, релативно ниски јавни дуг, </w:t>
      </w:r>
      <w:r w:rsidRPr="0062711C">
        <w:rPr>
          <w:rFonts w:ascii="Calibri" w:eastAsia="Calibri" w:hAnsi="Calibri" w:cs="Calibri"/>
          <w:bCs/>
          <w:color w:val="0070C0"/>
          <w:szCs w:val="72"/>
          <w:lang w:val="sr-Cyrl-RS"/>
        </w:rPr>
        <w:t xml:space="preserve">одрживе динамике спољног и јавног дуга, као и добро капитализован и ликвидан банкарски систем представљају добру резерву у случају реализације појединих негативних ризика. Такође, Србија је атрактивна дестинација за </w:t>
      </w:r>
      <w:r w:rsidR="009D21EA" w:rsidRPr="0062711C">
        <w:rPr>
          <w:rFonts w:ascii="Calibri" w:eastAsia="Calibri" w:hAnsi="Calibri" w:cs="Calibri"/>
          <w:bCs/>
          <w:color w:val="0070C0"/>
          <w:szCs w:val="72"/>
          <w:lang w:val="sr-Cyrl-RS"/>
        </w:rPr>
        <w:t>СДИ</w:t>
      </w:r>
      <w:r w:rsidRPr="0062711C">
        <w:rPr>
          <w:rFonts w:ascii="Calibri" w:eastAsia="Calibri" w:hAnsi="Calibri" w:cs="Calibri"/>
          <w:bCs/>
          <w:color w:val="0070C0"/>
          <w:szCs w:val="72"/>
          <w:lang w:val="sr-Cyrl-RS"/>
        </w:rPr>
        <w:t>, што одражава њену снажну макроекономску позицију. Аранжман из предострожности са Међународним монетарним фондом пружа додатну сигурност кроз дефинисање адекватних економских политика и структурних реформи у циљу бржег привредног раста и јачања отпорности привреде.</w:t>
      </w:r>
    </w:p>
    <w:p w14:paraId="58F5517A" w14:textId="77777777" w:rsidR="003C3685" w:rsidRPr="0062711C" w:rsidRDefault="003C3685" w:rsidP="003C3685">
      <w:pPr>
        <w:rPr>
          <w:rFonts w:cstheme="minorHAnsi"/>
          <w:bCs/>
          <w:color w:val="4472C4" w:themeColor="accent1"/>
          <w:szCs w:val="72"/>
          <w:lang w:val="sr-Cyrl-RS"/>
        </w:rPr>
        <w:sectPr w:rsidR="003C3685" w:rsidRPr="0062711C" w:rsidSect="00F45C01">
          <w:footerReference w:type="default" r:id="rId9"/>
          <w:type w:val="continuous"/>
          <w:pgSz w:w="12240" w:h="15840" w:code="1"/>
          <w:pgMar w:top="1440" w:right="1440" w:bottom="1440" w:left="1440" w:header="720" w:footer="720" w:gutter="0"/>
          <w:cols w:num="2" w:space="720"/>
          <w:titlePg/>
          <w:docGrid w:linePitch="360"/>
        </w:sectPr>
      </w:pPr>
      <w:bookmarkStart w:id="6" w:name="_Toc57013542"/>
      <w:bookmarkStart w:id="7" w:name="_Toc23342461"/>
      <w:bookmarkStart w:id="8" w:name="_Toc530041993"/>
    </w:p>
    <w:p w14:paraId="51286EBA" w14:textId="77777777" w:rsidR="00D8744E" w:rsidRPr="0062711C" w:rsidRDefault="003C3685" w:rsidP="005C539B">
      <w:pPr>
        <w:spacing w:after="0"/>
        <w:jc w:val="left"/>
        <w:rPr>
          <w:rFonts w:ascii="Calibri" w:eastAsia="Calibri" w:hAnsi="Calibri" w:cs="Calibri"/>
          <w:bCs/>
          <w:color w:val="000000" w:themeColor="text1"/>
          <w:sz w:val="16"/>
          <w:szCs w:val="72"/>
          <w:lang w:val="sr-Cyrl-RS"/>
        </w:rPr>
      </w:pPr>
      <w:r w:rsidRPr="0062711C">
        <w:rPr>
          <w:lang w:val="sr-Cyrl-RS"/>
        </w:rPr>
        <w:br w:type="page"/>
      </w:r>
      <w:bookmarkStart w:id="9" w:name="_Toc119654141"/>
      <w:bookmarkStart w:id="10" w:name="_Toc135994497"/>
      <w:bookmarkEnd w:id="6"/>
      <w:bookmarkEnd w:id="7"/>
      <w:bookmarkEnd w:id="8"/>
    </w:p>
    <w:p w14:paraId="172CAB11" w14:textId="77777777" w:rsidR="00D8744E" w:rsidRPr="0062711C" w:rsidRDefault="00D8744E" w:rsidP="005C539B">
      <w:pPr>
        <w:spacing w:after="0"/>
        <w:jc w:val="left"/>
        <w:rPr>
          <w:rFonts w:ascii="Calibri" w:eastAsia="Calibri" w:hAnsi="Calibri" w:cs="Calibri"/>
          <w:bCs/>
          <w:color w:val="000000" w:themeColor="text1"/>
          <w:sz w:val="16"/>
          <w:szCs w:val="72"/>
          <w:lang w:val="sr-Cyrl-RS"/>
        </w:rPr>
        <w:sectPr w:rsidR="00D8744E" w:rsidRPr="0062711C" w:rsidSect="00F45C01">
          <w:headerReference w:type="default" r:id="rId10"/>
          <w:footerReference w:type="default" r:id="rId11"/>
          <w:headerReference w:type="first" r:id="rId12"/>
          <w:footerReference w:type="first" r:id="rId13"/>
          <w:type w:val="continuous"/>
          <w:pgSz w:w="12240" w:h="15840" w:code="1"/>
          <w:pgMar w:top="1440" w:right="1440" w:bottom="1440" w:left="1440" w:header="720" w:footer="720" w:gutter="0"/>
          <w:cols w:space="720"/>
          <w:docGrid w:linePitch="360"/>
        </w:sectPr>
      </w:pPr>
      <w:bookmarkStart w:id="11" w:name="_Toc86923728"/>
      <w:bookmarkStart w:id="12" w:name="_Toc119654150"/>
      <w:bookmarkEnd w:id="9"/>
      <w:bookmarkEnd w:id="10"/>
    </w:p>
    <w:p w14:paraId="27AB6852" w14:textId="77777777" w:rsidR="00D8744E" w:rsidRPr="0062711C" w:rsidRDefault="00D8744E" w:rsidP="005C539B">
      <w:pPr>
        <w:pStyle w:val="Heading2"/>
        <w:jc w:val="center"/>
        <w:rPr>
          <w:rFonts w:asciiTheme="minorHAnsi" w:hAnsiTheme="minorHAnsi" w:cstheme="minorHAnsi"/>
          <w:b/>
          <w:bCs/>
          <w:color w:val="2F5496"/>
          <w:sz w:val="24"/>
          <w:lang w:val="sr-Cyrl-RS"/>
        </w:rPr>
      </w:pPr>
      <w:bookmarkStart w:id="13" w:name="_Toc146277912"/>
      <w:bookmarkStart w:id="14" w:name="_Toc148431265"/>
      <w:bookmarkStart w:id="15" w:name="_Toc170722301"/>
      <w:r w:rsidRPr="0062711C">
        <w:rPr>
          <w:rFonts w:asciiTheme="minorHAnsi" w:hAnsiTheme="minorHAnsi" w:cstheme="minorHAnsi"/>
          <w:b/>
          <w:bCs/>
          <w:color w:val="2F5496"/>
          <w:sz w:val="24"/>
          <w:lang w:val="sr-Cyrl-RS"/>
        </w:rPr>
        <w:lastRenderedPageBreak/>
        <w:t>2. Процене међународног економског окружења</w:t>
      </w:r>
      <w:bookmarkEnd w:id="13"/>
      <w:bookmarkEnd w:id="14"/>
      <w:bookmarkEnd w:id="15"/>
    </w:p>
    <w:p w14:paraId="75CDCDA7" w14:textId="77777777" w:rsidR="00D8744E" w:rsidRPr="0062711C" w:rsidRDefault="00D8744E" w:rsidP="005C539B">
      <w:pPr>
        <w:rPr>
          <w:lang w:val="sr-Cyrl-RS"/>
        </w:rPr>
      </w:pPr>
      <w:r w:rsidRPr="0062711C">
        <w:rPr>
          <w:rFonts w:cstheme="minorHAnsi"/>
          <w:b/>
          <w:noProof/>
          <w:sz w:val="24"/>
          <w:lang w:val="en-GB" w:eastAsia="en-GB"/>
        </w:rPr>
        <mc:AlternateContent>
          <mc:Choice Requires="wps">
            <w:drawing>
              <wp:anchor distT="0" distB="0" distL="114300" distR="114300" simplePos="0" relativeHeight="251672064" behindDoc="1" locked="0" layoutInCell="1" allowOverlap="1" wp14:anchorId="250B1844" wp14:editId="35AEA984">
                <wp:simplePos x="0" y="0"/>
                <wp:positionH relativeFrom="margin">
                  <wp:posOffset>-102358</wp:posOffset>
                </wp:positionH>
                <wp:positionV relativeFrom="paragraph">
                  <wp:posOffset>206337</wp:posOffset>
                </wp:positionV>
                <wp:extent cx="6139815" cy="4954137"/>
                <wp:effectExtent l="0" t="0" r="0" b="0"/>
                <wp:wrapNone/>
                <wp:docPr id="63" name="Rectangle 63"/>
                <wp:cNvGraphicFramePr/>
                <a:graphic xmlns:a="http://schemas.openxmlformats.org/drawingml/2006/main">
                  <a:graphicData uri="http://schemas.microsoft.com/office/word/2010/wordprocessingShape">
                    <wps:wsp>
                      <wps:cNvSpPr/>
                      <wps:spPr>
                        <a:xfrm>
                          <a:off x="0" y="0"/>
                          <a:ext cx="6139815" cy="4954137"/>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F10173" id="Rectangle 63" o:spid="_x0000_s1026" style="position:absolute;margin-left:-8.05pt;margin-top:16.25pt;width:483.45pt;height:390.1pt;z-index:-251644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" fillcolor="#d8d8d8 [2732]" stroked="f" strokeweight="1pt">
                <v:fill r:id="rId25" o:title="" color2="white [3212]" type="pattern"/>
                <w10:wrap anchorx="margin"/>
              </v:rect>
            </w:pict>
          </mc:Fallback>
        </mc:AlternateContent>
      </w:r>
    </w:p>
    <w:p w14:paraId="735784E3" w14:textId="77777777" w:rsidR="00D8744E" w:rsidRPr="0062711C" w:rsidRDefault="00D8744E" w:rsidP="005C539B">
      <w:pPr>
        <w:spacing w:after="240"/>
        <w:rPr>
          <w:rFonts w:cstheme="minorHAnsi"/>
          <w:bCs/>
          <w:color w:val="FF0000"/>
          <w:szCs w:val="72"/>
          <w:lang w:val="sr-Cyrl-RS"/>
        </w:rPr>
        <w:sectPr w:rsidR="00D8744E" w:rsidRPr="0062711C" w:rsidSect="00F45C01">
          <w:headerReference w:type="even" r:id="rId26"/>
          <w:headerReference w:type="default" r:id="rId27"/>
          <w:footerReference w:type="even" r:id="rId28"/>
          <w:footerReference w:type="default" r:id="rId29"/>
          <w:footerReference w:type="first" r:id="rId30"/>
          <w:type w:val="continuous"/>
          <w:pgSz w:w="12240" w:h="15840" w:code="1"/>
          <w:pgMar w:top="1440" w:right="1440" w:bottom="1440" w:left="1440" w:header="720" w:footer="720" w:gutter="0"/>
          <w:cols w:space="720"/>
          <w:titlePg/>
          <w:docGrid w:linePitch="360"/>
        </w:sectPr>
      </w:pPr>
    </w:p>
    <w:p w14:paraId="7F91F72A" w14:textId="7B07C12D" w:rsidR="00D8744E" w:rsidRPr="0062711C" w:rsidRDefault="00D8744E" w:rsidP="005C539B">
      <w:pPr>
        <w:spacing w:after="80"/>
        <w:rPr>
          <w:rFonts w:cstheme="minorHAnsi"/>
          <w:bCs/>
          <w:color w:val="0070C0"/>
          <w:szCs w:val="72"/>
          <w:lang w:val="sr-Cyrl-RS"/>
        </w:rPr>
      </w:pPr>
      <w:r w:rsidRPr="0062711C">
        <w:rPr>
          <w:rFonts w:cstheme="minorHAnsi"/>
          <w:bCs/>
          <w:color w:val="0070C0"/>
          <w:szCs w:val="72"/>
          <w:lang w:val="sr-Cyrl-RS"/>
        </w:rPr>
        <w:t xml:space="preserve">Упркос значајном повећању каматних стопа централних банака и ризицима од стагфлације и рецесије, светска привреда је била изненађујуће отпорна током периода успоравања глобалне инфлације. Томе je допринела експанзивна фискална политика и опоравак приватне потрошње, подржано акумулираном штедњом током периода пандемије, растом запослености и доходака, као и већом партиципацијом радне снаге на тржишту рада. Према априлским проценама ММФ, очекује се да ће глобална економија наставити да расте по стопи од 3,2% и током 2024. и 2025. године, што је идентично стопи раста у 2023. години. Ефектуирања рестриктивних мера монетарне политике из претходног периода, попуштања трошковних притисака на </w:t>
      </w:r>
      <w:r w:rsidR="0098343E" w:rsidRPr="0062711C">
        <w:rPr>
          <w:rFonts w:cstheme="minorHAnsi"/>
          <w:bCs/>
          <w:color w:val="0070C0"/>
          <w:szCs w:val="72"/>
          <w:lang w:val="sr-Cyrl-RS"/>
        </w:rPr>
        <w:t>тржишту</w:t>
      </w:r>
      <w:r w:rsidRPr="0062711C">
        <w:rPr>
          <w:rFonts w:cstheme="minorHAnsi"/>
          <w:bCs/>
          <w:color w:val="0070C0"/>
          <w:szCs w:val="72"/>
          <w:lang w:val="sr-Cyrl-RS"/>
        </w:rPr>
        <w:t xml:space="preserve"> рада, као и пад цена добара нарочито цена енергената резултирали су снажним дезинфлаторним трендовима. Процењује се да ће глобална инфлација успорити са 6,8% у 2023. години на 5,9% у 2024. и 4,5% у 2025. години, при чему ће базна инфлација опадати спорије од укупне инфлације. Будући да је приоритет централних банака да у потпуности осигурају враћање инфлације у циљане оквире не би требало почети са ублажавањем монетарне политике прерано, али ни одуговлачити превише како се не би додатно оптеретили изгледи за бржи привредни раст. Истовремено, неопходно је </w:t>
      </w:r>
      <w:r w:rsidRPr="0062711C">
        <w:rPr>
          <w:rFonts w:cstheme="minorHAnsi"/>
          <w:bCs/>
          <w:color w:val="0070C0"/>
          <w:szCs w:val="72"/>
          <w:lang w:val="sr-Cyrl-RS"/>
        </w:rPr>
        <w:t xml:space="preserve">постепено заоштравање фискалне политике и фокусираност на </w:t>
      </w:r>
      <w:r w:rsidR="004B7EB2" w:rsidRPr="0062711C">
        <w:rPr>
          <w:rFonts w:cstheme="minorHAnsi"/>
          <w:bCs/>
          <w:color w:val="0070C0"/>
          <w:szCs w:val="72"/>
          <w:lang w:val="sr-Cyrl-RS"/>
        </w:rPr>
        <w:t>спровођења</w:t>
      </w:r>
      <w:r w:rsidRPr="0062711C">
        <w:rPr>
          <w:rFonts w:cstheme="minorHAnsi"/>
          <w:bCs/>
          <w:color w:val="0070C0"/>
          <w:szCs w:val="72"/>
          <w:lang w:val="sr-Cyrl-RS"/>
        </w:rPr>
        <w:t xml:space="preserve"> средњорочне фискалне консолидације у циљу осигурања одрживости јавног дуга. Фискални капацитети већине земаља су исцрпљени, а глобални јавни дуг је достигао 93% БДП, увећан за 9 процентних поена у односу на период пре пандемије. Истовремено, заоштрени финансијски услови повећавају трошкове сервисирања дуга и сужавају могућност за обнову фискалних резерви које би ојачале отпорност на евентуалне будуће шокове. Ипак, вероватноћа фискалне консолидације током 2024. године је мања и због политичког изборног циклуса будући да се у 88 економија или економских подручја која представљају више од половине светске популације и БДП одржавају или ће се одржати избори током године.</w:t>
      </w:r>
    </w:p>
    <w:p w14:paraId="1DC40C75" w14:textId="77777777" w:rsidR="00D8744E" w:rsidRPr="0062711C" w:rsidRDefault="00D8744E" w:rsidP="00C946F8">
      <w:pPr>
        <w:spacing w:after="720"/>
        <w:rPr>
          <w:rFonts w:cstheme="minorHAnsi"/>
          <w:bCs/>
          <w:color w:val="0070C0"/>
          <w:szCs w:val="72"/>
          <w:lang w:val="sr-Cyrl-RS"/>
        </w:rPr>
      </w:pPr>
      <w:r w:rsidRPr="0062711C">
        <w:rPr>
          <w:rFonts w:cstheme="minorHAnsi"/>
          <w:bCs/>
          <w:color w:val="0070C0"/>
          <w:szCs w:val="72"/>
          <w:lang w:val="sr-Cyrl-RS"/>
        </w:rPr>
        <w:t>Фактори који ће у значајној мери одредити путању будућег раста зависе од брзине и темпа креирања нових фискалних резерви за случај будућих шокова, реформи које подстичу продуктивност, као и улагања у људски капитал, зелену и дигиталну транзицију. Потребна је мултилатерална сарадња како би се ограничили трошкови и ризици геоекономске фрагментације и климатских промена, убрзао прелазак на зелену енергију и подстакло реструктурирање дуга.</w:t>
      </w:r>
    </w:p>
    <w:p w14:paraId="67AB009B" w14:textId="3D068FF7" w:rsidR="00C946F8" w:rsidRPr="0062711C" w:rsidRDefault="00C946F8" w:rsidP="005C539B">
      <w:pPr>
        <w:jc w:val="left"/>
        <w:rPr>
          <w:rFonts w:cstheme="minorHAnsi"/>
          <w:b/>
          <w:color w:val="FF0000"/>
          <w:sz w:val="22"/>
          <w:lang w:val="sr-Cyrl-RS"/>
        </w:rPr>
        <w:sectPr w:rsidR="00C946F8" w:rsidRPr="0062711C" w:rsidSect="00F45C01">
          <w:type w:val="continuous"/>
          <w:pgSz w:w="12240" w:h="15840"/>
          <w:pgMar w:top="1440" w:right="1440" w:bottom="1440" w:left="1440" w:header="708" w:footer="708" w:gutter="0"/>
          <w:cols w:num="2" w:space="708"/>
          <w:docGrid w:linePitch="360"/>
        </w:sectPr>
      </w:pPr>
    </w:p>
    <w:p w14:paraId="0390B4A6" w14:textId="77777777" w:rsidR="00D8744E" w:rsidRPr="0062711C" w:rsidRDefault="00D8744E" w:rsidP="005C539B">
      <w:pPr>
        <w:jc w:val="left"/>
        <w:rPr>
          <w:rFonts w:cstheme="minorHAnsi"/>
          <w:b/>
          <w:color w:val="2F5496"/>
          <w:sz w:val="22"/>
          <w:lang w:val="sr-Cyrl-RS"/>
        </w:rPr>
      </w:pPr>
      <w:r w:rsidRPr="0062711C">
        <w:rPr>
          <w:rFonts w:cstheme="minorHAnsi"/>
          <w:b/>
          <w:color w:val="2F5496"/>
          <w:sz w:val="22"/>
          <w:lang w:val="sr-Cyrl-RS"/>
        </w:rPr>
        <w:t>Макроекономске процене Међународног монетарног фонда (ММФ)</w:t>
      </w:r>
    </w:p>
    <w:p w14:paraId="616F0604" w14:textId="1F4C9A7D" w:rsidR="00D8744E" w:rsidRPr="0062711C" w:rsidRDefault="00D8744E" w:rsidP="005C539B">
      <w:pPr>
        <w:rPr>
          <w:rFonts w:cstheme="minorHAnsi"/>
          <w:bCs/>
          <w:szCs w:val="72"/>
          <w:lang w:val="sr-Cyrl-RS"/>
        </w:rPr>
      </w:pPr>
      <w:r w:rsidRPr="0062711C">
        <w:rPr>
          <w:lang w:val="sr-Cyrl-RS"/>
        </w:rPr>
        <w:t xml:space="preserve">Упркос вишеструким шоковима који су последњих година обликовали глобалне економске трендове – пандемија, ратови, климатске катастрофе, инфлација и заоштравање глобалних финансијских услова – глобални финансијски и економски изгледи су се побољшали. </w:t>
      </w:r>
      <w:r w:rsidRPr="0062711C">
        <w:rPr>
          <w:rFonts w:cstheme="minorHAnsi"/>
          <w:bCs/>
          <w:szCs w:val="72"/>
          <w:lang w:val="sr-Cyrl-RS"/>
        </w:rPr>
        <w:t xml:space="preserve">Према априлским проценама ММФ, глобални економски раст је у 2023. години износио 3,2% и очекује се да ће наставити истом динамиком и у 2024. и 2025. години. Пројекција за 2024. годину је ревидирана </w:t>
      </w:r>
      <w:r w:rsidRPr="0062711C">
        <w:rPr>
          <w:rFonts w:cstheme="minorHAnsi"/>
          <w:bCs/>
          <w:szCs w:val="72"/>
          <w:lang w:val="sr-Cyrl-RS"/>
        </w:rPr>
        <w:t>благо навише за 0,1 п.п. у односу на очекивања из јануара, односно за 0,3 п.п. у односу на октобар, док су очекивања за 2025. годину остала непромењена. Ипак, темпо експанзије је низак у поређењу с историјским стандардима, како због краткорочних фактора</w:t>
      </w:r>
      <w:r w:rsidR="00BE5311">
        <w:rPr>
          <w:rFonts w:cstheme="minorHAnsi"/>
          <w:bCs/>
          <w:szCs w:val="72"/>
          <w:lang w:val="sr-Cyrl-RS"/>
        </w:rPr>
        <w:t>,</w:t>
      </w:r>
      <w:r w:rsidRPr="0062711C">
        <w:rPr>
          <w:rFonts w:cstheme="minorHAnsi"/>
          <w:bCs/>
          <w:szCs w:val="72"/>
          <w:lang w:val="sr-Cyrl-RS"/>
        </w:rPr>
        <w:t xml:space="preserve"> као што су и даље високи трошкови задуживања и смањење фискалне подршке, тако и због дугорочних ефеката изазваних пандемијом COVID-19 и сукобом у Украјини, слабог раста продуктивности и растућег геоекономског фрагментирања и повећања регионалних неједнакости.</w:t>
      </w:r>
    </w:p>
    <w:p w14:paraId="7B46ACC1" w14:textId="77777777" w:rsidR="00D8744E" w:rsidRPr="0062711C" w:rsidRDefault="00D8744E" w:rsidP="005C539B">
      <w:pPr>
        <w:spacing w:after="240"/>
        <w:rPr>
          <w:rFonts w:cstheme="minorHAnsi"/>
          <w:color w:val="44546A"/>
          <w:lang w:val="sr-Cyrl-RS"/>
        </w:rPr>
        <w:sectPr w:rsidR="00D8744E" w:rsidRPr="0062711C" w:rsidSect="00F45C01">
          <w:type w:val="continuous"/>
          <w:pgSz w:w="12240" w:h="15840"/>
          <w:pgMar w:top="1440" w:right="1440" w:bottom="1440" w:left="1440" w:header="708" w:footer="708" w:gutter="0"/>
          <w:cols w:num="2" w:space="708"/>
          <w:docGrid w:linePitch="360"/>
        </w:sectPr>
      </w:pPr>
    </w:p>
    <w:p w14:paraId="615E5821" w14:textId="77777777" w:rsidR="00D8744E" w:rsidRPr="0062711C" w:rsidRDefault="00D8744E">
      <w:pPr>
        <w:rPr>
          <w:lang w:val="sr-Cyrl-RS"/>
        </w:rPr>
      </w:pPr>
      <w:r w:rsidRPr="0062711C">
        <w:rPr>
          <w:lang w:val="sr-Cyrl-RS"/>
        </w:rPr>
        <w:br w:type="page"/>
      </w:r>
    </w:p>
    <w:tbl>
      <w:tblPr>
        <w:tblStyle w:val="TableGrid"/>
        <w:tblW w:w="5006"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61"/>
        <w:gridCol w:w="1042"/>
        <w:gridCol w:w="1042"/>
        <w:gridCol w:w="1042"/>
        <w:gridCol w:w="1042"/>
        <w:gridCol w:w="1042"/>
      </w:tblGrid>
      <w:tr w:rsidR="00D8744E" w:rsidRPr="0062711C" w14:paraId="5A00C8F5" w14:textId="77777777" w:rsidTr="005C539B">
        <w:trPr>
          <w:trHeight w:val="351"/>
        </w:trPr>
        <w:tc>
          <w:tcPr>
            <w:tcW w:w="5000" w:type="pct"/>
            <w:gridSpan w:val="6"/>
            <w:tcBorders>
              <w:bottom w:val="single" w:sz="4" w:space="0" w:color="002060"/>
            </w:tcBorders>
            <w:vAlign w:val="center"/>
          </w:tcPr>
          <w:p w14:paraId="7B67D91B" w14:textId="77777777" w:rsidR="00D8744E" w:rsidRPr="0062711C" w:rsidRDefault="00D8744E" w:rsidP="005C539B">
            <w:pPr>
              <w:jc w:val="center"/>
              <w:rPr>
                <w:rFonts w:cstheme="minorHAnsi"/>
                <w:b/>
                <w:color w:val="002060"/>
                <w:lang w:val="sr-Cyrl-RS"/>
              </w:rPr>
            </w:pPr>
            <w:r w:rsidRPr="0062711C">
              <w:rPr>
                <w:rFonts w:cstheme="minorHAnsi"/>
                <w:b/>
                <w:color w:val="002060"/>
                <w:lang w:val="sr-Cyrl-RS"/>
              </w:rPr>
              <w:lastRenderedPageBreak/>
              <w:t>Табела 1. Међународно окружење – макроекономски показатељи</w:t>
            </w:r>
          </w:p>
        </w:tc>
      </w:tr>
      <w:tr w:rsidR="00D8744E" w:rsidRPr="0062711C" w14:paraId="62B5EA62" w14:textId="77777777" w:rsidTr="005C539B">
        <w:trPr>
          <w:trHeight w:val="180"/>
        </w:trPr>
        <w:tc>
          <w:tcPr>
            <w:tcW w:w="2220" w:type="pct"/>
            <w:tcBorders>
              <w:top w:val="single" w:sz="4" w:space="0" w:color="002060"/>
              <w:left w:val="single" w:sz="2" w:space="0" w:color="FFFFFF" w:themeColor="background1"/>
              <w:bottom w:val="single" w:sz="2" w:space="0" w:color="FFFFFF" w:themeColor="background1"/>
              <w:right w:val="single" w:sz="2" w:space="0" w:color="FFFFFF" w:themeColor="background1"/>
            </w:tcBorders>
          </w:tcPr>
          <w:p w14:paraId="6B2A4B6C" w14:textId="77777777" w:rsidR="00D8744E" w:rsidRPr="0062711C" w:rsidRDefault="00D8744E" w:rsidP="005C539B">
            <w:pPr>
              <w:rPr>
                <w:rFonts w:cstheme="minorHAnsi"/>
                <w:color w:val="002060"/>
                <w:sz w:val="18"/>
                <w:lang w:val="sr-Cyrl-RS"/>
              </w:rPr>
            </w:pP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509C6811" w14:textId="77777777" w:rsidR="00D8744E" w:rsidRPr="0062711C" w:rsidRDefault="00D8744E" w:rsidP="005C539B">
            <w:pPr>
              <w:jc w:val="center"/>
              <w:rPr>
                <w:rFonts w:cstheme="minorHAnsi"/>
                <w:color w:val="002060"/>
                <w:sz w:val="18"/>
                <w:lang w:val="sr-Cyrl-RS"/>
              </w:rPr>
            </w:pPr>
            <w:r w:rsidRPr="0062711C">
              <w:rPr>
                <w:rFonts w:cstheme="minorHAnsi"/>
                <w:color w:val="002060"/>
                <w:sz w:val="18"/>
                <w:lang w:val="sr-Cyrl-RS"/>
              </w:rPr>
              <w:t>2023</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1B513B81" w14:textId="77777777" w:rsidR="00D8744E" w:rsidRPr="0062711C" w:rsidRDefault="00D8744E" w:rsidP="005C539B">
            <w:pPr>
              <w:jc w:val="center"/>
              <w:rPr>
                <w:rFonts w:cstheme="minorHAnsi"/>
                <w:color w:val="002060"/>
                <w:sz w:val="18"/>
                <w:lang w:val="sr-Cyrl-RS"/>
              </w:rPr>
            </w:pPr>
            <w:r w:rsidRPr="0062711C">
              <w:rPr>
                <w:rFonts w:cstheme="minorHAnsi"/>
                <w:color w:val="002060"/>
                <w:sz w:val="18"/>
                <w:lang w:val="sr-Cyrl-RS"/>
              </w:rPr>
              <w:t>2024</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166489D9" w14:textId="77777777" w:rsidR="00D8744E" w:rsidRPr="0062711C" w:rsidRDefault="00D8744E" w:rsidP="005C539B">
            <w:pPr>
              <w:jc w:val="center"/>
              <w:rPr>
                <w:rFonts w:cstheme="minorHAnsi"/>
                <w:color w:val="002060"/>
                <w:sz w:val="18"/>
                <w:lang w:val="sr-Cyrl-RS"/>
              </w:rPr>
            </w:pPr>
            <w:r w:rsidRPr="0062711C">
              <w:rPr>
                <w:rFonts w:cstheme="minorHAnsi"/>
                <w:color w:val="002060"/>
                <w:sz w:val="18"/>
                <w:lang w:val="sr-Cyrl-RS"/>
              </w:rPr>
              <w:t>2025</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2A091656" w14:textId="77777777" w:rsidR="00D8744E" w:rsidRPr="0062711C" w:rsidRDefault="00D8744E" w:rsidP="005C539B">
            <w:pPr>
              <w:jc w:val="center"/>
              <w:rPr>
                <w:rFonts w:cstheme="minorHAnsi"/>
                <w:color w:val="002060"/>
                <w:sz w:val="18"/>
                <w:lang w:val="sr-Cyrl-RS"/>
              </w:rPr>
            </w:pPr>
            <w:r w:rsidRPr="0062711C">
              <w:rPr>
                <w:rFonts w:cstheme="minorHAnsi"/>
                <w:color w:val="002060"/>
                <w:sz w:val="18"/>
                <w:lang w:val="sr-Cyrl-RS"/>
              </w:rPr>
              <w:t>2026</w:t>
            </w:r>
          </w:p>
        </w:tc>
        <w:tc>
          <w:tcPr>
            <w:tcW w:w="556" w:type="pct"/>
            <w:tcBorders>
              <w:top w:val="single" w:sz="4" w:space="0" w:color="002060"/>
              <w:left w:val="single" w:sz="2" w:space="0" w:color="FFFFFF" w:themeColor="background1"/>
              <w:bottom w:val="single" w:sz="4" w:space="0" w:color="002060"/>
              <w:right w:val="single" w:sz="2" w:space="0" w:color="FFFFFF" w:themeColor="background1"/>
            </w:tcBorders>
          </w:tcPr>
          <w:p w14:paraId="39AAA62D" w14:textId="77777777" w:rsidR="00D8744E" w:rsidRPr="0062711C" w:rsidRDefault="00D8744E" w:rsidP="005C539B">
            <w:pPr>
              <w:jc w:val="center"/>
              <w:rPr>
                <w:rFonts w:cstheme="minorHAnsi"/>
                <w:color w:val="002060"/>
                <w:sz w:val="18"/>
                <w:lang w:val="sr-Cyrl-RS"/>
              </w:rPr>
            </w:pPr>
            <w:r w:rsidRPr="0062711C">
              <w:rPr>
                <w:rFonts w:cstheme="minorHAnsi"/>
                <w:color w:val="002060"/>
                <w:sz w:val="18"/>
                <w:lang w:val="sr-Cyrl-RS"/>
              </w:rPr>
              <w:t>2027</w:t>
            </w:r>
          </w:p>
        </w:tc>
      </w:tr>
      <w:tr w:rsidR="00D8744E" w:rsidRPr="0062711C" w14:paraId="523FDA9C" w14:textId="77777777" w:rsidTr="005C539B">
        <w:trPr>
          <w:trHeight w:val="190"/>
        </w:trPr>
        <w:tc>
          <w:tcPr>
            <w:tcW w:w="2220" w:type="pct"/>
            <w:tcBorders>
              <w:top w:val="single" w:sz="2" w:space="0" w:color="FFFFFF" w:themeColor="background1"/>
              <w:left w:val="single" w:sz="2" w:space="0" w:color="FFFFFF" w:themeColor="background1"/>
              <w:bottom w:val="single" w:sz="2" w:space="0" w:color="FFFFFF" w:themeColor="background1"/>
            </w:tcBorders>
            <w:shd w:val="clear" w:color="auto" w:fill="E7E6E6" w:themeFill="background2"/>
          </w:tcPr>
          <w:p w14:paraId="77ED89DD"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Реални раст БДП</w:t>
            </w:r>
            <w:r w:rsidRPr="0062711C">
              <w:rPr>
                <w:rFonts w:cstheme="minorHAnsi"/>
                <w:color w:val="002060"/>
                <w:sz w:val="18"/>
                <w:vertAlign w:val="superscript"/>
                <w:lang w:val="sr-Cyrl-RS"/>
              </w:rPr>
              <w:t>1</w:t>
            </w:r>
            <w:r w:rsidRPr="0062711C">
              <w:rPr>
                <w:rFonts w:cstheme="minorHAnsi"/>
                <w:color w:val="002060"/>
                <w:sz w:val="18"/>
                <w:lang w:val="sr-Cyrl-RS"/>
              </w:rPr>
              <w:t>, %</w:t>
            </w:r>
          </w:p>
        </w:tc>
        <w:tc>
          <w:tcPr>
            <w:tcW w:w="556" w:type="pct"/>
            <w:tcBorders>
              <w:top w:val="single" w:sz="2" w:space="0" w:color="FFFFFF" w:themeColor="background1"/>
              <w:bottom w:val="single" w:sz="2" w:space="0" w:color="FFFFFF" w:themeColor="background1"/>
            </w:tcBorders>
            <w:shd w:val="clear" w:color="auto" w:fill="E7E6E6" w:themeFill="background2"/>
          </w:tcPr>
          <w:p w14:paraId="6ECEE270" w14:textId="77777777" w:rsidR="00D8744E" w:rsidRPr="0062711C" w:rsidRDefault="00D8744E" w:rsidP="005C539B">
            <w:pPr>
              <w:rPr>
                <w:rFonts w:cstheme="minorHAnsi"/>
                <w:color w:val="002060"/>
                <w:sz w:val="18"/>
                <w:lang w:val="sr-Cyrl-RS"/>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11D1C5F8" w14:textId="77777777" w:rsidR="00D8744E" w:rsidRPr="0062711C" w:rsidRDefault="00D8744E" w:rsidP="005C539B">
            <w:pPr>
              <w:rPr>
                <w:rFonts w:cstheme="minorHAnsi"/>
                <w:color w:val="002060"/>
                <w:sz w:val="18"/>
                <w:lang w:val="sr-Cyrl-RS"/>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37A4887F" w14:textId="77777777" w:rsidR="00D8744E" w:rsidRPr="0062711C" w:rsidRDefault="00D8744E" w:rsidP="005C539B">
            <w:pPr>
              <w:rPr>
                <w:rFonts w:cstheme="minorHAnsi"/>
                <w:color w:val="002060"/>
                <w:sz w:val="18"/>
                <w:lang w:val="sr-Cyrl-RS"/>
              </w:rPr>
            </w:pPr>
          </w:p>
        </w:tc>
        <w:tc>
          <w:tcPr>
            <w:tcW w:w="556" w:type="pct"/>
            <w:tcBorders>
              <w:top w:val="single" w:sz="2" w:space="0" w:color="FFFFFF" w:themeColor="background1"/>
              <w:bottom w:val="single" w:sz="2" w:space="0" w:color="FFFFFF" w:themeColor="background1"/>
            </w:tcBorders>
            <w:shd w:val="clear" w:color="auto" w:fill="E7E6E6" w:themeFill="background2"/>
          </w:tcPr>
          <w:p w14:paraId="3E153BF7" w14:textId="77777777" w:rsidR="00D8744E" w:rsidRPr="0062711C" w:rsidRDefault="00D8744E" w:rsidP="005C539B">
            <w:pPr>
              <w:rPr>
                <w:rFonts w:cstheme="minorHAnsi"/>
                <w:color w:val="002060"/>
                <w:sz w:val="18"/>
                <w:lang w:val="sr-Cyrl-RS"/>
              </w:rPr>
            </w:pPr>
          </w:p>
        </w:tc>
        <w:tc>
          <w:tcPr>
            <w:tcW w:w="556" w:type="pct"/>
            <w:tcBorders>
              <w:top w:val="single" w:sz="2" w:space="0" w:color="FFFFFF" w:themeColor="background1"/>
              <w:bottom w:val="single" w:sz="2" w:space="0" w:color="FFFFFF" w:themeColor="background1"/>
              <w:right w:val="single" w:sz="2" w:space="0" w:color="FFFFFF" w:themeColor="background1"/>
            </w:tcBorders>
            <w:shd w:val="clear" w:color="auto" w:fill="E7E6E6" w:themeFill="background2"/>
          </w:tcPr>
          <w:p w14:paraId="4FAA45AD" w14:textId="77777777" w:rsidR="00D8744E" w:rsidRPr="0062711C" w:rsidRDefault="00D8744E" w:rsidP="005C539B">
            <w:pPr>
              <w:rPr>
                <w:rFonts w:cstheme="minorHAnsi"/>
                <w:color w:val="002060"/>
                <w:sz w:val="18"/>
                <w:lang w:val="sr-Cyrl-RS"/>
              </w:rPr>
            </w:pPr>
          </w:p>
        </w:tc>
      </w:tr>
      <w:tr w:rsidR="00D8744E" w:rsidRPr="0062711C" w14:paraId="441F86D8" w14:textId="77777777" w:rsidTr="005C539B">
        <w:trPr>
          <w:trHeight w:val="190"/>
        </w:trPr>
        <w:tc>
          <w:tcPr>
            <w:tcW w:w="2220" w:type="pct"/>
            <w:tcBorders>
              <w:top w:val="single" w:sz="2" w:space="0" w:color="FFFFFF" w:themeColor="background1"/>
            </w:tcBorders>
          </w:tcPr>
          <w:p w14:paraId="76B26790" w14:textId="77777777" w:rsidR="00D8744E" w:rsidRPr="0062711C" w:rsidRDefault="00D8744E" w:rsidP="005C539B">
            <w:pPr>
              <w:ind w:left="255"/>
              <w:rPr>
                <w:rFonts w:cstheme="minorHAnsi"/>
                <w:color w:val="002060"/>
                <w:sz w:val="18"/>
                <w:lang w:val="sr-Cyrl-RS"/>
              </w:rPr>
            </w:pPr>
            <w:r w:rsidRPr="0062711C">
              <w:rPr>
                <w:rFonts w:cstheme="minorHAnsi"/>
                <w:color w:val="002060"/>
                <w:sz w:val="18"/>
                <w:lang w:val="sr-Cyrl-RS"/>
              </w:rPr>
              <w:t>Свет укупно</w:t>
            </w:r>
          </w:p>
        </w:tc>
        <w:tc>
          <w:tcPr>
            <w:tcW w:w="556" w:type="pct"/>
            <w:tcBorders>
              <w:top w:val="single" w:sz="2" w:space="0" w:color="FFFFFF" w:themeColor="background1"/>
            </w:tcBorders>
            <w:vAlign w:val="center"/>
          </w:tcPr>
          <w:p w14:paraId="353BF7CC"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3,2</w:t>
            </w:r>
          </w:p>
        </w:tc>
        <w:tc>
          <w:tcPr>
            <w:tcW w:w="556" w:type="pct"/>
            <w:tcBorders>
              <w:top w:val="single" w:sz="2" w:space="0" w:color="FFFFFF" w:themeColor="background1"/>
            </w:tcBorders>
            <w:vAlign w:val="center"/>
          </w:tcPr>
          <w:p w14:paraId="589E29F2"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3,2</w:t>
            </w:r>
          </w:p>
        </w:tc>
        <w:tc>
          <w:tcPr>
            <w:tcW w:w="556" w:type="pct"/>
            <w:tcBorders>
              <w:top w:val="single" w:sz="2" w:space="0" w:color="FFFFFF" w:themeColor="background1"/>
            </w:tcBorders>
            <w:vAlign w:val="center"/>
          </w:tcPr>
          <w:p w14:paraId="46BC04C7"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3,2</w:t>
            </w:r>
          </w:p>
        </w:tc>
        <w:tc>
          <w:tcPr>
            <w:tcW w:w="556" w:type="pct"/>
            <w:tcBorders>
              <w:top w:val="single" w:sz="2" w:space="0" w:color="FFFFFF" w:themeColor="background1"/>
            </w:tcBorders>
            <w:vAlign w:val="center"/>
          </w:tcPr>
          <w:p w14:paraId="3610144B"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3,2</w:t>
            </w:r>
          </w:p>
        </w:tc>
        <w:tc>
          <w:tcPr>
            <w:tcW w:w="556" w:type="pct"/>
            <w:tcBorders>
              <w:top w:val="single" w:sz="2" w:space="0" w:color="FFFFFF" w:themeColor="background1"/>
            </w:tcBorders>
            <w:vAlign w:val="center"/>
          </w:tcPr>
          <w:p w14:paraId="21E75E76"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3,1</w:t>
            </w:r>
          </w:p>
        </w:tc>
      </w:tr>
      <w:tr w:rsidR="00D8744E" w:rsidRPr="0062711C" w14:paraId="1260023E" w14:textId="77777777" w:rsidTr="005C539B">
        <w:trPr>
          <w:trHeight w:val="180"/>
        </w:trPr>
        <w:tc>
          <w:tcPr>
            <w:tcW w:w="2220" w:type="pct"/>
          </w:tcPr>
          <w:p w14:paraId="0884EC3B" w14:textId="77777777" w:rsidR="00D8744E" w:rsidRPr="0062711C" w:rsidRDefault="00D8744E" w:rsidP="005C539B">
            <w:pPr>
              <w:ind w:left="255"/>
              <w:rPr>
                <w:rFonts w:cstheme="minorHAnsi"/>
                <w:color w:val="002060"/>
                <w:sz w:val="18"/>
                <w:lang w:val="sr-Cyrl-RS"/>
              </w:rPr>
            </w:pPr>
            <w:r w:rsidRPr="0062711C">
              <w:rPr>
                <w:rFonts w:cstheme="minorHAnsi"/>
                <w:color w:val="002060"/>
                <w:sz w:val="18"/>
                <w:lang w:val="sr-Cyrl-RS"/>
              </w:rPr>
              <w:t>Развијене економије</w:t>
            </w:r>
          </w:p>
        </w:tc>
        <w:tc>
          <w:tcPr>
            <w:tcW w:w="556" w:type="pct"/>
            <w:vAlign w:val="center"/>
          </w:tcPr>
          <w:p w14:paraId="6E674C27"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1,6</w:t>
            </w:r>
          </w:p>
        </w:tc>
        <w:tc>
          <w:tcPr>
            <w:tcW w:w="556" w:type="pct"/>
            <w:vAlign w:val="center"/>
          </w:tcPr>
          <w:p w14:paraId="0BE16144"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1,7</w:t>
            </w:r>
          </w:p>
        </w:tc>
        <w:tc>
          <w:tcPr>
            <w:tcW w:w="556" w:type="pct"/>
            <w:vAlign w:val="center"/>
          </w:tcPr>
          <w:p w14:paraId="605D3329"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1,8</w:t>
            </w:r>
          </w:p>
        </w:tc>
        <w:tc>
          <w:tcPr>
            <w:tcW w:w="556" w:type="pct"/>
            <w:vAlign w:val="center"/>
          </w:tcPr>
          <w:p w14:paraId="72809458"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1,8</w:t>
            </w:r>
          </w:p>
        </w:tc>
        <w:tc>
          <w:tcPr>
            <w:tcW w:w="556" w:type="pct"/>
            <w:vAlign w:val="center"/>
          </w:tcPr>
          <w:p w14:paraId="49C7D5C0"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1,7</w:t>
            </w:r>
          </w:p>
        </w:tc>
      </w:tr>
      <w:tr w:rsidR="00D8744E" w:rsidRPr="0062711C" w14:paraId="090EBD63" w14:textId="77777777" w:rsidTr="005C539B">
        <w:trPr>
          <w:trHeight w:val="190"/>
        </w:trPr>
        <w:tc>
          <w:tcPr>
            <w:tcW w:w="2220" w:type="pct"/>
          </w:tcPr>
          <w:p w14:paraId="0842AFB0" w14:textId="77777777" w:rsidR="00D8744E" w:rsidRPr="0062711C" w:rsidRDefault="00D8744E" w:rsidP="005C539B">
            <w:pPr>
              <w:ind w:left="615" w:hanging="180"/>
              <w:rPr>
                <w:rFonts w:cstheme="minorHAnsi"/>
                <w:color w:val="002060"/>
                <w:sz w:val="18"/>
                <w:lang w:val="sr-Cyrl-RS"/>
              </w:rPr>
            </w:pPr>
            <w:r w:rsidRPr="0062711C">
              <w:rPr>
                <w:rFonts w:cstheme="minorHAnsi"/>
                <w:color w:val="002060"/>
                <w:sz w:val="18"/>
                <w:lang w:val="sr-Cyrl-RS"/>
              </w:rPr>
              <w:t>САД</w:t>
            </w:r>
          </w:p>
        </w:tc>
        <w:tc>
          <w:tcPr>
            <w:tcW w:w="556" w:type="pct"/>
            <w:vAlign w:val="center"/>
          </w:tcPr>
          <w:p w14:paraId="015A9808"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2,5</w:t>
            </w:r>
          </w:p>
        </w:tc>
        <w:tc>
          <w:tcPr>
            <w:tcW w:w="556" w:type="pct"/>
            <w:vAlign w:val="center"/>
          </w:tcPr>
          <w:p w14:paraId="0B871B04"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2,7</w:t>
            </w:r>
          </w:p>
        </w:tc>
        <w:tc>
          <w:tcPr>
            <w:tcW w:w="556" w:type="pct"/>
            <w:vAlign w:val="center"/>
          </w:tcPr>
          <w:p w14:paraId="59240D18"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1,9</w:t>
            </w:r>
          </w:p>
        </w:tc>
        <w:tc>
          <w:tcPr>
            <w:tcW w:w="556" w:type="pct"/>
            <w:vAlign w:val="center"/>
          </w:tcPr>
          <w:p w14:paraId="5717303D"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2,0</w:t>
            </w:r>
          </w:p>
        </w:tc>
        <w:tc>
          <w:tcPr>
            <w:tcW w:w="556" w:type="pct"/>
            <w:vAlign w:val="center"/>
          </w:tcPr>
          <w:p w14:paraId="2FA28681"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2,1</w:t>
            </w:r>
          </w:p>
        </w:tc>
      </w:tr>
      <w:tr w:rsidR="00D8744E" w:rsidRPr="0062711C" w14:paraId="4CAB7A50" w14:textId="77777777" w:rsidTr="005C539B">
        <w:trPr>
          <w:trHeight w:val="180"/>
        </w:trPr>
        <w:tc>
          <w:tcPr>
            <w:tcW w:w="2220" w:type="pct"/>
          </w:tcPr>
          <w:p w14:paraId="15842D20" w14:textId="77777777" w:rsidR="00D8744E" w:rsidRPr="0062711C" w:rsidRDefault="00D8744E" w:rsidP="005C539B">
            <w:pPr>
              <w:ind w:left="615" w:hanging="180"/>
              <w:rPr>
                <w:rFonts w:cstheme="minorHAnsi"/>
                <w:color w:val="002060"/>
                <w:sz w:val="18"/>
                <w:lang w:val="sr-Cyrl-RS"/>
              </w:rPr>
            </w:pPr>
            <w:r w:rsidRPr="0062711C">
              <w:rPr>
                <w:rFonts w:cstheme="minorHAnsi"/>
                <w:color w:val="002060"/>
                <w:sz w:val="18"/>
                <w:lang w:val="sr-Cyrl-RS"/>
              </w:rPr>
              <w:t>Еврозона</w:t>
            </w:r>
          </w:p>
        </w:tc>
        <w:tc>
          <w:tcPr>
            <w:tcW w:w="556" w:type="pct"/>
            <w:vAlign w:val="center"/>
          </w:tcPr>
          <w:p w14:paraId="0AC3D3E9"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0,4</w:t>
            </w:r>
          </w:p>
        </w:tc>
        <w:tc>
          <w:tcPr>
            <w:tcW w:w="556" w:type="pct"/>
            <w:vAlign w:val="center"/>
          </w:tcPr>
          <w:p w14:paraId="15A5365D"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0,8</w:t>
            </w:r>
          </w:p>
        </w:tc>
        <w:tc>
          <w:tcPr>
            <w:tcW w:w="556" w:type="pct"/>
            <w:vAlign w:val="center"/>
          </w:tcPr>
          <w:p w14:paraId="7E234168"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1,5</w:t>
            </w:r>
          </w:p>
        </w:tc>
        <w:tc>
          <w:tcPr>
            <w:tcW w:w="556" w:type="pct"/>
            <w:vAlign w:val="center"/>
          </w:tcPr>
          <w:p w14:paraId="299138C1"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1,4</w:t>
            </w:r>
          </w:p>
        </w:tc>
        <w:tc>
          <w:tcPr>
            <w:tcW w:w="556" w:type="pct"/>
            <w:vAlign w:val="center"/>
          </w:tcPr>
          <w:p w14:paraId="433B1543"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1,3</w:t>
            </w:r>
          </w:p>
        </w:tc>
      </w:tr>
      <w:tr w:rsidR="00D8744E" w:rsidRPr="0062711C" w14:paraId="0686AA9C" w14:textId="77777777" w:rsidTr="005C539B">
        <w:trPr>
          <w:trHeight w:val="190"/>
        </w:trPr>
        <w:tc>
          <w:tcPr>
            <w:tcW w:w="2220" w:type="pct"/>
          </w:tcPr>
          <w:p w14:paraId="69803A22" w14:textId="77777777" w:rsidR="00D8744E" w:rsidRPr="0062711C" w:rsidRDefault="00D8744E" w:rsidP="005C539B">
            <w:pPr>
              <w:ind w:left="345" w:hanging="90"/>
              <w:rPr>
                <w:rFonts w:cstheme="minorHAnsi"/>
                <w:color w:val="002060"/>
                <w:sz w:val="18"/>
                <w:lang w:val="sr-Cyrl-RS"/>
              </w:rPr>
            </w:pPr>
            <w:r w:rsidRPr="0062711C">
              <w:rPr>
                <w:rFonts w:cstheme="minorHAnsi"/>
                <w:color w:val="002060"/>
                <w:sz w:val="18"/>
                <w:lang w:val="sr-Cyrl-RS"/>
              </w:rPr>
              <w:t>Земље у успону</w:t>
            </w:r>
          </w:p>
        </w:tc>
        <w:tc>
          <w:tcPr>
            <w:tcW w:w="556" w:type="pct"/>
            <w:vAlign w:val="center"/>
          </w:tcPr>
          <w:p w14:paraId="774319D8"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4,3</w:t>
            </w:r>
          </w:p>
        </w:tc>
        <w:tc>
          <w:tcPr>
            <w:tcW w:w="556" w:type="pct"/>
            <w:vAlign w:val="center"/>
          </w:tcPr>
          <w:p w14:paraId="64435818"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4,2</w:t>
            </w:r>
          </w:p>
        </w:tc>
        <w:tc>
          <w:tcPr>
            <w:tcW w:w="556" w:type="pct"/>
            <w:vAlign w:val="center"/>
          </w:tcPr>
          <w:p w14:paraId="06978ED4"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4,2</w:t>
            </w:r>
          </w:p>
        </w:tc>
        <w:tc>
          <w:tcPr>
            <w:tcW w:w="556" w:type="pct"/>
            <w:vAlign w:val="center"/>
          </w:tcPr>
          <w:p w14:paraId="7F4F0306"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4,1</w:t>
            </w:r>
          </w:p>
        </w:tc>
        <w:tc>
          <w:tcPr>
            <w:tcW w:w="556" w:type="pct"/>
            <w:vAlign w:val="center"/>
          </w:tcPr>
          <w:p w14:paraId="1533FD3C"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4,0</w:t>
            </w:r>
          </w:p>
        </w:tc>
      </w:tr>
      <w:tr w:rsidR="00D8744E" w:rsidRPr="0062711C" w14:paraId="379087C1" w14:textId="77777777" w:rsidTr="005C539B">
        <w:trPr>
          <w:trHeight w:val="180"/>
        </w:trPr>
        <w:tc>
          <w:tcPr>
            <w:tcW w:w="2220" w:type="pct"/>
          </w:tcPr>
          <w:p w14:paraId="774BE4E8" w14:textId="77777777" w:rsidR="00D8744E" w:rsidRPr="0062711C" w:rsidRDefault="00D8744E" w:rsidP="005C539B">
            <w:pPr>
              <w:ind w:left="615" w:hanging="180"/>
              <w:rPr>
                <w:rFonts w:cstheme="minorHAnsi"/>
                <w:color w:val="002060"/>
                <w:sz w:val="18"/>
                <w:lang w:val="sr-Cyrl-RS"/>
              </w:rPr>
            </w:pPr>
            <w:r w:rsidRPr="0062711C">
              <w:rPr>
                <w:rFonts w:cstheme="minorHAnsi"/>
                <w:color w:val="002060"/>
                <w:sz w:val="18"/>
                <w:lang w:val="sr-Cyrl-RS"/>
              </w:rPr>
              <w:t>Кина</w:t>
            </w:r>
          </w:p>
        </w:tc>
        <w:tc>
          <w:tcPr>
            <w:tcW w:w="556" w:type="pct"/>
            <w:vAlign w:val="center"/>
          </w:tcPr>
          <w:p w14:paraId="35998800"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5,2</w:t>
            </w:r>
          </w:p>
        </w:tc>
        <w:tc>
          <w:tcPr>
            <w:tcW w:w="556" w:type="pct"/>
            <w:vAlign w:val="center"/>
          </w:tcPr>
          <w:p w14:paraId="5E033B3E"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4,6</w:t>
            </w:r>
          </w:p>
        </w:tc>
        <w:tc>
          <w:tcPr>
            <w:tcW w:w="556" w:type="pct"/>
            <w:vAlign w:val="center"/>
          </w:tcPr>
          <w:p w14:paraId="3D04B229"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4,1</w:t>
            </w:r>
          </w:p>
        </w:tc>
        <w:tc>
          <w:tcPr>
            <w:tcW w:w="556" w:type="pct"/>
            <w:vAlign w:val="center"/>
          </w:tcPr>
          <w:p w14:paraId="7833934D"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3,8</w:t>
            </w:r>
          </w:p>
        </w:tc>
        <w:tc>
          <w:tcPr>
            <w:tcW w:w="556" w:type="pct"/>
            <w:vAlign w:val="center"/>
          </w:tcPr>
          <w:p w14:paraId="6DA6EAF4"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3,6</w:t>
            </w:r>
          </w:p>
        </w:tc>
      </w:tr>
      <w:tr w:rsidR="00D8744E" w:rsidRPr="0062711C" w14:paraId="2021A8A9" w14:textId="77777777" w:rsidTr="005C539B">
        <w:trPr>
          <w:trHeight w:val="190"/>
        </w:trPr>
        <w:tc>
          <w:tcPr>
            <w:tcW w:w="2220" w:type="pct"/>
          </w:tcPr>
          <w:p w14:paraId="3EB4CD5B" w14:textId="77777777" w:rsidR="00D8744E" w:rsidRPr="0062711C" w:rsidRDefault="00D8744E" w:rsidP="005C539B">
            <w:pPr>
              <w:ind w:left="615" w:hanging="180"/>
              <w:rPr>
                <w:rFonts w:cstheme="minorHAnsi"/>
                <w:color w:val="002060"/>
                <w:sz w:val="18"/>
                <w:lang w:val="sr-Cyrl-RS"/>
              </w:rPr>
            </w:pPr>
            <w:r w:rsidRPr="0062711C">
              <w:rPr>
                <w:rFonts w:cstheme="minorHAnsi"/>
                <w:color w:val="002060"/>
                <w:sz w:val="18"/>
                <w:lang w:val="sr-Cyrl-RS"/>
              </w:rPr>
              <w:t xml:space="preserve">Русија </w:t>
            </w:r>
          </w:p>
        </w:tc>
        <w:tc>
          <w:tcPr>
            <w:tcW w:w="556" w:type="pct"/>
            <w:vAlign w:val="center"/>
          </w:tcPr>
          <w:p w14:paraId="3936F885"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3,6</w:t>
            </w:r>
          </w:p>
        </w:tc>
        <w:tc>
          <w:tcPr>
            <w:tcW w:w="556" w:type="pct"/>
            <w:vAlign w:val="center"/>
          </w:tcPr>
          <w:p w14:paraId="0CE8E5B4"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3,2</w:t>
            </w:r>
          </w:p>
        </w:tc>
        <w:tc>
          <w:tcPr>
            <w:tcW w:w="556" w:type="pct"/>
            <w:vAlign w:val="center"/>
          </w:tcPr>
          <w:p w14:paraId="5DC0E6A2"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1,8</w:t>
            </w:r>
          </w:p>
        </w:tc>
        <w:tc>
          <w:tcPr>
            <w:tcW w:w="556" w:type="pct"/>
            <w:vAlign w:val="center"/>
          </w:tcPr>
          <w:p w14:paraId="4C5CB030"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1,3</w:t>
            </w:r>
          </w:p>
        </w:tc>
        <w:tc>
          <w:tcPr>
            <w:tcW w:w="556" w:type="pct"/>
            <w:vAlign w:val="center"/>
          </w:tcPr>
          <w:p w14:paraId="1AE00B64"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1,3</w:t>
            </w:r>
          </w:p>
        </w:tc>
      </w:tr>
      <w:tr w:rsidR="00D8744E" w:rsidRPr="0062711C" w14:paraId="29E61C81" w14:textId="77777777" w:rsidTr="005C539B">
        <w:trPr>
          <w:trHeight w:val="180"/>
        </w:trPr>
        <w:tc>
          <w:tcPr>
            <w:tcW w:w="2220" w:type="pct"/>
          </w:tcPr>
          <w:p w14:paraId="4650311D" w14:textId="77777777" w:rsidR="00D8744E" w:rsidRPr="0062711C" w:rsidRDefault="00D8744E" w:rsidP="005C539B">
            <w:pPr>
              <w:ind w:left="345" w:hanging="90"/>
              <w:rPr>
                <w:rFonts w:cstheme="minorHAnsi"/>
                <w:color w:val="002060"/>
                <w:sz w:val="18"/>
                <w:lang w:val="sr-Cyrl-RS"/>
              </w:rPr>
            </w:pPr>
            <w:r w:rsidRPr="0062711C">
              <w:rPr>
                <w:rFonts w:cstheme="minorHAnsi"/>
                <w:color w:val="002060"/>
                <w:sz w:val="18"/>
                <w:lang w:val="sr-Cyrl-RS"/>
              </w:rPr>
              <w:t>Раст светске трговине, %</w:t>
            </w:r>
          </w:p>
        </w:tc>
        <w:tc>
          <w:tcPr>
            <w:tcW w:w="556" w:type="pct"/>
            <w:vAlign w:val="center"/>
          </w:tcPr>
          <w:p w14:paraId="0D78F796"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0,3</w:t>
            </w:r>
          </w:p>
        </w:tc>
        <w:tc>
          <w:tcPr>
            <w:tcW w:w="556" w:type="pct"/>
            <w:vAlign w:val="center"/>
          </w:tcPr>
          <w:p w14:paraId="74BEE4FE"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3,0</w:t>
            </w:r>
          </w:p>
        </w:tc>
        <w:tc>
          <w:tcPr>
            <w:tcW w:w="556" w:type="pct"/>
            <w:vAlign w:val="center"/>
          </w:tcPr>
          <w:p w14:paraId="5A63EA9E"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3,3</w:t>
            </w:r>
          </w:p>
        </w:tc>
        <w:tc>
          <w:tcPr>
            <w:tcW w:w="556" w:type="pct"/>
            <w:vAlign w:val="center"/>
          </w:tcPr>
          <w:p w14:paraId="462CA376"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3,5</w:t>
            </w:r>
          </w:p>
        </w:tc>
        <w:tc>
          <w:tcPr>
            <w:tcW w:w="556" w:type="pct"/>
            <w:vAlign w:val="center"/>
          </w:tcPr>
          <w:p w14:paraId="3987CD92"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3,4</w:t>
            </w:r>
          </w:p>
        </w:tc>
      </w:tr>
      <w:tr w:rsidR="00D8744E" w:rsidRPr="0062711C" w14:paraId="58DAF539" w14:textId="77777777" w:rsidTr="005C539B">
        <w:trPr>
          <w:trHeight w:val="190"/>
        </w:trPr>
        <w:tc>
          <w:tcPr>
            <w:tcW w:w="2220" w:type="pct"/>
            <w:shd w:val="clear" w:color="auto" w:fill="E7E6E6" w:themeFill="background2"/>
          </w:tcPr>
          <w:p w14:paraId="7BE038C2"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Стопа незапослености, %</w:t>
            </w:r>
          </w:p>
        </w:tc>
        <w:tc>
          <w:tcPr>
            <w:tcW w:w="556" w:type="pct"/>
            <w:shd w:val="clear" w:color="auto" w:fill="E7E6E6" w:themeFill="background2"/>
          </w:tcPr>
          <w:p w14:paraId="63EE57A5"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49A547CE"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64C09522"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4B261763"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0F5C093C" w14:textId="77777777" w:rsidR="00D8744E" w:rsidRPr="0062711C" w:rsidRDefault="00D8744E" w:rsidP="005C539B">
            <w:pPr>
              <w:rPr>
                <w:rFonts w:cstheme="minorHAnsi"/>
                <w:color w:val="002060"/>
                <w:sz w:val="18"/>
                <w:szCs w:val="18"/>
                <w:lang w:val="sr-Cyrl-RS"/>
              </w:rPr>
            </w:pPr>
          </w:p>
        </w:tc>
      </w:tr>
      <w:tr w:rsidR="00D8744E" w:rsidRPr="0062711C" w14:paraId="740A8639" w14:textId="77777777" w:rsidTr="005C539B">
        <w:trPr>
          <w:trHeight w:val="190"/>
        </w:trPr>
        <w:tc>
          <w:tcPr>
            <w:tcW w:w="2220" w:type="pct"/>
          </w:tcPr>
          <w:p w14:paraId="62FE6EE9" w14:textId="77777777" w:rsidR="00D8744E" w:rsidRPr="0062711C" w:rsidRDefault="00D8744E" w:rsidP="005C539B">
            <w:pPr>
              <w:ind w:left="440" w:hanging="180"/>
              <w:rPr>
                <w:rFonts w:cstheme="minorHAnsi"/>
                <w:color w:val="002060"/>
                <w:sz w:val="18"/>
                <w:lang w:val="sr-Cyrl-RS"/>
              </w:rPr>
            </w:pPr>
            <w:r w:rsidRPr="0062711C">
              <w:rPr>
                <w:rFonts w:cstheme="minorHAnsi"/>
                <w:color w:val="002060"/>
                <w:sz w:val="18"/>
                <w:lang w:val="sr-Cyrl-RS"/>
              </w:rPr>
              <w:t>Еврозона</w:t>
            </w:r>
          </w:p>
        </w:tc>
        <w:tc>
          <w:tcPr>
            <w:tcW w:w="556" w:type="pct"/>
            <w:vAlign w:val="center"/>
          </w:tcPr>
          <w:p w14:paraId="55F1CD5D"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6,5</w:t>
            </w:r>
          </w:p>
        </w:tc>
        <w:tc>
          <w:tcPr>
            <w:tcW w:w="556" w:type="pct"/>
            <w:vAlign w:val="center"/>
          </w:tcPr>
          <w:p w14:paraId="38605821"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6,6</w:t>
            </w:r>
          </w:p>
        </w:tc>
        <w:tc>
          <w:tcPr>
            <w:tcW w:w="556" w:type="pct"/>
            <w:vAlign w:val="center"/>
          </w:tcPr>
          <w:p w14:paraId="6321C0AE"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6,4</w:t>
            </w:r>
          </w:p>
        </w:tc>
        <w:tc>
          <w:tcPr>
            <w:tcW w:w="556" w:type="pct"/>
            <w:vAlign w:val="center"/>
          </w:tcPr>
          <w:p w14:paraId="20E9B31F"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6,4</w:t>
            </w:r>
          </w:p>
        </w:tc>
        <w:tc>
          <w:tcPr>
            <w:tcW w:w="556" w:type="pct"/>
            <w:vAlign w:val="center"/>
          </w:tcPr>
          <w:p w14:paraId="408972EB"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6,4</w:t>
            </w:r>
          </w:p>
        </w:tc>
      </w:tr>
      <w:tr w:rsidR="00D8744E" w:rsidRPr="0062711C" w14:paraId="3E388170" w14:textId="77777777" w:rsidTr="005C539B">
        <w:trPr>
          <w:trHeight w:val="180"/>
        </w:trPr>
        <w:tc>
          <w:tcPr>
            <w:tcW w:w="2220" w:type="pct"/>
          </w:tcPr>
          <w:p w14:paraId="52CC2547" w14:textId="77777777" w:rsidR="00D8744E" w:rsidRPr="0062711C" w:rsidRDefault="00D8744E" w:rsidP="005C539B">
            <w:pPr>
              <w:ind w:left="440" w:hanging="180"/>
              <w:rPr>
                <w:rFonts w:cstheme="minorHAnsi"/>
                <w:color w:val="002060"/>
                <w:sz w:val="18"/>
                <w:lang w:val="sr-Cyrl-RS"/>
              </w:rPr>
            </w:pPr>
            <w:r w:rsidRPr="0062711C">
              <w:rPr>
                <w:rFonts w:cstheme="minorHAnsi"/>
                <w:color w:val="002060"/>
                <w:sz w:val="18"/>
                <w:lang w:val="sr-Cyrl-RS"/>
              </w:rPr>
              <w:t>САД</w:t>
            </w:r>
          </w:p>
        </w:tc>
        <w:tc>
          <w:tcPr>
            <w:tcW w:w="556" w:type="pct"/>
            <w:vAlign w:val="center"/>
          </w:tcPr>
          <w:p w14:paraId="7CBEF645"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3,6</w:t>
            </w:r>
          </w:p>
        </w:tc>
        <w:tc>
          <w:tcPr>
            <w:tcW w:w="556" w:type="pct"/>
            <w:vAlign w:val="center"/>
          </w:tcPr>
          <w:p w14:paraId="44FAC155"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4,0</w:t>
            </w:r>
          </w:p>
        </w:tc>
        <w:tc>
          <w:tcPr>
            <w:tcW w:w="556" w:type="pct"/>
            <w:vAlign w:val="center"/>
          </w:tcPr>
          <w:p w14:paraId="62D7B4EA"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4,2</w:t>
            </w:r>
          </w:p>
        </w:tc>
        <w:tc>
          <w:tcPr>
            <w:tcW w:w="556" w:type="pct"/>
            <w:vAlign w:val="center"/>
          </w:tcPr>
          <w:p w14:paraId="08446973"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4,3</w:t>
            </w:r>
          </w:p>
        </w:tc>
        <w:tc>
          <w:tcPr>
            <w:tcW w:w="556" w:type="pct"/>
            <w:vAlign w:val="center"/>
          </w:tcPr>
          <w:p w14:paraId="438E1E98"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4,2</w:t>
            </w:r>
          </w:p>
        </w:tc>
      </w:tr>
      <w:tr w:rsidR="00D8744E" w:rsidRPr="0062711C" w14:paraId="57293967" w14:textId="77777777" w:rsidTr="005C539B">
        <w:trPr>
          <w:trHeight w:val="190"/>
        </w:trPr>
        <w:tc>
          <w:tcPr>
            <w:tcW w:w="2220" w:type="pct"/>
            <w:shd w:val="clear" w:color="auto" w:fill="E7E6E6" w:themeFill="background2"/>
          </w:tcPr>
          <w:p w14:paraId="18CA85D3"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Потрошачке цене, просек периода, %</w:t>
            </w:r>
          </w:p>
        </w:tc>
        <w:tc>
          <w:tcPr>
            <w:tcW w:w="556" w:type="pct"/>
            <w:shd w:val="clear" w:color="auto" w:fill="E7E6E6" w:themeFill="background2"/>
          </w:tcPr>
          <w:p w14:paraId="2C7CA4DA"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44CD17B0"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0B128246"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601C67E8" w14:textId="77777777" w:rsidR="00D8744E" w:rsidRPr="0062711C" w:rsidRDefault="00D8744E" w:rsidP="005C539B">
            <w:pPr>
              <w:rPr>
                <w:rFonts w:cstheme="minorHAnsi"/>
                <w:color w:val="002060"/>
                <w:sz w:val="18"/>
                <w:szCs w:val="18"/>
                <w:lang w:val="sr-Cyrl-RS"/>
              </w:rPr>
            </w:pPr>
          </w:p>
        </w:tc>
        <w:tc>
          <w:tcPr>
            <w:tcW w:w="556" w:type="pct"/>
            <w:shd w:val="clear" w:color="auto" w:fill="E7E6E6" w:themeFill="background2"/>
          </w:tcPr>
          <w:p w14:paraId="3CCB1D20" w14:textId="77777777" w:rsidR="00D8744E" w:rsidRPr="0062711C" w:rsidRDefault="00D8744E" w:rsidP="005C539B">
            <w:pPr>
              <w:rPr>
                <w:rFonts w:cstheme="minorHAnsi"/>
                <w:color w:val="002060"/>
                <w:sz w:val="18"/>
                <w:szCs w:val="18"/>
                <w:lang w:val="sr-Cyrl-RS"/>
              </w:rPr>
            </w:pPr>
          </w:p>
        </w:tc>
      </w:tr>
      <w:tr w:rsidR="00D8744E" w:rsidRPr="0062711C" w14:paraId="3D5EBED5" w14:textId="77777777" w:rsidTr="005C539B">
        <w:trPr>
          <w:trHeight w:val="180"/>
        </w:trPr>
        <w:tc>
          <w:tcPr>
            <w:tcW w:w="2220" w:type="pct"/>
          </w:tcPr>
          <w:p w14:paraId="638C0A05" w14:textId="77777777" w:rsidR="00D8744E" w:rsidRPr="0062711C" w:rsidRDefault="00D8744E" w:rsidP="005C539B">
            <w:pPr>
              <w:ind w:left="350" w:hanging="90"/>
              <w:rPr>
                <w:rFonts w:cstheme="minorHAnsi"/>
                <w:color w:val="002060"/>
                <w:sz w:val="18"/>
                <w:lang w:val="sr-Cyrl-RS"/>
              </w:rPr>
            </w:pPr>
            <w:r w:rsidRPr="0062711C">
              <w:rPr>
                <w:rFonts w:cstheme="minorHAnsi"/>
                <w:color w:val="002060"/>
                <w:sz w:val="18"/>
                <w:lang w:val="sr-Cyrl-RS"/>
              </w:rPr>
              <w:t>Еврозона</w:t>
            </w:r>
          </w:p>
        </w:tc>
        <w:tc>
          <w:tcPr>
            <w:tcW w:w="556" w:type="pct"/>
            <w:vAlign w:val="center"/>
          </w:tcPr>
          <w:p w14:paraId="0E694759"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5,4</w:t>
            </w:r>
          </w:p>
        </w:tc>
        <w:tc>
          <w:tcPr>
            <w:tcW w:w="556" w:type="pct"/>
            <w:vAlign w:val="center"/>
          </w:tcPr>
          <w:p w14:paraId="77E2D986"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2,4</w:t>
            </w:r>
          </w:p>
        </w:tc>
        <w:tc>
          <w:tcPr>
            <w:tcW w:w="556" w:type="pct"/>
            <w:vAlign w:val="center"/>
          </w:tcPr>
          <w:p w14:paraId="54BFF2B9"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2,1</w:t>
            </w:r>
          </w:p>
        </w:tc>
        <w:tc>
          <w:tcPr>
            <w:tcW w:w="556" w:type="pct"/>
            <w:vAlign w:val="center"/>
          </w:tcPr>
          <w:p w14:paraId="62CF8596"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2,0</w:t>
            </w:r>
          </w:p>
        </w:tc>
        <w:tc>
          <w:tcPr>
            <w:tcW w:w="556" w:type="pct"/>
            <w:vAlign w:val="center"/>
          </w:tcPr>
          <w:p w14:paraId="4E44B84A"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1,9</w:t>
            </w:r>
          </w:p>
        </w:tc>
      </w:tr>
      <w:tr w:rsidR="00D8744E" w:rsidRPr="0062711C" w14:paraId="1F6ACF6D" w14:textId="77777777" w:rsidTr="005C539B">
        <w:trPr>
          <w:trHeight w:val="190"/>
        </w:trPr>
        <w:tc>
          <w:tcPr>
            <w:tcW w:w="2220" w:type="pct"/>
          </w:tcPr>
          <w:p w14:paraId="76CBC3F2" w14:textId="77777777" w:rsidR="00D8744E" w:rsidRPr="0062711C" w:rsidRDefault="00D8744E" w:rsidP="005C539B">
            <w:pPr>
              <w:ind w:left="350" w:hanging="90"/>
              <w:rPr>
                <w:rFonts w:cstheme="minorHAnsi"/>
                <w:color w:val="002060"/>
                <w:sz w:val="18"/>
                <w:lang w:val="sr-Cyrl-RS"/>
              </w:rPr>
            </w:pPr>
            <w:r w:rsidRPr="0062711C">
              <w:rPr>
                <w:rFonts w:cstheme="minorHAnsi"/>
                <w:color w:val="002060"/>
                <w:sz w:val="18"/>
                <w:lang w:val="sr-Cyrl-RS"/>
              </w:rPr>
              <w:t>Развијене економије</w:t>
            </w:r>
          </w:p>
        </w:tc>
        <w:tc>
          <w:tcPr>
            <w:tcW w:w="556" w:type="pct"/>
            <w:vAlign w:val="center"/>
          </w:tcPr>
          <w:p w14:paraId="02292190"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4,6</w:t>
            </w:r>
          </w:p>
        </w:tc>
        <w:tc>
          <w:tcPr>
            <w:tcW w:w="556" w:type="pct"/>
            <w:vAlign w:val="center"/>
          </w:tcPr>
          <w:p w14:paraId="7EF95485"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2,6</w:t>
            </w:r>
          </w:p>
        </w:tc>
        <w:tc>
          <w:tcPr>
            <w:tcW w:w="556" w:type="pct"/>
            <w:vAlign w:val="center"/>
          </w:tcPr>
          <w:p w14:paraId="3E2C6FE6"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2,0</w:t>
            </w:r>
          </w:p>
        </w:tc>
        <w:tc>
          <w:tcPr>
            <w:tcW w:w="556" w:type="pct"/>
            <w:vAlign w:val="center"/>
          </w:tcPr>
          <w:p w14:paraId="49CDA598"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2,0</w:t>
            </w:r>
          </w:p>
        </w:tc>
        <w:tc>
          <w:tcPr>
            <w:tcW w:w="556" w:type="pct"/>
            <w:vAlign w:val="center"/>
          </w:tcPr>
          <w:p w14:paraId="7156864B"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2,0</w:t>
            </w:r>
          </w:p>
        </w:tc>
      </w:tr>
      <w:tr w:rsidR="00D8744E" w:rsidRPr="0062711C" w14:paraId="630C19C0" w14:textId="77777777" w:rsidTr="005C539B">
        <w:trPr>
          <w:trHeight w:val="70"/>
        </w:trPr>
        <w:tc>
          <w:tcPr>
            <w:tcW w:w="2220" w:type="pct"/>
          </w:tcPr>
          <w:p w14:paraId="5FA45CE4" w14:textId="77777777" w:rsidR="00D8744E" w:rsidRPr="0062711C" w:rsidRDefault="00D8744E" w:rsidP="005C539B">
            <w:pPr>
              <w:ind w:left="350" w:hanging="90"/>
              <w:rPr>
                <w:rFonts w:cstheme="minorHAnsi"/>
                <w:color w:val="002060"/>
                <w:sz w:val="18"/>
                <w:lang w:val="sr-Cyrl-RS"/>
              </w:rPr>
            </w:pPr>
            <w:r w:rsidRPr="0062711C">
              <w:rPr>
                <w:rFonts w:cstheme="minorHAnsi"/>
                <w:color w:val="002060"/>
                <w:sz w:val="18"/>
                <w:lang w:val="sr-Cyrl-RS"/>
              </w:rPr>
              <w:t>Земље у успону</w:t>
            </w:r>
          </w:p>
        </w:tc>
        <w:tc>
          <w:tcPr>
            <w:tcW w:w="556" w:type="pct"/>
            <w:vAlign w:val="center"/>
          </w:tcPr>
          <w:p w14:paraId="3F8C7DEE"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8,3</w:t>
            </w:r>
          </w:p>
        </w:tc>
        <w:tc>
          <w:tcPr>
            <w:tcW w:w="556" w:type="pct"/>
            <w:vAlign w:val="center"/>
          </w:tcPr>
          <w:p w14:paraId="0BC7EAE8"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8,3</w:t>
            </w:r>
          </w:p>
        </w:tc>
        <w:tc>
          <w:tcPr>
            <w:tcW w:w="556" w:type="pct"/>
            <w:vAlign w:val="center"/>
          </w:tcPr>
          <w:p w14:paraId="0F8B78C9" w14:textId="77777777" w:rsidR="00D8744E" w:rsidRPr="0062711C" w:rsidRDefault="00D8744E" w:rsidP="005C539B">
            <w:pPr>
              <w:jc w:val="center"/>
              <w:rPr>
                <w:rFonts w:cstheme="minorHAnsi"/>
                <w:color w:val="002060"/>
                <w:sz w:val="18"/>
                <w:szCs w:val="18"/>
                <w:lang w:val="sr-Cyrl-RS"/>
              </w:rPr>
            </w:pPr>
            <w:r w:rsidRPr="0062711C">
              <w:rPr>
                <w:rFonts w:eastAsia="Times New Roman" w:cstheme="minorHAnsi"/>
                <w:color w:val="002060"/>
                <w:sz w:val="18"/>
                <w:szCs w:val="18"/>
                <w:lang w:val="sr-Cyrl-RS" w:eastAsia="en-GB"/>
              </w:rPr>
              <w:t>6,2</w:t>
            </w:r>
          </w:p>
        </w:tc>
        <w:tc>
          <w:tcPr>
            <w:tcW w:w="556" w:type="pct"/>
            <w:vAlign w:val="center"/>
          </w:tcPr>
          <w:p w14:paraId="74A57AD4"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4,9</w:t>
            </w:r>
          </w:p>
        </w:tc>
        <w:tc>
          <w:tcPr>
            <w:tcW w:w="556" w:type="pct"/>
            <w:vAlign w:val="center"/>
          </w:tcPr>
          <w:p w14:paraId="0B65FF9E"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4,4</w:t>
            </w:r>
          </w:p>
        </w:tc>
      </w:tr>
      <w:tr w:rsidR="00D8744E" w:rsidRPr="0062711C" w14:paraId="1CFFDC68" w14:textId="77777777" w:rsidTr="005C539B">
        <w:trPr>
          <w:trHeight w:val="20"/>
        </w:trPr>
        <w:tc>
          <w:tcPr>
            <w:tcW w:w="2220" w:type="pct"/>
          </w:tcPr>
          <w:p w14:paraId="6244D448" w14:textId="77777777" w:rsidR="00D8744E" w:rsidRPr="0062711C" w:rsidRDefault="00D8744E" w:rsidP="005C539B">
            <w:pPr>
              <w:rPr>
                <w:rFonts w:cstheme="minorHAnsi"/>
                <w:color w:val="002060"/>
                <w:sz w:val="18"/>
                <w:lang w:val="sr-Cyrl-RS"/>
              </w:rPr>
            </w:pPr>
          </w:p>
        </w:tc>
        <w:tc>
          <w:tcPr>
            <w:tcW w:w="556" w:type="pct"/>
            <w:vAlign w:val="center"/>
          </w:tcPr>
          <w:p w14:paraId="0590BFD4" w14:textId="77777777" w:rsidR="00D8744E" w:rsidRPr="0062711C" w:rsidRDefault="00D8744E" w:rsidP="005C539B">
            <w:pPr>
              <w:rPr>
                <w:rFonts w:cstheme="minorHAnsi"/>
                <w:color w:val="002060"/>
                <w:sz w:val="18"/>
                <w:szCs w:val="18"/>
                <w:lang w:val="sr-Cyrl-RS"/>
              </w:rPr>
            </w:pPr>
          </w:p>
        </w:tc>
        <w:tc>
          <w:tcPr>
            <w:tcW w:w="556" w:type="pct"/>
            <w:vAlign w:val="center"/>
          </w:tcPr>
          <w:p w14:paraId="1D1BCA2F" w14:textId="77777777" w:rsidR="00D8744E" w:rsidRPr="0062711C" w:rsidRDefault="00D8744E" w:rsidP="005C539B">
            <w:pPr>
              <w:rPr>
                <w:rFonts w:cstheme="minorHAnsi"/>
                <w:color w:val="002060"/>
                <w:sz w:val="18"/>
                <w:szCs w:val="18"/>
                <w:lang w:val="sr-Cyrl-RS"/>
              </w:rPr>
            </w:pPr>
          </w:p>
        </w:tc>
        <w:tc>
          <w:tcPr>
            <w:tcW w:w="556" w:type="pct"/>
            <w:vAlign w:val="center"/>
          </w:tcPr>
          <w:p w14:paraId="4E284052" w14:textId="77777777" w:rsidR="00D8744E" w:rsidRPr="0062711C" w:rsidRDefault="00D8744E" w:rsidP="005C539B">
            <w:pPr>
              <w:rPr>
                <w:rFonts w:cstheme="minorHAnsi"/>
                <w:color w:val="002060"/>
                <w:sz w:val="18"/>
                <w:szCs w:val="18"/>
                <w:lang w:val="sr-Cyrl-RS"/>
              </w:rPr>
            </w:pPr>
          </w:p>
        </w:tc>
        <w:tc>
          <w:tcPr>
            <w:tcW w:w="556" w:type="pct"/>
            <w:vAlign w:val="center"/>
          </w:tcPr>
          <w:p w14:paraId="79385C0F" w14:textId="77777777" w:rsidR="00D8744E" w:rsidRPr="0062711C" w:rsidRDefault="00D8744E" w:rsidP="005C539B">
            <w:pPr>
              <w:rPr>
                <w:rFonts w:cstheme="minorHAnsi"/>
                <w:color w:val="002060"/>
                <w:sz w:val="18"/>
                <w:szCs w:val="18"/>
                <w:lang w:val="sr-Cyrl-RS"/>
              </w:rPr>
            </w:pPr>
          </w:p>
        </w:tc>
        <w:tc>
          <w:tcPr>
            <w:tcW w:w="556" w:type="pct"/>
            <w:vAlign w:val="center"/>
          </w:tcPr>
          <w:p w14:paraId="0230963A" w14:textId="77777777" w:rsidR="00D8744E" w:rsidRPr="0062711C" w:rsidRDefault="00D8744E" w:rsidP="005C539B">
            <w:pPr>
              <w:rPr>
                <w:rFonts w:cstheme="minorHAnsi"/>
                <w:color w:val="002060"/>
                <w:sz w:val="18"/>
                <w:szCs w:val="18"/>
                <w:lang w:val="sr-Cyrl-RS"/>
              </w:rPr>
            </w:pPr>
          </w:p>
        </w:tc>
      </w:tr>
      <w:tr w:rsidR="00D8744E" w:rsidRPr="0062711C" w14:paraId="2EC01FC1" w14:textId="77777777" w:rsidTr="005C539B">
        <w:trPr>
          <w:trHeight w:val="70"/>
        </w:trPr>
        <w:tc>
          <w:tcPr>
            <w:tcW w:w="2220" w:type="pct"/>
          </w:tcPr>
          <w:p w14:paraId="1EB73124"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Девизни курс, евро/долар, крај периода</w:t>
            </w:r>
          </w:p>
        </w:tc>
        <w:tc>
          <w:tcPr>
            <w:tcW w:w="556" w:type="pct"/>
            <w:vAlign w:val="center"/>
          </w:tcPr>
          <w:p w14:paraId="74E4F4C3"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1,1</w:t>
            </w:r>
          </w:p>
        </w:tc>
        <w:tc>
          <w:tcPr>
            <w:tcW w:w="556" w:type="pct"/>
            <w:vAlign w:val="center"/>
          </w:tcPr>
          <w:p w14:paraId="0E8ED002"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1,1</w:t>
            </w:r>
          </w:p>
        </w:tc>
        <w:tc>
          <w:tcPr>
            <w:tcW w:w="556" w:type="pct"/>
            <w:vAlign w:val="center"/>
          </w:tcPr>
          <w:p w14:paraId="17CE9740"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1,1</w:t>
            </w:r>
          </w:p>
        </w:tc>
        <w:tc>
          <w:tcPr>
            <w:tcW w:w="556" w:type="pct"/>
            <w:vAlign w:val="center"/>
          </w:tcPr>
          <w:p w14:paraId="6B8D2067"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w:t>
            </w:r>
          </w:p>
        </w:tc>
        <w:tc>
          <w:tcPr>
            <w:tcW w:w="556" w:type="pct"/>
            <w:vAlign w:val="center"/>
          </w:tcPr>
          <w:p w14:paraId="20210B6D" w14:textId="77777777" w:rsidR="00D8744E" w:rsidRPr="0062711C" w:rsidRDefault="00D8744E" w:rsidP="005C539B">
            <w:pPr>
              <w:jc w:val="center"/>
              <w:rPr>
                <w:rFonts w:cstheme="minorHAnsi"/>
                <w:color w:val="002060"/>
                <w:sz w:val="18"/>
                <w:szCs w:val="18"/>
                <w:lang w:val="sr-Cyrl-RS"/>
              </w:rPr>
            </w:pPr>
            <w:r w:rsidRPr="0062711C">
              <w:rPr>
                <w:rFonts w:cstheme="minorHAnsi"/>
                <w:color w:val="002060"/>
                <w:sz w:val="18"/>
                <w:szCs w:val="18"/>
                <w:lang w:val="sr-Cyrl-RS"/>
              </w:rPr>
              <w:t>-</w:t>
            </w:r>
          </w:p>
        </w:tc>
      </w:tr>
      <w:tr w:rsidR="00D8744E" w:rsidRPr="0062711C" w14:paraId="2E0827AB" w14:textId="77777777" w:rsidTr="005C539B">
        <w:trPr>
          <w:trHeight w:val="135"/>
        </w:trPr>
        <w:tc>
          <w:tcPr>
            <w:tcW w:w="2220" w:type="pct"/>
          </w:tcPr>
          <w:p w14:paraId="1B8EE9B6"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Цене житарица, у доларима, годишње промене</w:t>
            </w:r>
            <w:r w:rsidRPr="0062711C">
              <w:rPr>
                <w:rFonts w:cstheme="minorHAnsi"/>
                <w:color w:val="002060"/>
                <w:sz w:val="18"/>
                <w:vertAlign w:val="superscript"/>
                <w:lang w:val="sr-Cyrl-RS"/>
              </w:rPr>
              <w:t>2</w:t>
            </w:r>
          </w:p>
        </w:tc>
        <w:tc>
          <w:tcPr>
            <w:tcW w:w="556" w:type="pct"/>
            <w:vAlign w:val="center"/>
          </w:tcPr>
          <w:p w14:paraId="54A8A03E"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-18,8</w:t>
            </w:r>
          </w:p>
        </w:tc>
        <w:tc>
          <w:tcPr>
            <w:tcW w:w="556" w:type="pct"/>
            <w:vAlign w:val="center"/>
          </w:tcPr>
          <w:p w14:paraId="64183C0B"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-15,3</w:t>
            </w:r>
          </w:p>
        </w:tc>
        <w:tc>
          <w:tcPr>
            <w:tcW w:w="556" w:type="pct"/>
            <w:vAlign w:val="center"/>
          </w:tcPr>
          <w:p w14:paraId="10C463D1"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2,0</w:t>
            </w:r>
          </w:p>
        </w:tc>
        <w:tc>
          <w:tcPr>
            <w:tcW w:w="556" w:type="pct"/>
            <w:vAlign w:val="center"/>
          </w:tcPr>
          <w:p w14:paraId="5935F907"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0,4</w:t>
            </w:r>
          </w:p>
        </w:tc>
        <w:tc>
          <w:tcPr>
            <w:tcW w:w="556" w:type="pct"/>
            <w:vAlign w:val="center"/>
          </w:tcPr>
          <w:p w14:paraId="069F72EA"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0,0</w:t>
            </w:r>
          </w:p>
        </w:tc>
      </w:tr>
      <w:tr w:rsidR="00D8744E" w:rsidRPr="0062711C" w14:paraId="15AE19C8" w14:textId="77777777" w:rsidTr="005C539B">
        <w:trPr>
          <w:trHeight w:val="167"/>
        </w:trPr>
        <w:tc>
          <w:tcPr>
            <w:tcW w:w="2220" w:type="pct"/>
          </w:tcPr>
          <w:p w14:paraId="09E6887E"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Цене метала, у доларима, годишње промене</w:t>
            </w:r>
            <w:r w:rsidRPr="0062711C">
              <w:rPr>
                <w:rFonts w:cstheme="minorHAnsi"/>
                <w:color w:val="002060"/>
                <w:sz w:val="18"/>
                <w:vertAlign w:val="superscript"/>
                <w:lang w:val="sr-Cyrl-RS"/>
              </w:rPr>
              <w:t>3</w:t>
            </w:r>
          </w:p>
        </w:tc>
        <w:tc>
          <w:tcPr>
            <w:tcW w:w="556" w:type="pct"/>
            <w:vAlign w:val="center"/>
          </w:tcPr>
          <w:p w14:paraId="6C0EF42E"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-2,8</w:t>
            </w:r>
          </w:p>
        </w:tc>
        <w:tc>
          <w:tcPr>
            <w:tcW w:w="556" w:type="pct"/>
            <w:vAlign w:val="center"/>
          </w:tcPr>
          <w:p w14:paraId="14BA8193"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-1,8</w:t>
            </w:r>
          </w:p>
        </w:tc>
        <w:tc>
          <w:tcPr>
            <w:tcW w:w="556" w:type="pct"/>
            <w:vAlign w:val="center"/>
          </w:tcPr>
          <w:p w14:paraId="5209976E"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-2,6</w:t>
            </w:r>
          </w:p>
        </w:tc>
        <w:tc>
          <w:tcPr>
            <w:tcW w:w="556" w:type="pct"/>
            <w:vAlign w:val="center"/>
          </w:tcPr>
          <w:p w14:paraId="5503252F"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-1,6</w:t>
            </w:r>
          </w:p>
        </w:tc>
        <w:tc>
          <w:tcPr>
            <w:tcW w:w="556" w:type="pct"/>
            <w:vAlign w:val="center"/>
          </w:tcPr>
          <w:p w14:paraId="74B66E30"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0,1</w:t>
            </w:r>
          </w:p>
        </w:tc>
      </w:tr>
      <w:tr w:rsidR="00D8744E" w:rsidRPr="0062711C" w14:paraId="2D4A9365" w14:textId="77777777" w:rsidTr="005C539B">
        <w:trPr>
          <w:trHeight w:val="70"/>
        </w:trPr>
        <w:tc>
          <w:tcPr>
            <w:tcW w:w="2220" w:type="pct"/>
          </w:tcPr>
          <w:p w14:paraId="531FC853"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Цена руде гвожђа, у доларима</w:t>
            </w:r>
            <w:r w:rsidRPr="0062711C">
              <w:rPr>
                <w:rFonts w:cstheme="minorHAnsi"/>
                <w:color w:val="002060"/>
                <w:sz w:val="18"/>
                <w:vertAlign w:val="superscript"/>
                <w:lang w:val="sr-Cyrl-RS"/>
              </w:rPr>
              <w:t>4</w:t>
            </w:r>
          </w:p>
        </w:tc>
        <w:tc>
          <w:tcPr>
            <w:tcW w:w="556" w:type="pct"/>
            <w:vAlign w:val="center"/>
          </w:tcPr>
          <w:p w14:paraId="0554FA9D"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-0,3</w:t>
            </w:r>
          </w:p>
        </w:tc>
        <w:tc>
          <w:tcPr>
            <w:tcW w:w="556" w:type="pct"/>
            <w:vAlign w:val="center"/>
          </w:tcPr>
          <w:p w14:paraId="281F0013"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-2,8</w:t>
            </w:r>
          </w:p>
        </w:tc>
        <w:tc>
          <w:tcPr>
            <w:tcW w:w="556" w:type="pct"/>
            <w:vAlign w:val="center"/>
          </w:tcPr>
          <w:p w14:paraId="4852A4BB"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-13,8</w:t>
            </w:r>
          </w:p>
        </w:tc>
        <w:tc>
          <w:tcPr>
            <w:tcW w:w="556" w:type="pct"/>
            <w:vAlign w:val="center"/>
          </w:tcPr>
          <w:p w14:paraId="25866CE2"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-9,9</w:t>
            </w:r>
          </w:p>
        </w:tc>
        <w:tc>
          <w:tcPr>
            <w:tcW w:w="556" w:type="pct"/>
            <w:vAlign w:val="center"/>
          </w:tcPr>
          <w:p w14:paraId="310BD080"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-3,6</w:t>
            </w:r>
          </w:p>
        </w:tc>
      </w:tr>
      <w:tr w:rsidR="00D8744E" w:rsidRPr="0062711C" w14:paraId="5686F09E" w14:textId="77777777" w:rsidTr="005C539B">
        <w:trPr>
          <w:trHeight w:val="173"/>
        </w:trPr>
        <w:tc>
          <w:tcPr>
            <w:tcW w:w="2220" w:type="pct"/>
            <w:tcBorders>
              <w:bottom w:val="single" w:sz="4" w:space="0" w:color="002060"/>
            </w:tcBorders>
          </w:tcPr>
          <w:p w14:paraId="21055BD1" w14:textId="77777777" w:rsidR="00D8744E" w:rsidRPr="0062711C" w:rsidRDefault="00D8744E" w:rsidP="005C539B">
            <w:pPr>
              <w:rPr>
                <w:rFonts w:cstheme="minorHAnsi"/>
                <w:color w:val="002060"/>
                <w:sz w:val="18"/>
                <w:lang w:val="sr-Cyrl-RS"/>
              </w:rPr>
            </w:pPr>
            <w:r w:rsidRPr="0062711C">
              <w:rPr>
                <w:rFonts w:cstheme="minorHAnsi"/>
                <w:color w:val="002060"/>
                <w:sz w:val="18"/>
                <w:lang w:val="sr-Cyrl-RS"/>
              </w:rPr>
              <w:t>Цене нафте, у доларима, годишње промене, %</w:t>
            </w:r>
          </w:p>
        </w:tc>
        <w:tc>
          <w:tcPr>
            <w:tcW w:w="556" w:type="pct"/>
            <w:tcBorders>
              <w:bottom w:val="single" w:sz="4" w:space="0" w:color="002060"/>
            </w:tcBorders>
            <w:vAlign w:val="center"/>
          </w:tcPr>
          <w:p w14:paraId="65A01766"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-16,4</w:t>
            </w:r>
          </w:p>
        </w:tc>
        <w:tc>
          <w:tcPr>
            <w:tcW w:w="556" w:type="pct"/>
            <w:tcBorders>
              <w:bottom w:val="single" w:sz="4" w:space="0" w:color="002060"/>
            </w:tcBorders>
            <w:vAlign w:val="center"/>
          </w:tcPr>
          <w:p w14:paraId="49AE7FEB"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-2,5</w:t>
            </w:r>
          </w:p>
        </w:tc>
        <w:tc>
          <w:tcPr>
            <w:tcW w:w="556" w:type="pct"/>
            <w:tcBorders>
              <w:bottom w:val="single" w:sz="4" w:space="0" w:color="002060"/>
            </w:tcBorders>
            <w:vAlign w:val="center"/>
          </w:tcPr>
          <w:p w14:paraId="466E285F"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-6,3</w:t>
            </w:r>
          </w:p>
        </w:tc>
        <w:tc>
          <w:tcPr>
            <w:tcW w:w="556" w:type="pct"/>
            <w:tcBorders>
              <w:bottom w:val="single" w:sz="4" w:space="0" w:color="002060"/>
            </w:tcBorders>
            <w:vAlign w:val="center"/>
          </w:tcPr>
          <w:p w14:paraId="0B0FA1BA"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-4,2</w:t>
            </w:r>
          </w:p>
        </w:tc>
        <w:tc>
          <w:tcPr>
            <w:tcW w:w="556" w:type="pct"/>
            <w:tcBorders>
              <w:bottom w:val="single" w:sz="4" w:space="0" w:color="002060"/>
            </w:tcBorders>
            <w:vAlign w:val="center"/>
          </w:tcPr>
          <w:p w14:paraId="71BC0E8B" w14:textId="77777777" w:rsidR="00D8744E" w:rsidRPr="0062711C" w:rsidRDefault="00D8744E" w:rsidP="005C539B">
            <w:pPr>
              <w:jc w:val="center"/>
              <w:rPr>
                <w:rFonts w:eastAsia="Times New Roman" w:cstheme="minorHAnsi"/>
                <w:color w:val="002060"/>
                <w:sz w:val="18"/>
                <w:szCs w:val="18"/>
                <w:lang w:val="sr-Cyrl-RS" w:eastAsia="en-GB"/>
              </w:rPr>
            </w:pPr>
            <w:r w:rsidRPr="0062711C">
              <w:rPr>
                <w:rFonts w:eastAsia="Times New Roman" w:cstheme="minorHAnsi"/>
                <w:color w:val="002060"/>
                <w:sz w:val="18"/>
                <w:szCs w:val="18"/>
                <w:lang w:val="sr-Cyrl-RS" w:eastAsia="en-GB"/>
              </w:rPr>
              <w:t>-2,6</w:t>
            </w:r>
          </w:p>
        </w:tc>
      </w:tr>
      <w:tr w:rsidR="00D8744E" w:rsidRPr="0062711C" w14:paraId="03566786" w14:textId="77777777" w:rsidTr="005C539B">
        <w:trPr>
          <w:trHeight w:val="159"/>
        </w:trPr>
        <w:tc>
          <w:tcPr>
            <w:tcW w:w="5000" w:type="pct"/>
            <w:gridSpan w:val="6"/>
            <w:tcBorders>
              <w:top w:val="single" w:sz="4" w:space="0" w:color="002060"/>
            </w:tcBorders>
          </w:tcPr>
          <w:p w14:paraId="11C9BCA3" w14:textId="77777777" w:rsidR="00D8744E" w:rsidRPr="0062711C" w:rsidRDefault="00D8744E" w:rsidP="005C539B">
            <w:pPr>
              <w:rPr>
                <w:rFonts w:cstheme="minorHAnsi"/>
                <w:bCs/>
                <w:sz w:val="16"/>
                <w:szCs w:val="72"/>
                <w:lang w:val="sr-Cyrl-RS"/>
              </w:rPr>
            </w:pPr>
            <w:r w:rsidRPr="0062711C">
              <w:rPr>
                <w:rFonts w:cstheme="minorHAnsi"/>
                <w:bCs/>
                <w:sz w:val="16"/>
                <w:szCs w:val="72"/>
                <w:lang w:val="sr-Cyrl-RS"/>
              </w:rPr>
              <w:t xml:space="preserve">Извор: ММФ, </w:t>
            </w:r>
            <w:r w:rsidRPr="0062711C">
              <w:rPr>
                <w:rFonts w:cstheme="minorHAnsi"/>
                <w:bCs/>
                <w:i/>
                <w:sz w:val="16"/>
                <w:szCs w:val="72"/>
                <w:lang w:val="sr-Cyrl-RS"/>
              </w:rPr>
              <w:t>World Economic Outlook</w:t>
            </w:r>
            <w:r w:rsidRPr="0062711C">
              <w:rPr>
                <w:rFonts w:cstheme="minorHAnsi"/>
                <w:bCs/>
                <w:sz w:val="16"/>
                <w:szCs w:val="72"/>
                <w:lang w:val="sr-Cyrl-RS"/>
              </w:rPr>
              <w:t>, април 2024.</w:t>
            </w:r>
          </w:p>
        </w:tc>
      </w:tr>
      <w:tr w:rsidR="00D8744E" w:rsidRPr="0062711C" w14:paraId="39EE8853" w14:textId="77777777" w:rsidTr="005C539B">
        <w:trPr>
          <w:trHeight w:val="535"/>
        </w:trPr>
        <w:tc>
          <w:tcPr>
            <w:tcW w:w="5000" w:type="pct"/>
            <w:gridSpan w:val="6"/>
          </w:tcPr>
          <w:p w14:paraId="24CE3CE6" w14:textId="77777777" w:rsidR="00D8744E" w:rsidRPr="0062711C" w:rsidRDefault="00D8744E" w:rsidP="005C539B">
            <w:pPr>
              <w:rPr>
                <w:rFonts w:cstheme="minorHAnsi"/>
                <w:bCs/>
                <w:sz w:val="16"/>
                <w:szCs w:val="72"/>
                <w:lang w:val="sr-Cyrl-RS"/>
              </w:rPr>
            </w:pPr>
            <w:r w:rsidRPr="0062711C">
              <w:rPr>
                <w:rFonts w:cstheme="minorHAnsi"/>
                <w:bCs/>
                <w:sz w:val="16"/>
                <w:szCs w:val="72"/>
                <w:vertAlign w:val="superscript"/>
                <w:lang w:val="sr-Cyrl-RS"/>
              </w:rPr>
              <w:t>1</w:t>
            </w:r>
            <w:r w:rsidRPr="0062711C">
              <w:rPr>
                <w:rFonts w:cstheme="minorHAnsi"/>
                <w:bCs/>
                <w:sz w:val="16"/>
                <w:szCs w:val="72"/>
                <w:lang w:val="sr-Cyrl-RS"/>
              </w:rPr>
              <w:t xml:space="preserve"> Светски БДП израчунат је према паритету куповне моћи.</w:t>
            </w:r>
          </w:p>
          <w:p w14:paraId="17030665" w14:textId="77777777" w:rsidR="00D8744E" w:rsidRPr="0062711C" w:rsidRDefault="00D8744E" w:rsidP="005C539B">
            <w:pPr>
              <w:rPr>
                <w:rFonts w:cstheme="minorHAnsi"/>
                <w:bCs/>
                <w:sz w:val="16"/>
                <w:szCs w:val="72"/>
                <w:lang w:val="sr-Cyrl-RS"/>
              </w:rPr>
            </w:pPr>
            <w:r w:rsidRPr="0062711C">
              <w:rPr>
                <w:rFonts w:cstheme="minorHAnsi"/>
                <w:bCs/>
                <w:sz w:val="16"/>
                <w:szCs w:val="72"/>
                <w:vertAlign w:val="superscript"/>
                <w:lang w:val="sr-Cyrl-RS"/>
              </w:rPr>
              <w:t>2</w:t>
            </w:r>
            <w:r w:rsidRPr="0062711C">
              <w:rPr>
                <w:rFonts w:cstheme="minorHAnsi"/>
                <w:bCs/>
                <w:sz w:val="16"/>
                <w:szCs w:val="72"/>
                <w:lang w:val="sr-Cyrl-RS"/>
              </w:rPr>
              <w:t xml:space="preserve"> Цена житарица добијена као пондерисани просек цена пшенице, кукуруза, соје, пиринча и јечма.</w:t>
            </w:r>
          </w:p>
          <w:p w14:paraId="6A190510" w14:textId="77777777" w:rsidR="00D8744E" w:rsidRPr="0062711C" w:rsidRDefault="00D8744E" w:rsidP="005C539B">
            <w:pPr>
              <w:rPr>
                <w:rFonts w:cstheme="minorHAnsi"/>
                <w:bCs/>
                <w:sz w:val="16"/>
                <w:szCs w:val="72"/>
                <w:lang w:val="sr-Cyrl-RS"/>
              </w:rPr>
            </w:pPr>
            <w:r w:rsidRPr="0062711C">
              <w:rPr>
                <w:rFonts w:cstheme="minorHAnsi"/>
                <w:bCs/>
                <w:sz w:val="16"/>
                <w:szCs w:val="72"/>
                <w:vertAlign w:val="superscript"/>
                <w:lang w:val="sr-Cyrl-RS"/>
              </w:rPr>
              <w:t>3</w:t>
            </w:r>
            <w:r w:rsidRPr="0062711C">
              <w:rPr>
                <w:rFonts w:cstheme="minorHAnsi"/>
                <w:bCs/>
                <w:sz w:val="16"/>
                <w:szCs w:val="72"/>
                <w:lang w:val="sr-Cyrl-RS"/>
              </w:rPr>
              <w:t xml:space="preserve"> Цена метала добијена као пондерисани просек цена бакра, алуминијума, руде гвожђа, калаја, никла, цинка, олова и уранијума.</w:t>
            </w:r>
          </w:p>
          <w:p w14:paraId="5CE435BD" w14:textId="77777777" w:rsidR="00D8744E" w:rsidRPr="0062711C" w:rsidRDefault="00D8744E" w:rsidP="005C539B">
            <w:pPr>
              <w:rPr>
                <w:rFonts w:cstheme="minorHAnsi"/>
                <w:bCs/>
                <w:sz w:val="16"/>
                <w:szCs w:val="72"/>
                <w:vertAlign w:val="superscript"/>
                <w:lang w:val="sr-Cyrl-RS"/>
              </w:rPr>
            </w:pPr>
            <w:r w:rsidRPr="0062711C">
              <w:rPr>
                <w:rFonts w:cstheme="minorHAnsi"/>
                <w:bCs/>
                <w:sz w:val="16"/>
                <w:szCs w:val="72"/>
                <w:vertAlign w:val="superscript"/>
                <w:lang w:val="sr-Cyrl-RS"/>
              </w:rPr>
              <w:t>4</w:t>
            </w:r>
            <w:r w:rsidRPr="0062711C">
              <w:rPr>
                <w:rFonts w:cstheme="minorHAnsi"/>
                <w:bCs/>
                <w:sz w:val="16"/>
                <w:szCs w:val="72"/>
                <w:lang w:val="sr-Cyrl-RS"/>
              </w:rPr>
              <w:t xml:space="preserve"> Цена руде гвожђа (садржај гвожђа од 62%) за увоз у Кини, лука Тиан Јан, у доларима по метричкој тони.</w:t>
            </w:r>
          </w:p>
        </w:tc>
      </w:tr>
    </w:tbl>
    <w:p w14:paraId="0EF0AAE0" w14:textId="77777777" w:rsidR="00D8744E" w:rsidRPr="0062711C" w:rsidRDefault="00D8744E" w:rsidP="005C539B">
      <w:pPr>
        <w:spacing w:after="0" w:line="240" w:lineRule="auto"/>
        <w:rPr>
          <w:rFonts w:cstheme="minorHAnsi"/>
          <w:color w:val="auto"/>
          <w:lang w:val="sr-Cyrl-RS"/>
        </w:rPr>
      </w:pPr>
    </w:p>
    <w:p w14:paraId="41D81B3B" w14:textId="77777777" w:rsidR="00D8744E" w:rsidRPr="0062711C" w:rsidRDefault="00D8744E" w:rsidP="005C539B">
      <w:pPr>
        <w:spacing w:after="0" w:line="240" w:lineRule="auto"/>
        <w:rPr>
          <w:rFonts w:cstheme="minorHAnsi"/>
          <w:color w:val="auto"/>
          <w:lang w:val="sr-Cyrl-RS"/>
        </w:rPr>
        <w:sectPr w:rsidR="00D8744E" w:rsidRPr="0062711C" w:rsidSect="00F45C01">
          <w:type w:val="continuous"/>
          <w:pgSz w:w="12240" w:h="15840"/>
          <w:pgMar w:top="1440" w:right="1440" w:bottom="1440" w:left="1440" w:header="708" w:footer="708" w:gutter="0"/>
          <w:cols w:space="708"/>
          <w:docGrid w:linePitch="360"/>
        </w:sectPr>
      </w:pPr>
    </w:p>
    <w:p w14:paraId="1A9987B1" w14:textId="1FAEBF5D" w:rsidR="00D8744E" w:rsidRPr="0062711C" w:rsidRDefault="00D8744E" w:rsidP="005C539B">
      <w:pPr>
        <w:pStyle w:val="Caption"/>
        <w:keepNext/>
        <w:jc w:val="both"/>
        <w:rPr>
          <w:rFonts w:cstheme="minorHAnsi"/>
          <w:b w:val="0"/>
          <w:bCs/>
          <w:iCs w:val="0"/>
          <w:color w:val="44546A" w:themeColor="text2"/>
          <w:szCs w:val="22"/>
          <w:lang w:val="sr-Cyrl-RS"/>
        </w:rPr>
      </w:pPr>
      <w:r w:rsidRPr="0062711C">
        <w:rPr>
          <w:rFonts w:cstheme="minorHAnsi"/>
          <w:b w:val="0"/>
          <w:bCs/>
          <w:color w:val="44546A"/>
          <w:lang w:val="sr-Cyrl-RS"/>
        </w:rPr>
        <w:t>Код развијених земаља очекује се благо убрзање раста БДП, са 1,6% у 2023. години, на 1,7% и 1,8% у 2024. и 2025. години, респективно. Ово убрзање углавном је резултат опоравка еврозоне након слабе економске активности током 2023. године. За САД, водећу економију у овој групи, се након убрзања БДП од 2,7% у 2024. години очекује спорији раст од 1,9% у 2025. години услед пооштравања фискалне политике и слабљења тржишта рада и последично пада агрегатне тражње. Код земаља у успону очекује се стабилан раст од 4,2% у 2024. и 2025. години</w:t>
      </w:r>
      <w:r w:rsidR="00BE5311">
        <w:rPr>
          <w:rFonts w:cstheme="minorHAnsi"/>
          <w:b w:val="0"/>
          <w:bCs/>
          <w:color w:val="44546A"/>
          <w:lang w:val="sr-Cyrl-RS"/>
        </w:rPr>
        <w:t>,</w:t>
      </w:r>
      <w:r w:rsidRPr="0062711C">
        <w:rPr>
          <w:rFonts w:cstheme="minorHAnsi"/>
          <w:b w:val="0"/>
          <w:bCs/>
          <w:color w:val="44546A"/>
          <w:lang w:val="sr-Cyrl-RS"/>
        </w:rPr>
        <w:t xml:space="preserve"> али уз изражене разлике међу регионима. Раст ће бити подстакнут убрзањем економија са Блиског истока и подсахарске Африке, док ће успоравање </w:t>
      </w:r>
      <w:r w:rsidR="0098343E" w:rsidRPr="0062711C">
        <w:rPr>
          <w:rFonts w:cstheme="minorHAnsi"/>
          <w:b w:val="0"/>
          <w:bCs/>
          <w:color w:val="44546A"/>
          <w:lang w:val="sr-Cyrl-RS"/>
        </w:rPr>
        <w:t>економске</w:t>
      </w:r>
      <w:r w:rsidRPr="0062711C">
        <w:rPr>
          <w:rFonts w:cstheme="minorHAnsi"/>
          <w:b w:val="0"/>
          <w:bCs/>
          <w:color w:val="44546A"/>
          <w:lang w:val="sr-Cyrl-RS"/>
        </w:rPr>
        <w:t xml:space="preserve"> активности забележити регион Азије. Предвиђа се да ће раст Кине успорити због ишчезавања позитивних једнократних ефеката на потрошњу и фискалног стимулуса, док ће у прогнозираном периоду сличан тренд успоравања имати и Русија услед смањења инвестиција и приватне потрошње. Раст земаља Блиског истока и централне Азије ће убрзати са 2,0% у 2023. години, </w:t>
      </w:r>
      <w:r w:rsidRPr="0062711C">
        <w:rPr>
          <w:rFonts w:cstheme="minorHAnsi"/>
          <w:b w:val="0"/>
          <w:bCs/>
          <w:color w:val="44546A"/>
          <w:lang w:val="sr-Cyrl-RS"/>
        </w:rPr>
        <w:t>на 4,2% у 2025. години, док се за регион подсахарске Африке такође предвиђа бржи раст са 3,4% у 2023. на 4,0% у 2025. години. У земљама са ниским нивоом дохотка очекује се просечно повећање БДП са 4,0% у 2023. години на 5,2% у 2025. години.</w:t>
      </w:r>
    </w:p>
    <w:p w14:paraId="0EF7624D" w14:textId="77777777" w:rsidR="00D8744E" w:rsidRPr="0062711C" w:rsidRDefault="00D8744E" w:rsidP="005C539B">
      <w:pPr>
        <w:pStyle w:val="Caption"/>
        <w:keepNext/>
        <w:spacing w:after="0"/>
        <w:rPr>
          <w:rFonts w:cstheme="minorHAnsi"/>
          <w:iCs w:val="0"/>
          <w:szCs w:val="22"/>
          <w:lang w:val="sr-Cyrl-RS"/>
        </w:rPr>
      </w:pPr>
      <w:r w:rsidRPr="0062711C">
        <w:rPr>
          <w:rFonts w:cstheme="minorHAnsi"/>
          <w:iCs w:val="0"/>
          <w:szCs w:val="22"/>
          <w:lang w:val="sr-Cyrl-RS"/>
        </w:rPr>
        <w:t>Глобални економски раст, п.п.</w:t>
      </w:r>
    </w:p>
    <w:p w14:paraId="4382E503" w14:textId="77777777" w:rsidR="00D8744E" w:rsidRPr="0062711C" w:rsidRDefault="00D8744E" w:rsidP="005C539B">
      <w:pPr>
        <w:spacing w:after="40"/>
        <w:rPr>
          <w:rFonts w:cstheme="minorHAnsi"/>
          <w:bCs/>
          <w:sz w:val="16"/>
          <w:szCs w:val="72"/>
          <w:lang w:val="sr-Cyrl-RS"/>
        </w:rPr>
      </w:pPr>
      <w:r w:rsidRPr="0062711C">
        <w:rPr>
          <w:noProof/>
          <w:lang w:val="en-GB" w:eastAsia="en-GB"/>
        </w:rPr>
        <w:drawing>
          <wp:inline distT="0" distB="0" distL="0" distR="0" wp14:anchorId="08AA0B5E" wp14:editId="7E82C387">
            <wp:extent cx="2729345" cy="2432966"/>
            <wp:effectExtent l="0" t="0" r="0" b="5715"/>
            <wp:docPr id="4" name="Chart 4">
              <a:extLst xmlns:a="http://schemas.openxmlformats.org/drawingml/2006/main">
                <a:ext uri="{FF2B5EF4-FFF2-40B4-BE49-F238E27FC236}">
                  <a16:creationId xmlns:a16="http://schemas.microsoft.com/office/drawing/2014/main" id="{00000000-0008-0000-0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F98710B" w14:textId="77777777" w:rsidR="00D8744E" w:rsidRPr="0062711C" w:rsidRDefault="00D8744E" w:rsidP="005C539B">
      <w:pPr>
        <w:rPr>
          <w:rFonts w:cstheme="minorHAnsi"/>
          <w:bCs/>
          <w:sz w:val="16"/>
          <w:szCs w:val="72"/>
          <w:lang w:val="sr-Cyrl-RS"/>
        </w:rPr>
      </w:pPr>
      <w:r w:rsidRPr="0062711C">
        <w:rPr>
          <w:rFonts w:cstheme="minorHAnsi"/>
          <w:bCs/>
          <w:sz w:val="16"/>
          <w:szCs w:val="72"/>
          <w:lang w:val="sr-Cyrl-RS"/>
        </w:rPr>
        <w:t xml:space="preserve">Извор: ММФ, </w:t>
      </w:r>
      <w:r w:rsidRPr="0062711C">
        <w:rPr>
          <w:rFonts w:cstheme="minorHAnsi"/>
          <w:bCs/>
          <w:i/>
          <w:iCs/>
          <w:sz w:val="16"/>
          <w:szCs w:val="72"/>
          <w:lang w:val="sr-Cyrl-RS"/>
        </w:rPr>
        <w:t>World Economic Outlook</w:t>
      </w:r>
      <w:r w:rsidRPr="0062711C">
        <w:rPr>
          <w:rFonts w:cstheme="minorHAnsi"/>
          <w:bCs/>
          <w:sz w:val="16"/>
          <w:szCs w:val="72"/>
          <w:lang w:val="sr-Cyrl-RS"/>
        </w:rPr>
        <w:t>, април 2024.</w:t>
      </w:r>
    </w:p>
    <w:p w14:paraId="66357B60" w14:textId="77777777" w:rsidR="00D8744E" w:rsidRPr="0062711C" w:rsidRDefault="00D8744E" w:rsidP="005C539B">
      <w:pPr>
        <w:spacing w:after="80"/>
        <w:rPr>
          <w:rFonts w:cstheme="minorHAnsi"/>
          <w:bCs/>
          <w:szCs w:val="72"/>
          <w:lang w:val="sr-Cyrl-RS"/>
        </w:rPr>
      </w:pPr>
      <w:r w:rsidRPr="0062711C">
        <w:rPr>
          <w:rFonts w:cstheme="minorHAnsi"/>
          <w:bCs/>
          <w:szCs w:val="72"/>
          <w:lang w:val="sr-Cyrl-RS"/>
        </w:rPr>
        <w:lastRenderedPageBreak/>
        <w:t>Главни покретач опоравка економије еврозоне, нашег најважнијег спољнотрговинског партнера, биће раст потрошње домаћинстава, услед раста реалног расположивог дохотка становништва у условима мање инфлације. Међутим, динамика економске активности и даље ће бити под утицајем претходно заоштрених монетарних услова и планиране фискалне консолидације. Готово стагнативна кретања у другој половини 2023. године условила су ревизију наниже раста у односу на јануарске процене ММФ, али се и поред тога у 2024. години предвиђа нешто бржи раст него у претходној години. Тако се очекује да ће раст еврозоне након 0,4% у 2023. години, износити 0,8% у 2024., а затим достићи 1,5% у 2025. години. Динамика опоравка немачке економије је ревидирана наниже за 0,3 п.п. за 2024. и за 2025. годину услед и даље слабог поверења потрошача, при чему је ова негативна ревизија у великој мери неутралисана бољим изгледима за неколико мањих европских економија, укључујући Белгију и Португал.</w:t>
      </w:r>
    </w:p>
    <w:p w14:paraId="2CCAFD8C" w14:textId="77777777" w:rsidR="00D8744E" w:rsidRPr="0062711C" w:rsidRDefault="00D8744E" w:rsidP="005C539B">
      <w:pPr>
        <w:spacing w:after="80"/>
        <w:rPr>
          <w:rFonts w:cstheme="minorHAnsi"/>
          <w:bCs/>
          <w:szCs w:val="72"/>
          <w:lang w:val="sr-Cyrl-RS"/>
        </w:rPr>
      </w:pPr>
      <w:r w:rsidRPr="0062711C">
        <w:rPr>
          <w:noProof/>
          <w:lang w:val="en-GB" w:eastAsia="en-GB"/>
        </w:rPr>
        <w:drawing>
          <wp:inline distT="0" distB="0" distL="0" distR="0" wp14:anchorId="7993FC96" wp14:editId="2B6FCB39">
            <wp:extent cx="2743200" cy="1645920"/>
            <wp:effectExtent l="0" t="0" r="0" b="0"/>
            <wp:docPr id="10" name="Chart 10">
              <a:extLst xmlns:a="http://schemas.openxmlformats.org/drawingml/2006/main">
                <a:ext uri="{FF2B5EF4-FFF2-40B4-BE49-F238E27FC236}">
                  <a16:creationId xmlns:a16="http://schemas.microsoft.com/office/drawing/2014/main" id="{00000000-0008-0000-08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26DBE60" w14:textId="77777777" w:rsidR="00D8744E" w:rsidRPr="0062711C" w:rsidRDefault="00D8744E" w:rsidP="005C539B">
      <w:pPr>
        <w:spacing w:after="80"/>
        <w:rPr>
          <w:rFonts w:cstheme="minorHAnsi"/>
          <w:bCs/>
          <w:szCs w:val="72"/>
          <w:lang w:val="sr-Cyrl-RS"/>
        </w:rPr>
      </w:pPr>
      <w:r w:rsidRPr="0062711C">
        <w:rPr>
          <w:noProof/>
          <w:lang w:val="en-GB" w:eastAsia="en-GB"/>
        </w:rPr>
        <w:drawing>
          <wp:inline distT="0" distB="0" distL="0" distR="0" wp14:anchorId="771898C0" wp14:editId="05A8F7E3">
            <wp:extent cx="2743200" cy="1646555"/>
            <wp:effectExtent l="0" t="0" r="0" b="0"/>
            <wp:docPr id="13" name="Chart 13">
              <a:extLst xmlns:a="http://schemas.openxmlformats.org/drawingml/2006/main">
                <a:ext uri="{FF2B5EF4-FFF2-40B4-BE49-F238E27FC236}">
                  <a16:creationId xmlns:a16="http://schemas.microsoft.com/office/drawing/2014/main" id="{00000000-0008-0000-08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72D2C89" w14:textId="77777777" w:rsidR="00D8744E" w:rsidRPr="0062711C" w:rsidRDefault="00D8744E" w:rsidP="005C539B">
      <w:pPr>
        <w:spacing w:after="80"/>
        <w:rPr>
          <w:rFonts w:cstheme="minorHAnsi"/>
          <w:bCs/>
          <w:szCs w:val="72"/>
          <w:lang w:val="sr-Cyrl-RS"/>
        </w:rPr>
      </w:pPr>
      <w:r w:rsidRPr="0062711C">
        <w:rPr>
          <w:noProof/>
          <w:lang w:val="en-GB" w:eastAsia="en-GB"/>
        </w:rPr>
        <w:drawing>
          <wp:inline distT="0" distB="0" distL="0" distR="0" wp14:anchorId="3E3A75F0" wp14:editId="63CB540C">
            <wp:extent cx="2742857" cy="161905"/>
            <wp:effectExtent l="0" t="0" r="0" b="0"/>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34"/>
                    <a:stretch>
                      <a:fillRect/>
                    </a:stretch>
                  </pic:blipFill>
                  <pic:spPr>
                    <a:xfrm>
                      <a:off x="0" y="0"/>
                      <a:ext cx="2742857" cy="161905"/>
                    </a:xfrm>
                    <a:prstGeom prst="rect">
                      <a:avLst/>
                    </a:prstGeom>
                  </pic:spPr>
                </pic:pic>
              </a:graphicData>
            </a:graphic>
          </wp:inline>
        </w:drawing>
      </w:r>
    </w:p>
    <w:p w14:paraId="2B125E70" w14:textId="77777777" w:rsidR="00D8744E" w:rsidRPr="0062711C" w:rsidRDefault="00D8744E" w:rsidP="005C539B">
      <w:pPr>
        <w:rPr>
          <w:rFonts w:cstheme="minorHAnsi"/>
          <w:bCs/>
          <w:i/>
          <w:sz w:val="16"/>
          <w:szCs w:val="72"/>
          <w:lang w:val="sr-Cyrl-RS"/>
        </w:rPr>
      </w:pPr>
      <w:r w:rsidRPr="0062711C">
        <w:rPr>
          <w:rFonts w:cstheme="minorHAnsi"/>
          <w:bCs/>
          <w:sz w:val="16"/>
          <w:szCs w:val="72"/>
          <w:lang w:val="sr-Cyrl-RS"/>
        </w:rPr>
        <w:t xml:space="preserve">Извор: ММФ, </w:t>
      </w:r>
      <w:r w:rsidRPr="0062711C">
        <w:rPr>
          <w:rFonts w:cstheme="minorHAnsi"/>
          <w:bCs/>
          <w:i/>
          <w:sz w:val="16"/>
          <w:szCs w:val="72"/>
          <w:lang w:val="sr-Cyrl-RS"/>
        </w:rPr>
        <w:t>World Economic Outlook</w:t>
      </w:r>
    </w:p>
    <w:p w14:paraId="7ABDB0EC" w14:textId="7C87C132" w:rsidR="00D8744E" w:rsidRPr="0062711C" w:rsidRDefault="00D8744E" w:rsidP="005C539B">
      <w:pPr>
        <w:spacing w:after="80"/>
        <w:rPr>
          <w:rFonts w:cstheme="minorHAnsi"/>
          <w:bCs/>
          <w:szCs w:val="72"/>
          <w:lang w:val="sr-Cyrl-RS"/>
        </w:rPr>
      </w:pPr>
      <w:r w:rsidRPr="0062711C">
        <w:rPr>
          <w:rFonts w:cstheme="minorHAnsi"/>
          <w:bCs/>
          <w:szCs w:val="72"/>
          <w:lang w:val="sr-Cyrl-RS"/>
        </w:rPr>
        <w:t>Очекује се успоравање глобалне инфлације са</w:t>
      </w:r>
      <w:r w:rsidRPr="0062711C" w:rsidDel="00A75EA0">
        <w:rPr>
          <w:rFonts w:cstheme="minorHAnsi"/>
          <w:bCs/>
          <w:szCs w:val="72"/>
          <w:lang w:val="sr-Cyrl-RS"/>
        </w:rPr>
        <w:t xml:space="preserve"> </w:t>
      </w:r>
      <w:r w:rsidRPr="0062711C">
        <w:rPr>
          <w:rFonts w:cstheme="minorHAnsi"/>
          <w:bCs/>
          <w:szCs w:val="72"/>
          <w:lang w:val="sr-Cyrl-RS"/>
        </w:rPr>
        <w:t>6,8% просечно годишње у 2023. години на 5,9% у 2024. години и 4,5% у 2025. години. К</w:t>
      </w:r>
      <w:r w:rsidRPr="0062711C">
        <w:rPr>
          <w:lang w:val="sr-Cyrl-RS"/>
        </w:rPr>
        <w:t>од развијених економија очекује се да се стопа инфлације приближи предпандемијском нивоу током 2025. године када ће у просеку износити 2,0%, док се за земље у развоју повратак инфлације на предпандемијски просек од око 5,0% очекује годину дана касније, током 2026. године.</w:t>
      </w:r>
      <w:r w:rsidRPr="0062711C">
        <w:rPr>
          <w:rFonts w:cstheme="minorHAnsi"/>
          <w:bCs/>
          <w:szCs w:val="72"/>
          <w:lang w:val="sr-Cyrl-RS"/>
        </w:rPr>
        <w:t xml:space="preserve"> Приметна је и велика разлика међу групама земаља у развоју, па тако стопа инфлације варира од 2,4% за регион Азије услед ниже инфлације у Кини и Тајланду, па све до 18,8% у оквиру групе земаља у успону у Европи као последица повишене инфлације у Турској. Успоравање глобалне инфлације у 2024. години одражава смањење базне инфлације као резултат ефектуирања рестриктивних мера монетарне политике из претходног периода, попуштања трошковних притисака на </w:t>
      </w:r>
      <w:r w:rsidR="0098343E" w:rsidRPr="0062711C">
        <w:rPr>
          <w:rFonts w:cstheme="minorHAnsi"/>
          <w:bCs/>
          <w:szCs w:val="72"/>
          <w:lang w:val="sr-Cyrl-RS"/>
        </w:rPr>
        <w:t>тржишту</w:t>
      </w:r>
      <w:r w:rsidRPr="0062711C">
        <w:rPr>
          <w:rFonts w:cstheme="minorHAnsi"/>
          <w:bCs/>
          <w:szCs w:val="72"/>
          <w:lang w:val="sr-Cyrl-RS"/>
        </w:rPr>
        <w:t xml:space="preserve"> рада, као и услед пада цена добара</w:t>
      </w:r>
      <w:r w:rsidR="00BE5311">
        <w:rPr>
          <w:rFonts w:cstheme="minorHAnsi"/>
          <w:bCs/>
          <w:szCs w:val="72"/>
          <w:lang w:val="sr-Cyrl-RS"/>
        </w:rPr>
        <w:t>,</w:t>
      </w:r>
      <w:r w:rsidRPr="0062711C">
        <w:rPr>
          <w:rFonts w:cstheme="minorHAnsi"/>
          <w:bCs/>
          <w:szCs w:val="72"/>
          <w:lang w:val="sr-Cyrl-RS"/>
        </w:rPr>
        <w:t xml:space="preserve"> нарочито цена енергената.</w:t>
      </w:r>
    </w:p>
    <w:p w14:paraId="5A393D74" w14:textId="7995527F" w:rsidR="00D8744E" w:rsidRPr="0062711C" w:rsidRDefault="00D8744E" w:rsidP="005C539B">
      <w:pPr>
        <w:rPr>
          <w:rFonts w:cstheme="minorHAnsi"/>
          <w:bCs/>
          <w:szCs w:val="72"/>
          <w:lang w:val="sr-Cyrl-RS"/>
        </w:rPr>
      </w:pPr>
      <w:r w:rsidRPr="0062711C">
        <w:rPr>
          <w:rFonts w:cstheme="minorHAnsi"/>
          <w:bCs/>
          <w:szCs w:val="72"/>
          <w:lang w:val="sr-Cyrl-RS"/>
        </w:rPr>
        <w:t>У другој половини 2023. дошло је до благог пада светских цена примарних производа, услед смањења цена нафте. Избијањем сукоба у Црвеном мору, цене поморског транспорта нафте су скочиле за 50%, али то за сада није много утицало на цене енергената. Упркос конфликту на Блиском истоку, цене сирове нафте су смањене за 16,4% у 2023. години</w:t>
      </w:r>
      <w:r w:rsidR="00BE5311">
        <w:rPr>
          <w:rFonts w:cstheme="minorHAnsi"/>
          <w:bCs/>
          <w:szCs w:val="72"/>
          <w:lang w:val="sr-Cyrl-RS"/>
        </w:rPr>
        <w:t>,</w:t>
      </w:r>
      <w:r w:rsidRPr="0062711C">
        <w:rPr>
          <w:rFonts w:cstheme="minorHAnsi"/>
          <w:bCs/>
          <w:szCs w:val="72"/>
          <w:lang w:val="sr-Cyrl-RS"/>
        </w:rPr>
        <w:t xml:space="preserve"> пре свега јер је смањена производња OPEC+ земаља надокнађена већом производњом земаља које нису чланице OPEC+ попут САД, али и услед слабијих очекивања у погледу раста глобалне тражње. Цене сирове нафте ће се и у наредном периоду кретати силазном путањом, уз очекивано смањење са 80,6 $/барелу у 2023. на 78,6 $/барелу у 2024. години. Цене житарица ће забележити снажан пад у 2024. години услед обилних светских залиха пшенице и кукуруза, а затим се очекује стабилизација цена. Пројектује се и пад цена основних метала и гвожђа у периоду 2024–2026. године због слабије индустријске производње у Европи и Кини.</w:t>
      </w:r>
    </w:p>
    <w:p w14:paraId="60F75E62" w14:textId="77777777" w:rsidR="00D8744E" w:rsidRPr="0062711C" w:rsidRDefault="00D8744E" w:rsidP="005C539B">
      <w:pPr>
        <w:rPr>
          <w:rFonts w:cstheme="minorHAnsi"/>
          <w:bCs/>
          <w:szCs w:val="72"/>
          <w:lang w:val="sr-Cyrl-RS"/>
        </w:rPr>
        <w:sectPr w:rsidR="00D8744E" w:rsidRPr="0062711C" w:rsidSect="00F45C01">
          <w:footerReference w:type="default" r:id="rId35"/>
          <w:type w:val="continuous"/>
          <w:pgSz w:w="12240" w:h="15840" w:code="1"/>
          <w:pgMar w:top="1440" w:right="1440" w:bottom="1440" w:left="1440" w:header="720" w:footer="720" w:gutter="0"/>
          <w:cols w:num="2" w:space="720"/>
          <w:docGrid w:linePitch="360"/>
        </w:sectPr>
      </w:pPr>
    </w:p>
    <w:p w14:paraId="0CECCE3D" w14:textId="77777777" w:rsidR="00D8744E" w:rsidRPr="0062711C" w:rsidRDefault="00D8744E" w:rsidP="005C539B">
      <w:pPr>
        <w:rPr>
          <w:lang w:val="sr-Cyrl-RS"/>
        </w:rPr>
      </w:pPr>
    </w:p>
    <w:p w14:paraId="73B0BE91" w14:textId="77777777" w:rsidR="00D8744E" w:rsidRPr="0062711C" w:rsidRDefault="00D8744E" w:rsidP="005C539B">
      <w:pPr>
        <w:pStyle w:val="Caption"/>
        <w:keepNext/>
        <w:spacing w:after="0"/>
        <w:rPr>
          <w:rFonts w:cstheme="minorHAnsi"/>
          <w:b w:val="0"/>
          <w:i/>
          <w:iCs w:val="0"/>
          <w:szCs w:val="22"/>
          <w:lang w:val="sr-Cyrl-RS"/>
        </w:rPr>
      </w:pPr>
      <w:r w:rsidRPr="0062711C">
        <w:rPr>
          <w:rFonts w:cstheme="minorHAnsi"/>
          <w:iCs w:val="0"/>
          <w:szCs w:val="22"/>
          <w:lang w:val="sr-Cyrl-RS"/>
        </w:rPr>
        <w:lastRenderedPageBreak/>
        <w:t>Кретање цена, индекси, 2016=100</w:t>
      </w:r>
    </w:p>
    <w:p w14:paraId="5E8BBAA8" w14:textId="77777777" w:rsidR="00D8744E" w:rsidRPr="0062711C" w:rsidRDefault="00D8744E" w:rsidP="005C539B">
      <w:pPr>
        <w:spacing w:after="40"/>
        <w:rPr>
          <w:rFonts w:cstheme="minorHAnsi"/>
          <w:bCs/>
          <w:sz w:val="16"/>
          <w:szCs w:val="72"/>
          <w:lang w:val="sr-Cyrl-RS"/>
        </w:rPr>
      </w:pPr>
      <w:r w:rsidRPr="0062711C">
        <w:rPr>
          <w:noProof/>
          <w:lang w:val="en-GB" w:eastAsia="en-GB"/>
        </w:rPr>
        <w:drawing>
          <wp:inline distT="0" distB="0" distL="0" distR="0" wp14:anchorId="0A6444BA" wp14:editId="43AD4A6B">
            <wp:extent cx="2743200" cy="1728000"/>
            <wp:effectExtent l="0" t="0" r="0" b="5715"/>
            <wp:docPr id="1" name="Chart 1">
              <a:extLst xmlns:a="http://schemas.openxmlformats.org/drawingml/2006/main">
                <a:ext uri="{FF2B5EF4-FFF2-40B4-BE49-F238E27FC236}">
                  <a16:creationId xmlns:a16="http://schemas.microsoft.com/office/drawing/2014/main" id="{00000000-0008-0000-0100-00000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184B425" w14:textId="77777777" w:rsidR="00D8744E" w:rsidRPr="0062711C" w:rsidRDefault="00D8744E" w:rsidP="005C539B">
      <w:pPr>
        <w:spacing w:after="120"/>
        <w:rPr>
          <w:lang w:val="sr-Cyrl-RS"/>
        </w:rPr>
      </w:pPr>
      <w:r w:rsidRPr="0062711C">
        <w:rPr>
          <w:rFonts w:cstheme="minorHAnsi"/>
          <w:bCs/>
          <w:sz w:val="16"/>
          <w:szCs w:val="72"/>
          <w:lang w:val="sr-Cyrl-RS"/>
        </w:rPr>
        <w:t xml:space="preserve">Извор: ММФ, </w:t>
      </w:r>
      <w:r w:rsidRPr="0062711C">
        <w:rPr>
          <w:rFonts w:cstheme="minorHAnsi"/>
          <w:bCs/>
          <w:i/>
          <w:sz w:val="16"/>
          <w:szCs w:val="72"/>
          <w:lang w:val="sr-Cyrl-RS"/>
        </w:rPr>
        <w:t>World Economic Outlook</w:t>
      </w:r>
      <w:r w:rsidRPr="0062711C">
        <w:rPr>
          <w:rFonts w:cstheme="minorHAnsi"/>
          <w:bCs/>
          <w:sz w:val="16"/>
          <w:szCs w:val="72"/>
          <w:lang w:val="sr-Cyrl-RS"/>
        </w:rPr>
        <w:t>, април 2024.</w:t>
      </w:r>
    </w:p>
    <w:p w14:paraId="4AFFC59C" w14:textId="77777777" w:rsidR="00D8744E" w:rsidRPr="0062711C" w:rsidRDefault="00D8744E" w:rsidP="005C539B">
      <w:pPr>
        <w:pStyle w:val="Caption"/>
        <w:keepNext/>
        <w:spacing w:after="0"/>
        <w:rPr>
          <w:rFonts w:cstheme="minorHAnsi"/>
          <w:b w:val="0"/>
          <w:i/>
          <w:iCs w:val="0"/>
          <w:szCs w:val="22"/>
          <w:lang w:val="sr-Cyrl-RS"/>
        </w:rPr>
      </w:pPr>
      <w:r w:rsidRPr="0062711C">
        <w:rPr>
          <w:rFonts w:cstheme="minorHAnsi"/>
          <w:iCs w:val="0"/>
          <w:szCs w:val="22"/>
          <w:lang w:val="sr-Cyrl-RS"/>
        </w:rPr>
        <w:t>Пројекција кретања цена, индекси, 2019=100</w:t>
      </w:r>
    </w:p>
    <w:p w14:paraId="514CC72A" w14:textId="77777777" w:rsidR="00D8744E" w:rsidRPr="0062711C" w:rsidRDefault="00D8744E" w:rsidP="005C539B">
      <w:pPr>
        <w:spacing w:after="0"/>
        <w:rPr>
          <w:lang w:val="sr-Cyrl-RS"/>
        </w:rPr>
      </w:pPr>
      <w:r w:rsidRPr="0062711C">
        <w:rPr>
          <w:noProof/>
          <w:lang w:val="en-GB" w:eastAsia="en-GB"/>
        </w:rPr>
        <w:drawing>
          <wp:inline distT="0" distB="0" distL="0" distR="0" wp14:anchorId="6A0CC336" wp14:editId="06A9CE61">
            <wp:extent cx="2743200" cy="2171700"/>
            <wp:effectExtent l="0" t="0" r="0" b="0"/>
            <wp:docPr id="7" name="Chart 7">
              <a:extLst xmlns:a="http://schemas.openxmlformats.org/drawingml/2006/main">
                <a:ext uri="{FF2B5EF4-FFF2-40B4-BE49-F238E27FC236}">
                  <a16:creationId xmlns:a16="http://schemas.microsoft.com/office/drawing/2014/main" id="{00000000-0008-0000-02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98179C4" w14:textId="77777777" w:rsidR="00D8744E" w:rsidRPr="0062711C" w:rsidRDefault="00D8744E" w:rsidP="005C539B">
      <w:pPr>
        <w:rPr>
          <w:rFonts w:cstheme="minorHAnsi"/>
          <w:szCs w:val="72"/>
          <w:lang w:val="sr-Cyrl-RS"/>
        </w:rPr>
      </w:pPr>
      <w:r w:rsidRPr="0062711C">
        <w:rPr>
          <w:rFonts w:cstheme="minorHAnsi"/>
          <w:bCs/>
          <w:sz w:val="16"/>
          <w:szCs w:val="72"/>
          <w:lang w:val="sr-Cyrl-RS"/>
        </w:rPr>
        <w:t xml:space="preserve">Извор: ММФ, </w:t>
      </w:r>
      <w:r w:rsidRPr="0062711C">
        <w:rPr>
          <w:rFonts w:cstheme="minorHAnsi"/>
          <w:bCs/>
          <w:i/>
          <w:sz w:val="16"/>
          <w:szCs w:val="72"/>
          <w:lang w:val="sr-Cyrl-RS"/>
        </w:rPr>
        <w:t>World Economic Outlook</w:t>
      </w:r>
      <w:r w:rsidRPr="0062711C">
        <w:rPr>
          <w:rFonts w:cstheme="minorHAnsi"/>
          <w:bCs/>
          <w:sz w:val="16"/>
          <w:szCs w:val="72"/>
          <w:lang w:val="sr-Cyrl-RS"/>
        </w:rPr>
        <w:t>, април 2024.</w:t>
      </w:r>
    </w:p>
    <w:p w14:paraId="47291012" w14:textId="77777777" w:rsidR="00D8744E" w:rsidRPr="0062711C" w:rsidRDefault="00D8744E" w:rsidP="005C539B">
      <w:pPr>
        <w:rPr>
          <w:rFonts w:cstheme="minorHAnsi"/>
          <w:bCs/>
          <w:szCs w:val="72"/>
          <w:lang w:val="sr-Cyrl-RS"/>
        </w:rPr>
      </w:pPr>
      <w:r w:rsidRPr="0062711C">
        <w:rPr>
          <w:rFonts w:cstheme="minorHAnsi"/>
          <w:bCs/>
          <w:szCs w:val="72"/>
          <w:lang w:val="sr-Cyrl-RS"/>
        </w:rPr>
        <w:t>Америчке федералне резерве (у даљем тексту: ФЕД) повећале су референтну каматну стопу у јулу 2023. године на распон 5,25% до 5,50%, чиме је достигнут највиши ниво у последње две деценије. Каматне стопе су након тога остале на истом нивоу, а даље мере монетарне политике зависиће од кретања на глобалним тржиштима и стопе инфлације.</w:t>
      </w:r>
    </w:p>
    <w:p w14:paraId="0D5A6167" w14:textId="77777777" w:rsidR="00D8744E" w:rsidRPr="0062711C" w:rsidRDefault="00D8744E" w:rsidP="005C539B">
      <w:pPr>
        <w:spacing w:after="0"/>
        <w:jc w:val="center"/>
        <w:rPr>
          <w:rFonts w:cstheme="minorHAnsi"/>
          <w:b/>
          <w:bCs/>
          <w:color w:val="002060"/>
          <w:szCs w:val="72"/>
          <w:lang w:val="sr-Cyrl-RS"/>
        </w:rPr>
      </w:pPr>
      <w:r w:rsidRPr="0062711C">
        <w:rPr>
          <w:rFonts w:cstheme="minorHAnsi"/>
          <w:b/>
          <w:bCs/>
          <w:color w:val="002060"/>
          <w:szCs w:val="72"/>
          <w:lang w:val="sr-Cyrl-RS"/>
        </w:rPr>
        <w:t>Кретање референтне каматне стопе по изабраним земљама, %</w:t>
      </w:r>
    </w:p>
    <w:p w14:paraId="5F575E3E" w14:textId="45A03FB1" w:rsidR="00D8744E" w:rsidRPr="0062711C" w:rsidRDefault="00567A3C" w:rsidP="005C539B">
      <w:pPr>
        <w:spacing w:after="40"/>
        <w:rPr>
          <w:rFonts w:cstheme="minorHAnsi"/>
          <w:bCs/>
          <w:szCs w:val="72"/>
          <w:lang w:val="sr-Cyrl-RS"/>
        </w:rPr>
      </w:pPr>
      <w:r>
        <w:rPr>
          <w:noProof/>
          <w:lang w:val="en-GB" w:eastAsia="en-GB"/>
        </w:rPr>
        <w:drawing>
          <wp:inline distT="0" distB="0" distL="0" distR="0" wp14:anchorId="2FB8496F" wp14:editId="55A856F5">
            <wp:extent cx="2743200" cy="1545336"/>
            <wp:effectExtent l="0" t="0" r="0" b="0"/>
            <wp:docPr id="9" name="Chart 9">
              <a:extLst xmlns:a="http://schemas.openxmlformats.org/drawingml/2006/main">
                <a:ext uri="{FF2B5EF4-FFF2-40B4-BE49-F238E27FC236}">
                  <a16:creationId xmlns:a16="http://schemas.microsoft.com/office/drawing/2014/main" id="{00000000-0008-0000-0700-00001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5C768B6" w14:textId="77777777" w:rsidR="00D8744E" w:rsidRPr="0062711C" w:rsidRDefault="00D8744E" w:rsidP="005C539B">
      <w:pPr>
        <w:spacing w:after="0" w:line="240" w:lineRule="auto"/>
        <w:rPr>
          <w:rFonts w:cstheme="minorHAnsi"/>
          <w:bCs/>
          <w:sz w:val="16"/>
          <w:szCs w:val="16"/>
          <w:lang w:val="sr-Cyrl-RS"/>
        </w:rPr>
      </w:pPr>
      <w:r w:rsidRPr="0062711C">
        <w:rPr>
          <w:rFonts w:cstheme="minorHAnsi"/>
          <w:bCs/>
          <w:sz w:val="16"/>
          <w:szCs w:val="16"/>
          <w:lang w:val="sr-Cyrl-RS"/>
        </w:rPr>
        <w:t>Извор: Централне банке изабраних земаља</w:t>
      </w:r>
    </w:p>
    <w:p w14:paraId="3E08CF15" w14:textId="77777777" w:rsidR="00D8744E" w:rsidRPr="0062711C" w:rsidRDefault="00D8744E" w:rsidP="005C539B">
      <w:pPr>
        <w:rPr>
          <w:rFonts w:cstheme="minorHAnsi"/>
          <w:bCs/>
          <w:szCs w:val="72"/>
          <w:lang w:val="sr-Cyrl-RS"/>
        </w:rPr>
      </w:pPr>
      <w:r w:rsidRPr="0062711C">
        <w:rPr>
          <w:rFonts w:cstheme="minorHAnsi"/>
          <w:bCs/>
          <w:szCs w:val="72"/>
          <w:lang w:val="sr-Cyrl-RS"/>
        </w:rPr>
        <w:t>Посматрано на глобалном нивоу учешће јавног дуга у БДП је нагло порасло током пандемије, а високи расходи за камате смањују фискални простор за јавне инвестиције које би допринеле бржем привредном расту. Са приближавањем инфлације циљаним нивоима, циклус ублажавања монетарне политике у условима високих јавних дугова у многим економијама може бити праћен пооштравањем фискалне политике, уз веће порезе и нижу државну потрошњу, а што би имало ограничавајући ефекат на економски раст.</w:t>
      </w:r>
    </w:p>
    <w:p w14:paraId="72FD1E9C" w14:textId="77777777" w:rsidR="00D8744E" w:rsidRPr="0062711C" w:rsidRDefault="00D8744E" w:rsidP="005C539B">
      <w:pPr>
        <w:rPr>
          <w:rFonts w:cstheme="minorHAnsi"/>
          <w:bCs/>
          <w:szCs w:val="72"/>
          <w:lang w:val="sr-Cyrl-RS"/>
        </w:rPr>
      </w:pPr>
      <w:r w:rsidRPr="0062711C">
        <w:rPr>
          <w:rStyle w:val="rynqvb"/>
          <w:lang w:val="sr-Cyrl-RS"/>
        </w:rPr>
        <w:t>Ризици пројекције глобалног привредног раста оцењени су као симетрични, одражавајући боље глобалне економске изгледе у поређењу са извештајем ММФ из октобра претходне године.</w:t>
      </w:r>
      <w:r w:rsidRPr="0062711C">
        <w:rPr>
          <w:rStyle w:val="hwtze"/>
          <w:lang w:val="sr-Cyrl-RS"/>
        </w:rPr>
        <w:t xml:space="preserve"> </w:t>
      </w:r>
      <w:r w:rsidRPr="0062711C">
        <w:rPr>
          <w:rStyle w:val="rynqvb"/>
          <w:lang w:val="sr-Cyrl-RS"/>
        </w:rPr>
        <w:t>Ризици који могу утицати на нижи глобални привредни раст од очекиваног везани су за нове скокове цена услед даљих геополитичких тензија и сукоба у Украјини и Израелу, који у комбинацији са постојаном базном инфлацијом и присутним трошковним притисцима са тржишта рада</w:t>
      </w:r>
      <w:r w:rsidRPr="0062711C">
        <w:rPr>
          <w:rStyle w:val="rynqvb"/>
          <w:color w:val="FF0000"/>
          <w:lang w:val="sr-Cyrl-RS"/>
        </w:rPr>
        <w:t xml:space="preserve"> </w:t>
      </w:r>
      <w:r w:rsidRPr="0062711C">
        <w:rPr>
          <w:rStyle w:val="rynqvb"/>
          <w:lang w:val="sr-Cyrl-RS"/>
        </w:rPr>
        <w:t>могу условити раст инфлационих очекивања и самим тим успорити процес дезинфлације и одложити почетак ублажавања монетарне политике. Различита брзина дезинфлације међу водећим економијама може условити неповољна валутна кретања и тиме угрозити стабилност финансијског сектора.</w:t>
      </w:r>
      <w:r w:rsidRPr="0062711C">
        <w:rPr>
          <w:rStyle w:val="hwtze"/>
          <w:lang w:val="sr-Cyrl-RS"/>
        </w:rPr>
        <w:t xml:space="preserve"> И даље постоји бојазан да ће дејство високих каматних стопа услед претходно заоштрених монетарних услова имати јачи ограничавајући ефекат на привредни раст од претходно предвиђеног, поготову у условима велике задужености становништва.</w:t>
      </w:r>
      <w:r w:rsidRPr="0062711C">
        <w:rPr>
          <w:rStyle w:val="rynqvb"/>
          <w:lang w:val="sr-Cyrl-RS"/>
        </w:rPr>
        <w:t xml:space="preserve"> Спорији опоравак економске активности у Кини, делом као последица нерешених проблема у сектору некретнина, имао би негативан утицај на трговинске партнере у региону и шире. Услед високог јавног дуга у многим економијама, заокрет ка наглом повећању пореза и смањењу потрошње могао би ослабити привредну активност, нарушити пословно поверење и ограничити средства за реформске процесе усмерене на смањивање ризика од климатских промена. Поред тога, интензивирање геоекономске фрагментације уз веће баријере у протоку робе, капитала и људи имало би ограничавајући ефекат на страни понуде. </w:t>
      </w:r>
      <w:r w:rsidRPr="0062711C">
        <w:rPr>
          <w:rFonts w:cstheme="minorHAnsi"/>
          <w:bCs/>
          <w:szCs w:val="72"/>
          <w:lang w:val="sr-Cyrl-RS"/>
        </w:rPr>
        <w:t xml:space="preserve">Са друге стране, експанзивнија фискална политика у односу </w:t>
      </w:r>
      <w:r w:rsidRPr="0062711C">
        <w:rPr>
          <w:rFonts w:cstheme="minorHAnsi"/>
          <w:bCs/>
          <w:szCs w:val="72"/>
          <w:lang w:val="sr-Cyrl-RS"/>
        </w:rPr>
        <w:lastRenderedPageBreak/>
        <w:t>на очекивања могла би позитивно утицати на</w:t>
      </w:r>
      <w:r w:rsidRPr="0062711C" w:rsidDel="00350F42">
        <w:rPr>
          <w:rFonts w:cstheme="minorHAnsi"/>
          <w:bCs/>
          <w:szCs w:val="72"/>
          <w:lang w:val="sr-Cyrl-RS"/>
        </w:rPr>
        <w:t xml:space="preserve"> </w:t>
      </w:r>
      <w:r w:rsidRPr="0062711C">
        <w:rPr>
          <w:rFonts w:cstheme="minorHAnsi"/>
          <w:bCs/>
          <w:szCs w:val="72"/>
          <w:lang w:val="sr-Cyrl-RS"/>
        </w:rPr>
        <w:t>економску активност у кратком року, али уз ризик скупљих мера прилагођавања</w:t>
      </w:r>
      <w:r w:rsidRPr="0062711C">
        <w:rPr>
          <w:lang w:val="sr-Cyrl-RS"/>
        </w:rPr>
        <w:t xml:space="preserve"> </w:t>
      </w:r>
      <w:r w:rsidRPr="0062711C">
        <w:rPr>
          <w:rFonts w:cstheme="minorHAnsi"/>
          <w:bCs/>
          <w:szCs w:val="72"/>
          <w:lang w:val="sr-Cyrl-RS"/>
        </w:rPr>
        <w:t>у каснијем периоду. Брже смањење инфлације од предвиђеног омогућило би централним банкама брже попуштање монетарних услова од очекиваног, што би уз ниже трошкове задуживања и побољшано поверење потрошача допринело убрзању економске активности. Поред тога, ефекти примене вештачке интелигенције и ефикасније спровођења структурних реформи могли би да подстакну раст продуктивности,</w:t>
      </w:r>
      <w:r w:rsidRPr="0062711C">
        <w:rPr>
          <w:lang w:val="sr-Cyrl-RS"/>
        </w:rPr>
        <w:t xml:space="preserve"> </w:t>
      </w:r>
      <w:r w:rsidRPr="0062711C">
        <w:rPr>
          <w:rFonts w:cstheme="minorHAnsi"/>
          <w:bCs/>
          <w:szCs w:val="72"/>
          <w:lang w:val="sr-Cyrl-RS"/>
        </w:rPr>
        <w:t>доприносећи већем средњорочном расту него што предвиђа основни сценарио.</w:t>
      </w:r>
    </w:p>
    <w:p w14:paraId="738C3989" w14:textId="77777777" w:rsidR="00D8744E" w:rsidRPr="0062711C" w:rsidRDefault="00D8744E" w:rsidP="005C539B">
      <w:pPr>
        <w:rPr>
          <w:b/>
          <w:color w:val="2F5496"/>
          <w:lang w:val="sr-Cyrl-RS"/>
        </w:rPr>
      </w:pPr>
      <w:r w:rsidRPr="0062711C">
        <w:rPr>
          <w:b/>
          <w:color w:val="2F5496"/>
          <w:lang w:val="sr-Cyrl-RS"/>
        </w:rPr>
        <w:t>Макроекономске процене Европске централне банке (ЕЦБ) за подручје еврозоне</w:t>
      </w:r>
    </w:p>
    <w:p w14:paraId="65882824" w14:textId="77777777" w:rsidR="00D8744E" w:rsidRPr="0062711C" w:rsidRDefault="00D8744E" w:rsidP="005C539B">
      <w:pPr>
        <w:rPr>
          <w:lang w:val="sr-Cyrl-RS"/>
        </w:rPr>
      </w:pPr>
      <w:r w:rsidRPr="0062711C">
        <w:rPr>
          <w:lang w:val="sr-Cyrl-RS"/>
        </w:rPr>
        <w:t>Економија еврозоне је у 2023. години забележила раст од 0,4%, што је значајно спорије од иницијалних очекивања ЕЦБ, али и од динамике у 2022. години. Оваква кретања последица су пооштрених услова финансирања, слабог поверења потрошача и инвеститора, мање спољне тражње, као и смањене конкурентности услед валутних кретања и већих трошкова производње изазваних снажним растом цена енергената.</w:t>
      </w:r>
    </w:p>
    <w:p w14:paraId="3378D228" w14:textId="3BF6EEE2" w:rsidR="00D8744E" w:rsidRPr="0062711C" w:rsidRDefault="00D8744E" w:rsidP="009202D8">
      <w:pPr>
        <w:spacing w:after="400"/>
        <w:rPr>
          <w:lang w:val="sr-Cyrl-RS"/>
        </w:rPr>
      </w:pPr>
      <w:r w:rsidRPr="0062711C">
        <w:rPr>
          <w:lang w:val="sr-Cyrl-RS"/>
        </w:rPr>
        <w:t xml:space="preserve">Најновији показатељи упућују на закључак да ће опоравак у краткорочном раздобљу бити спорији него што је претходно очекивано. </w:t>
      </w:r>
      <w:r w:rsidRPr="0062711C">
        <w:rPr>
          <w:rFonts w:ascii="Calibri" w:hAnsi="Calibri" w:cs="Calibri"/>
          <w:lang w:val="sr-Cyrl-RS"/>
        </w:rPr>
        <w:t>Према мартовским пројекцијама ЕЦБ,</w:t>
      </w:r>
      <w:r w:rsidRPr="0062711C">
        <w:rPr>
          <w:lang w:val="sr-Cyrl-RS"/>
        </w:rPr>
        <w:t xml:space="preserve"> </w:t>
      </w:r>
      <w:r w:rsidRPr="0062711C">
        <w:rPr>
          <w:rFonts w:ascii="Calibri" w:hAnsi="Calibri" w:cs="Calibri"/>
          <w:lang w:val="sr-Cyrl-RS"/>
        </w:rPr>
        <w:t>годишњи</w:t>
      </w:r>
      <w:r w:rsidRPr="0062711C">
        <w:rPr>
          <w:lang w:val="sr-Cyrl-RS"/>
        </w:rPr>
        <w:t xml:space="preserve"> </w:t>
      </w:r>
      <w:r w:rsidRPr="0062711C">
        <w:rPr>
          <w:rFonts w:ascii="Calibri" w:hAnsi="Calibri" w:cs="Calibri"/>
          <w:lang w:val="sr-Cyrl-RS"/>
        </w:rPr>
        <w:t>раст</w:t>
      </w:r>
      <w:r w:rsidRPr="0062711C">
        <w:rPr>
          <w:lang w:val="sr-Cyrl-RS"/>
        </w:rPr>
        <w:t xml:space="preserve"> </w:t>
      </w:r>
      <w:r w:rsidRPr="0062711C">
        <w:rPr>
          <w:rFonts w:ascii="Calibri" w:hAnsi="Calibri" w:cs="Calibri"/>
          <w:lang w:val="sr-Cyrl-RS"/>
        </w:rPr>
        <w:t>реа</w:t>
      </w:r>
      <w:r w:rsidRPr="0062711C">
        <w:rPr>
          <w:lang w:val="sr-Cyrl-RS"/>
        </w:rPr>
        <w:t xml:space="preserve">лног БДП еврозоне у 2024. години износиће 0,6%, што је ревизија наниже за 0,2 п.п. у односу </w:t>
      </w:r>
      <w:r w:rsidRPr="0062711C">
        <w:rPr>
          <w:lang w:val="sr-Cyrl-RS"/>
        </w:rPr>
        <w:t xml:space="preserve">на очекивања из децембра. Ревизије наниже последица је пре свега утицаја преносног ефекта, услед слабије од претходно очекиване динамике економске активности током последњег квартала 2023. године, као и спорије динамике високофреквентних индикатора почетком 2024. године. Ипак, предвиђа се да ће економска активност током 2024. године поступно јачати упоредо са растом реалног расположивог дохотка становништва, у условима мање инфлације и реалног раста плата, као и услед побољшања трговинских услова. Приватна потрошња са повећањем од 1,2% ће бити главни покретач раста БДП у 2024. години. Рестриктивни услови финансирања, посебно високе каматне стопе, као и опрезност инвеститора одразиће се на пад </w:t>
      </w:r>
      <w:r w:rsidR="0098343E" w:rsidRPr="0062711C">
        <w:rPr>
          <w:lang w:val="sr-Cyrl-RS"/>
        </w:rPr>
        <w:t>фиксних</w:t>
      </w:r>
      <w:r w:rsidRPr="0062711C">
        <w:rPr>
          <w:lang w:val="sr-Cyrl-RS"/>
        </w:rPr>
        <w:t xml:space="preserve"> инвестиција од 0,6%, док ће допринос нето извоза бити готово неутралан. У средњем року очекује се постепено убрзање инвестиционе активности услед слабљења утицаја пооштравања монетарне политике, континуираног повећавања улагања у зелену и дигиталну транзицију у приватном сектору, јачања домаће и спољне тражње, као и позитивних ефеката у оквиру програма </w:t>
      </w:r>
      <w:r w:rsidRPr="0062711C">
        <w:rPr>
          <w:i/>
          <w:lang w:val="sr-Cyrl-RS"/>
        </w:rPr>
        <w:t>Next Generation EU</w:t>
      </w:r>
      <w:r w:rsidRPr="0062711C">
        <w:rPr>
          <w:lang w:val="sr-Cyrl-RS"/>
        </w:rPr>
        <w:t>. Раст инвестиција и даље побољшање трговинских услова уз већу приватну потрошњу главни су фактори који ће утицати на убрзање раста БДП у 2025. и 2026. години који би према пројекцији ЕЦБ требао да износи 1,5% односно 1,6%, респективно, што је готово непромењено у односу на претходна очекивања.</w:t>
      </w:r>
    </w:p>
    <w:p w14:paraId="3D2323A5" w14:textId="77777777" w:rsidR="00D8744E" w:rsidRPr="0062711C" w:rsidRDefault="00D8744E" w:rsidP="005C539B">
      <w:pPr>
        <w:spacing w:after="120" w:line="240" w:lineRule="auto"/>
        <w:ind w:left="255"/>
        <w:jc w:val="center"/>
        <w:rPr>
          <w:b/>
          <w:color w:val="002060"/>
          <w:lang w:val="sr-Cyrl-RS"/>
        </w:rPr>
        <w:sectPr w:rsidR="00D8744E" w:rsidRPr="0062711C" w:rsidSect="00F45C01">
          <w:type w:val="continuous"/>
          <w:pgSz w:w="12240" w:h="15840" w:code="1"/>
          <w:pgMar w:top="1440" w:right="1440" w:bottom="1440" w:left="1440" w:header="720" w:footer="720" w:gutter="0"/>
          <w:cols w:num="2" w:space="720"/>
          <w:docGrid w:linePitch="360"/>
        </w:sectPr>
      </w:pPr>
    </w:p>
    <w:tbl>
      <w:tblPr>
        <w:tblW w:w="5000" w:type="pct"/>
        <w:tblLook w:val="04A0" w:firstRow="1" w:lastRow="0" w:firstColumn="1" w:lastColumn="0" w:noHBand="0" w:noVBand="1"/>
      </w:tblPr>
      <w:tblGrid>
        <w:gridCol w:w="4448"/>
        <w:gridCol w:w="1228"/>
        <w:gridCol w:w="1228"/>
        <w:gridCol w:w="1228"/>
        <w:gridCol w:w="1228"/>
      </w:tblGrid>
      <w:tr w:rsidR="00D8744E" w:rsidRPr="0062711C" w14:paraId="1958B49C" w14:textId="77777777" w:rsidTr="005C539B">
        <w:trPr>
          <w:trHeight w:val="300"/>
        </w:trPr>
        <w:tc>
          <w:tcPr>
            <w:tcW w:w="5000" w:type="pct"/>
            <w:gridSpan w:val="5"/>
            <w:tcBorders>
              <w:bottom w:val="single" w:sz="4" w:space="0" w:color="002060"/>
            </w:tcBorders>
            <w:shd w:val="clear" w:color="auto" w:fill="auto"/>
            <w:noWrap/>
            <w:vAlign w:val="bottom"/>
            <w:hideMark/>
          </w:tcPr>
          <w:p w14:paraId="081B45FD" w14:textId="77777777" w:rsidR="00D8744E" w:rsidRPr="0062711C" w:rsidRDefault="00D8744E" w:rsidP="005C539B">
            <w:pPr>
              <w:spacing w:after="120" w:line="240" w:lineRule="auto"/>
              <w:ind w:left="255"/>
              <w:jc w:val="center"/>
              <w:rPr>
                <w:rFonts w:cstheme="minorHAnsi"/>
                <w:color w:val="002060"/>
                <w:sz w:val="18"/>
                <w:lang w:val="sr-Cyrl-RS"/>
              </w:rPr>
            </w:pPr>
            <w:r w:rsidRPr="0062711C">
              <w:rPr>
                <w:b/>
                <w:color w:val="002060"/>
                <w:lang w:val="sr-Cyrl-RS"/>
              </w:rPr>
              <w:t>Табела 2. Макроекономске пројекције за подручје еврозоне, %</w:t>
            </w:r>
          </w:p>
        </w:tc>
      </w:tr>
      <w:tr w:rsidR="00D8744E" w:rsidRPr="0062711C" w14:paraId="1A0F08FF" w14:textId="77777777" w:rsidTr="005C539B">
        <w:trPr>
          <w:trHeight w:val="227"/>
        </w:trPr>
        <w:tc>
          <w:tcPr>
            <w:tcW w:w="2376" w:type="pct"/>
            <w:tcBorders>
              <w:top w:val="single" w:sz="4" w:space="0" w:color="002060"/>
            </w:tcBorders>
            <w:shd w:val="clear" w:color="auto" w:fill="auto"/>
            <w:noWrap/>
            <w:vAlign w:val="center"/>
          </w:tcPr>
          <w:p w14:paraId="7B1572E6" w14:textId="77777777" w:rsidR="00D8744E" w:rsidRPr="0062711C" w:rsidRDefault="00D8744E" w:rsidP="005C539B">
            <w:pPr>
              <w:spacing w:after="0" w:line="240" w:lineRule="auto"/>
              <w:jc w:val="center"/>
              <w:rPr>
                <w:rFonts w:eastAsia="Times New Roman" w:cs="Times New Roman"/>
                <w:color w:val="002060"/>
                <w:sz w:val="18"/>
                <w:szCs w:val="18"/>
                <w:lang w:val="sr-Cyrl-RS"/>
              </w:rPr>
            </w:pPr>
          </w:p>
        </w:tc>
        <w:tc>
          <w:tcPr>
            <w:tcW w:w="656" w:type="pct"/>
            <w:tcBorders>
              <w:top w:val="single" w:sz="4" w:space="0" w:color="002060"/>
              <w:bottom w:val="single" w:sz="4" w:space="0" w:color="002060"/>
            </w:tcBorders>
            <w:shd w:val="clear" w:color="auto" w:fill="auto"/>
            <w:noWrap/>
            <w:vAlign w:val="center"/>
          </w:tcPr>
          <w:p w14:paraId="00E5E489"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2023*</w:t>
            </w:r>
          </w:p>
        </w:tc>
        <w:tc>
          <w:tcPr>
            <w:tcW w:w="656" w:type="pct"/>
            <w:tcBorders>
              <w:top w:val="single" w:sz="4" w:space="0" w:color="002060"/>
              <w:bottom w:val="single" w:sz="4" w:space="0" w:color="002060"/>
            </w:tcBorders>
            <w:shd w:val="clear" w:color="auto" w:fill="auto"/>
            <w:noWrap/>
            <w:vAlign w:val="center"/>
          </w:tcPr>
          <w:p w14:paraId="0E7CFC5E"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2024</w:t>
            </w:r>
          </w:p>
        </w:tc>
        <w:tc>
          <w:tcPr>
            <w:tcW w:w="656" w:type="pct"/>
            <w:tcBorders>
              <w:top w:val="single" w:sz="4" w:space="0" w:color="002060"/>
              <w:bottom w:val="single" w:sz="4" w:space="0" w:color="002060"/>
            </w:tcBorders>
            <w:shd w:val="clear" w:color="auto" w:fill="auto"/>
            <w:noWrap/>
            <w:vAlign w:val="center"/>
          </w:tcPr>
          <w:p w14:paraId="6BEA5626"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2025</w:t>
            </w:r>
          </w:p>
        </w:tc>
        <w:tc>
          <w:tcPr>
            <w:tcW w:w="656" w:type="pct"/>
            <w:tcBorders>
              <w:top w:val="single" w:sz="4" w:space="0" w:color="002060"/>
              <w:bottom w:val="single" w:sz="4" w:space="0" w:color="002060"/>
            </w:tcBorders>
            <w:shd w:val="clear" w:color="auto" w:fill="auto"/>
            <w:noWrap/>
            <w:vAlign w:val="center"/>
          </w:tcPr>
          <w:p w14:paraId="17F7D765"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2026</w:t>
            </w:r>
          </w:p>
        </w:tc>
      </w:tr>
      <w:tr w:rsidR="00D8744E" w:rsidRPr="0062711C" w14:paraId="4E593690" w14:textId="77777777" w:rsidTr="005C539B">
        <w:trPr>
          <w:trHeight w:val="227"/>
        </w:trPr>
        <w:tc>
          <w:tcPr>
            <w:tcW w:w="2376" w:type="pct"/>
            <w:shd w:val="clear" w:color="auto" w:fill="auto"/>
            <w:noWrap/>
            <w:vAlign w:val="bottom"/>
            <w:hideMark/>
          </w:tcPr>
          <w:p w14:paraId="4DD8E72B"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БДП</w:t>
            </w:r>
          </w:p>
        </w:tc>
        <w:tc>
          <w:tcPr>
            <w:tcW w:w="656" w:type="pct"/>
            <w:tcBorders>
              <w:top w:val="single" w:sz="4" w:space="0" w:color="002060"/>
            </w:tcBorders>
            <w:shd w:val="clear" w:color="auto" w:fill="auto"/>
            <w:noWrap/>
            <w:vAlign w:val="center"/>
            <w:hideMark/>
          </w:tcPr>
          <w:p w14:paraId="15292FDF"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0,4</w:t>
            </w:r>
          </w:p>
        </w:tc>
        <w:tc>
          <w:tcPr>
            <w:tcW w:w="656" w:type="pct"/>
            <w:tcBorders>
              <w:top w:val="single" w:sz="4" w:space="0" w:color="002060"/>
            </w:tcBorders>
            <w:shd w:val="clear" w:color="auto" w:fill="FFFFFF" w:themeFill="background1"/>
            <w:noWrap/>
            <w:vAlign w:val="center"/>
            <w:hideMark/>
          </w:tcPr>
          <w:p w14:paraId="681E29EB"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0,6</w:t>
            </w:r>
          </w:p>
        </w:tc>
        <w:tc>
          <w:tcPr>
            <w:tcW w:w="656" w:type="pct"/>
            <w:tcBorders>
              <w:top w:val="single" w:sz="4" w:space="0" w:color="002060"/>
            </w:tcBorders>
            <w:shd w:val="clear" w:color="auto" w:fill="auto"/>
            <w:noWrap/>
            <w:vAlign w:val="center"/>
            <w:hideMark/>
          </w:tcPr>
          <w:p w14:paraId="683B0724"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1,5</w:t>
            </w:r>
          </w:p>
        </w:tc>
        <w:tc>
          <w:tcPr>
            <w:tcW w:w="656" w:type="pct"/>
            <w:tcBorders>
              <w:top w:val="single" w:sz="4" w:space="0" w:color="002060"/>
            </w:tcBorders>
            <w:shd w:val="clear" w:color="auto" w:fill="auto"/>
            <w:noWrap/>
            <w:vAlign w:val="center"/>
          </w:tcPr>
          <w:p w14:paraId="3B8DEA10"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1,6</w:t>
            </w:r>
          </w:p>
        </w:tc>
      </w:tr>
      <w:tr w:rsidR="00D8744E" w:rsidRPr="0062711C" w14:paraId="5FA60AB1" w14:textId="77777777" w:rsidTr="005C539B">
        <w:trPr>
          <w:trHeight w:val="227"/>
        </w:trPr>
        <w:tc>
          <w:tcPr>
            <w:tcW w:w="2376" w:type="pct"/>
            <w:shd w:val="clear" w:color="auto" w:fill="auto"/>
            <w:noWrap/>
            <w:vAlign w:val="bottom"/>
            <w:hideMark/>
          </w:tcPr>
          <w:p w14:paraId="4F8F087B" w14:textId="77777777" w:rsidR="00D8744E" w:rsidRPr="0062711C" w:rsidRDefault="00D8744E" w:rsidP="005C539B">
            <w:pPr>
              <w:spacing w:after="0" w:line="240" w:lineRule="auto"/>
              <w:ind w:left="527" w:hanging="357"/>
              <w:rPr>
                <w:rFonts w:cstheme="minorHAnsi"/>
                <w:color w:val="002060"/>
                <w:sz w:val="18"/>
                <w:lang w:val="sr-Cyrl-RS"/>
              </w:rPr>
            </w:pPr>
            <w:r w:rsidRPr="0062711C">
              <w:rPr>
                <w:rFonts w:cstheme="minorHAnsi"/>
                <w:color w:val="002060"/>
                <w:sz w:val="18"/>
                <w:lang w:val="sr-Cyrl-RS"/>
              </w:rPr>
              <w:t>Лична потрошња</w:t>
            </w:r>
          </w:p>
        </w:tc>
        <w:tc>
          <w:tcPr>
            <w:tcW w:w="656" w:type="pct"/>
            <w:shd w:val="clear" w:color="auto" w:fill="auto"/>
            <w:noWrap/>
            <w:vAlign w:val="center"/>
            <w:hideMark/>
          </w:tcPr>
          <w:p w14:paraId="3D452C2D"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0,5</w:t>
            </w:r>
          </w:p>
        </w:tc>
        <w:tc>
          <w:tcPr>
            <w:tcW w:w="656" w:type="pct"/>
            <w:shd w:val="clear" w:color="auto" w:fill="auto"/>
            <w:noWrap/>
            <w:vAlign w:val="center"/>
            <w:hideMark/>
          </w:tcPr>
          <w:p w14:paraId="21BC9DDB"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1,2</w:t>
            </w:r>
          </w:p>
        </w:tc>
        <w:tc>
          <w:tcPr>
            <w:tcW w:w="656" w:type="pct"/>
            <w:shd w:val="clear" w:color="auto" w:fill="auto"/>
            <w:noWrap/>
            <w:vAlign w:val="center"/>
            <w:hideMark/>
          </w:tcPr>
          <w:p w14:paraId="5C00966D"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1,6</w:t>
            </w:r>
          </w:p>
        </w:tc>
        <w:tc>
          <w:tcPr>
            <w:tcW w:w="656" w:type="pct"/>
            <w:shd w:val="clear" w:color="auto" w:fill="auto"/>
            <w:noWrap/>
            <w:vAlign w:val="center"/>
          </w:tcPr>
          <w:p w14:paraId="1D97B276"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1,5</w:t>
            </w:r>
          </w:p>
        </w:tc>
      </w:tr>
      <w:tr w:rsidR="00D8744E" w:rsidRPr="0062711C" w14:paraId="5496D37B" w14:textId="77777777" w:rsidTr="005C539B">
        <w:trPr>
          <w:trHeight w:val="227"/>
        </w:trPr>
        <w:tc>
          <w:tcPr>
            <w:tcW w:w="2376" w:type="pct"/>
            <w:shd w:val="clear" w:color="auto" w:fill="auto"/>
            <w:noWrap/>
            <w:vAlign w:val="bottom"/>
            <w:hideMark/>
          </w:tcPr>
          <w:p w14:paraId="7FF5207B" w14:textId="77777777" w:rsidR="00D8744E" w:rsidRPr="0062711C" w:rsidRDefault="00D8744E" w:rsidP="005C539B">
            <w:pPr>
              <w:spacing w:after="0" w:line="240" w:lineRule="auto"/>
              <w:ind w:left="527" w:hanging="357"/>
              <w:rPr>
                <w:rFonts w:cstheme="minorHAnsi"/>
                <w:color w:val="002060"/>
                <w:sz w:val="18"/>
                <w:lang w:val="sr-Cyrl-RS"/>
              </w:rPr>
            </w:pPr>
            <w:r w:rsidRPr="0062711C">
              <w:rPr>
                <w:rFonts w:cstheme="minorHAnsi"/>
                <w:color w:val="002060"/>
                <w:sz w:val="18"/>
                <w:lang w:val="sr-Cyrl-RS"/>
              </w:rPr>
              <w:t>Државна потрошња</w:t>
            </w:r>
          </w:p>
        </w:tc>
        <w:tc>
          <w:tcPr>
            <w:tcW w:w="656" w:type="pct"/>
            <w:shd w:val="clear" w:color="auto" w:fill="auto"/>
            <w:noWrap/>
            <w:vAlign w:val="center"/>
            <w:hideMark/>
          </w:tcPr>
          <w:p w14:paraId="79EC1C5F"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0,8</w:t>
            </w:r>
          </w:p>
        </w:tc>
        <w:tc>
          <w:tcPr>
            <w:tcW w:w="656" w:type="pct"/>
            <w:shd w:val="clear" w:color="auto" w:fill="auto"/>
            <w:noWrap/>
            <w:vAlign w:val="center"/>
            <w:hideMark/>
          </w:tcPr>
          <w:p w14:paraId="720954EE"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1,3</w:t>
            </w:r>
          </w:p>
        </w:tc>
        <w:tc>
          <w:tcPr>
            <w:tcW w:w="656" w:type="pct"/>
            <w:shd w:val="clear" w:color="auto" w:fill="auto"/>
            <w:noWrap/>
            <w:vAlign w:val="center"/>
            <w:hideMark/>
          </w:tcPr>
          <w:p w14:paraId="6B0C285E"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1,4</w:t>
            </w:r>
          </w:p>
        </w:tc>
        <w:tc>
          <w:tcPr>
            <w:tcW w:w="656" w:type="pct"/>
            <w:shd w:val="clear" w:color="auto" w:fill="auto"/>
            <w:noWrap/>
            <w:vAlign w:val="center"/>
          </w:tcPr>
          <w:p w14:paraId="4C758C5E"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1,2</w:t>
            </w:r>
          </w:p>
        </w:tc>
      </w:tr>
      <w:tr w:rsidR="00D8744E" w:rsidRPr="0062711C" w14:paraId="1ED69367" w14:textId="77777777" w:rsidTr="005C539B">
        <w:trPr>
          <w:trHeight w:val="227"/>
        </w:trPr>
        <w:tc>
          <w:tcPr>
            <w:tcW w:w="2376" w:type="pct"/>
            <w:shd w:val="clear" w:color="auto" w:fill="auto"/>
            <w:noWrap/>
            <w:vAlign w:val="bottom"/>
            <w:hideMark/>
          </w:tcPr>
          <w:p w14:paraId="393BEDA6" w14:textId="77777777" w:rsidR="00D8744E" w:rsidRPr="0062711C" w:rsidRDefault="00D8744E" w:rsidP="005C539B">
            <w:pPr>
              <w:spacing w:after="0" w:line="240" w:lineRule="auto"/>
              <w:ind w:left="527" w:hanging="357"/>
              <w:rPr>
                <w:rFonts w:cstheme="minorHAnsi"/>
                <w:color w:val="002060"/>
                <w:sz w:val="18"/>
                <w:lang w:val="sr-Cyrl-RS"/>
              </w:rPr>
            </w:pPr>
            <w:r w:rsidRPr="0062711C">
              <w:rPr>
                <w:rFonts w:cstheme="minorHAnsi"/>
                <w:color w:val="002060"/>
                <w:sz w:val="18"/>
                <w:lang w:val="sr-Cyrl-RS"/>
              </w:rPr>
              <w:t>Бруто инвестиције у основна средства</w:t>
            </w:r>
          </w:p>
        </w:tc>
        <w:tc>
          <w:tcPr>
            <w:tcW w:w="656" w:type="pct"/>
            <w:shd w:val="clear" w:color="auto" w:fill="auto"/>
            <w:noWrap/>
            <w:vAlign w:val="center"/>
            <w:hideMark/>
          </w:tcPr>
          <w:p w14:paraId="4B18DC96"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1,2</w:t>
            </w:r>
          </w:p>
        </w:tc>
        <w:tc>
          <w:tcPr>
            <w:tcW w:w="656" w:type="pct"/>
            <w:shd w:val="clear" w:color="auto" w:fill="auto"/>
            <w:noWrap/>
            <w:vAlign w:val="center"/>
            <w:hideMark/>
          </w:tcPr>
          <w:p w14:paraId="13D333D2"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-0,6</w:t>
            </w:r>
          </w:p>
        </w:tc>
        <w:tc>
          <w:tcPr>
            <w:tcW w:w="656" w:type="pct"/>
            <w:shd w:val="clear" w:color="auto" w:fill="auto"/>
            <w:noWrap/>
            <w:vAlign w:val="center"/>
            <w:hideMark/>
          </w:tcPr>
          <w:p w14:paraId="2877C426"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1,6</w:t>
            </w:r>
          </w:p>
        </w:tc>
        <w:tc>
          <w:tcPr>
            <w:tcW w:w="656" w:type="pct"/>
            <w:shd w:val="clear" w:color="auto" w:fill="auto"/>
            <w:noWrap/>
            <w:vAlign w:val="center"/>
          </w:tcPr>
          <w:p w14:paraId="15ACBCE0"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2,3</w:t>
            </w:r>
          </w:p>
        </w:tc>
      </w:tr>
      <w:tr w:rsidR="00D8744E" w:rsidRPr="0062711C" w14:paraId="3308A6B8" w14:textId="77777777" w:rsidTr="005C539B">
        <w:trPr>
          <w:trHeight w:val="227"/>
        </w:trPr>
        <w:tc>
          <w:tcPr>
            <w:tcW w:w="2376" w:type="pct"/>
            <w:shd w:val="clear" w:color="auto" w:fill="auto"/>
            <w:noWrap/>
            <w:vAlign w:val="bottom"/>
            <w:hideMark/>
          </w:tcPr>
          <w:p w14:paraId="28E18879" w14:textId="77777777" w:rsidR="00D8744E" w:rsidRPr="0062711C" w:rsidRDefault="00D8744E" w:rsidP="005C539B">
            <w:pPr>
              <w:spacing w:after="0" w:line="240" w:lineRule="auto"/>
              <w:ind w:left="527" w:hanging="357"/>
              <w:rPr>
                <w:rFonts w:cstheme="minorHAnsi"/>
                <w:color w:val="002060"/>
                <w:sz w:val="18"/>
                <w:lang w:val="sr-Cyrl-RS"/>
              </w:rPr>
            </w:pPr>
            <w:r w:rsidRPr="0062711C">
              <w:rPr>
                <w:rFonts w:cstheme="minorHAnsi"/>
                <w:color w:val="002060"/>
                <w:sz w:val="18"/>
                <w:lang w:val="sr-Cyrl-RS"/>
              </w:rPr>
              <w:t>Извоз</w:t>
            </w:r>
          </w:p>
        </w:tc>
        <w:tc>
          <w:tcPr>
            <w:tcW w:w="656" w:type="pct"/>
            <w:shd w:val="clear" w:color="auto" w:fill="auto"/>
            <w:noWrap/>
            <w:vAlign w:val="center"/>
            <w:hideMark/>
          </w:tcPr>
          <w:p w14:paraId="6F3D4A51"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-1,1</w:t>
            </w:r>
          </w:p>
        </w:tc>
        <w:tc>
          <w:tcPr>
            <w:tcW w:w="656" w:type="pct"/>
            <w:shd w:val="clear" w:color="auto" w:fill="auto"/>
            <w:noWrap/>
            <w:vAlign w:val="center"/>
            <w:hideMark/>
          </w:tcPr>
          <w:p w14:paraId="1D5906C1"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1,0</w:t>
            </w:r>
          </w:p>
        </w:tc>
        <w:tc>
          <w:tcPr>
            <w:tcW w:w="656" w:type="pct"/>
            <w:shd w:val="clear" w:color="auto" w:fill="auto"/>
            <w:noWrap/>
            <w:vAlign w:val="center"/>
            <w:hideMark/>
          </w:tcPr>
          <w:p w14:paraId="7B64E15E"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2,9</w:t>
            </w:r>
          </w:p>
        </w:tc>
        <w:tc>
          <w:tcPr>
            <w:tcW w:w="656" w:type="pct"/>
            <w:shd w:val="clear" w:color="auto" w:fill="auto"/>
            <w:noWrap/>
            <w:vAlign w:val="center"/>
          </w:tcPr>
          <w:p w14:paraId="6826C962"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3,2</w:t>
            </w:r>
          </w:p>
        </w:tc>
      </w:tr>
      <w:tr w:rsidR="00D8744E" w:rsidRPr="0062711C" w14:paraId="71A94386" w14:textId="77777777" w:rsidTr="005C539B">
        <w:trPr>
          <w:trHeight w:val="227"/>
        </w:trPr>
        <w:tc>
          <w:tcPr>
            <w:tcW w:w="2376" w:type="pct"/>
            <w:shd w:val="clear" w:color="auto" w:fill="auto"/>
            <w:noWrap/>
            <w:vAlign w:val="bottom"/>
            <w:hideMark/>
          </w:tcPr>
          <w:p w14:paraId="6DF0ACD2" w14:textId="77777777" w:rsidR="00D8744E" w:rsidRPr="0062711C" w:rsidRDefault="00D8744E" w:rsidP="005C539B">
            <w:pPr>
              <w:spacing w:after="0" w:line="240" w:lineRule="auto"/>
              <w:ind w:left="527" w:hanging="357"/>
              <w:rPr>
                <w:rFonts w:cstheme="minorHAnsi"/>
                <w:color w:val="002060"/>
                <w:sz w:val="18"/>
                <w:lang w:val="sr-Cyrl-RS"/>
              </w:rPr>
            </w:pPr>
            <w:r w:rsidRPr="0062711C">
              <w:rPr>
                <w:rFonts w:cstheme="minorHAnsi"/>
                <w:color w:val="002060"/>
                <w:sz w:val="18"/>
                <w:lang w:val="sr-Cyrl-RS"/>
              </w:rPr>
              <w:t>Увоз</w:t>
            </w:r>
          </w:p>
        </w:tc>
        <w:tc>
          <w:tcPr>
            <w:tcW w:w="656" w:type="pct"/>
            <w:shd w:val="clear" w:color="auto" w:fill="auto"/>
            <w:noWrap/>
            <w:vAlign w:val="center"/>
            <w:hideMark/>
          </w:tcPr>
          <w:p w14:paraId="4522D52C"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-1,6</w:t>
            </w:r>
          </w:p>
        </w:tc>
        <w:tc>
          <w:tcPr>
            <w:tcW w:w="656" w:type="pct"/>
            <w:shd w:val="clear" w:color="auto" w:fill="auto"/>
            <w:noWrap/>
            <w:vAlign w:val="center"/>
            <w:hideMark/>
          </w:tcPr>
          <w:p w14:paraId="6458CD94"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1,0</w:t>
            </w:r>
          </w:p>
        </w:tc>
        <w:tc>
          <w:tcPr>
            <w:tcW w:w="656" w:type="pct"/>
            <w:shd w:val="clear" w:color="auto" w:fill="auto"/>
            <w:noWrap/>
            <w:vAlign w:val="center"/>
            <w:hideMark/>
          </w:tcPr>
          <w:p w14:paraId="3DD38361"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3,1</w:t>
            </w:r>
          </w:p>
        </w:tc>
        <w:tc>
          <w:tcPr>
            <w:tcW w:w="656" w:type="pct"/>
            <w:shd w:val="clear" w:color="auto" w:fill="auto"/>
            <w:noWrap/>
            <w:vAlign w:val="center"/>
          </w:tcPr>
          <w:p w14:paraId="7663E731"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3,2</w:t>
            </w:r>
          </w:p>
        </w:tc>
      </w:tr>
      <w:tr w:rsidR="00D8744E" w:rsidRPr="0062711C" w14:paraId="5C4F019B" w14:textId="77777777" w:rsidTr="005C539B">
        <w:trPr>
          <w:trHeight w:val="227"/>
        </w:trPr>
        <w:tc>
          <w:tcPr>
            <w:tcW w:w="2376" w:type="pct"/>
            <w:shd w:val="clear" w:color="auto" w:fill="auto"/>
            <w:noWrap/>
            <w:vAlign w:val="bottom"/>
            <w:hideMark/>
          </w:tcPr>
          <w:p w14:paraId="05906E49"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Запосленост</w:t>
            </w:r>
          </w:p>
        </w:tc>
        <w:tc>
          <w:tcPr>
            <w:tcW w:w="656" w:type="pct"/>
            <w:shd w:val="clear" w:color="auto" w:fill="auto"/>
            <w:noWrap/>
            <w:vAlign w:val="center"/>
            <w:hideMark/>
          </w:tcPr>
          <w:p w14:paraId="10E38AB7" w14:textId="77777777" w:rsidR="00D8744E" w:rsidRPr="0062711C" w:rsidRDefault="00D8744E" w:rsidP="005C539B">
            <w:pPr>
              <w:spacing w:after="0" w:line="240" w:lineRule="auto"/>
              <w:jc w:val="center"/>
              <w:rPr>
                <w:rFonts w:cstheme="minorHAnsi"/>
                <w:sz w:val="18"/>
                <w:lang w:val="sr-Cyrl-RS"/>
              </w:rPr>
            </w:pPr>
            <w:r w:rsidRPr="0062711C">
              <w:rPr>
                <w:rFonts w:cstheme="minorHAnsi"/>
                <w:sz w:val="18"/>
                <w:lang w:val="sr-Cyrl-RS"/>
              </w:rPr>
              <w:t>1,4</w:t>
            </w:r>
          </w:p>
        </w:tc>
        <w:tc>
          <w:tcPr>
            <w:tcW w:w="656" w:type="pct"/>
            <w:shd w:val="clear" w:color="auto" w:fill="auto"/>
            <w:noWrap/>
            <w:vAlign w:val="center"/>
            <w:hideMark/>
          </w:tcPr>
          <w:p w14:paraId="044D37B2"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0,5</w:t>
            </w:r>
          </w:p>
        </w:tc>
        <w:tc>
          <w:tcPr>
            <w:tcW w:w="656" w:type="pct"/>
            <w:shd w:val="clear" w:color="auto" w:fill="auto"/>
            <w:noWrap/>
            <w:vAlign w:val="center"/>
            <w:hideMark/>
          </w:tcPr>
          <w:p w14:paraId="215E5765"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0,3</w:t>
            </w:r>
          </w:p>
        </w:tc>
        <w:tc>
          <w:tcPr>
            <w:tcW w:w="656" w:type="pct"/>
            <w:shd w:val="clear" w:color="auto" w:fill="auto"/>
            <w:noWrap/>
            <w:vAlign w:val="center"/>
          </w:tcPr>
          <w:p w14:paraId="3B4B8C38"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0,4</w:t>
            </w:r>
          </w:p>
        </w:tc>
      </w:tr>
      <w:tr w:rsidR="00D8744E" w:rsidRPr="0062711C" w14:paraId="50AA740B" w14:textId="77777777" w:rsidTr="005C539B">
        <w:trPr>
          <w:trHeight w:val="227"/>
        </w:trPr>
        <w:tc>
          <w:tcPr>
            <w:tcW w:w="2376" w:type="pct"/>
            <w:shd w:val="clear" w:color="auto" w:fill="auto"/>
            <w:noWrap/>
            <w:vAlign w:val="bottom"/>
            <w:hideMark/>
          </w:tcPr>
          <w:p w14:paraId="5DFD792A"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Стопа незапослености</w:t>
            </w:r>
          </w:p>
        </w:tc>
        <w:tc>
          <w:tcPr>
            <w:tcW w:w="656" w:type="pct"/>
            <w:shd w:val="clear" w:color="auto" w:fill="auto"/>
            <w:noWrap/>
            <w:vAlign w:val="center"/>
            <w:hideMark/>
          </w:tcPr>
          <w:p w14:paraId="601E22A3"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6,6</w:t>
            </w:r>
          </w:p>
        </w:tc>
        <w:tc>
          <w:tcPr>
            <w:tcW w:w="656" w:type="pct"/>
            <w:shd w:val="clear" w:color="auto" w:fill="auto"/>
            <w:noWrap/>
            <w:vAlign w:val="center"/>
            <w:hideMark/>
          </w:tcPr>
          <w:p w14:paraId="7F23B402"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6,7</w:t>
            </w:r>
          </w:p>
        </w:tc>
        <w:tc>
          <w:tcPr>
            <w:tcW w:w="656" w:type="pct"/>
            <w:shd w:val="clear" w:color="auto" w:fill="auto"/>
            <w:noWrap/>
            <w:vAlign w:val="center"/>
            <w:hideMark/>
          </w:tcPr>
          <w:p w14:paraId="17BDA70B"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6,6</w:t>
            </w:r>
          </w:p>
        </w:tc>
        <w:tc>
          <w:tcPr>
            <w:tcW w:w="656" w:type="pct"/>
            <w:shd w:val="clear" w:color="auto" w:fill="auto"/>
            <w:noWrap/>
            <w:vAlign w:val="center"/>
          </w:tcPr>
          <w:p w14:paraId="61BDFD47"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6,6</w:t>
            </w:r>
          </w:p>
        </w:tc>
      </w:tr>
      <w:tr w:rsidR="00D8744E" w:rsidRPr="0062711C" w14:paraId="798709B6" w14:textId="77777777" w:rsidTr="005C539B">
        <w:trPr>
          <w:trHeight w:val="227"/>
        </w:trPr>
        <w:tc>
          <w:tcPr>
            <w:tcW w:w="2376" w:type="pct"/>
            <w:shd w:val="clear" w:color="auto" w:fill="auto"/>
            <w:noWrap/>
            <w:vAlign w:val="bottom"/>
            <w:hideMark/>
          </w:tcPr>
          <w:p w14:paraId="3632AF60"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Инфлација, просек периода</w:t>
            </w:r>
          </w:p>
        </w:tc>
        <w:tc>
          <w:tcPr>
            <w:tcW w:w="656" w:type="pct"/>
            <w:shd w:val="clear" w:color="auto" w:fill="auto"/>
            <w:noWrap/>
            <w:vAlign w:val="center"/>
            <w:hideMark/>
          </w:tcPr>
          <w:p w14:paraId="517EC67F"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5,4</w:t>
            </w:r>
          </w:p>
        </w:tc>
        <w:tc>
          <w:tcPr>
            <w:tcW w:w="656" w:type="pct"/>
            <w:shd w:val="clear" w:color="auto" w:fill="auto"/>
            <w:noWrap/>
            <w:vAlign w:val="center"/>
            <w:hideMark/>
          </w:tcPr>
          <w:p w14:paraId="0791E110"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2,3</w:t>
            </w:r>
          </w:p>
        </w:tc>
        <w:tc>
          <w:tcPr>
            <w:tcW w:w="656" w:type="pct"/>
            <w:shd w:val="clear" w:color="auto" w:fill="auto"/>
            <w:noWrap/>
            <w:vAlign w:val="center"/>
            <w:hideMark/>
          </w:tcPr>
          <w:p w14:paraId="0273DE03"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2,0</w:t>
            </w:r>
          </w:p>
        </w:tc>
        <w:tc>
          <w:tcPr>
            <w:tcW w:w="656" w:type="pct"/>
            <w:shd w:val="clear" w:color="auto" w:fill="auto"/>
            <w:noWrap/>
            <w:vAlign w:val="center"/>
          </w:tcPr>
          <w:p w14:paraId="3218B93C"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1,9</w:t>
            </w:r>
          </w:p>
        </w:tc>
      </w:tr>
      <w:tr w:rsidR="00D8744E" w:rsidRPr="0062711C" w14:paraId="58B15927" w14:textId="77777777" w:rsidTr="005C539B">
        <w:trPr>
          <w:trHeight w:val="227"/>
        </w:trPr>
        <w:tc>
          <w:tcPr>
            <w:tcW w:w="2376" w:type="pct"/>
            <w:shd w:val="clear" w:color="auto" w:fill="auto"/>
            <w:noWrap/>
            <w:vAlign w:val="bottom"/>
            <w:hideMark/>
          </w:tcPr>
          <w:p w14:paraId="4C8C96EF"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Јединични трошкови рада</w:t>
            </w:r>
          </w:p>
        </w:tc>
        <w:tc>
          <w:tcPr>
            <w:tcW w:w="656" w:type="pct"/>
            <w:shd w:val="clear" w:color="auto" w:fill="auto"/>
            <w:noWrap/>
            <w:vAlign w:val="center"/>
            <w:hideMark/>
          </w:tcPr>
          <w:p w14:paraId="48872691"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6,2</w:t>
            </w:r>
          </w:p>
        </w:tc>
        <w:tc>
          <w:tcPr>
            <w:tcW w:w="656" w:type="pct"/>
            <w:shd w:val="clear" w:color="auto" w:fill="auto"/>
            <w:noWrap/>
            <w:vAlign w:val="center"/>
            <w:hideMark/>
          </w:tcPr>
          <w:p w14:paraId="03DF570E"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4,4</w:t>
            </w:r>
          </w:p>
        </w:tc>
        <w:tc>
          <w:tcPr>
            <w:tcW w:w="656" w:type="pct"/>
            <w:shd w:val="clear" w:color="auto" w:fill="auto"/>
            <w:noWrap/>
            <w:vAlign w:val="center"/>
            <w:hideMark/>
          </w:tcPr>
          <w:p w14:paraId="2A1B676A"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2,3</w:t>
            </w:r>
          </w:p>
        </w:tc>
        <w:tc>
          <w:tcPr>
            <w:tcW w:w="656" w:type="pct"/>
            <w:shd w:val="clear" w:color="auto" w:fill="auto"/>
            <w:noWrap/>
            <w:vAlign w:val="center"/>
          </w:tcPr>
          <w:p w14:paraId="785B113D"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1,7</w:t>
            </w:r>
          </w:p>
        </w:tc>
      </w:tr>
      <w:tr w:rsidR="00D8744E" w:rsidRPr="0062711C" w14:paraId="1164DD4D" w14:textId="77777777" w:rsidTr="005C539B">
        <w:trPr>
          <w:trHeight w:val="227"/>
        </w:trPr>
        <w:tc>
          <w:tcPr>
            <w:tcW w:w="2376" w:type="pct"/>
            <w:shd w:val="clear" w:color="auto" w:fill="auto"/>
            <w:noWrap/>
            <w:vAlign w:val="bottom"/>
            <w:hideMark/>
          </w:tcPr>
          <w:p w14:paraId="26B62115"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Фискални резултат опште државе, % БДП</w:t>
            </w:r>
          </w:p>
        </w:tc>
        <w:tc>
          <w:tcPr>
            <w:tcW w:w="656" w:type="pct"/>
            <w:shd w:val="clear" w:color="auto" w:fill="auto"/>
            <w:noWrap/>
            <w:vAlign w:val="center"/>
            <w:hideMark/>
          </w:tcPr>
          <w:p w14:paraId="341FFC65"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-3,6</w:t>
            </w:r>
          </w:p>
        </w:tc>
        <w:tc>
          <w:tcPr>
            <w:tcW w:w="656" w:type="pct"/>
            <w:shd w:val="clear" w:color="auto" w:fill="auto"/>
            <w:noWrap/>
            <w:vAlign w:val="center"/>
            <w:hideMark/>
          </w:tcPr>
          <w:p w14:paraId="4A227965"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-2,9</w:t>
            </w:r>
          </w:p>
        </w:tc>
        <w:tc>
          <w:tcPr>
            <w:tcW w:w="656" w:type="pct"/>
            <w:shd w:val="clear" w:color="auto" w:fill="auto"/>
            <w:noWrap/>
            <w:vAlign w:val="center"/>
            <w:hideMark/>
          </w:tcPr>
          <w:p w14:paraId="2797F534"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-2,8</w:t>
            </w:r>
          </w:p>
        </w:tc>
        <w:tc>
          <w:tcPr>
            <w:tcW w:w="656" w:type="pct"/>
            <w:shd w:val="clear" w:color="auto" w:fill="auto"/>
            <w:noWrap/>
            <w:vAlign w:val="center"/>
          </w:tcPr>
          <w:p w14:paraId="0BA699BF"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-2,8</w:t>
            </w:r>
          </w:p>
        </w:tc>
      </w:tr>
      <w:tr w:rsidR="00D8744E" w:rsidRPr="0062711C" w14:paraId="2274670D" w14:textId="77777777" w:rsidTr="005C539B">
        <w:trPr>
          <w:trHeight w:val="227"/>
        </w:trPr>
        <w:tc>
          <w:tcPr>
            <w:tcW w:w="2376" w:type="pct"/>
            <w:shd w:val="clear" w:color="auto" w:fill="auto"/>
            <w:noWrap/>
            <w:vAlign w:val="bottom"/>
            <w:hideMark/>
          </w:tcPr>
          <w:p w14:paraId="658A8D31"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Бруто дуг опште државе, % БДП</w:t>
            </w:r>
          </w:p>
        </w:tc>
        <w:tc>
          <w:tcPr>
            <w:tcW w:w="656" w:type="pct"/>
            <w:shd w:val="clear" w:color="auto" w:fill="auto"/>
            <w:noWrap/>
            <w:vAlign w:val="center"/>
            <w:hideMark/>
          </w:tcPr>
          <w:p w14:paraId="0F576FD0"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88,6</w:t>
            </w:r>
          </w:p>
        </w:tc>
        <w:tc>
          <w:tcPr>
            <w:tcW w:w="656" w:type="pct"/>
            <w:shd w:val="clear" w:color="auto" w:fill="auto"/>
            <w:noWrap/>
            <w:vAlign w:val="center"/>
            <w:hideMark/>
          </w:tcPr>
          <w:p w14:paraId="28693E54"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88,5</w:t>
            </w:r>
          </w:p>
        </w:tc>
        <w:tc>
          <w:tcPr>
            <w:tcW w:w="656" w:type="pct"/>
            <w:shd w:val="clear" w:color="auto" w:fill="auto"/>
            <w:noWrap/>
            <w:vAlign w:val="center"/>
            <w:hideMark/>
          </w:tcPr>
          <w:p w14:paraId="6888E618"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88,5</w:t>
            </w:r>
          </w:p>
        </w:tc>
        <w:tc>
          <w:tcPr>
            <w:tcW w:w="656" w:type="pct"/>
            <w:shd w:val="clear" w:color="auto" w:fill="auto"/>
            <w:noWrap/>
            <w:vAlign w:val="center"/>
          </w:tcPr>
          <w:p w14:paraId="66F00ECB"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88,6</w:t>
            </w:r>
          </w:p>
        </w:tc>
      </w:tr>
      <w:tr w:rsidR="00D8744E" w:rsidRPr="0062711C" w14:paraId="2E351B6B" w14:textId="77777777" w:rsidTr="005C539B">
        <w:trPr>
          <w:trHeight w:val="227"/>
        </w:trPr>
        <w:tc>
          <w:tcPr>
            <w:tcW w:w="2376" w:type="pct"/>
            <w:tcBorders>
              <w:bottom w:val="single" w:sz="4" w:space="0" w:color="002060"/>
            </w:tcBorders>
            <w:shd w:val="clear" w:color="auto" w:fill="auto"/>
            <w:noWrap/>
            <w:vAlign w:val="bottom"/>
            <w:hideMark/>
          </w:tcPr>
          <w:p w14:paraId="66A22760" w14:textId="77777777" w:rsidR="00D8744E" w:rsidRPr="0062711C" w:rsidRDefault="00D8744E" w:rsidP="005C539B">
            <w:pPr>
              <w:spacing w:after="0" w:line="240" w:lineRule="auto"/>
              <w:ind w:left="357" w:hanging="357"/>
              <w:rPr>
                <w:rFonts w:cstheme="minorHAnsi"/>
                <w:color w:val="002060"/>
                <w:sz w:val="18"/>
                <w:lang w:val="sr-Cyrl-RS"/>
              </w:rPr>
            </w:pPr>
            <w:r w:rsidRPr="0062711C">
              <w:rPr>
                <w:rFonts w:cstheme="minorHAnsi"/>
                <w:color w:val="002060"/>
                <w:sz w:val="18"/>
                <w:lang w:val="sr-Cyrl-RS"/>
              </w:rPr>
              <w:t>Салдо текућег рачуна, % БДП</w:t>
            </w:r>
          </w:p>
        </w:tc>
        <w:tc>
          <w:tcPr>
            <w:tcW w:w="656" w:type="pct"/>
            <w:tcBorders>
              <w:bottom w:val="single" w:sz="4" w:space="0" w:color="002060"/>
            </w:tcBorders>
            <w:shd w:val="clear" w:color="auto" w:fill="auto"/>
            <w:noWrap/>
            <w:vAlign w:val="center"/>
            <w:hideMark/>
          </w:tcPr>
          <w:p w14:paraId="75CD7CEA"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1,7</w:t>
            </w:r>
          </w:p>
        </w:tc>
        <w:tc>
          <w:tcPr>
            <w:tcW w:w="656" w:type="pct"/>
            <w:tcBorders>
              <w:bottom w:val="single" w:sz="4" w:space="0" w:color="002060"/>
            </w:tcBorders>
            <w:shd w:val="clear" w:color="auto" w:fill="auto"/>
            <w:noWrap/>
            <w:vAlign w:val="center"/>
            <w:hideMark/>
          </w:tcPr>
          <w:p w14:paraId="673E248D"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3,2</w:t>
            </w:r>
          </w:p>
        </w:tc>
        <w:tc>
          <w:tcPr>
            <w:tcW w:w="656" w:type="pct"/>
            <w:tcBorders>
              <w:bottom w:val="single" w:sz="4" w:space="0" w:color="002060"/>
            </w:tcBorders>
            <w:shd w:val="clear" w:color="auto" w:fill="auto"/>
            <w:noWrap/>
            <w:vAlign w:val="center"/>
            <w:hideMark/>
          </w:tcPr>
          <w:p w14:paraId="560D25B0"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3,2</w:t>
            </w:r>
          </w:p>
        </w:tc>
        <w:tc>
          <w:tcPr>
            <w:tcW w:w="656" w:type="pct"/>
            <w:shd w:val="clear" w:color="auto" w:fill="auto"/>
            <w:noWrap/>
            <w:vAlign w:val="center"/>
          </w:tcPr>
          <w:p w14:paraId="516BC36D" w14:textId="77777777" w:rsidR="00D8744E" w:rsidRPr="0062711C" w:rsidRDefault="00D8744E" w:rsidP="005C539B">
            <w:pPr>
              <w:spacing w:after="0" w:line="240" w:lineRule="auto"/>
              <w:jc w:val="center"/>
              <w:rPr>
                <w:rFonts w:cstheme="minorHAnsi"/>
                <w:color w:val="002060"/>
                <w:sz w:val="18"/>
                <w:lang w:val="sr-Cyrl-RS"/>
              </w:rPr>
            </w:pPr>
            <w:r w:rsidRPr="0062711C">
              <w:rPr>
                <w:rFonts w:cstheme="minorHAnsi"/>
                <w:color w:val="002060"/>
                <w:sz w:val="18"/>
                <w:lang w:val="sr-Cyrl-RS"/>
              </w:rPr>
              <w:t>3,1</w:t>
            </w:r>
          </w:p>
        </w:tc>
      </w:tr>
      <w:tr w:rsidR="00D8744E" w:rsidRPr="0062711C" w14:paraId="54059490" w14:textId="77777777" w:rsidTr="005C539B">
        <w:trPr>
          <w:trHeight w:val="227"/>
        </w:trPr>
        <w:tc>
          <w:tcPr>
            <w:tcW w:w="5000" w:type="pct"/>
            <w:gridSpan w:val="5"/>
            <w:tcBorders>
              <w:top w:val="single" w:sz="4" w:space="0" w:color="002060"/>
            </w:tcBorders>
            <w:shd w:val="clear" w:color="auto" w:fill="auto"/>
            <w:noWrap/>
            <w:vAlign w:val="bottom"/>
          </w:tcPr>
          <w:p w14:paraId="4669A426" w14:textId="77777777" w:rsidR="00D8744E" w:rsidRPr="0062711C" w:rsidRDefault="00D8744E" w:rsidP="005C539B">
            <w:pPr>
              <w:spacing w:after="0" w:line="240" w:lineRule="auto"/>
              <w:jc w:val="left"/>
              <w:rPr>
                <w:rFonts w:cstheme="minorHAnsi"/>
                <w:color w:val="44546A"/>
                <w:sz w:val="16"/>
                <w:lang w:val="sr-Cyrl-RS"/>
              </w:rPr>
            </w:pPr>
            <w:r w:rsidRPr="0062711C">
              <w:rPr>
                <w:rFonts w:cstheme="minorHAnsi"/>
                <w:color w:val="44546A"/>
                <w:sz w:val="16"/>
                <w:lang w:val="sr-Cyrl-RS"/>
              </w:rPr>
              <w:t>Извор: Макроекономске пројекције стручњака ЕЦБ за подручје еврозоне, март 2024.</w:t>
            </w:r>
          </w:p>
          <w:p w14:paraId="5DCB1C32" w14:textId="77777777" w:rsidR="00D8744E" w:rsidRPr="0062711C" w:rsidRDefault="00D8744E" w:rsidP="005C539B">
            <w:pPr>
              <w:spacing w:after="0" w:line="240" w:lineRule="auto"/>
              <w:jc w:val="left"/>
              <w:rPr>
                <w:rFonts w:cstheme="minorHAnsi"/>
                <w:color w:val="44546A"/>
                <w:sz w:val="16"/>
                <w:lang w:val="sr-Cyrl-RS"/>
              </w:rPr>
            </w:pPr>
            <w:r w:rsidRPr="0062711C">
              <w:rPr>
                <w:rFonts w:cstheme="minorHAnsi"/>
                <w:color w:val="44546A"/>
                <w:sz w:val="16"/>
                <w:lang w:val="sr-Cyrl-RS"/>
              </w:rPr>
              <w:t>* Евростат и ЕЦБ</w:t>
            </w:r>
          </w:p>
        </w:tc>
      </w:tr>
    </w:tbl>
    <w:p w14:paraId="75212F74" w14:textId="77777777" w:rsidR="00D8744E" w:rsidRPr="0062711C" w:rsidRDefault="00D8744E" w:rsidP="005C539B">
      <w:pPr>
        <w:spacing w:after="0" w:line="240" w:lineRule="auto"/>
        <w:rPr>
          <w:sz w:val="14"/>
          <w:lang w:val="sr-Cyrl-RS"/>
        </w:rPr>
        <w:sectPr w:rsidR="00D8744E" w:rsidRPr="0062711C" w:rsidSect="00F45C01">
          <w:type w:val="continuous"/>
          <w:pgSz w:w="12240" w:h="15840" w:code="1"/>
          <w:pgMar w:top="1440" w:right="1440" w:bottom="1440" w:left="1440" w:header="720" w:footer="720" w:gutter="0"/>
          <w:cols w:space="720"/>
          <w:docGrid w:linePitch="360"/>
        </w:sectPr>
      </w:pPr>
    </w:p>
    <w:p w14:paraId="15265880" w14:textId="77777777" w:rsidR="00D8744E" w:rsidRPr="0062711C" w:rsidRDefault="00D8744E" w:rsidP="005C539B">
      <w:pPr>
        <w:rPr>
          <w:rStyle w:val="rynqvb"/>
          <w:lang w:val="sr-Cyrl-RS"/>
        </w:rPr>
      </w:pPr>
      <w:r w:rsidRPr="0062711C">
        <w:rPr>
          <w:rStyle w:val="rynqvb"/>
          <w:lang w:val="sr-Cyrl-RS"/>
        </w:rPr>
        <w:lastRenderedPageBreak/>
        <w:t>Процењује се да ће тржиште рада остати отпорно и снажно током периода пројекције. Запосленост ће наставити да расте мада споријим темпом него у 2023. години. Раст номиналних плата ће постепено успоравати, али ће и даље бити висок, због чега ће реалне зараде досегнути нивое који су били уобичајени пре снажног повећања инфлације. Очекује се да ће раст продуктивности рада ојачати током хоризонта пројекције, али ће нивои продуктивности и даље остати знатно испод дугорочног линеарног тренда.</w:t>
      </w:r>
    </w:p>
    <w:p w14:paraId="7B1DD494" w14:textId="5AB6D98E" w:rsidR="00D8744E" w:rsidRPr="0062711C" w:rsidRDefault="004B7EB2" w:rsidP="005C539B">
      <w:pPr>
        <w:rPr>
          <w:bCs/>
          <w:lang w:val="sr-Cyrl-RS"/>
        </w:rPr>
      </w:pPr>
      <w:r w:rsidRPr="0062711C">
        <w:rPr>
          <w:rStyle w:val="rynqvb"/>
          <w:lang w:val="sr-Cyrl-RS"/>
        </w:rPr>
        <w:t>Предвиђа</w:t>
      </w:r>
      <w:r w:rsidR="00D8744E" w:rsidRPr="0062711C">
        <w:rPr>
          <w:rStyle w:val="rynqvb"/>
          <w:lang w:val="sr-Cyrl-RS"/>
        </w:rPr>
        <w:t xml:space="preserve"> се да ће инфлација наставити да успорава услед попуш</w:t>
      </w:r>
      <w:r w:rsidR="00BE5311">
        <w:rPr>
          <w:rStyle w:val="rynqvb"/>
          <w:lang w:val="sr-Cyrl-RS"/>
        </w:rPr>
        <w:t>тања ценовних притисака и ефеката</w:t>
      </w:r>
      <w:r w:rsidR="00D8744E" w:rsidRPr="0062711C">
        <w:rPr>
          <w:rStyle w:val="rynqvb"/>
          <w:lang w:val="sr-Cyrl-RS"/>
        </w:rPr>
        <w:t xml:space="preserve"> претходног пооштравања монетарне политике, иако нешто споријим темпом него у 2023. години. При томе, очекује се да ће потешкоће у обављању поморског саобраћаја у Црвеном мору имати занемарљив утицај на повећање цене примарних производа.</w:t>
      </w:r>
      <w:r w:rsidR="00D8744E" w:rsidRPr="0062711C">
        <w:rPr>
          <w:rStyle w:val="hwtze"/>
          <w:lang w:val="sr-Cyrl-RS"/>
        </w:rPr>
        <w:t xml:space="preserve"> </w:t>
      </w:r>
      <w:r w:rsidR="00D8744E" w:rsidRPr="0062711C">
        <w:rPr>
          <w:rStyle w:val="rynqvb"/>
          <w:lang w:val="sr-Cyrl-RS"/>
        </w:rPr>
        <w:t>Како цене енергената опадају, очекује се да ће снажан раст трошкова рада постати доминантан покретач инфлације, али ће донекле бити ублажен постепеним растом продуктивности. Укупна инфлација би требало да се смањи са 5,4% у 2023. години на 2,3% у 2024. години, уз наставак силазног тренда у прогнозираном периоду и останак испод базне инфлације током читавог хоризонта пројекције.</w:t>
      </w:r>
    </w:p>
    <w:p w14:paraId="427126CE" w14:textId="77777777" w:rsidR="00D8744E" w:rsidRPr="0062711C" w:rsidRDefault="00D8744E" w:rsidP="005C539B">
      <w:pPr>
        <w:rPr>
          <w:bCs/>
          <w:lang w:val="sr-Cyrl-RS"/>
        </w:rPr>
      </w:pPr>
      <w:r w:rsidRPr="0062711C">
        <w:rPr>
          <w:bCs/>
          <w:lang w:val="sr-Cyrl-RS"/>
        </w:rPr>
        <w:t xml:space="preserve">Главни ризик по остварење пројекције јесте наставак и ескалација сукоба на Блиском истоку и Црвеном мору, што би могло довести до застоја у поморском саобраћају а тиме и до нарушавања ланца снабдевања, раста цена транспорта и нижег обима трговине. Поред тога, ризици по изгледе еврозоне могу се односити и на неизвесно кретање цена примарних добара попут нафте и </w:t>
      </w:r>
      <w:r w:rsidRPr="0062711C">
        <w:rPr>
          <w:bCs/>
          <w:lang w:val="sr-Cyrl-RS"/>
        </w:rPr>
        <w:t>гаса, житарица и хране, али и на ефекте климатских промена.</w:t>
      </w:r>
    </w:p>
    <w:p w14:paraId="09EA7C30" w14:textId="77777777" w:rsidR="00D8744E" w:rsidRPr="0062711C" w:rsidRDefault="00D8744E" w:rsidP="005C539B">
      <w:pPr>
        <w:rPr>
          <w:bCs/>
          <w:lang w:val="sr-Cyrl-RS"/>
        </w:rPr>
      </w:pPr>
      <w:r w:rsidRPr="0062711C">
        <w:rPr>
          <w:bCs/>
          <w:lang w:val="sr-Cyrl-RS"/>
        </w:rPr>
        <w:t>Фискална политика ће током 2024. године бити рестриктивнија у односу на претходну годину, док ће фискална позиција земаља еврозоне у 2025 и 2026 имати углавном неутралан утицај на привредни раст. Пооштравање фискалне политике током 2024. године се односи на укидање мера уведених током енергетске кризе (због високих цена енергената и инфлације), као и најављеног повећања неких директних пореза и доприноса за социјално осигурање. Фискални дефицит еврозоне би требало да се смањи током периода пројекција, али нешто спорије него што је претходно предвиђено, док удео јавног дуга у БДП прати благо узлазни тренд. Поред тога, очекује се да ће фискални дефицит од 2024. године остати на нивоу испод 3% БДП, углавном услед смањења циклично прилагођеног примарног фискалног дефицита. Удео јавног дуга у БДП у еврозони ће бележити благи раст до краја периода пројекције, одражавајући углавном кретање примарног фискалног биланса, па се очекује да ће у 2026. години износити 88,6% БДП.</w:t>
      </w:r>
    </w:p>
    <w:p w14:paraId="03AAFEA1" w14:textId="173C22C9" w:rsidR="00D8744E" w:rsidRPr="0062711C" w:rsidRDefault="00D837E2" w:rsidP="005C539B">
      <w:pPr>
        <w:rPr>
          <w:bCs/>
          <w:lang w:val="sr-Cyrl-RS"/>
        </w:rPr>
      </w:pPr>
      <w:r w:rsidRPr="0062711C">
        <w:rPr>
          <w:bCs/>
          <w:lang w:val="sr-Cyrl-RS"/>
        </w:rPr>
        <w:t xml:space="preserve">Након девет месеци одржавања каматних стопа на </w:t>
      </w:r>
      <w:r w:rsidR="001F1B9F" w:rsidRPr="0062711C">
        <w:rPr>
          <w:bCs/>
          <w:lang w:val="sr-Cyrl-RS"/>
        </w:rPr>
        <w:t xml:space="preserve">истом </w:t>
      </w:r>
      <w:r w:rsidRPr="0062711C">
        <w:rPr>
          <w:bCs/>
          <w:lang w:val="sr-Cyrl-RS"/>
        </w:rPr>
        <w:t>нивоу, ЕЦБ је на састанку у јуну 2024. године, снизила референтну каматну стопу</w:t>
      </w:r>
      <w:r w:rsidR="001F1B9F" w:rsidRPr="0062711C">
        <w:rPr>
          <w:bCs/>
          <w:lang w:val="sr-Cyrl-RS"/>
        </w:rPr>
        <w:t xml:space="preserve"> за 0,25</w:t>
      </w:r>
      <w:r w:rsidR="00CF694D">
        <w:rPr>
          <w:bCs/>
          <w:lang w:val="sr-Cyrl-RS"/>
        </w:rPr>
        <w:t xml:space="preserve"> </w:t>
      </w:r>
      <w:r w:rsidR="001F1B9F" w:rsidRPr="0062711C">
        <w:rPr>
          <w:bCs/>
          <w:lang w:val="sr-Cyrl-RS"/>
        </w:rPr>
        <w:t>п</w:t>
      </w:r>
      <w:r w:rsidR="00594AC2" w:rsidRPr="0062711C">
        <w:rPr>
          <w:bCs/>
          <w:lang w:val="sr-Cyrl-RS"/>
        </w:rPr>
        <w:t>.</w:t>
      </w:r>
      <w:r w:rsidR="001F1B9F" w:rsidRPr="0062711C">
        <w:rPr>
          <w:bCs/>
          <w:lang w:val="sr-Cyrl-RS"/>
        </w:rPr>
        <w:t>п</w:t>
      </w:r>
      <w:r w:rsidR="00594AC2" w:rsidRPr="0062711C">
        <w:rPr>
          <w:bCs/>
          <w:lang w:val="sr-Cyrl-RS"/>
        </w:rPr>
        <w:t>.</w:t>
      </w:r>
      <w:r w:rsidRPr="0062711C">
        <w:rPr>
          <w:bCs/>
          <w:lang w:val="sr-Cyrl-RS"/>
        </w:rPr>
        <w:t xml:space="preserve"> на ниво од 4,25%, док је каматну стопу на кредитне и депозитне олакшице снизила на 4,50% и 3,75%, респективно, што представља прво попуштање монетарних услова од септембра 2019.</w:t>
      </w:r>
      <w:r w:rsidR="00CF694D">
        <w:rPr>
          <w:bCs/>
          <w:lang w:val="sr-Cyrl-RS"/>
        </w:rPr>
        <w:t xml:space="preserve"> године.</w:t>
      </w:r>
      <w:r w:rsidRPr="0062711C">
        <w:rPr>
          <w:bCs/>
          <w:lang w:val="sr-Cyrl-RS"/>
        </w:rPr>
        <w:t xml:space="preserve"> С</w:t>
      </w:r>
      <w:r w:rsidR="00D8744E" w:rsidRPr="0062711C">
        <w:rPr>
          <w:bCs/>
          <w:lang w:val="sr-Cyrl-RS"/>
        </w:rPr>
        <w:t>авет гувернера ЕЦБ ће</w:t>
      </w:r>
      <w:r w:rsidR="00A42782" w:rsidRPr="0062711C">
        <w:rPr>
          <w:bCs/>
          <w:lang w:val="sr-Cyrl-RS"/>
        </w:rPr>
        <w:t xml:space="preserve"> и</w:t>
      </w:r>
      <w:r w:rsidR="00D8744E" w:rsidRPr="0062711C">
        <w:rPr>
          <w:bCs/>
          <w:lang w:val="sr-Cyrl-RS"/>
        </w:rPr>
        <w:t xml:space="preserve"> у наредним месецима наставити да прати глобална кретања и усклађује монетарну политику како би </w:t>
      </w:r>
      <w:r w:rsidRPr="0062711C">
        <w:rPr>
          <w:bCs/>
          <w:lang w:val="sr-Cyrl-RS"/>
        </w:rPr>
        <w:t>осигурала</w:t>
      </w:r>
      <w:r w:rsidR="00D8744E" w:rsidRPr="0062711C">
        <w:rPr>
          <w:bCs/>
          <w:lang w:val="sr-Cyrl-RS"/>
        </w:rPr>
        <w:t xml:space="preserve"> </w:t>
      </w:r>
      <w:r w:rsidRPr="0062711C">
        <w:rPr>
          <w:bCs/>
          <w:lang w:val="sr-Cyrl-RS"/>
        </w:rPr>
        <w:t xml:space="preserve">повратак </w:t>
      </w:r>
      <w:r w:rsidR="00D8744E" w:rsidRPr="0062711C">
        <w:rPr>
          <w:bCs/>
          <w:lang w:val="sr-Cyrl-RS"/>
        </w:rPr>
        <w:t>инфлациј</w:t>
      </w:r>
      <w:r w:rsidRPr="0062711C">
        <w:rPr>
          <w:bCs/>
          <w:lang w:val="sr-Cyrl-RS"/>
        </w:rPr>
        <w:t>е</w:t>
      </w:r>
      <w:r w:rsidR="00D8744E" w:rsidRPr="0062711C">
        <w:rPr>
          <w:bCs/>
          <w:lang w:val="sr-Cyrl-RS"/>
        </w:rPr>
        <w:t xml:space="preserve"> на циљаних 2,0% у средњорочном периоду.</w:t>
      </w:r>
    </w:p>
    <w:p w14:paraId="51F71B03" w14:textId="77777777" w:rsidR="00D8744E" w:rsidRPr="0062711C" w:rsidRDefault="00D8744E" w:rsidP="005C539B">
      <w:pPr>
        <w:rPr>
          <w:rFonts w:cstheme="minorHAnsi"/>
          <w:bCs/>
          <w:color w:val="44546A"/>
          <w:szCs w:val="72"/>
          <w:lang w:val="sr-Cyrl-RS"/>
        </w:rPr>
        <w:sectPr w:rsidR="00D8744E" w:rsidRPr="0062711C" w:rsidSect="00F45C01">
          <w:headerReference w:type="even" r:id="rId39"/>
          <w:footerReference w:type="even" r:id="rId40"/>
          <w:footerReference w:type="default" r:id="rId41"/>
          <w:headerReference w:type="first" r:id="rId42"/>
          <w:footerReference w:type="first" r:id="rId43"/>
          <w:type w:val="continuous"/>
          <w:pgSz w:w="12240" w:h="15840"/>
          <w:pgMar w:top="1440" w:right="1440" w:bottom="1440" w:left="1440" w:header="708" w:footer="708" w:gutter="0"/>
          <w:cols w:num="2" w:space="708"/>
          <w:docGrid w:linePitch="360"/>
        </w:sectPr>
      </w:pPr>
    </w:p>
    <w:bookmarkEnd w:id="11"/>
    <w:bookmarkEnd w:id="12"/>
    <w:p w14:paraId="5643917B" w14:textId="3D55A4CD" w:rsidR="00D8744E" w:rsidRPr="0062711C" w:rsidRDefault="00D8744E">
      <w:pPr>
        <w:jc w:val="left"/>
        <w:rPr>
          <w:lang w:val="sr-Cyrl-RS"/>
        </w:rPr>
      </w:pPr>
      <w:r w:rsidRPr="0062711C">
        <w:rPr>
          <w:lang w:val="sr-Cyrl-RS"/>
        </w:rPr>
        <w:br w:type="page"/>
      </w:r>
    </w:p>
    <w:p w14:paraId="125D1CDA" w14:textId="77777777" w:rsidR="00D8744E" w:rsidRPr="0062711C" w:rsidRDefault="00D8744E" w:rsidP="001476C8">
      <w:pPr>
        <w:pStyle w:val="Heading2"/>
        <w:jc w:val="center"/>
        <w:rPr>
          <w:rFonts w:asciiTheme="minorHAnsi" w:hAnsiTheme="minorHAnsi" w:cstheme="minorHAnsi"/>
          <w:b/>
          <w:sz w:val="24"/>
          <w:lang w:val="sr-Cyrl-RS"/>
        </w:rPr>
      </w:pPr>
      <w:bookmarkStart w:id="16" w:name="_Toc530041994"/>
      <w:bookmarkStart w:id="17" w:name="_Toc23342462"/>
      <w:bookmarkStart w:id="18" w:name="_Toc119654142"/>
      <w:bookmarkStart w:id="19" w:name="_Toc135994498"/>
      <w:bookmarkStart w:id="20" w:name="_Toc146277913"/>
      <w:bookmarkStart w:id="21" w:name="_Toc148431266"/>
      <w:bookmarkStart w:id="22" w:name="_Toc170722302"/>
      <w:r w:rsidRPr="0062711C">
        <w:rPr>
          <w:rFonts w:asciiTheme="minorHAnsi" w:hAnsiTheme="minorHAnsi" w:cstheme="minorHAnsi"/>
          <w:b/>
          <w:sz w:val="24"/>
          <w:lang w:val="sr-Cyrl-RS"/>
        </w:rPr>
        <w:lastRenderedPageBreak/>
        <w:t>3. Текућа макроекономска кретања у Републици Србији и изгледи</w:t>
      </w:r>
      <w:r w:rsidRPr="0062711C">
        <w:rPr>
          <w:rFonts w:asciiTheme="minorHAnsi" w:hAnsiTheme="minorHAnsi" w:cstheme="minorHAnsi"/>
          <w:b/>
          <w:sz w:val="24"/>
          <w:lang w:val="sr-Cyrl-RS"/>
        </w:rPr>
        <w:br w:type="textWrapping" w:clear="all"/>
        <w:t>за период 2025–2027. године</w:t>
      </w:r>
      <w:bookmarkEnd w:id="16"/>
      <w:bookmarkEnd w:id="17"/>
      <w:bookmarkEnd w:id="18"/>
      <w:bookmarkEnd w:id="19"/>
      <w:bookmarkEnd w:id="20"/>
      <w:bookmarkEnd w:id="21"/>
      <w:bookmarkEnd w:id="22"/>
    </w:p>
    <w:p w14:paraId="19288B93" w14:textId="77777777" w:rsidR="00D8744E" w:rsidRPr="0062711C" w:rsidRDefault="00D8744E" w:rsidP="005C539B">
      <w:pPr>
        <w:spacing w:after="120"/>
        <w:rPr>
          <w:sz w:val="22"/>
          <w:lang w:val="sr-Cyrl-RS"/>
        </w:rPr>
      </w:pPr>
      <w:r w:rsidRPr="0062711C">
        <w:rPr>
          <w:rFonts w:cstheme="minorHAnsi"/>
          <w:noProof/>
          <w:color w:val="FF0000"/>
          <w:sz w:val="22"/>
          <w:lang w:val="en-GB" w:eastAsia="en-GB"/>
        </w:rPr>
        <mc:AlternateContent>
          <mc:Choice Requires="wps">
            <w:drawing>
              <wp:anchor distT="0" distB="0" distL="114300" distR="114300" simplePos="0" relativeHeight="251674112" behindDoc="1" locked="0" layoutInCell="1" allowOverlap="1" wp14:anchorId="4EA1C4F3" wp14:editId="2F0D7B57">
                <wp:simplePos x="0" y="0"/>
                <wp:positionH relativeFrom="margin">
                  <wp:posOffset>-198783</wp:posOffset>
                </wp:positionH>
                <wp:positionV relativeFrom="paragraph">
                  <wp:posOffset>169628</wp:posOffset>
                </wp:positionV>
                <wp:extent cx="6334760" cy="7625301"/>
                <wp:effectExtent l="0" t="0" r="8890" b="0"/>
                <wp:wrapNone/>
                <wp:docPr id="65" name="Rectangle 65"/>
                <wp:cNvGraphicFramePr/>
                <a:graphic xmlns:a="http://schemas.openxmlformats.org/drawingml/2006/main">
                  <a:graphicData uri="http://schemas.microsoft.com/office/word/2010/wordprocessingShape">
                    <wps:wsp>
                      <wps:cNvSpPr/>
                      <wps:spPr>
                        <a:xfrm>
                          <a:off x="0" y="0"/>
                          <a:ext cx="6334760" cy="7625301"/>
                        </a:xfrm>
                        <a:prstGeom prst="rect">
                          <a:avLst/>
                        </a:prstGeom>
                        <a:pattFill prst="pct25">
                          <a:fgClr>
                            <a:schemeClr val="bg1">
                              <a:lumMod val="85000"/>
                            </a:schemeClr>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507A46" id="Rectangle 65" o:spid="_x0000_s1026" style="position:absolute;margin-left:-15.65pt;margin-top:13.35pt;width:498.8pt;height:600.4pt;z-index:-25164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" fillcolor="#d8d8d8 [2732]" stroked="f" strokeweight="1pt">
                <v:fill r:id="rId25" o:title="" color2="white [3212]" type="pattern"/>
                <w10:wrap anchorx="margin"/>
              </v:rect>
            </w:pict>
          </mc:Fallback>
        </mc:AlternateContent>
      </w:r>
    </w:p>
    <w:p w14:paraId="437F389B" w14:textId="77777777" w:rsidR="00D8744E" w:rsidRPr="0062711C" w:rsidRDefault="00D8744E" w:rsidP="005C539B">
      <w:pPr>
        <w:spacing w:after="120"/>
        <w:rPr>
          <w:sz w:val="22"/>
          <w:lang w:val="sr-Cyrl-RS"/>
        </w:rPr>
        <w:sectPr w:rsidR="00D8744E" w:rsidRPr="0062711C" w:rsidSect="00F45C01">
          <w:headerReference w:type="default" r:id="rId44"/>
          <w:footerReference w:type="default" r:id="rId45"/>
          <w:headerReference w:type="first" r:id="rId46"/>
          <w:type w:val="continuous"/>
          <w:pgSz w:w="12240" w:h="15840" w:code="1"/>
          <w:pgMar w:top="1440" w:right="1440" w:bottom="1440" w:left="1440" w:header="720" w:footer="720" w:gutter="0"/>
          <w:cols w:space="720"/>
          <w:docGrid w:linePitch="360"/>
        </w:sectPr>
      </w:pPr>
    </w:p>
    <w:p w14:paraId="02AB609D" w14:textId="11EC29D8" w:rsidR="00D8744E" w:rsidRPr="0062711C" w:rsidRDefault="00D8744E" w:rsidP="005C539B">
      <w:pPr>
        <w:rPr>
          <w:rFonts w:cstheme="minorHAnsi"/>
          <w:bCs/>
          <w:color w:val="0070C0"/>
          <w:szCs w:val="72"/>
          <w:lang w:val="sr-Cyrl-RS"/>
        </w:rPr>
      </w:pPr>
      <w:r w:rsidRPr="0062711C">
        <w:rPr>
          <w:rFonts w:cstheme="minorHAnsi"/>
          <w:bCs/>
          <w:color w:val="0070C0"/>
          <w:szCs w:val="72"/>
          <w:lang w:val="sr-Cyrl-RS"/>
        </w:rPr>
        <w:t xml:space="preserve">Координиране мере фискалне и монетарне политике захваљујући којима је у претходном периоду очувана макроекономска стабилност и креиране резерве за случај шокова, заједно са широко распрострањеним </w:t>
      </w:r>
      <w:r w:rsidR="00D05062" w:rsidRPr="0062711C">
        <w:rPr>
          <w:rFonts w:cstheme="minorHAnsi"/>
          <w:bCs/>
          <w:color w:val="0070C0"/>
          <w:szCs w:val="72"/>
          <w:lang w:val="sr-Cyrl-RS"/>
        </w:rPr>
        <w:t>СДИ</w:t>
      </w:r>
      <w:r w:rsidRPr="0062711C">
        <w:rPr>
          <w:rFonts w:cstheme="minorHAnsi"/>
          <w:bCs/>
          <w:color w:val="0070C0"/>
          <w:szCs w:val="72"/>
          <w:lang w:val="sr-Cyrl-RS"/>
        </w:rPr>
        <w:t xml:space="preserve"> и убрзаном изградњом инфраструктуре, омогућили су привреди да успешно амортизује ефекте вишедимензионалне кризе која траје већ четири године. Србија је током претходног периода успела да сачува стабилност своје економије и поверење потрошача и инвеститора, о чему сведочи и позитивна оцена ММФ током разговора приликом трећег разматрања резултата спровођења договореног економског програма у оквиру стендбај аранжмана, као и најновија оцена агенције Standard and Poor’s која је током априла побољшала изгледе за повећање кредитног рејтинга са стабилних на позитивне, што је индикација да би Србија у наредних годину дана могла по први пут да достигне инвестициони рејтинг. Економска активност је у 2023. години наставила да расте по стопи од 2,5%, што је у потпуности у складу са иницијалном пројекцијом Министарства финансија. Инфлација је од априла претходне године на силазној путањи и већ се у октобру вратила на једноцифрен ниво. Наставак раста извозне </w:t>
      </w:r>
      <w:r w:rsidR="00C24FA4" w:rsidRPr="0062711C">
        <w:rPr>
          <w:rFonts w:cstheme="minorHAnsi"/>
          <w:bCs/>
          <w:color w:val="0070C0"/>
          <w:szCs w:val="72"/>
          <w:lang w:val="sr-Cyrl-RS"/>
        </w:rPr>
        <w:t>активности</w:t>
      </w:r>
      <w:r w:rsidRPr="0062711C">
        <w:rPr>
          <w:rFonts w:cstheme="minorHAnsi"/>
          <w:bCs/>
          <w:color w:val="0070C0"/>
          <w:szCs w:val="72"/>
          <w:lang w:val="sr-Cyrl-RS"/>
        </w:rPr>
        <w:t xml:space="preserve"> упркос смањеној спољној тражњи, уз нижи увоз као последицу пре свега пада цена енергената, резултирали су рекордно ниским учешћем дефицита текућег рачуна платног биланса у БДП у 2023. години од 2,6%. Фискална кретања у 2023. години била су боља од очекиваних, уз дефицит на нивоу опште државе који је </w:t>
      </w:r>
      <w:r w:rsidR="00C24FA4" w:rsidRPr="0062711C">
        <w:rPr>
          <w:rFonts w:cstheme="minorHAnsi"/>
          <w:bCs/>
          <w:color w:val="0070C0"/>
          <w:szCs w:val="72"/>
          <w:lang w:val="sr-Cyrl-RS"/>
        </w:rPr>
        <w:t>износио</w:t>
      </w:r>
      <w:r w:rsidRPr="0062711C">
        <w:rPr>
          <w:rFonts w:cstheme="minorHAnsi"/>
          <w:bCs/>
          <w:color w:val="0070C0"/>
          <w:szCs w:val="72"/>
          <w:lang w:val="sr-Cyrl-RS"/>
        </w:rPr>
        <w:t xml:space="preserve"> 2,2% БДП и наставак опадајуће путање у погледу учешћа јавног дуга у БДП.</w:t>
      </w:r>
    </w:p>
    <w:p w14:paraId="03A61366" w14:textId="2461A471" w:rsidR="00D8744E" w:rsidRPr="0062711C" w:rsidRDefault="00D8744E" w:rsidP="008527D6">
      <w:pPr>
        <w:rPr>
          <w:rFonts w:cstheme="minorHAnsi"/>
          <w:bCs/>
          <w:color w:val="0070C0"/>
          <w:szCs w:val="72"/>
          <w:lang w:val="sr-Cyrl-RS"/>
        </w:rPr>
      </w:pPr>
      <w:r w:rsidRPr="0062711C">
        <w:rPr>
          <w:rFonts w:cstheme="minorHAnsi"/>
          <w:bCs/>
          <w:color w:val="0070C0"/>
          <w:szCs w:val="72"/>
          <w:lang w:val="sr-Cyrl-RS"/>
        </w:rPr>
        <w:t xml:space="preserve">Макроекономска кретања почетком 2024. године генерално су повољнија од очекиваних. Полазећи од текућих трендова у погледу кретања привредне активности, узимајући у обзир донете мере економске политике, као и ефекте наставка реализације инфраструктурних пројеката додатно подржаних новим инвестиционим циклусом у </w:t>
      </w:r>
      <w:r w:rsidRPr="0062711C">
        <w:rPr>
          <w:rFonts w:cstheme="minorHAnsi"/>
          <w:bCs/>
          <w:color w:val="0070C0"/>
          <w:szCs w:val="72"/>
          <w:lang w:val="sr-Cyrl-RS"/>
        </w:rPr>
        <w:t>оквиру програма „Скок у будућност – Србија 2027”, уз уважавање економских изгледа најважнијих спољнотрговинских партнера, Министарство финансија очекује раст БДП у 2024. години од 3,8%, што је ревизија навише за 0,3 п.п. у односу на претходну пројекцију, док се у 2025. години очекује убрзање на 4,2%. Након рекордно ниске вредности учешћа дефицита текућег рачуна у БДП у претходној години, у 2024. и 2025. години се очекује раст на 4,1% БДП, односно 4,7% БДП, пре свега услед очекиваног убрзања инвестиционог циклуса. Међугодишња инфлација је н</w:t>
      </w:r>
      <w:r w:rsidR="00BC64D1">
        <w:rPr>
          <w:rFonts w:cstheme="minorHAnsi"/>
          <w:bCs/>
          <w:color w:val="0070C0"/>
          <w:szCs w:val="72"/>
          <w:lang w:val="sr-Cyrl-RS"/>
        </w:rPr>
        <w:t xml:space="preserve">аставила да успорава и у мају </w:t>
      </w:r>
      <w:r w:rsidRPr="0062711C">
        <w:rPr>
          <w:rFonts w:cstheme="minorHAnsi"/>
          <w:bCs/>
          <w:color w:val="0070C0"/>
          <w:szCs w:val="72"/>
          <w:lang w:val="sr-Cyrl-RS"/>
        </w:rPr>
        <w:t xml:space="preserve">2024. године </w:t>
      </w:r>
      <w:r w:rsidR="00BC64D1" w:rsidRPr="00BC64D1">
        <w:rPr>
          <w:rFonts w:cstheme="minorHAnsi"/>
          <w:bCs/>
          <w:color w:val="0070C0"/>
          <w:szCs w:val="72"/>
          <w:lang w:val="sr-Cyrl-RS"/>
        </w:rPr>
        <w:t xml:space="preserve">је ушла у </w:t>
      </w:r>
      <w:r w:rsidR="00E814E4" w:rsidRPr="00E814E4">
        <w:rPr>
          <w:rFonts w:cstheme="minorHAnsi"/>
          <w:bCs/>
          <w:color w:val="0070C0"/>
          <w:szCs w:val="72"/>
          <w:lang w:val="sr-Cyrl-RS"/>
        </w:rPr>
        <w:t>границе циља</w:t>
      </w:r>
      <w:r w:rsidR="00BC64D1" w:rsidRPr="00BC64D1">
        <w:rPr>
          <w:rFonts w:cstheme="minorHAnsi"/>
          <w:bCs/>
          <w:color w:val="0070C0"/>
          <w:szCs w:val="72"/>
          <w:lang w:val="sr-Cyrl-RS"/>
        </w:rPr>
        <w:t xml:space="preserve"> и износила је 4,5%</w:t>
      </w:r>
      <w:r w:rsidR="00BC64D1">
        <w:rPr>
          <w:rFonts w:cstheme="minorHAnsi"/>
          <w:bCs/>
          <w:color w:val="0070C0"/>
          <w:szCs w:val="72"/>
          <w:lang w:val="sr-Cyrl-RS"/>
        </w:rPr>
        <w:t>.</w:t>
      </w:r>
      <w:r w:rsidRPr="0062711C">
        <w:rPr>
          <w:rFonts w:cstheme="minorHAnsi"/>
          <w:bCs/>
          <w:color w:val="0070C0"/>
          <w:szCs w:val="72"/>
          <w:lang w:val="sr-Cyrl-RS"/>
        </w:rPr>
        <w:t xml:space="preserve"> Наставак смањења инфлације оч</w:t>
      </w:r>
      <w:r w:rsidR="00BC64D1">
        <w:rPr>
          <w:rFonts w:cstheme="minorHAnsi"/>
          <w:bCs/>
          <w:color w:val="0070C0"/>
          <w:szCs w:val="72"/>
          <w:lang w:val="sr-Cyrl-RS"/>
        </w:rPr>
        <w:t>екује се и у наредном периоду</w:t>
      </w:r>
      <w:r w:rsidRPr="0062711C">
        <w:rPr>
          <w:rFonts w:cstheme="minorHAnsi"/>
          <w:bCs/>
          <w:color w:val="0070C0"/>
          <w:szCs w:val="72"/>
          <w:lang w:val="sr-Cyrl-RS"/>
        </w:rPr>
        <w:t>, а њено приближавање централној вредности циља очекује се крајем године, уз наставак кретања око тог нивоа у средњем року. Томе ће допринети ефекти претходног заоштравања монетарних услова, успоравање увозне инфлације, још увек ниска екстерна тражња, као и наставак смањења инфлационих очекивања. Фискална кретања почетком године такође су боља од очекиваних због боље наплате прихода, а задржана је и опадајућа путања учешћа јавног дуга у БДП.</w:t>
      </w:r>
    </w:p>
    <w:p w14:paraId="1542D18E" w14:textId="77777777" w:rsidR="00D8744E" w:rsidRPr="0062711C" w:rsidRDefault="00D8744E" w:rsidP="008527D6">
      <w:pPr>
        <w:rPr>
          <w:rFonts w:cstheme="minorHAnsi"/>
          <w:bCs/>
          <w:color w:val="0070C0"/>
          <w:szCs w:val="72"/>
          <w:lang w:val="sr-Cyrl-RS"/>
        </w:rPr>
      </w:pPr>
      <w:r w:rsidRPr="0062711C">
        <w:rPr>
          <w:rFonts w:cstheme="minorHAnsi"/>
          <w:bCs/>
          <w:color w:val="0070C0"/>
          <w:szCs w:val="72"/>
          <w:lang w:val="sr-Cyrl-RS"/>
        </w:rPr>
        <w:t>Неизвесност присутна код пројекција датих у овом документу остаје далеко већа од уобичајене због природе и обима потенцијалних шокова на глобалном нивоу. Ризици макроекономског оквира у највећој мери потичу од неизвесности у погледу развоја ситуације у Украјини и на Блиском истоку, као и утицаја нових међународних економских и политичких односа. Влада континуирано доноси мере које имају за циљ ублажавање последица неповољног утицаја међународног окружења на привреду и становништво и очување енергетске стабилности. Оваква оријентација остаће у фокусу креатора економске политике и у наредном периоду, а задржавање опадајуће путање учешћа јавног дуга у БДП биће и даље основно сидро за вођење фискалне политике.</w:t>
      </w:r>
    </w:p>
    <w:p w14:paraId="3F6DE01C" w14:textId="77777777" w:rsidR="00D8744E" w:rsidRPr="0062711C" w:rsidRDefault="00D8744E" w:rsidP="008527D6">
      <w:pPr>
        <w:rPr>
          <w:rFonts w:cstheme="minorHAnsi"/>
          <w:bCs/>
          <w:color w:val="FF0000"/>
          <w:szCs w:val="72"/>
          <w:lang w:val="sr-Cyrl-RS"/>
        </w:rPr>
        <w:sectPr w:rsidR="00D8744E" w:rsidRPr="0062711C" w:rsidSect="00F45C01">
          <w:type w:val="continuous"/>
          <w:pgSz w:w="12240" w:h="15840" w:code="1"/>
          <w:pgMar w:top="1440" w:right="1440" w:bottom="1440" w:left="1440" w:header="720" w:footer="720" w:gutter="0"/>
          <w:cols w:num="2" w:space="720"/>
          <w:docGrid w:linePitch="360"/>
        </w:sectPr>
      </w:pPr>
    </w:p>
    <w:p w14:paraId="753B7137" w14:textId="77777777" w:rsidR="00D8744E" w:rsidRPr="0062711C" w:rsidRDefault="00D8744E" w:rsidP="005C539B">
      <w:pPr>
        <w:spacing w:after="0"/>
        <w:jc w:val="left"/>
        <w:rPr>
          <w:rFonts w:cstheme="minorHAnsi"/>
          <w:b/>
          <w:color w:val="002060"/>
          <w:spacing w:val="-6"/>
          <w:sz w:val="6"/>
          <w:lang w:val="sr-Cyrl-RS"/>
        </w:rPr>
      </w:pPr>
      <w:r w:rsidRPr="0062711C">
        <w:rPr>
          <w:rFonts w:cstheme="minorHAnsi"/>
          <w:color w:val="002060"/>
          <w:spacing w:val="-6"/>
          <w:sz w:val="6"/>
          <w:lang w:val="sr-Cyrl-RS"/>
        </w:rPr>
        <w:br w:type="page"/>
      </w:r>
    </w:p>
    <w:p w14:paraId="047347D1" w14:textId="77777777" w:rsidR="00D8744E" w:rsidRPr="0062711C" w:rsidRDefault="00D8744E" w:rsidP="00B435B3">
      <w:pPr>
        <w:pStyle w:val="NoSpacing"/>
        <w:jc w:val="center"/>
        <w:rPr>
          <w:rFonts w:cstheme="minorHAnsi"/>
          <w:color w:val="002060"/>
          <w:spacing w:val="-6"/>
          <w:lang w:val="sr-Cyrl-RS"/>
        </w:rPr>
      </w:pPr>
      <w:r w:rsidRPr="0062711C">
        <w:rPr>
          <w:rFonts w:cstheme="minorHAnsi"/>
          <w:color w:val="002060"/>
          <w:spacing w:val="-6"/>
          <w:lang w:val="sr-Cyrl-RS"/>
        </w:rPr>
        <w:lastRenderedPageBreak/>
        <w:t>Ревизија кретања основних макроекономских агрегата у односу на претходну Фискалну стратегију</w:t>
      </w:r>
    </w:p>
    <w:p w14:paraId="5596C1B7" w14:textId="77777777" w:rsidR="00D8744E" w:rsidRPr="0062711C" w:rsidRDefault="00D8744E" w:rsidP="00B435B3">
      <w:pPr>
        <w:spacing w:after="0"/>
        <w:rPr>
          <w:color w:val="002060"/>
          <w:sz w:val="10"/>
          <w:lang w:val="sr-Cyrl-RS"/>
        </w:rPr>
      </w:pPr>
    </w:p>
    <w:p w14:paraId="13926A71" w14:textId="77777777" w:rsidR="00D8744E" w:rsidRPr="0062711C" w:rsidRDefault="00D8744E" w:rsidP="00B435B3">
      <w:pPr>
        <w:jc w:val="center"/>
        <w:rPr>
          <w:b/>
          <w:color w:val="002060"/>
          <w:szCs w:val="21"/>
          <w:lang w:val="sr-Cyrl-RS"/>
        </w:rPr>
      </w:pPr>
      <w:r w:rsidRPr="0062711C">
        <w:rPr>
          <w:b/>
          <w:color w:val="002060"/>
          <w:szCs w:val="21"/>
          <w:lang w:val="sr-Cyrl-RS"/>
        </w:rPr>
        <w:t>Реални раст БДП, %</w:t>
      </w:r>
    </w:p>
    <w:p w14:paraId="730A262C" w14:textId="77777777" w:rsidR="00D8744E" w:rsidRPr="0062711C" w:rsidRDefault="00D8744E" w:rsidP="00B435B3">
      <w:pPr>
        <w:spacing w:after="0"/>
        <w:rPr>
          <w:lang w:val="sr-Cyrl-RS"/>
        </w:rPr>
      </w:pPr>
      <w:r w:rsidRPr="0062711C">
        <w:rPr>
          <w:noProof/>
          <w:lang w:val="en-GB" w:eastAsia="en-GB"/>
        </w:rPr>
        <w:drawing>
          <wp:inline distT="0" distB="0" distL="0" distR="0" wp14:anchorId="33418303" wp14:editId="734BCBB9">
            <wp:extent cx="1332000" cy="1224000"/>
            <wp:effectExtent l="0" t="0" r="0" b="0"/>
            <wp:docPr id="17" name="Chart 17">
              <a:extLst xmlns:a="http://schemas.openxmlformats.org/drawingml/2006/main">
                <a:ext uri="{FF2B5EF4-FFF2-40B4-BE49-F238E27FC236}">
                  <a16:creationId xmlns:a16="http://schemas.microsoft.com/office/drawing/2014/main" id="{00000000-0008-0000-0A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62711C">
        <w:rPr>
          <w:lang w:val="sr-Cyrl-RS"/>
        </w:rPr>
        <w:t xml:space="preserve">  </w:t>
      </w:r>
      <w:r w:rsidRPr="0062711C">
        <w:rPr>
          <w:noProof/>
          <w:lang w:val="en-GB" w:eastAsia="en-GB"/>
        </w:rPr>
        <w:drawing>
          <wp:inline distT="0" distB="0" distL="0" distR="0" wp14:anchorId="3DD37CE8" wp14:editId="756B9E21">
            <wp:extent cx="1332000" cy="1224000"/>
            <wp:effectExtent l="0" t="0" r="0" b="0"/>
            <wp:docPr id="18" name="Chart 18">
              <a:extLst xmlns:a="http://schemas.openxmlformats.org/drawingml/2006/main">
                <a:ext uri="{FF2B5EF4-FFF2-40B4-BE49-F238E27FC236}">
                  <a16:creationId xmlns:a16="http://schemas.microsoft.com/office/drawing/2014/main" id="{00000000-0008-0000-0A00-00002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67675DDE" w14:textId="77777777" w:rsidR="00D8744E" w:rsidRPr="0062711C" w:rsidRDefault="00D8744E" w:rsidP="00B435B3">
      <w:pPr>
        <w:spacing w:after="0"/>
        <w:rPr>
          <w:lang w:val="sr-Cyrl-RS"/>
        </w:rPr>
      </w:pPr>
    </w:p>
    <w:p w14:paraId="0388FF78" w14:textId="77777777" w:rsidR="00D8744E" w:rsidRPr="0062711C" w:rsidRDefault="00D8744E" w:rsidP="008527D6">
      <w:pPr>
        <w:jc w:val="center"/>
        <w:rPr>
          <w:b/>
          <w:color w:val="002060"/>
          <w:szCs w:val="21"/>
          <w:lang w:val="sr-Cyrl-RS"/>
        </w:rPr>
      </w:pPr>
      <w:r w:rsidRPr="0062711C">
        <w:rPr>
          <w:b/>
          <w:color w:val="002060"/>
          <w:szCs w:val="21"/>
          <w:lang w:val="sr-Cyrl-RS"/>
        </w:rPr>
        <w:t>Салдо текућег рачуна, % БДП</w:t>
      </w:r>
    </w:p>
    <w:p w14:paraId="39BD4EB3" w14:textId="77777777" w:rsidR="00D8744E" w:rsidRPr="0062711C" w:rsidRDefault="00D8744E" w:rsidP="00B435B3">
      <w:pPr>
        <w:spacing w:after="0"/>
        <w:jc w:val="left"/>
        <w:rPr>
          <w:lang w:val="sr-Cyrl-RS"/>
        </w:rPr>
      </w:pPr>
      <w:r w:rsidRPr="0062711C">
        <w:rPr>
          <w:noProof/>
          <w:lang w:val="en-GB" w:eastAsia="en-GB"/>
        </w:rPr>
        <w:drawing>
          <wp:inline distT="0" distB="0" distL="0" distR="0" wp14:anchorId="3C9E4DA0" wp14:editId="2014D3DC">
            <wp:extent cx="1332000" cy="1224000"/>
            <wp:effectExtent l="0" t="0" r="1905" b="0"/>
            <wp:docPr id="19" name="Chart 19">
              <a:extLst xmlns:a="http://schemas.openxmlformats.org/drawingml/2006/main">
                <a:ext uri="{FF2B5EF4-FFF2-40B4-BE49-F238E27FC236}">
                  <a16:creationId xmlns:a16="http://schemas.microsoft.com/office/drawing/2014/main" id="{00000000-0008-0000-0A00-00002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62711C">
        <w:rPr>
          <w:lang w:val="sr-Cyrl-RS"/>
        </w:rPr>
        <w:t xml:space="preserve">  </w:t>
      </w:r>
      <w:r w:rsidRPr="0062711C">
        <w:rPr>
          <w:noProof/>
          <w:lang w:val="en-GB" w:eastAsia="en-GB"/>
        </w:rPr>
        <w:drawing>
          <wp:inline distT="0" distB="0" distL="0" distR="0" wp14:anchorId="5A106581" wp14:editId="4212E3C0">
            <wp:extent cx="1332000" cy="1224000"/>
            <wp:effectExtent l="0" t="0" r="1905" b="0"/>
            <wp:docPr id="21" name="Chart 21">
              <a:extLst xmlns:a="http://schemas.openxmlformats.org/drawingml/2006/main">
                <a:ext uri="{FF2B5EF4-FFF2-40B4-BE49-F238E27FC236}">
                  <a16:creationId xmlns:a16="http://schemas.microsoft.com/office/drawing/2014/main" id="{00000000-0008-0000-0A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E80F408" w14:textId="77777777" w:rsidR="00D8744E" w:rsidRPr="0062711C" w:rsidRDefault="00D8744E" w:rsidP="00B435B3">
      <w:pPr>
        <w:spacing w:after="0"/>
        <w:rPr>
          <w:lang w:val="sr-Cyrl-RS"/>
        </w:rPr>
      </w:pPr>
    </w:p>
    <w:p w14:paraId="241EA9EE" w14:textId="77777777" w:rsidR="00D8744E" w:rsidRPr="0062711C" w:rsidRDefault="00D8744E" w:rsidP="00B435B3">
      <w:pPr>
        <w:spacing w:after="0"/>
        <w:jc w:val="center"/>
        <w:rPr>
          <w:b/>
          <w:color w:val="002060"/>
          <w:szCs w:val="21"/>
          <w:lang w:val="sr-Cyrl-RS"/>
        </w:rPr>
      </w:pPr>
      <w:r w:rsidRPr="0062711C">
        <w:rPr>
          <w:b/>
          <w:color w:val="002060"/>
          <w:szCs w:val="21"/>
          <w:lang w:val="sr-Cyrl-RS"/>
        </w:rPr>
        <w:t>Инфлација, просек периода, %</w:t>
      </w:r>
    </w:p>
    <w:p w14:paraId="4769CCD4" w14:textId="77777777" w:rsidR="00D8744E" w:rsidRPr="0062711C" w:rsidRDefault="00D8744E" w:rsidP="00B435B3">
      <w:pPr>
        <w:spacing w:after="0"/>
        <w:rPr>
          <w:lang w:val="sr-Cyrl-RS"/>
        </w:rPr>
      </w:pPr>
      <w:r w:rsidRPr="0062711C">
        <w:rPr>
          <w:noProof/>
          <w:lang w:val="en-GB" w:eastAsia="en-GB"/>
        </w:rPr>
        <w:drawing>
          <wp:inline distT="0" distB="0" distL="0" distR="0" wp14:anchorId="69B80714" wp14:editId="53F46B4C">
            <wp:extent cx="1332000" cy="1008000"/>
            <wp:effectExtent l="0" t="0" r="0" b="0"/>
            <wp:docPr id="26" name="Chart 26">
              <a:extLst xmlns:a="http://schemas.openxmlformats.org/drawingml/2006/main">
                <a:ext uri="{FF2B5EF4-FFF2-40B4-BE49-F238E27FC236}">
                  <a16:creationId xmlns:a16="http://schemas.microsoft.com/office/drawing/2014/main" id="{00000000-0008-0000-0A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r w:rsidRPr="0062711C">
        <w:rPr>
          <w:lang w:val="sr-Cyrl-RS"/>
        </w:rPr>
        <w:t xml:space="preserve">  </w:t>
      </w:r>
      <w:r w:rsidRPr="0062711C">
        <w:rPr>
          <w:noProof/>
          <w:lang w:val="en-GB" w:eastAsia="en-GB"/>
        </w:rPr>
        <w:drawing>
          <wp:inline distT="0" distB="0" distL="0" distR="0" wp14:anchorId="62C52510" wp14:editId="402BCA94">
            <wp:extent cx="1332000" cy="1008000"/>
            <wp:effectExtent l="0" t="0" r="0" b="0"/>
            <wp:docPr id="22" name="Chart 22">
              <a:extLst xmlns:a="http://schemas.openxmlformats.org/drawingml/2006/main">
                <a:ext uri="{FF2B5EF4-FFF2-40B4-BE49-F238E27FC236}">
                  <a16:creationId xmlns:a16="http://schemas.microsoft.com/office/drawing/2014/main" id="{00000000-0008-0000-0A00-00003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40E3B1CA" w14:textId="77777777" w:rsidR="00D8744E" w:rsidRPr="0062711C" w:rsidRDefault="00D8744E" w:rsidP="008527D6">
      <w:pPr>
        <w:spacing w:after="120"/>
        <w:rPr>
          <w:rFonts w:cstheme="minorHAnsi"/>
          <w:szCs w:val="72"/>
          <w:lang w:val="sr-Cyrl-RS"/>
        </w:rPr>
      </w:pPr>
    </w:p>
    <w:p w14:paraId="7A2864E0" w14:textId="77777777" w:rsidR="00D8744E" w:rsidRPr="0062711C" w:rsidRDefault="00D8744E" w:rsidP="008527D6">
      <w:pPr>
        <w:spacing w:after="0"/>
        <w:jc w:val="center"/>
        <w:rPr>
          <w:b/>
          <w:color w:val="002060"/>
          <w:szCs w:val="21"/>
          <w:lang w:val="sr-Cyrl-RS"/>
        </w:rPr>
      </w:pPr>
      <w:r w:rsidRPr="0062711C">
        <w:rPr>
          <w:b/>
          <w:color w:val="002060"/>
          <w:szCs w:val="21"/>
          <w:lang w:val="sr-Cyrl-RS"/>
        </w:rPr>
        <w:t>Фискални резултат, % БДП</w:t>
      </w:r>
    </w:p>
    <w:p w14:paraId="7AB2E50D" w14:textId="77777777" w:rsidR="00D8744E" w:rsidRPr="0062711C" w:rsidRDefault="00D8744E" w:rsidP="00B435B3">
      <w:pPr>
        <w:spacing w:after="0"/>
        <w:rPr>
          <w:lang w:val="sr-Cyrl-RS"/>
        </w:rPr>
      </w:pPr>
      <w:r w:rsidRPr="0062711C">
        <w:rPr>
          <w:noProof/>
          <w:lang w:val="en-GB" w:eastAsia="en-GB"/>
        </w:rPr>
        <w:drawing>
          <wp:inline distT="0" distB="0" distL="0" distR="0" wp14:anchorId="6B075B97" wp14:editId="1451A92B">
            <wp:extent cx="1332000" cy="1224000"/>
            <wp:effectExtent l="0" t="0" r="1905" b="0"/>
            <wp:docPr id="29" name="Chart 29">
              <a:extLst xmlns:a="http://schemas.openxmlformats.org/drawingml/2006/main">
                <a:ext uri="{FF2B5EF4-FFF2-40B4-BE49-F238E27FC236}">
                  <a16:creationId xmlns:a16="http://schemas.microsoft.com/office/drawing/2014/main" id="{00000000-0008-0000-0A00-00003E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62711C">
        <w:rPr>
          <w:lang w:val="sr-Cyrl-RS" w:eastAsia="en-GB"/>
        </w:rPr>
        <w:t xml:space="preserve">  </w:t>
      </w:r>
      <w:r w:rsidRPr="0062711C">
        <w:rPr>
          <w:noProof/>
          <w:lang w:val="en-GB" w:eastAsia="en-GB"/>
        </w:rPr>
        <w:drawing>
          <wp:inline distT="0" distB="0" distL="0" distR="0" wp14:anchorId="1BD38D19" wp14:editId="1DD8AD95">
            <wp:extent cx="1332000" cy="1224000"/>
            <wp:effectExtent l="0" t="0" r="1905" b="0"/>
            <wp:docPr id="31" name="Chart 31">
              <a:extLst xmlns:a="http://schemas.openxmlformats.org/drawingml/2006/main">
                <a:ext uri="{FF2B5EF4-FFF2-40B4-BE49-F238E27FC236}">
                  <a16:creationId xmlns:a16="http://schemas.microsoft.com/office/drawing/2014/main" id="{00000000-0008-0000-0A00-00004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C0A1158" w14:textId="77777777" w:rsidR="00D8744E" w:rsidRPr="0062711C" w:rsidRDefault="00D8744E" w:rsidP="008527D6">
      <w:pPr>
        <w:spacing w:after="0"/>
        <w:jc w:val="center"/>
        <w:rPr>
          <w:b/>
          <w:color w:val="002060"/>
          <w:szCs w:val="21"/>
          <w:lang w:val="sr-Cyrl-RS"/>
        </w:rPr>
      </w:pPr>
      <w:r w:rsidRPr="0062711C">
        <w:rPr>
          <w:b/>
          <w:color w:val="002060"/>
          <w:szCs w:val="21"/>
          <w:lang w:val="sr-Cyrl-RS"/>
        </w:rPr>
        <w:t>Јавни дуг сектора државе, % БДП</w:t>
      </w:r>
    </w:p>
    <w:p w14:paraId="69482CEA" w14:textId="77777777" w:rsidR="00D8744E" w:rsidRPr="0062711C" w:rsidRDefault="00D8744E" w:rsidP="008527D6">
      <w:pPr>
        <w:spacing w:after="0"/>
        <w:jc w:val="center"/>
        <w:rPr>
          <w:lang w:val="sr-Cyrl-RS"/>
        </w:rPr>
      </w:pPr>
      <w:r w:rsidRPr="0062711C">
        <w:rPr>
          <w:noProof/>
          <w:lang w:val="en-GB" w:eastAsia="en-GB"/>
        </w:rPr>
        <w:drawing>
          <wp:inline distT="0" distB="0" distL="0" distR="0" wp14:anchorId="1C87FB22" wp14:editId="27B9FE33">
            <wp:extent cx="1332000" cy="1224000"/>
            <wp:effectExtent l="0" t="0" r="0" b="0"/>
            <wp:docPr id="28" name="Chart 28">
              <a:extLst xmlns:a="http://schemas.openxmlformats.org/drawingml/2006/main">
                <a:ext uri="{FF2B5EF4-FFF2-40B4-BE49-F238E27FC236}">
                  <a16:creationId xmlns:a16="http://schemas.microsoft.com/office/drawing/2014/main" id="{00000000-0008-0000-0A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62711C">
        <w:rPr>
          <w:lang w:val="sr-Cyrl-RS"/>
        </w:rPr>
        <w:t xml:space="preserve">  </w:t>
      </w:r>
      <w:r w:rsidRPr="0062711C">
        <w:rPr>
          <w:noProof/>
          <w:lang w:val="en-GB" w:eastAsia="en-GB"/>
        </w:rPr>
        <w:drawing>
          <wp:inline distT="0" distB="0" distL="0" distR="0" wp14:anchorId="2559C2DF" wp14:editId="7F959E67">
            <wp:extent cx="1332000" cy="1224000"/>
            <wp:effectExtent l="0" t="0" r="0" b="0"/>
            <wp:docPr id="30" name="Chart 30">
              <a:extLst xmlns:a="http://schemas.openxmlformats.org/drawingml/2006/main">
                <a:ext uri="{FF2B5EF4-FFF2-40B4-BE49-F238E27FC236}">
                  <a16:creationId xmlns:a16="http://schemas.microsoft.com/office/drawing/2014/main" id="{00000000-0008-0000-0A00-00004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10F005F2" w14:textId="77777777" w:rsidR="00D8744E" w:rsidRPr="0062711C" w:rsidRDefault="00D8744E" w:rsidP="008527D6">
      <w:pPr>
        <w:spacing w:before="240"/>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Текућа кретања реалног сектора</w:t>
      </w:r>
    </w:p>
    <w:p w14:paraId="6320CED5" w14:textId="77777777" w:rsidR="00D8744E" w:rsidRPr="0062711C" w:rsidRDefault="00D8744E" w:rsidP="005C539B">
      <w:pPr>
        <w:spacing w:after="120"/>
        <w:rPr>
          <w:rFonts w:cstheme="minorHAnsi"/>
          <w:bCs/>
          <w:szCs w:val="72"/>
          <w:lang w:val="sr-Cyrl-RS"/>
        </w:rPr>
      </w:pPr>
      <w:r w:rsidRPr="0062711C">
        <w:rPr>
          <w:rFonts w:cstheme="minorHAnsi"/>
          <w:bCs/>
          <w:szCs w:val="72"/>
          <w:lang w:val="sr-Cyrl-RS"/>
        </w:rPr>
        <w:t>Према подацима РЗС, раст БДП у 2023. години износио је 2,5% што је у потпуности у складу са иницијалном пројекцијом Министарства финансија. Након нешто споријег раста у првој половини године, економска активност је убрзала у трећем и четвртом кварталу и међугодишње посматрано била је већа за 3,6% и 3,8%, респективно. Убрзању економске активности у другој половини године допринело је попуштање инфлаторних притисака и раст реалног расположивог дохотка становништва, као и снажнији раст инвестиционе активности. Посматрано са производне стране, убрзању привреде у другој половини 2023. године највише су допринеле услужне делатности и индустријска производња, уз наставак стабилног раста грађевинарства и пољопривреде.</w:t>
      </w:r>
    </w:p>
    <w:p w14:paraId="7CABAAE0" w14:textId="77777777" w:rsidR="00D8744E" w:rsidRPr="0062711C" w:rsidRDefault="00D8744E" w:rsidP="005C539B">
      <w:pPr>
        <w:spacing w:after="120"/>
        <w:rPr>
          <w:rFonts w:cstheme="minorHAnsi"/>
          <w:bCs/>
          <w:szCs w:val="72"/>
          <w:lang w:val="sr-Cyrl-RS"/>
        </w:rPr>
      </w:pPr>
      <w:r w:rsidRPr="0062711C">
        <w:rPr>
          <w:rFonts w:cstheme="minorHAnsi"/>
          <w:bCs/>
          <w:szCs w:val="72"/>
          <w:lang w:val="sr-Cyrl-RS"/>
        </w:rPr>
        <w:t>Према подацима РЗС, раст БДП у првом кварталу 2024. године износио је 4,7% мг., што је за 0,8 п.п. изнад иницијалне пројекције Министарства финансија за овај период, а која је подразумевала путању раста БДП од 3,5% у 2024. години. Боља кретања од очекиваних у првом кварталу, уз убрзање инвестиционог циклуса, главни су разлози ревизије привредног раста у 2024. години, за који Министарство финансија процењује да ће износити 3,8% уз матрицу ризика коју оцењујемо као благо асиметричну навише.</w:t>
      </w:r>
    </w:p>
    <w:p w14:paraId="60C749FC" w14:textId="50845501" w:rsidR="00D8744E" w:rsidRPr="0062711C" w:rsidRDefault="00D8744E" w:rsidP="005C539B">
      <w:pPr>
        <w:spacing w:after="120"/>
        <w:rPr>
          <w:b/>
          <w:szCs w:val="21"/>
          <w:lang w:val="sr-Cyrl-RS"/>
        </w:rPr>
      </w:pPr>
      <w:r w:rsidRPr="0062711C">
        <w:rPr>
          <w:rFonts w:cstheme="minorHAnsi"/>
          <w:bCs/>
          <w:szCs w:val="72"/>
          <w:lang w:val="sr-Cyrl-RS"/>
        </w:rPr>
        <w:t>Посматрано са производне стране, раст БДП у првом кварталу 2024. године био је вођен услужним сектором, који је остварио раст од 5,0% мг. Повећање економске активности забележено је код свих услужних делатности, а најзначајнији допринос дошао је од сектора трговине, саобраћаја и туризма који је забележио раст од 7,</w:t>
      </w:r>
      <w:r w:rsidR="00AA5C7D" w:rsidRPr="0062711C">
        <w:rPr>
          <w:rFonts w:cstheme="minorHAnsi"/>
          <w:bCs/>
          <w:szCs w:val="72"/>
          <w:lang w:val="sr-Cyrl-RS"/>
        </w:rPr>
        <w:t>3</w:t>
      </w:r>
      <w:r w:rsidRPr="0062711C">
        <w:rPr>
          <w:rFonts w:cstheme="minorHAnsi"/>
          <w:bCs/>
          <w:szCs w:val="72"/>
          <w:lang w:val="sr-Cyrl-RS"/>
        </w:rPr>
        <w:t>% мг</w:t>
      </w:r>
      <w:r w:rsidR="007962CB" w:rsidRPr="0062711C">
        <w:rPr>
          <w:rFonts w:cstheme="minorHAnsi"/>
          <w:bCs/>
          <w:szCs w:val="72"/>
          <w:lang w:val="sr-Cyrl-RS"/>
        </w:rPr>
        <w:t>.</w:t>
      </w:r>
      <w:r w:rsidRPr="0062711C">
        <w:rPr>
          <w:rFonts w:cstheme="minorHAnsi"/>
          <w:bCs/>
          <w:szCs w:val="72"/>
          <w:lang w:val="sr-Cyrl-RS"/>
        </w:rPr>
        <w:t>, као и од ИКТ и стручно-техничких услуга које су биле веће за 6,1% и 5,9%, респективно. Упркос смањеној спољној тражњи и ремонту капацитета у НИС, индустријска производња је забележила раст од 2,9% мг. у првом тромесечју, захваљујући пре свега активирању нових производних капацитета. Грађевинарство је било веће за 14,2% мг. услед наставка реализације инфраструктурних пројеката, као и раста приватних инвестиција, док је пољопривреда имала неутралан допринос расту БДП.</w:t>
      </w:r>
      <w:r w:rsidRPr="0062711C">
        <w:rPr>
          <w:b/>
          <w:szCs w:val="21"/>
          <w:lang w:val="sr-Cyrl-RS"/>
        </w:rPr>
        <w:br w:type="page"/>
      </w:r>
    </w:p>
    <w:p w14:paraId="586E3711" w14:textId="77777777" w:rsidR="00D8744E" w:rsidRPr="0062711C" w:rsidRDefault="00D8744E" w:rsidP="005C539B">
      <w:pPr>
        <w:spacing w:after="0"/>
        <w:jc w:val="center"/>
        <w:rPr>
          <w:b/>
          <w:color w:val="002060"/>
          <w:szCs w:val="21"/>
          <w:lang w:val="sr-Cyrl-RS"/>
        </w:rPr>
      </w:pPr>
      <w:r w:rsidRPr="0062711C">
        <w:rPr>
          <w:b/>
          <w:color w:val="002060"/>
          <w:szCs w:val="21"/>
          <w:lang w:val="sr-Cyrl-RS"/>
        </w:rPr>
        <w:lastRenderedPageBreak/>
        <w:t>Доприноси стопи реалног раста БДП, производни приступ, п.п.</w:t>
      </w:r>
    </w:p>
    <w:p w14:paraId="17435DF2" w14:textId="77777777" w:rsidR="00D8744E" w:rsidRPr="0062711C" w:rsidRDefault="00D8744E" w:rsidP="005C539B">
      <w:pPr>
        <w:spacing w:after="40"/>
        <w:rPr>
          <w:rFonts w:cstheme="minorHAnsi"/>
          <w:bCs/>
          <w:szCs w:val="72"/>
          <w:lang w:val="sr-Cyrl-RS"/>
        </w:rPr>
      </w:pPr>
      <w:r w:rsidRPr="0062711C">
        <w:rPr>
          <w:noProof/>
          <w:lang w:val="en-GB" w:eastAsia="en-GB"/>
        </w:rPr>
        <w:drawing>
          <wp:inline distT="0" distB="0" distL="0" distR="0" wp14:anchorId="29EADADE" wp14:editId="31DB3D75">
            <wp:extent cx="2743200" cy="1800000"/>
            <wp:effectExtent l="0" t="0" r="0" b="0"/>
            <wp:docPr id="5" name="Chart 5">
              <a:extLst xmlns:a="http://schemas.openxmlformats.org/drawingml/2006/main">
                <a:ext uri="{FF2B5EF4-FFF2-40B4-BE49-F238E27FC236}">
                  <a16:creationId xmlns:a16="http://schemas.microsoft.com/office/drawing/2014/main" id="{00000000-0008-0000-0C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0E77CD6E" w14:textId="77777777" w:rsidR="00D8744E" w:rsidRPr="0062711C" w:rsidRDefault="00D8744E" w:rsidP="005C539B">
      <w:pPr>
        <w:spacing w:after="0"/>
        <w:rPr>
          <w:rFonts w:cstheme="minorHAnsi"/>
          <w:bCs/>
          <w:sz w:val="16"/>
          <w:szCs w:val="16"/>
          <w:lang w:val="sr-Cyrl-RS"/>
        </w:rPr>
      </w:pPr>
      <w:r w:rsidRPr="0062711C">
        <w:rPr>
          <w:rFonts w:cstheme="minorHAnsi"/>
          <w:bCs/>
          <w:sz w:val="16"/>
          <w:szCs w:val="16"/>
          <w:lang w:val="sr-Cyrl-RS"/>
        </w:rPr>
        <w:t>Извор: РЗС</w:t>
      </w:r>
    </w:p>
    <w:p w14:paraId="2510B780" w14:textId="77777777" w:rsidR="00D8744E" w:rsidRPr="0062711C" w:rsidRDefault="00D8744E" w:rsidP="005C539B">
      <w:pPr>
        <w:spacing w:after="0"/>
        <w:jc w:val="center"/>
        <w:rPr>
          <w:b/>
          <w:color w:val="002060"/>
          <w:szCs w:val="21"/>
          <w:lang w:val="sr-Cyrl-RS"/>
        </w:rPr>
      </w:pPr>
      <w:r w:rsidRPr="0062711C">
        <w:rPr>
          <w:b/>
          <w:color w:val="002060"/>
          <w:szCs w:val="21"/>
          <w:lang w:val="sr-Cyrl-RS"/>
        </w:rPr>
        <w:t xml:space="preserve">Доприноси стопи реалног раста БДП, </w:t>
      </w:r>
      <w:r w:rsidRPr="0062711C">
        <w:rPr>
          <w:b/>
          <w:color w:val="002060"/>
          <w:szCs w:val="21"/>
          <w:lang w:val="sr-Cyrl-RS"/>
        </w:rPr>
        <w:br w:type="textWrapping" w:clear="all"/>
        <w:t>расходни приступ, п.п.</w:t>
      </w:r>
    </w:p>
    <w:p w14:paraId="0D5C685E" w14:textId="77777777" w:rsidR="00D8744E" w:rsidRPr="0062711C" w:rsidRDefault="00D8744E" w:rsidP="005C539B">
      <w:pPr>
        <w:spacing w:after="40"/>
        <w:jc w:val="center"/>
        <w:rPr>
          <w:lang w:val="sr-Cyrl-RS"/>
        </w:rPr>
      </w:pPr>
      <w:r w:rsidRPr="0062711C">
        <w:rPr>
          <w:noProof/>
          <w:lang w:val="en-GB" w:eastAsia="en-GB"/>
        </w:rPr>
        <w:drawing>
          <wp:inline distT="0" distB="0" distL="0" distR="0" wp14:anchorId="42D17DEE" wp14:editId="79D8F7C9">
            <wp:extent cx="2743200" cy="1944000"/>
            <wp:effectExtent l="0" t="0" r="0" b="0"/>
            <wp:docPr id="12" name="Chart 12">
              <a:extLst xmlns:a="http://schemas.openxmlformats.org/drawingml/2006/main">
                <a:ext uri="{FF2B5EF4-FFF2-40B4-BE49-F238E27FC236}">
                  <a16:creationId xmlns:a16="http://schemas.microsoft.com/office/drawing/2014/main"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2D1CA0D6" w14:textId="77777777" w:rsidR="00D8744E" w:rsidRPr="0062711C" w:rsidRDefault="00D8744E" w:rsidP="005C539B">
      <w:pPr>
        <w:spacing w:after="120"/>
        <w:rPr>
          <w:rFonts w:cstheme="minorHAnsi"/>
          <w:bCs/>
          <w:sz w:val="16"/>
          <w:szCs w:val="16"/>
          <w:lang w:val="sr-Cyrl-RS"/>
        </w:rPr>
      </w:pPr>
      <w:r w:rsidRPr="0062711C">
        <w:rPr>
          <w:rFonts w:cstheme="minorHAnsi"/>
          <w:bCs/>
          <w:sz w:val="16"/>
          <w:szCs w:val="16"/>
          <w:lang w:val="sr-Cyrl-RS"/>
        </w:rPr>
        <w:t>Извор: РЗС</w:t>
      </w:r>
    </w:p>
    <w:p w14:paraId="3E52FE8B" w14:textId="77777777" w:rsidR="00D8744E" w:rsidRPr="0062711C" w:rsidRDefault="00D8744E" w:rsidP="005C539B">
      <w:pPr>
        <w:rPr>
          <w:rFonts w:cstheme="minorHAnsi"/>
          <w:bCs/>
          <w:szCs w:val="72"/>
          <w:lang w:val="sr-Cyrl-RS"/>
        </w:rPr>
      </w:pPr>
      <w:r w:rsidRPr="0062711C">
        <w:rPr>
          <w:rFonts w:cstheme="minorHAnsi"/>
          <w:bCs/>
          <w:szCs w:val="72"/>
          <w:lang w:val="sr-Cyrl-RS"/>
        </w:rPr>
        <w:t>Посматрано по агрегатима употребе, раст БДП у првом кварталу 2024. године у потпуности је био опредељен домаћом тражњом. Раст реалног расположивог дохотка одразио се на убрзање приватне потрошње, која је била већа за 4,4% мг.</w:t>
      </w:r>
      <w:r w:rsidRPr="0062711C">
        <w:rPr>
          <w:rFonts w:cstheme="minorHAnsi"/>
          <w:bCs/>
          <w:spacing w:val="-2"/>
          <w:szCs w:val="72"/>
          <w:lang w:val="sr-Cyrl-RS"/>
        </w:rPr>
        <w:t xml:space="preserve"> </w:t>
      </w:r>
      <w:r w:rsidRPr="0062711C">
        <w:rPr>
          <w:rFonts w:cstheme="minorHAnsi"/>
          <w:bCs/>
          <w:szCs w:val="72"/>
          <w:lang w:val="sr-Cyrl-RS"/>
        </w:rPr>
        <w:t>Истовремено, инвестиције у основне фондове оствариле су раст од 7,3% мг. захваљујући пре свега већим грађевинским радовима, али и убрзању приватних инвестиција. Наставак снажног раста извоза услуга уз активирање нових производних капацитета сектора која производе разменљива добра резултирао је реалним растом извоза, који је у првом кварталу 2024. године износио 1,1% мг., упркос и даље слабој спољној тражњи. Истовремено, раст увоза услуга, уз већи увоз опреме и потрошне робе одразио се на раст реалног увоза који је износио 3,2% мг.</w:t>
      </w:r>
    </w:p>
    <w:p w14:paraId="10FBFB4F" w14:textId="77777777" w:rsidR="00D8744E" w:rsidRPr="0062711C" w:rsidRDefault="00D8744E" w:rsidP="005C539B">
      <w:pPr>
        <w:rPr>
          <w:rFonts w:cstheme="minorHAnsi"/>
          <w:bCs/>
          <w:szCs w:val="72"/>
          <w:lang w:val="sr-Cyrl-RS"/>
        </w:rPr>
      </w:pPr>
      <w:r w:rsidRPr="0062711C">
        <w:rPr>
          <w:rFonts w:cstheme="minorHAnsi"/>
          <w:bCs/>
          <w:szCs w:val="72"/>
          <w:lang w:val="sr-Cyrl-RS"/>
        </w:rPr>
        <w:t>Високофреквентни индикатори углавном указују на значајно убрзање економске активности почетком 2024. године. То потврђује и Индикатор привредне активности (ИПАС)</w:t>
      </w:r>
      <w:r w:rsidRPr="0062711C">
        <w:rPr>
          <w:rStyle w:val="FootnoteReference"/>
          <w:rFonts w:cstheme="minorHAnsi"/>
          <w:bCs/>
          <w:szCs w:val="72"/>
          <w:lang w:val="sr-Cyrl-RS"/>
        </w:rPr>
        <w:footnoteReference w:id="1"/>
      </w:r>
      <w:r w:rsidRPr="0062711C">
        <w:rPr>
          <w:rFonts w:cstheme="minorHAnsi"/>
          <w:bCs/>
          <w:szCs w:val="72"/>
          <w:lang w:val="sr-Cyrl-RS"/>
        </w:rPr>
        <w:t xml:space="preserve"> који Министарство финансија израђује за потребе сагледавања месечне динамике укупне економске активности. Након раста у јануару од 4,3% мг., у фебруару је раст привреде убрзао на 6,0% мг., што је уједно и највећа месечна стопа раста БДП у претходне две године. Нешто спорија динамика ИПАС у марту последица је пада прерађивачке индустрије, пре свега услед редовног ремонта капацитета у Нафтној индустрији Србије (НИС). У априлу 2024. године поново долази до убрзања привредног раста који је према процени Министарства финансија износио 5,3% мг.</w:t>
      </w:r>
    </w:p>
    <w:p w14:paraId="2DE4ACE3" w14:textId="77777777" w:rsidR="00D8744E" w:rsidRPr="0062711C" w:rsidRDefault="00D8744E" w:rsidP="005C539B">
      <w:pPr>
        <w:spacing w:after="0"/>
        <w:jc w:val="center"/>
        <w:rPr>
          <w:b/>
          <w:color w:val="002060"/>
          <w:szCs w:val="21"/>
          <w:lang w:val="sr-Cyrl-RS"/>
        </w:rPr>
      </w:pPr>
      <w:r w:rsidRPr="0062711C">
        <w:rPr>
          <w:b/>
          <w:color w:val="002060"/>
          <w:szCs w:val="21"/>
          <w:lang w:val="sr-Cyrl-RS"/>
        </w:rPr>
        <w:t>Индикатор привредне активности Србије (ИПАС) по секторима (доприноси расту, п.п.)</w:t>
      </w:r>
    </w:p>
    <w:p w14:paraId="38C95A3B" w14:textId="77777777" w:rsidR="00D8744E" w:rsidRPr="0062711C" w:rsidRDefault="00D8744E" w:rsidP="005C539B">
      <w:pPr>
        <w:spacing w:after="80"/>
        <w:jc w:val="center"/>
        <w:rPr>
          <w:lang w:val="sr-Cyrl-RS"/>
        </w:rPr>
      </w:pPr>
      <w:r w:rsidRPr="0062711C">
        <w:rPr>
          <w:noProof/>
          <w:lang w:val="en-GB" w:eastAsia="en-GB"/>
        </w:rPr>
        <w:drawing>
          <wp:inline distT="0" distB="0" distL="0" distR="0" wp14:anchorId="13A6E28B" wp14:editId="044DA02D">
            <wp:extent cx="2743200" cy="2051685"/>
            <wp:effectExtent l="0" t="0" r="0" b="5715"/>
            <wp:docPr id="24" name="Chart 24">
              <a:extLst xmlns:a="http://schemas.openxmlformats.org/drawingml/2006/main">
                <a:ext uri="{FF2B5EF4-FFF2-40B4-BE49-F238E27FC236}">
                  <a16:creationId xmlns:a16="http://schemas.microsoft.com/office/drawing/2014/main" id="{00000000-0008-0000-0D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1F975424" w14:textId="77777777" w:rsidR="00D8744E" w:rsidRPr="0062711C" w:rsidRDefault="00D8744E" w:rsidP="005C539B">
      <w:pPr>
        <w:spacing w:after="0"/>
        <w:jc w:val="center"/>
        <w:rPr>
          <w:b/>
          <w:color w:val="002060"/>
          <w:szCs w:val="21"/>
          <w:lang w:val="sr-Cyrl-RS"/>
        </w:rPr>
      </w:pPr>
      <w:r w:rsidRPr="0062711C">
        <w:rPr>
          <w:b/>
          <w:color w:val="002060"/>
          <w:szCs w:val="21"/>
          <w:lang w:val="sr-Cyrl-RS"/>
        </w:rPr>
        <w:t>Индикатор привредне активности Србије (ИПАС), мил. РСД, уланчане мере обима</w:t>
      </w:r>
    </w:p>
    <w:p w14:paraId="0B83A03B" w14:textId="77777777" w:rsidR="00D8744E" w:rsidRPr="0062711C" w:rsidRDefault="00D8744E" w:rsidP="005C539B">
      <w:pPr>
        <w:spacing w:after="0"/>
        <w:jc w:val="right"/>
        <w:rPr>
          <w:rFonts w:cstheme="minorHAnsi"/>
          <w:bCs/>
          <w:iCs/>
          <w:szCs w:val="72"/>
          <w:lang w:val="sr-Cyrl-RS"/>
        </w:rPr>
      </w:pPr>
      <w:r w:rsidRPr="0062711C">
        <w:rPr>
          <w:noProof/>
          <w:lang w:val="en-GB" w:eastAsia="en-GB"/>
        </w:rPr>
        <w:drawing>
          <wp:inline distT="0" distB="0" distL="0" distR="0" wp14:anchorId="3106A23C" wp14:editId="668AA100">
            <wp:extent cx="2743200" cy="2088000"/>
            <wp:effectExtent l="0" t="0" r="0" b="7620"/>
            <wp:docPr id="32" name="Chart 32">
              <a:extLst xmlns:a="http://schemas.openxmlformats.org/drawingml/2006/main">
                <a:ext uri="{FF2B5EF4-FFF2-40B4-BE49-F238E27FC236}">
                  <a16:creationId xmlns:a16="http://schemas.microsoft.com/office/drawing/2014/main" id="{00000000-0008-0000-0D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53A69EEC" w14:textId="77777777" w:rsidR="00D8744E" w:rsidRPr="0062711C" w:rsidRDefault="00D8744E" w:rsidP="005C539B">
      <w:pPr>
        <w:spacing w:after="0"/>
        <w:rPr>
          <w:rFonts w:cstheme="minorHAnsi"/>
          <w:bCs/>
          <w:sz w:val="16"/>
          <w:szCs w:val="16"/>
          <w:lang w:val="sr-Cyrl-RS"/>
        </w:rPr>
      </w:pPr>
      <w:r w:rsidRPr="0062711C">
        <w:rPr>
          <w:rFonts w:cstheme="minorHAnsi"/>
          <w:bCs/>
          <w:sz w:val="16"/>
          <w:szCs w:val="16"/>
          <w:lang w:val="sr-Cyrl-RS"/>
        </w:rPr>
        <w:t>Извор: Министарство финансија</w:t>
      </w:r>
    </w:p>
    <w:p w14:paraId="3A2B9302" w14:textId="5B8F1936" w:rsidR="00D8744E" w:rsidRPr="0062711C" w:rsidRDefault="00D8744E" w:rsidP="005C539B">
      <w:pPr>
        <w:spacing w:after="120"/>
        <w:rPr>
          <w:rFonts w:cstheme="minorHAnsi"/>
          <w:bCs/>
          <w:iCs/>
          <w:szCs w:val="72"/>
          <w:lang w:val="sr-Cyrl-RS"/>
        </w:rPr>
      </w:pPr>
      <w:r w:rsidRPr="0062711C">
        <w:rPr>
          <w:rFonts w:cstheme="minorHAnsi"/>
          <w:bCs/>
          <w:iCs/>
          <w:szCs w:val="72"/>
          <w:lang w:val="sr-Cyrl-RS"/>
        </w:rPr>
        <w:lastRenderedPageBreak/>
        <w:t xml:space="preserve">У прва четири месеца 2024. године индустријска </w:t>
      </w:r>
      <w:r w:rsidR="004B7EB2" w:rsidRPr="0062711C">
        <w:rPr>
          <w:rFonts w:cstheme="minorHAnsi"/>
          <w:bCs/>
          <w:iCs/>
          <w:szCs w:val="72"/>
          <w:lang w:val="sr-Cyrl-RS"/>
        </w:rPr>
        <w:t>производња</w:t>
      </w:r>
      <w:r w:rsidRPr="0062711C">
        <w:rPr>
          <w:rFonts w:cstheme="minorHAnsi"/>
          <w:bCs/>
          <w:iCs/>
          <w:szCs w:val="72"/>
          <w:lang w:val="sr-Cyrl-RS"/>
        </w:rPr>
        <w:t xml:space="preserve"> je забележила раст од 2,9% који је вођен већим физичким обимом производње прерађивачке индустрије, док је утицај електо-енергетског сектора био готово неутралан. Упркос ремонту производних капацитета и извођењу инвестиционих радова на већини процесних постројења у Рафинерији нафте Панчево током марта и априла и са тим повезаним падом нафтне индустрије, прерађивачка индустрија је у прва четири месеца остварила раст од 3,9%. Раст је био диверсификован и остварен у већини делатности. Производњу електро-енергетског сектора карактеришу дивергентна кретања, уз већи обим производње у сектору рударства </w:t>
      </w:r>
      <w:r w:rsidR="00FB314A" w:rsidRPr="0062711C">
        <w:rPr>
          <w:rFonts w:cstheme="minorHAnsi"/>
          <w:bCs/>
          <w:iCs/>
          <w:szCs w:val="72"/>
          <w:lang w:val="sr-Cyrl-RS"/>
        </w:rPr>
        <w:t xml:space="preserve">(6,1% мг.) </w:t>
      </w:r>
      <w:r w:rsidRPr="0062711C">
        <w:rPr>
          <w:rFonts w:cstheme="minorHAnsi"/>
          <w:bCs/>
          <w:iCs/>
          <w:szCs w:val="72"/>
          <w:lang w:val="sr-Cyrl-RS"/>
        </w:rPr>
        <w:t>као резултат веће експлоатације руде метала, док је обим производње електричне енергије био мањи за 3,3% услед мање спољне тражње и мањег обима производње за извоз.</w:t>
      </w:r>
    </w:p>
    <w:p w14:paraId="34B3944F" w14:textId="77777777" w:rsidR="00D8744E" w:rsidRPr="0062711C" w:rsidRDefault="00D8744E" w:rsidP="005C539B">
      <w:pPr>
        <w:spacing w:after="0"/>
        <w:jc w:val="center"/>
        <w:rPr>
          <w:rFonts w:cstheme="minorHAnsi"/>
          <w:b/>
          <w:bCs/>
          <w:iCs/>
          <w:color w:val="002060"/>
          <w:szCs w:val="72"/>
          <w:lang w:val="sr-Cyrl-RS"/>
        </w:rPr>
      </w:pPr>
      <w:r w:rsidRPr="0062711C">
        <w:rPr>
          <w:rFonts w:cstheme="minorHAnsi"/>
          <w:b/>
          <w:bCs/>
          <w:iCs/>
          <w:color w:val="002060"/>
          <w:szCs w:val="72"/>
          <w:lang w:val="sr-Cyrl-RS"/>
        </w:rPr>
        <w:t>Индекс физичког обима прерађивачке индустрије, 2023=100</w:t>
      </w:r>
    </w:p>
    <w:p w14:paraId="684D79B5" w14:textId="77777777" w:rsidR="00D8744E" w:rsidRPr="0062711C" w:rsidRDefault="00D8744E" w:rsidP="005C539B">
      <w:pPr>
        <w:spacing w:after="60"/>
        <w:rPr>
          <w:rFonts w:cstheme="minorHAnsi"/>
          <w:bCs/>
          <w:iCs/>
          <w:szCs w:val="72"/>
          <w:lang w:val="sr-Cyrl-RS"/>
        </w:rPr>
      </w:pPr>
      <w:r w:rsidRPr="0062711C">
        <w:rPr>
          <w:noProof/>
          <w:lang w:val="en-GB" w:eastAsia="en-GB"/>
        </w:rPr>
        <w:drawing>
          <wp:inline distT="0" distB="0" distL="0" distR="0" wp14:anchorId="6F4F6898" wp14:editId="546C8920">
            <wp:extent cx="2743200" cy="1224000"/>
            <wp:effectExtent l="0" t="0" r="0" b="0"/>
            <wp:docPr id="33" name="Chart 33">
              <a:extLst xmlns:a="http://schemas.openxmlformats.org/drawingml/2006/main">
                <a:ext uri="{FF2B5EF4-FFF2-40B4-BE49-F238E27FC236}">
                  <a16:creationId xmlns:a16="http://schemas.microsoft.com/office/drawing/2014/main" id="{00000000-0008-0000-1B00-00002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7F42FAE1" w14:textId="77777777" w:rsidR="00D8744E" w:rsidRPr="0062711C" w:rsidRDefault="00D8744E" w:rsidP="005C539B">
      <w:pPr>
        <w:spacing w:after="40"/>
        <w:jc w:val="center"/>
        <w:rPr>
          <w:rFonts w:cstheme="minorHAnsi"/>
          <w:b/>
          <w:bCs/>
          <w:iCs/>
          <w:color w:val="002060"/>
          <w:szCs w:val="72"/>
          <w:lang w:val="sr-Cyrl-RS"/>
        </w:rPr>
      </w:pPr>
      <w:r w:rsidRPr="0062711C">
        <w:rPr>
          <w:rFonts w:cstheme="minorHAnsi"/>
          <w:b/>
          <w:bCs/>
          <w:iCs/>
          <w:color w:val="002060"/>
          <w:szCs w:val="72"/>
          <w:lang w:val="sr-Cyrl-RS"/>
        </w:rPr>
        <w:t>Индекс физичког обима рударства, 2023=100</w:t>
      </w:r>
    </w:p>
    <w:p w14:paraId="479F79AE" w14:textId="77777777" w:rsidR="00D8744E" w:rsidRPr="0062711C" w:rsidRDefault="00D8744E" w:rsidP="005C539B">
      <w:pPr>
        <w:spacing w:after="40"/>
        <w:rPr>
          <w:rFonts w:cstheme="minorHAnsi"/>
          <w:bCs/>
          <w:iCs/>
          <w:szCs w:val="72"/>
          <w:lang w:val="sr-Cyrl-RS"/>
        </w:rPr>
      </w:pPr>
      <w:r w:rsidRPr="0062711C">
        <w:rPr>
          <w:noProof/>
          <w:lang w:val="en-GB" w:eastAsia="en-GB"/>
        </w:rPr>
        <w:drawing>
          <wp:inline distT="0" distB="0" distL="0" distR="0" wp14:anchorId="62D57ED8" wp14:editId="337005BA">
            <wp:extent cx="2743200" cy="1224000"/>
            <wp:effectExtent l="0" t="0" r="0" b="0"/>
            <wp:docPr id="56" name="Chart 56">
              <a:extLst xmlns:a="http://schemas.openxmlformats.org/drawingml/2006/main">
                <a:ext uri="{FF2B5EF4-FFF2-40B4-BE49-F238E27FC236}">
                  <a16:creationId xmlns:a16="http://schemas.microsoft.com/office/drawing/2014/main" id="{00000000-0008-0000-1A00-00004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4C0BF070" w14:textId="77777777" w:rsidR="00D8744E" w:rsidRPr="0062711C" w:rsidRDefault="00D8744E" w:rsidP="005C539B">
      <w:pPr>
        <w:spacing w:after="0"/>
        <w:jc w:val="center"/>
        <w:rPr>
          <w:rFonts w:cstheme="minorHAnsi"/>
          <w:b/>
          <w:bCs/>
          <w:iCs/>
          <w:color w:val="002060"/>
          <w:spacing w:val="-2"/>
          <w:szCs w:val="72"/>
          <w:lang w:val="sr-Cyrl-RS"/>
        </w:rPr>
      </w:pPr>
      <w:r w:rsidRPr="0062711C">
        <w:rPr>
          <w:rFonts w:cstheme="minorHAnsi"/>
          <w:b/>
          <w:bCs/>
          <w:iCs/>
          <w:color w:val="002060"/>
          <w:spacing w:val="-2"/>
          <w:szCs w:val="72"/>
          <w:lang w:val="sr-Cyrl-RS"/>
        </w:rPr>
        <w:t>Индекс физичког обима снабдевања електричном енергијом, гасом и паром, 2023=100</w:t>
      </w:r>
    </w:p>
    <w:p w14:paraId="0113C591" w14:textId="77777777" w:rsidR="00D8744E" w:rsidRPr="0062711C" w:rsidRDefault="00D8744E" w:rsidP="005C539B">
      <w:pPr>
        <w:spacing w:after="60"/>
        <w:jc w:val="left"/>
        <w:rPr>
          <w:rFonts w:cstheme="minorHAnsi"/>
          <w:bCs/>
          <w:iCs/>
          <w:szCs w:val="72"/>
          <w:lang w:val="sr-Cyrl-RS"/>
        </w:rPr>
      </w:pPr>
      <w:r w:rsidRPr="0062711C">
        <w:rPr>
          <w:noProof/>
          <w:lang w:val="en-GB" w:eastAsia="en-GB"/>
        </w:rPr>
        <w:drawing>
          <wp:inline distT="0" distB="0" distL="0" distR="0" wp14:anchorId="6B988191" wp14:editId="54AF7F13">
            <wp:extent cx="2743200" cy="1224000"/>
            <wp:effectExtent l="0" t="0" r="0" b="0"/>
            <wp:docPr id="57" name="Chart 57">
              <a:extLst xmlns:a="http://schemas.openxmlformats.org/drawingml/2006/main">
                <a:ext uri="{FF2B5EF4-FFF2-40B4-BE49-F238E27FC236}">
                  <a16:creationId xmlns:a16="http://schemas.microsoft.com/office/drawing/2014/main" id="{00000000-0008-0000-1A00-00004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6E8F0D16" w14:textId="77777777" w:rsidR="00D8744E" w:rsidRPr="0062711C" w:rsidRDefault="00D8744E" w:rsidP="005C539B">
      <w:pPr>
        <w:spacing w:after="0" w:line="240" w:lineRule="auto"/>
        <w:rPr>
          <w:rFonts w:cstheme="minorHAnsi"/>
          <w:bCs/>
          <w:sz w:val="16"/>
          <w:szCs w:val="72"/>
          <w:lang w:val="sr-Cyrl-RS"/>
        </w:rPr>
      </w:pPr>
      <w:r w:rsidRPr="0062711C">
        <w:rPr>
          <w:noProof/>
          <w:color w:val="FF0000"/>
          <w:lang w:val="en-GB" w:eastAsia="en-GB"/>
        </w:rPr>
        <w:drawing>
          <wp:inline distT="0" distB="0" distL="0" distR="0" wp14:anchorId="6BAAEF37" wp14:editId="17A7FFBA">
            <wp:extent cx="2743200" cy="137080"/>
            <wp:effectExtent l="0" t="0" r="0" b="0"/>
            <wp:docPr id="2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4"/>
                    <a:stretch>
                      <a:fillRect/>
                    </a:stretch>
                  </pic:blipFill>
                  <pic:spPr>
                    <a:xfrm>
                      <a:off x="0" y="0"/>
                      <a:ext cx="2743200" cy="137080"/>
                    </a:xfrm>
                    <a:prstGeom prst="rect">
                      <a:avLst/>
                    </a:prstGeom>
                  </pic:spPr>
                </pic:pic>
              </a:graphicData>
            </a:graphic>
          </wp:inline>
        </w:drawing>
      </w:r>
    </w:p>
    <w:p w14:paraId="00F5F4CA" w14:textId="77777777" w:rsidR="00D8744E" w:rsidRPr="0062711C" w:rsidRDefault="00D8744E" w:rsidP="005C539B">
      <w:pPr>
        <w:spacing w:after="0" w:line="240" w:lineRule="auto"/>
        <w:rPr>
          <w:rFonts w:cstheme="minorHAnsi"/>
          <w:bCs/>
          <w:iCs/>
          <w:szCs w:val="72"/>
          <w:lang w:val="sr-Cyrl-RS"/>
        </w:rPr>
      </w:pPr>
      <w:r w:rsidRPr="0062711C">
        <w:rPr>
          <w:rFonts w:cstheme="minorHAnsi"/>
          <w:bCs/>
          <w:sz w:val="16"/>
          <w:szCs w:val="72"/>
          <w:lang w:val="sr-Cyrl-RS"/>
        </w:rPr>
        <w:t>Извор: Министарство финансија</w:t>
      </w:r>
    </w:p>
    <w:p w14:paraId="76BCA8B2" w14:textId="1065422E" w:rsidR="00D8744E" w:rsidRPr="0062711C" w:rsidRDefault="00D8744E" w:rsidP="005C539B">
      <w:pPr>
        <w:spacing w:after="80"/>
        <w:rPr>
          <w:rFonts w:cstheme="minorHAnsi"/>
          <w:bCs/>
          <w:iCs/>
          <w:szCs w:val="72"/>
          <w:lang w:val="sr-Cyrl-RS"/>
        </w:rPr>
      </w:pPr>
      <w:r w:rsidRPr="0062711C">
        <w:rPr>
          <w:rFonts w:cstheme="minorHAnsi"/>
          <w:bCs/>
          <w:iCs/>
          <w:szCs w:val="72"/>
          <w:lang w:val="sr-Cyrl-RS"/>
        </w:rPr>
        <w:t xml:space="preserve">У периоду јануар–април прерађивачка индустрија је забележила раст производње од 3,9% мг., уз раст у 18 од 24 делатности овог сектора. Најзначајнији позитиван допринос расту прерађивачке </w:t>
      </w:r>
      <w:r w:rsidR="007D6AA0" w:rsidRPr="0062711C">
        <w:rPr>
          <w:rFonts w:cstheme="minorHAnsi"/>
          <w:bCs/>
          <w:iCs/>
          <w:szCs w:val="72"/>
          <w:lang w:val="sr-Cyrl-RS"/>
        </w:rPr>
        <w:t>индустрије</w:t>
      </w:r>
      <w:r w:rsidRPr="0062711C">
        <w:rPr>
          <w:rFonts w:cstheme="minorHAnsi"/>
          <w:bCs/>
          <w:iCs/>
          <w:szCs w:val="72"/>
          <w:lang w:val="sr-Cyrl-RS"/>
        </w:rPr>
        <w:t xml:space="preserve"> у овом периоду потиче од производње </w:t>
      </w:r>
      <w:r w:rsidR="007C01E6">
        <w:rPr>
          <w:rFonts w:cstheme="minorHAnsi"/>
          <w:bCs/>
          <w:iCs/>
          <w:szCs w:val="72"/>
          <w:lang w:val="sr-Cyrl-RS"/>
        </w:rPr>
        <w:t>основних метала</w:t>
      </w:r>
      <w:r w:rsidRPr="0062711C">
        <w:rPr>
          <w:rFonts w:cstheme="minorHAnsi"/>
          <w:bCs/>
          <w:iCs/>
          <w:szCs w:val="72"/>
          <w:lang w:val="sr-Cyrl-RS"/>
        </w:rPr>
        <w:t xml:space="preserve"> и прехрамбене индустрије које су забележиле повећање од 70,0% и 8,0% мг. респективно. Међугодишње посматрано, производња металне индустрије континуирано расте од маја претходне године и у априлу је већа за 49,1%, док је код прехрамбене индустрије то случај у претходних пет месеци уз убрзање раста током априла на 12,8% мг. Настављен је растући тренд производње рачунара, електронских и оптичких производа, пре свега услед производње паметних бројила, при чему је у прва четири месеца обим активности ове делатности увећан за 92,5% у односу на исти период претходне године. Након пада производње металних производа у 2023. години од 9,6% у односу на 2022. годину, активност ове делатности убрзава током 2024. године уз априлски раст од 30,6% мг. и раст у прва четири месеца од 12,0% мг. Упркос слабој спољној тражњи, повећање производних капацитета као резултат СДИ из претходног периода имао је за резултат већу производњу електричне опреме и аутомобилске индустрије за 15,0% и 9,8% мг., респективно. С друге стране, најзначајнији негативан допринос кретању прерађивачке индустрије у прва четири месеца 2024. године потекао је од нафтне индустрије са смањењем производње од 41,1% мг. Нафтна индустрија је након раста од 18,3% мг. у фебруару забележила пад производње од 92,9% мг. у марту и 78,0% мг. у априлу услед планског ремонта у прерађивачком комплексу НИС. Међугодишње посматрано, машинска индустрија бележи пад производње десети месец заредом, при чему је обим активности ове делатности био нижи за 15,7% мг. у прва четири месеца 2024. године. Остале делатности које су забележиле мањи физички обим производње оствариле су благ негативан утицај на кретање прерађивачке индустрије.</w:t>
      </w:r>
    </w:p>
    <w:p w14:paraId="3EA0A129" w14:textId="77777777" w:rsidR="00D8744E" w:rsidRPr="0062711C" w:rsidRDefault="00D8744E" w:rsidP="005C539B">
      <w:pPr>
        <w:spacing w:after="80"/>
        <w:rPr>
          <w:rFonts w:cstheme="minorHAnsi"/>
          <w:bCs/>
          <w:iCs/>
          <w:spacing w:val="-4"/>
          <w:szCs w:val="72"/>
          <w:lang w:val="sr-Cyrl-RS"/>
        </w:rPr>
      </w:pPr>
    </w:p>
    <w:p w14:paraId="26905805" w14:textId="77777777" w:rsidR="00D8744E" w:rsidRPr="0062711C" w:rsidRDefault="00D8744E" w:rsidP="005C539B">
      <w:pPr>
        <w:rPr>
          <w:rFonts w:cstheme="minorHAnsi"/>
          <w:bCs/>
          <w:iCs/>
          <w:szCs w:val="72"/>
          <w:lang w:val="sr-Cyrl-RS"/>
        </w:rPr>
      </w:pPr>
    </w:p>
    <w:p w14:paraId="0A8D81C6" w14:textId="77777777" w:rsidR="00D8744E" w:rsidRPr="0062711C" w:rsidRDefault="00D8744E" w:rsidP="005C539B">
      <w:pPr>
        <w:spacing w:after="0"/>
        <w:rPr>
          <w:rFonts w:cstheme="minorHAnsi"/>
          <w:bCs/>
          <w:iCs/>
          <w:sz w:val="14"/>
          <w:szCs w:val="72"/>
          <w:lang w:val="sr-Cyrl-RS"/>
        </w:rPr>
      </w:pPr>
    </w:p>
    <w:p w14:paraId="71B8471E" w14:textId="77777777" w:rsidR="00D8744E" w:rsidRPr="0062711C" w:rsidRDefault="00D8744E" w:rsidP="005C539B">
      <w:pPr>
        <w:spacing w:after="0"/>
        <w:rPr>
          <w:rFonts w:cstheme="minorHAnsi"/>
          <w:bCs/>
          <w:iCs/>
          <w:sz w:val="14"/>
          <w:szCs w:val="72"/>
          <w:lang w:val="sr-Cyrl-RS"/>
        </w:rPr>
        <w:sectPr w:rsidR="00D8744E" w:rsidRPr="0062711C" w:rsidSect="00F45C01">
          <w:type w:val="continuous"/>
          <w:pgSz w:w="12240" w:h="15840" w:code="1"/>
          <w:pgMar w:top="1440" w:right="1440" w:bottom="1440" w:left="1440" w:header="720" w:footer="720" w:gutter="0"/>
          <w:cols w:num="2" w:space="720"/>
          <w:docGrid w:linePitch="360"/>
          <w15:footnoteColumns w:val="1"/>
        </w:sectPr>
      </w:pPr>
    </w:p>
    <w:p w14:paraId="458D40F6" w14:textId="77777777" w:rsidR="00D8744E" w:rsidRPr="0062711C" w:rsidRDefault="00D8744E" w:rsidP="008527D6">
      <w:pPr>
        <w:spacing w:after="60" w:line="240" w:lineRule="auto"/>
        <w:jc w:val="center"/>
        <w:rPr>
          <w:rFonts w:cstheme="minorHAnsi"/>
          <w:b/>
          <w:color w:val="002060"/>
          <w:lang w:val="sr-Cyrl-RS"/>
        </w:rPr>
      </w:pPr>
      <w:r w:rsidRPr="0062711C">
        <w:rPr>
          <w:rFonts w:cstheme="minorHAnsi"/>
          <w:b/>
          <w:color w:val="002060"/>
          <w:lang w:val="sr-Cyrl-RS"/>
        </w:rPr>
        <w:lastRenderedPageBreak/>
        <w:t>Индекси физичког обима водећих делатности прерађивачке индустрије, 2023=100</w:t>
      </w:r>
    </w:p>
    <w:tbl>
      <w:tblPr>
        <w:tblStyle w:val="TableGrid5"/>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79"/>
        <w:gridCol w:w="4681"/>
      </w:tblGrid>
      <w:tr w:rsidR="00D8744E" w:rsidRPr="0062711C" w14:paraId="01287BBC" w14:textId="77777777" w:rsidTr="005C539B">
        <w:tc>
          <w:tcPr>
            <w:tcW w:w="4679" w:type="dxa"/>
          </w:tcPr>
          <w:p w14:paraId="5701E8F8" w14:textId="77777777" w:rsidR="00D8744E" w:rsidRPr="0062711C" w:rsidRDefault="00D8744E" w:rsidP="005C539B">
            <w:pPr>
              <w:spacing w:before="40" w:after="20"/>
              <w:jc w:val="center"/>
              <w:rPr>
                <w:lang w:val="sr-Cyrl-RS"/>
              </w:rPr>
            </w:pPr>
            <w:r w:rsidRPr="0062711C">
              <w:rPr>
                <w:lang w:val="sr-Cyrl-RS"/>
              </w:rPr>
              <w:t>Производња основних метала</w:t>
            </w:r>
          </w:p>
          <w:p w14:paraId="7F53567E"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230A4808" wp14:editId="5C7A1CFE">
                  <wp:extent cx="2880000" cy="1188000"/>
                  <wp:effectExtent l="0" t="0" r="0" b="0"/>
                  <wp:docPr id="36" name="Chart 36">
                    <a:extLst xmlns:a="http://schemas.openxmlformats.org/drawingml/2006/main">
                      <a:ext uri="{FF2B5EF4-FFF2-40B4-BE49-F238E27FC236}">
                        <a16:creationId xmlns:a16="http://schemas.microsoft.com/office/drawing/2014/main" id="{00000000-0008-0000-1A00-00001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c>
          <w:tcPr>
            <w:tcW w:w="4681" w:type="dxa"/>
          </w:tcPr>
          <w:p w14:paraId="3B2A2F43" w14:textId="77777777" w:rsidR="00D8744E" w:rsidRPr="0062711C" w:rsidRDefault="00D8744E" w:rsidP="005C539B">
            <w:pPr>
              <w:spacing w:before="40" w:after="20"/>
              <w:jc w:val="center"/>
              <w:rPr>
                <w:lang w:val="sr-Cyrl-RS"/>
              </w:rPr>
            </w:pPr>
            <w:r w:rsidRPr="0062711C">
              <w:rPr>
                <w:lang w:val="sr-Cyrl-RS"/>
              </w:rPr>
              <w:t>Производња прехрамбених производа</w:t>
            </w:r>
          </w:p>
          <w:p w14:paraId="5C63F12F"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53B71E0E" wp14:editId="3308DA80">
                  <wp:extent cx="2880000" cy="1188000"/>
                  <wp:effectExtent l="0" t="0" r="0" b="0"/>
                  <wp:docPr id="6" name="Chart 6">
                    <a:extLst xmlns:a="http://schemas.openxmlformats.org/drawingml/2006/main">
                      <a:ext uri="{FF2B5EF4-FFF2-40B4-BE49-F238E27FC236}">
                        <a16:creationId xmlns:a16="http://schemas.microsoft.com/office/drawing/2014/main" id="{00000000-0008-0000-1A00-00001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r w:rsidR="00D8744E" w:rsidRPr="0062711C" w14:paraId="260DFD9A" w14:textId="77777777" w:rsidTr="005C539B">
        <w:tc>
          <w:tcPr>
            <w:tcW w:w="4679" w:type="dxa"/>
          </w:tcPr>
          <w:p w14:paraId="091F7EBE" w14:textId="77777777" w:rsidR="00D8744E" w:rsidRPr="0062711C" w:rsidRDefault="00D8744E" w:rsidP="005C539B">
            <w:pPr>
              <w:spacing w:before="40" w:after="20"/>
              <w:jc w:val="center"/>
              <w:rPr>
                <w:lang w:val="sr-Cyrl-RS"/>
              </w:rPr>
            </w:pPr>
            <w:r w:rsidRPr="0062711C">
              <w:rPr>
                <w:lang w:val="sr-Cyrl-RS"/>
              </w:rPr>
              <w:t>Производња металних производа, осим машина</w:t>
            </w:r>
          </w:p>
          <w:p w14:paraId="184DEF48"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75B32B0D" wp14:editId="758787A8">
                  <wp:extent cx="2880000" cy="1188000"/>
                  <wp:effectExtent l="0" t="0" r="0" b="0"/>
                  <wp:docPr id="27" name="Chart 27">
                    <a:extLst xmlns:a="http://schemas.openxmlformats.org/drawingml/2006/main">
                      <a:ext uri="{FF2B5EF4-FFF2-40B4-BE49-F238E27FC236}">
                        <a16:creationId xmlns:a16="http://schemas.microsoft.com/office/drawing/2014/main" id="{00000000-0008-0000-1A00-00003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c>
          <w:tcPr>
            <w:tcW w:w="4681" w:type="dxa"/>
          </w:tcPr>
          <w:p w14:paraId="00E15B3D" w14:textId="77777777" w:rsidR="00D8744E" w:rsidRPr="0062711C" w:rsidRDefault="00D8744E" w:rsidP="005C539B">
            <w:pPr>
              <w:spacing w:before="40" w:after="20"/>
              <w:jc w:val="center"/>
              <w:rPr>
                <w:lang w:val="sr-Cyrl-RS"/>
              </w:rPr>
            </w:pPr>
            <w:r w:rsidRPr="0062711C">
              <w:rPr>
                <w:lang w:val="sr-Cyrl-RS"/>
              </w:rPr>
              <w:t>Производња електричне опреме</w:t>
            </w:r>
          </w:p>
          <w:p w14:paraId="6075E639"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6B6C34A2" wp14:editId="312C2DC1">
                  <wp:extent cx="2881465" cy="1188000"/>
                  <wp:effectExtent l="0" t="0" r="0" b="0"/>
                  <wp:docPr id="37" name="Chart 37">
                    <a:extLst xmlns:a="http://schemas.openxmlformats.org/drawingml/2006/main">
                      <a:ext uri="{FF2B5EF4-FFF2-40B4-BE49-F238E27FC236}">
                        <a16:creationId xmlns:a16="http://schemas.microsoft.com/office/drawing/2014/main" id="{00000000-0008-0000-1A00-00003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r w:rsidR="00D8744E" w:rsidRPr="0062711C" w14:paraId="715B78C0" w14:textId="77777777" w:rsidTr="005C539B">
        <w:tc>
          <w:tcPr>
            <w:tcW w:w="4679" w:type="dxa"/>
          </w:tcPr>
          <w:p w14:paraId="01C6BEF6" w14:textId="77777777" w:rsidR="00D8744E" w:rsidRPr="0062711C" w:rsidRDefault="00D8744E" w:rsidP="005C539B">
            <w:pPr>
              <w:spacing w:before="40" w:after="20"/>
              <w:jc w:val="center"/>
              <w:rPr>
                <w:lang w:val="sr-Cyrl-RS"/>
              </w:rPr>
            </w:pPr>
            <w:r w:rsidRPr="0062711C">
              <w:rPr>
                <w:lang w:val="sr-Cyrl-RS"/>
              </w:rPr>
              <w:t>Производња моторних возила и приколица</w:t>
            </w:r>
          </w:p>
          <w:p w14:paraId="409897D1"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06E4052E" wp14:editId="74A774CC">
                  <wp:extent cx="2880000" cy="1188000"/>
                  <wp:effectExtent l="0" t="0" r="0" b="0"/>
                  <wp:docPr id="34" name="Chart 34">
                    <a:extLst xmlns:a="http://schemas.openxmlformats.org/drawingml/2006/main">
                      <a:ext uri="{FF2B5EF4-FFF2-40B4-BE49-F238E27FC236}">
                        <a16:creationId xmlns:a16="http://schemas.microsoft.com/office/drawing/2014/main" id="{00000000-0008-0000-1A00-00002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4681" w:type="dxa"/>
          </w:tcPr>
          <w:p w14:paraId="39050C76" w14:textId="77777777" w:rsidR="00D8744E" w:rsidRPr="0062711C" w:rsidRDefault="00D8744E" w:rsidP="005C539B">
            <w:pPr>
              <w:spacing w:before="40" w:after="20"/>
              <w:jc w:val="center"/>
              <w:rPr>
                <w:lang w:val="sr-Cyrl-RS"/>
              </w:rPr>
            </w:pPr>
            <w:r w:rsidRPr="0062711C">
              <w:rPr>
                <w:lang w:val="sr-Cyrl-RS"/>
              </w:rPr>
              <w:t>Производња производа од гуме и пластике</w:t>
            </w:r>
          </w:p>
          <w:p w14:paraId="11BBEC0D"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5738B410" wp14:editId="3560B0B1">
                  <wp:extent cx="2880000" cy="1188000"/>
                  <wp:effectExtent l="0" t="0" r="0" b="0"/>
                  <wp:docPr id="35" name="Chart 35">
                    <a:extLst xmlns:a="http://schemas.openxmlformats.org/drawingml/2006/main">
                      <a:ext uri="{FF2B5EF4-FFF2-40B4-BE49-F238E27FC236}">
                        <a16:creationId xmlns:a16="http://schemas.microsoft.com/office/drawing/2014/main" id="{00000000-0008-0000-1A00-00001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D8744E" w:rsidRPr="0062711C" w14:paraId="40464D43" w14:textId="77777777" w:rsidTr="005C539B">
        <w:tc>
          <w:tcPr>
            <w:tcW w:w="4679" w:type="dxa"/>
          </w:tcPr>
          <w:p w14:paraId="5D344945" w14:textId="77777777" w:rsidR="00D8744E" w:rsidRPr="0062711C" w:rsidRDefault="00D8744E" w:rsidP="005C539B">
            <w:pPr>
              <w:spacing w:before="40" w:after="20"/>
              <w:jc w:val="center"/>
              <w:rPr>
                <w:spacing w:val="-6"/>
                <w:lang w:val="sr-Cyrl-RS"/>
              </w:rPr>
            </w:pPr>
            <w:r w:rsidRPr="0062711C">
              <w:rPr>
                <w:spacing w:val="-6"/>
                <w:lang w:val="sr-Cyrl-RS"/>
              </w:rPr>
              <w:t>Произв. рачунара, електронских и оптичких производа</w:t>
            </w:r>
          </w:p>
          <w:p w14:paraId="39EBCF15"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596738D6" wp14:editId="67FC4EF8">
                  <wp:extent cx="2880000" cy="1188000"/>
                  <wp:effectExtent l="0" t="0" r="0" b="0"/>
                  <wp:docPr id="46" name="Chart 46">
                    <a:extLst xmlns:a="http://schemas.openxmlformats.org/drawingml/2006/main">
                      <a:ext uri="{FF2B5EF4-FFF2-40B4-BE49-F238E27FC236}">
                        <a16:creationId xmlns:a16="http://schemas.microsoft.com/office/drawing/2014/main" id="{00000000-0008-0000-1A00-00004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4681" w:type="dxa"/>
          </w:tcPr>
          <w:p w14:paraId="26742B80" w14:textId="77777777" w:rsidR="00D8744E" w:rsidRPr="0062711C" w:rsidRDefault="00D8744E" w:rsidP="005C539B">
            <w:pPr>
              <w:spacing w:before="40" w:after="20"/>
              <w:jc w:val="center"/>
              <w:rPr>
                <w:lang w:val="sr-Cyrl-RS"/>
              </w:rPr>
            </w:pPr>
            <w:r w:rsidRPr="0062711C">
              <w:rPr>
                <w:lang w:val="sr-Cyrl-RS"/>
              </w:rPr>
              <w:t>Производња производа од неметалних минерала</w:t>
            </w:r>
          </w:p>
          <w:p w14:paraId="51B5A34B"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556E6924" wp14:editId="07C47D3F">
                  <wp:extent cx="2881465" cy="1188000"/>
                  <wp:effectExtent l="0" t="0" r="0" b="0"/>
                  <wp:docPr id="52" name="Chart 52">
                    <a:extLst xmlns:a="http://schemas.openxmlformats.org/drawingml/2006/main">
                      <a:ext uri="{FF2B5EF4-FFF2-40B4-BE49-F238E27FC236}">
                        <a16:creationId xmlns:a16="http://schemas.microsoft.com/office/drawing/2014/main" id="{00000000-0008-0000-1A00-00003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D8744E" w:rsidRPr="0062711C" w14:paraId="0C598768" w14:textId="77777777" w:rsidTr="005C539B">
        <w:tc>
          <w:tcPr>
            <w:tcW w:w="4679" w:type="dxa"/>
          </w:tcPr>
          <w:p w14:paraId="640ED516" w14:textId="77777777" w:rsidR="00D8744E" w:rsidRPr="0062711C" w:rsidRDefault="00D8744E" w:rsidP="005C539B">
            <w:pPr>
              <w:spacing w:before="40" w:after="20"/>
              <w:jc w:val="center"/>
              <w:rPr>
                <w:lang w:val="sr-Cyrl-RS"/>
              </w:rPr>
            </w:pPr>
            <w:r w:rsidRPr="0062711C">
              <w:rPr>
                <w:lang w:val="sr-Cyrl-RS"/>
              </w:rPr>
              <w:t>Производња кокса и деривата нафте</w:t>
            </w:r>
          </w:p>
          <w:p w14:paraId="28118D5A"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18059455" wp14:editId="29184E6E">
                  <wp:extent cx="2880000" cy="1188000"/>
                  <wp:effectExtent l="0" t="0" r="0" b="0"/>
                  <wp:docPr id="53" name="Chart 53">
                    <a:extLst xmlns:a="http://schemas.openxmlformats.org/drawingml/2006/main">
                      <a:ext uri="{FF2B5EF4-FFF2-40B4-BE49-F238E27FC236}">
                        <a16:creationId xmlns:a16="http://schemas.microsoft.com/office/drawing/2014/main" id="{00000000-0008-0000-1A00-00001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c>
          <w:tcPr>
            <w:tcW w:w="4681" w:type="dxa"/>
          </w:tcPr>
          <w:p w14:paraId="44687FCD" w14:textId="77777777" w:rsidR="00D8744E" w:rsidRPr="0062711C" w:rsidRDefault="00D8744E" w:rsidP="005C539B">
            <w:pPr>
              <w:spacing w:before="40" w:after="20"/>
              <w:jc w:val="center"/>
              <w:rPr>
                <w:lang w:val="sr-Cyrl-RS"/>
              </w:rPr>
            </w:pPr>
            <w:r w:rsidRPr="0062711C">
              <w:rPr>
                <w:lang w:val="sr-Cyrl-RS"/>
              </w:rPr>
              <w:t>Производња хемикалија и хемијских производа</w:t>
            </w:r>
          </w:p>
          <w:p w14:paraId="77FBA799" w14:textId="77777777" w:rsidR="00D8744E" w:rsidRPr="0062711C" w:rsidRDefault="00D8744E" w:rsidP="005C539B">
            <w:pPr>
              <w:spacing w:before="40" w:after="20"/>
              <w:jc w:val="center"/>
              <w:rPr>
                <w:lang w:val="sr-Cyrl-RS"/>
              </w:rPr>
            </w:pPr>
            <w:r w:rsidRPr="0062711C">
              <w:rPr>
                <w:noProof/>
                <w:lang w:val="en-GB" w:eastAsia="en-GB"/>
              </w:rPr>
              <w:drawing>
                <wp:inline distT="0" distB="0" distL="0" distR="0" wp14:anchorId="2485ABBA" wp14:editId="3719C946">
                  <wp:extent cx="2880000" cy="1188000"/>
                  <wp:effectExtent l="0" t="0" r="0" b="0"/>
                  <wp:docPr id="54" name="Chart 54">
                    <a:extLst xmlns:a="http://schemas.openxmlformats.org/drawingml/2006/main">
                      <a:ext uri="{FF2B5EF4-FFF2-40B4-BE49-F238E27FC236}">
                        <a16:creationId xmlns:a16="http://schemas.microsoft.com/office/drawing/2014/main" id="{00000000-0008-0000-1A00-00001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14:paraId="61AC46C5" w14:textId="77777777" w:rsidR="00D8744E" w:rsidRPr="0062711C" w:rsidRDefault="00D8744E" w:rsidP="005C539B">
      <w:pPr>
        <w:spacing w:after="0" w:line="240" w:lineRule="auto"/>
        <w:jc w:val="center"/>
        <w:rPr>
          <w:rFonts w:cstheme="minorHAnsi"/>
          <w:b/>
          <w:bCs/>
          <w:sz w:val="18"/>
          <w:szCs w:val="72"/>
          <w:lang w:val="sr-Cyrl-RS"/>
        </w:rPr>
      </w:pPr>
      <w:r w:rsidRPr="0062711C">
        <w:rPr>
          <w:noProof/>
          <w:color w:val="FF0000"/>
          <w:lang w:val="en-GB" w:eastAsia="en-GB"/>
        </w:rPr>
        <w:drawing>
          <wp:inline distT="0" distB="0" distL="0" distR="0" wp14:anchorId="734B5FF0" wp14:editId="2DAC6E67">
            <wp:extent cx="4371429" cy="219048"/>
            <wp:effectExtent l="0" t="0" r="0" b="0"/>
            <wp:docPr id="51"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64"/>
                    <a:stretch>
                      <a:fillRect/>
                    </a:stretch>
                  </pic:blipFill>
                  <pic:spPr>
                    <a:xfrm>
                      <a:off x="0" y="0"/>
                      <a:ext cx="4371429" cy="219048"/>
                    </a:xfrm>
                    <a:prstGeom prst="rect">
                      <a:avLst/>
                    </a:prstGeom>
                  </pic:spPr>
                </pic:pic>
              </a:graphicData>
            </a:graphic>
          </wp:inline>
        </w:drawing>
      </w:r>
    </w:p>
    <w:p w14:paraId="2923D0EE" w14:textId="77777777" w:rsidR="00D8744E" w:rsidRPr="0062711C" w:rsidRDefault="00D8744E" w:rsidP="005C539B">
      <w:pPr>
        <w:spacing w:after="0" w:line="240" w:lineRule="auto"/>
        <w:jc w:val="left"/>
        <w:rPr>
          <w:rFonts w:cstheme="minorHAnsi"/>
          <w:b/>
          <w:bCs/>
          <w:sz w:val="14"/>
          <w:szCs w:val="72"/>
          <w:lang w:val="sr-Cyrl-RS"/>
        </w:rPr>
      </w:pPr>
      <w:r w:rsidRPr="0062711C">
        <w:rPr>
          <w:rFonts w:cstheme="minorHAnsi"/>
          <w:bCs/>
          <w:sz w:val="16"/>
          <w:szCs w:val="72"/>
          <w:lang w:val="sr-Cyrl-RS"/>
        </w:rPr>
        <w:t>Извор: Министарство финансија</w:t>
      </w:r>
    </w:p>
    <w:p w14:paraId="5E12FA60" w14:textId="77777777" w:rsidR="00D8744E" w:rsidRPr="0062711C" w:rsidRDefault="00D8744E" w:rsidP="005C539B">
      <w:pPr>
        <w:spacing w:after="0"/>
        <w:rPr>
          <w:rFonts w:cstheme="minorHAnsi"/>
          <w:bCs/>
          <w:szCs w:val="72"/>
          <w:lang w:val="sr-Cyrl-RS"/>
        </w:rPr>
        <w:sectPr w:rsidR="00D8744E" w:rsidRPr="0062711C" w:rsidSect="00F45C01">
          <w:type w:val="continuous"/>
          <w:pgSz w:w="12240" w:h="15840" w:code="1"/>
          <w:pgMar w:top="1440" w:right="1440" w:bottom="1440" w:left="1440" w:header="720" w:footer="720" w:gutter="0"/>
          <w:cols w:space="720"/>
          <w:docGrid w:linePitch="360"/>
        </w:sectPr>
      </w:pPr>
    </w:p>
    <w:p w14:paraId="191C0C65" w14:textId="77777777" w:rsidR="00D8744E" w:rsidRPr="0062711C" w:rsidRDefault="00D8744E">
      <w:pPr>
        <w:jc w:val="left"/>
        <w:rPr>
          <w:rFonts w:cstheme="minorHAnsi"/>
          <w:bCs/>
          <w:spacing w:val="-4"/>
          <w:szCs w:val="72"/>
          <w:lang w:val="sr-Cyrl-RS"/>
        </w:rPr>
      </w:pPr>
      <w:r w:rsidRPr="0062711C">
        <w:rPr>
          <w:rFonts w:cstheme="minorHAnsi"/>
          <w:bCs/>
          <w:spacing w:val="-4"/>
          <w:szCs w:val="72"/>
          <w:lang w:val="sr-Cyrl-RS"/>
        </w:rPr>
        <w:br w:type="page"/>
      </w:r>
    </w:p>
    <w:p w14:paraId="64143829" w14:textId="77777777" w:rsidR="00D8744E" w:rsidRPr="0062711C" w:rsidRDefault="00D8744E" w:rsidP="005C539B">
      <w:pPr>
        <w:spacing w:after="80"/>
        <w:rPr>
          <w:rFonts w:cstheme="minorHAnsi"/>
          <w:bCs/>
          <w:szCs w:val="72"/>
          <w:lang w:val="sr-Cyrl-RS"/>
        </w:rPr>
      </w:pPr>
      <w:r w:rsidRPr="0062711C">
        <w:rPr>
          <w:rFonts w:cstheme="minorHAnsi"/>
          <w:bCs/>
          <w:spacing w:val="-4"/>
          <w:szCs w:val="72"/>
          <w:lang w:val="sr-Cyrl-RS"/>
        </w:rPr>
        <w:lastRenderedPageBreak/>
        <w:t>Наставак позитивних кретања забележен је у грађевинарству. У првом кварталу 2024. године вредност изведених грађевинских радова била је реално већа за 18,3% мг., подржана растом вредности изведених радова у нискоградњи од 23,3% мг. и високоградњи од 8,3% мг. У прва четири месеца, производња цемента и грађевинског материјала је повећана за 12,6% и 6,2% мг., респективно.</w:t>
      </w:r>
    </w:p>
    <w:p w14:paraId="76BB62F2" w14:textId="77777777" w:rsidR="00D8744E" w:rsidRPr="0062711C" w:rsidRDefault="00D8744E" w:rsidP="005C539B">
      <w:pPr>
        <w:spacing w:after="0" w:line="240" w:lineRule="auto"/>
        <w:jc w:val="center"/>
        <w:rPr>
          <w:rFonts w:cstheme="minorHAnsi"/>
          <w:b/>
          <w:bCs/>
          <w:iCs/>
          <w:color w:val="002060"/>
          <w:szCs w:val="72"/>
          <w:lang w:val="sr-Cyrl-RS"/>
        </w:rPr>
      </w:pPr>
      <w:r w:rsidRPr="0062711C">
        <w:rPr>
          <w:rFonts w:cstheme="minorHAnsi"/>
          <w:b/>
          <w:bCs/>
          <w:iCs/>
          <w:color w:val="002060"/>
          <w:szCs w:val="72"/>
          <w:lang w:val="sr-Cyrl-RS"/>
        </w:rPr>
        <w:t>Индекси вредности изведених грађевинских радова (2023=100)</w:t>
      </w:r>
    </w:p>
    <w:p w14:paraId="0DCFC6E4" w14:textId="77777777" w:rsidR="00D8744E" w:rsidRPr="0062711C" w:rsidRDefault="00D8744E" w:rsidP="005C539B">
      <w:pPr>
        <w:spacing w:after="0" w:line="240" w:lineRule="auto"/>
        <w:rPr>
          <w:rFonts w:cstheme="minorHAnsi"/>
          <w:bCs/>
          <w:szCs w:val="72"/>
          <w:lang w:val="sr-Cyrl-RS"/>
        </w:rPr>
      </w:pPr>
      <w:r w:rsidRPr="0062711C">
        <w:rPr>
          <w:noProof/>
          <w:lang w:val="en-GB" w:eastAsia="en-GB"/>
        </w:rPr>
        <w:drawing>
          <wp:inline distT="0" distB="0" distL="0" distR="0" wp14:anchorId="4B1434C4" wp14:editId="45BE9420">
            <wp:extent cx="2736631" cy="1584000"/>
            <wp:effectExtent l="0" t="0" r="6985" b="0"/>
            <wp:docPr id="8" name="Chart 8">
              <a:extLst xmlns:a="http://schemas.openxmlformats.org/drawingml/2006/main">
                <a:ext uri="{FF2B5EF4-FFF2-40B4-BE49-F238E27FC236}">
                  <a16:creationId xmlns:a16="http://schemas.microsoft.com/office/drawing/2014/main" id="{00000000-0008-0000-1D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770DDEBC" w14:textId="77777777" w:rsidR="00D8744E" w:rsidRPr="0062711C" w:rsidRDefault="00D8744E" w:rsidP="005C539B">
      <w:pPr>
        <w:spacing w:after="80"/>
        <w:rPr>
          <w:rFonts w:cstheme="minorHAnsi"/>
          <w:bCs/>
          <w:sz w:val="16"/>
          <w:szCs w:val="16"/>
          <w:lang w:val="sr-Cyrl-RS"/>
        </w:rPr>
      </w:pPr>
      <w:r w:rsidRPr="0062711C">
        <w:rPr>
          <w:rFonts w:cstheme="minorHAnsi"/>
          <w:bCs/>
          <w:sz w:val="16"/>
          <w:szCs w:val="16"/>
          <w:lang w:val="sr-Cyrl-RS"/>
        </w:rPr>
        <w:t>Извор: РЗС</w:t>
      </w:r>
    </w:p>
    <w:p w14:paraId="6A26BE31" w14:textId="77777777" w:rsidR="00D8744E" w:rsidRPr="0062711C" w:rsidRDefault="00D8744E" w:rsidP="005C539B">
      <w:pPr>
        <w:spacing w:after="80"/>
        <w:rPr>
          <w:rFonts w:cstheme="minorHAnsi"/>
          <w:bCs/>
          <w:szCs w:val="72"/>
          <w:lang w:val="sr-Cyrl-RS"/>
        </w:rPr>
      </w:pPr>
      <w:r w:rsidRPr="0062711C">
        <w:rPr>
          <w:rFonts w:cstheme="minorHAnsi"/>
          <w:bCs/>
          <w:szCs w:val="72"/>
          <w:lang w:val="sr-Cyrl-RS"/>
        </w:rPr>
        <w:t xml:space="preserve">Са успоравањем инфлације и растом реалног расположивог дохотка становништва од средине претходне године дошло је до убрзања активности реалног промета у трговини на мало. Такви трендови настављени су и почетком 2024. године, при чему је раст промета у сталним ценама у прва </w:t>
      </w:r>
      <w:r w:rsidRPr="0062711C">
        <w:rPr>
          <w:rFonts w:cstheme="minorHAnsi"/>
          <w:bCs/>
          <w:szCs w:val="72"/>
          <w:lang w:val="sr-Cyrl-RS"/>
        </w:rPr>
        <w:t>четири месеца био већи за 8,0%. У овом периоду, повећање промета у трговини на мало праћено је растом промета све три категорије производа (прехрамбених производа за 7,5% мг., непрехрамбених производа за 9,8% мг. и моторних горива за 5,7% мг., реално).</w:t>
      </w:r>
    </w:p>
    <w:p w14:paraId="6B5B4D38" w14:textId="77777777" w:rsidR="00D8744E" w:rsidRPr="0062711C" w:rsidRDefault="00D8744E" w:rsidP="005C539B">
      <w:pPr>
        <w:spacing w:after="80"/>
        <w:rPr>
          <w:rFonts w:cstheme="minorHAnsi"/>
          <w:bCs/>
          <w:szCs w:val="72"/>
          <w:lang w:val="sr-Cyrl-RS"/>
        </w:rPr>
      </w:pPr>
      <w:r w:rsidRPr="0062711C">
        <w:rPr>
          <w:rFonts w:cstheme="minorHAnsi"/>
          <w:bCs/>
          <w:szCs w:val="72"/>
          <w:lang w:val="sr-Cyrl-RS"/>
        </w:rPr>
        <w:t>Настављена су добра кретања у туризму и угоститељству, при чему је у прва четири месеца број долазака и ноћења туриста међугодишње увећан за 9,0% и 6,3%, респективно, праћен растом активности домаћих и страних туриста. У прва три месеца, девизни прилив од туризма је међугодишње увећан за 11,9%. Поред тога, настављен је раст промета у угоститељству, при чему је у прва два месеца реално већи за 15,7% мг.</w:t>
      </w:r>
    </w:p>
    <w:p w14:paraId="28AE3B02" w14:textId="77777777" w:rsidR="00D8744E" w:rsidRPr="0062711C" w:rsidRDefault="00D8744E" w:rsidP="005C539B">
      <w:pPr>
        <w:spacing w:after="80"/>
        <w:rPr>
          <w:rFonts w:cstheme="minorHAnsi"/>
          <w:bCs/>
          <w:szCs w:val="72"/>
          <w:lang w:val="sr-Cyrl-RS"/>
        </w:rPr>
      </w:pPr>
      <w:r w:rsidRPr="0062711C">
        <w:rPr>
          <w:rFonts w:cstheme="minorHAnsi"/>
          <w:bCs/>
          <w:szCs w:val="72"/>
          <w:lang w:val="sr-Cyrl-RS"/>
        </w:rPr>
        <w:t>Сектор информационо комуникационих технологија континуирано расте уз све значајнију улогу овог сектора, при чему је у 2023. години остварен снажан реални раст БДВ овог сектора од 8,0% у поређењу са 2022. годином. Ово је праћено и повећањем извозне активности ИКТ сектора од 27,4% у 2023. години у односу на 2022. годину, при чему је достигнут ниво од 3,4 млрд евра. Слична динамика забележена је у прва три месеца 2024. године, уз раст извозне активности од 16,6% мг., чиме је опредељено две петине раста укупног извоза услужних делатности.</w:t>
      </w:r>
    </w:p>
    <w:p w14:paraId="3F1A714D" w14:textId="77777777" w:rsidR="00D8744E" w:rsidRPr="0062711C" w:rsidRDefault="00D8744E" w:rsidP="005C539B">
      <w:pPr>
        <w:spacing w:before="240" w:after="0"/>
        <w:jc w:val="center"/>
        <w:rPr>
          <w:rFonts w:cstheme="minorHAnsi"/>
          <w:b/>
          <w:color w:val="FF0000"/>
          <w:sz w:val="6"/>
          <w:lang w:val="sr-Cyrl-RS"/>
        </w:rPr>
        <w:sectPr w:rsidR="00D8744E" w:rsidRPr="0062711C" w:rsidSect="00F45C01">
          <w:type w:val="continuous"/>
          <w:pgSz w:w="12240" w:h="15840" w:code="1"/>
          <w:pgMar w:top="1440" w:right="1440" w:bottom="1440" w:left="1440" w:header="720" w:footer="720" w:gutter="0"/>
          <w:cols w:num="2" w:space="720"/>
          <w:docGrid w:linePitch="360"/>
        </w:sectPr>
      </w:pPr>
    </w:p>
    <w:p w14:paraId="74796BF0" w14:textId="77777777" w:rsidR="00D8744E" w:rsidRPr="0062711C" w:rsidRDefault="00D8744E">
      <w:pPr>
        <w:jc w:val="left"/>
        <w:rPr>
          <w:rFonts w:cstheme="minorHAnsi"/>
          <w:b/>
          <w:color w:val="002060"/>
          <w:lang w:val="sr-Cyrl-RS"/>
        </w:rPr>
      </w:pPr>
      <w:r w:rsidRPr="0062711C">
        <w:rPr>
          <w:rFonts w:cstheme="minorHAnsi"/>
          <w:b/>
          <w:color w:val="002060"/>
          <w:lang w:val="sr-Cyrl-RS"/>
        </w:rPr>
        <w:br w:type="page"/>
      </w:r>
    </w:p>
    <w:p w14:paraId="712ED5A3" w14:textId="77777777" w:rsidR="00D8744E" w:rsidRPr="0062711C" w:rsidRDefault="00D8744E" w:rsidP="005C539B">
      <w:pPr>
        <w:spacing w:after="80"/>
        <w:jc w:val="center"/>
        <w:rPr>
          <w:rFonts w:cstheme="minorHAnsi"/>
          <w:b/>
          <w:color w:val="002060"/>
          <w:lang w:val="sr-Cyrl-RS"/>
        </w:rPr>
      </w:pPr>
      <w:r w:rsidRPr="0062711C">
        <w:rPr>
          <w:rFonts w:cstheme="minorHAnsi"/>
          <w:b/>
          <w:color w:val="002060"/>
          <w:lang w:val="sr-Cyrl-RS"/>
        </w:rPr>
        <w:lastRenderedPageBreak/>
        <w:t>Високофреквентни индикатори најзначајнијих услужних делатности, 2023=100</w:t>
      </w:r>
    </w:p>
    <w:tbl>
      <w:tblPr>
        <w:tblStyle w:val="TableGrid6"/>
        <w:tblW w:w="0" w:type="auto"/>
        <w:tblBorders>
          <w:top w:val="none" w:sz="0" w:space="0" w:color="auto"/>
          <w:left w:val="none" w:sz="0" w:space="0" w:color="auto"/>
          <w:bottom w:val="dashSmallGap" w:sz="4" w:space="0" w:color="BFBFBF" w:themeColor="background1" w:themeShade="BF"/>
          <w:right w:val="none" w:sz="0" w:space="0" w:color="auto"/>
          <w:insideH w:val="dashSmallGap" w:sz="4" w:space="0" w:color="BFBFBF" w:themeColor="background1" w:themeShade="BF"/>
          <w:insideV w:val="dashSmallGap" w:sz="4" w:space="0" w:color="BFBFBF" w:themeColor="background1" w:themeShade="BF"/>
        </w:tblBorders>
        <w:tblLook w:val="04A0" w:firstRow="1" w:lastRow="0" w:firstColumn="1" w:lastColumn="0" w:noHBand="0" w:noVBand="1"/>
      </w:tblPr>
      <w:tblGrid>
        <w:gridCol w:w="4681"/>
        <w:gridCol w:w="4679"/>
      </w:tblGrid>
      <w:tr w:rsidR="00D8744E" w:rsidRPr="0062711C" w14:paraId="5D106A17" w14:textId="77777777" w:rsidTr="005C539B">
        <w:tc>
          <w:tcPr>
            <w:tcW w:w="4681" w:type="dxa"/>
          </w:tcPr>
          <w:p w14:paraId="2CC6CD5F" w14:textId="77777777" w:rsidR="00D8744E" w:rsidRPr="0062711C" w:rsidRDefault="00D8744E" w:rsidP="005C539B">
            <w:pPr>
              <w:spacing w:before="60"/>
              <w:jc w:val="center"/>
              <w:rPr>
                <w:lang w:val="sr-Cyrl-RS"/>
              </w:rPr>
            </w:pPr>
            <w:r w:rsidRPr="0062711C">
              <w:rPr>
                <w:lang w:val="sr-Cyrl-RS"/>
              </w:rPr>
              <w:t>Промет у трговини на мало у сталним ценама</w:t>
            </w:r>
          </w:p>
          <w:p w14:paraId="61C1726D" w14:textId="77777777" w:rsidR="00D8744E" w:rsidRPr="0062711C" w:rsidRDefault="00D8744E" w:rsidP="005C539B">
            <w:pPr>
              <w:spacing w:before="60"/>
              <w:jc w:val="center"/>
              <w:rPr>
                <w:lang w:val="sr-Cyrl-RS"/>
              </w:rPr>
            </w:pPr>
            <w:r w:rsidRPr="0062711C">
              <w:rPr>
                <w:noProof/>
                <w:lang w:val="en-GB" w:eastAsia="en-GB"/>
              </w:rPr>
              <w:drawing>
                <wp:inline distT="0" distB="0" distL="0" distR="0" wp14:anchorId="692A0900" wp14:editId="0CA82B81">
                  <wp:extent cx="2881504" cy="1188000"/>
                  <wp:effectExtent l="0" t="0" r="0" b="0"/>
                  <wp:docPr id="16" name="Chart 16">
                    <a:extLst xmlns:a="http://schemas.openxmlformats.org/drawingml/2006/main">
                      <a:ext uri="{FF2B5EF4-FFF2-40B4-BE49-F238E27FC236}">
                        <a16:creationId xmlns:a16="http://schemas.microsoft.com/office/drawing/2014/main" id="{00000000-0008-0000-1B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c>
          <w:tcPr>
            <w:tcW w:w="4679" w:type="dxa"/>
          </w:tcPr>
          <w:p w14:paraId="554FB349" w14:textId="77777777" w:rsidR="00D8744E" w:rsidRPr="0062711C" w:rsidRDefault="00D8744E" w:rsidP="005C539B">
            <w:pPr>
              <w:spacing w:before="60"/>
              <w:jc w:val="center"/>
              <w:rPr>
                <w:lang w:val="sr-Cyrl-RS"/>
              </w:rPr>
            </w:pPr>
            <w:r w:rsidRPr="0062711C">
              <w:rPr>
                <w:lang w:val="sr-Cyrl-RS"/>
              </w:rPr>
              <w:t>Ноћења туриста</w:t>
            </w:r>
          </w:p>
          <w:p w14:paraId="6D9DE2BD" w14:textId="77777777" w:rsidR="00D8744E" w:rsidRPr="0062711C" w:rsidRDefault="00D8744E" w:rsidP="005C539B">
            <w:pPr>
              <w:spacing w:before="60"/>
              <w:jc w:val="center"/>
              <w:rPr>
                <w:lang w:val="sr-Cyrl-RS"/>
              </w:rPr>
            </w:pPr>
            <w:r w:rsidRPr="0062711C">
              <w:rPr>
                <w:noProof/>
                <w:lang w:val="en-GB" w:eastAsia="en-GB"/>
              </w:rPr>
              <w:drawing>
                <wp:inline distT="0" distB="0" distL="0" distR="0" wp14:anchorId="2A99B9EC" wp14:editId="667E6634">
                  <wp:extent cx="2880000" cy="1188000"/>
                  <wp:effectExtent l="0" t="0" r="0" b="0"/>
                  <wp:docPr id="23" name="Chart 23">
                    <a:extLst xmlns:a="http://schemas.openxmlformats.org/drawingml/2006/main">
                      <a:ext uri="{FF2B5EF4-FFF2-40B4-BE49-F238E27FC236}">
                        <a16:creationId xmlns:a16="http://schemas.microsoft.com/office/drawing/2014/main" id="{00000000-0008-0000-1C00-000011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r w:rsidR="00D8744E" w:rsidRPr="0062711C" w14:paraId="47330CCD" w14:textId="77777777" w:rsidTr="005C539B">
        <w:tc>
          <w:tcPr>
            <w:tcW w:w="4681" w:type="dxa"/>
          </w:tcPr>
          <w:p w14:paraId="59C2D0E4" w14:textId="77777777" w:rsidR="00D8744E" w:rsidRPr="0062711C" w:rsidRDefault="00D8744E" w:rsidP="005C539B">
            <w:pPr>
              <w:spacing w:before="60"/>
              <w:jc w:val="center"/>
              <w:rPr>
                <w:lang w:val="sr-Cyrl-RS"/>
              </w:rPr>
            </w:pPr>
            <w:r w:rsidRPr="0062711C">
              <w:rPr>
                <w:lang w:val="sr-Cyrl-RS"/>
              </w:rPr>
              <w:t>Промет у угоститељству у сталним ценама</w:t>
            </w:r>
          </w:p>
          <w:p w14:paraId="21D4A12F" w14:textId="77777777" w:rsidR="00D8744E" w:rsidRPr="0062711C" w:rsidRDefault="00D8744E" w:rsidP="005C539B">
            <w:pPr>
              <w:spacing w:before="60"/>
              <w:jc w:val="center"/>
              <w:rPr>
                <w:lang w:val="sr-Cyrl-RS"/>
              </w:rPr>
            </w:pPr>
            <w:r w:rsidRPr="0062711C">
              <w:rPr>
                <w:noProof/>
                <w:lang w:val="en-GB" w:eastAsia="en-GB"/>
              </w:rPr>
              <w:drawing>
                <wp:inline distT="0" distB="0" distL="0" distR="0" wp14:anchorId="1A23C012" wp14:editId="688C2A95">
                  <wp:extent cx="2880000" cy="1188000"/>
                  <wp:effectExtent l="0" t="0" r="0" b="0"/>
                  <wp:docPr id="11" name="Chart 11">
                    <a:extLst xmlns:a="http://schemas.openxmlformats.org/drawingml/2006/main">
                      <a:ext uri="{FF2B5EF4-FFF2-40B4-BE49-F238E27FC236}">
                        <a16:creationId xmlns:a16="http://schemas.microsoft.com/office/drawing/2014/main" id="{00000000-0008-0000-1B00-000010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c>
          <w:tcPr>
            <w:tcW w:w="4679" w:type="dxa"/>
          </w:tcPr>
          <w:p w14:paraId="75384031" w14:textId="77777777" w:rsidR="00D8744E" w:rsidRPr="0062711C" w:rsidRDefault="00D8744E" w:rsidP="005C539B">
            <w:pPr>
              <w:jc w:val="center"/>
              <w:rPr>
                <w:lang w:val="sr-Cyrl-RS"/>
              </w:rPr>
            </w:pPr>
            <w:r w:rsidRPr="0062711C">
              <w:rPr>
                <w:lang w:val="sr-Cyrl-RS"/>
              </w:rPr>
              <w:t>Извоз услужних делатности</w:t>
            </w:r>
          </w:p>
          <w:p w14:paraId="0A0399E1" w14:textId="77777777" w:rsidR="00D8744E" w:rsidRPr="0062711C" w:rsidRDefault="00D8744E" w:rsidP="005C539B">
            <w:pPr>
              <w:spacing w:before="60"/>
              <w:jc w:val="center"/>
              <w:rPr>
                <w:lang w:val="sr-Cyrl-RS"/>
              </w:rPr>
            </w:pPr>
            <w:r w:rsidRPr="0062711C">
              <w:rPr>
                <w:noProof/>
                <w:lang w:val="en-GB" w:eastAsia="en-GB"/>
              </w:rPr>
              <w:drawing>
                <wp:inline distT="0" distB="0" distL="0" distR="0" wp14:anchorId="644A913C" wp14:editId="1BB29559">
                  <wp:extent cx="2880000" cy="1188000"/>
                  <wp:effectExtent l="0" t="0" r="0" b="0"/>
                  <wp:docPr id="38" name="Chart 38">
                    <a:extLst xmlns:a="http://schemas.openxmlformats.org/drawingml/2006/main">
                      <a:ext uri="{FF2B5EF4-FFF2-40B4-BE49-F238E27FC236}">
                        <a16:creationId xmlns:a16="http://schemas.microsoft.com/office/drawing/2014/main" id="{00000000-0008-0000-1C00-00001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r w:rsidR="00D8744E" w:rsidRPr="0062711C" w14:paraId="5B397447" w14:textId="77777777" w:rsidTr="005C539B">
        <w:tc>
          <w:tcPr>
            <w:tcW w:w="4681" w:type="dxa"/>
          </w:tcPr>
          <w:p w14:paraId="0C7EF9EE" w14:textId="77777777" w:rsidR="00D8744E" w:rsidRPr="0062711C" w:rsidRDefault="00D8744E" w:rsidP="005C539B">
            <w:pPr>
              <w:jc w:val="center"/>
              <w:rPr>
                <w:lang w:val="sr-Cyrl-RS"/>
              </w:rPr>
            </w:pPr>
            <w:r w:rsidRPr="0062711C">
              <w:rPr>
                <w:lang w:val="sr-Cyrl-RS"/>
              </w:rPr>
              <w:t>Извоз услуга телекомуникација, компјутерских и информацијских услуга</w:t>
            </w:r>
          </w:p>
          <w:p w14:paraId="7E46D0AF" w14:textId="77777777" w:rsidR="00D8744E" w:rsidRPr="0062711C" w:rsidRDefault="00D8744E" w:rsidP="005C539B">
            <w:pPr>
              <w:jc w:val="center"/>
              <w:rPr>
                <w:lang w:val="sr-Cyrl-RS"/>
              </w:rPr>
            </w:pPr>
            <w:r w:rsidRPr="0062711C">
              <w:rPr>
                <w:noProof/>
                <w:lang w:val="en-GB" w:eastAsia="en-GB"/>
              </w:rPr>
              <w:drawing>
                <wp:inline distT="0" distB="0" distL="0" distR="0" wp14:anchorId="2D18360C" wp14:editId="14DE457A">
                  <wp:extent cx="2880000" cy="1188000"/>
                  <wp:effectExtent l="0" t="0" r="0" b="0"/>
                  <wp:docPr id="14" name="Chart 14">
                    <a:extLst xmlns:a="http://schemas.openxmlformats.org/drawingml/2006/main">
                      <a:ext uri="{FF2B5EF4-FFF2-40B4-BE49-F238E27FC236}">
                        <a16:creationId xmlns:a16="http://schemas.microsoft.com/office/drawing/2014/main" id="{00000000-0008-0000-1C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c>
          <w:tcPr>
            <w:tcW w:w="4679" w:type="dxa"/>
          </w:tcPr>
          <w:p w14:paraId="7DC0D6BC" w14:textId="77777777" w:rsidR="00D8744E" w:rsidRPr="0062711C" w:rsidRDefault="00D8744E" w:rsidP="005C539B">
            <w:pPr>
              <w:jc w:val="center"/>
              <w:rPr>
                <w:sz w:val="18"/>
                <w:lang w:val="sr-Cyrl-RS"/>
              </w:rPr>
            </w:pPr>
            <w:r w:rsidRPr="0062711C">
              <w:rPr>
                <w:lang w:val="sr-Cyrl-RS"/>
              </w:rPr>
              <w:t>Извоз туристичких услуга</w:t>
            </w:r>
            <w:r w:rsidRPr="0062711C">
              <w:rPr>
                <w:lang w:val="sr-Cyrl-RS"/>
              </w:rPr>
              <w:br w:type="textWrapping" w:clear="all"/>
            </w:r>
          </w:p>
          <w:p w14:paraId="69FAF297" w14:textId="77777777" w:rsidR="00D8744E" w:rsidRPr="0062711C" w:rsidRDefault="00D8744E" w:rsidP="005C539B">
            <w:pPr>
              <w:spacing w:before="60"/>
              <w:jc w:val="center"/>
              <w:rPr>
                <w:lang w:val="sr-Cyrl-RS"/>
              </w:rPr>
            </w:pPr>
            <w:r w:rsidRPr="0062711C">
              <w:rPr>
                <w:noProof/>
                <w:lang w:val="en-GB" w:eastAsia="en-GB"/>
              </w:rPr>
              <w:drawing>
                <wp:inline distT="0" distB="0" distL="0" distR="0" wp14:anchorId="2E1C0801" wp14:editId="046BC810">
                  <wp:extent cx="2880000" cy="1188000"/>
                  <wp:effectExtent l="0" t="0" r="0" b="0"/>
                  <wp:docPr id="15" name="Chart 15">
                    <a:extLst xmlns:a="http://schemas.openxmlformats.org/drawingml/2006/main">
                      <a:ext uri="{FF2B5EF4-FFF2-40B4-BE49-F238E27FC236}">
                        <a16:creationId xmlns:a16="http://schemas.microsoft.com/office/drawing/2014/main" id="{00000000-0008-0000-1C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14:paraId="462EB770" w14:textId="77777777" w:rsidR="00D8744E" w:rsidRPr="0062711C" w:rsidRDefault="00D8744E" w:rsidP="005C539B">
      <w:pPr>
        <w:spacing w:before="40" w:after="0" w:line="240" w:lineRule="auto"/>
        <w:jc w:val="center"/>
        <w:rPr>
          <w:rFonts w:cstheme="minorHAnsi"/>
          <w:b/>
          <w:sz w:val="18"/>
          <w:lang w:val="sr-Cyrl-RS"/>
        </w:rPr>
      </w:pPr>
      <w:r w:rsidRPr="0062711C">
        <w:rPr>
          <w:noProof/>
          <w:lang w:val="en-GB" w:eastAsia="en-GB"/>
        </w:rPr>
        <w:drawing>
          <wp:inline distT="0" distB="0" distL="0" distR="0" wp14:anchorId="35E6BC0B" wp14:editId="6FC8CE9B">
            <wp:extent cx="4371429" cy="219048"/>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64"/>
                    <a:stretch>
                      <a:fillRect/>
                    </a:stretch>
                  </pic:blipFill>
                  <pic:spPr>
                    <a:xfrm>
                      <a:off x="0" y="0"/>
                      <a:ext cx="4371429" cy="219048"/>
                    </a:xfrm>
                    <a:prstGeom prst="rect">
                      <a:avLst/>
                    </a:prstGeom>
                  </pic:spPr>
                </pic:pic>
              </a:graphicData>
            </a:graphic>
          </wp:inline>
        </w:drawing>
      </w:r>
    </w:p>
    <w:p w14:paraId="09400FE5" w14:textId="77777777" w:rsidR="00D8744E" w:rsidRPr="0062711C" w:rsidRDefault="00D8744E" w:rsidP="005C539B">
      <w:pPr>
        <w:spacing w:after="0"/>
        <w:jc w:val="left"/>
        <w:rPr>
          <w:rFonts w:cstheme="minorHAnsi"/>
          <w:bCs/>
          <w:sz w:val="16"/>
          <w:szCs w:val="72"/>
          <w:lang w:val="sr-Cyrl-RS"/>
        </w:rPr>
      </w:pPr>
      <w:r w:rsidRPr="0062711C">
        <w:rPr>
          <w:rFonts w:cstheme="minorHAnsi"/>
          <w:bCs/>
          <w:sz w:val="16"/>
          <w:szCs w:val="72"/>
          <w:lang w:val="sr-Cyrl-RS"/>
        </w:rPr>
        <w:t>Извор: Министарство финансија</w:t>
      </w:r>
    </w:p>
    <w:p w14:paraId="79AE6D40" w14:textId="77777777" w:rsidR="00D8744E" w:rsidRPr="0062711C" w:rsidRDefault="00D8744E" w:rsidP="005C539B">
      <w:pPr>
        <w:tabs>
          <w:tab w:val="left" w:pos="720"/>
          <w:tab w:val="left" w:pos="1440"/>
        </w:tabs>
        <w:spacing w:after="0"/>
        <w:rPr>
          <w:rFonts w:cstheme="minorHAnsi"/>
          <w:bCs/>
          <w:sz w:val="10"/>
          <w:szCs w:val="12"/>
          <w:lang w:val="sr-Cyrl-RS"/>
        </w:rPr>
      </w:pPr>
    </w:p>
    <w:p w14:paraId="33A21EC5" w14:textId="77777777" w:rsidR="00D8744E" w:rsidRPr="0062711C" w:rsidRDefault="00D8744E" w:rsidP="005C539B">
      <w:pPr>
        <w:tabs>
          <w:tab w:val="left" w:pos="720"/>
          <w:tab w:val="left" w:pos="1440"/>
        </w:tabs>
        <w:spacing w:after="0"/>
        <w:rPr>
          <w:rFonts w:cstheme="minorHAnsi"/>
          <w:bCs/>
          <w:sz w:val="10"/>
          <w:szCs w:val="12"/>
          <w:lang w:val="sr-Cyrl-RS"/>
        </w:rPr>
        <w:sectPr w:rsidR="00D8744E" w:rsidRPr="0062711C" w:rsidSect="00F45C01">
          <w:type w:val="continuous"/>
          <w:pgSz w:w="12240" w:h="15840" w:code="1"/>
          <w:pgMar w:top="1440" w:right="1440" w:bottom="1440" w:left="1440" w:header="720" w:footer="720" w:gutter="0"/>
          <w:cols w:space="720"/>
          <w:docGrid w:linePitch="360"/>
        </w:sectPr>
      </w:pPr>
    </w:p>
    <w:p w14:paraId="6D834268" w14:textId="77777777" w:rsidR="00D8744E" w:rsidRPr="0062711C" w:rsidRDefault="00D8744E" w:rsidP="005C539B">
      <w:pPr>
        <w:spacing w:after="80"/>
        <w:rPr>
          <w:rFonts w:cstheme="minorHAnsi"/>
          <w:bCs/>
          <w:szCs w:val="72"/>
          <w:lang w:val="sr-Cyrl-RS"/>
        </w:rPr>
      </w:pPr>
      <w:r w:rsidRPr="0062711C">
        <w:rPr>
          <w:rFonts w:cstheme="minorHAnsi"/>
          <w:bCs/>
          <w:szCs w:val="72"/>
          <w:lang w:val="sr-Cyrl-RS"/>
        </w:rPr>
        <w:t xml:space="preserve">Полазећи од текућих трендова у погледу кретања привредне активности, узимајући у обзир донете мере економске политике, ефекте наставка реализације инфраструктурних пројеката додатно подржаних новим инвестиционим циклусом у оквиру програма „Скок у будућност – Србија 2027”, уз уважавање економских изгледа најважнијих спољнотрговинских партнера, Министарство финансија очекује раст БДП у 2024. години од 3,8%, што је ревизија навише за 0,3 п.п. у односу на претходну пројекцију. Матрицу ризика привредног раста у 2024. години оцењујемо као благо асиметричну навише, будући да би наставак трендова из прва четири месеца и током остатка године, резултирао растом БДП од 4,0%. Међутим, узимајући у обзир неизвесност у погледу овогодишње пољопривредне сезоне, услед пресудног утицаја временских прилика током лета на род кукуруза и индустријског биља, али и </w:t>
      </w:r>
      <w:r w:rsidRPr="0062711C">
        <w:rPr>
          <w:rFonts w:cstheme="minorHAnsi"/>
          <w:bCs/>
          <w:szCs w:val="72"/>
          <w:lang w:val="sr-Cyrl-RS"/>
        </w:rPr>
        <w:t>поштујући принцип конзервативизма, у овом тренутку процена привредног раста у 2024. години ревидирана је на 3,8%.</w:t>
      </w:r>
    </w:p>
    <w:p w14:paraId="5F977DA0" w14:textId="77777777" w:rsidR="00D8744E" w:rsidRPr="0062711C" w:rsidRDefault="00D8744E" w:rsidP="005C539B">
      <w:pPr>
        <w:tabs>
          <w:tab w:val="left" w:pos="720"/>
          <w:tab w:val="left" w:pos="1440"/>
        </w:tabs>
        <w:spacing w:after="0"/>
        <w:jc w:val="center"/>
        <w:rPr>
          <w:rFonts w:cstheme="minorHAnsi"/>
          <w:b/>
          <w:color w:val="002060"/>
          <w:spacing w:val="-4"/>
          <w:lang w:val="sr-Cyrl-RS"/>
        </w:rPr>
      </w:pPr>
      <w:r w:rsidRPr="0062711C">
        <w:rPr>
          <w:rFonts w:cstheme="minorHAnsi"/>
          <w:b/>
          <w:color w:val="002060"/>
          <w:spacing w:val="-4"/>
          <w:lang w:val="sr-Cyrl-RS"/>
        </w:rPr>
        <w:t>Пројекција динамике кварталног БДП (%, мг) потребна за достизање годишње процене привредног раста од 3,8% у 2024. години</w:t>
      </w:r>
    </w:p>
    <w:p w14:paraId="51BB480D" w14:textId="77777777" w:rsidR="00D8744E" w:rsidRPr="0062711C" w:rsidRDefault="00D8744E" w:rsidP="005C539B">
      <w:pPr>
        <w:tabs>
          <w:tab w:val="left" w:pos="720"/>
          <w:tab w:val="left" w:pos="1440"/>
        </w:tabs>
        <w:spacing w:after="0"/>
        <w:rPr>
          <w:rFonts w:cstheme="minorHAnsi"/>
          <w:bCs/>
          <w:szCs w:val="72"/>
          <w:lang w:val="sr-Cyrl-RS"/>
        </w:rPr>
      </w:pPr>
      <w:r w:rsidRPr="0062711C">
        <w:rPr>
          <w:noProof/>
          <w:lang w:val="en-GB" w:eastAsia="en-GB"/>
        </w:rPr>
        <w:drawing>
          <wp:inline distT="0" distB="0" distL="0" distR="0" wp14:anchorId="05AAFDA2" wp14:editId="0BD0E3EE">
            <wp:extent cx="2743200" cy="1980000"/>
            <wp:effectExtent l="0" t="0" r="0" b="1270"/>
            <wp:docPr id="2" name="Chart 2">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18C80E44" w14:textId="77777777" w:rsidR="00D8744E" w:rsidRPr="0062711C" w:rsidRDefault="00D8744E" w:rsidP="005C539B">
      <w:pPr>
        <w:tabs>
          <w:tab w:val="left" w:pos="720"/>
          <w:tab w:val="left" w:pos="1440"/>
        </w:tabs>
        <w:spacing w:after="0"/>
        <w:rPr>
          <w:rFonts w:cstheme="minorHAnsi"/>
          <w:bCs/>
          <w:sz w:val="16"/>
          <w:szCs w:val="16"/>
          <w:lang w:val="sr-Cyrl-RS"/>
        </w:rPr>
      </w:pPr>
      <w:r w:rsidRPr="0062711C">
        <w:rPr>
          <w:rFonts w:cstheme="minorHAnsi"/>
          <w:bCs/>
          <w:sz w:val="16"/>
          <w:szCs w:val="16"/>
          <w:lang w:val="sr-Cyrl-RS"/>
        </w:rPr>
        <w:t>Извор: Министарство финансија</w:t>
      </w:r>
    </w:p>
    <w:p w14:paraId="4DD7FDA0" w14:textId="5EA366DC" w:rsidR="00D8744E" w:rsidRPr="0062711C" w:rsidRDefault="00D8744E" w:rsidP="005C539B">
      <w:pPr>
        <w:tabs>
          <w:tab w:val="left" w:pos="720"/>
          <w:tab w:val="left" w:pos="1440"/>
        </w:tabs>
        <w:rPr>
          <w:rFonts w:cstheme="minorHAnsi"/>
          <w:bCs/>
          <w:szCs w:val="72"/>
          <w:lang w:val="sr-Cyrl-RS"/>
        </w:rPr>
      </w:pPr>
      <w:r w:rsidRPr="0062711C">
        <w:rPr>
          <w:rFonts w:cstheme="minorHAnsi"/>
          <w:bCs/>
          <w:szCs w:val="72"/>
          <w:lang w:val="sr-Cyrl-RS"/>
        </w:rPr>
        <w:lastRenderedPageBreak/>
        <w:t xml:space="preserve">Посматрано по агрегатима употребе раст БДП у 2024. години биће у потпуности опредељен домаћом тражњом. </w:t>
      </w:r>
      <w:r w:rsidR="00C13533">
        <w:rPr>
          <w:rFonts w:cstheme="minorHAnsi"/>
          <w:bCs/>
          <w:szCs w:val="72"/>
          <w:lang w:val="sr-Cyrl-RS"/>
        </w:rPr>
        <w:t>П</w:t>
      </w:r>
      <w:r w:rsidRPr="0062711C">
        <w:rPr>
          <w:rFonts w:cstheme="minorHAnsi"/>
          <w:bCs/>
          <w:szCs w:val="72"/>
          <w:lang w:val="sr-Cyrl-RS"/>
        </w:rPr>
        <w:t xml:space="preserve">овећање зарада, како у приватном тако и у јавном сектору, уз раст минималне зараде од 17,8%, већа запосленост и раст пензија резултираће растом реалне </w:t>
      </w:r>
      <w:r w:rsidR="00377A6F">
        <w:rPr>
          <w:rFonts w:cstheme="minorHAnsi"/>
          <w:bCs/>
          <w:szCs w:val="72"/>
          <w:lang w:val="sr-Cyrl-RS"/>
        </w:rPr>
        <w:t>личне потрошње од 4,5%. П</w:t>
      </w:r>
      <w:r w:rsidRPr="0062711C">
        <w:rPr>
          <w:rFonts w:cstheme="minorHAnsi"/>
          <w:bCs/>
          <w:szCs w:val="72"/>
          <w:lang w:val="sr-Cyrl-RS"/>
        </w:rPr>
        <w:t xml:space="preserve">рофитабилност домаће привреде у </w:t>
      </w:r>
      <w:r w:rsidR="007D6AA0" w:rsidRPr="0062711C">
        <w:rPr>
          <w:rFonts w:cstheme="minorHAnsi"/>
          <w:bCs/>
          <w:szCs w:val="72"/>
          <w:lang w:val="sr-Cyrl-RS"/>
        </w:rPr>
        <w:t>претходном</w:t>
      </w:r>
      <w:r w:rsidRPr="0062711C">
        <w:rPr>
          <w:rFonts w:cstheme="minorHAnsi"/>
          <w:bCs/>
          <w:szCs w:val="72"/>
          <w:lang w:val="sr-Cyrl-RS"/>
        </w:rPr>
        <w:t xml:space="preserve"> периоду, наставак стабилног прилива СДИ уз очекивани опоравак спољне тражње, додатно подржано убрзањем реализације капиталних инфраструктурних пројеката у оквиру програма „Скок у будућност – Србија 2027”, резултираће убрзањем фиксних инвестиција за које се очекује раст од 8,9%. Постепени опоравак спољне тражње уз активирање нових извозно оријентисаних капацитета као резултат ефектуирања СДИ, обезбедиће стабилан раст реалног извоза од 7,0%. С друге стране снажан раст инвестиционе активности уз раст увоза потрошне робе као резултат веће приватне потрошње резултираће нешто бржим раст увоза. Оваква кретања спољнотрговинских токова имаће за последицу </w:t>
      </w:r>
      <w:r w:rsidRPr="0062711C">
        <w:rPr>
          <w:rFonts w:cstheme="minorHAnsi"/>
          <w:bCs/>
          <w:szCs w:val="72"/>
          <w:lang w:val="sr-Cyrl-RS"/>
        </w:rPr>
        <w:t>негативан допринос нето извоза расту БДП од 1,9 п.п.</w:t>
      </w:r>
    </w:p>
    <w:p w14:paraId="7229C26E" w14:textId="77777777" w:rsidR="00D8744E" w:rsidRPr="0062711C" w:rsidRDefault="00D8744E" w:rsidP="005C539B">
      <w:pPr>
        <w:tabs>
          <w:tab w:val="left" w:pos="720"/>
          <w:tab w:val="left" w:pos="1440"/>
        </w:tabs>
        <w:spacing w:after="360"/>
        <w:rPr>
          <w:rFonts w:cstheme="minorHAnsi"/>
          <w:bCs/>
          <w:szCs w:val="72"/>
          <w:lang w:val="sr-Cyrl-RS"/>
        </w:rPr>
      </w:pPr>
      <w:r w:rsidRPr="0062711C">
        <w:rPr>
          <w:rFonts w:cstheme="minorHAnsi"/>
          <w:bCs/>
          <w:szCs w:val="72"/>
          <w:lang w:val="sr-Cyrl-RS"/>
        </w:rPr>
        <w:t>Посматрано са производне стране у 2024. години очекује се повећање креиране БДВ код свих привредних сектора, осим код пољопривреде за коју је коришћена претпоставка просечне пољопривредне сезоне. Услужни сектор ће у 2024. години имати улогу доминантног носиоца раста економске активности. Раст би требало да буде диверсификован и остварен у готово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 2024. године, пре свега услед активирања нових производних капацитета али и очекиваног опоравка спољне тражње. Процењује се да ће снажан раст забележити и грађевинарство услед наставка извођења започетих инфраструктурних пројеката као и реализације нових грађевинских радова у оквиру програма „Скок у будућност – Србија 2027”.</w:t>
      </w:r>
    </w:p>
    <w:p w14:paraId="4714F7F6" w14:textId="77777777" w:rsidR="00D8744E" w:rsidRPr="0062711C" w:rsidRDefault="00D8744E" w:rsidP="005C539B">
      <w:pPr>
        <w:tabs>
          <w:tab w:val="left" w:pos="720"/>
          <w:tab w:val="left" w:pos="1440"/>
        </w:tabs>
        <w:rPr>
          <w:rFonts w:cstheme="minorHAnsi"/>
          <w:bCs/>
          <w:szCs w:val="72"/>
          <w:lang w:val="sr-Cyrl-RS"/>
        </w:rPr>
        <w:sectPr w:rsidR="00D8744E" w:rsidRPr="0062711C" w:rsidSect="00F45C01">
          <w:type w:val="continuous"/>
          <w:pgSz w:w="12240" w:h="15840" w:code="1"/>
          <w:pgMar w:top="1440" w:right="1440" w:bottom="1440" w:left="1440" w:header="720" w:footer="720" w:gutter="0"/>
          <w:cols w:num="2" w:space="720"/>
          <w:docGrid w:linePitch="360"/>
        </w:sectPr>
      </w:pPr>
    </w:p>
    <w:p w14:paraId="0A7977E8" w14:textId="77777777" w:rsidR="00D8744E" w:rsidRPr="0062711C" w:rsidRDefault="00D8744E" w:rsidP="00254447">
      <w:pPr>
        <w:spacing w:after="40"/>
        <w:jc w:val="center"/>
        <w:rPr>
          <w:rFonts w:ascii="Calibri" w:eastAsia="Calibri" w:hAnsi="Calibri" w:cs="Calibri"/>
          <w:b/>
          <w:color w:val="002060"/>
          <w:lang w:val="sr-Cyrl-RS"/>
        </w:rPr>
      </w:pPr>
      <w:r w:rsidRPr="0062711C">
        <w:rPr>
          <w:rFonts w:ascii="Calibri" w:eastAsia="Calibri" w:hAnsi="Calibri" w:cs="Calibri"/>
          <w:b/>
          <w:color w:val="002060"/>
          <w:lang w:val="sr-Cyrl-RS"/>
        </w:rPr>
        <w:t>Табела 3. БДП, стопе реалног раста, %</w:t>
      </w:r>
    </w:p>
    <w:tbl>
      <w:tblPr>
        <w:tblStyle w:val="TableGrid"/>
        <w:tblW w:w="4304"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7"/>
        <w:gridCol w:w="1302"/>
        <w:gridCol w:w="1301"/>
        <w:gridCol w:w="1301"/>
        <w:gridCol w:w="1301"/>
      </w:tblGrid>
      <w:tr w:rsidR="00D8744E" w:rsidRPr="0062711C" w14:paraId="7D789B5C" w14:textId="77777777" w:rsidTr="005C539B">
        <w:trPr>
          <w:jc w:val="center"/>
        </w:trPr>
        <w:tc>
          <w:tcPr>
            <w:tcW w:w="1766" w:type="pct"/>
            <w:tcBorders>
              <w:top w:val="single" w:sz="4" w:space="0" w:color="002060"/>
              <w:left w:val="single" w:sz="2" w:space="0" w:color="FFFFFF"/>
              <w:bottom w:val="single" w:sz="2" w:space="0" w:color="FFFFFF"/>
              <w:right w:val="single" w:sz="2" w:space="0" w:color="FFFFFF"/>
            </w:tcBorders>
          </w:tcPr>
          <w:p w14:paraId="70F9A318" w14:textId="77777777" w:rsidR="00D8744E" w:rsidRPr="0062711C" w:rsidRDefault="00D8744E" w:rsidP="005C539B">
            <w:pPr>
              <w:rPr>
                <w:rFonts w:ascii="Calibri" w:eastAsia="Calibri" w:hAnsi="Calibri" w:cs="Calibri"/>
                <w:color w:val="002060"/>
                <w:sz w:val="18"/>
                <w:lang w:val="sr-Cyrl-RS"/>
              </w:rPr>
            </w:pPr>
          </w:p>
        </w:tc>
        <w:tc>
          <w:tcPr>
            <w:tcW w:w="808" w:type="pct"/>
            <w:tcBorders>
              <w:top w:val="single" w:sz="4" w:space="0" w:color="002060"/>
              <w:left w:val="single" w:sz="2" w:space="0" w:color="FFFFFF"/>
              <w:bottom w:val="single" w:sz="4" w:space="0" w:color="002060"/>
              <w:right w:val="single" w:sz="2" w:space="0" w:color="FFFFFF"/>
            </w:tcBorders>
            <w:vAlign w:val="center"/>
          </w:tcPr>
          <w:p w14:paraId="33F2C92E" w14:textId="77777777" w:rsidR="00D8744E" w:rsidRPr="0062711C" w:rsidRDefault="00D8744E" w:rsidP="005C539B">
            <w:pPr>
              <w:jc w:val="center"/>
              <w:rPr>
                <w:rFonts w:ascii="Calibri" w:eastAsia="Calibri" w:hAnsi="Calibri" w:cs="Calibri"/>
                <w:color w:val="002060"/>
                <w:sz w:val="18"/>
                <w:lang w:val="sr-Cyrl-RS"/>
              </w:rPr>
            </w:pPr>
            <w:r w:rsidRPr="0062711C">
              <w:rPr>
                <w:rFonts w:ascii="Calibri" w:eastAsia="Calibri" w:hAnsi="Calibri" w:cs="Calibri"/>
                <w:color w:val="002060"/>
                <w:sz w:val="18"/>
                <w:lang w:val="sr-Cyrl-RS"/>
              </w:rPr>
              <w:t>2023</w:t>
            </w:r>
          </w:p>
        </w:tc>
        <w:tc>
          <w:tcPr>
            <w:tcW w:w="808" w:type="pct"/>
            <w:tcBorders>
              <w:top w:val="single" w:sz="4" w:space="0" w:color="002060"/>
              <w:left w:val="single" w:sz="2" w:space="0" w:color="FFFFFF"/>
              <w:bottom w:val="single" w:sz="4" w:space="0" w:color="002060"/>
              <w:right w:val="single" w:sz="2" w:space="0" w:color="FFFFFF"/>
            </w:tcBorders>
            <w:vAlign w:val="center"/>
          </w:tcPr>
          <w:p w14:paraId="041CAE20" w14:textId="77777777" w:rsidR="00D8744E" w:rsidRPr="0062711C" w:rsidRDefault="00D8744E" w:rsidP="005C539B">
            <w:pPr>
              <w:jc w:val="center"/>
              <w:rPr>
                <w:rFonts w:ascii="Calibri" w:eastAsia="Calibri" w:hAnsi="Calibri" w:cs="Calibri"/>
                <w:color w:val="002060"/>
                <w:sz w:val="18"/>
                <w:lang w:val="sr-Cyrl-RS"/>
              </w:rPr>
            </w:pPr>
            <w:r w:rsidRPr="0062711C">
              <w:rPr>
                <w:rFonts w:ascii="Calibri" w:eastAsia="Calibri" w:hAnsi="Calibri" w:cs="Calibri"/>
                <w:color w:val="002060"/>
                <w:sz w:val="18"/>
                <w:lang w:val="sr-Cyrl-RS"/>
              </w:rPr>
              <w:t>Q1 2024</w:t>
            </w:r>
          </w:p>
        </w:tc>
        <w:tc>
          <w:tcPr>
            <w:tcW w:w="808" w:type="pct"/>
            <w:tcBorders>
              <w:top w:val="single" w:sz="4" w:space="0" w:color="002060"/>
              <w:left w:val="single" w:sz="2" w:space="0" w:color="FFFFFF"/>
              <w:bottom w:val="single" w:sz="4" w:space="0" w:color="002060"/>
              <w:right w:val="single" w:sz="2" w:space="0" w:color="FFFFFF"/>
            </w:tcBorders>
            <w:vAlign w:val="center"/>
          </w:tcPr>
          <w:p w14:paraId="5B50AEE1" w14:textId="77777777" w:rsidR="00D8744E" w:rsidRPr="0062711C" w:rsidRDefault="00D8744E" w:rsidP="005C539B">
            <w:pPr>
              <w:jc w:val="center"/>
              <w:rPr>
                <w:rFonts w:ascii="Calibri" w:eastAsia="Calibri" w:hAnsi="Calibri" w:cs="Calibri"/>
                <w:color w:val="002060"/>
                <w:sz w:val="18"/>
                <w:lang w:val="sr-Cyrl-RS"/>
              </w:rPr>
            </w:pPr>
            <w:r w:rsidRPr="0062711C">
              <w:rPr>
                <w:rFonts w:ascii="Calibri" w:eastAsia="Calibri" w:hAnsi="Calibri" w:cs="Calibri"/>
                <w:color w:val="002060"/>
                <w:sz w:val="18"/>
                <w:lang w:val="sr-Cyrl-RS"/>
              </w:rPr>
              <w:t>2024* (иницијална процена)</w:t>
            </w:r>
          </w:p>
        </w:tc>
        <w:tc>
          <w:tcPr>
            <w:tcW w:w="808" w:type="pct"/>
            <w:tcBorders>
              <w:top w:val="single" w:sz="4" w:space="0" w:color="002060"/>
              <w:left w:val="single" w:sz="2" w:space="0" w:color="FFFFFF"/>
              <w:bottom w:val="single" w:sz="4" w:space="0" w:color="002060"/>
              <w:right w:val="single" w:sz="2" w:space="0" w:color="FFFFFF"/>
            </w:tcBorders>
            <w:vAlign w:val="center"/>
          </w:tcPr>
          <w:p w14:paraId="4151E2DA" w14:textId="77777777" w:rsidR="00D8744E" w:rsidRPr="0062711C" w:rsidRDefault="00D8744E" w:rsidP="005C539B">
            <w:pPr>
              <w:jc w:val="center"/>
              <w:rPr>
                <w:rFonts w:ascii="Calibri" w:eastAsia="Calibri" w:hAnsi="Calibri" w:cs="Calibri"/>
                <w:color w:val="002060"/>
                <w:sz w:val="18"/>
                <w:lang w:val="sr-Cyrl-RS"/>
              </w:rPr>
            </w:pPr>
            <w:r w:rsidRPr="0062711C">
              <w:rPr>
                <w:rFonts w:ascii="Calibri" w:eastAsia="Calibri" w:hAnsi="Calibri" w:cs="Calibri"/>
                <w:color w:val="002060"/>
                <w:sz w:val="18"/>
                <w:lang w:val="sr-Cyrl-RS"/>
              </w:rPr>
              <w:t>2024*</w:t>
            </w:r>
            <w:r w:rsidRPr="0062711C">
              <w:rPr>
                <w:rFonts w:ascii="Calibri" w:eastAsia="Calibri" w:hAnsi="Calibri" w:cs="Calibri"/>
                <w:color w:val="002060"/>
                <w:sz w:val="18"/>
                <w:lang w:val="sr-Cyrl-RS"/>
              </w:rPr>
              <w:br w:type="textWrapping" w:clear="all"/>
              <w:t>(ревидирана процена)</w:t>
            </w:r>
          </w:p>
        </w:tc>
      </w:tr>
      <w:tr w:rsidR="00D8744E" w:rsidRPr="0062711C" w14:paraId="3126F013" w14:textId="77777777" w:rsidTr="005C539B">
        <w:trPr>
          <w:jc w:val="center"/>
        </w:trPr>
        <w:tc>
          <w:tcPr>
            <w:tcW w:w="1766" w:type="pct"/>
            <w:tcBorders>
              <w:top w:val="single" w:sz="2" w:space="0" w:color="FFFFFF"/>
            </w:tcBorders>
          </w:tcPr>
          <w:p w14:paraId="16ED1448"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БДП</w:t>
            </w:r>
          </w:p>
        </w:tc>
        <w:tc>
          <w:tcPr>
            <w:tcW w:w="808" w:type="pct"/>
            <w:tcBorders>
              <w:top w:val="single" w:sz="4" w:space="0" w:color="002060"/>
            </w:tcBorders>
          </w:tcPr>
          <w:p w14:paraId="202FCB60"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2,5</w:t>
            </w:r>
          </w:p>
        </w:tc>
        <w:tc>
          <w:tcPr>
            <w:tcW w:w="808" w:type="pct"/>
            <w:tcBorders>
              <w:top w:val="nil"/>
              <w:left w:val="nil"/>
              <w:bottom w:val="nil"/>
              <w:right w:val="nil"/>
            </w:tcBorders>
            <w:shd w:val="clear" w:color="auto" w:fill="auto"/>
            <w:vAlign w:val="center"/>
          </w:tcPr>
          <w:p w14:paraId="6499E4B6"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4,7</w:t>
            </w:r>
          </w:p>
        </w:tc>
        <w:tc>
          <w:tcPr>
            <w:tcW w:w="808" w:type="pct"/>
            <w:tcBorders>
              <w:top w:val="single" w:sz="4" w:space="0" w:color="002060"/>
            </w:tcBorders>
          </w:tcPr>
          <w:p w14:paraId="7EE7F4DA"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3,5</w:t>
            </w:r>
          </w:p>
        </w:tc>
        <w:tc>
          <w:tcPr>
            <w:tcW w:w="808" w:type="pct"/>
            <w:tcBorders>
              <w:top w:val="nil"/>
              <w:left w:val="nil"/>
              <w:bottom w:val="nil"/>
              <w:right w:val="nil"/>
            </w:tcBorders>
            <w:shd w:val="clear" w:color="auto" w:fill="auto"/>
            <w:vAlign w:val="center"/>
          </w:tcPr>
          <w:p w14:paraId="23A94E20"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3,8</w:t>
            </w:r>
          </w:p>
        </w:tc>
      </w:tr>
      <w:tr w:rsidR="00D8744E" w:rsidRPr="0062711C" w14:paraId="09732F65" w14:textId="77777777" w:rsidTr="005C539B">
        <w:trPr>
          <w:jc w:val="center"/>
        </w:trPr>
        <w:tc>
          <w:tcPr>
            <w:tcW w:w="1766" w:type="pct"/>
            <w:tcBorders>
              <w:top w:val="single" w:sz="2" w:space="0" w:color="FFFFFF"/>
            </w:tcBorders>
            <w:shd w:val="clear" w:color="auto" w:fill="E7E6E6"/>
          </w:tcPr>
          <w:p w14:paraId="3DD4E98F" w14:textId="77777777" w:rsidR="00D8744E" w:rsidRPr="0062711C" w:rsidRDefault="00D8744E" w:rsidP="005C539B">
            <w:pPr>
              <w:jc w:val="right"/>
              <w:rPr>
                <w:rFonts w:ascii="Calibri" w:eastAsia="Calibri" w:hAnsi="Calibri" w:cs="Calibri"/>
                <w:color w:val="002060"/>
                <w:sz w:val="18"/>
                <w:lang w:val="sr-Cyrl-RS"/>
              </w:rPr>
            </w:pPr>
          </w:p>
        </w:tc>
        <w:tc>
          <w:tcPr>
            <w:tcW w:w="808" w:type="pct"/>
            <w:tcBorders>
              <w:top w:val="single" w:sz="2" w:space="0" w:color="FFFFFF"/>
            </w:tcBorders>
            <w:shd w:val="clear" w:color="auto" w:fill="E7E6E6"/>
          </w:tcPr>
          <w:p w14:paraId="2C10F8EE" w14:textId="77777777" w:rsidR="00D8744E" w:rsidRPr="0062711C" w:rsidRDefault="00D8744E" w:rsidP="005C539B">
            <w:pPr>
              <w:ind w:right="397"/>
              <w:jc w:val="right"/>
              <w:rPr>
                <w:rFonts w:ascii="Calibri" w:eastAsia="Calibri" w:hAnsi="Calibri" w:cs="Calibri"/>
                <w:color w:val="002060"/>
                <w:sz w:val="18"/>
                <w:lang w:val="sr-Cyrl-RS"/>
              </w:rPr>
            </w:pPr>
          </w:p>
        </w:tc>
        <w:tc>
          <w:tcPr>
            <w:tcW w:w="808" w:type="pct"/>
            <w:tcBorders>
              <w:top w:val="single" w:sz="8" w:space="0" w:color="FFFFFF"/>
              <w:left w:val="nil"/>
              <w:bottom w:val="nil"/>
              <w:right w:val="nil"/>
            </w:tcBorders>
            <w:shd w:val="clear" w:color="000000" w:fill="E7E6E6"/>
            <w:vAlign w:val="center"/>
          </w:tcPr>
          <w:p w14:paraId="222A7E1B" w14:textId="77777777" w:rsidR="00D8744E" w:rsidRPr="0062711C" w:rsidRDefault="00D8744E" w:rsidP="005C539B">
            <w:pPr>
              <w:ind w:right="397"/>
              <w:jc w:val="right"/>
              <w:rPr>
                <w:rFonts w:ascii="Calibri" w:eastAsia="Calibri" w:hAnsi="Calibri" w:cs="Calibri"/>
                <w:color w:val="002060"/>
                <w:sz w:val="18"/>
                <w:lang w:val="sr-Cyrl-RS"/>
              </w:rPr>
            </w:pPr>
          </w:p>
        </w:tc>
        <w:tc>
          <w:tcPr>
            <w:tcW w:w="808" w:type="pct"/>
            <w:tcBorders>
              <w:top w:val="single" w:sz="2" w:space="0" w:color="FFFFFF"/>
            </w:tcBorders>
            <w:shd w:val="clear" w:color="auto" w:fill="E7E6E6"/>
          </w:tcPr>
          <w:p w14:paraId="53349BC3" w14:textId="77777777" w:rsidR="00D8744E" w:rsidRPr="0062711C" w:rsidRDefault="00D8744E" w:rsidP="005C539B">
            <w:pPr>
              <w:ind w:right="397"/>
              <w:jc w:val="right"/>
              <w:rPr>
                <w:rFonts w:ascii="Calibri" w:eastAsia="Calibri" w:hAnsi="Calibri" w:cs="Calibri"/>
                <w:color w:val="002060"/>
                <w:sz w:val="18"/>
                <w:lang w:val="sr-Cyrl-RS"/>
              </w:rPr>
            </w:pPr>
          </w:p>
        </w:tc>
        <w:tc>
          <w:tcPr>
            <w:tcW w:w="808" w:type="pct"/>
            <w:tcBorders>
              <w:top w:val="single" w:sz="8" w:space="0" w:color="FFFFFF"/>
              <w:left w:val="nil"/>
              <w:bottom w:val="nil"/>
              <w:right w:val="nil"/>
            </w:tcBorders>
            <w:shd w:val="clear" w:color="000000" w:fill="E7E6E6"/>
            <w:vAlign w:val="center"/>
          </w:tcPr>
          <w:p w14:paraId="24486C65" w14:textId="77777777" w:rsidR="00D8744E" w:rsidRPr="0062711C" w:rsidRDefault="00D8744E" w:rsidP="005C539B">
            <w:pPr>
              <w:ind w:right="397"/>
              <w:jc w:val="right"/>
              <w:rPr>
                <w:rFonts w:ascii="Calibri" w:eastAsia="Calibri" w:hAnsi="Calibri" w:cs="Calibri"/>
                <w:color w:val="002060"/>
                <w:sz w:val="18"/>
                <w:lang w:val="sr-Cyrl-RS"/>
              </w:rPr>
            </w:pPr>
          </w:p>
        </w:tc>
      </w:tr>
      <w:tr w:rsidR="00D8744E" w:rsidRPr="0062711C" w14:paraId="4CC95A8E" w14:textId="77777777" w:rsidTr="005C539B">
        <w:trPr>
          <w:jc w:val="center"/>
        </w:trPr>
        <w:tc>
          <w:tcPr>
            <w:tcW w:w="1766" w:type="pct"/>
          </w:tcPr>
          <w:p w14:paraId="22EDDADC"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Приватна потрошња</w:t>
            </w:r>
          </w:p>
        </w:tc>
        <w:tc>
          <w:tcPr>
            <w:tcW w:w="808" w:type="pct"/>
          </w:tcPr>
          <w:p w14:paraId="19F1E0FF"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0,8</w:t>
            </w:r>
          </w:p>
        </w:tc>
        <w:tc>
          <w:tcPr>
            <w:tcW w:w="808" w:type="pct"/>
            <w:tcBorders>
              <w:top w:val="nil"/>
              <w:left w:val="nil"/>
              <w:bottom w:val="nil"/>
              <w:right w:val="nil"/>
            </w:tcBorders>
            <w:shd w:val="clear" w:color="auto" w:fill="auto"/>
            <w:vAlign w:val="center"/>
          </w:tcPr>
          <w:p w14:paraId="6F515D84"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4,4</w:t>
            </w:r>
          </w:p>
        </w:tc>
        <w:tc>
          <w:tcPr>
            <w:tcW w:w="808" w:type="pct"/>
          </w:tcPr>
          <w:p w14:paraId="1F7D8AB7"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4,3</w:t>
            </w:r>
          </w:p>
        </w:tc>
        <w:tc>
          <w:tcPr>
            <w:tcW w:w="808" w:type="pct"/>
            <w:tcBorders>
              <w:top w:val="nil"/>
              <w:left w:val="nil"/>
              <w:bottom w:val="nil"/>
              <w:right w:val="nil"/>
            </w:tcBorders>
            <w:shd w:val="clear" w:color="auto" w:fill="auto"/>
            <w:vAlign w:val="center"/>
          </w:tcPr>
          <w:p w14:paraId="2E3F4867"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4,5</w:t>
            </w:r>
          </w:p>
        </w:tc>
      </w:tr>
      <w:tr w:rsidR="00D8744E" w:rsidRPr="0062711C" w14:paraId="193F48F8" w14:textId="77777777" w:rsidTr="005C539B">
        <w:trPr>
          <w:jc w:val="center"/>
        </w:trPr>
        <w:tc>
          <w:tcPr>
            <w:tcW w:w="1766" w:type="pct"/>
          </w:tcPr>
          <w:p w14:paraId="63A3C9D5"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Државна потрошња</w:t>
            </w:r>
          </w:p>
        </w:tc>
        <w:tc>
          <w:tcPr>
            <w:tcW w:w="808" w:type="pct"/>
          </w:tcPr>
          <w:p w14:paraId="1D82DED3"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0,3</w:t>
            </w:r>
          </w:p>
        </w:tc>
        <w:tc>
          <w:tcPr>
            <w:tcW w:w="808" w:type="pct"/>
            <w:tcBorders>
              <w:top w:val="nil"/>
              <w:left w:val="nil"/>
              <w:bottom w:val="nil"/>
              <w:right w:val="nil"/>
            </w:tcBorders>
            <w:shd w:val="clear" w:color="auto" w:fill="auto"/>
            <w:vAlign w:val="center"/>
          </w:tcPr>
          <w:p w14:paraId="40AB1474"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3,6</w:t>
            </w:r>
          </w:p>
        </w:tc>
        <w:tc>
          <w:tcPr>
            <w:tcW w:w="808" w:type="pct"/>
          </w:tcPr>
          <w:p w14:paraId="7E3C6AC5"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1,5</w:t>
            </w:r>
          </w:p>
        </w:tc>
        <w:tc>
          <w:tcPr>
            <w:tcW w:w="808" w:type="pct"/>
            <w:tcBorders>
              <w:top w:val="nil"/>
              <w:left w:val="nil"/>
              <w:bottom w:val="nil"/>
              <w:right w:val="nil"/>
            </w:tcBorders>
            <w:shd w:val="clear" w:color="auto" w:fill="auto"/>
            <w:vAlign w:val="center"/>
          </w:tcPr>
          <w:p w14:paraId="6ED91674"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2,4</w:t>
            </w:r>
          </w:p>
        </w:tc>
      </w:tr>
      <w:tr w:rsidR="00D8744E" w:rsidRPr="0062711C" w14:paraId="161F038F" w14:textId="77777777" w:rsidTr="005C539B">
        <w:trPr>
          <w:jc w:val="center"/>
        </w:trPr>
        <w:tc>
          <w:tcPr>
            <w:tcW w:w="1766" w:type="pct"/>
          </w:tcPr>
          <w:p w14:paraId="2BDF0A11"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Инвестиције у основна средства</w:t>
            </w:r>
          </w:p>
        </w:tc>
        <w:tc>
          <w:tcPr>
            <w:tcW w:w="808" w:type="pct"/>
          </w:tcPr>
          <w:p w14:paraId="2691FBF4"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3,9</w:t>
            </w:r>
          </w:p>
        </w:tc>
        <w:tc>
          <w:tcPr>
            <w:tcW w:w="808" w:type="pct"/>
            <w:tcBorders>
              <w:top w:val="nil"/>
              <w:left w:val="nil"/>
              <w:bottom w:val="nil"/>
              <w:right w:val="nil"/>
            </w:tcBorders>
            <w:shd w:val="clear" w:color="auto" w:fill="auto"/>
            <w:vAlign w:val="center"/>
          </w:tcPr>
          <w:p w14:paraId="497B87F2"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7,3</w:t>
            </w:r>
          </w:p>
        </w:tc>
        <w:tc>
          <w:tcPr>
            <w:tcW w:w="808" w:type="pct"/>
          </w:tcPr>
          <w:p w14:paraId="231B339F"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5,2</w:t>
            </w:r>
          </w:p>
        </w:tc>
        <w:tc>
          <w:tcPr>
            <w:tcW w:w="808" w:type="pct"/>
            <w:tcBorders>
              <w:top w:val="nil"/>
              <w:left w:val="nil"/>
              <w:bottom w:val="nil"/>
              <w:right w:val="nil"/>
            </w:tcBorders>
            <w:shd w:val="clear" w:color="auto" w:fill="auto"/>
            <w:vAlign w:val="center"/>
          </w:tcPr>
          <w:p w14:paraId="65981308"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8,9</w:t>
            </w:r>
          </w:p>
        </w:tc>
      </w:tr>
      <w:tr w:rsidR="00D8744E" w:rsidRPr="0062711C" w14:paraId="4339667D" w14:textId="77777777" w:rsidTr="005C539B">
        <w:trPr>
          <w:jc w:val="center"/>
        </w:trPr>
        <w:tc>
          <w:tcPr>
            <w:tcW w:w="1766" w:type="pct"/>
          </w:tcPr>
          <w:p w14:paraId="3ED83CC5"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Извоз робе и услуга</w:t>
            </w:r>
          </w:p>
        </w:tc>
        <w:tc>
          <w:tcPr>
            <w:tcW w:w="808" w:type="pct"/>
          </w:tcPr>
          <w:p w14:paraId="08A037C6"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2,4</w:t>
            </w:r>
          </w:p>
        </w:tc>
        <w:tc>
          <w:tcPr>
            <w:tcW w:w="808" w:type="pct"/>
            <w:tcBorders>
              <w:top w:val="nil"/>
              <w:left w:val="nil"/>
              <w:bottom w:val="nil"/>
              <w:right w:val="nil"/>
            </w:tcBorders>
            <w:shd w:val="clear" w:color="auto" w:fill="auto"/>
            <w:vAlign w:val="center"/>
          </w:tcPr>
          <w:p w14:paraId="0588511E"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1,1</w:t>
            </w:r>
          </w:p>
        </w:tc>
        <w:tc>
          <w:tcPr>
            <w:tcW w:w="808" w:type="pct"/>
          </w:tcPr>
          <w:p w14:paraId="599CA97D"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8,1</w:t>
            </w:r>
          </w:p>
        </w:tc>
        <w:tc>
          <w:tcPr>
            <w:tcW w:w="808" w:type="pct"/>
            <w:tcBorders>
              <w:top w:val="nil"/>
              <w:left w:val="nil"/>
              <w:bottom w:val="nil"/>
              <w:right w:val="nil"/>
            </w:tcBorders>
            <w:shd w:val="clear" w:color="auto" w:fill="auto"/>
            <w:vAlign w:val="center"/>
          </w:tcPr>
          <w:p w14:paraId="6A1F0616"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7,0</w:t>
            </w:r>
          </w:p>
        </w:tc>
      </w:tr>
      <w:tr w:rsidR="00D8744E" w:rsidRPr="0062711C" w14:paraId="51612E81" w14:textId="77777777" w:rsidTr="005C539B">
        <w:trPr>
          <w:jc w:val="center"/>
        </w:trPr>
        <w:tc>
          <w:tcPr>
            <w:tcW w:w="1766" w:type="pct"/>
          </w:tcPr>
          <w:p w14:paraId="0C1DA3DA"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Увоз робе и услуга</w:t>
            </w:r>
          </w:p>
        </w:tc>
        <w:tc>
          <w:tcPr>
            <w:tcW w:w="808" w:type="pct"/>
          </w:tcPr>
          <w:p w14:paraId="68239EE3"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-1,1</w:t>
            </w:r>
          </w:p>
        </w:tc>
        <w:tc>
          <w:tcPr>
            <w:tcW w:w="808" w:type="pct"/>
            <w:tcBorders>
              <w:top w:val="nil"/>
              <w:left w:val="nil"/>
              <w:bottom w:val="nil"/>
              <w:right w:val="nil"/>
            </w:tcBorders>
            <w:shd w:val="clear" w:color="auto" w:fill="auto"/>
            <w:vAlign w:val="center"/>
          </w:tcPr>
          <w:p w14:paraId="39934940"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3,2</w:t>
            </w:r>
          </w:p>
        </w:tc>
        <w:tc>
          <w:tcPr>
            <w:tcW w:w="808" w:type="pct"/>
          </w:tcPr>
          <w:p w14:paraId="626DED78"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8,4</w:t>
            </w:r>
          </w:p>
        </w:tc>
        <w:tc>
          <w:tcPr>
            <w:tcW w:w="808" w:type="pct"/>
            <w:tcBorders>
              <w:top w:val="nil"/>
              <w:left w:val="nil"/>
              <w:bottom w:val="nil"/>
              <w:right w:val="nil"/>
            </w:tcBorders>
            <w:shd w:val="clear" w:color="auto" w:fill="auto"/>
            <w:vAlign w:val="center"/>
          </w:tcPr>
          <w:p w14:paraId="2E3C10E7"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8,6</w:t>
            </w:r>
          </w:p>
        </w:tc>
      </w:tr>
      <w:tr w:rsidR="00D8744E" w:rsidRPr="0062711C" w14:paraId="0219B625" w14:textId="77777777" w:rsidTr="005C539B">
        <w:trPr>
          <w:trHeight w:val="144"/>
          <w:jc w:val="center"/>
        </w:trPr>
        <w:tc>
          <w:tcPr>
            <w:tcW w:w="1766" w:type="pct"/>
            <w:shd w:val="clear" w:color="auto" w:fill="E7E6E6"/>
          </w:tcPr>
          <w:p w14:paraId="1841FABC" w14:textId="77777777" w:rsidR="00D8744E" w:rsidRPr="0062711C" w:rsidRDefault="00D8744E" w:rsidP="005C539B">
            <w:pPr>
              <w:ind w:left="-15"/>
              <w:jc w:val="right"/>
              <w:rPr>
                <w:rFonts w:ascii="Calibri" w:eastAsia="Calibri" w:hAnsi="Calibri" w:cs="Calibri"/>
                <w:color w:val="002060"/>
                <w:sz w:val="18"/>
                <w:lang w:val="sr-Cyrl-RS"/>
              </w:rPr>
            </w:pPr>
          </w:p>
        </w:tc>
        <w:tc>
          <w:tcPr>
            <w:tcW w:w="808" w:type="pct"/>
            <w:shd w:val="clear" w:color="auto" w:fill="E7E6E6"/>
          </w:tcPr>
          <w:p w14:paraId="363CB90B" w14:textId="77777777" w:rsidR="00D8744E" w:rsidRPr="0062711C" w:rsidRDefault="00D8744E" w:rsidP="005C539B">
            <w:pPr>
              <w:ind w:left="-15" w:right="397"/>
              <w:jc w:val="right"/>
              <w:rPr>
                <w:rFonts w:ascii="Calibri" w:eastAsia="Calibri" w:hAnsi="Calibri" w:cs="Calibri"/>
                <w:color w:val="002060"/>
                <w:sz w:val="18"/>
                <w:lang w:val="sr-Cyrl-RS"/>
              </w:rPr>
            </w:pPr>
          </w:p>
        </w:tc>
        <w:tc>
          <w:tcPr>
            <w:tcW w:w="808" w:type="pct"/>
            <w:tcBorders>
              <w:top w:val="nil"/>
              <w:left w:val="nil"/>
              <w:bottom w:val="nil"/>
              <w:right w:val="nil"/>
            </w:tcBorders>
            <w:shd w:val="clear" w:color="000000" w:fill="E7E6E6"/>
            <w:vAlign w:val="center"/>
          </w:tcPr>
          <w:p w14:paraId="52939E0E" w14:textId="77777777" w:rsidR="00D8744E" w:rsidRPr="0062711C" w:rsidRDefault="00D8744E" w:rsidP="005C539B">
            <w:pPr>
              <w:ind w:left="-15" w:right="397"/>
              <w:jc w:val="right"/>
              <w:rPr>
                <w:rFonts w:ascii="Calibri" w:eastAsia="Calibri" w:hAnsi="Calibri" w:cs="Calibri"/>
                <w:color w:val="002060"/>
                <w:sz w:val="18"/>
                <w:lang w:val="sr-Cyrl-RS"/>
              </w:rPr>
            </w:pPr>
          </w:p>
        </w:tc>
        <w:tc>
          <w:tcPr>
            <w:tcW w:w="808" w:type="pct"/>
            <w:shd w:val="clear" w:color="auto" w:fill="E7E6E6"/>
          </w:tcPr>
          <w:p w14:paraId="04236EBC" w14:textId="77777777" w:rsidR="00D8744E" w:rsidRPr="0062711C" w:rsidRDefault="00D8744E" w:rsidP="005C539B">
            <w:pPr>
              <w:ind w:left="-15" w:right="397"/>
              <w:jc w:val="right"/>
              <w:rPr>
                <w:rFonts w:ascii="Calibri" w:eastAsia="Calibri" w:hAnsi="Calibri" w:cs="Calibri"/>
                <w:color w:val="002060"/>
                <w:sz w:val="18"/>
                <w:lang w:val="sr-Cyrl-RS"/>
              </w:rPr>
            </w:pPr>
          </w:p>
        </w:tc>
        <w:tc>
          <w:tcPr>
            <w:tcW w:w="808" w:type="pct"/>
            <w:tcBorders>
              <w:top w:val="nil"/>
              <w:left w:val="nil"/>
              <w:bottom w:val="nil"/>
              <w:right w:val="nil"/>
            </w:tcBorders>
            <w:shd w:val="clear" w:color="000000" w:fill="E7E6E6"/>
            <w:vAlign w:val="center"/>
          </w:tcPr>
          <w:p w14:paraId="5E5BC822" w14:textId="77777777" w:rsidR="00D8744E" w:rsidRPr="0062711C" w:rsidRDefault="00D8744E" w:rsidP="005C539B">
            <w:pPr>
              <w:ind w:left="-15" w:right="397"/>
              <w:jc w:val="right"/>
              <w:rPr>
                <w:rFonts w:ascii="Calibri" w:eastAsia="Calibri" w:hAnsi="Calibri" w:cs="Calibri"/>
                <w:color w:val="002060"/>
                <w:sz w:val="18"/>
                <w:lang w:val="sr-Cyrl-RS"/>
              </w:rPr>
            </w:pPr>
          </w:p>
        </w:tc>
      </w:tr>
      <w:tr w:rsidR="00D8744E" w:rsidRPr="0062711C" w14:paraId="1ED00EE5" w14:textId="77777777" w:rsidTr="005C539B">
        <w:trPr>
          <w:jc w:val="center"/>
        </w:trPr>
        <w:tc>
          <w:tcPr>
            <w:tcW w:w="1766" w:type="pct"/>
          </w:tcPr>
          <w:p w14:paraId="2F6D4B3C"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Пољопривреда</w:t>
            </w:r>
          </w:p>
        </w:tc>
        <w:tc>
          <w:tcPr>
            <w:tcW w:w="808" w:type="pct"/>
          </w:tcPr>
          <w:p w14:paraId="0EEC1392"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8,1</w:t>
            </w:r>
          </w:p>
        </w:tc>
        <w:tc>
          <w:tcPr>
            <w:tcW w:w="808" w:type="pct"/>
            <w:tcBorders>
              <w:top w:val="nil"/>
              <w:left w:val="nil"/>
              <w:bottom w:val="nil"/>
              <w:right w:val="nil"/>
            </w:tcBorders>
            <w:shd w:val="clear" w:color="auto" w:fill="auto"/>
            <w:vAlign w:val="center"/>
          </w:tcPr>
          <w:p w14:paraId="11B77932"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0,2</w:t>
            </w:r>
          </w:p>
        </w:tc>
        <w:tc>
          <w:tcPr>
            <w:tcW w:w="808" w:type="pct"/>
          </w:tcPr>
          <w:p w14:paraId="46B12CA2"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-3,1</w:t>
            </w:r>
          </w:p>
        </w:tc>
        <w:tc>
          <w:tcPr>
            <w:tcW w:w="808" w:type="pct"/>
            <w:tcBorders>
              <w:top w:val="nil"/>
              <w:left w:val="nil"/>
              <w:bottom w:val="nil"/>
              <w:right w:val="nil"/>
            </w:tcBorders>
            <w:shd w:val="clear" w:color="auto" w:fill="auto"/>
            <w:vAlign w:val="center"/>
          </w:tcPr>
          <w:p w14:paraId="160A28E8"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-0,8</w:t>
            </w:r>
          </w:p>
        </w:tc>
      </w:tr>
      <w:tr w:rsidR="00D8744E" w:rsidRPr="0062711C" w14:paraId="441D2143" w14:textId="77777777" w:rsidTr="005C539B">
        <w:trPr>
          <w:jc w:val="center"/>
        </w:trPr>
        <w:tc>
          <w:tcPr>
            <w:tcW w:w="1766" w:type="pct"/>
          </w:tcPr>
          <w:p w14:paraId="2ED82D07"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Индустрија</w:t>
            </w:r>
          </w:p>
        </w:tc>
        <w:tc>
          <w:tcPr>
            <w:tcW w:w="808" w:type="pct"/>
          </w:tcPr>
          <w:p w14:paraId="3644241C"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2,2</w:t>
            </w:r>
          </w:p>
        </w:tc>
        <w:tc>
          <w:tcPr>
            <w:tcW w:w="808" w:type="pct"/>
            <w:tcBorders>
              <w:top w:val="nil"/>
              <w:left w:val="nil"/>
              <w:bottom w:val="nil"/>
              <w:right w:val="nil"/>
            </w:tcBorders>
            <w:shd w:val="clear" w:color="auto" w:fill="auto"/>
            <w:vAlign w:val="center"/>
          </w:tcPr>
          <w:p w14:paraId="6F2A1358"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2,9</w:t>
            </w:r>
          </w:p>
        </w:tc>
        <w:tc>
          <w:tcPr>
            <w:tcW w:w="808" w:type="pct"/>
          </w:tcPr>
          <w:p w14:paraId="3C351A9E"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3,3</w:t>
            </w:r>
          </w:p>
        </w:tc>
        <w:tc>
          <w:tcPr>
            <w:tcW w:w="808" w:type="pct"/>
            <w:tcBorders>
              <w:top w:val="nil"/>
              <w:left w:val="nil"/>
              <w:bottom w:val="nil"/>
              <w:right w:val="nil"/>
            </w:tcBorders>
            <w:shd w:val="clear" w:color="auto" w:fill="auto"/>
            <w:vAlign w:val="center"/>
          </w:tcPr>
          <w:p w14:paraId="5C4AFEC8"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2,8</w:t>
            </w:r>
          </w:p>
        </w:tc>
      </w:tr>
      <w:tr w:rsidR="00D8744E" w:rsidRPr="0062711C" w14:paraId="134ED89D" w14:textId="77777777" w:rsidTr="005C539B">
        <w:trPr>
          <w:jc w:val="center"/>
        </w:trPr>
        <w:tc>
          <w:tcPr>
            <w:tcW w:w="1766" w:type="pct"/>
          </w:tcPr>
          <w:p w14:paraId="2C91E2AE"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Грађевинарство</w:t>
            </w:r>
          </w:p>
        </w:tc>
        <w:tc>
          <w:tcPr>
            <w:tcW w:w="808" w:type="pct"/>
          </w:tcPr>
          <w:p w14:paraId="73B1F0CB"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8,7</w:t>
            </w:r>
          </w:p>
        </w:tc>
        <w:tc>
          <w:tcPr>
            <w:tcW w:w="808" w:type="pct"/>
            <w:tcBorders>
              <w:top w:val="nil"/>
              <w:left w:val="nil"/>
              <w:bottom w:val="nil"/>
              <w:right w:val="nil"/>
            </w:tcBorders>
            <w:shd w:val="clear" w:color="auto" w:fill="auto"/>
            <w:vAlign w:val="center"/>
          </w:tcPr>
          <w:p w14:paraId="0C6F95CF"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14,2</w:t>
            </w:r>
          </w:p>
        </w:tc>
        <w:tc>
          <w:tcPr>
            <w:tcW w:w="808" w:type="pct"/>
          </w:tcPr>
          <w:p w14:paraId="2FD2D5A1"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5,5</w:t>
            </w:r>
          </w:p>
        </w:tc>
        <w:tc>
          <w:tcPr>
            <w:tcW w:w="808" w:type="pct"/>
            <w:tcBorders>
              <w:top w:val="nil"/>
              <w:left w:val="nil"/>
              <w:bottom w:val="nil"/>
              <w:right w:val="nil"/>
            </w:tcBorders>
            <w:shd w:val="clear" w:color="auto" w:fill="auto"/>
            <w:vAlign w:val="center"/>
          </w:tcPr>
          <w:p w14:paraId="465A5A81"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9,1</w:t>
            </w:r>
          </w:p>
        </w:tc>
      </w:tr>
      <w:tr w:rsidR="00D8744E" w:rsidRPr="0062711C" w14:paraId="65DC2924" w14:textId="77777777" w:rsidTr="005C539B">
        <w:trPr>
          <w:trHeight w:val="163"/>
          <w:jc w:val="center"/>
        </w:trPr>
        <w:tc>
          <w:tcPr>
            <w:tcW w:w="1766" w:type="pct"/>
          </w:tcPr>
          <w:p w14:paraId="52D8B907"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Услуге</w:t>
            </w:r>
          </w:p>
        </w:tc>
        <w:tc>
          <w:tcPr>
            <w:tcW w:w="808" w:type="pct"/>
          </w:tcPr>
          <w:p w14:paraId="5F3F3202" w14:textId="77777777" w:rsidR="00D8744E" w:rsidRPr="0062711C" w:rsidRDefault="00D8744E" w:rsidP="005C539B">
            <w:pPr>
              <w:tabs>
                <w:tab w:val="left" w:pos="420"/>
                <w:tab w:val="center" w:pos="586"/>
              </w:tabs>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2,0</w:t>
            </w:r>
          </w:p>
        </w:tc>
        <w:tc>
          <w:tcPr>
            <w:tcW w:w="808" w:type="pct"/>
            <w:tcBorders>
              <w:top w:val="nil"/>
              <w:left w:val="nil"/>
              <w:right w:val="nil"/>
            </w:tcBorders>
            <w:shd w:val="clear" w:color="auto" w:fill="auto"/>
            <w:vAlign w:val="center"/>
          </w:tcPr>
          <w:p w14:paraId="166E6938"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5,0</w:t>
            </w:r>
          </w:p>
        </w:tc>
        <w:tc>
          <w:tcPr>
            <w:tcW w:w="808" w:type="pct"/>
          </w:tcPr>
          <w:p w14:paraId="24C751CD"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4,0</w:t>
            </w:r>
          </w:p>
        </w:tc>
        <w:tc>
          <w:tcPr>
            <w:tcW w:w="808" w:type="pct"/>
            <w:tcBorders>
              <w:top w:val="nil"/>
              <w:left w:val="nil"/>
              <w:right w:val="nil"/>
            </w:tcBorders>
            <w:shd w:val="clear" w:color="auto" w:fill="auto"/>
            <w:vAlign w:val="center"/>
          </w:tcPr>
          <w:p w14:paraId="0D99F1C1"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4,0</w:t>
            </w:r>
          </w:p>
        </w:tc>
      </w:tr>
      <w:tr w:rsidR="00D8744E" w:rsidRPr="0062711C" w14:paraId="63468BE3" w14:textId="77777777" w:rsidTr="005C539B">
        <w:trPr>
          <w:trHeight w:val="163"/>
          <w:jc w:val="center"/>
        </w:trPr>
        <w:tc>
          <w:tcPr>
            <w:tcW w:w="1766" w:type="pct"/>
            <w:tcBorders>
              <w:bottom w:val="single" w:sz="4" w:space="0" w:color="002060"/>
            </w:tcBorders>
          </w:tcPr>
          <w:p w14:paraId="4A23347A" w14:textId="77777777" w:rsidR="00D8744E" w:rsidRPr="0062711C" w:rsidRDefault="00D8744E" w:rsidP="005C539B">
            <w:pPr>
              <w:ind w:left="-15"/>
              <w:rPr>
                <w:rFonts w:ascii="Calibri" w:eastAsia="Calibri" w:hAnsi="Calibri" w:cs="Calibri"/>
                <w:color w:val="002060"/>
                <w:sz w:val="18"/>
                <w:lang w:val="sr-Cyrl-RS"/>
              </w:rPr>
            </w:pPr>
            <w:r w:rsidRPr="0062711C">
              <w:rPr>
                <w:rFonts w:ascii="Calibri" w:eastAsia="Calibri" w:hAnsi="Calibri" w:cs="Calibri"/>
                <w:color w:val="002060"/>
                <w:sz w:val="18"/>
                <w:lang w:val="sr-Cyrl-RS"/>
              </w:rPr>
              <w:t>Нето порези</w:t>
            </w:r>
          </w:p>
        </w:tc>
        <w:tc>
          <w:tcPr>
            <w:tcW w:w="808" w:type="pct"/>
            <w:tcBorders>
              <w:bottom w:val="single" w:sz="4" w:space="0" w:color="002060"/>
            </w:tcBorders>
          </w:tcPr>
          <w:p w14:paraId="43A10376" w14:textId="77777777" w:rsidR="00D8744E" w:rsidRPr="0062711C" w:rsidRDefault="00D8744E" w:rsidP="005C539B">
            <w:pPr>
              <w:tabs>
                <w:tab w:val="left" w:pos="420"/>
                <w:tab w:val="center" w:pos="586"/>
              </w:tabs>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0,3</w:t>
            </w:r>
          </w:p>
        </w:tc>
        <w:tc>
          <w:tcPr>
            <w:tcW w:w="808" w:type="pct"/>
            <w:tcBorders>
              <w:top w:val="nil"/>
              <w:left w:val="nil"/>
              <w:bottom w:val="single" w:sz="4" w:space="0" w:color="002060"/>
              <w:right w:val="nil"/>
            </w:tcBorders>
            <w:shd w:val="clear" w:color="auto" w:fill="auto"/>
            <w:vAlign w:val="center"/>
          </w:tcPr>
          <w:p w14:paraId="130EA93A"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3,2</w:t>
            </w:r>
          </w:p>
        </w:tc>
        <w:tc>
          <w:tcPr>
            <w:tcW w:w="808" w:type="pct"/>
            <w:tcBorders>
              <w:bottom w:val="single" w:sz="4" w:space="0" w:color="002060"/>
            </w:tcBorders>
          </w:tcPr>
          <w:p w14:paraId="347EC401"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3,5</w:t>
            </w:r>
          </w:p>
        </w:tc>
        <w:tc>
          <w:tcPr>
            <w:tcW w:w="808" w:type="pct"/>
            <w:tcBorders>
              <w:top w:val="nil"/>
              <w:left w:val="nil"/>
              <w:bottom w:val="single" w:sz="4" w:space="0" w:color="002060"/>
              <w:right w:val="nil"/>
            </w:tcBorders>
            <w:shd w:val="clear" w:color="auto" w:fill="auto"/>
            <w:vAlign w:val="center"/>
          </w:tcPr>
          <w:p w14:paraId="7E321B19" w14:textId="77777777" w:rsidR="00D8744E" w:rsidRPr="0062711C" w:rsidRDefault="00D8744E" w:rsidP="005C539B">
            <w:pPr>
              <w:ind w:right="397"/>
              <w:jc w:val="right"/>
              <w:rPr>
                <w:rFonts w:ascii="Calibri" w:eastAsia="Calibri" w:hAnsi="Calibri" w:cs="Calibri"/>
                <w:color w:val="002060"/>
                <w:sz w:val="18"/>
                <w:lang w:val="sr-Cyrl-RS"/>
              </w:rPr>
            </w:pPr>
            <w:r w:rsidRPr="0062711C">
              <w:rPr>
                <w:rFonts w:ascii="Calibri" w:eastAsia="Calibri" w:hAnsi="Calibri" w:cs="Calibri"/>
                <w:color w:val="002060"/>
                <w:sz w:val="18"/>
                <w:lang w:val="sr-Cyrl-RS"/>
              </w:rPr>
              <w:t>3,6</w:t>
            </w:r>
          </w:p>
        </w:tc>
      </w:tr>
    </w:tbl>
    <w:p w14:paraId="24715C68" w14:textId="77777777" w:rsidR="00D8744E" w:rsidRPr="0062711C" w:rsidRDefault="00D8744E" w:rsidP="005C539B">
      <w:pPr>
        <w:spacing w:before="40" w:after="0"/>
        <w:ind w:left="737"/>
        <w:rPr>
          <w:rFonts w:ascii="Calibri" w:eastAsia="Calibri" w:hAnsi="Calibri" w:cs="Calibri"/>
          <w:bCs/>
          <w:sz w:val="16"/>
          <w:szCs w:val="72"/>
          <w:lang w:val="sr-Cyrl-RS"/>
        </w:rPr>
      </w:pPr>
      <w:r w:rsidRPr="0062711C">
        <w:rPr>
          <w:rFonts w:ascii="Calibri" w:eastAsia="Calibri" w:hAnsi="Calibri" w:cs="Calibri"/>
          <w:bCs/>
          <w:sz w:val="16"/>
          <w:szCs w:val="72"/>
          <w:lang w:val="sr-Cyrl-RS"/>
        </w:rPr>
        <w:t>Извор: РЗС</w:t>
      </w:r>
    </w:p>
    <w:p w14:paraId="2BF2CC90" w14:textId="77777777" w:rsidR="00D8744E" w:rsidRPr="0062711C" w:rsidRDefault="00D8744E" w:rsidP="005C539B">
      <w:pPr>
        <w:spacing w:before="40" w:after="40"/>
        <w:ind w:left="737"/>
        <w:rPr>
          <w:rFonts w:ascii="Calibri" w:eastAsia="Calibri" w:hAnsi="Calibri" w:cs="Calibri"/>
          <w:bCs/>
          <w:sz w:val="16"/>
          <w:szCs w:val="72"/>
          <w:lang w:val="sr-Cyrl-RS"/>
        </w:rPr>
      </w:pPr>
      <w:r w:rsidRPr="0062711C">
        <w:rPr>
          <w:rFonts w:ascii="Calibri" w:eastAsia="Calibri" w:hAnsi="Calibri" w:cs="Calibri"/>
          <w:bCs/>
          <w:sz w:val="16"/>
          <w:szCs w:val="72"/>
          <w:lang w:val="sr-Cyrl-RS"/>
        </w:rPr>
        <w:t>* Министарство финансија</w:t>
      </w:r>
    </w:p>
    <w:p w14:paraId="1C9E6E6E" w14:textId="77777777" w:rsidR="00D8744E" w:rsidRPr="0062711C" w:rsidRDefault="00D8744E" w:rsidP="005C539B">
      <w:pPr>
        <w:spacing w:after="120"/>
        <w:ind w:left="680"/>
        <w:jc w:val="left"/>
        <w:rPr>
          <w:rFonts w:cstheme="minorHAnsi"/>
          <w:b/>
          <w:color w:val="2F5496" w:themeColor="accent1" w:themeShade="BF"/>
          <w:sz w:val="22"/>
          <w:lang w:val="sr-Cyrl-RS"/>
        </w:rPr>
        <w:sectPr w:rsidR="00D8744E" w:rsidRPr="0062711C" w:rsidSect="00F45C01">
          <w:type w:val="continuous"/>
          <w:pgSz w:w="12240" w:h="15840" w:code="1"/>
          <w:pgMar w:top="1440" w:right="1440" w:bottom="1440" w:left="1440" w:header="720" w:footer="720" w:gutter="0"/>
          <w:cols w:space="720"/>
          <w:docGrid w:linePitch="360"/>
        </w:sectPr>
      </w:pPr>
    </w:p>
    <w:p w14:paraId="04FF3BB2" w14:textId="77777777" w:rsidR="00D8744E" w:rsidRPr="0062711C" w:rsidRDefault="00D8744E" w:rsidP="005C539B">
      <w:pPr>
        <w:rPr>
          <w:lang w:val="sr-Cyrl-RS"/>
        </w:rPr>
      </w:pPr>
    </w:p>
    <w:p w14:paraId="19A02CE8" w14:textId="029EB737" w:rsidR="00D8744E" w:rsidRPr="0062711C" w:rsidRDefault="00D8744E">
      <w:pPr>
        <w:jc w:val="left"/>
        <w:rPr>
          <w:lang w:val="sr-Cyrl-RS"/>
        </w:rPr>
      </w:pPr>
      <w:r w:rsidRPr="0062711C">
        <w:rPr>
          <w:lang w:val="sr-Cyrl-RS"/>
        </w:rPr>
        <w:br w:type="page"/>
      </w:r>
    </w:p>
    <w:p w14:paraId="7204A018" w14:textId="6BCF7924" w:rsidR="00105AE6" w:rsidRPr="0062711C" w:rsidRDefault="00105AE6" w:rsidP="00FA6BD0">
      <w:pPr>
        <w:spacing w:after="120"/>
        <w:jc w:val="left"/>
        <w:rPr>
          <w:color w:val="2F5496" w:themeColor="accent1" w:themeShade="BF"/>
          <w:lang w:val="sr-Cyrl-RS"/>
        </w:rPr>
      </w:pPr>
      <w:r w:rsidRPr="0062711C">
        <w:rPr>
          <w:rFonts w:cstheme="minorHAnsi"/>
          <w:b/>
          <w:color w:val="2F5496" w:themeColor="accent1" w:themeShade="BF"/>
          <w:sz w:val="22"/>
          <w:lang w:val="sr-Cyrl-RS"/>
        </w:rPr>
        <w:lastRenderedPageBreak/>
        <w:t>Пројекције кретања реалног сектора у периоду 2025–2027. године</w:t>
      </w:r>
    </w:p>
    <w:p w14:paraId="367EB686" w14:textId="77777777" w:rsidR="00105AE6" w:rsidRPr="0062711C" w:rsidRDefault="00105AE6" w:rsidP="008527D6">
      <w:pPr>
        <w:spacing w:after="120"/>
        <w:rPr>
          <w:rFonts w:cstheme="minorHAnsi"/>
          <w:bCs/>
          <w:spacing w:val="-2"/>
          <w:szCs w:val="72"/>
          <w:lang w:val="sr-Cyrl-RS"/>
        </w:rPr>
      </w:pPr>
      <w:r w:rsidRPr="0062711C">
        <w:rPr>
          <w:rFonts w:cstheme="minorHAnsi"/>
          <w:bCs/>
          <w:spacing w:val="-6"/>
          <w:szCs w:val="72"/>
          <w:lang w:val="sr-Cyrl-RS"/>
        </w:rPr>
        <w:t xml:space="preserve">Очекивана средњорочна кретања реалног сектора узимају у обзир актуелне економске трендове и изгледе за Србију и међународно окружење. </w:t>
      </w:r>
      <w:r w:rsidRPr="0062711C">
        <w:rPr>
          <w:rFonts w:cstheme="minorHAnsi"/>
          <w:bCs/>
          <w:spacing w:val="-2"/>
          <w:szCs w:val="72"/>
          <w:lang w:val="sr-Cyrl-RS"/>
        </w:rPr>
        <w:t>Влада ће и у наредном периоду водити одговорну и предвидиву фискалну политику, синхронизовану са монетарном политиком</w:t>
      </w:r>
      <w:r w:rsidRPr="0062711C" w:rsidDel="000966AF">
        <w:rPr>
          <w:rFonts w:cstheme="minorHAnsi"/>
          <w:bCs/>
          <w:spacing w:val="-2"/>
          <w:szCs w:val="72"/>
          <w:lang w:val="sr-Cyrl-RS"/>
        </w:rPr>
        <w:t xml:space="preserve"> </w:t>
      </w:r>
      <w:r w:rsidRPr="0062711C">
        <w:rPr>
          <w:rFonts w:cstheme="minorHAnsi"/>
          <w:bCs/>
          <w:spacing w:val="-2"/>
          <w:szCs w:val="72"/>
          <w:lang w:val="sr-Cyrl-RS"/>
        </w:rPr>
        <w:t>и фокусирану на минимизирање негативних економских последица повећаних геополитичких тензија, али и на лоцирању нових извора раста. И овим трогодишњим сценариом Влада остаје посвећена очувању модела привредног раста који се заснива на инвестицијама и извозу, а који је подржан растом приватне потрошње и даљем расту стандарда становништва.</w:t>
      </w:r>
    </w:p>
    <w:p w14:paraId="362D0B9F" w14:textId="0D4131B6" w:rsidR="00105AE6" w:rsidRPr="0062711C" w:rsidRDefault="00105AE6" w:rsidP="008527D6">
      <w:pPr>
        <w:spacing w:after="120"/>
        <w:rPr>
          <w:rFonts w:cstheme="minorHAnsi"/>
          <w:bCs/>
          <w:spacing w:val="-2"/>
          <w:szCs w:val="72"/>
          <w:lang w:val="sr-Cyrl-RS"/>
        </w:rPr>
      </w:pPr>
      <w:r w:rsidRPr="0062711C">
        <w:rPr>
          <w:rFonts w:cstheme="minorHAnsi"/>
          <w:bCs/>
          <w:spacing w:val="-2"/>
          <w:szCs w:val="72"/>
          <w:lang w:val="sr-Cyrl-RS"/>
        </w:rPr>
        <w:t xml:space="preserve">Убрзање свих административних процедура, наставак пореског растерећењa привреде са циљем подизања њене конкурентности, потписивање споразума којима се обезбеђује очување постојећих и отварање нових ино тржишта, интензивније и ефикасније извођење инфраструктурних радова, очување енергетске стабилности уз реализацију пројеката из зелене агенде само су неке од мера које треба да обезбеде здраве фундаменте за раст БДП у условима растућих геополитичких тензија. Изградња сложене инфраструктуре у оквиру реализације програма „Скок у будућност – Србија 2027” представљаће језгро јавних инвестиција у предстојећем периоду. Организација светске изложбе и изградња потребне инфраструктуре даће значајан </w:t>
      </w:r>
      <w:r w:rsidR="00851C8B" w:rsidRPr="0062711C">
        <w:rPr>
          <w:rFonts w:cstheme="minorHAnsi"/>
          <w:bCs/>
          <w:spacing w:val="-2"/>
          <w:szCs w:val="72"/>
          <w:lang w:val="sr-Cyrl-RS"/>
        </w:rPr>
        <w:t xml:space="preserve">замајац </w:t>
      </w:r>
      <w:r w:rsidRPr="0062711C">
        <w:rPr>
          <w:rFonts w:cstheme="minorHAnsi"/>
          <w:bCs/>
          <w:spacing w:val="-2"/>
          <w:szCs w:val="72"/>
          <w:lang w:val="sr-Cyrl-RS"/>
        </w:rPr>
        <w:t xml:space="preserve">расту и даљем развоју грађевинске индустрије, туризма, угоститељства, у областима иновација, модерних технологија, науке, културе, спорта и ојачаће међународну позицију наше земље. Дигитална трансформација и изградња дигиталног екосистема остаје стратешка оријентација Владе. Наставиће се са модернизацијом и дигитализацијом која ће се огледати у даљем развоју и примени вештачке интелигенције и ширењу система суперкомпјутера, као и ширењу капацитета Државног дата центра. Истовремено, </w:t>
      </w:r>
      <w:r w:rsidR="007D6AA0" w:rsidRPr="0062711C">
        <w:rPr>
          <w:rFonts w:cstheme="minorHAnsi"/>
          <w:bCs/>
          <w:spacing w:val="-2"/>
          <w:szCs w:val="72"/>
          <w:lang w:val="sr-Cyrl-RS"/>
        </w:rPr>
        <w:t>наставља</w:t>
      </w:r>
      <w:r w:rsidRPr="0062711C">
        <w:rPr>
          <w:rFonts w:cstheme="minorHAnsi"/>
          <w:bCs/>
          <w:spacing w:val="-2"/>
          <w:szCs w:val="72"/>
          <w:lang w:val="sr-Cyrl-RS"/>
        </w:rPr>
        <w:t xml:space="preserve"> се са активностима које имају за циљ </w:t>
      </w:r>
      <w:r w:rsidRPr="0062711C">
        <w:rPr>
          <w:rFonts w:cstheme="minorHAnsi"/>
          <w:bCs/>
          <w:spacing w:val="-2"/>
          <w:szCs w:val="72"/>
          <w:lang w:val="sr-Cyrl-RS"/>
        </w:rPr>
        <w:t>убрзани развој иновационог екосистема кроз проширење постојећих научно-технолошких паркова и изградњу нових, као и унапређење услова за отварање истраживачко-развојних центара познатих светских ИТ и других компанија. Планови реиндустријализације и унапређење пољопривредне производње у наредном периоду ће уважавати захтеве заштите животне средине. Обезбеђивање енергетске безбедности и одрживих извора енергије ће бити примарни циљ енергетске стратегије и процеса декарбонизације. Ефикаснији рад државне администрације, скраћивање процедура становништву и привреди са фокусом на дигитализацију убрзаће конвергенцију наше привреде ка развијеним земљама. Систем фискализације и измене царинских прописа, смањује учешће сиве економије у укупним привредним токовима обезбеђујући повољан привредни амбијент. Механизам подстицаја СДИ и даље ће имати за циљ њихову секторску и регионалну дисперзију како би биле обезбеђене претпоставке равномерног развоја и пуне искоришћености компаративних предности.</w:t>
      </w:r>
    </w:p>
    <w:p w14:paraId="79239D89" w14:textId="77777777" w:rsidR="00105AE6" w:rsidRPr="0062711C" w:rsidRDefault="00105AE6" w:rsidP="008527D6">
      <w:pPr>
        <w:spacing w:after="120"/>
        <w:rPr>
          <w:rFonts w:cstheme="minorHAnsi"/>
          <w:bCs/>
          <w:szCs w:val="72"/>
          <w:lang w:val="sr-Cyrl-RS"/>
        </w:rPr>
      </w:pPr>
      <w:r w:rsidRPr="0062711C">
        <w:rPr>
          <w:rFonts w:cstheme="minorHAnsi"/>
          <w:bCs/>
          <w:szCs w:val="72"/>
          <w:lang w:val="sr-Cyrl-RS"/>
        </w:rPr>
        <w:t>У овом макроекономском оквиру пошло се од претпоставка да неће доћи до даље ескалације војних сукоба и додатног заоштравања међународних економских и политичких односа, да ће цене енергената остати на приближно истом нивоу као и тренутне, уз очувану сигурност снабдевања домаћих произвођача и потрошача, као и да неће доћи до значајнијих поремећаја на страни спољне тражње, пре свега у погледу споријег опоравка економије ЕУ као нашег најважнијег спољнотрговинског партнера. Такође, очекује се наставак стабилног прилива СДИ које ће обезбедити трансфер знања и технологија, као и нове продајне канале домаћим произвођачима. Неизвесност присутна код пројекција остаје висока због природе и обима шокова на глобалном нивоу. Канали преко којих они могу потенцијално деловати на домаћу привреду су бројни, често ланчано повезани, а сама јачина потенцијалних шокова је таква да у великој мери могу утицати на средњорочна кретања.</w:t>
      </w:r>
    </w:p>
    <w:p w14:paraId="665F9B9C" w14:textId="77777777" w:rsidR="00105AE6" w:rsidRPr="0062711C" w:rsidRDefault="00105AE6" w:rsidP="00FA6BD0">
      <w:pPr>
        <w:jc w:val="center"/>
        <w:rPr>
          <w:rFonts w:cstheme="minorHAnsi"/>
          <w:b/>
          <w:color w:val="002060"/>
          <w:lang w:val="sr-Cyrl-RS"/>
        </w:rPr>
        <w:sectPr w:rsidR="00105AE6" w:rsidRPr="0062711C" w:rsidSect="00F45C01">
          <w:footerReference w:type="default" r:id="rId83"/>
          <w:headerReference w:type="first" r:id="rId84"/>
          <w:type w:val="continuous"/>
          <w:pgSz w:w="12240" w:h="15840" w:code="1"/>
          <w:pgMar w:top="1440" w:right="1440" w:bottom="1440" w:left="1440" w:header="720" w:footer="720" w:gutter="0"/>
          <w:cols w:num="2" w:space="720"/>
          <w:docGrid w:linePitch="360"/>
        </w:sectPr>
      </w:pPr>
    </w:p>
    <w:p w14:paraId="7CE19FD6" w14:textId="77777777" w:rsidR="00105AE6" w:rsidRPr="0062711C" w:rsidRDefault="00105AE6">
      <w:pPr>
        <w:rPr>
          <w:lang w:val="sr-Cyrl-RS"/>
        </w:rPr>
      </w:pPr>
      <w:r w:rsidRPr="0062711C">
        <w:rPr>
          <w:lang w:val="sr-Cyrl-RS"/>
        </w:rPr>
        <w:br w:type="page"/>
      </w:r>
    </w:p>
    <w:tbl>
      <w:tblPr>
        <w:tblStyle w:val="TableGrid"/>
        <w:tblW w:w="4954" w:type="pct"/>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3"/>
        <w:gridCol w:w="923"/>
        <w:gridCol w:w="924"/>
        <w:gridCol w:w="939"/>
        <w:gridCol w:w="939"/>
        <w:gridCol w:w="946"/>
      </w:tblGrid>
      <w:tr w:rsidR="00105AE6" w:rsidRPr="0062711C" w14:paraId="6B237F25" w14:textId="77777777" w:rsidTr="005C539B">
        <w:trPr>
          <w:trHeight w:val="349"/>
        </w:trPr>
        <w:tc>
          <w:tcPr>
            <w:tcW w:w="5000" w:type="pct"/>
            <w:gridSpan w:val="6"/>
            <w:tcBorders>
              <w:bottom w:val="single" w:sz="4" w:space="0" w:color="002060"/>
            </w:tcBorders>
            <w:shd w:val="clear" w:color="auto" w:fill="auto"/>
            <w:vAlign w:val="center"/>
          </w:tcPr>
          <w:p w14:paraId="76BDD1B8" w14:textId="77777777" w:rsidR="00105AE6" w:rsidRPr="0062711C" w:rsidRDefault="00105AE6" w:rsidP="00FA6BD0">
            <w:pPr>
              <w:jc w:val="center"/>
              <w:rPr>
                <w:rFonts w:cstheme="minorHAnsi"/>
                <w:b/>
                <w:color w:val="002060"/>
                <w:sz w:val="16"/>
                <w:lang w:val="sr-Cyrl-RS"/>
              </w:rPr>
            </w:pPr>
            <w:r w:rsidRPr="0062711C">
              <w:rPr>
                <w:rFonts w:cstheme="minorHAnsi"/>
                <w:b/>
                <w:color w:val="002060"/>
                <w:lang w:val="sr-Cyrl-RS"/>
              </w:rPr>
              <w:lastRenderedPageBreak/>
              <w:t>Табела 4. Пројекција основних макроекономских показатеља Републике Србије</w:t>
            </w:r>
          </w:p>
        </w:tc>
      </w:tr>
      <w:tr w:rsidR="00105AE6" w:rsidRPr="0062711C" w14:paraId="588C54CF" w14:textId="77777777" w:rsidTr="005C539B">
        <w:tc>
          <w:tcPr>
            <w:tcW w:w="2482" w:type="pct"/>
            <w:tcBorders>
              <w:top w:val="single" w:sz="4" w:space="0" w:color="002060"/>
              <w:bottom w:val="single" w:sz="2" w:space="0" w:color="FFFFFF" w:themeColor="background1"/>
            </w:tcBorders>
            <w:shd w:val="clear" w:color="auto" w:fill="auto"/>
          </w:tcPr>
          <w:p w14:paraId="4BD19FA8" w14:textId="77777777" w:rsidR="00105AE6" w:rsidRPr="0062711C" w:rsidRDefault="00105AE6" w:rsidP="00C130D2">
            <w:pPr>
              <w:rPr>
                <w:rFonts w:cstheme="minorHAnsi"/>
                <w:color w:val="002060"/>
                <w:sz w:val="18"/>
                <w:lang w:val="sr-Cyrl-RS"/>
              </w:rPr>
            </w:pPr>
          </w:p>
        </w:tc>
        <w:tc>
          <w:tcPr>
            <w:tcW w:w="498" w:type="pct"/>
            <w:tcBorders>
              <w:top w:val="single" w:sz="4" w:space="0" w:color="002060"/>
              <w:bottom w:val="single" w:sz="4" w:space="0" w:color="FFFFFF" w:themeColor="background1"/>
            </w:tcBorders>
            <w:shd w:val="clear" w:color="auto" w:fill="auto"/>
          </w:tcPr>
          <w:p w14:paraId="43E6DB8E" w14:textId="77777777" w:rsidR="00105AE6" w:rsidRPr="0062711C" w:rsidRDefault="00105AE6" w:rsidP="00C130D2">
            <w:pPr>
              <w:jc w:val="center"/>
              <w:rPr>
                <w:rFonts w:cstheme="minorHAnsi"/>
                <w:color w:val="002060"/>
                <w:sz w:val="18"/>
                <w:lang w:val="sr-Cyrl-RS"/>
              </w:rPr>
            </w:pPr>
            <w:r w:rsidRPr="0062711C">
              <w:rPr>
                <w:rFonts w:cstheme="minorHAnsi"/>
                <w:color w:val="002060"/>
                <w:sz w:val="18"/>
                <w:lang w:val="sr-Cyrl-RS"/>
              </w:rPr>
              <w:t>Процена</w:t>
            </w:r>
          </w:p>
        </w:tc>
        <w:tc>
          <w:tcPr>
            <w:tcW w:w="498" w:type="pct"/>
            <w:tcBorders>
              <w:top w:val="single" w:sz="4" w:space="0" w:color="002060"/>
              <w:bottom w:val="single" w:sz="2" w:space="0" w:color="FFFFFF" w:themeColor="background1"/>
            </w:tcBorders>
            <w:shd w:val="clear" w:color="auto" w:fill="auto"/>
          </w:tcPr>
          <w:p w14:paraId="0A81A32B" w14:textId="77777777" w:rsidR="00105AE6" w:rsidRPr="0062711C" w:rsidRDefault="00105AE6" w:rsidP="00C130D2">
            <w:pPr>
              <w:jc w:val="center"/>
              <w:rPr>
                <w:rFonts w:cstheme="minorHAnsi"/>
                <w:color w:val="002060"/>
                <w:sz w:val="18"/>
                <w:lang w:val="sr-Cyrl-RS"/>
              </w:rPr>
            </w:pPr>
          </w:p>
        </w:tc>
        <w:tc>
          <w:tcPr>
            <w:tcW w:w="1523" w:type="pct"/>
            <w:gridSpan w:val="3"/>
            <w:tcBorders>
              <w:top w:val="single" w:sz="4" w:space="0" w:color="002060"/>
              <w:bottom w:val="single" w:sz="4" w:space="0" w:color="FFFFFF" w:themeColor="background1"/>
            </w:tcBorders>
            <w:shd w:val="clear" w:color="auto" w:fill="auto"/>
          </w:tcPr>
          <w:p w14:paraId="2A5D4E29" w14:textId="77777777" w:rsidR="00105AE6" w:rsidRPr="0062711C" w:rsidRDefault="00105AE6" w:rsidP="00C130D2">
            <w:pPr>
              <w:jc w:val="center"/>
              <w:rPr>
                <w:rFonts w:cstheme="minorHAnsi"/>
                <w:color w:val="002060"/>
                <w:sz w:val="18"/>
                <w:lang w:val="sr-Cyrl-RS"/>
              </w:rPr>
            </w:pPr>
            <w:r w:rsidRPr="0062711C">
              <w:rPr>
                <w:rFonts w:cstheme="minorHAnsi"/>
                <w:color w:val="002060"/>
                <w:sz w:val="18"/>
                <w:lang w:val="sr-Cyrl-RS"/>
              </w:rPr>
              <w:t>Пројекције</w:t>
            </w:r>
          </w:p>
        </w:tc>
      </w:tr>
      <w:tr w:rsidR="00105AE6" w:rsidRPr="0062711C" w14:paraId="30ABB1A0" w14:textId="77777777" w:rsidTr="005C539B">
        <w:tc>
          <w:tcPr>
            <w:tcW w:w="2482" w:type="pct"/>
            <w:tcBorders>
              <w:top w:val="single" w:sz="2" w:space="0" w:color="FFFFFF" w:themeColor="background1"/>
            </w:tcBorders>
            <w:shd w:val="clear" w:color="auto" w:fill="auto"/>
          </w:tcPr>
          <w:p w14:paraId="1A9E61D8" w14:textId="77777777" w:rsidR="00105AE6" w:rsidRPr="0062711C" w:rsidRDefault="00105AE6" w:rsidP="00C130D2">
            <w:pPr>
              <w:ind w:left="-15"/>
              <w:rPr>
                <w:rFonts w:cstheme="minorHAnsi"/>
                <w:color w:val="002060"/>
                <w:sz w:val="18"/>
                <w:szCs w:val="18"/>
                <w:lang w:val="sr-Cyrl-RS"/>
              </w:rPr>
            </w:pPr>
          </w:p>
        </w:tc>
        <w:tc>
          <w:tcPr>
            <w:tcW w:w="498" w:type="pct"/>
            <w:tcBorders>
              <w:top w:val="single" w:sz="4" w:space="0" w:color="FFFFFF" w:themeColor="background1"/>
              <w:bottom w:val="single" w:sz="4" w:space="0" w:color="auto"/>
            </w:tcBorders>
            <w:shd w:val="clear" w:color="auto" w:fill="auto"/>
          </w:tcPr>
          <w:p w14:paraId="491C4A60" w14:textId="77777777" w:rsidR="00105AE6" w:rsidRPr="0062711C" w:rsidRDefault="00105AE6" w:rsidP="00C130D2">
            <w:pPr>
              <w:jc w:val="center"/>
              <w:rPr>
                <w:rFonts w:cstheme="minorHAnsi"/>
                <w:color w:val="002060"/>
                <w:sz w:val="18"/>
                <w:szCs w:val="18"/>
                <w:lang w:val="sr-Cyrl-RS"/>
              </w:rPr>
            </w:pPr>
            <w:r w:rsidRPr="0062711C">
              <w:rPr>
                <w:rFonts w:cstheme="minorHAnsi"/>
                <w:color w:val="002060"/>
                <w:sz w:val="18"/>
                <w:lang w:val="sr-Cyrl-RS"/>
              </w:rPr>
              <w:t>2024</w:t>
            </w:r>
          </w:p>
        </w:tc>
        <w:tc>
          <w:tcPr>
            <w:tcW w:w="498" w:type="pct"/>
            <w:tcBorders>
              <w:top w:val="single" w:sz="2" w:space="0" w:color="FFFFFF" w:themeColor="background1"/>
            </w:tcBorders>
            <w:shd w:val="clear" w:color="auto" w:fill="auto"/>
          </w:tcPr>
          <w:p w14:paraId="5D5E1379" w14:textId="77777777" w:rsidR="00105AE6" w:rsidRPr="0062711C" w:rsidRDefault="00105AE6" w:rsidP="00C130D2">
            <w:pPr>
              <w:jc w:val="center"/>
              <w:rPr>
                <w:rFonts w:cstheme="minorHAnsi"/>
                <w:color w:val="002060"/>
                <w:sz w:val="18"/>
                <w:szCs w:val="18"/>
                <w:lang w:val="sr-Cyrl-RS"/>
              </w:rPr>
            </w:pPr>
          </w:p>
        </w:tc>
        <w:tc>
          <w:tcPr>
            <w:tcW w:w="506" w:type="pct"/>
            <w:tcBorders>
              <w:top w:val="single" w:sz="4" w:space="0" w:color="FFFFFF" w:themeColor="background1"/>
              <w:bottom w:val="single" w:sz="4" w:space="0" w:color="auto"/>
            </w:tcBorders>
            <w:shd w:val="clear" w:color="auto" w:fill="auto"/>
          </w:tcPr>
          <w:p w14:paraId="7D1DF78C" w14:textId="77777777" w:rsidR="00105AE6" w:rsidRPr="0062711C" w:rsidRDefault="00105AE6" w:rsidP="00C130D2">
            <w:pPr>
              <w:jc w:val="center"/>
              <w:rPr>
                <w:rFonts w:cstheme="minorHAnsi"/>
                <w:color w:val="002060"/>
                <w:sz w:val="18"/>
                <w:szCs w:val="18"/>
                <w:lang w:val="sr-Cyrl-RS"/>
              </w:rPr>
            </w:pPr>
            <w:r w:rsidRPr="0062711C">
              <w:rPr>
                <w:rFonts w:cstheme="minorHAnsi"/>
                <w:color w:val="002060"/>
                <w:sz w:val="18"/>
                <w:lang w:val="sr-Cyrl-RS"/>
              </w:rPr>
              <w:t>2025</w:t>
            </w:r>
          </w:p>
        </w:tc>
        <w:tc>
          <w:tcPr>
            <w:tcW w:w="506" w:type="pct"/>
            <w:tcBorders>
              <w:top w:val="single" w:sz="4" w:space="0" w:color="FFFFFF" w:themeColor="background1"/>
              <w:bottom w:val="single" w:sz="4" w:space="0" w:color="auto"/>
            </w:tcBorders>
            <w:shd w:val="clear" w:color="auto" w:fill="auto"/>
          </w:tcPr>
          <w:p w14:paraId="01AEB9F6" w14:textId="77777777" w:rsidR="00105AE6" w:rsidRPr="0062711C" w:rsidRDefault="00105AE6" w:rsidP="00C130D2">
            <w:pPr>
              <w:jc w:val="center"/>
              <w:rPr>
                <w:rFonts w:cstheme="minorHAnsi"/>
                <w:color w:val="002060"/>
                <w:sz w:val="18"/>
                <w:szCs w:val="18"/>
                <w:lang w:val="sr-Cyrl-RS"/>
              </w:rPr>
            </w:pPr>
            <w:r w:rsidRPr="0062711C">
              <w:rPr>
                <w:rFonts w:cstheme="minorHAnsi"/>
                <w:color w:val="002060"/>
                <w:sz w:val="18"/>
                <w:lang w:val="sr-Cyrl-RS"/>
              </w:rPr>
              <w:t>2026</w:t>
            </w:r>
          </w:p>
        </w:tc>
        <w:tc>
          <w:tcPr>
            <w:tcW w:w="510" w:type="pct"/>
            <w:tcBorders>
              <w:top w:val="single" w:sz="4" w:space="0" w:color="FFFFFF" w:themeColor="background1"/>
              <w:bottom w:val="single" w:sz="4" w:space="0" w:color="auto"/>
            </w:tcBorders>
            <w:shd w:val="clear" w:color="auto" w:fill="auto"/>
          </w:tcPr>
          <w:p w14:paraId="2720CED6" w14:textId="77777777" w:rsidR="00105AE6" w:rsidRPr="0062711C" w:rsidRDefault="00105AE6" w:rsidP="00C130D2">
            <w:pPr>
              <w:jc w:val="center"/>
              <w:rPr>
                <w:rFonts w:cstheme="minorHAnsi"/>
                <w:color w:val="002060"/>
                <w:sz w:val="18"/>
                <w:szCs w:val="18"/>
                <w:lang w:val="sr-Cyrl-RS"/>
              </w:rPr>
            </w:pPr>
            <w:r w:rsidRPr="0062711C">
              <w:rPr>
                <w:rFonts w:cstheme="minorHAnsi"/>
                <w:color w:val="002060"/>
                <w:sz w:val="18"/>
                <w:lang w:val="sr-Cyrl-RS"/>
              </w:rPr>
              <w:t>2027</w:t>
            </w:r>
          </w:p>
        </w:tc>
      </w:tr>
      <w:tr w:rsidR="00105AE6" w:rsidRPr="0062711C" w14:paraId="3026B121" w14:textId="77777777" w:rsidTr="005C539B">
        <w:tc>
          <w:tcPr>
            <w:tcW w:w="2482" w:type="pct"/>
            <w:tcBorders>
              <w:top w:val="single" w:sz="2" w:space="0" w:color="FFFFFF" w:themeColor="background1"/>
            </w:tcBorders>
            <w:shd w:val="clear" w:color="auto" w:fill="auto"/>
          </w:tcPr>
          <w:p w14:paraId="45CA155A" w14:textId="77777777" w:rsidR="00105AE6" w:rsidRPr="0062711C" w:rsidRDefault="00105AE6" w:rsidP="005C539B">
            <w:pPr>
              <w:ind w:left="-15"/>
              <w:rPr>
                <w:rFonts w:cstheme="minorHAnsi"/>
                <w:color w:val="002060"/>
                <w:sz w:val="18"/>
                <w:szCs w:val="18"/>
                <w:lang w:val="sr-Cyrl-RS"/>
              </w:rPr>
            </w:pPr>
            <w:r w:rsidRPr="0062711C">
              <w:rPr>
                <w:rFonts w:cstheme="minorHAnsi"/>
                <w:color w:val="002060"/>
                <w:sz w:val="18"/>
                <w:szCs w:val="18"/>
                <w:lang w:val="sr-Cyrl-RS"/>
              </w:rPr>
              <w:t>БДП, млрд динара (текуће цене)</w:t>
            </w:r>
          </w:p>
        </w:tc>
        <w:tc>
          <w:tcPr>
            <w:tcW w:w="498" w:type="pct"/>
            <w:tcBorders>
              <w:top w:val="single" w:sz="4" w:space="0" w:color="auto"/>
            </w:tcBorders>
            <w:shd w:val="clear" w:color="auto" w:fill="auto"/>
          </w:tcPr>
          <w:p w14:paraId="74A1E972"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8.946,2</w:t>
            </w:r>
          </w:p>
        </w:tc>
        <w:tc>
          <w:tcPr>
            <w:tcW w:w="498" w:type="pct"/>
            <w:tcBorders>
              <w:top w:val="single" w:sz="2" w:space="0" w:color="FFFFFF" w:themeColor="background1"/>
            </w:tcBorders>
            <w:shd w:val="clear" w:color="auto" w:fill="auto"/>
          </w:tcPr>
          <w:p w14:paraId="0285ACC2"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center"/>
          </w:tcPr>
          <w:p w14:paraId="5D414925"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9.628,9</w:t>
            </w:r>
          </w:p>
        </w:tc>
        <w:tc>
          <w:tcPr>
            <w:tcW w:w="506" w:type="pct"/>
            <w:tcBorders>
              <w:top w:val="nil"/>
              <w:left w:val="nil"/>
              <w:bottom w:val="nil"/>
              <w:right w:val="nil"/>
            </w:tcBorders>
            <w:shd w:val="clear" w:color="auto" w:fill="auto"/>
            <w:vAlign w:val="center"/>
          </w:tcPr>
          <w:p w14:paraId="2C9FF2E7"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10.333,6</w:t>
            </w:r>
          </w:p>
        </w:tc>
        <w:tc>
          <w:tcPr>
            <w:tcW w:w="510" w:type="pct"/>
            <w:tcBorders>
              <w:top w:val="nil"/>
              <w:left w:val="nil"/>
              <w:bottom w:val="nil"/>
              <w:right w:val="nil"/>
            </w:tcBorders>
            <w:shd w:val="clear" w:color="auto" w:fill="auto"/>
            <w:vAlign w:val="center"/>
          </w:tcPr>
          <w:p w14:paraId="0F3645F6"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11.087,3</w:t>
            </w:r>
          </w:p>
        </w:tc>
      </w:tr>
      <w:tr w:rsidR="00105AE6" w:rsidRPr="0062711C" w14:paraId="4BFBE4DF" w14:textId="77777777" w:rsidTr="005C539B">
        <w:tc>
          <w:tcPr>
            <w:tcW w:w="2482" w:type="pct"/>
            <w:shd w:val="clear" w:color="auto" w:fill="auto"/>
          </w:tcPr>
          <w:p w14:paraId="576612C2" w14:textId="77777777" w:rsidR="00105AE6" w:rsidRPr="0062711C" w:rsidRDefault="00105AE6" w:rsidP="005C539B">
            <w:pPr>
              <w:ind w:left="-15"/>
              <w:rPr>
                <w:rFonts w:cstheme="minorHAnsi"/>
                <w:color w:val="002060"/>
                <w:sz w:val="18"/>
                <w:szCs w:val="18"/>
                <w:lang w:val="sr-Cyrl-RS"/>
              </w:rPr>
            </w:pPr>
            <w:r w:rsidRPr="0062711C">
              <w:rPr>
                <w:rFonts w:cstheme="minorHAnsi"/>
                <w:color w:val="002060"/>
                <w:sz w:val="18"/>
                <w:szCs w:val="18"/>
                <w:lang w:val="sr-Cyrl-RS"/>
              </w:rPr>
              <w:t>Реални раст БДП, %</w:t>
            </w:r>
          </w:p>
        </w:tc>
        <w:tc>
          <w:tcPr>
            <w:tcW w:w="498" w:type="pct"/>
            <w:shd w:val="clear" w:color="auto" w:fill="auto"/>
          </w:tcPr>
          <w:p w14:paraId="01EA792B"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3,8</w:t>
            </w:r>
          </w:p>
        </w:tc>
        <w:tc>
          <w:tcPr>
            <w:tcW w:w="498" w:type="pct"/>
            <w:shd w:val="clear" w:color="auto" w:fill="auto"/>
          </w:tcPr>
          <w:p w14:paraId="1B370E30" w14:textId="77777777" w:rsidR="00105AE6" w:rsidRPr="0062711C" w:rsidRDefault="00105AE6" w:rsidP="005C539B">
            <w:pPr>
              <w:jc w:val="center"/>
              <w:rPr>
                <w:rFonts w:cstheme="minorHAnsi"/>
                <w:color w:val="002060"/>
                <w:sz w:val="18"/>
                <w:szCs w:val="18"/>
                <w:lang w:val="sr-Cyrl-RS"/>
              </w:rPr>
            </w:pPr>
          </w:p>
        </w:tc>
        <w:tc>
          <w:tcPr>
            <w:tcW w:w="506" w:type="pct"/>
            <w:shd w:val="clear" w:color="auto" w:fill="auto"/>
            <w:vAlign w:val="center"/>
          </w:tcPr>
          <w:p w14:paraId="2A27F752"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4,2</w:t>
            </w:r>
          </w:p>
        </w:tc>
        <w:tc>
          <w:tcPr>
            <w:tcW w:w="506" w:type="pct"/>
            <w:shd w:val="clear" w:color="auto" w:fill="auto"/>
            <w:vAlign w:val="center"/>
          </w:tcPr>
          <w:p w14:paraId="5A47D1E4"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4,0</w:t>
            </w:r>
          </w:p>
        </w:tc>
        <w:tc>
          <w:tcPr>
            <w:tcW w:w="510" w:type="pct"/>
            <w:shd w:val="clear" w:color="auto" w:fill="auto"/>
            <w:vAlign w:val="center"/>
          </w:tcPr>
          <w:p w14:paraId="104BEE26"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4,0</w:t>
            </w:r>
          </w:p>
        </w:tc>
      </w:tr>
      <w:tr w:rsidR="00105AE6" w:rsidRPr="0062711C" w14:paraId="021AD879" w14:textId="77777777" w:rsidTr="005C539B">
        <w:tc>
          <w:tcPr>
            <w:tcW w:w="2482" w:type="pct"/>
            <w:shd w:val="clear" w:color="auto" w:fill="auto"/>
          </w:tcPr>
          <w:p w14:paraId="19881A47" w14:textId="77777777" w:rsidR="00105AE6" w:rsidRPr="0062711C" w:rsidRDefault="00105AE6" w:rsidP="005C539B">
            <w:pPr>
              <w:ind w:left="-15"/>
              <w:rPr>
                <w:rFonts w:cstheme="minorHAnsi"/>
                <w:color w:val="002060"/>
                <w:sz w:val="18"/>
                <w:szCs w:val="18"/>
                <w:lang w:val="sr-Cyrl-RS"/>
              </w:rPr>
            </w:pPr>
            <w:r w:rsidRPr="0062711C">
              <w:rPr>
                <w:rFonts w:cstheme="minorHAnsi"/>
                <w:color w:val="002060"/>
                <w:sz w:val="18"/>
                <w:szCs w:val="18"/>
                <w:lang w:val="sr-Cyrl-RS"/>
              </w:rPr>
              <w:t>Дефлатор БДП, %</w:t>
            </w:r>
          </w:p>
        </w:tc>
        <w:tc>
          <w:tcPr>
            <w:tcW w:w="498" w:type="pct"/>
            <w:shd w:val="clear" w:color="auto" w:fill="auto"/>
          </w:tcPr>
          <w:p w14:paraId="1564D26A"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5,7</w:t>
            </w:r>
          </w:p>
        </w:tc>
        <w:tc>
          <w:tcPr>
            <w:tcW w:w="498" w:type="pct"/>
            <w:shd w:val="clear" w:color="auto" w:fill="auto"/>
          </w:tcPr>
          <w:p w14:paraId="57E8DDF6"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1B97FBB7"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3,3</w:t>
            </w:r>
          </w:p>
        </w:tc>
        <w:tc>
          <w:tcPr>
            <w:tcW w:w="506" w:type="pct"/>
            <w:tcBorders>
              <w:top w:val="nil"/>
              <w:left w:val="nil"/>
              <w:bottom w:val="nil"/>
              <w:right w:val="nil"/>
            </w:tcBorders>
            <w:shd w:val="clear" w:color="auto" w:fill="auto"/>
            <w:vAlign w:val="bottom"/>
          </w:tcPr>
          <w:p w14:paraId="30A04AB0"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3,2</w:t>
            </w:r>
          </w:p>
        </w:tc>
        <w:tc>
          <w:tcPr>
            <w:tcW w:w="510" w:type="pct"/>
            <w:tcBorders>
              <w:top w:val="nil"/>
              <w:left w:val="nil"/>
              <w:bottom w:val="nil"/>
              <w:right w:val="nil"/>
            </w:tcBorders>
            <w:shd w:val="clear" w:color="auto" w:fill="auto"/>
            <w:vAlign w:val="bottom"/>
          </w:tcPr>
          <w:p w14:paraId="105E060D"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3,1</w:t>
            </w:r>
          </w:p>
        </w:tc>
      </w:tr>
      <w:tr w:rsidR="00105AE6" w:rsidRPr="0062711C" w14:paraId="3B7F197D" w14:textId="77777777" w:rsidTr="005C539B">
        <w:tc>
          <w:tcPr>
            <w:tcW w:w="2482" w:type="pct"/>
            <w:shd w:val="clear" w:color="auto" w:fill="E7E6E6" w:themeFill="background2"/>
          </w:tcPr>
          <w:p w14:paraId="5AEF52D4" w14:textId="77777777" w:rsidR="00105AE6" w:rsidRPr="0062711C" w:rsidRDefault="00105AE6" w:rsidP="005C539B">
            <w:pPr>
              <w:jc w:val="center"/>
              <w:rPr>
                <w:rFonts w:cstheme="minorHAnsi"/>
                <w:color w:val="002060"/>
                <w:sz w:val="18"/>
                <w:szCs w:val="18"/>
                <w:lang w:val="sr-Cyrl-RS"/>
              </w:rPr>
            </w:pPr>
          </w:p>
        </w:tc>
        <w:tc>
          <w:tcPr>
            <w:tcW w:w="498" w:type="pct"/>
            <w:shd w:val="clear" w:color="auto" w:fill="E7E6E6" w:themeFill="background2"/>
          </w:tcPr>
          <w:p w14:paraId="2A4963B0" w14:textId="77777777" w:rsidR="00105AE6" w:rsidRPr="0062711C" w:rsidRDefault="00105AE6" w:rsidP="005C539B">
            <w:pPr>
              <w:jc w:val="center"/>
              <w:rPr>
                <w:rFonts w:cstheme="minorHAnsi"/>
                <w:color w:val="002060"/>
                <w:sz w:val="18"/>
                <w:szCs w:val="18"/>
                <w:lang w:val="sr-Cyrl-RS"/>
              </w:rPr>
            </w:pPr>
          </w:p>
        </w:tc>
        <w:tc>
          <w:tcPr>
            <w:tcW w:w="498" w:type="pct"/>
            <w:shd w:val="clear" w:color="auto" w:fill="E7E6E6" w:themeFill="background2"/>
          </w:tcPr>
          <w:p w14:paraId="5C822B28" w14:textId="77777777" w:rsidR="00105AE6" w:rsidRPr="0062711C" w:rsidRDefault="00105AE6" w:rsidP="005C539B">
            <w:pPr>
              <w:jc w:val="center"/>
              <w:rPr>
                <w:rFonts w:cstheme="minorHAnsi"/>
                <w:color w:val="002060"/>
                <w:sz w:val="18"/>
                <w:szCs w:val="18"/>
                <w:lang w:val="sr-Cyrl-RS"/>
              </w:rPr>
            </w:pPr>
          </w:p>
        </w:tc>
        <w:tc>
          <w:tcPr>
            <w:tcW w:w="506" w:type="pct"/>
            <w:shd w:val="clear" w:color="auto" w:fill="E7E6E6" w:themeFill="background2"/>
          </w:tcPr>
          <w:p w14:paraId="08BE7DAB" w14:textId="77777777" w:rsidR="00105AE6" w:rsidRPr="0062711C" w:rsidRDefault="00105AE6" w:rsidP="005C539B">
            <w:pPr>
              <w:jc w:val="center"/>
              <w:rPr>
                <w:rFonts w:cstheme="minorHAnsi"/>
                <w:color w:val="002060"/>
                <w:sz w:val="18"/>
                <w:szCs w:val="18"/>
                <w:lang w:val="sr-Cyrl-RS"/>
              </w:rPr>
            </w:pPr>
          </w:p>
        </w:tc>
        <w:tc>
          <w:tcPr>
            <w:tcW w:w="506" w:type="pct"/>
            <w:shd w:val="clear" w:color="auto" w:fill="E7E6E6" w:themeFill="background2"/>
          </w:tcPr>
          <w:p w14:paraId="0EE7BE53" w14:textId="77777777" w:rsidR="00105AE6" w:rsidRPr="0062711C" w:rsidRDefault="00105AE6" w:rsidP="005C539B">
            <w:pPr>
              <w:jc w:val="center"/>
              <w:rPr>
                <w:rFonts w:cstheme="minorHAnsi"/>
                <w:color w:val="002060"/>
                <w:sz w:val="18"/>
                <w:szCs w:val="18"/>
                <w:lang w:val="sr-Cyrl-RS"/>
              </w:rPr>
            </w:pPr>
          </w:p>
        </w:tc>
        <w:tc>
          <w:tcPr>
            <w:tcW w:w="510" w:type="pct"/>
            <w:shd w:val="clear" w:color="auto" w:fill="E7E6E6" w:themeFill="background2"/>
          </w:tcPr>
          <w:p w14:paraId="6B7D2847" w14:textId="77777777" w:rsidR="00105AE6" w:rsidRPr="0062711C" w:rsidRDefault="00105AE6" w:rsidP="005C539B">
            <w:pPr>
              <w:jc w:val="center"/>
              <w:rPr>
                <w:rFonts w:cstheme="minorHAnsi"/>
                <w:color w:val="002060"/>
                <w:sz w:val="18"/>
                <w:szCs w:val="18"/>
                <w:lang w:val="sr-Cyrl-RS"/>
              </w:rPr>
            </w:pPr>
          </w:p>
        </w:tc>
      </w:tr>
      <w:tr w:rsidR="00105AE6" w:rsidRPr="0062711C" w14:paraId="6452A251" w14:textId="77777777" w:rsidTr="005C539B">
        <w:tc>
          <w:tcPr>
            <w:tcW w:w="2482" w:type="pct"/>
            <w:shd w:val="clear" w:color="auto" w:fill="auto"/>
          </w:tcPr>
          <w:p w14:paraId="1601A741" w14:textId="77777777" w:rsidR="00105AE6" w:rsidRPr="0062711C" w:rsidRDefault="00105AE6" w:rsidP="005C539B">
            <w:pPr>
              <w:ind w:left="256"/>
              <w:rPr>
                <w:rFonts w:cstheme="minorHAnsi"/>
                <w:color w:val="002060"/>
                <w:sz w:val="18"/>
                <w:szCs w:val="18"/>
                <w:lang w:val="sr-Cyrl-RS"/>
              </w:rPr>
            </w:pPr>
            <w:r w:rsidRPr="0062711C">
              <w:rPr>
                <w:rFonts w:cstheme="minorHAnsi"/>
                <w:color w:val="002060"/>
                <w:sz w:val="18"/>
                <w:szCs w:val="18"/>
                <w:lang w:val="sr-Cyrl-RS"/>
              </w:rPr>
              <w:t>Лична потрошња</w:t>
            </w:r>
          </w:p>
        </w:tc>
        <w:tc>
          <w:tcPr>
            <w:tcW w:w="498" w:type="pct"/>
            <w:shd w:val="clear" w:color="auto" w:fill="auto"/>
          </w:tcPr>
          <w:p w14:paraId="587A3018"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4,5</w:t>
            </w:r>
          </w:p>
        </w:tc>
        <w:tc>
          <w:tcPr>
            <w:tcW w:w="498" w:type="pct"/>
            <w:shd w:val="clear" w:color="auto" w:fill="auto"/>
          </w:tcPr>
          <w:p w14:paraId="6293ED7F"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600B06BD"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3,9</w:t>
            </w:r>
          </w:p>
        </w:tc>
        <w:tc>
          <w:tcPr>
            <w:tcW w:w="506" w:type="pct"/>
            <w:tcBorders>
              <w:top w:val="nil"/>
              <w:left w:val="nil"/>
              <w:bottom w:val="nil"/>
              <w:right w:val="nil"/>
            </w:tcBorders>
            <w:shd w:val="clear" w:color="auto" w:fill="auto"/>
            <w:vAlign w:val="bottom"/>
          </w:tcPr>
          <w:p w14:paraId="220E6631"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3,0</w:t>
            </w:r>
          </w:p>
        </w:tc>
        <w:tc>
          <w:tcPr>
            <w:tcW w:w="510" w:type="pct"/>
            <w:tcBorders>
              <w:top w:val="nil"/>
              <w:left w:val="nil"/>
              <w:bottom w:val="nil"/>
              <w:right w:val="nil"/>
            </w:tcBorders>
            <w:shd w:val="clear" w:color="auto" w:fill="auto"/>
            <w:vAlign w:val="bottom"/>
          </w:tcPr>
          <w:p w14:paraId="1D731E00"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2,6</w:t>
            </w:r>
          </w:p>
        </w:tc>
      </w:tr>
      <w:tr w:rsidR="00105AE6" w:rsidRPr="0062711C" w14:paraId="724D1F56" w14:textId="77777777" w:rsidTr="005C539B">
        <w:tc>
          <w:tcPr>
            <w:tcW w:w="2482" w:type="pct"/>
            <w:shd w:val="clear" w:color="auto" w:fill="auto"/>
          </w:tcPr>
          <w:p w14:paraId="5129DFBB" w14:textId="77777777" w:rsidR="00105AE6" w:rsidRPr="0062711C" w:rsidRDefault="00105AE6" w:rsidP="005C539B">
            <w:pPr>
              <w:ind w:left="256"/>
              <w:rPr>
                <w:rFonts w:cstheme="minorHAnsi"/>
                <w:color w:val="002060"/>
                <w:sz w:val="18"/>
                <w:szCs w:val="18"/>
                <w:lang w:val="sr-Cyrl-RS"/>
              </w:rPr>
            </w:pPr>
            <w:r w:rsidRPr="0062711C">
              <w:rPr>
                <w:rFonts w:cstheme="minorHAnsi"/>
                <w:color w:val="002060"/>
                <w:sz w:val="18"/>
                <w:szCs w:val="18"/>
                <w:lang w:val="sr-Cyrl-RS"/>
              </w:rPr>
              <w:t>Државна потрошња</w:t>
            </w:r>
          </w:p>
        </w:tc>
        <w:tc>
          <w:tcPr>
            <w:tcW w:w="498" w:type="pct"/>
            <w:shd w:val="clear" w:color="auto" w:fill="auto"/>
          </w:tcPr>
          <w:p w14:paraId="4E78EEC3"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2,4</w:t>
            </w:r>
          </w:p>
        </w:tc>
        <w:tc>
          <w:tcPr>
            <w:tcW w:w="498" w:type="pct"/>
            <w:shd w:val="clear" w:color="auto" w:fill="auto"/>
          </w:tcPr>
          <w:p w14:paraId="106C82EA"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2DE6F6D8"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2,1</w:t>
            </w:r>
          </w:p>
        </w:tc>
        <w:tc>
          <w:tcPr>
            <w:tcW w:w="506" w:type="pct"/>
            <w:tcBorders>
              <w:top w:val="nil"/>
              <w:left w:val="nil"/>
              <w:bottom w:val="nil"/>
              <w:right w:val="nil"/>
            </w:tcBorders>
            <w:shd w:val="clear" w:color="auto" w:fill="auto"/>
            <w:vAlign w:val="bottom"/>
          </w:tcPr>
          <w:p w14:paraId="109879EA"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2,3</w:t>
            </w:r>
          </w:p>
        </w:tc>
        <w:tc>
          <w:tcPr>
            <w:tcW w:w="510" w:type="pct"/>
            <w:tcBorders>
              <w:top w:val="nil"/>
              <w:left w:val="nil"/>
              <w:bottom w:val="nil"/>
              <w:right w:val="nil"/>
            </w:tcBorders>
            <w:shd w:val="clear" w:color="auto" w:fill="auto"/>
            <w:vAlign w:val="bottom"/>
          </w:tcPr>
          <w:p w14:paraId="4489B763"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2,0</w:t>
            </w:r>
          </w:p>
        </w:tc>
      </w:tr>
      <w:tr w:rsidR="00105AE6" w:rsidRPr="0062711C" w14:paraId="5B822C0D" w14:textId="77777777" w:rsidTr="005C539B">
        <w:tc>
          <w:tcPr>
            <w:tcW w:w="2482" w:type="pct"/>
            <w:shd w:val="clear" w:color="auto" w:fill="auto"/>
          </w:tcPr>
          <w:p w14:paraId="13B8264C" w14:textId="77777777" w:rsidR="00105AE6" w:rsidRPr="0062711C" w:rsidRDefault="00105AE6" w:rsidP="005C539B">
            <w:pPr>
              <w:ind w:left="256"/>
              <w:rPr>
                <w:rFonts w:cstheme="minorHAnsi"/>
                <w:color w:val="002060"/>
                <w:sz w:val="18"/>
                <w:szCs w:val="18"/>
                <w:lang w:val="sr-Cyrl-RS"/>
              </w:rPr>
            </w:pPr>
            <w:r w:rsidRPr="0062711C">
              <w:rPr>
                <w:rFonts w:cstheme="minorHAnsi"/>
                <w:color w:val="002060"/>
                <w:sz w:val="18"/>
                <w:szCs w:val="18"/>
                <w:lang w:val="sr-Cyrl-RS"/>
              </w:rPr>
              <w:t>Бруто инвестиције у основна средства</w:t>
            </w:r>
          </w:p>
        </w:tc>
        <w:tc>
          <w:tcPr>
            <w:tcW w:w="498" w:type="pct"/>
            <w:shd w:val="clear" w:color="auto" w:fill="auto"/>
          </w:tcPr>
          <w:p w14:paraId="1AA1F56C"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8,9</w:t>
            </w:r>
          </w:p>
        </w:tc>
        <w:tc>
          <w:tcPr>
            <w:tcW w:w="498" w:type="pct"/>
            <w:shd w:val="clear" w:color="auto" w:fill="auto"/>
          </w:tcPr>
          <w:p w14:paraId="5250F278"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0672D551"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7,7</w:t>
            </w:r>
          </w:p>
        </w:tc>
        <w:tc>
          <w:tcPr>
            <w:tcW w:w="506" w:type="pct"/>
            <w:tcBorders>
              <w:top w:val="nil"/>
              <w:left w:val="nil"/>
              <w:bottom w:val="nil"/>
              <w:right w:val="nil"/>
            </w:tcBorders>
            <w:shd w:val="clear" w:color="auto" w:fill="auto"/>
            <w:vAlign w:val="bottom"/>
          </w:tcPr>
          <w:p w14:paraId="7E6E313B"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7,0</w:t>
            </w:r>
          </w:p>
        </w:tc>
        <w:tc>
          <w:tcPr>
            <w:tcW w:w="510" w:type="pct"/>
            <w:tcBorders>
              <w:top w:val="nil"/>
              <w:left w:val="nil"/>
              <w:bottom w:val="nil"/>
              <w:right w:val="nil"/>
            </w:tcBorders>
            <w:shd w:val="clear" w:color="auto" w:fill="auto"/>
            <w:vAlign w:val="bottom"/>
          </w:tcPr>
          <w:p w14:paraId="64639619"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7,0</w:t>
            </w:r>
          </w:p>
        </w:tc>
      </w:tr>
      <w:tr w:rsidR="00105AE6" w:rsidRPr="0062711C" w14:paraId="71F35F14" w14:textId="77777777" w:rsidTr="005C539B">
        <w:tc>
          <w:tcPr>
            <w:tcW w:w="2482" w:type="pct"/>
            <w:shd w:val="clear" w:color="auto" w:fill="auto"/>
          </w:tcPr>
          <w:p w14:paraId="2BE0C8F0" w14:textId="77777777" w:rsidR="00105AE6" w:rsidRPr="0062711C" w:rsidRDefault="00105AE6" w:rsidP="005C539B">
            <w:pPr>
              <w:ind w:left="256"/>
              <w:rPr>
                <w:rFonts w:cstheme="minorHAnsi"/>
                <w:color w:val="002060"/>
                <w:sz w:val="18"/>
                <w:szCs w:val="18"/>
                <w:lang w:val="sr-Cyrl-RS"/>
              </w:rPr>
            </w:pPr>
            <w:r w:rsidRPr="0062711C">
              <w:rPr>
                <w:rFonts w:cstheme="minorHAnsi"/>
                <w:color w:val="002060"/>
                <w:sz w:val="18"/>
                <w:szCs w:val="18"/>
                <w:lang w:val="sr-Cyrl-RS"/>
              </w:rPr>
              <w:t>Извоз робе и услуга</w:t>
            </w:r>
          </w:p>
        </w:tc>
        <w:tc>
          <w:tcPr>
            <w:tcW w:w="498" w:type="pct"/>
            <w:shd w:val="clear" w:color="auto" w:fill="auto"/>
          </w:tcPr>
          <w:p w14:paraId="69896D56"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7,0</w:t>
            </w:r>
          </w:p>
        </w:tc>
        <w:tc>
          <w:tcPr>
            <w:tcW w:w="498" w:type="pct"/>
            <w:shd w:val="clear" w:color="auto" w:fill="auto"/>
          </w:tcPr>
          <w:p w14:paraId="58346763"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6D6F376D"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7,9</w:t>
            </w:r>
          </w:p>
        </w:tc>
        <w:tc>
          <w:tcPr>
            <w:tcW w:w="506" w:type="pct"/>
            <w:tcBorders>
              <w:top w:val="nil"/>
              <w:left w:val="nil"/>
              <w:bottom w:val="nil"/>
              <w:right w:val="nil"/>
            </w:tcBorders>
            <w:shd w:val="clear" w:color="auto" w:fill="auto"/>
            <w:vAlign w:val="bottom"/>
          </w:tcPr>
          <w:p w14:paraId="5EAE311B"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8,0</w:t>
            </w:r>
          </w:p>
        </w:tc>
        <w:tc>
          <w:tcPr>
            <w:tcW w:w="510" w:type="pct"/>
            <w:tcBorders>
              <w:top w:val="nil"/>
              <w:left w:val="nil"/>
              <w:bottom w:val="nil"/>
              <w:right w:val="nil"/>
            </w:tcBorders>
            <w:shd w:val="clear" w:color="auto" w:fill="auto"/>
            <w:vAlign w:val="bottom"/>
          </w:tcPr>
          <w:p w14:paraId="5B9EB0D9"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8,8</w:t>
            </w:r>
          </w:p>
        </w:tc>
      </w:tr>
      <w:tr w:rsidR="00105AE6" w:rsidRPr="0062711C" w14:paraId="2901A653" w14:textId="77777777" w:rsidTr="005C539B">
        <w:tc>
          <w:tcPr>
            <w:tcW w:w="2482" w:type="pct"/>
            <w:shd w:val="clear" w:color="auto" w:fill="auto"/>
          </w:tcPr>
          <w:p w14:paraId="209371D6" w14:textId="77777777" w:rsidR="00105AE6" w:rsidRPr="0062711C" w:rsidRDefault="00105AE6" w:rsidP="005C539B">
            <w:pPr>
              <w:ind w:left="256"/>
              <w:rPr>
                <w:rFonts w:cstheme="minorHAnsi"/>
                <w:color w:val="002060"/>
                <w:sz w:val="18"/>
                <w:szCs w:val="18"/>
                <w:lang w:val="sr-Cyrl-RS"/>
              </w:rPr>
            </w:pPr>
            <w:r w:rsidRPr="0062711C">
              <w:rPr>
                <w:rFonts w:cstheme="minorHAnsi"/>
                <w:color w:val="002060"/>
                <w:sz w:val="18"/>
                <w:szCs w:val="18"/>
                <w:lang w:val="sr-Cyrl-RS"/>
              </w:rPr>
              <w:t>Увоз робе и услуга</w:t>
            </w:r>
          </w:p>
        </w:tc>
        <w:tc>
          <w:tcPr>
            <w:tcW w:w="498" w:type="pct"/>
            <w:shd w:val="clear" w:color="auto" w:fill="auto"/>
          </w:tcPr>
          <w:p w14:paraId="5382E40D"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8,6</w:t>
            </w:r>
          </w:p>
        </w:tc>
        <w:tc>
          <w:tcPr>
            <w:tcW w:w="498" w:type="pct"/>
            <w:shd w:val="clear" w:color="auto" w:fill="auto"/>
          </w:tcPr>
          <w:p w14:paraId="5F73A13C"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71FD64D1"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8,0</w:t>
            </w:r>
          </w:p>
        </w:tc>
        <w:tc>
          <w:tcPr>
            <w:tcW w:w="506" w:type="pct"/>
            <w:tcBorders>
              <w:top w:val="nil"/>
              <w:left w:val="nil"/>
              <w:bottom w:val="nil"/>
              <w:right w:val="nil"/>
            </w:tcBorders>
            <w:shd w:val="clear" w:color="auto" w:fill="auto"/>
            <w:vAlign w:val="bottom"/>
          </w:tcPr>
          <w:p w14:paraId="2111A6F4"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7,2</w:t>
            </w:r>
          </w:p>
        </w:tc>
        <w:tc>
          <w:tcPr>
            <w:tcW w:w="510" w:type="pct"/>
            <w:tcBorders>
              <w:top w:val="nil"/>
              <w:left w:val="nil"/>
              <w:bottom w:val="nil"/>
              <w:right w:val="nil"/>
            </w:tcBorders>
            <w:shd w:val="clear" w:color="auto" w:fill="auto"/>
            <w:vAlign w:val="bottom"/>
          </w:tcPr>
          <w:p w14:paraId="3D3EB063"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7,5</w:t>
            </w:r>
          </w:p>
        </w:tc>
      </w:tr>
      <w:tr w:rsidR="00105AE6" w:rsidRPr="0062711C" w14:paraId="2202EFD2" w14:textId="77777777" w:rsidTr="005C539B">
        <w:tc>
          <w:tcPr>
            <w:tcW w:w="2482" w:type="pct"/>
            <w:shd w:val="clear" w:color="auto" w:fill="auto"/>
          </w:tcPr>
          <w:p w14:paraId="3F568842" w14:textId="77777777" w:rsidR="00105AE6" w:rsidRPr="0062711C" w:rsidRDefault="00105AE6" w:rsidP="005C539B">
            <w:pPr>
              <w:ind w:left="-15"/>
              <w:rPr>
                <w:rFonts w:cstheme="minorHAnsi"/>
                <w:color w:val="002060"/>
                <w:sz w:val="18"/>
                <w:szCs w:val="18"/>
                <w:lang w:val="sr-Cyrl-RS"/>
              </w:rPr>
            </w:pPr>
            <w:r w:rsidRPr="0062711C">
              <w:rPr>
                <w:rFonts w:cstheme="minorHAnsi"/>
                <w:color w:val="002060"/>
                <w:sz w:val="18"/>
                <w:szCs w:val="18"/>
                <w:lang w:val="sr-Cyrl-RS"/>
              </w:rPr>
              <w:t>Салдо текућег рачуна, у ЕУР, % БДП</w:t>
            </w:r>
          </w:p>
        </w:tc>
        <w:tc>
          <w:tcPr>
            <w:tcW w:w="498" w:type="pct"/>
            <w:shd w:val="clear" w:color="auto" w:fill="auto"/>
          </w:tcPr>
          <w:p w14:paraId="75B6181A"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-4,1</w:t>
            </w:r>
          </w:p>
        </w:tc>
        <w:tc>
          <w:tcPr>
            <w:tcW w:w="498" w:type="pct"/>
            <w:shd w:val="clear" w:color="auto" w:fill="auto"/>
          </w:tcPr>
          <w:p w14:paraId="65C78C43"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vAlign w:val="bottom"/>
          </w:tcPr>
          <w:p w14:paraId="335CD90E"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-4,7</w:t>
            </w:r>
          </w:p>
        </w:tc>
        <w:tc>
          <w:tcPr>
            <w:tcW w:w="506" w:type="pct"/>
            <w:tcBorders>
              <w:top w:val="nil"/>
              <w:left w:val="nil"/>
              <w:bottom w:val="nil"/>
              <w:right w:val="nil"/>
            </w:tcBorders>
            <w:shd w:val="clear" w:color="auto" w:fill="auto"/>
            <w:vAlign w:val="bottom"/>
          </w:tcPr>
          <w:p w14:paraId="0BFFCB73"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-5,0</w:t>
            </w:r>
          </w:p>
        </w:tc>
        <w:tc>
          <w:tcPr>
            <w:tcW w:w="510" w:type="pct"/>
            <w:tcBorders>
              <w:top w:val="nil"/>
              <w:left w:val="nil"/>
              <w:bottom w:val="nil"/>
              <w:right w:val="nil"/>
            </w:tcBorders>
            <w:shd w:val="clear" w:color="auto" w:fill="auto"/>
            <w:vAlign w:val="bottom"/>
          </w:tcPr>
          <w:p w14:paraId="6F2CBAB0"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-4,7</w:t>
            </w:r>
          </w:p>
        </w:tc>
      </w:tr>
      <w:tr w:rsidR="00105AE6" w:rsidRPr="0062711C" w14:paraId="4C0415B0" w14:textId="77777777" w:rsidTr="005C539B">
        <w:trPr>
          <w:trHeight w:val="193"/>
        </w:trPr>
        <w:tc>
          <w:tcPr>
            <w:tcW w:w="2482" w:type="pct"/>
            <w:tcBorders>
              <w:bottom w:val="single" w:sz="4" w:space="0" w:color="002060"/>
            </w:tcBorders>
            <w:shd w:val="clear" w:color="auto" w:fill="auto"/>
          </w:tcPr>
          <w:p w14:paraId="65B704C2" w14:textId="77777777" w:rsidR="00105AE6" w:rsidRPr="0062711C" w:rsidRDefault="00105AE6" w:rsidP="005C539B">
            <w:pPr>
              <w:rPr>
                <w:rFonts w:cstheme="minorHAnsi"/>
                <w:color w:val="002060"/>
                <w:sz w:val="18"/>
                <w:szCs w:val="18"/>
                <w:lang w:val="sr-Cyrl-RS"/>
              </w:rPr>
            </w:pPr>
            <w:r w:rsidRPr="0062711C">
              <w:rPr>
                <w:rFonts w:cstheme="minorHAnsi"/>
                <w:color w:val="002060"/>
                <w:sz w:val="18"/>
                <w:szCs w:val="18"/>
                <w:lang w:val="sr-Cyrl-RS"/>
              </w:rPr>
              <w:t>Инфлација, просек периода, %</w:t>
            </w:r>
          </w:p>
        </w:tc>
        <w:tc>
          <w:tcPr>
            <w:tcW w:w="498" w:type="pct"/>
            <w:tcBorders>
              <w:bottom w:val="single" w:sz="4" w:space="0" w:color="002060"/>
            </w:tcBorders>
            <w:shd w:val="clear" w:color="auto" w:fill="auto"/>
          </w:tcPr>
          <w:p w14:paraId="393E6C88" w14:textId="77777777" w:rsidR="00105AE6" w:rsidRPr="0062711C" w:rsidRDefault="00105AE6" w:rsidP="005C539B">
            <w:pPr>
              <w:jc w:val="center"/>
              <w:rPr>
                <w:rFonts w:cstheme="minorHAnsi"/>
                <w:color w:val="002060"/>
                <w:sz w:val="18"/>
                <w:szCs w:val="18"/>
                <w:lang w:val="sr-Cyrl-RS"/>
              </w:rPr>
            </w:pPr>
            <w:r w:rsidRPr="0062711C">
              <w:rPr>
                <w:rFonts w:cstheme="minorHAnsi"/>
                <w:color w:val="002060"/>
                <w:sz w:val="18"/>
                <w:szCs w:val="18"/>
                <w:lang w:val="sr-Cyrl-RS"/>
              </w:rPr>
              <w:t>4,9</w:t>
            </w:r>
          </w:p>
        </w:tc>
        <w:tc>
          <w:tcPr>
            <w:tcW w:w="498" w:type="pct"/>
            <w:tcBorders>
              <w:top w:val="nil"/>
              <w:left w:val="nil"/>
              <w:bottom w:val="nil"/>
              <w:right w:val="nil"/>
            </w:tcBorders>
            <w:shd w:val="clear" w:color="auto" w:fill="auto"/>
          </w:tcPr>
          <w:p w14:paraId="2AD66005" w14:textId="77777777" w:rsidR="00105AE6" w:rsidRPr="0062711C" w:rsidRDefault="00105AE6" w:rsidP="005C539B">
            <w:pPr>
              <w:jc w:val="center"/>
              <w:rPr>
                <w:rFonts w:cstheme="minorHAnsi"/>
                <w:color w:val="002060"/>
                <w:sz w:val="18"/>
                <w:szCs w:val="18"/>
                <w:lang w:val="sr-Cyrl-RS"/>
              </w:rPr>
            </w:pPr>
          </w:p>
        </w:tc>
        <w:tc>
          <w:tcPr>
            <w:tcW w:w="506" w:type="pct"/>
            <w:tcBorders>
              <w:top w:val="nil"/>
              <w:left w:val="nil"/>
              <w:bottom w:val="nil"/>
              <w:right w:val="nil"/>
            </w:tcBorders>
            <w:shd w:val="clear" w:color="auto" w:fill="auto"/>
          </w:tcPr>
          <w:p w14:paraId="7D2E65A5" w14:textId="77777777" w:rsidR="00105AE6" w:rsidRPr="0062711C" w:rsidRDefault="00105AE6" w:rsidP="005C539B">
            <w:pPr>
              <w:jc w:val="center"/>
              <w:rPr>
                <w:color w:val="002060"/>
                <w:sz w:val="18"/>
                <w:lang w:val="sr-Cyrl-RS"/>
              </w:rPr>
            </w:pPr>
            <w:r w:rsidRPr="0062711C">
              <w:rPr>
                <w:color w:val="002060"/>
                <w:sz w:val="18"/>
                <w:lang w:val="sr-Cyrl-RS"/>
              </w:rPr>
              <w:t>3,5</w:t>
            </w:r>
          </w:p>
        </w:tc>
        <w:tc>
          <w:tcPr>
            <w:tcW w:w="506" w:type="pct"/>
            <w:tcBorders>
              <w:top w:val="nil"/>
              <w:left w:val="nil"/>
              <w:bottom w:val="nil"/>
              <w:right w:val="nil"/>
            </w:tcBorders>
            <w:shd w:val="clear" w:color="auto" w:fill="auto"/>
          </w:tcPr>
          <w:p w14:paraId="77FE763B" w14:textId="77777777" w:rsidR="00105AE6" w:rsidRPr="0062711C" w:rsidRDefault="00105AE6" w:rsidP="005C539B">
            <w:pPr>
              <w:jc w:val="center"/>
              <w:rPr>
                <w:color w:val="002060"/>
                <w:sz w:val="18"/>
                <w:lang w:val="sr-Cyrl-RS"/>
              </w:rPr>
            </w:pPr>
            <w:r w:rsidRPr="0062711C">
              <w:rPr>
                <w:color w:val="002060"/>
                <w:sz w:val="18"/>
                <w:lang w:val="sr-Cyrl-RS"/>
              </w:rPr>
              <w:t>3,5</w:t>
            </w:r>
          </w:p>
        </w:tc>
        <w:tc>
          <w:tcPr>
            <w:tcW w:w="510" w:type="pct"/>
            <w:tcBorders>
              <w:top w:val="nil"/>
              <w:left w:val="nil"/>
              <w:bottom w:val="nil"/>
              <w:right w:val="nil"/>
            </w:tcBorders>
            <w:shd w:val="clear" w:color="auto" w:fill="auto"/>
          </w:tcPr>
          <w:p w14:paraId="780AA90B" w14:textId="77777777" w:rsidR="00105AE6" w:rsidRPr="0062711C" w:rsidRDefault="00105AE6" w:rsidP="005C539B">
            <w:pPr>
              <w:jc w:val="center"/>
              <w:rPr>
                <w:color w:val="002060"/>
                <w:sz w:val="18"/>
                <w:lang w:val="sr-Cyrl-RS"/>
              </w:rPr>
            </w:pPr>
            <w:r w:rsidRPr="0062711C">
              <w:rPr>
                <w:color w:val="002060"/>
                <w:sz w:val="18"/>
                <w:lang w:val="sr-Cyrl-RS"/>
              </w:rPr>
              <w:t>3,5</w:t>
            </w:r>
          </w:p>
        </w:tc>
      </w:tr>
      <w:tr w:rsidR="00105AE6" w:rsidRPr="0062711C" w14:paraId="21E126FB" w14:textId="77777777" w:rsidTr="005C539B">
        <w:trPr>
          <w:trHeight w:val="60"/>
        </w:trPr>
        <w:tc>
          <w:tcPr>
            <w:tcW w:w="2482" w:type="pct"/>
            <w:tcBorders>
              <w:top w:val="single" w:sz="4" w:space="0" w:color="002060"/>
            </w:tcBorders>
            <w:shd w:val="clear" w:color="auto" w:fill="auto"/>
          </w:tcPr>
          <w:p w14:paraId="53C0E32B" w14:textId="77777777" w:rsidR="00105AE6" w:rsidRPr="0062711C" w:rsidRDefault="00105AE6" w:rsidP="005C539B">
            <w:pPr>
              <w:rPr>
                <w:rFonts w:cstheme="minorHAnsi"/>
                <w:sz w:val="16"/>
                <w:lang w:val="sr-Cyrl-RS"/>
              </w:rPr>
            </w:pPr>
            <w:r w:rsidRPr="0062711C">
              <w:rPr>
                <w:rFonts w:cstheme="minorHAnsi"/>
                <w:sz w:val="16"/>
                <w:lang w:val="sr-Cyrl-RS"/>
              </w:rPr>
              <w:t>Извор: Министарство финансија</w:t>
            </w:r>
          </w:p>
        </w:tc>
        <w:tc>
          <w:tcPr>
            <w:tcW w:w="498" w:type="pct"/>
            <w:tcBorders>
              <w:top w:val="single" w:sz="4" w:space="0" w:color="002060"/>
            </w:tcBorders>
            <w:shd w:val="clear" w:color="auto" w:fill="auto"/>
          </w:tcPr>
          <w:p w14:paraId="29D7C77B" w14:textId="77777777" w:rsidR="00105AE6" w:rsidRPr="0062711C" w:rsidRDefault="00105AE6" w:rsidP="005C539B">
            <w:pPr>
              <w:jc w:val="center"/>
              <w:rPr>
                <w:rFonts w:cstheme="minorHAnsi"/>
                <w:sz w:val="16"/>
                <w:lang w:val="sr-Cyrl-RS"/>
              </w:rPr>
            </w:pPr>
          </w:p>
        </w:tc>
        <w:tc>
          <w:tcPr>
            <w:tcW w:w="498" w:type="pct"/>
            <w:tcBorders>
              <w:top w:val="single" w:sz="4" w:space="0" w:color="002060"/>
            </w:tcBorders>
            <w:shd w:val="clear" w:color="auto" w:fill="auto"/>
          </w:tcPr>
          <w:p w14:paraId="560C91E0" w14:textId="77777777" w:rsidR="00105AE6" w:rsidRPr="0062711C" w:rsidRDefault="00105AE6" w:rsidP="005C539B">
            <w:pPr>
              <w:jc w:val="center"/>
              <w:rPr>
                <w:rFonts w:cstheme="minorHAnsi"/>
                <w:sz w:val="16"/>
                <w:lang w:val="sr-Cyrl-RS"/>
              </w:rPr>
            </w:pPr>
          </w:p>
        </w:tc>
        <w:tc>
          <w:tcPr>
            <w:tcW w:w="506" w:type="pct"/>
            <w:tcBorders>
              <w:top w:val="single" w:sz="4" w:space="0" w:color="002060"/>
            </w:tcBorders>
            <w:shd w:val="clear" w:color="auto" w:fill="auto"/>
          </w:tcPr>
          <w:p w14:paraId="3B451033" w14:textId="77777777" w:rsidR="00105AE6" w:rsidRPr="0062711C" w:rsidRDefault="00105AE6" w:rsidP="005C539B">
            <w:pPr>
              <w:jc w:val="center"/>
              <w:rPr>
                <w:rFonts w:cstheme="minorHAnsi"/>
                <w:sz w:val="16"/>
                <w:lang w:val="sr-Cyrl-RS"/>
              </w:rPr>
            </w:pPr>
          </w:p>
        </w:tc>
        <w:tc>
          <w:tcPr>
            <w:tcW w:w="506" w:type="pct"/>
            <w:tcBorders>
              <w:top w:val="single" w:sz="4" w:space="0" w:color="002060"/>
            </w:tcBorders>
            <w:shd w:val="clear" w:color="auto" w:fill="auto"/>
          </w:tcPr>
          <w:p w14:paraId="638B357D" w14:textId="77777777" w:rsidR="00105AE6" w:rsidRPr="0062711C" w:rsidRDefault="00105AE6" w:rsidP="005C539B">
            <w:pPr>
              <w:jc w:val="center"/>
              <w:rPr>
                <w:rFonts w:cstheme="minorHAnsi"/>
                <w:sz w:val="16"/>
                <w:lang w:val="sr-Cyrl-RS"/>
              </w:rPr>
            </w:pPr>
          </w:p>
        </w:tc>
        <w:tc>
          <w:tcPr>
            <w:tcW w:w="510" w:type="pct"/>
            <w:tcBorders>
              <w:top w:val="single" w:sz="4" w:space="0" w:color="002060"/>
            </w:tcBorders>
            <w:shd w:val="clear" w:color="auto" w:fill="auto"/>
          </w:tcPr>
          <w:p w14:paraId="6E8FE8C1" w14:textId="77777777" w:rsidR="00105AE6" w:rsidRPr="0062711C" w:rsidRDefault="00105AE6" w:rsidP="005C539B">
            <w:pPr>
              <w:jc w:val="center"/>
              <w:rPr>
                <w:rFonts w:cstheme="minorHAnsi"/>
                <w:sz w:val="16"/>
                <w:lang w:val="sr-Cyrl-RS"/>
              </w:rPr>
            </w:pPr>
          </w:p>
        </w:tc>
      </w:tr>
    </w:tbl>
    <w:p w14:paraId="55A13031" w14:textId="77777777" w:rsidR="00105AE6" w:rsidRPr="0062711C" w:rsidRDefault="00105AE6" w:rsidP="005C539B">
      <w:pPr>
        <w:spacing w:after="0"/>
        <w:rPr>
          <w:rFonts w:cstheme="minorHAnsi"/>
          <w:bCs/>
          <w:sz w:val="16"/>
          <w:szCs w:val="72"/>
          <w:lang w:val="sr-Cyrl-RS"/>
        </w:rPr>
        <w:sectPr w:rsidR="00105AE6" w:rsidRPr="0062711C" w:rsidSect="00F45C01">
          <w:type w:val="continuous"/>
          <w:pgSz w:w="12240" w:h="15840" w:code="1"/>
          <w:pgMar w:top="1440" w:right="1440" w:bottom="1440" w:left="1440" w:header="720" w:footer="720" w:gutter="0"/>
          <w:cols w:space="720"/>
          <w:docGrid w:linePitch="360"/>
        </w:sectPr>
      </w:pPr>
    </w:p>
    <w:p w14:paraId="23C2ACCE" w14:textId="343FB688" w:rsidR="00105AE6" w:rsidRPr="0062711C" w:rsidRDefault="00105AE6" w:rsidP="005C539B">
      <w:pPr>
        <w:rPr>
          <w:rFonts w:cstheme="minorHAnsi"/>
          <w:bCs/>
          <w:szCs w:val="72"/>
          <w:lang w:val="sr-Cyrl-RS"/>
        </w:rPr>
      </w:pPr>
      <w:r w:rsidRPr="0062711C">
        <w:rPr>
          <w:rFonts w:cstheme="minorHAnsi"/>
          <w:bCs/>
          <w:szCs w:val="72"/>
          <w:lang w:val="sr-Cyrl-RS"/>
        </w:rPr>
        <w:t>У 2025. години очекује се убрзање раста БДП на 4,2%. Посматрано по агрегатима употребе раст БДП у 2025. години биће у потпуности опредељен домаћом тражњом која ће дати позитиван допринос расту БДП од 5,1 п.п. Очекивано реално повећање зарада, како у приватном тако и у јавном сектору, већа запосленост и даљи раст пензија резултираће растом реалног расположивог дохотка становништва, што ће се одразити на раст приватне потрошње који би требао да износи 3,9%. Благи позитиван допринос расту БДП у 2025. години доћи ће и од државне потрошње за коју се очекује повећање од 2,1%. Убрзање реализације започетих капиталних инфраструктурних пројеката и почетак новог инвестиционог циклуса планираног програмом „Скок у будућност – Србија 2027”, уз наставак стабилног прилива СДИ и високу профитабилност домаће привреде из претходног периода резултираће растом инвестиција од 7,7% у 2025. години. Постепени опоравак спољне тражње уз активирање нових извозно</w:t>
      </w:r>
      <w:r w:rsidRPr="0062711C">
        <w:rPr>
          <w:rFonts w:cstheme="minorHAnsi"/>
          <w:bCs/>
          <w:color w:val="FF0000"/>
          <w:szCs w:val="72"/>
          <w:lang w:val="sr-Cyrl-RS"/>
        </w:rPr>
        <w:t xml:space="preserve"> </w:t>
      </w:r>
      <w:r w:rsidRPr="0062711C">
        <w:rPr>
          <w:rFonts w:cstheme="minorHAnsi"/>
          <w:bCs/>
          <w:szCs w:val="72"/>
          <w:lang w:val="sr-Cyrl-RS"/>
        </w:rPr>
        <w:t>оријентисаних капацитета као резултат ефектуирања СДИ, обезбедиће стабилан раст реалног извоза од 7,9%, што је нешто спорије од очекиваног раста увоза (8,0%), тако да ће допринос нето извоза остати негативан (-0,9 п.п</w:t>
      </w:r>
      <w:r w:rsidR="00521EB9" w:rsidRPr="0062711C">
        <w:rPr>
          <w:rFonts w:cstheme="minorHAnsi"/>
          <w:bCs/>
          <w:szCs w:val="72"/>
          <w:lang w:val="sr-Cyrl-RS"/>
        </w:rPr>
        <w:t>.</w:t>
      </w:r>
      <w:r w:rsidRPr="0062711C">
        <w:rPr>
          <w:rFonts w:cstheme="minorHAnsi"/>
          <w:bCs/>
          <w:szCs w:val="72"/>
          <w:lang w:val="sr-Cyrl-RS"/>
        </w:rPr>
        <w:t>).</w:t>
      </w:r>
    </w:p>
    <w:p w14:paraId="7E6C2EFA" w14:textId="77777777" w:rsidR="00105AE6" w:rsidRPr="0062711C" w:rsidRDefault="00105AE6" w:rsidP="005C539B">
      <w:pPr>
        <w:pStyle w:val="NoSpacing"/>
        <w:spacing w:after="40"/>
        <w:jc w:val="center"/>
        <w:rPr>
          <w:rFonts w:cstheme="minorHAnsi"/>
          <w:color w:val="002060"/>
          <w:lang w:val="sr-Cyrl-RS"/>
        </w:rPr>
      </w:pPr>
      <w:r w:rsidRPr="0062711C">
        <w:rPr>
          <w:rFonts w:cstheme="minorHAnsi"/>
          <w:color w:val="FF0000"/>
          <w:lang w:val="sr-Cyrl-RS"/>
        </w:rPr>
        <w:br w:type="column"/>
      </w:r>
      <w:r w:rsidRPr="0062711C">
        <w:rPr>
          <w:rFonts w:cstheme="minorHAnsi"/>
          <w:color w:val="002060"/>
          <w:lang w:val="sr-Cyrl-RS"/>
        </w:rPr>
        <w:t xml:space="preserve">Доприноси стопи реалног раста БДП, </w:t>
      </w:r>
      <w:r w:rsidRPr="0062711C">
        <w:rPr>
          <w:rFonts w:cstheme="minorHAnsi"/>
          <w:color w:val="002060"/>
          <w:lang w:val="sr-Cyrl-RS"/>
        </w:rPr>
        <w:br/>
        <w:t>расходни приступ, п.п.</w:t>
      </w:r>
    </w:p>
    <w:p w14:paraId="17532C5A" w14:textId="77777777" w:rsidR="00105AE6" w:rsidRPr="0062711C" w:rsidRDefault="00105AE6" w:rsidP="005C539B">
      <w:pPr>
        <w:pStyle w:val="NoSpacing"/>
        <w:spacing w:after="40"/>
        <w:jc w:val="center"/>
        <w:rPr>
          <w:rFonts w:cstheme="minorHAnsi"/>
          <w:color w:val="44546A" w:themeColor="text2"/>
          <w:sz w:val="16"/>
          <w:lang w:val="sr-Cyrl-RS"/>
        </w:rPr>
      </w:pPr>
      <w:r w:rsidRPr="0062711C">
        <w:rPr>
          <w:noProof/>
          <w:lang w:val="en-GB" w:eastAsia="en-GB"/>
        </w:rPr>
        <w:drawing>
          <wp:inline distT="0" distB="0" distL="0" distR="0" wp14:anchorId="65A06E6E" wp14:editId="56B94E46">
            <wp:extent cx="2743200" cy="1980000"/>
            <wp:effectExtent l="0" t="0" r="0" b="1270"/>
            <wp:docPr id="39" name="Chart 39">
              <a:extLst xmlns:a="http://schemas.openxmlformats.org/drawingml/2006/main">
                <a:ext uri="{FF2B5EF4-FFF2-40B4-BE49-F238E27FC236}">
                  <a16:creationId xmlns:a16="http://schemas.microsoft.com/office/drawing/2014/main" id="{00000000-0008-0000-0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6CD9322A" w14:textId="77777777" w:rsidR="00105AE6" w:rsidRPr="0062711C" w:rsidRDefault="00105AE6" w:rsidP="005C539B">
      <w:pPr>
        <w:spacing w:after="120" w:line="240" w:lineRule="auto"/>
        <w:rPr>
          <w:rFonts w:cstheme="minorHAnsi"/>
          <w:sz w:val="16"/>
          <w:lang w:val="sr-Cyrl-RS"/>
        </w:rPr>
      </w:pPr>
      <w:r w:rsidRPr="0062711C">
        <w:rPr>
          <w:rFonts w:cstheme="minorHAnsi"/>
          <w:sz w:val="16"/>
          <w:lang w:val="sr-Cyrl-RS"/>
        </w:rPr>
        <w:t>Извор: Министарство финансија</w:t>
      </w:r>
    </w:p>
    <w:p w14:paraId="63665B4F" w14:textId="77777777" w:rsidR="00105AE6" w:rsidRPr="0062711C" w:rsidRDefault="00105AE6" w:rsidP="005C539B">
      <w:pPr>
        <w:spacing w:after="40"/>
        <w:rPr>
          <w:rFonts w:cstheme="minorHAnsi"/>
          <w:bCs/>
          <w:szCs w:val="72"/>
          <w:lang w:val="sr-Cyrl-RS"/>
        </w:rPr>
      </w:pPr>
      <w:r w:rsidRPr="0062711C">
        <w:rPr>
          <w:rFonts w:cstheme="minorHAnsi"/>
          <w:bCs/>
          <w:szCs w:val="72"/>
          <w:lang w:val="sr-Cyrl-RS"/>
        </w:rPr>
        <w:t xml:space="preserve">Посматрано са производне стране, у 2025. години очекује се повећање креиране БДВ код свих привредних сектора. Услужни сектор ће у 2025. години имати улогу доминантног носиоца раста економске активности. Раст би требало да буде диверсификован и остварен у готово свим услужним делатностима, а посебно снажан у трговини и саобраћају, туризму и угоститељству, уз наставак добрих резултата у ИКТ сектору и стручно техничким услугама. Индустрија ће наставити са растом и током 2025. године уз повећање од 4,4%, пре свега услед активирања нових производних капацитета и очекиваног опоравка спољне тражње, уз очувану стабилност производње у електро-енергетском сектору. Процењује се да ће стабилан раст забележити и грађевинарство услед наставка извођења започетих инфраструктурних радова али и реализацији нових грађевинских пројеката. За сектор пољопривреде, а под претпоставком просечних агрометеоролошких </w:t>
      </w:r>
      <w:r w:rsidRPr="0062711C">
        <w:rPr>
          <w:rFonts w:cstheme="minorHAnsi"/>
          <w:bCs/>
          <w:szCs w:val="72"/>
          <w:lang w:val="sr-Cyrl-RS"/>
        </w:rPr>
        <w:lastRenderedPageBreak/>
        <w:t>услова у 2025. години, пројектован је благи раст од 0,1%.</w:t>
      </w:r>
    </w:p>
    <w:p w14:paraId="68C9CED2" w14:textId="77777777" w:rsidR="00105AE6" w:rsidRPr="0062711C" w:rsidRDefault="00105AE6" w:rsidP="005C539B">
      <w:pPr>
        <w:pStyle w:val="NoSpacing"/>
        <w:spacing w:after="40"/>
        <w:jc w:val="center"/>
        <w:rPr>
          <w:rFonts w:cstheme="minorHAnsi"/>
          <w:color w:val="002060"/>
          <w:lang w:val="sr-Cyrl-RS"/>
        </w:rPr>
      </w:pPr>
      <w:r w:rsidRPr="0062711C">
        <w:rPr>
          <w:rFonts w:cstheme="minorHAnsi"/>
          <w:color w:val="002060"/>
          <w:lang w:val="sr-Cyrl-RS"/>
        </w:rPr>
        <w:t>Доприноси стопи реалног раста БДП, производни приступ, п.п.</w:t>
      </w:r>
    </w:p>
    <w:p w14:paraId="2110486D" w14:textId="77777777" w:rsidR="00105AE6" w:rsidRPr="0062711C" w:rsidRDefault="00105AE6" w:rsidP="005C539B">
      <w:pPr>
        <w:spacing w:after="40"/>
        <w:rPr>
          <w:lang w:val="sr-Cyrl-RS"/>
        </w:rPr>
      </w:pPr>
      <w:r w:rsidRPr="0062711C">
        <w:rPr>
          <w:noProof/>
          <w:lang w:val="en-GB" w:eastAsia="en-GB"/>
        </w:rPr>
        <w:drawing>
          <wp:inline distT="0" distB="0" distL="0" distR="0" wp14:anchorId="1DFCA4E1" wp14:editId="004E103A">
            <wp:extent cx="2743200" cy="1980000"/>
            <wp:effectExtent l="0" t="0" r="0" b="1270"/>
            <wp:docPr id="40" name="Chart 40">
              <a:extLst xmlns:a="http://schemas.openxmlformats.org/drawingml/2006/main">
                <a:ext uri="{FF2B5EF4-FFF2-40B4-BE49-F238E27FC236}">
                  <a16:creationId xmlns:a16="http://schemas.microsoft.com/office/drawing/2014/main" id="{00000000-0008-0000-0B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08B733ED" w14:textId="77777777" w:rsidR="00105AE6" w:rsidRPr="0062711C" w:rsidRDefault="00105AE6" w:rsidP="005C539B">
      <w:pPr>
        <w:spacing w:after="120" w:line="240" w:lineRule="auto"/>
        <w:rPr>
          <w:rFonts w:cstheme="minorHAnsi"/>
          <w:sz w:val="16"/>
          <w:lang w:val="sr-Cyrl-RS"/>
        </w:rPr>
      </w:pPr>
      <w:r w:rsidRPr="0062711C">
        <w:rPr>
          <w:rFonts w:cstheme="minorHAnsi"/>
          <w:sz w:val="16"/>
          <w:lang w:val="sr-Cyrl-RS"/>
        </w:rPr>
        <w:t>Извор: Министарство финансија</w:t>
      </w:r>
    </w:p>
    <w:p w14:paraId="774FB2A8" w14:textId="4B2B8BD7" w:rsidR="00105AE6" w:rsidRPr="0062711C" w:rsidRDefault="00105AE6" w:rsidP="005C539B">
      <w:pPr>
        <w:rPr>
          <w:rFonts w:cstheme="minorHAnsi"/>
          <w:bCs/>
          <w:szCs w:val="72"/>
          <w:lang w:val="sr-Cyrl-RS"/>
        </w:rPr>
      </w:pPr>
      <w:r w:rsidRPr="0062711C">
        <w:rPr>
          <w:rFonts w:cstheme="minorHAnsi"/>
          <w:bCs/>
          <w:szCs w:val="72"/>
          <w:lang w:val="sr-Cyrl-RS"/>
        </w:rPr>
        <w:t xml:space="preserve">Према средњорочној макроекономској пројекцији кумулативна стопа раста у периоду од 2025. до 2027. године износиће 12,7% и биће опредељена растом домаће тражње, уз благо негативан допринос нето извоза. Овај извор раста детерминисан је како </w:t>
      </w:r>
      <w:r w:rsidR="005C539B" w:rsidRPr="0062711C">
        <w:rPr>
          <w:rFonts w:cstheme="minorHAnsi"/>
          <w:bCs/>
          <w:szCs w:val="72"/>
          <w:lang w:val="sr-Cyrl-RS"/>
        </w:rPr>
        <w:t>снажним</w:t>
      </w:r>
      <w:r w:rsidRPr="0062711C">
        <w:rPr>
          <w:rFonts w:cstheme="minorHAnsi"/>
          <w:bCs/>
          <w:szCs w:val="72"/>
          <w:lang w:val="sr-Cyrl-RS"/>
        </w:rPr>
        <w:t xml:space="preserve"> наставком </w:t>
      </w:r>
      <w:r w:rsidR="005C539B" w:rsidRPr="0062711C">
        <w:rPr>
          <w:rFonts w:cstheme="minorHAnsi"/>
          <w:bCs/>
          <w:szCs w:val="72"/>
          <w:lang w:val="sr-Cyrl-RS"/>
        </w:rPr>
        <w:t>инвестиционог</w:t>
      </w:r>
      <w:r w:rsidRPr="0062711C">
        <w:rPr>
          <w:rFonts w:cstheme="minorHAnsi"/>
          <w:bCs/>
          <w:szCs w:val="72"/>
          <w:lang w:val="sr-Cyrl-RS"/>
        </w:rPr>
        <w:t xml:space="preserve"> циклуса и растом инвестиционе активности, тако и повећањем приватне потрошње домаћинстава услед раста реалног расположивог дохотка. Просечно годишње, српска привреда ће расти по стопи од 4,1%. Повећање реалне потрошње становништва ће пратити раст економске активности и у просеку ће износити 3,2%. Очекује се стабилан раст фиксних инвестиција који ће у просеку износити 7,2% годишње. Висок ниво јавних инвестиција биће праћен и растом приватних инвестиција тако да се на крају пројекцијског периода очекује учешће </w:t>
      </w:r>
      <w:r w:rsidR="005C539B" w:rsidRPr="0062711C">
        <w:rPr>
          <w:rFonts w:cstheme="minorHAnsi"/>
          <w:bCs/>
          <w:szCs w:val="72"/>
          <w:lang w:val="sr-Cyrl-RS"/>
        </w:rPr>
        <w:t>фиксних</w:t>
      </w:r>
      <w:r w:rsidRPr="0062711C">
        <w:rPr>
          <w:rFonts w:cstheme="minorHAnsi"/>
          <w:bCs/>
          <w:szCs w:val="72"/>
          <w:lang w:val="sr-Cyrl-RS"/>
        </w:rPr>
        <w:t xml:space="preserve"> инвестиција у БДП од око 25%. Са активирањем нових производних капацитета и опоравком спољне тражње повећаваће се и обим спољнотрговинске размене. Поред тога, ефектуирање СДИ из претходног периода допринеће повећању конкуренције и утицати на ефикасност домаћих произвођача, док ће са друге стране бити активирани нови канали продаје и отворене нове тржишне нише. Извоз ће у просеку годишње расти по стопи од 8,2% што је брже од очекиваног годишњег раста увоза који ће у просеку износити 7,6%, али ће због већег учешћа увоза, допринос нето извоза расту БДП бити благо </w:t>
      </w:r>
      <w:r w:rsidRPr="0062711C">
        <w:rPr>
          <w:rFonts w:cstheme="minorHAnsi"/>
          <w:bCs/>
          <w:szCs w:val="72"/>
          <w:lang w:val="sr-Cyrl-RS"/>
        </w:rPr>
        <w:t>негативан. Посматрано</w:t>
      </w:r>
      <w:r w:rsidRPr="0062711C">
        <w:rPr>
          <w:rFonts w:cstheme="minorHAnsi"/>
          <w:bCs/>
          <w:color w:val="FF0000"/>
          <w:szCs w:val="72"/>
          <w:lang w:val="sr-Cyrl-RS"/>
        </w:rPr>
        <w:t xml:space="preserve"> </w:t>
      </w:r>
      <w:r w:rsidRPr="0062711C">
        <w:rPr>
          <w:rFonts w:cstheme="minorHAnsi"/>
          <w:bCs/>
          <w:szCs w:val="72"/>
          <w:lang w:val="sr-Cyrl-RS"/>
        </w:rPr>
        <w:t xml:space="preserve">на страни понуде, услужни сектор и индустрија ће следствено највећем учешћу у БДП задржати улогу доминантних извора раста и повећавати креирану БДВ са просечним годишњим растом од 4,2% и 4,5%, респективно. Значајан позитиван допринос имаће и грађевинарство које ће у просеку </w:t>
      </w:r>
      <w:r w:rsidR="005C539B" w:rsidRPr="0062711C">
        <w:rPr>
          <w:rFonts w:cstheme="minorHAnsi"/>
          <w:bCs/>
          <w:szCs w:val="72"/>
          <w:lang w:val="sr-Cyrl-RS"/>
        </w:rPr>
        <w:t>забележити</w:t>
      </w:r>
      <w:r w:rsidRPr="0062711C">
        <w:rPr>
          <w:rFonts w:cstheme="minorHAnsi"/>
          <w:bCs/>
          <w:szCs w:val="72"/>
          <w:lang w:val="sr-Cyrl-RS"/>
        </w:rPr>
        <w:t xml:space="preserve"> раст од 7,6% као резултат убрзања реализације инфраструктурних пројеката, као и започињања новог инвестиционог циклуса, али и убрзања приватних инвестиција. Достизање европских стандарда и подизање конкурентности у пољопривреди, смањиће варијабилност производње овог сектора изазвану агрометеоролошким условима, али је и у овом макроекономском оквиру задржана претпоставка просечне пољопривредне сезоне.</w:t>
      </w:r>
    </w:p>
    <w:p w14:paraId="4785D3A3" w14:textId="6D8B7848" w:rsidR="00105AE6" w:rsidRPr="0062711C" w:rsidRDefault="00105AE6" w:rsidP="008527D6">
      <w:pPr>
        <w:rPr>
          <w:rFonts w:cstheme="minorHAnsi"/>
          <w:bCs/>
          <w:szCs w:val="72"/>
          <w:lang w:val="sr-Cyrl-RS"/>
        </w:rPr>
      </w:pPr>
      <w:r w:rsidRPr="0062711C">
        <w:rPr>
          <w:rFonts w:cstheme="minorHAnsi"/>
          <w:bCs/>
          <w:szCs w:val="72"/>
          <w:lang w:val="sr-Cyrl-RS"/>
        </w:rPr>
        <w:t>Средњорочни сценарио кретања привредне</w:t>
      </w:r>
      <w:r w:rsidRPr="0062711C">
        <w:rPr>
          <w:rFonts w:cstheme="minorHAnsi"/>
          <w:bCs/>
          <w:color w:val="FF0000"/>
          <w:szCs w:val="72"/>
          <w:lang w:val="sr-Cyrl-RS"/>
        </w:rPr>
        <w:t xml:space="preserve"> </w:t>
      </w:r>
      <w:r w:rsidRPr="0062711C">
        <w:rPr>
          <w:rFonts w:cstheme="minorHAnsi"/>
          <w:bCs/>
          <w:szCs w:val="72"/>
          <w:lang w:val="sr-Cyrl-RS"/>
        </w:rPr>
        <w:t>активности Републике Србије је и даље под утицајем бројних ризика, пре свега из међународног окружења. Ризици макроекономског оквира у највећој мери потичу од неизвесности у погледу развоја међународних економских и политичких односа. Даља гео</w:t>
      </w:r>
      <w:r w:rsidR="00900ECF" w:rsidRPr="0062711C">
        <w:rPr>
          <w:rFonts w:cstheme="minorHAnsi"/>
          <w:bCs/>
          <w:szCs w:val="72"/>
          <w:lang w:val="sr-Cyrl-RS"/>
        </w:rPr>
        <w:t>е</w:t>
      </w:r>
      <w:r w:rsidRPr="0062711C">
        <w:rPr>
          <w:rFonts w:cstheme="minorHAnsi"/>
          <w:bCs/>
          <w:szCs w:val="72"/>
          <w:lang w:val="sr-Cyrl-RS"/>
        </w:rPr>
        <w:t xml:space="preserve">кономска фрагментација и ограничења трговинских односа могу још у већој мери утицати на обим глобалне трговине и глобалне економске изгледе. Ескалација сукоба у Украјини и на Блиском истоку може изазвати нагле скокове цена енергената и додатно повећати неизвесност и забринутост инвеститора, изазивајући снажније инфлаторне притиске и још спорији опоравак економија наших највећих спољнотрговинских партнера. С друге стране, потенцијална деескалација глобалних напетости имала би за резултат значајне позитивне </w:t>
      </w:r>
      <w:r w:rsidR="005C539B" w:rsidRPr="0062711C">
        <w:rPr>
          <w:rFonts w:cstheme="minorHAnsi"/>
          <w:bCs/>
          <w:szCs w:val="72"/>
          <w:lang w:val="sr-Cyrl-RS"/>
        </w:rPr>
        <w:t>ефекте</w:t>
      </w:r>
      <w:r w:rsidRPr="0062711C">
        <w:rPr>
          <w:rFonts w:cstheme="minorHAnsi"/>
          <w:bCs/>
          <w:szCs w:val="72"/>
          <w:lang w:val="sr-Cyrl-RS"/>
        </w:rPr>
        <w:t xml:space="preserve"> на глобалне економске токове, што би се повољно одразило и на домаћу привреду кроз снажан синергетски ефекат са домаћим факторима раста. У складу са тим креирана су још два сценарија – песимистичан и оптимистичан. </w:t>
      </w:r>
      <w:r w:rsidR="00003DDE" w:rsidRPr="0062711C">
        <w:rPr>
          <w:rFonts w:cstheme="minorHAnsi"/>
          <w:bCs/>
          <w:szCs w:val="72"/>
          <w:lang w:val="sr-Cyrl-RS"/>
        </w:rPr>
        <w:t>Песимистичан</w:t>
      </w:r>
      <w:r w:rsidRPr="0062711C">
        <w:rPr>
          <w:rFonts w:cstheme="minorHAnsi"/>
          <w:bCs/>
          <w:szCs w:val="72"/>
          <w:lang w:val="sr-Cyrl-RS"/>
        </w:rPr>
        <w:t xml:space="preserve"> сценарио полази од </w:t>
      </w:r>
      <w:r w:rsidR="00003DDE" w:rsidRPr="0062711C">
        <w:rPr>
          <w:rFonts w:cstheme="minorHAnsi"/>
          <w:bCs/>
          <w:szCs w:val="72"/>
          <w:lang w:val="sr-Cyrl-RS"/>
        </w:rPr>
        <w:t>претпоставке</w:t>
      </w:r>
      <w:r w:rsidRPr="0062711C">
        <w:rPr>
          <w:rFonts w:cstheme="minorHAnsi"/>
          <w:bCs/>
          <w:szCs w:val="72"/>
          <w:lang w:val="sr-Cyrl-RS"/>
        </w:rPr>
        <w:t xml:space="preserve"> материјализације негативних ризика из међународног окружења што би се неповољно одразило на извозну активност наше привреде, већу инфлацију услед шокова на тржишту енергената и мањи реални расположив доходак становништва и приватну потрошњу, као и на спорији раст инвестиција, пре свега </w:t>
      </w:r>
      <w:r w:rsidRPr="0062711C">
        <w:rPr>
          <w:rFonts w:cstheme="minorHAnsi"/>
          <w:bCs/>
          <w:szCs w:val="72"/>
          <w:lang w:val="sr-Cyrl-RS"/>
        </w:rPr>
        <w:lastRenderedPageBreak/>
        <w:t>приватних. Материјализација ових ризика имала би за последицу мању средњорочну стопу раста БДП у периоду 2025</w:t>
      </w:r>
      <w:r w:rsidR="00A14C5A" w:rsidRPr="0062711C">
        <w:rPr>
          <w:rFonts w:cstheme="minorHAnsi"/>
          <w:bCs/>
          <w:szCs w:val="72"/>
          <w:lang w:val="sr-Cyrl-RS"/>
        </w:rPr>
        <w:t>–</w:t>
      </w:r>
      <w:r w:rsidRPr="0062711C">
        <w:rPr>
          <w:rFonts w:cstheme="minorHAnsi"/>
          <w:bCs/>
          <w:szCs w:val="72"/>
          <w:lang w:val="sr-Cyrl-RS"/>
        </w:rPr>
        <w:t>2027. године за 1,4 п.п. просечно од оне у основном сценарију и износила би 2,7% просечно годишње. С друге стране, материјализација позитивних ризика имала би за резултат снажнији раст свих агрегата, посебно извоза и инвестиција у односу на основни сценарио, и нешто умереније приватне потрошње. У таквом, оптимистичном сценарију, средњорочна стопа раста БДП у периоду 2025</w:t>
      </w:r>
      <w:r w:rsidR="00A14C5A" w:rsidRPr="0062711C">
        <w:rPr>
          <w:rFonts w:cstheme="minorHAnsi"/>
          <w:bCs/>
          <w:szCs w:val="72"/>
          <w:lang w:val="sr-Cyrl-RS"/>
        </w:rPr>
        <w:t>–</w:t>
      </w:r>
      <w:r w:rsidRPr="0062711C">
        <w:rPr>
          <w:rFonts w:cstheme="minorHAnsi"/>
          <w:bCs/>
          <w:szCs w:val="72"/>
          <w:lang w:val="sr-Cyrl-RS"/>
        </w:rPr>
        <w:t>2027. године била би за 1,4 п.п. просечно годишње већа од оне у основно</w:t>
      </w:r>
      <w:r w:rsidR="00003DDE" w:rsidRPr="0062711C">
        <w:rPr>
          <w:rFonts w:cstheme="minorHAnsi"/>
          <w:bCs/>
          <w:szCs w:val="72"/>
          <w:lang w:val="sr-Cyrl-RS"/>
        </w:rPr>
        <w:t>м сценарију и износила би 5,5%.</w:t>
      </w:r>
    </w:p>
    <w:p w14:paraId="7414F0C0" w14:textId="77777777" w:rsidR="00105AE6" w:rsidRPr="0062711C" w:rsidRDefault="00105AE6" w:rsidP="005C539B">
      <w:pPr>
        <w:spacing w:after="0"/>
        <w:jc w:val="center"/>
        <w:rPr>
          <w:rFonts w:cstheme="minorHAnsi"/>
          <w:b/>
          <w:color w:val="002060"/>
          <w:lang w:val="sr-Cyrl-RS"/>
        </w:rPr>
      </w:pPr>
      <w:r w:rsidRPr="0062711C">
        <w:rPr>
          <w:rFonts w:cstheme="minorHAnsi"/>
          <w:b/>
          <w:color w:val="002060"/>
          <w:lang w:val="sr-Cyrl-RS"/>
        </w:rPr>
        <w:t>Пројекција кретања БДП са матрицом ризика, стопе раста, %</w:t>
      </w:r>
    </w:p>
    <w:p w14:paraId="6264DC1A" w14:textId="77777777" w:rsidR="00105AE6" w:rsidRPr="0062711C" w:rsidRDefault="00105AE6" w:rsidP="005C539B">
      <w:pPr>
        <w:spacing w:after="60"/>
        <w:rPr>
          <w:rFonts w:cstheme="minorHAnsi"/>
          <w:sz w:val="16"/>
          <w:lang w:val="sr-Cyrl-RS"/>
        </w:rPr>
      </w:pPr>
      <w:r w:rsidRPr="0062711C">
        <w:rPr>
          <w:noProof/>
          <w:lang w:val="en-GB" w:eastAsia="en-GB"/>
        </w:rPr>
        <w:drawing>
          <wp:inline distT="0" distB="0" distL="0" distR="0" wp14:anchorId="4DD1354B" wp14:editId="6DF66F3D">
            <wp:extent cx="2743200" cy="2012950"/>
            <wp:effectExtent l="0" t="0" r="0" b="6350"/>
            <wp:docPr id="1685810948" name="Chart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525CB014" w14:textId="053D3A91" w:rsidR="00105AE6" w:rsidRPr="0062711C" w:rsidRDefault="00BB1E84" w:rsidP="005C539B">
      <w:pPr>
        <w:spacing w:after="60"/>
        <w:jc w:val="center"/>
        <w:rPr>
          <w:rFonts w:cstheme="minorHAnsi"/>
          <w:b/>
          <w:color w:val="002060"/>
          <w:lang w:val="sr-Cyrl-RS"/>
        </w:rPr>
      </w:pPr>
      <w:r>
        <w:rPr>
          <w:rFonts w:cstheme="minorHAnsi"/>
          <w:b/>
          <w:color w:val="002060"/>
          <w:lang w:val="sr-Cyrl-RS"/>
        </w:rPr>
        <w:t>Табела 5</w:t>
      </w:r>
      <w:r w:rsidRPr="0062711C">
        <w:rPr>
          <w:rFonts w:cstheme="minorHAnsi"/>
          <w:b/>
          <w:color w:val="002060"/>
          <w:lang w:val="sr-Cyrl-RS"/>
        </w:rPr>
        <w:t>.</w:t>
      </w:r>
      <w:r>
        <w:rPr>
          <w:rFonts w:cstheme="minorHAnsi"/>
          <w:b/>
          <w:color w:val="002060"/>
        </w:rPr>
        <w:t xml:space="preserve"> </w:t>
      </w:r>
      <w:r w:rsidR="00105AE6" w:rsidRPr="0062711C">
        <w:rPr>
          <w:rFonts w:cstheme="minorHAnsi"/>
          <w:b/>
          <w:color w:val="002060"/>
          <w:lang w:val="sr-Cyrl-RS"/>
        </w:rPr>
        <w:t>Просечне стопе раста</w:t>
      </w:r>
      <w:r w:rsidR="00A66F46" w:rsidRPr="0062711C">
        <w:rPr>
          <w:rFonts w:cstheme="minorHAnsi"/>
          <w:b/>
          <w:color w:val="002060"/>
          <w:lang w:val="sr-Cyrl-RS"/>
        </w:rPr>
        <w:t xml:space="preserve"> (%)</w:t>
      </w:r>
      <w:r w:rsidR="00105AE6" w:rsidRPr="0062711C">
        <w:rPr>
          <w:rFonts w:cstheme="minorHAnsi"/>
          <w:b/>
          <w:color w:val="002060"/>
          <w:lang w:val="sr-Cyrl-RS"/>
        </w:rPr>
        <w:t xml:space="preserve"> у периоду 2025</w:t>
      </w:r>
      <w:r w:rsidR="00A14C5A" w:rsidRPr="0062711C">
        <w:rPr>
          <w:rFonts w:cstheme="minorHAnsi"/>
          <w:b/>
          <w:color w:val="002060"/>
          <w:lang w:val="sr-Cyrl-RS"/>
        </w:rPr>
        <w:t>–</w:t>
      </w:r>
      <w:r w:rsidR="00105AE6" w:rsidRPr="0062711C">
        <w:rPr>
          <w:rFonts w:cstheme="minorHAnsi"/>
          <w:b/>
          <w:color w:val="002060"/>
          <w:lang w:val="sr-Cyrl-RS"/>
        </w:rPr>
        <w:t>2027 у зависности од сценарија</w:t>
      </w:r>
    </w:p>
    <w:tbl>
      <w:tblPr>
        <w:tblW w:w="4395" w:type="dxa"/>
        <w:tblCellMar>
          <w:left w:w="0" w:type="dxa"/>
          <w:right w:w="0" w:type="dxa"/>
        </w:tblCellMar>
        <w:tblLook w:val="04A0" w:firstRow="1" w:lastRow="0" w:firstColumn="1" w:lastColumn="0" w:noHBand="0" w:noVBand="1"/>
      </w:tblPr>
      <w:tblGrid>
        <w:gridCol w:w="1380"/>
        <w:gridCol w:w="888"/>
        <w:gridCol w:w="1060"/>
        <w:gridCol w:w="1067"/>
      </w:tblGrid>
      <w:tr w:rsidR="00105AE6" w:rsidRPr="00270862" w14:paraId="440CA901" w14:textId="77777777" w:rsidTr="00270862">
        <w:trPr>
          <w:trHeight w:val="227"/>
        </w:trPr>
        <w:tc>
          <w:tcPr>
            <w:tcW w:w="1380" w:type="dxa"/>
            <w:tcBorders>
              <w:top w:val="single" w:sz="4" w:space="0" w:color="002060"/>
              <w:left w:val="nil"/>
              <w:bottom w:val="single" w:sz="8" w:space="0" w:color="FFFFFF"/>
              <w:right w:val="nil"/>
            </w:tcBorders>
            <w:shd w:val="clear" w:color="auto" w:fill="auto"/>
            <w:vAlign w:val="center"/>
            <w:hideMark/>
          </w:tcPr>
          <w:p w14:paraId="48DBD8EA"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p>
        </w:tc>
        <w:tc>
          <w:tcPr>
            <w:tcW w:w="3015" w:type="dxa"/>
            <w:gridSpan w:val="3"/>
            <w:tcBorders>
              <w:top w:val="single" w:sz="4" w:space="0" w:color="002060"/>
              <w:left w:val="nil"/>
              <w:bottom w:val="single" w:sz="4" w:space="0" w:color="002060"/>
              <w:right w:val="nil"/>
            </w:tcBorders>
            <w:shd w:val="clear" w:color="auto" w:fill="auto"/>
            <w:vAlign w:val="center"/>
            <w:hideMark/>
          </w:tcPr>
          <w:p w14:paraId="351D6732"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Сценарио</w:t>
            </w:r>
          </w:p>
        </w:tc>
      </w:tr>
      <w:tr w:rsidR="00105AE6" w:rsidRPr="00270862" w14:paraId="65728865" w14:textId="77777777" w:rsidTr="00270862">
        <w:trPr>
          <w:trHeight w:val="227"/>
        </w:trPr>
        <w:tc>
          <w:tcPr>
            <w:tcW w:w="1380" w:type="dxa"/>
            <w:tcBorders>
              <w:top w:val="nil"/>
              <w:left w:val="nil"/>
              <w:bottom w:val="nil"/>
              <w:right w:val="nil"/>
            </w:tcBorders>
            <w:shd w:val="clear" w:color="auto" w:fill="auto"/>
            <w:vAlign w:val="center"/>
            <w:hideMark/>
          </w:tcPr>
          <w:p w14:paraId="34BC5BEA"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p>
        </w:tc>
        <w:tc>
          <w:tcPr>
            <w:tcW w:w="888" w:type="dxa"/>
            <w:tcBorders>
              <w:top w:val="nil"/>
              <w:left w:val="nil"/>
              <w:bottom w:val="single" w:sz="4" w:space="0" w:color="002060"/>
              <w:right w:val="nil"/>
            </w:tcBorders>
            <w:shd w:val="clear" w:color="auto" w:fill="auto"/>
            <w:vAlign w:val="center"/>
            <w:hideMark/>
          </w:tcPr>
          <w:p w14:paraId="391EDD9A"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Централни</w:t>
            </w:r>
          </w:p>
        </w:tc>
        <w:tc>
          <w:tcPr>
            <w:tcW w:w="1060" w:type="dxa"/>
            <w:tcBorders>
              <w:top w:val="nil"/>
              <w:left w:val="nil"/>
              <w:bottom w:val="single" w:sz="4" w:space="0" w:color="002060"/>
              <w:right w:val="nil"/>
            </w:tcBorders>
            <w:shd w:val="clear" w:color="auto" w:fill="auto"/>
            <w:vAlign w:val="center"/>
            <w:hideMark/>
          </w:tcPr>
          <w:p w14:paraId="70281C42"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Оптимистични</w:t>
            </w:r>
          </w:p>
        </w:tc>
        <w:tc>
          <w:tcPr>
            <w:tcW w:w="1067" w:type="dxa"/>
            <w:tcBorders>
              <w:top w:val="nil"/>
              <w:left w:val="nil"/>
              <w:bottom w:val="single" w:sz="4" w:space="0" w:color="002060"/>
              <w:right w:val="nil"/>
            </w:tcBorders>
            <w:shd w:val="clear" w:color="auto" w:fill="auto"/>
            <w:vAlign w:val="center"/>
            <w:hideMark/>
          </w:tcPr>
          <w:p w14:paraId="4DD0FC79"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Песимистични</w:t>
            </w:r>
          </w:p>
        </w:tc>
      </w:tr>
      <w:tr w:rsidR="00105AE6" w:rsidRPr="00270862" w14:paraId="2E3DFE02" w14:textId="77777777" w:rsidTr="00270862">
        <w:trPr>
          <w:trHeight w:val="293"/>
        </w:trPr>
        <w:tc>
          <w:tcPr>
            <w:tcW w:w="1380" w:type="dxa"/>
            <w:tcBorders>
              <w:top w:val="nil"/>
              <w:left w:val="nil"/>
              <w:bottom w:val="nil"/>
              <w:right w:val="nil"/>
            </w:tcBorders>
            <w:shd w:val="clear" w:color="auto" w:fill="auto"/>
            <w:vAlign w:val="center"/>
            <w:hideMark/>
          </w:tcPr>
          <w:p w14:paraId="75E76DBE" w14:textId="77777777" w:rsidR="00105AE6" w:rsidRPr="00270862" w:rsidRDefault="00105AE6" w:rsidP="005C539B">
            <w:pPr>
              <w:spacing w:after="0" w:line="240" w:lineRule="auto"/>
              <w:jc w:val="left"/>
              <w:rPr>
                <w:rFonts w:ascii="Calibri" w:eastAsia="Times New Roman" w:hAnsi="Calibri" w:cs="Calibri"/>
                <w:b/>
                <w:bCs/>
                <w:color w:val="002060"/>
                <w:sz w:val="16"/>
                <w:szCs w:val="16"/>
                <w:lang w:val="sr-Cyrl-RS"/>
              </w:rPr>
            </w:pPr>
            <w:r w:rsidRPr="00270862">
              <w:rPr>
                <w:rFonts w:ascii="Calibri" w:eastAsia="Times New Roman" w:hAnsi="Calibri" w:cs="Calibri"/>
                <w:b/>
                <w:bCs/>
                <w:color w:val="002060"/>
                <w:sz w:val="16"/>
                <w:szCs w:val="16"/>
                <w:lang w:val="sr-Cyrl-RS"/>
              </w:rPr>
              <w:t>Реални раст БДП</w:t>
            </w:r>
          </w:p>
        </w:tc>
        <w:tc>
          <w:tcPr>
            <w:tcW w:w="888" w:type="dxa"/>
            <w:tcBorders>
              <w:top w:val="nil"/>
              <w:left w:val="nil"/>
              <w:bottom w:val="nil"/>
              <w:right w:val="nil"/>
            </w:tcBorders>
            <w:shd w:val="clear" w:color="auto" w:fill="auto"/>
            <w:vAlign w:val="center"/>
            <w:hideMark/>
          </w:tcPr>
          <w:p w14:paraId="4A6A172C" w14:textId="77777777" w:rsidR="00105AE6" w:rsidRPr="00270862" w:rsidRDefault="00105AE6" w:rsidP="005C539B">
            <w:pPr>
              <w:spacing w:after="0" w:line="240" w:lineRule="auto"/>
              <w:jc w:val="center"/>
              <w:rPr>
                <w:rFonts w:ascii="Calibri" w:eastAsia="Times New Roman" w:hAnsi="Calibri" w:cs="Calibri"/>
                <w:b/>
                <w:bCs/>
                <w:color w:val="002060"/>
                <w:sz w:val="16"/>
                <w:szCs w:val="16"/>
                <w:lang w:val="sr-Cyrl-RS"/>
              </w:rPr>
            </w:pPr>
            <w:r w:rsidRPr="00270862">
              <w:rPr>
                <w:rFonts w:ascii="Calibri" w:eastAsia="Times New Roman" w:hAnsi="Calibri" w:cs="Calibri"/>
                <w:b/>
                <w:bCs/>
                <w:color w:val="002060"/>
                <w:sz w:val="16"/>
                <w:szCs w:val="16"/>
                <w:lang w:val="sr-Cyrl-RS"/>
              </w:rPr>
              <w:t>4,1</w:t>
            </w:r>
          </w:p>
        </w:tc>
        <w:tc>
          <w:tcPr>
            <w:tcW w:w="1060" w:type="dxa"/>
            <w:tcBorders>
              <w:top w:val="nil"/>
              <w:left w:val="nil"/>
              <w:bottom w:val="nil"/>
              <w:right w:val="nil"/>
            </w:tcBorders>
            <w:shd w:val="clear" w:color="auto" w:fill="auto"/>
            <w:vAlign w:val="center"/>
            <w:hideMark/>
          </w:tcPr>
          <w:p w14:paraId="6307C448" w14:textId="77777777" w:rsidR="00105AE6" w:rsidRPr="00270862" w:rsidRDefault="00105AE6" w:rsidP="005C539B">
            <w:pPr>
              <w:spacing w:after="0" w:line="240" w:lineRule="auto"/>
              <w:jc w:val="center"/>
              <w:rPr>
                <w:rFonts w:ascii="Calibri" w:eastAsia="Times New Roman" w:hAnsi="Calibri" w:cs="Calibri"/>
                <w:b/>
                <w:bCs/>
                <w:color w:val="002060"/>
                <w:sz w:val="16"/>
                <w:szCs w:val="16"/>
                <w:lang w:val="sr-Cyrl-RS"/>
              </w:rPr>
            </w:pPr>
            <w:r w:rsidRPr="00270862">
              <w:rPr>
                <w:rFonts w:ascii="Calibri" w:eastAsia="Times New Roman" w:hAnsi="Calibri" w:cs="Calibri"/>
                <w:b/>
                <w:bCs/>
                <w:color w:val="002060"/>
                <w:sz w:val="16"/>
                <w:szCs w:val="16"/>
                <w:lang w:val="sr-Cyrl-RS"/>
              </w:rPr>
              <w:t>5,5</w:t>
            </w:r>
          </w:p>
        </w:tc>
        <w:tc>
          <w:tcPr>
            <w:tcW w:w="1067" w:type="dxa"/>
            <w:tcBorders>
              <w:top w:val="nil"/>
              <w:left w:val="nil"/>
              <w:bottom w:val="nil"/>
              <w:right w:val="nil"/>
            </w:tcBorders>
            <w:shd w:val="clear" w:color="auto" w:fill="auto"/>
            <w:vAlign w:val="center"/>
            <w:hideMark/>
          </w:tcPr>
          <w:p w14:paraId="3C01DB11" w14:textId="77777777" w:rsidR="00105AE6" w:rsidRPr="00270862" w:rsidRDefault="00105AE6" w:rsidP="005C539B">
            <w:pPr>
              <w:spacing w:after="0" w:line="240" w:lineRule="auto"/>
              <w:jc w:val="center"/>
              <w:rPr>
                <w:rFonts w:ascii="Calibri" w:eastAsia="Times New Roman" w:hAnsi="Calibri" w:cs="Calibri"/>
                <w:b/>
                <w:bCs/>
                <w:color w:val="002060"/>
                <w:sz w:val="16"/>
                <w:szCs w:val="16"/>
                <w:lang w:val="sr-Cyrl-RS"/>
              </w:rPr>
            </w:pPr>
            <w:r w:rsidRPr="00270862">
              <w:rPr>
                <w:rFonts w:ascii="Calibri" w:eastAsia="Times New Roman" w:hAnsi="Calibri" w:cs="Calibri"/>
                <w:b/>
                <w:bCs/>
                <w:color w:val="002060"/>
                <w:sz w:val="16"/>
                <w:szCs w:val="16"/>
                <w:lang w:val="sr-Cyrl-RS"/>
              </w:rPr>
              <w:t>2,7</w:t>
            </w:r>
          </w:p>
        </w:tc>
      </w:tr>
      <w:tr w:rsidR="00105AE6" w:rsidRPr="00270862" w14:paraId="294E167B" w14:textId="77777777" w:rsidTr="00270862">
        <w:trPr>
          <w:trHeight w:val="293"/>
        </w:trPr>
        <w:tc>
          <w:tcPr>
            <w:tcW w:w="1380" w:type="dxa"/>
            <w:tcBorders>
              <w:top w:val="nil"/>
              <w:left w:val="nil"/>
              <w:bottom w:val="nil"/>
              <w:right w:val="nil"/>
            </w:tcBorders>
            <w:shd w:val="clear" w:color="auto" w:fill="auto"/>
            <w:vAlign w:val="center"/>
            <w:hideMark/>
          </w:tcPr>
          <w:p w14:paraId="1B465C9C" w14:textId="77777777" w:rsidR="00105AE6" w:rsidRPr="00270862" w:rsidRDefault="00105AE6" w:rsidP="005C539B">
            <w:pPr>
              <w:spacing w:after="0" w:line="240" w:lineRule="auto"/>
              <w:jc w:val="left"/>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Лична потрошња</w:t>
            </w:r>
          </w:p>
        </w:tc>
        <w:tc>
          <w:tcPr>
            <w:tcW w:w="888" w:type="dxa"/>
            <w:tcBorders>
              <w:top w:val="nil"/>
              <w:left w:val="nil"/>
              <w:bottom w:val="nil"/>
              <w:right w:val="nil"/>
            </w:tcBorders>
            <w:shd w:val="clear" w:color="auto" w:fill="auto"/>
            <w:vAlign w:val="center"/>
            <w:hideMark/>
          </w:tcPr>
          <w:p w14:paraId="755B83E4"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3,2</w:t>
            </w:r>
          </w:p>
        </w:tc>
        <w:tc>
          <w:tcPr>
            <w:tcW w:w="1060" w:type="dxa"/>
            <w:tcBorders>
              <w:top w:val="nil"/>
              <w:left w:val="nil"/>
              <w:bottom w:val="nil"/>
              <w:right w:val="nil"/>
            </w:tcBorders>
            <w:shd w:val="clear" w:color="auto" w:fill="auto"/>
            <w:vAlign w:val="center"/>
            <w:hideMark/>
          </w:tcPr>
          <w:p w14:paraId="52DFBD02"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4,9</w:t>
            </w:r>
          </w:p>
        </w:tc>
        <w:tc>
          <w:tcPr>
            <w:tcW w:w="1067" w:type="dxa"/>
            <w:tcBorders>
              <w:top w:val="nil"/>
              <w:left w:val="nil"/>
              <w:bottom w:val="nil"/>
              <w:right w:val="nil"/>
            </w:tcBorders>
            <w:shd w:val="clear" w:color="auto" w:fill="auto"/>
            <w:vAlign w:val="center"/>
            <w:hideMark/>
          </w:tcPr>
          <w:p w14:paraId="6C62E73E"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2,4</w:t>
            </w:r>
          </w:p>
        </w:tc>
      </w:tr>
      <w:tr w:rsidR="00105AE6" w:rsidRPr="00270862" w14:paraId="6752FCF3" w14:textId="77777777" w:rsidTr="00270862">
        <w:trPr>
          <w:trHeight w:val="293"/>
        </w:trPr>
        <w:tc>
          <w:tcPr>
            <w:tcW w:w="1380" w:type="dxa"/>
            <w:tcBorders>
              <w:top w:val="nil"/>
              <w:left w:val="nil"/>
              <w:bottom w:val="nil"/>
              <w:right w:val="nil"/>
            </w:tcBorders>
            <w:shd w:val="clear" w:color="auto" w:fill="auto"/>
            <w:vAlign w:val="center"/>
            <w:hideMark/>
          </w:tcPr>
          <w:p w14:paraId="33C14852" w14:textId="77777777" w:rsidR="00105AE6" w:rsidRPr="00270862" w:rsidRDefault="00105AE6" w:rsidP="005C539B">
            <w:pPr>
              <w:spacing w:after="0" w:line="240" w:lineRule="auto"/>
              <w:jc w:val="left"/>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Државна потрошња</w:t>
            </w:r>
          </w:p>
        </w:tc>
        <w:tc>
          <w:tcPr>
            <w:tcW w:w="888" w:type="dxa"/>
            <w:tcBorders>
              <w:top w:val="nil"/>
              <w:left w:val="nil"/>
              <w:bottom w:val="nil"/>
              <w:right w:val="nil"/>
            </w:tcBorders>
            <w:shd w:val="clear" w:color="auto" w:fill="auto"/>
            <w:vAlign w:val="center"/>
            <w:hideMark/>
          </w:tcPr>
          <w:p w14:paraId="19005140"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2,1</w:t>
            </w:r>
          </w:p>
        </w:tc>
        <w:tc>
          <w:tcPr>
            <w:tcW w:w="1060" w:type="dxa"/>
            <w:tcBorders>
              <w:top w:val="nil"/>
              <w:left w:val="nil"/>
              <w:bottom w:val="nil"/>
              <w:right w:val="nil"/>
            </w:tcBorders>
            <w:shd w:val="clear" w:color="auto" w:fill="auto"/>
            <w:vAlign w:val="center"/>
            <w:hideMark/>
          </w:tcPr>
          <w:p w14:paraId="3C39C776"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3,6</w:t>
            </w:r>
          </w:p>
        </w:tc>
        <w:tc>
          <w:tcPr>
            <w:tcW w:w="1067" w:type="dxa"/>
            <w:tcBorders>
              <w:top w:val="nil"/>
              <w:left w:val="nil"/>
              <w:bottom w:val="nil"/>
              <w:right w:val="nil"/>
            </w:tcBorders>
            <w:shd w:val="clear" w:color="auto" w:fill="auto"/>
            <w:vAlign w:val="center"/>
            <w:hideMark/>
          </w:tcPr>
          <w:p w14:paraId="0FA5D116"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0,7</w:t>
            </w:r>
          </w:p>
        </w:tc>
      </w:tr>
      <w:tr w:rsidR="00105AE6" w:rsidRPr="00270862" w14:paraId="4280E968" w14:textId="77777777" w:rsidTr="00270862">
        <w:trPr>
          <w:trHeight w:val="293"/>
        </w:trPr>
        <w:tc>
          <w:tcPr>
            <w:tcW w:w="1380" w:type="dxa"/>
            <w:tcBorders>
              <w:top w:val="nil"/>
              <w:left w:val="nil"/>
              <w:bottom w:val="nil"/>
              <w:right w:val="nil"/>
            </w:tcBorders>
            <w:shd w:val="clear" w:color="auto" w:fill="auto"/>
            <w:vAlign w:val="center"/>
            <w:hideMark/>
          </w:tcPr>
          <w:p w14:paraId="75BEECD0" w14:textId="77777777" w:rsidR="00105AE6" w:rsidRPr="00270862" w:rsidRDefault="00105AE6" w:rsidP="005C539B">
            <w:pPr>
              <w:spacing w:after="0" w:line="240" w:lineRule="auto"/>
              <w:jc w:val="left"/>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Бруто инвестиције у основна средства</w:t>
            </w:r>
          </w:p>
        </w:tc>
        <w:tc>
          <w:tcPr>
            <w:tcW w:w="888" w:type="dxa"/>
            <w:tcBorders>
              <w:top w:val="nil"/>
              <w:left w:val="nil"/>
              <w:bottom w:val="nil"/>
              <w:right w:val="nil"/>
            </w:tcBorders>
            <w:shd w:val="clear" w:color="auto" w:fill="auto"/>
            <w:vAlign w:val="center"/>
            <w:hideMark/>
          </w:tcPr>
          <w:p w14:paraId="388FCF0A"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7,2</w:t>
            </w:r>
          </w:p>
        </w:tc>
        <w:tc>
          <w:tcPr>
            <w:tcW w:w="1060" w:type="dxa"/>
            <w:tcBorders>
              <w:top w:val="nil"/>
              <w:left w:val="nil"/>
              <w:bottom w:val="nil"/>
              <w:right w:val="nil"/>
            </w:tcBorders>
            <w:shd w:val="clear" w:color="auto" w:fill="auto"/>
            <w:vAlign w:val="center"/>
            <w:hideMark/>
          </w:tcPr>
          <w:p w14:paraId="000686A2"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9,8</w:t>
            </w:r>
          </w:p>
        </w:tc>
        <w:tc>
          <w:tcPr>
            <w:tcW w:w="1067" w:type="dxa"/>
            <w:tcBorders>
              <w:top w:val="nil"/>
              <w:left w:val="nil"/>
              <w:bottom w:val="nil"/>
              <w:right w:val="nil"/>
            </w:tcBorders>
            <w:shd w:val="clear" w:color="auto" w:fill="auto"/>
            <w:vAlign w:val="center"/>
            <w:hideMark/>
          </w:tcPr>
          <w:p w14:paraId="156799B8"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3,1</w:t>
            </w:r>
          </w:p>
        </w:tc>
      </w:tr>
      <w:tr w:rsidR="00105AE6" w:rsidRPr="00270862" w14:paraId="75BA9946" w14:textId="77777777" w:rsidTr="00270862">
        <w:trPr>
          <w:trHeight w:val="293"/>
        </w:trPr>
        <w:tc>
          <w:tcPr>
            <w:tcW w:w="1380" w:type="dxa"/>
            <w:tcBorders>
              <w:top w:val="nil"/>
              <w:left w:val="nil"/>
              <w:right w:val="nil"/>
            </w:tcBorders>
            <w:shd w:val="clear" w:color="auto" w:fill="auto"/>
            <w:vAlign w:val="center"/>
            <w:hideMark/>
          </w:tcPr>
          <w:p w14:paraId="66871FCD" w14:textId="77777777" w:rsidR="00105AE6" w:rsidRPr="00270862" w:rsidRDefault="00105AE6" w:rsidP="005C539B">
            <w:pPr>
              <w:spacing w:after="0" w:line="240" w:lineRule="auto"/>
              <w:jc w:val="left"/>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Извоз робе и услуга</w:t>
            </w:r>
          </w:p>
        </w:tc>
        <w:tc>
          <w:tcPr>
            <w:tcW w:w="888" w:type="dxa"/>
            <w:tcBorders>
              <w:top w:val="nil"/>
              <w:left w:val="nil"/>
              <w:right w:val="nil"/>
            </w:tcBorders>
            <w:shd w:val="clear" w:color="auto" w:fill="auto"/>
            <w:vAlign w:val="center"/>
            <w:hideMark/>
          </w:tcPr>
          <w:p w14:paraId="68DBEE1C"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8,2</w:t>
            </w:r>
          </w:p>
        </w:tc>
        <w:tc>
          <w:tcPr>
            <w:tcW w:w="1060" w:type="dxa"/>
            <w:tcBorders>
              <w:top w:val="nil"/>
              <w:left w:val="nil"/>
              <w:right w:val="nil"/>
            </w:tcBorders>
            <w:shd w:val="clear" w:color="auto" w:fill="auto"/>
            <w:vAlign w:val="center"/>
            <w:hideMark/>
          </w:tcPr>
          <w:p w14:paraId="584AA4ED"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10,4</w:t>
            </w:r>
          </w:p>
        </w:tc>
        <w:tc>
          <w:tcPr>
            <w:tcW w:w="1067" w:type="dxa"/>
            <w:tcBorders>
              <w:top w:val="nil"/>
              <w:left w:val="nil"/>
              <w:right w:val="nil"/>
            </w:tcBorders>
            <w:shd w:val="clear" w:color="auto" w:fill="auto"/>
            <w:vAlign w:val="center"/>
            <w:hideMark/>
          </w:tcPr>
          <w:p w14:paraId="42A6027F"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4,0</w:t>
            </w:r>
          </w:p>
        </w:tc>
      </w:tr>
      <w:tr w:rsidR="00105AE6" w:rsidRPr="00270862" w14:paraId="3BCD2B39" w14:textId="77777777" w:rsidTr="00270862">
        <w:trPr>
          <w:trHeight w:val="293"/>
        </w:trPr>
        <w:tc>
          <w:tcPr>
            <w:tcW w:w="1380" w:type="dxa"/>
            <w:tcBorders>
              <w:top w:val="nil"/>
              <w:left w:val="nil"/>
              <w:bottom w:val="single" w:sz="4" w:space="0" w:color="002060"/>
              <w:right w:val="nil"/>
            </w:tcBorders>
            <w:shd w:val="clear" w:color="auto" w:fill="auto"/>
            <w:vAlign w:val="center"/>
            <w:hideMark/>
          </w:tcPr>
          <w:p w14:paraId="12971C27" w14:textId="77777777" w:rsidR="00105AE6" w:rsidRPr="00270862" w:rsidRDefault="00105AE6" w:rsidP="005C539B">
            <w:pPr>
              <w:spacing w:after="0" w:line="240" w:lineRule="auto"/>
              <w:jc w:val="left"/>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Увоз робе и услуга</w:t>
            </w:r>
          </w:p>
        </w:tc>
        <w:tc>
          <w:tcPr>
            <w:tcW w:w="888" w:type="dxa"/>
            <w:tcBorders>
              <w:top w:val="nil"/>
              <w:left w:val="nil"/>
              <w:bottom w:val="single" w:sz="4" w:space="0" w:color="002060"/>
              <w:right w:val="nil"/>
            </w:tcBorders>
            <w:shd w:val="clear" w:color="auto" w:fill="auto"/>
            <w:vAlign w:val="center"/>
            <w:hideMark/>
          </w:tcPr>
          <w:p w14:paraId="4A1FB240"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7,6</w:t>
            </w:r>
          </w:p>
        </w:tc>
        <w:tc>
          <w:tcPr>
            <w:tcW w:w="1060" w:type="dxa"/>
            <w:tcBorders>
              <w:top w:val="nil"/>
              <w:left w:val="nil"/>
              <w:bottom w:val="single" w:sz="4" w:space="0" w:color="002060"/>
              <w:right w:val="nil"/>
            </w:tcBorders>
            <w:shd w:val="clear" w:color="auto" w:fill="auto"/>
            <w:vAlign w:val="center"/>
            <w:hideMark/>
          </w:tcPr>
          <w:p w14:paraId="3D060FED"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10,4</w:t>
            </w:r>
          </w:p>
        </w:tc>
        <w:tc>
          <w:tcPr>
            <w:tcW w:w="1067" w:type="dxa"/>
            <w:tcBorders>
              <w:top w:val="nil"/>
              <w:left w:val="nil"/>
              <w:bottom w:val="single" w:sz="4" w:space="0" w:color="002060"/>
              <w:right w:val="nil"/>
            </w:tcBorders>
            <w:shd w:val="clear" w:color="auto" w:fill="auto"/>
            <w:vAlign w:val="center"/>
            <w:hideMark/>
          </w:tcPr>
          <w:p w14:paraId="2C9DC64C" w14:textId="77777777" w:rsidR="00105AE6" w:rsidRPr="00270862" w:rsidRDefault="00105AE6" w:rsidP="005C539B">
            <w:pPr>
              <w:spacing w:after="0" w:line="240" w:lineRule="auto"/>
              <w:jc w:val="center"/>
              <w:rPr>
                <w:rFonts w:ascii="Calibri" w:eastAsia="Times New Roman" w:hAnsi="Calibri" w:cs="Calibri"/>
                <w:color w:val="002060"/>
                <w:sz w:val="16"/>
                <w:szCs w:val="16"/>
                <w:lang w:val="sr-Cyrl-RS"/>
              </w:rPr>
            </w:pPr>
            <w:r w:rsidRPr="00270862">
              <w:rPr>
                <w:rFonts w:ascii="Calibri" w:eastAsia="Times New Roman" w:hAnsi="Calibri" w:cs="Calibri"/>
                <w:color w:val="002060"/>
                <w:sz w:val="16"/>
                <w:szCs w:val="16"/>
                <w:lang w:val="sr-Cyrl-RS"/>
              </w:rPr>
              <w:t>3,0</w:t>
            </w:r>
          </w:p>
        </w:tc>
      </w:tr>
    </w:tbl>
    <w:p w14:paraId="49000CD6" w14:textId="77777777" w:rsidR="00105AE6" w:rsidRPr="0062711C" w:rsidRDefault="00105AE6" w:rsidP="005C539B">
      <w:pPr>
        <w:spacing w:before="40"/>
        <w:rPr>
          <w:rFonts w:cstheme="minorHAnsi"/>
          <w:sz w:val="16"/>
          <w:lang w:val="sr-Cyrl-RS"/>
        </w:rPr>
      </w:pPr>
      <w:r w:rsidRPr="0062711C">
        <w:rPr>
          <w:rFonts w:cstheme="minorHAnsi"/>
          <w:sz w:val="16"/>
          <w:lang w:val="sr-Cyrl-RS"/>
        </w:rPr>
        <w:t>Извор: Министарство финансија</w:t>
      </w:r>
    </w:p>
    <w:p w14:paraId="21F9537F" w14:textId="2A25A239" w:rsidR="00105AE6" w:rsidRPr="0062711C" w:rsidRDefault="00105AE6" w:rsidP="005C539B">
      <w:pPr>
        <w:rPr>
          <w:rFonts w:cstheme="minorHAnsi"/>
          <w:bCs/>
          <w:szCs w:val="72"/>
          <w:lang w:val="sr-Cyrl-RS"/>
        </w:rPr>
      </w:pPr>
      <w:r w:rsidRPr="0062711C">
        <w:rPr>
          <w:rFonts w:cstheme="minorHAnsi"/>
          <w:bCs/>
          <w:szCs w:val="72"/>
          <w:lang w:val="sr-Cyrl-RS"/>
        </w:rPr>
        <w:t xml:space="preserve">Према централном сценарију, у средњорочном периоду очекује се наставак раста потенцијалног БДП, а са постепеним ишчезавањем негативних ефеката међународних економских односа и </w:t>
      </w:r>
      <w:r w:rsidRPr="0062711C">
        <w:rPr>
          <w:rFonts w:cstheme="minorHAnsi"/>
          <w:bCs/>
          <w:szCs w:val="72"/>
          <w:lang w:val="sr-Cyrl-RS"/>
        </w:rPr>
        <w:t xml:space="preserve">повратак на путању раста од 4,0%. Реализације капиталних пројеката и наставак започетог инвестиционог циклуса подржани, како стабилним приливом СДИ, тако и улагањима у иновације и развој, обезбедиће све снажнији допринос капитала и факторске продуктивности расту потенцијалног БДП. Дигитализација ће значајно убрзати ове процесе и додатно подићи ефикасност искоришћености расположивих капацитета. </w:t>
      </w:r>
      <w:r w:rsidR="003A02CA">
        <w:rPr>
          <w:rFonts w:cstheme="minorHAnsi"/>
          <w:bCs/>
          <w:szCs w:val="72"/>
          <w:lang w:val="sr-Cyrl-RS"/>
        </w:rPr>
        <w:t>З</w:t>
      </w:r>
      <w:r w:rsidRPr="0062711C">
        <w:rPr>
          <w:rFonts w:cstheme="minorHAnsi"/>
          <w:bCs/>
          <w:szCs w:val="72"/>
          <w:lang w:val="sr-Cyrl-RS"/>
        </w:rPr>
        <w:t>начајна планирана улагања у енергетску инфраструктуру</w:t>
      </w:r>
      <w:r w:rsidR="003A02CA">
        <w:rPr>
          <w:rFonts w:cstheme="minorHAnsi"/>
          <w:bCs/>
          <w:szCs w:val="72"/>
          <w:lang w:val="sr-Cyrl-RS"/>
        </w:rPr>
        <w:t xml:space="preserve"> ће</w:t>
      </w:r>
      <w:r w:rsidRPr="0062711C">
        <w:rPr>
          <w:rFonts w:cstheme="minorHAnsi"/>
          <w:bCs/>
          <w:szCs w:val="72"/>
          <w:lang w:val="sr-Cyrl-RS"/>
        </w:rPr>
        <w:t xml:space="preserve"> додатно утицати на подизање потенцијала привреде. Адекватна и кредибилна монетарна политика, уз даља унапређења финансијског система и повољнији инвестициони амбијент, трансфер знања и технологија из најразвијенијих земаља треба да обезбеде позитиван утицај на оба фактора производње. Са друге стране, јачање владавине закона, реформа законодавства из области привреде и пословања, убрзање процедура и подизање ефикасности администрације треба да обезбеде максимизацију факторске продуктивности у средњем року. Повољна кретања на тржишту рада ће такође допринети расту потенцијалног БДП, мада споријим темпом него у претходном периоду.</w:t>
      </w:r>
    </w:p>
    <w:p w14:paraId="7504FC3C" w14:textId="77777777" w:rsidR="00105AE6" w:rsidRPr="0062711C" w:rsidRDefault="00105AE6" w:rsidP="005C539B">
      <w:pPr>
        <w:spacing w:after="0"/>
        <w:jc w:val="center"/>
        <w:rPr>
          <w:rFonts w:cstheme="minorHAnsi"/>
          <w:b/>
          <w:color w:val="002060"/>
          <w:lang w:val="sr-Cyrl-RS"/>
        </w:rPr>
      </w:pPr>
      <w:r w:rsidRPr="0062711C">
        <w:rPr>
          <w:rFonts w:cstheme="minorHAnsi"/>
          <w:b/>
          <w:color w:val="002060"/>
          <w:lang w:val="sr-Cyrl-RS"/>
        </w:rPr>
        <w:t>Доприноси фактора производње потенцијалној стопи раста БДП, п.п.</w:t>
      </w:r>
    </w:p>
    <w:p w14:paraId="5B4D867A" w14:textId="77777777" w:rsidR="00105AE6" w:rsidRPr="0062711C" w:rsidRDefault="00105AE6" w:rsidP="005C539B">
      <w:pPr>
        <w:spacing w:after="0"/>
        <w:rPr>
          <w:rFonts w:cstheme="minorHAnsi"/>
          <w:sz w:val="16"/>
          <w:lang w:val="sr-Cyrl-RS"/>
        </w:rPr>
      </w:pPr>
      <w:r w:rsidRPr="0062711C">
        <w:rPr>
          <w:noProof/>
          <w:lang w:val="en-GB" w:eastAsia="en-GB"/>
        </w:rPr>
        <w:drawing>
          <wp:inline distT="0" distB="0" distL="0" distR="0" wp14:anchorId="22165C17" wp14:editId="4ED7AB9B">
            <wp:extent cx="2743200" cy="2303780"/>
            <wp:effectExtent l="0" t="0" r="0" b="1270"/>
            <wp:docPr id="41" name="Chart 41">
              <a:extLst xmlns:a="http://schemas.openxmlformats.org/drawingml/2006/main">
                <a:ext uri="{FF2B5EF4-FFF2-40B4-BE49-F238E27FC236}">
                  <a16:creationId xmlns:a16="http://schemas.microsoft.com/office/drawing/2014/main" id="{00000000-0008-0000-0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482CD9C0" w14:textId="77777777" w:rsidR="00105AE6" w:rsidRPr="0062711C" w:rsidRDefault="00105AE6" w:rsidP="005C539B">
      <w:pPr>
        <w:spacing w:after="240"/>
        <w:rPr>
          <w:rFonts w:cstheme="minorHAnsi"/>
          <w:sz w:val="16"/>
          <w:lang w:val="sr-Cyrl-RS"/>
        </w:rPr>
      </w:pPr>
      <w:r w:rsidRPr="0062711C">
        <w:rPr>
          <w:rFonts w:cstheme="minorHAnsi"/>
          <w:sz w:val="16"/>
          <w:lang w:val="sr-Cyrl-RS"/>
        </w:rPr>
        <w:t>Извор: Министарство финансија</w:t>
      </w:r>
    </w:p>
    <w:p w14:paraId="7BAA7602" w14:textId="77777777" w:rsidR="00105AE6" w:rsidRPr="0062711C" w:rsidRDefault="00105AE6" w:rsidP="005C539B">
      <w:pPr>
        <w:spacing w:after="240"/>
        <w:rPr>
          <w:lang w:val="sr-Cyrl-RS"/>
        </w:rPr>
        <w:sectPr w:rsidR="00105AE6" w:rsidRPr="0062711C" w:rsidSect="00F45C01">
          <w:headerReference w:type="even" r:id="rId89"/>
          <w:headerReference w:type="default" r:id="rId90"/>
          <w:footerReference w:type="even" r:id="rId91"/>
          <w:footerReference w:type="default" r:id="rId92"/>
          <w:headerReference w:type="first" r:id="rId93"/>
          <w:footerReference w:type="first" r:id="rId94"/>
          <w:type w:val="continuous"/>
          <w:pgSz w:w="12240" w:h="15840" w:code="1"/>
          <w:pgMar w:top="1440" w:right="1440" w:bottom="1440" w:left="1440" w:header="720" w:footer="720" w:gutter="0"/>
          <w:cols w:num="2" w:space="720"/>
          <w:titlePg/>
          <w:docGrid w:linePitch="360"/>
          <w15:footnoteColumns w:val="1"/>
        </w:sectPr>
      </w:pPr>
    </w:p>
    <w:p w14:paraId="1DE77C6B" w14:textId="1610FC5A" w:rsidR="00105AE6" w:rsidRPr="0062711C" w:rsidRDefault="00105AE6">
      <w:pPr>
        <w:jc w:val="left"/>
        <w:rPr>
          <w:lang w:val="sr-Cyrl-RS"/>
        </w:rPr>
      </w:pPr>
      <w:r w:rsidRPr="0062711C">
        <w:rPr>
          <w:lang w:val="sr-Cyrl-RS"/>
        </w:rPr>
        <w:br w:type="page"/>
      </w:r>
    </w:p>
    <w:p w14:paraId="7B0F6F85" w14:textId="34309755" w:rsidR="00105AE6" w:rsidRPr="0062711C" w:rsidRDefault="00105AE6" w:rsidP="00161001">
      <w:pPr>
        <w:spacing w:before="40"/>
        <w:rPr>
          <w:rFonts w:cstheme="minorHAnsi"/>
          <w:bCs/>
          <w:color w:val="2F5496" w:themeColor="accent1" w:themeShade="BF"/>
          <w:szCs w:val="72"/>
          <w:lang w:val="sr-Cyrl-RS"/>
        </w:rPr>
      </w:pPr>
      <w:r w:rsidRPr="0062711C">
        <w:rPr>
          <w:b/>
          <w:bCs/>
          <w:color w:val="2F5496" w:themeColor="accent1" w:themeShade="BF"/>
          <w:sz w:val="22"/>
          <w:lang w:val="sr-Cyrl-RS"/>
        </w:rPr>
        <w:lastRenderedPageBreak/>
        <w:t>Тржиште рада</w:t>
      </w:r>
    </w:p>
    <w:p w14:paraId="1A3639BB" w14:textId="40C6BD7A" w:rsidR="00105AE6" w:rsidRPr="0062711C" w:rsidRDefault="00105AE6" w:rsidP="005C539B">
      <w:pPr>
        <w:rPr>
          <w:lang w:val="sr-Cyrl-RS"/>
        </w:rPr>
      </w:pPr>
      <w:r w:rsidRPr="0062711C">
        <w:rPr>
          <w:lang w:val="sr-Cyrl-RS"/>
        </w:rPr>
        <w:t xml:space="preserve">Тржиште рада карактерише наставак позитивних кретања и током 2024. године која се огледају у расту зарада и запослености пре свега у </w:t>
      </w:r>
      <w:r w:rsidR="00821724" w:rsidRPr="0062711C">
        <w:rPr>
          <w:lang w:val="sr-Cyrl-RS"/>
        </w:rPr>
        <w:t>приватном</w:t>
      </w:r>
      <w:r w:rsidRPr="0062711C">
        <w:rPr>
          <w:lang w:val="sr-Cyrl-RS"/>
        </w:rPr>
        <w:t xml:space="preserve"> сектору, а која су додатно подржана већим зарадама и запосленошћу у јавном сектору. Основу за овакву динамику на тржишту рада омогућила је, изнад свега, стабилност у којој се налази наша економија, упркос глобалним неизвесностима, и с тим у вези остварен виши од очекиваног раста БДП, али и рекордни ниво СДИ. Поред тога позитивна кретања резултат су континуираног рада креатора политика на побољшавању услова рада, унапређивању институција тржишта рада, подстицању запошљавања и укључивања на тржиште рада теже запошљивих лица, као и подршке регионалној и локалној политици запошљавања.</w:t>
      </w:r>
    </w:p>
    <w:p w14:paraId="2D516A84" w14:textId="06BA5879" w:rsidR="00105AE6" w:rsidRPr="0062711C" w:rsidRDefault="00105AE6" w:rsidP="00CF1194">
      <w:pPr>
        <w:spacing w:after="120"/>
        <w:rPr>
          <w:lang w:val="sr-Cyrl-RS"/>
        </w:rPr>
      </w:pPr>
      <w:r w:rsidRPr="0062711C">
        <w:rPr>
          <w:lang w:val="sr-Cyrl-RS"/>
        </w:rPr>
        <w:t>Према подацима Централног регистра обавезног социјалног осигурања (ЦРОСО), у периоду јануар</w:t>
      </w:r>
      <w:r w:rsidR="00A14C5A" w:rsidRPr="0062711C">
        <w:rPr>
          <w:lang w:val="sr-Cyrl-RS"/>
        </w:rPr>
        <w:t>–</w:t>
      </w:r>
      <w:r w:rsidRPr="0062711C">
        <w:rPr>
          <w:lang w:val="sr-Cyrl-RS"/>
        </w:rPr>
        <w:t>април 2024. године просечан број запослених био је већи за 0,6% у поређењу са истим периодом претходне године, чему је пре свега допринео раст запослености у приватном сектору од 0,7%, односно за 12,5 хиљада лица, док је у јавном сектору раст износио 0,3%, односно 1,9 хиљада лица. У овом периоду, најснажнији секторски допринос расту запослености долази од здравства и научно-техничких делатности, а позитиван допринос дали су и сектори прерађивачке индустрије, грађевинарства, услуга смештаја, ИКТ и уметност, забава и рекреација. Према подацима Националне службе за запошљавање, у истом периоду, број лица која активно траже запослење смањен је за 8,5%.</w:t>
      </w:r>
    </w:p>
    <w:p w14:paraId="27700A8B" w14:textId="77777777" w:rsidR="00105AE6" w:rsidRPr="0062711C" w:rsidRDefault="00105AE6" w:rsidP="005C539B">
      <w:pPr>
        <w:spacing w:after="0"/>
        <w:jc w:val="center"/>
        <w:rPr>
          <w:rFonts w:cstheme="minorHAnsi"/>
          <w:b/>
          <w:color w:val="002060"/>
          <w:lang w:val="sr-Cyrl-RS"/>
        </w:rPr>
      </w:pPr>
      <w:r w:rsidRPr="0062711C">
        <w:rPr>
          <w:rFonts w:cstheme="minorHAnsi"/>
          <w:b/>
          <w:color w:val="002060"/>
          <w:lang w:val="sr-Cyrl-RS"/>
        </w:rPr>
        <w:t>Кретање формалне запослености</w:t>
      </w:r>
    </w:p>
    <w:p w14:paraId="10514001" w14:textId="02F900CE" w:rsidR="00105AE6" w:rsidRPr="0062711C" w:rsidRDefault="00144189" w:rsidP="005C539B">
      <w:pPr>
        <w:spacing w:after="0"/>
        <w:rPr>
          <w:rFonts w:cstheme="minorHAnsi"/>
          <w:bCs/>
          <w:szCs w:val="72"/>
          <w:lang w:val="sr-Cyrl-RS"/>
        </w:rPr>
      </w:pPr>
      <w:r w:rsidRPr="0062711C">
        <w:rPr>
          <w:noProof/>
          <w:lang w:val="en-GB" w:eastAsia="en-GB"/>
        </w:rPr>
        <w:drawing>
          <wp:inline distT="0" distB="0" distL="0" distR="0" wp14:anchorId="0BF30683" wp14:editId="7FE85CC8">
            <wp:extent cx="2743200" cy="1764000"/>
            <wp:effectExtent l="0" t="0" r="0" b="8255"/>
            <wp:docPr id="62" name="Chart 62">
              <a:extLst xmlns:a="http://schemas.openxmlformats.org/drawingml/2006/main">
                <a:ext uri="{FF2B5EF4-FFF2-40B4-BE49-F238E27FC236}">
                  <a16:creationId xmlns:a16="http://schemas.microsoft.com/office/drawing/2014/main" id="{00000000-0008-0000-1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1811211C" w14:textId="77777777" w:rsidR="00105AE6" w:rsidRPr="0062711C" w:rsidRDefault="00105AE6" w:rsidP="00CF1194">
      <w:pPr>
        <w:spacing w:after="0" w:line="240" w:lineRule="auto"/>
        <w:rPr>
          <w:rFonts w:cstheme="minorHAnsi"/>
          <w:bCs/>
          <w:sz w:val="16"/>
          <w:szCs w:val="16"/>
          <w:lang w:val="sr-Cyrl-RS"/>
        </w:rPr>
      </w:pPr>
      <w:r w:rsidRPr="0062711C">
        <w:rPr>
          <w:rFonts w:cstheme="minorHAnsi"/>
          <w:bCs/>
          <w:sz w:val="16"/>
          <w:szCs w:val="16"/>
          <w:lang w:val="sr-Cyrl-RS"/>
        </w:rPr>
        <w:t>Извор: ЦРОСО</w:t>
      </w:r>
    </w:p>
    <w:p w14:paraId="642FF23B" w14:textId="7C43DE9B" w:rsidR="00105AE6" w:rsidRPr="0062711C" w:rsidRDefault="00105AE6" w:rsidP="005C539B">
      <w:pPr>
        <w:rPr>
          <w:rFonts w:cstheme="minorHAnsi"/>
          <w:bCs/>
          <w:spacing w:val="-2"/>
          <w:szCs w:val="72"/>
          <w:lang w:val="sr-Cyrl-RS"/>
        </w:rPr>
      </w:pPr>
      <w:r w:rsidRPr="0062711C">
        <w:rPr>
          <w:rFonts w:cstheme="minorHAnsi"/>
          <w:bCs/>
          <w:spacing w:val="-2"/>
          <w:szCs w:val="72"/>
          <w:lang w:val="sr-Cyrl-RS"/>
        </w:rPr>
        <w:t>У првом кварталу просечна нето зарада је износила 95.625 динара и била је реално већа за 8,7% у поређењу са истим периодом претходне године. Раст зарада био је већим делом опредељен реалним растом зарада у приватном сектору, који је износио 8,7% и био је вођен, пре свега повећањем зарада у прерађивачкој индустрији и трговини. Истовремено, забележено је и реално повећање зарада у јавном сектору од 8,8%, на шта је утицала одлука Владе о повећању зарада од 10% од јануара 2024. године, али и одлука о повећању зарада просветним и делу здравствених радника од 5,5% од краја 2023. године. На овако висок реални раст зарада утицало је и успоравање инфлације. Повољној динамици зарада д</w:t>
      </w:r>
      <w:r w:rsidRPr="0062711C">
        <w:rPr>
          <w:lang w:val="sr-Cyrl-RS"/>
        </w:rPr>
        <w:t xml:space="preserve">опринело је и ефектуирање политике пореског растерећења зарада из претходног периоду, које је праћено повећањем минималне цене рада </w:t>
      </w:r>
      <w:r w:rsidRPr="0062711C">
        <w:rPr>
          <w:rFonts w:cstheme="minorHAnsi"/>
          <w:bCs/>
          <w:spacing w:val="-2"/>
          <w:szCs w:val="72"/>
          <w:lang w:val="sr-Cyrl-RS"/>
        </w:rPr>
        <w:t xml:space="preserve">која је од 2024. године увећана за 17,8% и износи 271,00 динара по радном часу, а </w:t>
      </w:r>
      <w:r w:rsidRPr="0062711C">
        <w:rPr>
          <w:lang w:val="sr-Cyrl-RS"/>
        </w:rPr>
        <w:t xml:space="preserve">са циљем унапређења животног стандарда лица са најнижим примањима. </w:t>
      </w:r>
      <w:r w:rsidRPr="0062711C">
        <w:rPr>
          <w:rFonts w:cstheme="minorHAnsi"/>
          <w:bCs/>
          <w:spacing w:val="-2"/>
          <w:szCs w:val="72"/>
          <w:lang w:val="sr-Cyrl-RS"/>
        </w:rPr>
        <w:t>Овакво кретање зарада утицало је позитивно и на однос просечне зараде и просечне потрошачке корпе, па је тако повећан са 86,6% колико је износио у 2023. години на 9</w:t>
      </w:r>
      <w:r w:rsidR="003A58F2">
        <w:rPr>
          <w:rFonts w:cstheme="minorHAnsi"/>
          <w:bCs/>
          <w:spacing w:val="-2"/>
          <w:szCs w:val="72"/>
          <w:lang w:val="sr-Cyrl-RS"/>
        </w:rPr>
        <w:t>3</w:t>
      </w:r>
      <w:r w:rsidRPr="0062711C">
        <w:rPr>
          <w:rFonts w:cstheme="minorHAnsi"/>
          <w:bCs/>
          <w:spacing w:val="-2"/>
          <w:szCs w:val="72"/>
          <w:lang w:val="sr-Cyrl-RS"/>
        </w:rPr>
        <w:t>,</w:t>
      </w:r>
      <w:r w:rsidR="003A58F2">
        <w:rPr>
          <w:rFonts w:cstheme="minorHAnsi"/>
          <w:bCs/>
          <w:spacing w:val="-2"/>
          <w:szCs w:val="72"/>
          <w:lang w:val="sr-Cyrl-RS"/>
        </w:rPr>
        <w:t>4</w:t>
      </w:r>
      <w:r w:rsidRPr="0062711C">
        <w:rPr>
          <w:rFonts w:cstheme="minorHAnsi"/>
          <w:bCs/>
          <w:spacing w:val="-2"/>
          <w:szCs w:val="72"/>
          <w:lang w:val="sr-Cyrl-RS"/>
        </w:rPr>
        <w:t>% у прв</w:t>
      </w:r>
      <w:r w:rsidR="003A58F2">
        <w:rPr>
          <w:rFonts w:cstheme="minorHAnsi"/>
          <w:bCs/>
          <w:spacing w:val="-2"/>
          <w:szCs w:val="72"/>
          <w:lang w:val="sr-Cyrl-RS"/>
        </w:rPr>
        <w:t>ом</w:t>
      </w:r>
      <w:r w:rsidRPr="0062711C">
        <w:rPr>
          <w:rFonts w:cstheme="minorHAnsi"/>
          <w:bCs/>
          <w:spacing w:val="-2"/>
          <w:szCs w:val="72"/>
          <w:lang w:val="sr-Cyrl-RS"/>
        </w:rPr>
        <w:t xml:space="preserve"> </w:t>
      </w:r>
      <w:r w:rsidR="003A58F2">
        <w:rPr>
          <w:rFonts w:cstheme="minorHAnsi"/>
          <w:bCs/>
          <w:spacing w:val="-2"/>
          <w:szCs w:val="72"/>
          <w:lang w:val="sr-Cyrl-RS"/>
        </w:rPr>
        <w:t>кварталу</w:t>
      </w:r>
      <w:r w:rsidRPr="0062711C">
        <w:rPr>
          <w:rFonts w:cstheme="minorHAnsi"/>
          <w:bCs/>
          <w:spacing w:val="-2"/>
          <w:szCs w:val="72"/>
          <w:lang w:val="sr-Cyrl-RS"/>
        </w:rPr>
        <w:t xml:space="preserve"> 2024. године.</w:t>
      </w:r>
    </w:p>
    <w:p w14:paraId="1E6CB114" w14:textId="169F0C91" w:rsidR="00105AE6" w:rsidRPr="0062711C" w:rsidRDefault="00105AE6" w:rsidP="005C539B">
      <w:pPr>
        <w:rPr>
          <w:rFonts w:cstheme="minorHAnsi"/>
          <w:bCs/>
          <w:szCs w:val="72"/>
          <w:lang w:val="sr-Cyrl-RS"/>
        </w:rPr>
      </w:pPr>
      <w:r w:rsidRPr="0062711C">
        <w:rPr>
          <w:rFonts w:cstheme="minorHAnsi"/>
          <w:bCs/>
          <w:szCs w:val="72"/>
          <w:lang w:val="sr-Cyrl-RS"/>
        </w:rPr>
        <w:t>Према подацима Анкете о радној снази у 2023. години у поређењу са претходном годином</w:t>
      </w:r>
      <w:r w:rsidR="004657F5" w:rsidRPr="0062711C">
        <w:rPr>
          <w:rFonts w:cstheme="minorHAnsi"/>
          <w:bCs/>
          <w:szCs w:val="72"/>
          <w:lang w:val="sr-Cyrl-RS"/>
        </w:rPr>
        <w:t xml:space="preserve"> бележе се позитивна кретања</w:t>
      </w:r>
      <w:r w:rsidRPr="0062711C">
        <w:rPr>
          <w:rFonts w:cstheme="minorHAnsi"/>
          <w:bCs/>
          <w:szCs w:val="72"/>
          <w:lang w:val="sr-Cyrl-RS"/>
        </w:rPr>
        <w:t xml:space="preserve">. </w:t>
      </w:r>
      <w:r w:rsidR="004657F5" w:rsidRPr="0062711C">
        <w:rPr>
          <w:rFonts w:cstheme="minorHAnsi"/>
          <w:bCs/>
          <w:szCs w:val="72"/>
          <w:lang w:val="sr-Cyrl-RS"/>
        </w:rPr>
        <w:t>Тако је п</w:t>
      </w:r>
      <w:r w:rsidRPr="0062711C">
        <w:rPr>
          <w:rFonts w:cstheme="minorHAnsi"/>
          <w:bCs/>
          <w:szCs w:val="72"/>
          <w:lang w:val="sr-Cyrl-RS"/>
        </w:rPr>
        <w:t xml:space="preserve">овећан број запосленог становништва </w:t>
      </w:r>
      <w:r w:rsidR="00165FA9" w:rsidRPr="0062711C">
        <w:rPr>
          <w:rFonts w:cstheme="minorHAnsi"/>
          <w:bCs/>
          <w:szCs w:val="72"/>
          <w:lang w:val="sr-Cyrl-RS"/>
        </w:rPr>
        <w:t>(15 и више година)</w:t>
      </w:r>
      <w:r w:rsidRPr="0062711C">
        <w:rPr>
          <w:rFonts w:cstheme="minorHAnsi"/>
          <w:bCs/>
          <w:szCs w:val="72"/>
          <w:lang w:val="sr-Cyrl-RS"/>
        </w:rPr>
        <w:t xml:space="preserve"> за 0,8%, уз смањење незапосленог дела становништва за 0,2%. Позитивна кретања на тржишту рада потврђује раст стопе запослености у овом периоду за 0,7 п.п</w:t>
      </w:r>
      <w:r w:rsidR="00B94D14" w:rsidRPr="0062711C">
        <w:rPr>
          <w:rFonts w:cstheme="minorHAnsi"/>
          <w:bCs/>
          <w:szCs w:val="72"/>
          <w:lang w:val="sr-Cyrl-RS"/>
        </w:rPr>
        <w:t>.</w:t>
      </w:r>
      <w:r w:rsidRPr="0062711C">
        <w:rPr>
          <w:rFonts w:cstheme="minorHAnsi"/>
          <w:bCs/>
          <w:szCs w:val="72"/>
          <w:lang w:val="sr-Cyrl-RS"/>
        </w:rPr>
        <w:t>, на 50,2% у 2023. години, као и смањење стопа незапослености за 0,1 п.п</w:t>
      </w:r>
      <w:r w:rsidR="00B94D14" w:rsidRPr="0062711C">
        <w:rPr>
          <w:rFonts w:cstheme="minorHAnsi"/>
          <w:bCs/>
          <w:szCs w:val="72"/>
          <w:lang w:val="sr-Cyrl-RS"/>
        </w:rPr>
        <w:t>.</w:t>
      </w:r>
      <w:r w:rsidRPr="0062711C">
        <w:rPr>
          <w:rFonts w:cstheme="minorHAnsi"/>
          <w:bCs/>
          <w:szCs w:val="72"/>
          <w:lang w:val="sr-Cyrl-RS"/>
        </w:rPr>
        <w:t>, на 9,4% и становништва ван радне снаге за 0,7 п.п. У овом периоду забележено је повећање броја формално запослених лица за 34,2 хиљада лица и смањења неформалне запослености за 10,8 хиљада лица. Поред наведеног, забележена су одређена структурна побољшања на тржишту рада. Тако је побољшан положај код женског дела становништва, односно повећан је број запослених жена за 29,3 хиљада, уз смањење стопе неформалне запослености за 0,5 п.п</w:t>
      </w:r>
      <w:r w:rsidR="00B94D14" w:rsidRPr="0062711C">
        <w:rPr>
          <w:rFonts w:cstheme="minorHAnsi"/>
          <w:bCs/>
          <w:szCs w:val="72"/>
          <w:lang w:val="sr-Cyrl-RS"/>
        </w:rPr>
        <w:t>.</w:t>
      </w:r>
      <w:r w:rsidRPr="0062711C">
        <w:rPr>
          <w:rFonts w:cstheme="minorHAnsi"/>
          <w:bCs/>
          <w:szCs w:val="72"/>
          <w:lang w:val="sr-Cyrl-RS"/>
        </w:rPr>
        <w:t>, на 12,5%, и стопе дугорочне незапослености за 0,2 п.п</w:t>
      </w:r>
      <w:r w:rsidR="00B94D14" w:rsidRPr="0062711C">
        <w:rPr>
          <w:rFonts w:cstheme="minorHAnsi"/>
          <w:bCs/>
          <w:szCs w:val="72"/>
          <w:lang w:val="sr-Cyrl-RS"/>
        </w:rPr>
        <w:t>.</w:t>
      </w:r>
      <w:r w:rsidRPr="0062711C">
        <w:rPr>
          <w:rFonts w:cstheme="minorHAnsi"/>
          <w:bCs/>
          <w:szCs w:val="72"/>
          <w:lang w:val="sr-Cyrl-RS"/>
        </w:rPr>
        <w:t>, на 4,2%.</w:t>
      </w:r>
    </w:p>
    <w:p w14:paraId="4AD21878" w14:textId="1E318FED" w:rsidR="00105AE6" w:rsidRPr="0062711C" w:rsidRDefault="00B366EF" w:rsidP="005C539B">
      <w:pPr>
        <w:rPr>
          <w:rFonts w:cstheme="minorHAnsi"/>
          <w:bCs/>
          <w:szCs w:val="72"/>
          <w:lang w:val="sr-Cyrl-RS"/>
        </w:rPr>
      </w:pPr>
      <w:r w:rsidRPr="0062711C">
        <w:rPr>
          <w:rFonts w:cstheme="minorHAnsi"/>
          <w:bCs/>
          <w:szCs w:val="72"/>
          <w:lang w:val="sr-Cyrl-RS"/>
        </w:rPr>
        <w:t>У</w:t>
      </w:r>
      <w:r w:rsidR="00105AE6" w:rsidRPr="0062711C">
        <w:rPr>
          <w:rFonts w:cstheme="minorHAnsi"/>
          <w:bCs/>
          <w:szCs w:val="72"/>
          <w:lang w:val="sr-Cyrl-RS"/>
        </w:rPr>
        <w:t xml:space="preserve"> </w:t>
      </w:r>
      <w:r w:rsidR="00BF2562" w:rsidRPr="0062711C">
        <w:rPr>
          <w:rFonts w:cstheme="minorHAnsi"/>
          <w:bCs/>
          <w:szCs w:val="72"/>
          <w:lang w:val="sr-Cyrl-RS"/>
        </w:rPr>
        <w:t>првом кварталу</w:t>
      </w:r>
      <w:r w:rsidR="00105AE6" w:rsidRPr="0062711C">
        <w:rPr>
          <w:rFonts w:cstheme="minorHAnsi"/>
          <w:bCs/>
          <w:szCs w:val="72"/>
          <w:lang w:val="sr-Cyrl-RS"/>
        </w:rPr>
        <w:t xml:space="preserve"> 2024. годин</w:t>
      </w:r>
      <w:r w:rsidRPr="0062711C">
        <w:rPr>
          <w:rFonts w:cstheme="minorHAnsi"/>
          <w:bCs/>
          <w:szCs w:val="72"/>
          <w:lang w:val="sr-Cyrl-RS"/>
        </w:rPr>
        <w:t>е</w:t>
      </w:r>
      <w:r w:rsidR="00105AE6" w:rsidRPr="0062711C">
        <w:rPr>
          <w:rFonts w:cstheme="minorHAnsi"/>
          <w:bCs/>
          <w:szCs w:val="72"/>
          <w:lang w:val="sr-Cyrl-RS"/>
        </w:rPr>
        <w:t xml:space="preserve"> </w:t>
      </w:r>
      <w:r w:rsidRPr="0062711C">
        <w:rPr>
          <w:rFonts w:cstheme="minorHAnsi"/>
          <w:bCs/>
          <w:szCs w:val="72"/>
          <w:lang w:val="sr-Cyrl-RS"/>
        </w:rPr>
        <w:t>настављају се позитивна кретања, па је тако</w:t>
      </w:r>
      <w:r w:rsidR="00105AE6" w:rsidRPr="0062711C">
        <w:rPr>
          <w:rFonts w:cstheme="minorHAnsi"/>
          <w:bCs/>
          <w:szCs w:val="72"/>
          <w:lang w:val="sr-Cyrl-RS"/>
        </w:rPr>
        <w:t xml:space="preserve"> </w:t>
      </w:r>
      <w:r w:rsidRPr="0062711C">
        <w:rPr>
          <w:rFonts w:cstheme="minorHAnsi"/>
          <w:bCs/>
          <w:szCs w:val="72"/>
          <w:lang w:val="sr-Cyrl-RS"/>
        </w:rPr>
        <w:t xml:space="preserve">у односу на исти </w:t>
      </w:r>
      <w:r w:rsidRPr="0062711C">
        <w:rPr>
          <w:rFonts w:cstheme="minorHAnsi"/>
          <w:bCs/>
          <w:szCs w:val="72"/>
          <w:lang w:val="sr-Cyrl-RS"/>
        </w:rPr>
        <w:lastRenderedPageBreak/>
        <w:t xml:space="preserve">квартал претходне године </w:t>
      </w:r>
      <w:r w:rsidR="00105AE6" w:rsidRPr="0062711C">
        <w:rPr>
          <w:rFonts w:cstheme="minorHAnsi"/>
          <w:bCs/>
          <w:szCs w:val="72"/>
          <w:lang w:val="sr-Cyrl-RS"/>
        </w:rPr>
        <w:t xml:space="preserve">повећан број запосленог становништва </w:t>
      </w:r>
      <w:r w:rsidRPr="0062711C">
        <w:rPr>
          <w:rFonts w:cstheme="minorHAnsi"/>
          <w:bCs/>
          <w:szCs w:val="72"/>
          <w:lang w:val="sr-Cyrl-RS"/>
        </w:rPr>
        <w:t>(15 и више година)</w:t>
      </w:r>
      <w:r w:rsidR="00105AE6" w:rsidRPr="0062711C">
        <w:rPr>
          <w:rFonts w:cstheme="minorHAnsi"/>
          <w:bCs/>
          <w:szCs w:val="72"/>
          <w:lang w:val="sr-Cyrl-RS"/>
        </w:rPr>
        <w:t xml:space="preserve"> за 2,1%, уз смањење незапосленог дела становништва за 4,8%. Позитивна кретања на тржишту рада потврђује </w:t>
      </w:r>
      <w:r w:rsidRPr="0062711C">
        <w:rPr>
          <w:rFonts w:cstheme="minorHAnsi"/>
          <w:bCs/>
          <w:szCs w:val="72"/>
          <w:lang w:val="sr-Cyrl-RS"/>
        </w:rPr>
        <w:t xml:space="preserve">и </w:t>
      </w:r>
      <w:r w:rsidR="00105AE6" w:rsidRPr="0062711C">
        <w:rPr>
          <w:rFonts w:cstheme="minorHAnsi"/>
          <w:bCs/>
          <w:szCs w:val="72"/>
          <w:lang w:val="sr-Cyrl-RS"/>
        </w:rPr>
        <w:t>раст стопе запослености у овом периоду за 1,4 п.п</w:t>
      </w:r>
      <w:r w:rsidR="00B94D14" w:rsidRPr="0062711C">
        <w:rPr>
          <w:rFonts w:cstheme="minorHAnsi"/>
          <w:bCs/>
          <w:szCs w:val="72"/>
          <w:lang w:val="sr-Cyrl-RS"/>
        </w:rPr>
        <w:t>.</w:t>
      </w:r>
      <w:r w:rsidR="00105AE6" w:rsidRPr="0062711C">
        <w:rPr>
          <w:rFonts w:cstheme="minorHAnsi"/>
          <w:bCs/>
          <w:szCs w:val="72"/>
          <w:lang w:val="sr-Cyrl-RS"/>
        </w:rPr>
        <w:t>, на 50,9% у Q1 2024. године, као и смањење стопа незапослености за 0,6 п.п</w:t>
      </w:r>
      <w:r w:rsidR="00B94D14" w:rsidRPr="0062711C">
        <w:rPr>
          <w:rFonts w:cstheme="minorHAnsi"/>
          <w:bCs/>
          <w:szCs w:val="72"/>
          <w:lang w:val="sr-Cyrl-RS"/>
        </w:rPr>
        <w:t>.</w:t>
      </w:r>
      <w:r w:rsidR="00105AE6" w:rsidRPr="0062711C">
        <w:rPr>
          <w:rFonts w:cstheme="minorHAnsi"/>
          <w:bCs/>
          <w:szCs w:val="72"/>
          <w:lang w:val="sr-Cyrl-RS"/>
        </w:rPr>
        <w:t>, на 9,4% и становништва ван радне снаге за 1,2 п.п. У овом периоду забележено је повећање броја формално запослених лица за 59,5 хиљада лица</w:t>
      </w:r>
      <w:r w:rsidR="00566FFA" w:rsidRPr="0062711C">
        <w:rPr>
          <w:rFonts w:cstheme="minorHAnsi"/>
          <w:bCs/>
          <w:szCs w:val="72"/>
          <w:lang w:val="sr-Cyrl-RS"/>
        </w:rPr>
        <w:t xml:space="preserve"> као и благи</w:t>
      </w:r>
      <w:r w:rsidR="00105AE6" w:rsidRPr="0062711C">
        <w:rPr>
          <w:rFonts w:cstheme="minorHAnsi"/>
          <w:bCs/>
          <w:szCs w:val="72"/>
          <w:lang w:val="sr-Cyrl-RS"/>
        </w:rPr>
        <w:t xml:space="preserve"> раст неформалне запослености за 2,2 хиљаде лица. </w:t>
      </w:r>
      <w:r w:rsidR="00566FFA" w:rsidRPr="0062711C">
        <w:rPr>
          <w:rFonts w:cstheme="minorHAnsi"/>
          <w:bCs/>
          <w:szCs w:val="72"/>
          <w:lang w:val="sr-Cyrl-RS"/>
        </w:rPr>
        <w:t xml:space="preserve">Структурна побољшања на тржишту рада у овом периоду </w:t>
      </w:r>
      <w:r w:rsidR="00C210C2" w:rsidRPr="0062711C">
        <w:rPr>
          <w:rFonts w:cstheme="minorHAnsi"/>
          <w:bCs/>
          <w:szCs w:val="72"/>
          <w:lang w:val="sr-Cyrl-RS"/>
        </w:rPr>
        <w:t>о</w:t>
      </w:r>
      <w:r w:rsidR="00610691" w:rsidRPr="0062711C">
        <w:rPr>
          <w:rFonts w:cstheme="minorHAnsi"/>
          <w:bCs/>
          <w:szCs w:val="72"/>
          <w:lang w:val="sr-Cyrl-RS"/>
        </w:rPr>
        <w:t>гледају се пре свега у</w:t>
      </w:r>
      <w:r w:rsidR="00105AE6" w:rsidRPr="0062711C">
        <w:rPr>
          <w:rFonts w:cstheme="minorHAnsi"/>
          <w:bCs/>
          <w:szCs w:val="72"/>
          <w:lang w:val="sr-Cyrl-RS"/>
        </w:rPr>
        <w:t xml:space="preserve"> смање</w:t>
      </w:r>
      <w:r w:rsidR="00566FFA" w:rsidRPr="0062711C">
        <w:rPr>
          <w:rFonts w:cstheme="minorHAnsi"/>
          <w:bCs/>
          <w:szCs w:val="72"/>
          <w:lang w:val="sr-Cyrl-RS"/>
        </w:rPr>
        <w:t>њ</w:t>
      </w:r>
      <w:r w:rsidR="00610691" w:rsidRPr="0062711C">
        <w:rPr>
          <w:rFonts w:cstheme="minorHAnsi"/>
          <w:bCs/>
          <w:szCs w:val="72"/>
          <w:lang w:val="sr-Cyrl-RS"/>
        </w:rPr>
        <w:t>у</w:t>
      </w:r>
      <w:r w:rsidR="00105AE6" w:rsidRPr="0062711C">
        <w:rPr>
          <w:rFonts w:cstheme="minorHAnsi"/>
          <w:bCs/>
          <w:szCs w:val="72"/>
          <w:lang w:val="sr-Cyrl-RS"/>
        </w:rPr>
        <w:t xml:space="preserve"> стоп</w:t>
      </w:r>
      <w:r w:rsidR="00566FFA" w:rsidRPr="0062711C">
        <w:rPr>
          <w:rFonts w:cstheme="minorHAnsi"/>
          <w:bCs/>
          <w:szCs w:val="72"/>
          <w:lang w:val="sr-Cyrl-RS"/>
        </w:rPr>
        <w:t>е</w:t>
      </w:r>
      <w:r w:rsidR="00105AE6" w:rsidRPr="0062711C">
        <w:rPr>
          <w:rFonts w:cstheme="minorHAnsi"/>
          <w:bCs/>
          <w:szCs w:val="72"/>
          <w:lang w:val="sr-Cyrl-RS"/>
        </w:rPr>
        <w:t xml:space="preserve"> незапослености жена за 0,7 п.п. на 9,7%,</w:t>
      </w:r>
      <w:r w:rsidR="00610691" w:rsidRPr="0062711C">
        <w:rPr>
          <w:rFonts w:cstheme="minorHAnsi"/>
          <w:bCs/>
          <w:szCs w:val="72"/>
          <w:lang w:val="sr-Cyrl-RS"/>
        </w:rPr>
        <w:t xml:space="preserve"> као и смањењу </w:t>
      </w:r>
      <w:r w:rsidR="00105AE6" w:rsidRPr="0062711C">
        <w:rPr>
          <w:rFonts w:cstheme="minorHAnsi"/>
          <w:bCs/>
          <w:szCs w:val="72"/>
          <w:lang w:val="sr-Cyrl-RS"/>
        </w:rPr>
        <w:t>стопе незапослености младог становништва за 0,4 п.п. на 24,5%</w:t>
      </w:r>
      <w:r w:rsidR="00610691" w:rsidRPr="0062711C">
        <w:rPr>
          <w:rFonts w:cstheme="minorHAnsi"/>
          <w:bCs/>
          <w:szCs w:val="72"/>
          <w:lang w:val="sr-Cyrl-RS"/>
        </w:rPr>
        <w:t>, док је стопа неформалне запослености била мања за 0,2 п.п. и износила је 12,1%.</w:t>
      </w:r>
    </w:p>
    <w:p w14:paraId="79018304" w14:textId="77777777" w:rsidR="00105AE6" w:rsidRPr="0062711C" w:rsidRDefault="00105AE6" w:rsidP="005C539B">
      <w:pPr>
        <w:pStyle w:val="Caption"/>
        <w:keepNext/>
        <w:spacing w:after="40"/>
        <w:rPr>
          <w:rFonts w:cstheme="minorHAnsi"/>
          <w:b w:val="0"/>
          <w:iCs w:val="0"/>
          <w:szCs w:val="22"/>
          <w:lang w:val="sr-Cyrl-RS"/>
        </w:rPr>
      </w:pPr>
      <w:r w:rsidRPr="0062711C">
        <w:rPr>
          <w:rFonts w:cstheme="minorHAnsi"/>
          <w:iCs w:val="0"/>
          <w:szCs w:val="22"/>
          <w:lang w:val="sr-Cyrl-RS"/>
        </w:rPr>
        <w:t>Кретање основних показатеља тржишта рада</w:t>
      </w:r>
    </w:p>
    <w:p w14:paraId="4A0C1EF9" w14:textId="5347A432" w:rsidR="00105AE6" w:rsidRPr="0062711C" w:rsidRDefault="006F7C44" w:rsidP="005C539B">
      <w:pPr>
        <w:spacing w:after="0"/>
        <w:rPr>
          <w:rFonts w:cstheme="minorHAnsi"/>
          <w:bCs/>
          <w:szCs w:val="72"/>
          <w:lang w:val="sr-Cyrl-RS"/>
        </w:rPr>
      </w:pPr>
      <w:r w:rsidRPr="0062711C">
        <w:rPr>
          <w:noProof/>
          <w:lang w:val="en-GB" w:eastAsia="en-GB"/>
        </w:rPr>
        <w:drawing>
          <wp:inline distT="0" distB="0" distL="0" distR="0" wp14:anchorId="6745F865" wp14:editId="2BF2CEA2">
            <wp:extent cx="2743200" cy="1799590"/>
            <wp:effectExtent l="0" t="0" r="0" b="0"/>
            <wp:docPr id="61" name="Chart 61">
              <a:extLst xmlns:a="http://schemas.openxmlformats.org/drawingml/2006/main">
                <a:ext uri="{FF2B5EF4-FFF2-40B4-BE49-F238E27FC236}">
                  <a16:creationId xmlns:a16="http://schemas.microsoft.com/office/drawing/2014/main" id="{00000000-0008-0000-0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4E0D0D4C" w14:textId="77777777" w:rsidR="00105AE6" w:rsidRPr="0062711C" w:rsidRDefault="00105AE6" w:rsidP="005C539B">
      <w:pPr>
        <w:spacing w:before="40" w:after="120"/>
        <w:rPr>
          <w:rFonts w:cstheme="minorHAnsi"/>
          <w:bCs/>
          <w:szCs w:val="72"/>
          <w:lang w:val="sr-Cyrl-RS"/>
        </w:rPr>
      </w:pPr>
      <w:r w:rsidRPr="0062711C">
        <w:rPr>
          <w:rFonts w:cstheme="minorHAnsi"/>
          <w:bCs/>
          <w:sz w:val="16"/>
          <w:szCs w:val="72"/>
          <w:lang w:val="sr-Cyrl-RS"/>
        </w:rPr>
        <w:t>Извор: РЗС</w:t>
      </w:r>
    </w:p>
    <w:p w14:paraId="65C40A74" w14:textId="77777777" w:rsidR="00105AE6" w:rsidRPr="0062711C" w:rsidRDefault="00105AE6" w:rsidP="00C130D2">
      <w:pPr>
        <w:rPr>
          <w:lang w:val="sr-Cyrl-RS"/>
        </w:rPr>
      </w:pPr>
      <w:r w:rsidRPr="0062711C">
        <w:rPr>
          <w:lang w:val="sr-Cyrl-RS"/>
        </w:rPr>
        <w:t>У наредном периоду очекује се да ће тржиште рада задржати позитивно кретање, у складу са добрим трендовима основних макроекономских показатеља. Креатори јавних политика континуирано доносе мере усмерене на унапређивање радне снаге у погледу квалитета, као и на улагање у људски капитал, све у циљу лакшег општег запошљавања, а нарочито у оном делу привреде који има већу додату вредност.</w:t>
      </w:r>
      <w:r w:rsidRPr="0062711C">
        <w:rPr>
          <w:rFonts w:cstheme="minorHAnsi"/>
          <w:bCs/>
          <w:szCs w:val="72"/>
          <w:highlight w:val="lightGray"/>
          <w:lang w:val="sr-Cyrl-RS"/>
        </w:rPr>
        <w:t xml:space="preserve"> </w:t>
      </w:r>
      <w:r w:rsidRPr="0062711C">
        <w:rPr>
          <w:rFonts w:cstheme="minorHAnsi"/>
          <w:bCs/>
          <w:szCs w:val="72"/>
          <w:lang w:val="sr-Cyrl-RS"/>
        </w:rPr>
        <w:t xml:space="preserve">Досадашњу успешност ових мера потврђују подаци о порасту броја запослених у периоду од </w:t>
      </w:r>
      <w:r w:rsidRPr="0062711C">
        <w:rPr>
          <w:rFonts w:cstheme="minorHAnsi"/>
          <w:bCs/>
          <w:szCs w:val="72"/>
          <w:lang w:val="sr-Cyrl-RS"/>
        </w:rPr>
        <w:t xml:space="preserve">2014. до закључно са периодом јануар–април 2024. године у сектору ИКТ за 58.772 и научно-техничким делатностима за 52.597 лица. </w:t>
      </w:r>
      <w:r w:rsidRPr="0062711C">
        <w:rPr>
          <w:lang w:val="sr-Cyrl-RS"/>
        </w:rPr>
        <w:t>Наставиће се досадашње политике усмерене на смањивање броја запослених у сивој зони и њихов прелазак у контингент формално запослених, чиме би се побољшали њихови услови рада, а што би имало и позитиван ефекат на приходе буџета. У средњорочном периоду очекују се позитивни ефекти мера активне политике запошљавања, преквалификација и подршке социјалном предузетништву, чиме ће се олакшати доступност радних места социјално рањивим категоријама друштва и тиме додатно обезбедити инклузивност привредног раста. У складу с тим у средњем року пројектује се смањивање стопе незапослености и наставак реалног раста зарада. У приватном сектору очекује се да раст зарада прати раст продуктивности, док ће зараде у јавном сектору расти у складу са фискалним правилима.</w:t>
      </w:r>
    </w:p>
    <w:p w14:paraId="2CD1E8EC" w14:textId="77777777" w:rsidR="00105AE6" w:rsidRPr="0062711C" w:rsidRDefault="00105AE6" w:rsidP="008527D6">
      <w:pPr>
        <w:rPr>
          <w:rFonts w:cstheme="minorHAnsi"/>
          <w:b/>
          <w:color w:val="2F5496" w:themeColor="accent1" w:themeShade="BF"/>
          <w:sz w:val="22"/>
          <w:lang w:val="sr-Cyrl-RS"/>
        </w:rPr>
      </w:pPr>
      <w:r w:rsidRPr="0062711C">
        <w:rPr>
          <w:rFonts w:cstheme="minorHAnsi"/>
          <w:b/>
          <w:color w:val="2F5496" w:themeColor="accent1" w:themeShade="BF"/>
          <w:sz w:val="22"/>
          <w:lang w:val="sr-Cyrl-RS"/>
        </w:rPr>
        <w:t>Монетарна кретања</w:t>
      </w:r>
    </w:p>
    <w:p w14:paraId="0BE164FA" w14:textId="104BE30B" w:rsidR="00105AE6" w:rsidRPr="0062711C" w:rsidRDefault="00105AE6" w:rsidP="005C539B">
      <w:pPr>
        <w:spacing w:after="120"/>
        <w:rPr>
          <w:lang w:val="sr-Cyrl-RS"/>
        </w:rPr>
      </w:pPr>
      <w:r w:rsidRPr="0062711C">
        <w:rPr>
          <w:lang w:val="sr-Cyrl-RS"/>
        </w:rPr>
        <w:t>Повољна макроекономска кретања,</w:t>
      </w:r>
      <w:r w:rsidR="00C900E6" w:rsidRPr="0062711C">
        <w:rPr>
          <w:lang w:val="sr-Cyrl-RS"/>
        </w:rPr>
        <w:t xml:space="preserve"> </w:t>
      </w:r>
      <w:r w:rsidRPr="0062711C">
        <w:rPr>
          <w:lang w:val="sr-Cyrl-RS"/>
        </w:rPr>
        <w:t>добри изгледи</w:t>
      </w:r>
      <w:r w:rsidR="00C76829" w:rsidRPr="0062711C">
        <w:rPr>
          <w:lang w:val="sr-Cyrl-RS"/>
        </w:rPr>
        <w:t xml:space="preserve"> у погледу раста БДП, СДИ, </w:t>
      </w:r>
      <w:r w:rsidR="006A57A1" w:rsidRPr="0062711C">
        <w:rPr>
          <w:lang w:val="sr-Cyrl-RS"/>
        </w:rPr>
        <w:t>изграђеној отпорности економије на ризике из међународног окружења,</w:t>
      </w:r>
      <w:r w:rsidRPr="0062711C">
        <w:rPr>
          <w:lang w:val="sr-Cyrl-RS"/>
        </w:rPr>
        <w:t xml:space="preserve"> уз смањење глобалне неизвесности утицали су на смањење премије ризика Србије у 2023. години, уз наставак њеног пада</w:t>
      </w:r>
      <w:r w:rsidR="006A57A1" w:rsidRPr="0062711C">
        <w:rPr>
          <w:lang w:val="sr-Cyrl-RS"/>
        </w:rPr>
        <w:t xml:space="preserve"> и на почетку 2024. године.</w:t>
      </w:r>
    </w:p>
    <w:p w14:paraId="3996ECA1" w14:textId="629A9BDC" w:rsidR="008626AA" w:rsidRPr="0062711C" w:rsidRDefault="00105AE6" w:rsidP="005C539B">
      <w:pPr>
        <w:spacing w:after="120"/>
        <w:rPr>
          <w:lang w:val="sr-Cyrl-RS"/>
        </w:rPr>
        <w:sectPr w:rsidR="008626AA" w:rsidRPr="0062711C" w:rsidSect="00F45C01">
          <w:type w:val="continuous"/>
          <w:pgSz w:w="12240" w:h="15840" w:code="1"/>
          <w:pgMar w:top="1440" w:right="1440" w:bottom="1440" w:left="1440" w:header="720" w:footer="720" w:gutter="0"/>
          <w:cols w:num="2" w:space="720"/>
          <w:docGrid w:linePitch="360"/>
          <w15:footnoteColumns w:val="1"/>
        </w:sectPr>
      </w:pPr>
      <w:r w:rsidRPr="0062711C">
        <w:rPr>
          <w:lang w:val="sr-Cyrl-RS"/>
        </w:rPr>
        <w:t>Од априла 2023. године, у складу са очекивањима, међугодишња инфлација је на опадајућој путањи</w:t>
      </w:r>
      <w:r w:rsidR="00491949" w:rsidRPr="0062711C">
        <w:rPr>
          <w:lang w:val="sr-Cyrl-RS"/>
        </w:rPr>
        <w:t>,</w:t>
      </w:r>
      <w:r w:rsidRPr="0062711C">
        <w:rPr>
          <w:lang w:val="sr-Cyrl-RS"/>
        </w:rPr>
        <w:t xml:space="preserve"> </w:t>
      </w:r>
      <w:r w:rsidR="00570BDD">
        <w:rPr>
          <w:lang w:val="sr-Cyrl-RS"/>
        </w:rPr>
        <w:t xml:space="preserve">и у мају је ушла у </w:t>
      </w:r>
      <w:r w:rsidR="0052061C" w:rsidRPr="0052061C">
        <w:rPr>
          <w:lang w:val="sr-Cyrl-RS"/>
        </w:rPr>
        <w:t>границе циља</w:t>
      </w:r>
      <w:r w:rsidR="00570BDD">
        <w:rPr>
          <w:lang w:val="sr-Cyrl-RS"/>
        </w:rPr>
        <w:t xml:space="preserve"> и износила је 4,5%</w:t>
      </w:r>
      <w:r w:rsidRPr="0062711C">
        <w:rPr>
          <w:lang w:val="sr-Cyrl-RS"/>
        </w:rPr>
        <w:t>. На смиривање инфлације, кључни допринос долази од успореног раста цена хране</w:t>
      </w:r>
      <w:r w:rsidR="00570BDD">
        <w:rPr>
          <w:lang w:val="sr-Cyrl-RS"/>
        </w:rPr>
        <w:t>, и изласка из обрачуна прошлогодишњег поскупљења електричне енергије</w:t>
      </w:r>
      <w:r w:rsidRPr="0062711C">
        <w:rPr>
          <w:lang w:val="sr-Cyrl-RS"/>
        </w:rPr>
        <w:t xml:space="preserve">. Истовремено, базна инфлација (мерена променом индекса потрошачких цена по искључењу хране, енергије, алкохола и цигарета), </w:t>
      </w:r>
      <w:r w:rsidR="00570BDD">
        <w:rPr>
          <w:lang w:val="sr-Cyrl-RS"/>
        </w:rPr>
        <w:t>је</w:t>
      </w:r>
      <w:r w:rsidRPr="0062711C">
        <w:rPr>
          <w:lang w:val="sr-Cyrl-RS"/>
        </w:rPr>
        <w:t xml:space="preserve"> </w:t>
      </w:r>
      <w:r w:rsidR="00570BDD">
        <w:rPr>
          <w:lang w:val="sr-Cyrl-RS"/>
        </w:rPr>
        <w:t xml:space="preserve">била нешто виша и </w:t>
      </w:r>
      <w:r w:rsidRPr="0062711C">
        <w:rPr>
          <w:lang w:val="sr-Cyrl-RS"/>
        </w:rPr>
        <w:t xml:space="preserve">износила </w:t>
      </w:r>
      <w:r w:rsidR="00570BDD">
        <w:rPr>
          <w:lang w:val="sr-Cyrl-RS"/>
        </w:rPr>
        <w:t>је 5,0</w:t>
      </w:r>
      <w:r w:rsidRPr="0062711C">
        <w:rPr>
          <w:lang w:val="sr-Cyrl-RS"/>
        </w:rPr>
        <w:t>%</w:t>
      </w:r>
      <w:r w:rsidR="00570BDD">
        <w:rPr>
          <w:lang w:val="sr-Cyrl-RS"/>
        </w:rPr>
        <w:t xml:space="preserve"> и би</w:t>
      </w:r>
      <w:r w:rsidR="00706BDA">
        <w:rPr>
          <w:lang w:val="sr-Cyrl-RS"/>
        </w:rPr>
        <w:t>ла је вођена растом цена услуга.</w:t>
      </w:r>
    </w:p>
    <w:p w14:paraId="60EB89FC" w14:textId="598BA9D4" w:rsidR="00105AE6" w:rsidRPr="0062711C" w:rsidRDefault="00105AE6" w:rsidP="005C539B">
      <w:pPr>
        <w:spacing w:after="120"/>
        <w:rPr>
          <w:lang w:val="sr-Cyrl-RS"/>
        </w:rPr>
      </w:pPr>
    </w:p>
    <w:p w14:paraId="4719671B" w14:textId="77777777" w:rsidR="00105AE6" w:rsidRPr="0062711C" w:rsidRDefault="00105AE6" w:rsidP="005C539B">
      <w:pPr>
        <w:pStyle w:val="Caption"/>
        <w:keepNext/>
        <w:spacing w:after="40"/>
        <w:rPr>
          <w:rFonts w:cstheme="minorHAnsi"/>
          <w:iCs w:val="0"/>
          <w:szCs w:val="22"/>
          <w:lang w:val="sr-Cyrl-RS"/>
        </w:rPr>
      </w:pPr>
      <w:r w:rsidRPr="0062711C">
        <w:rPr>
          <w:rFonts w:cstheme="minorHAnsi"/>
          <w:iCs w:val="0"/>
          <w:szCs w:val="22"/>
          <w:lang w:val="sr-Cyrl-RS"/>
        </w:rPr>
        <w:lastRenderedPageBreak/>
        <w:t>Месечна и међугодишња инфлација, %</w:t>
      </w:r>
    </w:p>
    <w:p w14:paraId="3495597D" w14:textId="2EDABE14" w:rsidR="00105AE6" w:rsidRPr="0062711C" w:rsidRDefault="00B5763A" w:rsidP="005C539B">
      <w:pPr>
        <w:spacing w:after="40"/>
        <w:rPr>
          <w:lang w:val="sr-Cyrl-RS"/>
        </w:rPr>
      </w:pPr>
      <w:r>
        <w:rPr>
          <w:noProof/>
          <w:lang w:val="en-GB" w:eastAsia="en-GB"/>
        </w:rPr>
        <w:drawing>
          <wp:inline distT="0" distB="0" distL="0" distR="0" wp14:anchorId="18BADB5C" wp14:editId="599543AD">
            <wp:extent cx="2743200" cy="2087880"/>
            <wp:effectExtent l="0" t="0" r="0" b="7620"/>
            <wp:docPr id="83" name="Chart 83">
              <a:extLst xmlns:a="http://schemas.openxmlformats.org/drawingml/2006/main">
                <a:ext uri="{FF2B5EF4-FFF2-40B4-BE49-F238E27FC236}">
                  <a16:creationId xmlns:a16="http://schemas.microsoft.com/office/drawing/2014/main" id="{00000000-0008-0000-11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6096F2B7" w14:textId="77777777" w:rsidR="00105AE6" w:rsidRPr="0062711C" w:rsidRDefault="00105AE6" w:rsidP="005C539B">
      <w:pPr>
        <w:rPr>
          <w:rFonts w:cstheme="minorHAnsi"/>
          <w:bCs/>
          <w:szCs w:val="72"/>
          <w:lang w:val="sr-Cyrl-RS"/>
        </w:rPr>
      </w:pPr>
      <w:r w:rsidRPr="0062711C">
        <w:rPr>
          <w:rFonts w:cstheme="minorHAnsi"/>
          <w:bCs/>
          <w:sz w:val="16"/>
          <w:szCs w:val="72"/>
          <w:lang w:val="sr-Cyrl-RS"/>
        </w:rPr>
        <w:t>Извор: РЗС и НБС</w:t>
      </w:r>
    </w:p>
    <w:p w14:paraId="07739863" w14:textId="77777777" w:rsidR="00834D22" w:rsidRPr="0062711C" w:rsidRDefault="00834D22" w:rsidP="00834D22">
      <w:pPr>
        <w:pStyle w:val="Caption"/>
        <w:keepNext/>
        <w:spacing w:after="80"/>
        <w:rPr>
          <w:rFonts w:cstheme="minorHAnsi"/>
          <w:iCs w:val="0"/>
          <w:szCs w:val="22"/>
          <w:lang w:val="sr-Cyrl-RS"/>
        </w:rPr>
      </w:pPr>
      <w:r w:rsidRPr="0062711C">
        <w:rPr>
          <w:rFonts w:cstheme="minorHAnsi"/>
          <w:iCs w:val="0"/>
          <w:szCs w:val="22"/>
          <w:lang w:val="sr-Cyrl-RS"/>
        </w:rPr>
        <w:t>Инфлација и референтна каматна стопа, %</w:t>
      </w:r>
    </w:p>
    <w:p w14:paraId="78A9D033" w14:textId="560E7E80" w:rsidR="00834D22" w:rsidRPr="0062711C" w:rsidRDefault="00B5763A" w:rsidP="00834D22">
      <w:pPr>
        <w:spacing w:after="40"/>
        <w:rPr>
          <w:rFonts w:cstheme="minorHAnsi"/>
          <w:bCs/>
          <w:szCs w:val="72"/>
          <w:highlight w:val="darkYellow"/>
          <w:lang w:val="sr-Cyrl-RS"/>
        </w:rPr>
      </w:pPr>
      <w:r>
        <w:rPr>
          <w:noProof/>
          <w:lang w:val="en-GB" w:eastAsia="en-GB"/>
        </w:rPr>
        <w:drawing>
          <wp:inline distT="0" distB="0" distL="0" distR="0" wp14:anchorId="0517CD98" wp14:editId="04E3A12B">
            <wp:extent cx="2743200" cy="1758315"/>
            <wp:effectExtent l="0" t="0" r="0" b="0"/>
            <wp:docPr id="84" name="Chart 84">
              <a:extLst xmlns:a="http://schemas.openxmlformats.org/drawingml/2006/main">
                <a:ext uri="{FF2B5EF4-FFF2-40B4-BE49-F238E27FC236}">
                  <a16:creationId xmlns:a16="http://schemas.microsoft.com/office/drawing/2014/main" id="{00000000-0008-0000-1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25A53B3E" w14:textId="77777777" w:rsidR="00834D22" w:rsidRPr="0062711C" w:rsidRDefault="00834D22" w:rsidP="00834D22">
      <w:pPr>
        <w:rPr>
          <w:rFonts w:cstheme="minorHAnsi"/>
          <w:bCs/>
          <w:szCs w:val="72"/>
          <w:lang w:val="sr-Cyrl-RS"/>
        </w:rPr>
      </w:pPr>
      <w:r w:rsidRPr="0062711C">
        <w:rPr>
          <w:rFonts w:cstheme="minorHAnsi"/>
          <w:bCs/>
          <w:sz w:val="16"/>
          <w:szCs w:val="72"/>
          <w:lang w:val="sr-Cyrl-RS"/>
        </w:rPr>
        <w:t>Извор: РЗС и НБС</w:t>
      </w:r>
    </w:p>
    <w:p w14:paraId="19EA3C50" w14:textId="2DCE34E8" w:rsidR="00105AE6" w:rsidRPr="0062711C" w:rsidRDefault="004F1FBA" w:rsidP="005C539B">
      <w:pPr>
        <w:rPr>
          <w:lang w:val="sr-Cyrl-RS"/>
        </w:rPr>
      </w:pPr>
      <w:r w:rsidRPr="004F1FBA">
        <w:rPr>
          <w:lang w:val="sr-Cyrl-RS"/>
        </w:rPr>
        <w:t xml:space="preserve">Узимајући у обзир даље смањење глобалних инфлаторних притисака, као и досадашњи дезинфлаторни утицај рестриктивних монетарних мера, </w:t>
      </w:r>
      <w:r>
        <w:rPr>
          <w:lang w:val="sr-Cyrl-RS"/>
        </w:rPr>
        <w:t xml:space="preserve">НБС </w:t>
      </w:r>
      <w:r w:rsidRPr="004F1FBA">
        <w:rPr>
          <w:lang w:val="sr-Cyrl-RS"/>
        </w:rPr>
        <w:t xml:space="preserve">је </w:t>
      </w:r>
      <w:r>
        <w:rPr>
          <w:lang w:val="sr-Cyrl-RS"/>
        </w:rPr>
        <w:t>оценила</w:t>
      </w:r>
      <w:r w:rsidRPr="004F1FBA">
        <w:rPr>
          <w:lang w:val="sr-Cyrl-RS"/>
        </w:rPr>
        <w:t xml:space="preserve"> да су се створили услови за почетак ублажавања монетарне политике путем смањења референтне каматне стопе.</w:t>
      </w:r>
      <w:r>
        <w:rPr>
          <w:lang w:val="sr-Cyrl-RS"/>
        </w:rPr>
        <w:t xml:space="preserve"> Тако, као резултат, пре свега, смиривања инфлације у претходним месецима и њеног повратка у границе циља у мају 2024. године, НБС је у јуну донела одлуку да смањи референтну каматну стопу за 25 базних поена на 6,25%, као и стопу на депозитне олакшице на 5,00% и стопу на кредитне олакшице на 7,50%. </w:t>
      </w:r>
      <w:r w:rsidR="00105AE6" w:rsidRPr="0062711C">
        <w:rPr>
          <w:lang w:val="sr-Cyrl-RS"/>
        </w:rPr>
        <w:t xml:space="preserve">Значајан допринос ублажавању инфлаторних притисака имала је </w:t>
      </w:r>
      <w:r w:rsidR="00CE6D83">
        <w:rPr>
          <w:lang w:val="sr-Cyrl-RS"/>
        </w:rPr>
        <w:t xml:space="preserve">и </w:t>
      </w:r>
      <w:r w:rsidR="00105AE6" w:rsidRPr="0062711C">
        <w:rPr>
          <w:lang w:val="sr-Cyrl-RS"/>
        </w:rPr>
        <w:t>релативна стабилност курса динара према евру, која је очувана захваљујући правовременим девизним интервенцијама НБС и добро вођеном макроекономском политиком.</w:t>
      </w:r>
    </w:p>
    <w:p w14:paraId="09BD5AB0" w14:textId="4B9F266D" w:rsidR="00105AE6" w:rsidRPr="0062711C" w:rsidRDefault="00105AE6" w:rsidP="00D651FB">
      <w:pPr>
        <w:rPr>
          <w:rFonts w:cstheme="minorHAnsi"/>
          <w:lang w:val="sr-Cyrl-RS"/>
        </w:rPr>
      </w:pPr>
      <w:r w:rsidRPr="0062711C">
        <w:rPr>
          <w:lang w:val="sr-Cyrl-RS"/>
        </w:rPr>
        <w:t>Са циљем смиривања инфлације и негативних социјалних и економских ефеката раста светских цена хране и енергената, Влада је предузела низ мера административног ограничавања цена. Ограничене су цене основних животних намирница (брашно тип 400 и 500), уредбом која је на снази до 31. августа 2024. године. Такође, уредбом о обавезној производњи и промету хлеба од брашна „Т-500</w:t>
      </w:r>
      <w:r w:rsidR="003F4751" w:rsidRPr="0062711C">
        <w:rPr>
          <w:lang w:val="sr-Cyrl-RS"/>
        </w:rPr>
        <w:t>”</w:t>
      </w:r>
      <w:r w:rsidRPr="0062711C">
        <w:rPr>
          <w:lang w:val="sr-Cyrl-RS"/>
        </w:rPr>
        <w:t>, одређена је његова максимална малопродајна цена. Уредбом о ограничењу висине цена нафтних деривата прописује се начин обрачуна највиших цена нафтних деривата у малопродаји, евродизела и европремијума БМБ 95. Посебно је ограничена цена деривата за пољопривреднике.</w:t>
      </w:r>
      <w:r w:rsidRPr="0062711C">
        <w:rPr>
          <w:rFonts w:cstheme="minorHAnsi"/>
          <w:lang w:val="sr-Cyrl-RS"/>
        </w:rPr>
        <w:t xml:space="preserve"> Циљ ових мера је смањење инфлаторних притисака и инфлационих очекивања, као и редовно и несметано снабдевање тржишта храном и енергентима.</w:t>
      </w:r>
    </w:p>
    <w:p w14:paraId="404CB9F3" w14:textId="1EA8FADC" w:rsidR="00105AE6" w:rsidRPr="0062711C" w:rsidRDefault="00105AE6" w:rsidP="005C539B">
      <w:pPr>
        <w:pStyle w:val="Caption"/>
        <w:jc w:val="both"/>
        <w:rPr>
          <w:rFonts w:cstheme="minorHAnsi"/>
          <w:b w:val="0"/>
          <w:iCs w:val="0"/>
          <w:color w:val="44546A" w:themeColor="text2"/>
          <w:szCs w:val="22"/>
          <w:lang w:val="sr-Cyrl-RS"/>
        </w:rPr>
      </w:pPr>
      <w:r w:rsidRPr="0062711C">
        <w:rPr>
          <w:rFonts w:cstheme="minorHAnsi"/>
          <w:b w:val="0"/>
          <w:iCs w:val="0"/>
          <w:color w:val="44546A" w:themeColor="text2"/>
          <w:szCs w:val="22"/>
          <w:lang w:val="sr-Cyrl-RS"/>
        </w:rPr>
        <w:t xml:space="preserve">Каматне стопе на динарске кредите приватном сектору смањене су крајем 2023. године, а поједине су наставиле пад и почетком 2024. године. Тако су смањене каматне стопе на кредите за обртна средства </w:t>
      </w:r>
      <w:r w:rsidR="00912695" w:rsidRPr="0062711C">
        <w:rPr>
          <w:rFonts w:cstheme="minorHAnsi"/>
          <w:b w:val="0"/>
          <w:iCs w:val="0"/>
          <w:color w:val="44546A" w:themeColor="text2"/>
          <w:szCs w:val="22"/>
          <w:lang w:val="sr-Cyrl-RS"/>
        </w:rPr>
        <w:t xml:space="preserve">крајем првог квартала </w:t>
      </w:r>
      <w:r w:rsidRPr="0062711C">
        <w:rPr>
          <w:rFonts w:cstheme="minorHAnsi"/>
          <w:b w:val="0"/>
          <w:iCs w:val="0"/>
          <w:color w:val="44546A" w:themeColor="text2"/>
          <w:szCs w:val="22"/>
          <w:lang w:val="sr-Cyrl-RS"/>
        </w:rPr>
        <w:t>на 8,</w:t>
      </w:r>
      <w:r w:rsidR="00B51BEB" w:rsidRPr="0062711C">
        <w:rPr>
          <w:rFonts w:cstheme="minorHAnsi"/>
          <w:b w:val="0"/>
          <w:iCs w:val="0"/>
          <w:color w:val="44546A" w:themeColor="text2"/>
          <w:szCs w:val="22"/>
          <w:lang w:val="sr-Cyrl-RS"/>
        </w:rPr>
        <w:t>1</w:t>
      </w:r>
      <w:r w:rsidRPr="0062711C">
        <w:rPr>
          <w:rFonts w:cstheme="minorHAnsi"/>
          <w:b w:val="0"/>
          <w:iCs w:val="0"/>
          <w:color w:val="44546A" w:themeColor="text2"/>
          <w:szCs w:val="22"/>
          <w:lang w:val="sr-Cyrl-RS"/>
        </w:rPr>
        <w:t xml:space="preserve">% и на готовинске кредите становништву на </w:t>
      </w:r>
      <w:r w:rsidR="00912695" w:rsidRPr="0062711C">
        <w:rPr>
          <w:rFonts w:cstheme="minorHAnsi"/>
          <w:b w:val="0"/>
          <w:iCs w:val="0"/>
          <w:color w:val="44546A" w:themeColor="text2"/>
          <w:szCs w:val="22"/>
          <w:lang w:val="sr-Cyrl-RS"/>
        </w:rPr>
        <w:t>12,7</w:t>
      </w:r>
      <w:r w:rsidRPr="0062711C">
        <w:rPr>
          <w:rFonts w:cstheme="minorHAnsi"/>
          <w:b w:val="0"/>
          <w:iCs w:val="0"/>
          <w:color w:val="44546A" w:themeColor="text2"/>
          <w:szCs w:val="22"/>
          <w:lang w:val="sr-Cyrl-RS"/>
        </w:rPr>
        <w:t xml:space="preserve">%. Ефекти претходног заоштравања монетарних услова, доспећа кредита привреди одобрених у оквиру гарантних шема, условили су да кредитна активност према немонетарном сектору остане ниска у првом кварталу, док су укупни кредити крајем априла 2024. године забележили благо убрзање са растом од 2,2%, на међугодишњем нивоу. Позитиван допринос расту кредита долази од кредита становништву, уз блажи допринос раста кредита привреди. Просечна каматна стопа на евроиндексиране стамбене кредите задржана је на нивоу од 5% у фебруару, што је у складу са одлуком НБС да ограничи </w:t>
      </w:r>
      <w:r w:rsidR="00CE3449" w:rsidRPr="00CE3449">
        <w:rPr>
          <w:rFonts w:cstheme="minorHAnsi"/>
          <w:b w:val="0"/>
          <w:iCs w:val="0"/>
          <w:color w:val="44546A" w:themeColor="text2"/>
          <w:szCs w:val="22"/>
          <w:lang w:val="sr-Cyrl-RS"/>
        </w:rPr>
        <w:t>каматне стопе на ове кредите</w:t>
      </w:r>
      <w:r w:rsidRPr="0062711C">
        <w:rPr>
          <w:rFonts w:cstheme="minorHAnsi"/>
          <w:b w:val="0"/>
          <w:iCs w:val="0"/>
          <w:color w:val="44546A" w:themeColor="text2"/>
          <w:szCs w:val="22"/>
          <w:lang w:val="sr-Cyrl-RS"/>
        </w:rPr>
        <w:t xml:space="preserve"> до краја 2024. године. На раст кредита привреди позитиван допринос дали су инвестициони кредити, док кредити за ликвидност и обртна средства бележе негативан допринос. Код кредита становништву најзначајнији је допринос динарских готовинских кредита. Крајем априла 2024. године регистрован је номинални раст укупних кредита за 2,2% мг, при чему су кредити привреди забележили раст од 1,1%, док су кредити становништву били већи за </w:t>
      </w:r>
      <w:r w:rsidRPr="0062711C">
        <w:rPr>
          <w:rFonts w:cstheme="minorHAnsi"/>
          <w:b w:val="0"/>
          <w:iCs w:val="0"/>
          <w:color w:val="44546A" w:themeColor="text2"/>
          <w:szCs w:val="22"/>
          <w:lang w:val="sr-Cyrl-RS"/>
        </w:rPr>
        <w:lastRenderedPageBreak/>
        <w:t xml:space="preserve">3,4%. Стабилност банкарског сектора је очувана и додатно ојачана и </w:t>
      </w:r>
      <w:r w:rsidR="00706BDA">
        <w:rPr>
          <w:rFonts w:cstheme="minorHAnsi"/>
          <w:b w:val="0"/>
          <w:iCs w:val="0"/>
          <w:color w:val="44546A" w:themeColor="text2"/>
          <w:szCs w:val="22"/>
          <w:lang w:val="sr-Cyrl-RS"/>
        </w:rPr>
        <w:t>смањено</w:t>
      </w:r>
      <w:r w:rsidRPr="0062711C">
        <w:rPr>
          <w:rFonts w:cstheme="minorHAnsi"/>
          <w:b w:val="0"/>
          <w:iCs w:val="0"/>
          <w:color w:val="44546A" w:themeColor="text2"/>
          <w:szCs w:val="22"/>
          <w:lang w:val="sr-Cyrl-RS"/>
        </w:rPr>
        <w:t xml:space="preserve"> је учешће проблематичних кредита на ниво од 3,</w:t>
      </w:r>
      <w:r w:rsidR="00706BDA">
        <w:rPr>
          <w:rFonts w:cstheme="minorHAnsi"/>
          <w:b w:val="0"/>
          <w:iCs w:val="0"/>
          <w:color w:val="44546A" w:themeColor="text2"/>
          <w:szCs w:val="22"/>
          <w:lang w:val="sr-Cyrl-RS"/>
        </w:rPr>
        <w:t>1</w:t>
      </w:r>
      <w:r w:rsidRPr="0062711C">
        <w:rPr>
          <w:rFonts w:cstheme="minorHAnsi"/>
          <w:b w:val="0"/>
          <w:iCs w:val="0"/>
          <w:color w:val="44546A" w:themeColor="text2"/>
          <w:szCs w:val="22"/>
          <w:lang w:val="sr-Cyrl-RS"/>
        </w:rPr>
        <w:t xml:space="preserve">% у </w:t>
      </w:r>
      <w:r w:rsidR="00706BDA">
        <w:rPr>
          <w:rFonts w:cstheme="minorHAnsi"/>
          <w:b w:val="0"/>
          <w:iCs w:val="0"/>
          <w:color w:val="44546A" w:themeColor="text2"/>
          <w:szCs w:val="22"/>
          <w:lang w:val="sr-Cyrl-RS"/>
        </w:rPr>
        <w:t>априлу</w:t>
      </w:r>
      <w:r w:rsidRPr="0062711C">
        <w:rPr>
          <w:rFonts w:cstheme="minorHAnsi"/>
          <w:b w:val="0"/>
          <w:iCs w:val="0"/>
          <w:color w:val="44546A" w:themeColor="text2"/>
          <w:szCs w:val="22"/>
          <w:lang w:val="sr-Cyrl-RS"/>
        </w:rPr>
        <w:t xml:space="preserve"> 2024</w:t>
      </w:r>
      <w:r w:rsidR="00743EDC" w:rsidRPr="0062711C">
        <w:rPr>
          <w:rFonts w:cstheme="minorHAnsi"/>
          <w:b w:val="0"/>
          <w:iCs w:val="0"/>
          <w:color w:val="44546A" w:themeColor="text2"/>
          <w:szCs w:val="22"/>
          <w:lang w:val="sr-Cyrl-RS"/>
        </w:rPr>
        <w:t>. године.</w:t>
      </w:r>
    </w:p>
    <w:p w14:paraId="5A8678F7" w14:textId="77777777" w:rsidR="00105AE6" w:rsidRPr="0062711C" w:rsidRDefault="00105AE6" w:rsidP="008527D6">
      <w:pPr>
        <w:pStyle w:val="Caption"/>
        <w:keepNext/>
        <w:rPr>
          <w:rFonts w:cstheme="minorHAnsi"/>
          <w:b w:val="0"/>
          <w:i/>
          <w:iCs w:val="0"/>
          <w:szCs w:val="22"/>
          <w:lang w:val="sr-Cyrl-RS"/>
        </w:rPr>
      </w:pPr>
      <w:r w:rsidRPr="0062711C">
        <w:rPr>
          <w:rFonts w:cstheme="minorHAnsi"/>
          <w:iCs w:val="0"/>
          <w:szCs w:val="22"/>
          <w:lang w:val="sr-Cyrl-RS"/>
        </w:rPr>
        <w:t>Проблематични кредити, млрд РСД</w:t>
      </w:r>
    </w:p>
    <w:p w14:paraId="73DB85D3" w14:textId="5850FD07" w:rsidR="00105AE6" w:rsidRPr="0062711C" w:rsidRDefault="00706BDA" w:rsidP="0021538A">
      <w:pPr>
        <w:spacing w:after="40"/>
        <w:rPr>
          <w:rFonts w:cstheme="minorHAnsi"/>
          <w:bCs/>
          <w:szCs w:val="72"/>
          <w:highlight w:val="yellow"/>
          <w:lang w:val="sr-Cyrl-RS"/>
        </w:rPr>
      </w:pPr>
      <w:r>
        <w:rPr>
          <w:noProof/>
          <w:lang w:val="en-GB" w:eastAsia="en-GB"/>
        </w:rPr>
        <w:drawing>
          <wp:inline distT="0" distB="0" distL="0" distR="0" wp14:anchorId="3607D1EE" wp14:editId="408E81C5">
            <wp:extent cx="2743200" cy="1673860"/>
            <wp:effectExtent l="0" t="0" r="0" b="2540"/>
            <wp:docPr id="45" name="Chart 45">
              <a:extLst xmlns:a="http://schemas.openxmlformats.org/drawingml/2006/main">
                <a:ext uri="{FF2B5EF4-FFF2-40B4-BE49-F238E27FC236}">
                  <a16:creationId xmlns:a16="http://schemas.microsoft.com/office/drawing/2014/main" id="{00000000-0008-0000-1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47A9F7A6" w14:textId="77777777" w:rsidR="00105AE6" w:rsidRPr="0062711C" w:rsidRDefault="00105AE6" w:rsidP="0021538A">
      <w:pPr>
        <w:spacing w:after="120"/>
        <w:rPr>
          <w:rFonts w:cstheme="minorHAnsi"/>
          <w:lang w:val="sr-Cyrl-RS"/>
        </w:rPr>
      </w:pPr>
      <w:r w:rsidRPr="0062711C">
        <w:rPr>
          <w:rFonts w:cstheme="minorHAnsi"/>
          <w:bCs/>
          <w:sz w:val="16"/>
          <w:szCs w:val="72"/>
          <w:lang w:val="sr-Cyrl-RS"/>
        </w:rPr>
        <w:t>Извор: НБС</w:t>
      </w:r>
    </w:p>
    <w:p w14:paraId="5E8E68DB" w14:textId="433E3873" w:rsidR="00105AE6" w:rsidRPr="0062711C" w:rsidRDefault="00105AE6" w:rsidP="00F762CA">
      <w:pPr>
        <w:rPr>
          <w:rFonts w:cstheme="minorHAnsi"/>
          <w:bCs/>
          <w:spacing w:val="-2"/>
          <w:szCs w:val="72"/>
          <w:lang w:val="sr-Cyrl-RS"/>
        </w:rPr>
      </w:pPr>
      <w:r w:rsidRPr="0062711C">
        <w:rPr>
          <w:rFonts w:cstheme="minorHAnsi"/>
          <w:bCs/>
          <w:szCs w:val="72"/>
          <w:lang w:val="sr-Cyrl-RS"/>
        </w:rPr>
        <w:t>Одржана је стабилност девизног курса, уз рекордно висок ниво девизних резерви НБС. Период јануар–</w:t>
      </w:r>
      <w:r w:rsidR="00D905D2">
        <w:rPr>
          <w:rFonts w:cstheme="minorHAnsi"/>
          <w:bCs/>
          <w:szCs w:val="72"/>
          <w:lang w:val="sr-Cyrl-RS"/>
        </w:rPr>
        <w:t>мај</w:t>
      </w:r>
      <w:r w:rsidRPr="0062711C">
        <w:rPr>
          <w:rFonts w:cstheme="minorHAnsi"/>
          <w:bCs/>
          <w:szCs w:val="72"/>
          <w:lang w:val="sr-Cyrl-RS"/>
        </w:rPr>
        <w:t xml:space="preserve"> 2024. године обележила су релативно стабилна кретања на девизном тржишту. С обзиром на већу понуду девиза од тражње, НБС је у овом периоду била нето купац девиза у износу од </w:t>
      </w:r>
      <w:r w:rsidR="00D905D2">
        <w:rPr>
          <w:rFonts w:cstheme="minorHAnsi"/>
          <w:bCs/>
          <w:szCs w:val="72"/>
          <w:lang w:val="sr-Cyrl-RS"/>
        </w:rPr>
        <w:t>635</w:t>
      </w:r>
      <w:r w:rsidRPr="0062711C">
        <w:rPr>
          <w:rFonts w:cstheme="minorHAnsi"/>
          <w:bCs/>
          <w:szCs w:val="72"/>
          <w:lang w:val="sr-Cyrl-RS"/>
        </w:rPr>
        <w:t xml:space="preserve"> мил. евра. У </w:t>
      </w:r>
      <w:r w:rsidR="00D905D2">
        <w:rPr>
          <w:rFonts w:cstheme="minorHAnsi"/>
          <w:bCs/>
          <w:szCs w:val="72"/>
          <w:lang w:val="sr-Cyrl-RS"/>
        </w:rPr>
        <w:t>мају</w:t>
      </w:r>
      <w:r w:rsidRPr="0062711C">
        <w:rPr>
          <w:rFonts w:cstheme="minorHAnsi"/>
          <w:bCs/>
          <w:szCs w:val="72"/>
          <w:lang w:val="sr-Cyrl-RS"/>
        </w:rPr>
        <w:t xml:space="preserve"> 2024. године вредност динара према евру је готово непромењена, док је од почетка године динар номинално ојачао према евру за 0,1%. НБС је у </w:t>
      </w:r>
      <w:r w:rsidR="00D905D2">
        <w:rPr>
          <w:rFonts w:cstheme="minorHAnsi"/>
          <w:bCs/>
          <w:szCs w:val="72"/>
          <w:lang w:val="sr-Cyrl-RS"/>
        </w:rPr>
        <w:t xml:space="preserve">мају </w:t>
      </w:r>
      <w:r w:rsidRPr="0062711C">
        <w:rPr>
          <w:rFonts w:cstheme="minorHAnsi"/>
          <w:bCs/>
          <w:szCs w:val="72"/>
          <w:lang w:val="sr-Cyrl-RS"/>
        </w:rPr>
        <w:t xml:space="preserve">купила </w:t>
      </w:r>
      <w:r w:rsidR="00D905D2">
        <w:rPr>
          <w:rFonts w:cstheme="minorHAnsi"/>
          <w:bCs/>
          <w:szCs w:val="72"/>
          <w:lang w:val="sr-Cyrl-RS"/>
        </w:rPr>
        <w:t>105</w:t>
      </w:r>
      <w:r w:rsidRPr="0062711C">
        <w:rPr>
          <w:rFonts w:cstheme="minorHAnsi"/>
          <w:bCs/>
          <w:szCs w:val="72"/>
          <w:lang w:val="sr-Cyrl-RS"/>
        </w:rPr>
        <w:t xml:space="preserve"> мил. евра на међубанкарском девизном тржишту.</w:t>
      </w:r>
    </w:p>
    <w:p w14:paraId="18597353" w14:textId="77777777" w:rsidR="00105AE6" w:rsidRPr="0062711C" w:rsidRDefault="00105AE6" w:rsidP="005516BC">
      <w:pPr>
        <w:pStyle w:val="Caption"/>
        <w:keepNext/>
        <w:spacing w:after="0"/>
        <w:rPr>
          <w:rFonts w:cstheme="minorHAnsi"/>
          <w:b w:val="0"/>
          <w:i/>
          <w:iCs w:val="0"/>
          <w:szCs w:val="22"/>
          <w:lang w:val="sr-Cyrl-RS"/>
        </w:rPr>
      </w:pPr>
      <w:r w:rsidRPr="0062711C">
        <w:rPr>
          <w:rFonts w:cstheme="minorHAnsi"/>
          <w:iCs w:val="0"/>
          <w:szCs w:val="22"/>
          <w:lang w:val="sr-Cyrl-RS"/>
        </w:rPr>
        <w:t>Девизни курс и интервенције НБС на девизном тржишту</w:t>
      </w:r>
    </w:p>
    <w:p w14:paraId="3AAA01DB" w14:textId="0409443C" w:rsidR="00105AE6" w:rsidRPr="0062711C" w:rsidRDefault="00E12942" w:rsidP="00F762CA">
      <w:pPr>
        <w:spacing w:after="20"/>
        <w:rPr>
          <w:rFonts w:cstheme="minorHAnsi"/>
          <w:bCs/>
          <w:szCs w:val="72"/>
          <w:highlight w:val="darkYellow"/>
          <w:lang w:val="sr-Cyrl-RS"/>
        </w:rPr>
      </w:pPr>
      <w:r>
        <w:rPr>
          <w:noProof/>
          <w:lang w:val="en-GB" w:eastAsia="en-GB"/>
        </w:rPr>
        <w:drawing>
          <wp:inline distT="0" distB="0" distL="0" distR="0" wp14:anchorId="728B5D41" wp14:editId="016FD4FD">
            <wp:extent cx="2743200" cy="1698625"/>
            <wp:effectExtent l="0" t="0" r="0" b="0"/>
            <wp:docPr id="88" name="Chart 88">
              <a:extLst xmlns:a="http://schemas.openxmlformats.org/drawingml/2006/main">
                <a:ext uri="{FF2B5EF4-FFF2-40B4-BE49-F238E27FC236}">
                  <a16:creationId xmlns:a16="http://schemas.microsoft.com/office/drawing/2014/main" id="{00000000-0008-0000-14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27160C12" w14:textId="77777777" w:rsidR="00105AE6" w:rsidRPr="0062711C" w:rsidRDefault="00105AE6" w:rsidP="00852421">
      <w:pPr>
        <w:spacing w:after="120"/>
        <w:rPr>
          <w:rFonts w:cstheme="minorHAnsi"/>
          <w:bCs/>
          <w:szCs w:val="72"/>
          <w:lang w:val="sr-Cyrl-RS"/>
        </w:rPr>
      </w:pPr>
      <w:r w:rsidRPr="0062711C">
        <w:rPr>
          <w:rFonts w:cstheme="minorHAnsi"/>
          <w:bCs/>
          <w:sz w:val="16"/>
          <w:szCs w:val="72"/>
          <w:lang w:val="sr-Cyrl-RS"/>
        </w:rPr>
        <w:t>Извор: НБС</w:t>
      </w:r>
    </w:p>
    <w:p w14:paraId="13D9DC65" w14:textId="6B1E8680" w:rsidR="00105AE6" w:rsidRPr="0062711C" w:rsidRDefault="00105AE6" w:rsidP="00F762CA">
      <w:pPr>
        <w:rPr>
          <w:rFonts w:cstheme="minorHAnsi"/>
          <w:bCs/>
          <w:szCs w:val="72"/>
          <w:lang w:val="sr-Cyrl-RS"/>
        </w:rPr>
      </w:pPr>
      <w:r w:rsidRPr="0062711C">
        <w:rPr>
          <w:rFonts w:cstheme="minorHAnsi"/>
          <w:bCs/>
          <w:szCs w:val="72"/>
          <w:lang w:val="sr-Cyrl-RS"/>
        </w:rPr>
        <w:t>Бруто</w:t>
      </w:r>
      <w:r w:rsidRPr="0062711C">
        <w:rPr>
          <w:rFonts w:cstheme="minorHAnsi"/>
          <w:b/>
          <w:bCs/>
          <w:szCs w:val="72"/>
          <w:lang w:val="sr-Cyrl-RS"/>
        </w:rPr>
        <w:t xml:space="preserve"> </w:t>
      </w:r>
      <w:r w:rsidRPr="0062711C">
        <w:rPr>
          <w:rFonts w:cstheme="minorHAnsi"/>
          <w:bCs/>
          <w:szCs w:val="72"/>
          <w:lang w:val="sr-Cyrl-RS"/>
        </w:rPr>
        <w:t xml:space="preserve">девизне резерве у </w:t>
      </w:r>
      <w:r w:rsidR="004650FD">
        <w:rPr>
          <w:rFonts w:cstheme="minorHAnsi"/>
          <w:bCs/>
          <w:szCs w:val="72"/>
          <w:lang w:val="sr-Cyrl-RS"/>
        </w:rPr>
        <w:t>мају</w:t>
      </w:r>
      <w:r w:rsidRPr="0062711C">
        <w:rPr>
          <w:rFonts w:cstheme="minorHAnsi"/>
          <w:bCs/>
          <w:szCs w:val="72"/>
          <w:lang w:val="sr-Cyrl-RS"/>
        </w:rPr>
        <w:t xml:space="preserve"> 2024. године су повећане за </w:t>
      </w:r>
      <w:r w:rsidR="004650FD">
        <w:rPr>
          <w:rFonts w:cstheme="minorHAnsi"/>
          <w:bCs/>
          <w:szCs w:val="72"/>
          <w:lang w:val="sr-Cyrl-RS"/>
        </w:rPr>
        <w:t>27,9</w:t>
      </w:r>
      <w:r w:rsidRPr="0062711C">
        <w:rPr>
          <w:rFonts w:cstheme="minorHAnsi"/>
          <w:bCs/>
          <w:szCs w:val="72"/>
          <w:lang w:val="sr-Cyrl-RS"/>
        </w:rPr>
        <w:t xml:space="preserve"> мил. евра и износиле су 25,</w:t>
      </w:r>
      <w:r w:rsidR="004650FD">
        <w:rPr>
          <w:rFonts w:cstheme="minorHAnsi"/>
          <w:bCs/>
          <w:szCs w:val="72"/>
          <w:lang w:val="sr-Cyrl-RS"/>
        </w:rPr>
        <w:t>2</w:t>
      </w:r>
      <w:r w:rsidRPr="0062711C">
        <w:rPr>
          <w:rFonts w:cstheme="minorHAnsi"/>
          <w:bCs/>
          <w:szCs w:val="72"/>
          <w:lang w:val="sr-Cyrl-RS"/>
        </w:rPr>
        <w:t xml:space="preserve"> млрд евра. Овај ниво је највиши од када се прате подаци на овај начин (од 2000. године) и знатно су </w:t>
      </w:r>
      <w:r w:rsidRPr="0062711C">
        <w:rPr>
          <w:rFonts w:cstheme="minorHAnsi"/>
          <w:bCs/>
          <w:szCs w:val="72"/>
          <w:lang w:val="sr-Cyrl-RS"/>
        </w:rPr>
        <w:t>изнад стандарда којима се утврђује њихова адекватност. То је било довољно за покривеност новчане масе М1 од 1</w:t>
      </w:r>
      <w:r w:rsidR="004650FD">
        <w:rPr>
          <w:rFonts w:cstheme="minorHAnsi"/>
          <w:bCs/>
          <w:szCs w:val="72"/>
          <w:lang w:val="sr-Cyrl-RS"/>
        </w:rPr>
        <w:t>72</w:t>
      </w:r>
      <w:r w:rsidRPr="0062711C">
        <w:rPr>
          <w:rFonts w:cstheme="minorHAnsi"/>
          <w:bCs/>
          <w:szCs w:val="72"/>
          <w:lang w:val="sr-Cyrl-RS"/>
        </w:rPr>
        <w:t>,</w:t>
      </w:r>
      <w:r w:rsidR="004650FD">
        <w:rPr>
          <w:rFonts w:cstheme="minorHAnsi"/>
          <w:bCs/>
          <w:szCs w:val="72"/>
          <w:lang w:val="sr-Cyrl-RS"/>
        </w:rPr>
        <w:t>1</w:t>
      </w:r>
      <w:r w:rsidRPr="0062711C">
        <w:rPr>
          <w:rFonts w:cstheme="minorHAnsi"/>
          <w:bCs/>
          <w:szCs w:val="72"/>
          <w:lang w:val="sr-Cyrl-RS"/>
        </w:rPr>
        <w:t xml:space="preserve">% и 6,7 месеци увоза робе и услуга. Повећање девизних резерви у </w:t>
      </w:r>
      <w:r w:rsidR="004650FD">
        <w:rPr>
          <w:rFonts w:cstheme="minorHAnsi"/>
          <w:bCs/>
          <w:szCs w:val="72"/>
          <w:lang w:val="sr-Cyrl-RS"/>
        </w:rPr>
        <w:t>мају</w:t>
      </w:r>
      <w:r w:rsidRPr="0062711C">
        <w:rPr>
          <w:rFonts w:cstheme="minorHAnsi"/>
          <w:bCs/>
          <w:szCs w:val="72"/>
          <w:lang w:val="sr-Cyrl-RS"/>
        </w:rPr>
        <w:t xml:space="preserve"> првенствено је резултат интервенција НБС </w:t>
      </w:r>
      <w:r w:rsidR="00CE3449" w:rsidRPr="00CE3449">
        <w:rPr>
          <w:rFonts w:cstheme="minorHAnsi"/>
          <w:bCs/>
          <w:szCs w:val="72"/>
          <w:lang w:val="sr-Cyrl-RS"/>
        </w:rPr>
        <w:t>куповином девиза на домаћем девизном тржишту</w:t>
      </w:r>
      <w:r w:rsidRPr="0062711C">
        <w:rPr>
          <w:rFonts w:cstheme="minorHAnsi"/>
          <w:bCs/>
          <w:szCs w:val="72"/>
          <w:lang w:val="sr-Cyrl-RS"/>
        </w:rPr>
        <w:t>.</w:t>
      </w:r>
    </w:p>
    <w:p w14:paraId="27E8B79B" w14:textId="77777777" w:rsidR="00105AE6" w:rsidRPr="0062711C" w:rsidRDefault="00105AE6" w:rsidP="00F762CA">
      <w:pPr>
        <w:spacing w:after="40"/>
        <w:jc w:val="center"/>
        <w:rPr>
          <w:rFonts w:cstheme="minorHAnsi"/>
          <w:b/>
          <w:i/>
          <w:iCs/>
          <w:color w:val="002060"/>
          <w:lang w:val="sr-Cyrl-RS"/>
        </w:rPr>
      </w:pPr>
      <w:r w:rsidRPr="0062711C">
        <w:rPr>
          <w:rFonts w:cstheme="minorHAnsi"/>
          <w:b/>
          <w:color w:val="002060"/>
          <w:lang w:val="sr-Cyrl-RS"/>
        </w:rPr>
        <w:t>Девизне резерве и девизна штедња, млрд евра</w:t>
      </w:r>
    </w:p>
    <w:p w14:paraId="25D86F88" w14:textId="54E1D78D" w:rsidR="00105AE6" w:rsidRPr="0062711C" w:rsidRDefault="00C55D27" w:rsidP="008A5B9A">
      <w:pPr>
        <w:spacing w:after="0"/>
        <w:rPr>
          <w:rFonts w:cstheme="minorHAnsi"/>
          <w:bCs/>
          <w:szCs w:val="72"/>
          <w:highlight w:val="darkYellow"/>
          <w:lang w:val="sr-Cyrl-RS"/>
        </w:rPr>
      </w:pPr>
      <w:r>
        <w:rPr>
          <w:noProof/>
          <w:lang w:val="en-GB" w:eastAsia="en-GB"/>
        </w:rPr>
        <w:drawing>
          <wp:inline distT="0" distB="0" distL="0" distR="0" wp14:anchorId="771710E3" wp14:editId="6357C17E">
            <wp:extent cx="2743200" cy="1799590"/>
            <wp:effectExtent l="0" t="0" r="0" b="0"/>
            <wp:docPr id="44" name="Chart 44">
              <a:extLst xmlns:a="http://schemas.openxmlformats.org/drawingml/2006/main">
                <a:ext uri="{FF2B5EF4-FFF2-40B4-BE49-F238E27FC236}">
                  <a16:creationId xmlns:a16="http://schemas.microsoft.com/office/drawing/2014/main" id="{00000000-0008-0000-1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14:paraId="7B3B6D0C" w14:textId="77777777" w:rsidR="00105AE6" w:rsidRPr="0062711C" w:rsidRDefault="00105AE6" w:rsidP="008A5B9A">
      <w:pPr>
        <w:spacing w:after="120"/>
        <w:rPr>
          <w:rFonts w:cstheme="minorHAnsi"/>
          <w:bCs/>
          <w:szCs w:val="72"/>
          <w:lang w:val="sr-Cyrl-RS"/>
        </w:rPr>
      </w:pPr>
      <w:r w:rsidRPr="0062711C">
        <w:rPr>
          <w:rFonts w:cstheme="minorHAnsi"/>
          <w:bCs/>
          <w:sz w:val="16"/>
          <w:szCs w:val="72"/>
          <w:lang w:val="sr-Cyrl-RS"/>
        </w:rPr>
        <w:t>Извор: НБС</w:t>
      </w:r>
    </w:p>
    <w:p w14:paraId="31D371DA" w14:textId="77777777" w:rsidR="00105AE6" w:rsidRPr="0062711C" w:rsidRDefault="00105AE6" w:rsidP="005C539B">
      <w:pPr>
        <w:spacing w:after="120"/>
        <w:rPr>
          <w:lang w:val="sr-Cyrl-RS"/>
        </w:rPr>
      </w:pPr>
      <w:r w:rsidRPr="0062711C">
        <w:rPr>
          <w:lang w:val="sr-Cyrl-RS"/>
        </w:rPr>
        <w:t>Према пројекцији инфлација ће до краја 2024. године наставити да се креће опадајућом путањoм, а од следеће године се очекује њено кретање близу централне вредности циља. Таквом кретању инфлације највише ће допринети ефекти досадашњег заоштравања монетарних услова и пад инфлационих очекивања, као и слабљење глобалних трошковних притисака, даље успоравање увозне инфлације и још увек слаба екстерна тражња. Неизвесност остваривања пројекције инфлације највећим делом потиче из међународног окружења, као и од утицаја геополитичких односа на светске цене енергената и других примарних производа.</w:t>
      </w:r>
    </w:p>
    <w:p w14:paraId="17C381DA" w14:textId="77777777" w:rsidR="00105AE6" w:rsidRPr="0062711C" w:rsidRDefault="00105AE6" w:rsidP="005C539B">
      <w:pPr>
        <w:pStyle w:val="Caption"/>
        <w:keepNext/>
        <w:spacing w:after="40"/>
        <w:rPr>
          <w:rFonts w:cstheme="minorHAnsi"/>
          <w:iCs w:val="0"/>
          <w:szCs w:val="22"/>
          <w:lang w:val="sr-Cyrl-RS"/>
        </w:rPr>
      </w:pPr>
      <w:r w:rsidRPr="0062711C">
        <w:rPr>
          <w:rFonts w:cstheme="minorHAnsi"/>
          <w:iCs w:val="0"/>
          <w:szCs w:val="22"/>
          <w:lang w:val="sr-Cyrl-RS"/>
        </w:rPr>
        <w:t>Пројекција инфлације, %</w:t>
      </w:r>
    </w:p>
    <w:p w14:paraId="425950E0" w14:textId="77777777" w:rsidR="00105AE6" w:rsidRPr="0062711C" w:rsidRDefault="00105AE6" w:rsidP="005C539B">
      <w:pPr>
        <w:spacing w:after="40"/>
        <w:rPr>
          <w:rFonts w:cstheme="minorHAnsi"/>
          <w:sz w:val="16"/>
          <w:szCs w:val="16"/>
          <w:lang w:val="sr-Cyrl-RS"/>
        </w:rPr>
      </w:pPr>
      <w:r w:rsidRPr="0062711C">
        <w:rPr>
          <w:noProof/>
          <w:lang w:val="en-GB" w:eastAsia="en-GB"/>
        </w:rPr>
        <w:drawing>
          <wp:inline distT="0" distB="0" distL="0" distR="0" wp14:anchorId="3A494D37" wp14:editId="6275176E">
            <wp:extent cx="2743200" cy="1620000"/>
            <wp:effectExtent l="0" t="0" r="0" b="0"/>
            <wp:docPr id="50" name="Chart 50">
              <a:extLst xmlns:a="http://schemas.openxmlformats.org/drawingml/2006/main">
                <a:ext uri="{FF2B5EF4-FFF2-40B4-BE49-F238E27FC236}">
                  <a16:creationId xmlns:a16="http://schemas.microsoft.com/office/drawing/2014/main" id="{00000000-0008-0000-1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14:paraId="50BE9605" w14:textId="324FA03D" w:rsidR="00FD448E" w:rsidRDefault="00105AE6" w:rsidP="00834D22">
      <w:pPr>
        <w:spacing w:after="0"/>
        <w:rPr>
          <w:rFonts w:cstheme="minorHAnsi"/>
          <w:bCs/>
          <w:sz w:val="16"/>
          <w:szCs w:val="72"/>
          <w:lang w:val="sr-Cyrl-RS"/>
        </w:rPr>
      </w:pPr>
      <w:r w:rsidRPr="0062711C">
        <w:rPr>
          <w:rFonts w:cstheme="minorHAnsi"/>
          <w:bCs/>
          <w:sz w:val="16"/>
          <w:szCs w:val="72"/>
          <w:lang w:val="sr-Cyrl-RS"/>
        </w:rPr>
        <w:t>Извор: Министарство финансија</w:t>
      </w:r>
    </w:p>
    <w:p w14:paraId="33C31E86" w14:textId="77777777" w:rsidR="00FD448E" w:rsidRDefault="00FD448E" w:rsidP="00834D22">
      <w:pPr>
        <w:spacing w:after="0"/>
        <w:rPr>
          <w:rFonts w:cstheme="minorHAnsi"/>
          <w:bCs/>
          <w:sz w:val="16"/>
          <w:szCs w:val="72"/>
          <w:lang w:val="sr-Cyrl-RS"/>
        </w:rPr>
        <w:sectPr w:rsidR="00FD448E" w:rsidSect="00F45C01">
          <w:type w:val="continuous"/>
          <w:pgSz w:w="12240" w:h="15840" w:code="1"/>
          <w:pgMar w:top="1440" w:right="1440" w:bottom="1440" w:left="1440" w:header="720" w:footer="720" w:gutter="0"/>
          <w:cols w:num="2" w:space="720"/>
          <w:docGrid w:linePitch="360"/>
          <w15:footnoteColumns w:val="1"/>
        </w:sectPr>
      </w:pPr>
    </w:p>
    <w:p w14:paraId="7780828E" w14:textId="62C8E9CF" w:rsidR="00105AE6" w:rsidRPr="0062711C" w:rsidRDefault="00105AE6" w:rsidP="00834D22">
      <w:pPr>
        <w:spacing w:after="0"/>
        <w:rPr>
          <w:rFonts w:cstheme="minorHAnsi"/>
          <w:bCs/>
          <w:sz w:val="16"/>
          <w:szCs w:val="72"/>
          <w:lang w:val="sr-Cyrl-RS"/>
        </w:rPr>
      </w:pPr>
    </w:p>
    <w:p w14:paraId="6EB42D2A" w14:textId="77777777" w:rsidR="005D18CE" w:rsidRDefault="005D18CE" w:rsidP="00FD448E">
      <w:pPr>
        <w:rPr>
          <w:lang w:val="sr-Cyrl-RS"/>
        </w:rPr>
      </w:pPr>
      <w:bookmarkStart w:id="23" w:name="_Toc23342463"/>
    </w:p>
    <w:p w14:paraId="48FA099E" w14:textId="3454C857" w:rsidR="00105AE6" w:rsidRPr="0062711C" w:rsidRDefault="00105AE6" w:rsidP="005C539B">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lastRenderedPageBreak/>
        <w:t>Екстерни сектор</w:t>
      </w:r>
    </w:p>
    <w:p w14:paraId="3B4FE0EB" w14:textId="2F4800C8" w:rsidR="00105AE6" w:rsidRPr="0062711C" w:rsidRDefault="00105AE6" w:rsidP="005C539B">
      <w:pPr>
        <w:rPr>
          <w:rFonts w:eastAsia="Times New Roman" w:cstheme="minorHAnsi"/>
          <w:szCs w:val="24"/>
          <w:lang w:val="sr-Cyrl-RS"/>
        </w:rPr>
      </w:pPr>
      <w:r w:rsidRPr="0062711C">
        <w:rPr>
          <w:rFonts w:eastAsia="Times New Roman" w:cstheme="minorHAnsi"/>
          <w:szCs w:val="24"/>
          <w:lang w:val="sr-Cyrl-RS"/>
        </w:rPr>
        <w:t>Укупан обим спољнотрговинске робне размене у 2023. години износио је 65,5 млрд евра и смањен је за 1,7%, пре свега као последица пада увоза док је извоз наставио са растом. Упркос смањеној екстерној тражњи робни извоз забележио је раст од 3,7%, пре свега као резултат повећања производних капацитета привреде. Са друге стране, дошло је до пада робног увоза од 5,5%, који је пре свега последица пада цена енергената, али и мање увезене количине услед стабилизације домаћег енергетског сектора.</w:t>
      </w:r>
      <w:r w:rsidRPr="0062711C">
        <w:rPr>
          <w:rFonts w:eastAsia="Times New Roman" w:cstheme="minorHAnsi"/>
          <w:color w:val="FF0000"/>
          <w:szCs w:val="24"/>
          <w:lang w:val="sr-Cyrl-RS"/>
        </w:rPr>
        <w:t xml:space="preserve"> </w:t>
      </w:r>
      <w:r w:rsidRPr="0062711C">
        <w:rPr>
          <w:rFonts w:eastAsia="Times New Roman" w:cstheme="minorHAnsi"/>
          <w:szCs w:val="24"/>
          <w:lang w:val="sr-Cyrl-RS"/>
        </w:rPr>
        <w:t xml:space="preserve">Треба напоменути и да је у 2022. години донета одлука о формирању стратешких резерви енергената у условима растуће неизвесности у међународном окружењу, које су и попуњене исте године, те је и то условило висок базни ефекат. Ово се нарочито односи на гас и попуњавање складишта природног гаса „Банатски двор”. Оваква кретања условила су да је у 2023. години дефицит робне размене смањен у односу </w:t>
      </w:r>
      <w:r w:rsidR="00274FD8" w:rsidRPr="0062711C">
        <w:rPr>
          <w:rFonts w:eastAsia="Times New Roman" w:cstheme="minorHAnsi"/>
          <w:szCs w:val="24"/>
          <w:lang w:val="sr-Cyrl-RS"/>
        </w:rPr>
        <w:t>на 2022. годину за чак 3,2 млрд</w:t>
      </w:r>
      <w:r w:rsidRPr="0062711C">
        <w:rPr>
          <w:rFonts w:eastAsia="Times New Roman" w:cstheme="minorHAnsi"/>
          <w:szCs w:val="24"/>
          <w:lang w:val="sr-Cyrl-RS"/>
        </w:rPr>
        <w:t xml:space="preserve"> евра. Нешто преко 60% смањења дефицита робне размене последица је пада дефицита у размени енергената са иностранством.</w:t>
      </w:r>
    </w:p>
    <w:p w14:paraId="02746E24" w14:textId="2D2681C2" w:rsidR="00105AE6" w:rsidRPr="0062711C" w:rsidRDefault="00834D22" w:rsidP="005C539B">
      <w:pPr>
        <w:rPr>
          <w:rFonts w:eastAsia="Times New Roman" w:cstheme="minorHAnsi"/>
          <w:szCs w:val="24"/>
          <w:highlight w:val="lightGray"/>
          <w:lang w:val="sr-Cyrl-RS"/>
        </w:rPr>
      </w:pPr>
      <w:r w:rsidRPr="0062711C">
        <w:rPr>
          <w:rFonts w:cstheme="minorHAnsi"/>
          <w:b/>
          <w:noProof/>
          <w:sz w:val="24"/>
          <w:lang w:val="en-GB" w:eastAsia="en-GB"/>
        </w:rPr>
        <mc:AlternateContent>
          <mc:Choice Requires="wps">
            <w:drawing>
              <wp:anchor distT="0" distB="0" distL="114300" distR="114300" simplePos="0" relativeHeight="251679232" behindDoc="1" locked="0" layoutInCell="1" allowOverlap="1" wp14:anchorId="193F0A9C" wp14:editId="4F2D989E">
                <wp:simplePos x="0" y="0"/>
                <wp:positionH relativeFrom="margin">
                  <wp:posOffset>3112770</wp:posOffset>
                </wp:positionH>
                <wp:positionV relativeFrom="paragraph">
                  <wp:posOffset>1908810</wp:posOffset>
                </wp:positionV>
                <wp:extent cx="2954655" cy="2088000"/>
                <wp:effectExtent l="0" t="0" r="0" b="7620"/>
                <wp:wrapNone/>
                <wp:docPr id="55" name="Rectangle 55"/>
                <wp:cNvGraphicFramePr/>
                <a:graphic xmlns:a="http://schemas.openxmlformats.org/drawingml/2006/main">
                  <a:graphicData uri="http://schemas.microsoft.com/office/word/2010/wordprocessingShape">
                    <wps:wsp>
                      <wps:cNvSpPr/>
                      <wps:spPr>
                        <a:xfrm>
                          <a:off x="0" y="0"/>
                          <a:ext cx="2954655" cy="208800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7896B" id="Rectangle 55" o:spid="_x0000_s1026" style="position:absolute;margin-left:245.1pt;margin-top:150.3pt;width:232.65pt;height:164.4pt;z-index:-251637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" fillcolor="#d9d9d9" stroked="f" strokeweight="1pt">
                <v:fill r:id="rId103" o:title="" color2="window" type="pattern"/>
                <w10:wrap anchorx="margin"/>
              </v:rect>
            </w:pict>
          </mc:Fallback>
        </mc:AlternateContent>
      </w:r>
      <w:r w:rsidR="00105AE6" w:rsidRPr="0062711C">
        <w:rPr>
          <w:rFonts w:eastAsia="Times New Roman" w:cstheme="minorHAnsi"/>
          <w:szCs w:val="24"/>
          <w:lang w:val="sr-Cyrl-RS"/>
        </w:rPr>
        <w:t xml:space="preserve">Током прва четири месеца 2024. године, извезено је робе у укупној вредности од 9,8 млрд евра, што представља раст у односу на исти период у прошлој години од 1,4%. Извоз прерађивачке индустрије, која је и главни генератор раста извоза, већи је за 555,1 мил. евра или 6,9% у односу на прва четири месеца 2023. године, при чему је у оквиру ње остварен раст у 16 од 23 области. Раст извоза прерађивачке индустрије условљен је, с једне стране, благим растом екстерне тражње, а са друге, активирањем нових извозно оријентисаних капацитета, услед високог прилива СДИ из претходног периода, које су у значајном обиму биле усмерене у разменљиве секторе. Расту извоза прерађивачке индустрије највише је допринео раст извоза основних метала, осталих саобраћајних средстава, </w:t>
      </w:r>
      <w:r w:rsidR="00ED5EDD" w:rsidRPr="0062711C">
        <w:rPr>
          <w:rFonts w:eastAsia="Times New Roman" w:cstheme="minorHAnsi"/>
          <w:szCs w:val="24"/>
          <w:lang w:val="sr-Cyrl-RS"/>
        </w:rPr>
        <w:t>металске</w:t>
      </w:r>
      <w:r w:rsidR="00A05353" w:rsidRPr="0062711C">
        <w:rPr>
          <w:rFonts w:eastAsia="Times New Roman" w:cstheme="minorHAnsi"/>
          <w:szCs w:val="24"/>
          <w:lang w:val="sr-Cyrl-RS"/>
        </w:rPr>
        <w:t xml:space="preserve"> </w:t>
      </w:r>
      <w:r w:rsidR="00105AE6" w:rsidRPr="0062711C">
        <w:rPr>
          <w:rFonts w:eastAsia="Times New Roman" w:cstheme="minorHAnsi"/>
          <w:szCs w:val="24"/>
          <w:lang w:val="sr-Cyrl-RS"/>
        </w:rPr>
        <w:t>индустрије</w:t>
      </w:r>
      <w:r w:rsidR="00941230" w:rsidRPr="0062711C">
        <w:rPr>
          <w:rFonts w:eastAsia="Times New Roman" w:cstheme="minorHAnsi"/>
          <w:szCs w:val="24"/>
          <w:lang w:val="sr-Cyrl-RS"/>
        </w:rPr>
        <w:t>,</w:t>
      </w:r>
      <w:r w:rsidR="00105AE6" w:rsidRPr="0062711C">
        <w:rPr>
          <w:rFonts w:eastAsia="Times New Roman" w:cstheme="minorHAnsi"/>
          <w:szCs w:val="24"/>
          <w:lang w:val="sr-Cyrl-RS"/>
        </w:rPr>
        <w:t xml:space="preserve"> као и електронске и аутомобилске индустрије.</w:t>
      </w:r>
      <w:r w:rsidR="00105AE6" w:rsidRPr="0062711C">
        <w:rPr>
          <w:rFonts w:eastAsia="Times New Roman" w:cstheme="minorHAnsi"/>
          <w:color w:val="FF0000"/>
          <w:szCs w:val="24"/>
          <w:lang w:val="sr-Cyrl-RS"/>
        </w:rPr>
        <w:t xml:space="preserve"> </w:t>
      </w:r>
      <w:r w:rsidR="00105AE6" w:rsidRPr="0062711C">
        <w:rPr>
          <w:rFonts w:eastAsia="Times New Roman" w:cstheme="minorHAnsi"/>
          <w:szCs w:val="24"/>
          <w:lang w:val="sr-Cyrl-RS"/>
        </w:rPr>
        <w:t xml:space="preserve">Пољопривреда је упркос забележеном значајном паду цена пољопривредних производа на светском тржишту, остварила раст од 48,3%, услед добре пољопривредне сезоне у претходној години и </w:t>
      </w:r>
      <w:r w:rsidR="00105AE6" w:rsidRPr="0062711C">
        <w:rPr>
          <w:rFonts w:eastAsia="Times New Roman" w:cstheme="minorHAnsi"/>
          <w:szCs w:val="24"/>
          <w:lang w:val="sr-Cyrl-RS"/>
        </w:rPr>
        <w:t>базног ефекта. Највећи негативан допринос потекао је од пада извоза електричне енергије</w:t>
      </w:r>
      <w:r w:rsidR="00621B4A" w:rsidRPr="0062711C">
        <w:rPr>
          <w:rFonts w:eastAsia="Times New Roman" w:cstheme="minorHAnsi"/>
          <w:szCs w:val="24"/>
          <w:lang w:val="sr-Cyrl-RS"/>
        </w:rPr>
        <w:t xml:space="preserve"> који је био у овом периоду </w:t>
      </w:r>
      <w:r w:rsidR="00105AE6" w:rsidRPr="0062711C">
        <w:rPr>
          <w:rFonts w:eastAsia="Times New Roman" w:cstheme="minorHAnsi"/>
          <w:szCs w:val="24"/>
          <w:lang w:val="sr-Cyrl-RS"/>
        </w:rPr>
        <w:t>на нивоу од око 1/3 извоза из истог периода претходне године (</w:t>
      </w:r>
      <w:r w:rsidR="00743EDC" w:rsidRPr="0062711C">
        <w:rPr>
          <w:rFonts w:eastAsia="Times New Roman" w:cstheme="minorHAnsi"/>
          <w:szCs w:val="24"/>
          <w:lang w:val="sr-Cyrl-RS"/>
        </w:rPr>
        <w:t>смањење</w:t>
      </w:r>
      <w:r w:rsidR="00105AE6" w:rsidRPr="0062711C">
        <w:rPr>
          <w:rFonts w:eastAsia="Times New Roman" w:cstheme="minorHAnsi"/>
          <w:szCs w:val="24"/>
          <w:lang w:val="sr-Cyrl-RS"/>
        </w:rPr>
        <w:t xml:space="preserve"> од 431,3 мил. евра). Ово смањење је пре свега последица пада екстерне тражње услед стабилизације тржишта у окружењу и ниже цене струје, али и изузетно високе базе из </w:t>
      </w:r>
      <w:r w:rsidR="00377801" w:rsidRPr="0062711C">
        <w:rPr>
          <w:rFonts w:eastAsia="Times New Roman" w:cstheme="minorHAnsi"/>
          <w:szCs w:val="24"/>
          <w:lang w:val="sr-Cyrl-RS"/>
        </w:rPr>
        <w:t>прва четири месец</w:t>
      </w:r>
      <w:r w:rsidR="00014BA1" w:rsidRPr="0062711C">
        <w:rPr>
          <w:rFonts w:eastAsia="Times New Roman" w:cstheme="minorHAnsi"/>
          <w:szCs w:val="24"/>
          <w:lang w:val="sr-Cyrl-RS"/>
        </w:rPr>
        <w:t>a</w:t>
      </w:r>
      <w:r w:rsidR="00105AE6" w:rsidRPr="0062711C">
        <w:rPr>
          <w:rFonts w:eastAsia="Times New Roman" w:cstheme="minorHAnsi"/>
          <w:szCs w:val="24"/>
          <w:lang w:val="sr-Cyrl-RS"/>
        </w:rPr>
        <w:t xml:space="preserve"> претходне године. Вредност извоза рударства забележио је пад од 19,4% у односу на исти период претходне године, у потпуности вођен значајним смањењем извоза руда метала. Нижи извоз руда метала скоро у потпуности је последица пада извоза руде и концентрата бакра, чија је извезена количина у првом кварталу била мања за 117 хиљада тона. Ово смањење последица је јачања домаће сировинске базе услед </w:t>
      </w:r>
      <w:r w:rsidR="006F18F8" w:rsidRPr="0062711C">
        <w:rPr>
          <w:rFonts w:eastAsia="Times New Roman" w:cstheme="minorHAnsi"/>
          <w:szCs w:val="24"/>
          <w:lang w:val="sr-Cyrl-RS"/>
        </w:rPr>
        <w:t>активирања</w:t>
      </w:r>
      <w:r w:rsidR="00105AE6" w:rsidRPr="0062711C">
        <w:rPr>
          <w:rFonts w:eastAsia="Times New Roman" w:cstheme="minorHAnsi"/>
          <w:szCs w:val="24"/>
          <w:lang w:val="sr-Cyrl-RS"/>
        </w:rPr>
        <w:t xml:space="preserve"> топионице бакра у Бору, чиме је омогућен већи извоз производа више додате вредности (основних метала) у оквиру прерађивачке индустрије.</w:t>
      </w:r>
    </w:p>
    <w:p w14:paraId="47B21B97" w14:textId="61A9D665" w:rsidR="00105AE6" w:rsidRPr="0062711C" w:rsidRDefault="00105AE6" w:rsidP="00CF1194">
      <w:pPr>
        <w:spacing w:after="120"/>
        <w:rPr>
          <w:rFonts w:eastAsia="Times New Roman" w:cstheme="minorHAnsi"/>
          <w:szCs w:val="24"/>
          <w:lang w:val="sr-Cyrl-RS"/>
        </w:rPr>
      </w:pPr>
      <w:r w:rsidRPr="0062711C">
        <w:rPr>
          <w:rFonts w:eastAsia="Times New Roman" w:cstheme="minorHAnsi"/>
          <w:szCs w:val="24"/>
          <w:lang w:val="sr-Cyrl-RS"/>
        </w:rPr>
        <w:t xml:space="preserve">У </w:t>
      </w:r>
      <w:r w:rsidR="00A14C5A" w:rsidRPr="0062711C">
        <w:rPr>
          <w:rFonts w:eastAsia="Times New Roman" w:cstheme="minorHAnsi"/>
          <w:szCs w:val="24"/>
          <w:lang w:val="sr-Cyrl-RS"/>
        </w:rPr>
        <w:t>периоду јануар–</w:t>
      </w:r>
      <w:r w:rsidRPr="0062711C">
        <w:rPr>
          <w:rFonts w:eastAsia="Times New Roman" w:cstheme="minorHAnsi"/>
          <w:szCs w:val="24"/>
          <w:lang w:val="sr-Cyrl-RS"/>
        </w:rPr>
        <w:t>април 2024. године, увоз робе износио је 12,5 милијарди евра, што је раст од 1,3% у односу на исти период претходне године.</w:t>
      </w:r>
      <w:r w:rsidRPr="0062711C">
        <w:rPr>
          <w:rFonts w:eastAsia="Times New Roman" w:cstheme="minorHAnsi"/>
          <w:szCs w:val="24"/>
          <w:highlight w:val="lightGray"/>
          <w:lang w:val="sr-Cyrl-RS"/>
        </w:rPr>
        <w:t xml:space="preserve"> </w:t>
      </w:r>
      <w:r w:rsidRPr="0062711C">
        <w:rPr>
          <w:rFonts w:eastAsia="Times New Roman" w:cstheme="minorHAnsi"/>
          <w:szCs w:val="24"/>
          <w:lang w:val="sr-Cyrl-RS"/>
        </w:rPr>
        <w:t>Посматрано према економској намени, расту робног увоза допринело је повећање раста увоза потрошне робе и опреме, док је у супротном смеру деловала редукција увоза репроматеријала. Увоз потрошне робе и опреме забележио је раст од 11,6% и 14,4%, респективно (прираст од 273,0</w:t>
      </w:r>
      <w:r w:rsidR="00DC3DD6" w:rsidRPr="0062711C">
        <w:rPr>
          <w:rFonts w:eastAsia="Times New Roman" w:cstheme="minorHAnsi"/>
          <w:szCs w:val="24"/>
          <w:lang w:val="sr-Cyrl-RS"/>
        </w:rPr>
        <w:t xml:space="preserve"> мил. евра</w:t>
      </w:r>
      <w:r w:rsidRPr="0062711C">
        <w:rPr>
          <w:rFonts w:eastAsia="Times New Roman" w:cstheme="minorHAnsi"/>
          <w:szCs w:val="24"/>
          <w:lang w:val="sr-Cyrl-RS"/>
        </w:rPr>
        <w:t xml:space="preserve"> и 193,7 мил. евра), док је са друге стране, увоз репроматеријала смањен за 6,1%, односно 445,8 мил. евра. Пад увоза репроматеријала последица је, са једне стране, пада увозних цена, али и пада увезених количина енергената.</w:t>
      </w:r>
    </w:p>
    <w:p w14:paraId="16D958C3" w14:textId="1AA46CB6" w:rsidR="00105AE6" w:rsidRPr="0062711C" w:rsidRDefault="00105AE6" w:rsidP="005C539B">
      <w:pPr>
        <w:jc w:val="center"/>
        <w:rPr>
          <w:rFonts w:eastAsia="Times New Roman" w:cstheme="minorHAnsi"/>
          <w:b/>
          <w:szCs w:val="24"/>
          <w:lang w:val="sr-Cyrl-RS"/>
        </w:rPr>
      </w:pPr>
      <w:r w:rsidRPr="0062711C">
        <w:rPr>
          <w:rFonts w:eastAsia="Times New Roman" w:cstheme="minorHAnsi"/>
          <w:b/>
          <w:szCs w:val="24"/>
          <w:lang w:val="sr-Cyrl-RS"/>
        </w:rPr>
        <w:t>Утицај модернизације производних капацитета Зиђин групе на извозну активност</w:t>
      </w:r>
    </w:p>
    <w:p w14:paraId="2B2EE059" w14:textId="42DE6313" w:rsidR="00105AE6" w:rsidRPr="0062711C" w:rsidRDefault="00105AE6" w:rsidP="005C539B">
      <w:pPr>
        <w:rPr>
          <w:rFonts w:eastAsia="Times New Roman" w:cstheme="minorHAnsi"/>
          <w:szCs w:val="24"/>
          <w:lang w:val="sr-Cyrl-RS"/>
        </w:rPr>
      </w:pPr>
      <w:r w:rsidRPr="0062711C">
        <w:rPr>
          <w:rFonts w:eastAsia="Times New Roman" w:cstheme="minorHAnsi"/>
          <w:szCs w:val="24"/>
          <w:lang w:val="sr-Cyrl-RS"/>
        </w:rPr>
        <w:t>Зиђин мајнинг група у Србији послује са два огранка, Србија Зиђин Мајнинг и Србија Зиђин Бор Копер, која представљају два највећа извозника у Србији. Према подацима Управе царина ова предузећа су у 2023. години збирно посматрано извезли робе у вредности од 1,9 млрд евра, док је у прв</w:t>
      </w:r>
      <w:r w:rsidR="008875A3" w:rsidRPr="0062711C">
        <w:rPr>
          <w:rFonts w:eastAsia="Times New Roman" w:cstheme="minorHAnsi"/>
          <w:szCs w:val="24"/>
          <w:lang w:val="sr-Cyrl-RS"/>
        </w:rPr>
        <w:t>их</w:t>
      </w:r>
      <w:r w:rsidRPr="0062711C">
        <w:rPr>
          <w:rFonts w:eastAsia="Times New Roman" w:cstheme="minorHAnsi"/>
          <w:szCs w:val="24"/>
          <w:lang w:val="sr-Cyrl-RS"/>
        </w:rPr>
        <w:t xml:space="preserve"> </w:t>
      </w:r>
      <w:r w:rsidR="008875A3" w:rsidRPr="0062711C">
        <w:rPr>
          <w:rFonts w:eastAsia="Times New Roman" w:cstheme="minorHAnsi"/>
          <w:szCs w:val="24"/>
          <w:lang w:val="sr-Cyrl-RS"/>
        </w:rPr>
        <w:t>пет</w:t>
      </w:r>
      <w:r w:rsidRPr="0062711C">
        <w:rPr>
          <w:rFonts w:eastAsia="Times New Roman" w:cstheme="minorHAnsi"/>
          <w:szCs w:val="24"/>
          <w:lang w:val="sr-Cyrl-RS"/>
        </w:rPr>
        <w:t xml:space="preserve"> месец</w:t>
      </w:r>
      <w:r w:rsidR="008875A3" w:rsidRPr="0062711C">
        <w:rPr>
          <w:rFonts w:eastAsia="Times New Roman" w:cstheme="minorHAnsi"/>
          <w:szCs w:val="24"/>
          <w:lang w:val="sr-Cyrl-RS"/>
        </w:rPr>
        <w:t>и</w:t>
      </w:r>
      <w:r w:rsidRPr="0062711C">
        <w:rPr>
          <w:rFonts w:eastAsia="Times New Roman" w:cstheme="minorHAnsi"/>
          <w:szCs w:val="24"/>
          <w:lang w:val="sr-Cyrl-RS"/>
        </w:rPr>
        <w:t xml:space="preserve"> текуће године вредност њиховог извоза износила </w:t>
      </w:r>
      <w:r w:rsidR="008875A3" w:rsidRPr="0062711C">
        <w:rPr>
          <w:rFonts w:eastAsia="Times New Roman" w:cstheme="minorHAnsi"/>
          <w:szCs w:val="24"/>
          <w:lang w:val="sr-Cyrl-RS"/>
        </w:rPr>
        <w:t>1,2</w:t>
      </w:r>
      <w:r w:rsidRPr="0062711C">
        <w:rPr>
          <w:rFonts w:eastAsia="Times New Roman" w:cstheme="minorHAnsi"/>
          <w:szCs w:val="24"/>
          <w:lang w:val="sr-Cyrl-RS"/>
        </w:rPr>
        <w:t xml:space="preserve"> </w:t>
      </w:r>
      <w:r w:rsidR="008875A3" w:rsidRPr="0062711C">
        <w:rPr>
          <w:rFonts w:eastAsia="Times New Roman" w:cstheme="minorHAnsi"/>
          <w:szCs w:val="24"/>
          <w:lang w:val="sr-Cyrl-RS"/>
        </w:rPr>
        <w:t>млрд</w:t>
      </w:r>
      <w:r w:rsidRPr="0062711C">
        <w:rPr>
          <w:rFonts w:eastAsia="Times New Roman" w:cstheme="minorHAnsi"/>
          <w:szCs w:val="24"/>
          <w:lang w:val="sr-Cyrl-RS"/>
        </w:rPr>
        <w:t xml:space="preserve"> евра, </w:t>
      </w:r>
      <w:r w:rsidR="008875A3" w:rsidRPr="0062711C">
        <w:rPr>
          <w:rFonts w:eastAsia="Times New Roman" w:cstheme="minorHAnsi"/>
          <w:szCs w:val="24"/>
          <w:lang w:val="sr-Cyrl-RS"/>
        </w:rPr>
        <w:t>62,6</w:t>
      </w:r>
      <w:r w:rsidRPr="0062711C">
        <w:rPr>
          <w:rFonts w:eastAsia="Times New Roman" w:cstheme="minorHAnsi"/>
          <w:szCs w:val="24"/>
          <w:lang w:val="sr-Cyrl-RS"/>
        </w:rPr>
        <w:t>% више него у истом периоду претходне године.</w:t>
      </w:r>
    </w:p>
    <w:p w14:paraId="40616FF4" w14:textId="40D89E62" w:rsidR="00105AE6" w:rsidRPr="0062711C" w:rsidRDefault="00834D22" w:rsidP="005C539B">
      <w:pPr>
        <w:rPr>
          <w:rFonts w:eastAsia="Times New Roman" w:cstheme="minorHAnsi"/>
          <w:szCs w:val="24"/>
          <w:lang w:val="sr-Cyrl-RS"/>
        </w:rPr>
      </w:pPr>
      <w:r w:rsidRPr="0062711C">
        <w:rPr>
          <w:rFonts w:cstheme="minorHAnsi"/>
          <w:b/>
          <w:noProof/>
          <w:sz w:val="24"/>
          <w:lang w:val="en-GB" w:eastAsia="en-GB"/>
        </w:rPr>
        <w:lastRenderedPageBreak/>
        <mc:AlternateContent>
          <mc:Choice Requires="wps">
            <w:drawing>
              <wp:anchor distT="0" distB="0" distL="114300" distR="114300" simplePos="0" relativeHeight="251684352" behindDoc="1" locked="0" layoutInCell="1" allowOverlap="1" wp14:anchorId="4E9644FB" wp14:editId="6071492C">
                <wp:simplePos x="0" y="0"/>
                <wp:positionH relativeFrom="margin">
                  <wp:posOffset>-100804</wp:posOffset>
                </wp:positionH>
                <wp:positionV relativeFrom="paragraph">
                  <wp:posOffset>-18415</wp:posOffset>
                </wp:positionV>
                <wp:extent cx="2954655" cy="3239770"/>
                <wp:effectExtent l="0" t="0" r="0" b="0"/>
                <wp:wrapNone/>
                <wp:docPr id="82" name="Rectangle 82"/>
                <wp:cNvGraphicFramePr/>
                <a:graphic xmlns:a="http://schemas.openxmlformats.org/drawingml/2006/main">
                  <a:graphicData uri="http://schemas.microsoft.com/office/word/2010/wordprocessingShape">
                    <wps:wsp>
                      <wps:cNvSpPr/>
                      <wps:spPr>
                        <a:xfrm>
                          <a:off x="0" y="0"/>
                          <a:ext cx="2954655" cy="323977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FE4124" id="Rectangle 82" o:spid="_x0000_s1026" style="position:absolute;margin-left:-7.95pt;margin-top:-1.45pt;width:232.65pt;height:255.1pt;z-index:-251632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" fillcolor="#d9d9d9" stroked="f" strokeweight="1pt">
                <v:fill r:id="rId103" o:title="" color2="window" type="pattern"/>
                <w10:wrap anchorx="margin"/>
              </v:rect>
            </w:pict>
          </mc:Fallback>
        </mc:AlternateContent>
      </w:r>
      <w:r w:rsidR="00105AE6" w:rsidRPr="0062711C">
        <w:rPr>
          <w:rFonts w:eastAsia="Times New Roman" w:cstheme="minorHAnsi"/>
          <w:szCs w:val="24"/>
          <w:lang w:val="sr-Cyrl-RS"/>
        </w:rPr>
        <w:t xml:space="preserve">У марту 2023. године завршена је модернизација топионице бакра у Бору, чиме је окончан пројекат проширења производног капацитета и техничке реконструкције. За време док је топионица у Бору стајала због реконструкције и проширења, концентрат руде је </w:t>
      </w:r>
      <w:r w:rsidR="0089779B" w:rsidRPr="0062711C">
        <w:rPr>
          <w:rFonts w:eastAsia="Times New Roman" w:cstheme="minorHAnsi"/>
          <w:szCs w:val="24"/>
          <w:lang w:val="sr-Cyrl-RS"/>
        </w:rPr>
        <w:t>без даље прераде био извозни производ. Међутим, п</w:t>
      </w:r>
      <w:r w:rsidR="00105AE6" w:rsidRPr="0062711C">
        <w:rPr>
          <w:rFonts w:eastAsia="Times New Roman" w:cstheme="minorHAnsi"/>
          <w:szCs w:val="24"/>
          <w:lang w:val="sr-Cyrl-RS"/>
        </w:rPr>
        <w:t>оновно покретање топионице омогућило је да се руда прерађује у Србији и да се извози производ више додате вредности, што ће утицати на раст БДП и побољшање платно-билансне позиције земље. Позитивни ефекти већ су видљиви у прв</w:t>
      </w:r>
      <w:r w:rsidR="008875A3" w:rsidRPr="0062711C">
        <w:rPr>
          <w:rFonts w:eastAsia="Times New Roman" w:cstheme="minorHAnsi"/>
          <w:szCs w:val="24"/>
          <w:lang w:val="sr-Cyrl-RS"/>
        </w:rPr>
        <w:t>их</w:t>
      </w:r>
      <w:r w:rsidR="00105AE6" w:rsidRPr="0062711C">
        <w:rPr>
          <w:rFonts w:eastAsia="Times New Roman" w:cstheme="minorHAnsi"/>
          <w:szCs w:val="24"/>
          <w:lang w:val="sr-Cyrl-RS"/>
        </w:rPr>
        <w:t xml:space="preserve"> </w:t>
      </w:r>
      <w:r w:rsidR="008875A3" w:rsidRPr="0062711C">
        <w:rPr>
          <w:rFonts w:eastAsia="Times New Roman" w:cstheme="minorHAnsi"/>
          <w:szCs w:val="24"/>
          <w:lang w:val="sr-Cyrl-RS"/>
        </w:rPr>
        <w:t>пет</w:t>
      </w:r>
      <w:r w:rsidR="00105AE6" w:rsidRPr="0062711C">
        <w:rPr>
          <w:rFonts w:eastAsia="Times New Roman" w:cstheme="minorHAnsi"/>
          <w:szCs w:val="24"/>
          <w:lang w:val="sr-Cyrl-RS"/>
        </w:rPr>
        <w:t xml:space="preserve"> месец</w:t>
      </w:r>
      <w:r w:rsidR="008875A3" w:rsidRPr="0062711C">
        <w:rPr>
          <w:rFonts w:eastAsia="Times New Roman" w:cstheme="minorHAnsi"/>
          <w:szCs w:val="24"/>
          <w:lang w:val="sr-Cyrl-RS"/>
        </w:rPr>
        <w:t>и</w:t>
      </w:r>
      <w:r w:rsidR="00105AE6" w:rsidRPr="0062711C">
        <w:rPr>
          <w:rFonts w:eastAsia="Times New Roman" w:cstheme="minorHAnsi"/>
          <w:szCs w:val="24"/>
          <w:lang w:val="sr-Cyrl-RS"/>
        </w:rPr>
        <w:t xml:space="preserve"> текуће године, будући да је вредност нето извоза Србија Зиђин Копера повећана за </w:t>
      </w:r>
      <w:r w:rsidR="008875A3" w:rsidRPr="0062711C">
        <w:rPr>
          <w:rFonts w:eastAsia="Times New Roman" w:cstheme="minorHAnsi"/>
          <w:szCs w:val="24"/>
          <w:lang w:val="sr-Cyrl-RS"/>
        </w:rPr>
        <w:t>108,4</w:t>
      </w:r>
      <w:r w:rsidR="00105AE6" w:rsidRPr="0062711C">
        <w:rPr>
          <w:rFonts w:eastAsia="Times New Roman" w:cstheme="minorHAnsi"/>
          <w:szCs w:val="24"/>
          <w:lang w:val="sr-Cyrl-RS"/>
        </w:rPr>
        <w:t xml:space="preserve">%. У наредном периоду предвиђена су даља улагања од преко 4 млрд евра </w:t>
      </w:r>
      <w:r w:rsidR="0097008D">
        <w:rPr>
          <w:rFonts w:eastAsia="Times New Roman" w:cstheme="minorHAnsi"/>
          <w:szCs w:val="24"/>
          <w:lang w:val="sr-Cyrl-RS"/>
        </w:rPr>
        <w:t>у</w:t>
      </w:r>
      <w:r w:rsidR="00105AE6" w:rsidRPr="0062711C">
        <w:rPr>
          <w:rFonts w:eastAsia="Times New Roman" w:cstheme="minorHAnsi"/>
          <w:szCs w:val="24"/>
          <w:lang w:val="sr-Cyrl-RS"/>
        </w:rPr>
        <w:t xml:space="preserve"> развој подземних лежишта и побољшање инфраструктуре када је реч о површинској експлоатацији, што ће додатно подржати започети нови инвестициони циклус.</w:t>
      </w:r>
    </w:p>
    <w:p w14:paraId="7510B143" w14:textId="77777777" w:rsidR="00105AE6" w:rsidRPr="0062711C" w:rsidRDefault="00105AE6" w:rsidP="005C539B">
      <w:pPr>
        <w:pStyle w:val="NoSpacing"/>
        <w:jc w:val="center"/>
        <w:rPr>
          <w:rFonts w:cstheme="minorHAnsi"/>
          <w:color w:val="002060"/>
          <w:lang w:val="sr-Cyrl-RS"/>
        </w:rPr>
      </w:pPr>
      <w:r w:rsidRPr="0062711C">
        <w:rPr>
          <w:rFonts w:cstheme="minorHAnsi"/>
          <w:color w:val="002060"/>
          <w:lang w:val="sr-Cyrl-RS"/>
        </w:rPr>
        <w:t>Доприноси стопи раста увоза, економска намена, п.п.</w:t>
      </w:r>
    </w:p>
    <w:p w14:paraId="1C6D5E70" w14:textId="733701DA" w:rsidR="00105AE6" w:rsidRPr="0062711C" w:rsidRDefault="00EC40D7" w:rsidP="005C539B">
      <w:pPr>
        <w:pStyle w:val="NoSpacing"/>
        <w:jc w:val="center"/>
        <w:rPr>
          <w:rFonts w:cstheme="minorHAnsi"/>
          <w:color w:val="44546A" w:themeColor="text2"/>
          <w:lang w:val="sr-Cyrl-RS"/>
        </w:rPr>
      </w:pPr>
      <w:r w:rsidRPr="0062711C">
        <w:rPr>
          <w:noProof/>
          <w:lang w:val="en-GB" w:eastAsia="en-GB"/>
        </w:rPr>
        <w:drawing>
          <wp:inline distT="0" distB="0" distL="0" distR="0" wp14:anchorId="34696F6D" wp14:editId="20479753">
            <wp:extent cx="2741735" cy="1620000"/>
            <wp:effectExtent l="0" t="0" r="1905" b="0"/>
            <wp:docPr id="42" name="Chart 42">
              <a:extLst xmlns:a="http://schemas.openxmlformats.org/drawingml/2006/main">
                <a:ext uri="{FF2B5EF4-FFF2-40B4-BE49-F238E27FC236}">
                  <a16:creationId xmlns:a16="http://schemas.microsoft.com/office/drawing/2014/main" id="{00000000-0008-0000-16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2ACCB559" w14:textId="77777777" w:rsidR="00105AE6" w:rsidRPr="0062711C" w:rsidRDefault="00105AE6" w:rsidP="00476481">
      <w:pPr>
        <w:spacing w:after="80" w:line="240" w:lineRule="auto"/>
        <w:rPr>
          <w:rFonts w:cstheme="minorHAnsi"/>
          <w:bCs/>
          <w:szCs w:val="72"/>
          <w:lang w:val="sr-Cyrl-RS"/>
        </w:rPr>
      </w:pPr>
      <w:r w:rsidRPr="0062711C">
        <w:rPr>
          <w:rFonts w:cstheme="minorHAnsi"/>
          <w:bCs/>
          <w:sz w:val="16"/>
          <w:szCs w:val="72"/>
          <w:lang w:val="sr-Cyrl-RS"/>
        </w:rPr>
        <w:t>Извор: РЗС</w:t>
      </w:r>
    </w:p>
    <w:p w14:paraId="0A55D5D3" w14:textId="095724FC" w:rsidR="00105AE6" w:rsidRPr="0062711C" w:rsidRDefault="00105AE6" w:rsidP="00476481">
      <w:pPr>
        <w:spacing w:after="120"/>
        <w:rPr>
          <w:rFonts w:eastAsia="Times New Roman" w:cstheme="minorHAnsi"/>
          <w:szCs w:val="24"/>
          <w:lang w:val="sr-Cyrl-RS"/>
        </w:rPr>
      </w:pPr>
      <w:r w:rsidRPr="0062711C">
        <w:rPr>
          <w:rFonts w:eastAsia="Times New Roman" w:cstheme="minorHAnsi"/>
          <w:szCs w:val="24"/>
          <w:lang w:val="sr-Cyrl-RS"/>
        </w:rPr>
        <w:t>Оваква кретања у спољнотрговинској размени резултирала су благи растом спољнотрговинског дефицита током прва четири месеца 2024. године за 19,</w:t>
      </w:r>
      <w:r w:rsidR="00014BA1" w:rsidRPr="0062711C">
        <w:rPr>
          <w:rFonts w:eastAsia="Times New Roman" w:cstheme="minorHAnsi"/>
          <w:szCs w:val="24"/>
          <w:lang w:val="sr-Cyrl-RS"/>
        </w:rPr>
        <w:t xml:space="preserve">0 </w:t>
      </w:r>
      <w:r w:rsidRPr="0062711C">
        <w:rPr>
          <w:rFonts w:eastAsia="Times New Roman" w:cstheme="minorHAnsi"/>
          <w:szCs w:val="24"/>
          <w:lang w:val="sr-Cyrl-RS"/>
        </w:rPr>
        <w:t>мил. евра, уз раст покривености увоза извозом ‒ са 78,3% на 78,4%.</w:t>
      </w:r>
    </w:p>
    <w:p w14:paraId="19F8C5DD" w14:textId="08650FE6" w:rsidR="00105AE6" w:rsidRPr="0062711C" w:rsidRDefault="00105AE6" w:rsidP="005C539B">
      <w:pPr>
        <w:pStyle w:val="NoSpacing"/>
        <w:jc w:val="center"/>
        <w:rPr>
          <w:rFonts w:cstheme="minorHAnsi"/>
          <w:color w:val="002060"/>
          <w:lang w:val="sr-Cyrl-RS"/>
        </w:rPr>
      </w:pPr>
      <w:r w:rsidRPr="0062711C">
        <w:rPr>
          <w:rFonts w:cstheme="minorHAnsi"/>
          <w:color w:val="002060"/>
          <w:lang w:val="sr-Cyrl-RS"/>
        </w:rPr>
        <w:t>Робна размена, мил. ЕУР</w:t>
      </w:r>
    </w:p>
    <w:p w14:paraId="77CB6A53" w14:textId="0E8BA82C" w:rsidR="00105AE6" w:rsidRPr="0062711C" w:rsidRDefault="00105AE6" w:rsidP="005C539B">
      <w:pPr>
        <w:spacing w:before="40"/>
        <w:rPr>
          <w:rFonts w:cstheme="minorHAnsi"/>
          <w:sz w:val="16"/>
          <w:lang w:val="sr-Cyrl-RS"/>
        </w:rPr>
      </w:pPr>
      <w:r w:rsidRPr="0062711C">
        <w:rPr>
          <w:noProof/>
          <w:lang w:val="en-GB" w:eastAsia="en-GB"/>
        </w:rPr>
        <w:drawing>
          <wp:inline distT="0" distB="0" distL="0" distR="0" wp14:anchorId="5957A956" wp14:editId="0A33EF6C">
            <wp:extent cx="2737338" cy="1584000"/>
            <wp:effectExtent l="0" t="0" r="6350" b="0"/>
            <wp:docPr id="60" name="Chart 60">
              <a:extLst xmlns:a="http://schemas.openxmlformats.org/drawingml/2006/main">
                <a:ext uri="{FF2B5EF4-FFF2-40B4-BE49-F238E27FC236}">
                  <a16:creationId xmlns:a16="http://schemas.microsoft.com/office/drawing/2014/main" id="{00000000-0008-0000-16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r w:rsidRPr="0062711C">
        <w:rPr>
          <w:rFonts w:cstheme="minorHAnsi"/>
          <w:sz w:val="16"/>
          <w:lang w:val="sr-Cyrl-RS"/>
        </w:rPr>
        <w:t>Извор: РЗС</w:t>
      </w:r>
    </w:p>
    <w:p w14:paraId="51BAF773" w14:textId="6F6922C8" w:rsidR="00105AE6" w:rsidRPr="0062711C" w:rsidRDefault="00105AE6" w:rsidP="005C539B">
      <w:pPr>
        <w:rPr>
          <w:rFonts w:eastAsia="Times New Roman" w:cstheme="minorHAnsi"/>
          <w:szCs w:val="24"/>
          <w:lang w:val="sr-Cyrl-RS"/>
        </w:rPr>
      </w:pPr>
      <w:r w:rsidRPr="0062711C">
        <w:rPr>
          <w:rFonts w:eastAsia="Times New Roman" w:cstheme="minorHAnsi"/>
          <w:szCs w:val="24"/>
          <w:lang w:val="sr-Cyrl-RS"/>
        </w:rPr>
        <w:t>Најважнији спољнотрговински партнери током прв</w:t>
      </w:r>
      <w:r w:rsidR="00ED5EDD" w:rsidRPr="0062711C">
        <w:rPr>
          <w:rFonts w:eastAsia="Times New Roman" w:cstheme="minorHAnsi"/>
          <w:szCs w:val="24"/>
          <w:lang w:val="sr-Cyrl-RS"/>
        </w:rPr>
        <w:t>а</w:t>
      </w:r>
      <w:r w:rsidRPr="0062711C">
        <w:rPr>
          <w:rFonts w:eastAsia="Times New Roman" w:cstheme="minorHAnsi"/>
          <w:szCs w:val="24"/>
          <w:lang w:val="sr-Cyrl-RS"/>
        </w:rPr>
        <w:t xml:space="preserve"> четири месеца 2024. године су земље ЕУ, на које се односило 63,4% укупног извоза и 59,3% укупног увоза. Највећи део укупног извоза (38,2%) у том периоду био је усмерен на тржиште пет земаља: Немачка, БиХ, </w:t>
      </w:r>
      <w:r w:rsidR="00014BA1" w:rsidRPr="0062711C">
        <w:rPr>
          <w:rFonts w:eastAsia="Times New Roman" w:cstheme="minorHAnsi"/>
          <w:szCs w:val="24"/>
          <w:lang w:val="sr-Cyrl-RS"/>
        </w:rPr>
        <w:t>Италија</w:t>
      </w:r>
      <w:r w:rsidRPr="0062711C">
        <w:rPr>
          <w:rFonts w:eastAsia="Times New Roman" w:cstheme="minorHAnsi"/>
          <w:szCs w:val="24"/>
          <w:lang w:val="sr-Cyrl-RS"/>
        </w:rPr>
        <w:t>, Кина и Мађарска. Увоз из Немачке, Кине, Италије, Мађарске и Турске чинио је 43,1% укупног увоза. Спољнотрговински суфицит у овом периоду остварен је са Црном Гором, БиХ, Северном Македонијом, Шведском, Словачком, Хрватском, Бугарском, Чешком, Румунијом и Албанијом. Суфицит са овим земљама у посматраном периоду износио је 1,4 милијарде евра. Највећи дефицит јавља се у трговини са Кином, Турском, Италијом, Русијом и Немачком.</w:t>
      </w:r>
    </w:p>
    <w:p w14:paraId="0CB3D604" w14:textId="194EC219" w:rsidR="00105AE6" w:rsidRPr="0062711C" w:rsidRDefault="00105AE6" w:rsidP="005C539B">
      <w:pPr>
        <w:rPr>
          <w:rFonts w:eastAsia="Times New Roman" w:cstheme="minorHAnsi"/>
          <w:szCs w:val="24"/>
          <w:lang w:val="sr-Cyrl-RS"/>
        </w:rPr>
      </w:pPr>
      <w:r w:rsidRPr="0062711C">
        <w:rPr>
          <w:rFonts w:eastAsia="Times New Roman" w:cstheme="minorHAnsi"/>
          <w:szCs w:val="24"/>
          <w:lang w:val="sr-Cyrl-RS"/>
        </w:rPr>
        <w:t>Платнобилансна кретања током 2023. године карактериса</w:t>
      </w:r>
      <w:r w:rsidR="00271D98" w:rsidRPr="0062711C">
        <w:rPr>
          <w:rFonts w:eastAsia="Times New Roman" w:cstheme="minorHAnsi"/>
          <w:szCs w:val="24"/>
          <w:lang w:val="sr-Cyrl-RS"/>
        </w:rPr>
        <w:t>л</w:t>
      </w:r>
      <w:r w:rsidRPr="0062711C">
        <w:rPr>
          <w:rFonts w:eastAsia="Times New Roman" w:cstheme="minorHAnsi"/>
          <w:szCs w:val="24"/>
          <w:lang w:val="sr-Cyrl-RS"/>
        </w:rPr>
        <w:t>о је побољшање екстерне позиције Србије, на шта указује значајан пад дефицита текућег рачуна платног биланса са 6,9% у 2022. години на рекордно ниских 2,6% БДП. Неколико фактора је допринело оваквом резултату – нижи увоз енергената услед мање увезене количине енергената по значајно нижим ценама, затим наставак раста извоза робе упркос слабијој екстерној тражњи, раст суфицита у размени услуга, као и континуитет изузетно високог прилива дознака из иностранства. На текућем рачуну платног биланса забележен је дефицит у износу од 1,8 млрд евра, што је за 2,4 млрд евра мањи дефицит него у 2022. години. Дефицит роба и услуга је преполовљен и износио је 3,6 млрд евра, највећим делом услед смањења дефицита робне размене за 2,8 милијарде евра, док је суфицит на рачуну услуга већи за око 700 милиона евра. Након стабилизације светског тржишта после иницијалног високог раста цена енергената услед избијања сукоба у Украјини, значајно је смањен увоз енергената изражен у еврима. У Србији је производња електричне енергије у 2023. години била на нивоу која превазилази сопствене потребе, што је омогућило пласирање вишка на инострана тржишта. Суфицит у размени услуга повећан је за 30,4%, односно за 703,1 мил. евра, чему је у највећој мери допринео је раст суфицита у ИКТ сектору за 650,4 мил. евра, са 2,0 млрд у 2022. на 2,6 млрд евра у 2023. години. Са друге стране,</w:t>
      </w:r>
      <w:r w:rsidRPr="0062711C">
        <w:rPr>
          <w:rFonts w:eastAsia="Times New Roman" w:cstheme="minorHAnsi"/>
          <w:color w:val="FF0000"/>
          <w:szCs w:val="24"/>
          <w:lang w:val="sr-Cyrl-RS"/>
        </w:rPr>
        <w:t xml:space="preserve"> </w:t>
      </w:r>
      <w:r w:rsidRPr="0062711C">
        <w:rPr>
          <w:rFonts w:eastAsia="Times New Roman" w:cstheme="minorHAnsi"/>
          <w:szCs w:val="24"/>
          <w:lang w:val="sr-Cyrl-RS"/>
        </w:rPr>
        <w:t xml:space="preserve">дефицит примарног дохотка био је већи </w:t>
      </w:r>
      <w:r w:rsidRPr="0062711C">
        <w:rPr>
          <w:rFonts w:eastAsia="Times New Roman" w:cstheme="minorHAnsi"/>
          <w:szCs w:val="24"/>
          <w:lang w:val="sr-Cyrl-RS"/>
        </w:rPr>
        <w:lastRenderedPageBreak/>
        <w:t xml:space="preserve">28,6% (односно за 859,1 мил. евра), док је суфицит секундарног дохотка био нижи за 4,3% и износио је 5,6 </w:t>
      </w:r>
      <w:r w:rsidR="00D95DFD" w:rsidRPr="0062711C">
        <w:rPr>
          <w:rFonts w:eastAsia="Times New Roman" w:cstheme="minorHAnsi"/>
          <w:szCs w:val="24"/>
          <w:lang w:val="sr-Cyrl-RS"/>
        </w:rPr>
        <w:t>млрд</w:t>
      </w:r>
      <w:r w:rsidRPr="0062711C">
        <w:rPr>
          <w:rFonts w:eastAsia="Times New Roman" w:cstheme="minorHAnsi"/>
          <w:szCs w:val="24"/>
          <w:lang w:val="sr-Cyrl-RS"/>
        </w:rPr>
        <w:t xml:space="preserve"> евра.</w:t>
      </w:r>
    </w:p>
    <w:p w14:paraId="6A2605C2" w14:textId="2A95FEF9" w:rsidR="00105AE6" w:rsidRPr="0062711C" w:rsidRDefault="00105AE6" w:rsidP="005C539B">
      <w:pPr>
        <w:rPr>
          <w:highlight w:val="yellow"/>
          <w:lang w:val="sr-Cyrl-RS"/>
        </w:rPr>
      </w:pPr>
      <w:r w:rsidRPr="0062711C">
        <w:rPr>
          <w:rFonts w:eastAsia="Times New Roman" w:cstheme="minorHAnsi"/>
          <w:szCs w:val="24"/>
          <w:lang w:val="sr-Cyrl-RS"/>
        </w:rPr>
        <w:t>Дефицит текућег рачуна у прва три месеца 2024. године износио је 394,7 мил. евра, и био је виши за 233,0 мил. евра у односу на исти период претходне године. Расту дефицита текућег рачуна допринели су пад суфицита секундарног дохотка и раст дефицита примарног дохотка, док је у супротном смеру деловао пад дефицита роба и услуга.</w:t>
      </w:r>
      <w:r w:rsidRPr="0062711C">
        <w:rPr>
          <w:lang w:val="sr-Cyrl-RS"/>
        </w:rPr>
        <w:t xml:space="preserve"> </w:t>
      </w:r>
      <w:r w:rsidRPr="0062711C">
        <w:rPr>
          <w:rFonts w:eastAsia="Times New Roman" w:cstheme="minorHAnsi"/>
          <w:szCs w:val="24"/>
          <w:lang w:val="sr-Cyrl-RS"/>
        </w:rPr>
        <w:t>На рачуну роба и услуга дефицит је износио 914,3 мил. евра и међугодишње је мањи је за 42,4 мил. евра, највећим делом услед смањења дефицита робне размене, док је суфицит у услугама смањен. Робни дефицит је износио 1,5 млрд евра, што је смањење од 211,4 милиона</w:t>
      </w:r>
      <w:r w:rsidR="00370D2D" w:rsidRPr="0062711C">
        <w:rPr>
          <w:rFonts w:eastAsia="Times New Roman" w:cstheme="minorHAnsi"/>
          <w:szCs w:val="24"/>
          <w:lang w:val="sr-Cyrl-RS"/>
        </w:rPr>
        <w:t xml:space="preserve"> евра</w:t>
      </w:r>
      <w:r w:rsidRPr="0062711C">
        <w:rPr>
          <w:rFonts w:eastAsia="Times New Roman" w:cstheme="minorHAnsi"/>
          <w:szCs w:val="24"/>
          <w:lang w:val="sr-Cyrl-RS"/>
        </w:rPr>
        <w:t>, док је на рачуну услуга забележен суфицит који је износио 632,5 мил. евра и био нижи за 168,9 милиона</w:t>
      </w:r>
      <w:r w:rsidR="00F45707" w:rsidRPr="0062711C">
        <w:rPr>
          <w:rFonts w:eastAsia="Times New Roman" w:cstheme="minorHAnsi"/>
          <w:szCs w:val="24"/>
          <w:lang w:val="sr-Cyrl-RS"/>
        </w:rPr>
        <w:t xml:space="preserve"> евра</w:t>
      </w:r>
      <w:r w:rsidRPr="0062711C">
        <w:rPr>
          <w:rFonts w:eastAsia="Times New Roman" w:cstheme="minorHAnsi"/>
          <w:szCs w:val="24"/>
          <w:lang w:val="sr-Cyrl-RS"/>
        </w:rPr>
        <w:t xml:space="preserve">. Смањењу робног дефицита </w:t>
      </w:r>
      <w:r w:rsidR="0002040E" w:rsidRPr="0062711C">
        <w:rPr>
          <w:rFonts w:eastAsia="Times New Roman" w:cstheme="minorHAnsi"/>
          <w:szCs w:val="24"/>
          <w:lang w:val="sr-Cyrl-RS"/>
        </w:rPr>
        <w:t xml:space="preserve">у прва три месеца 2024. године, </w:t>
      </w:r>
      <w:r w:rsidRPr="0062711C">
        <w:rPr>
          <w:rFonts w:eastAsia="Times New Roman" w:cstheme="minorHAnsi"/>
          <w:szCs w:val="24"/>
          <w:lang w:val="sr-Cyrl-RS"/>
        </w:rPr>
        <w:t>највише је допринео остварени суфицит у металној индустрији</w:t>
      </w:r>
      <w:r w:rsidR="0002040E" w:rsidRPr="0062711C">
        <w:rPr>
          <w:rFonts w:eastAsia="Times New Roman" w:cstheme="minorHAnsi"/>
          <w:szCs w:val="24"/>
          <w:lang w:val="sr-Cyrl-RS"/>
        </w:rPr>
        <w:t xml:space="preserve"> и</w:t>
      </w:r>
      <w:r w:rsidR="00DB24EF" w:rsidRPr="0062711C">
        <w:rPr>
          <w:rFonts w:eastAsia="Times New Roman" w:cstheme="minorHAnsi"/>
          <w:szCs w:val="24"/>
          <w:lang w:val="sr-Cyrl-RS"/>
        </w:rPr>
        <w:t xml:space="preserve"> пољопривреди (пре свега захваљујући </w:t>
      </w:r>
      <w:r w:rsidR="006C057C" w:rsidRPr="0062711C">
        <w:rPr>
          <w:rFonts w:eastAsia="Times New Roman" w:cstheme="minorHAnsi"/>
          <w:szCs w:val="24"/>
          <w:lang w:val="sr-Cyrl-RS"/>
        </w:rPr>
        <w:t xml:space="preserve">расту суфицита </w:t>
      </w:r>
      <w:r w:rsidR="0002040E" w:rsidRPr="0062711C">
        <w:rPr>
          <w:rFonts w:eastAsia="Times New Roman" w:cstheme="minorHAnsi"/>
          <w:szCs w:val="24"/>
          <w:lang w:val="sr-Cyrl-RS"/>
        </w:rPr>
        <w:t>у размени житарицама), као и нижи дефицит у сектору</w:t>
      </w:r>
      <w:r w:rsidR="00DB24EF" w:rsidRPr="0062711C">
        <w:rPr>
          <w:rFonts w:eastAsia="Times New Roman" w:cstheme="minorHAnsi"/>
          <w:szCs w:val="24"/>
          <w:lang w:val="sr-Cyrl-RS"/>
        </w:rPr>
        <w:t xml:space="preserve"> </w:t>
      </w:r>
      <w:r w:rsidR="0002040E" w:rsidRPr="0062711C">
        <w:rPr>
          <w:rFonts w:eastAsia="Times New Roman" w:cstheme="minorHAnsi"/>
          <w:szCs w:val="24"/>
          <w:lang w:val="sr-Cyrl-RS"/>
        </w:rPr>
        <w:t>рударства</w:t>
      </w:r>
      <w:r w:rsidR="006C057C" w:rsidRPr="0062711C">
        <w:rPr>
          <w:rFonts w:eastAsia="Times New Roman" w:cstheme="minorHAnsi"/>
          <w:szCs w:val="24"/>
          <w:lang w:val="sr-Cyrl-RS"/>
        </w:rPr>
        <w:t xml:space="preserve"> </w:t>
      </w:r>
      <w:r w:rsidRPr="0062711C">
        <w:rPr>
          <w:rFonts w:eastAsia="Times New Roman" w:cstheme="minorHAnsi"/>
          <w:szCs w:val="24"/>
          <w:lang w:val="sr-Cyrl-RS"/>
        </w:rPr>
        <w:t>(нарочито код гаса и нафте).</w:t>
      </w:r>
      <w:r w:rsidRPr="0062711C">
        <w:rPr>
          <w:rFonts w:eastAsia="Times New Roman" w:cstheme="minorHAnsi"/>
          <w:color w:val="FF0000"/>
          <w:szCs w:val="24"/>
          <w:lang w:val="sr-Cyrl-RS"/>
        </w:rPr>
        <w:t xml:space="preserve"> </w:t>
      </w:r>
      <w:r w:rsidRPr="0062711C">
        <w:rPr>
          <w:rFonts w:eastAsia="Times New Roman" w:cstheme="minorHAnsi"/>
          <w:szCs w:val="24"/>
          <w:lang w:val="sr-Cyrl-RS"/>
        </w:rPr>
        <w:t>Позитиван нето извоз услуга у највећој мери резултат је већег извоза ИКТ у посматраном периоду. Нето прилив по основу ИКТ услуга повећан је за 15,1% међугодишње и износио је 701,6 мил. евра. Значајан нето прилив остварен је и по основу осталих пословних услуга који је износио 259,1 мил. евра. Дефицит примарног дохотка повећан је за 75,8 мил. евра, односно за 12,7%, док је суфицит секундарног дохотка био међугодишње нижи за 14,3% и износио је 1,2 млрд евра. Нето прилив дознака радника из иностранства мањи је за 2,8% и износио је 830,8 мил. евра.</w:t>
      </w:r>
    </w:p>
    <w:p w14:paraId="4FB7C70E" w14:textId="21B6E22E" w:rsidR="00105AE6" w:rsidRPr="0062711C" w:rsidRDefault="00105AE6" w:rsidP="005C539B">
      <w:pPr>
        <w:rPr>
          <w:rFonts w:eastAsia="Times New Roman" w:cstheme="minorHAnsi"/>
          <w:szCs w:val="24"/>
          <w:lang w:val="sr-Cyrl-RS"/>
        </w:rPr>
      </w:pPr>
      <w:r w:rsidRPr="0062711C">
        <w:rPr>
          <w:rFonts w:eastAsia="Times New Roman" w:cstheme="minorHAnsi"/>
          <w:szCs w:val="24"/>
          <w:lang w:val="sr-Cyrl-RS"/>
        </w:rPr>
        <w:t xml:space="preserve">Укупан прилив СДИ у 2023. години, упркос растућим геополитичким тензијама, забележио је рекордан ниво и износио је 4,5 млрд евра, док је нето прилив по основу СДИ износио је 4,2 млрд евра, што је више него </w:t>
      </w:r>
      <w:r w:rsidR="00EE6905" w:rsidRPr="0062711C">
        <w:rPr>
          <w:rFonts w:eastAsia="Times New Roman" w:cstheme="minorHAnsi"/>
          <w:szCs w:val="24"/>
          <w:lang w:val="sr-Cyrl-RS"/>
        </w:rPr>
        <w:t xml:space="preserve">довољно за </w:t>
      </w:r>
      <w:r w:rsidRPr="0062711C">
        <w:rPr>
          <w:rFonts w:eastAsia="Times New Roman" w:cstheme="minorHAnsi"/>
          <w:szCs w:val="24"/>
          <w:lang w:val="sr-Cyrl-RS"/>
        </w:rPr>
        <w:t xml:space="preserve">пуну покривеност дефицита текућег рачуна, што додатно доприноси дугорочној одрживости екстерне позиције. Највећи део прилива СДИ био je у облику власничког капитала и реинвестиране </w:t>
      </w:r>
      <w:r w:rsidRPr="0062711C">
        <w:rPr>
          <w:rFonts w:eastAsia="Times New Roman" w:cstheme="minorHAnsi"/>
          <w:szCs w:val="24"/>
          <w:lang w:val="sr-Cyrl-RS"/>
        </w:rPr>
        <w:t>добити (78,8%), што потврђује опредељење страних инвеститора да наставе да улажу у Србију. Посматрано према делатностима, највећи прилив СДИ у протеклој години је остварен у прерађивачкој индустрији, сектору који традиционално привлачи највише СДИ, са остварених 1,2 млрд евра. Висок прилив СДИ у овом периоду забележен је и у грађевинарству у износу од 853,4 мил. евра, као и у рударству (704,8 мил. евра) и трговини (395,8 мил. евра). Осим производне разноврсности, СДИ су и географски диверсификоване, са растућим уделом земаља из азијско-пацифичког региона. Посматрано према географском пореклу, највећи део СДИ (близу 2/3) долази са европског континента. Укупан прилив инвестиција из Европске уније у 2023. години износио је 2,2 млрд евра, односно 47,8% од укупног прилива СДИ. Са друге стране, посматрано по земљама, највећи нето прилив страних директних улагања долази из</w:t>
      </w:r>
      <w:r w:rsidRPr="0062711C">
        <w:rPr>
          <w:rFonts w:eastAsia="Times New Roman" w:cstheme="minorHAnsi"/>
          <w:color w:val="FF0000"/>
          <w:szCs w:val="24"/>
          <w:lang w:val="sr-Cyrl-RS"/>
        </w:rPr>
        <w:t xml:space="preserve"> </w:t>
      </w:r>
      <w:r w:rsidRPr="0062711C">
        <w:rPr>
          <w:rFonts w:eastAsia="Times New Roman" w:cstheme="minorHAnsi"/>
          <w:szCs w:val="24"/>
          <w:lang w:val="sr-Cyrl-RS"/>
        </w:rPr>
        <w:t>Кине</w:t>
      </w:r>
      <w:r w:rsidRPr="0062711C">
        <w:rPr>
          <w:vertAlign w:val="superscript"/>
          <w:lang w:val="sr-Cyrl-RS"/>
        </w:rPr>
        <w:footnoteReference w:id="2"/>
      </w:r>
      <w:r w:rsidRPr="0062711C">
        <w:rPr>
          <w:rFonts w:eastAsia="Times New Roman" w:cstheme="minorHAnsi"/>
          <w:szCs w:val="24"/>
          <w:lang w:val="sr-Cyrl-RS"/>
        </w:rPr>
        <w:t xml:space="preserve">, Холандије, Велике Британије, Аустрије и Немачке, које збирно чине нешто мање од две трећине укупног прилива СДИ. Удео прилива СДИ из Кине значајно је порастао у последњих осам година, са 3,1% у 2015. на 30,4% у прошлој години. Кина је, појединачно посматрано, у последње три године највећи инвеститор у српску привреду. У 2023. години, укупан прилив инвестиција из ове земље </w:t>
      </w:r>
      <w:r w:rsidR="00274FD8" w:rsidRPr="0062711C">
        <w:rPr>
          <w:rFonts w:eastAsia="Times New Roman" w:cstheme="minorHAnsi"/>
          <w:szCs w:val="24"/>
          <w:lang w:val="sr-Cyrl-RS"/>
        </w:rPr>
        <w:t>износио</w:t>
      </w:r>
      <w:r w:rsidRPr="0062711C">
        <w:rPr>
          <w:rFonts w:eastAsia="Times New Roman" w:cstheme="minorHAnsi"/>
          <w:szCs w:val="24"/>
          <w:lang w:val="sr-Cyrl-RS"/>
        </w:rPr>
        <w:t xml:space="preserve"> је 1,4 млрд евра. Нето прилив </w:t>
      </w:r>
      <w:r w:rsidR="009D21EA" w:rsidRPr="0062711C">
        <w:rPr>
          <w:rFonts w:eastAsia="Times New Roman" w:cstheme="minorHAnsi"/>
          <w:szCs w:val="24"/>
          <w:lang w:val="sr-Cyrl-RS"/>
        </w:rPr>
        <w:t>СДИ</w:t>
      </w:r>
      <w:r w:rsidRPr="0062711C">
        <w:rPr>
          <w:rFonts w:eastAsia="Times New Roman" w:cstheme="minorHAnsi"/>
          <w:szCs w:val="24"/>
          <w:lang w:val="sr-Cyrl-RS"/>
        </w:rPr>
        <w:t xml:space="preserve"> у прва три месеца 2024. износио је 1,1 млрд евра, док је укупан прилив по основу СДИ износио 1,3 млрд евра. Истовремено је забележен нето одлив портфолио инвестиција у износу од 424,3 мил. евра, услед већег одлива по основу улагања резидената на </w:t>
      </w:r>
      <w:r w:rsidR="004B7EB2" w:rsidRPr="0062711C">
        <w:rPr>
          <w:rFonts w:eastAsia="Times New Roman" w:cstheme="minorHAnsi"/>
          <w:szCs w:val="24"/>
          <w:lang w:val="sr-Cyrl-RS"/>
        </w:rPr>
        <w:t>међународном</w:t>
      </w:r>
      <w:r w:rsidRPr="0062711C">
        <w:rPr>
          <w:rFonts w:eastAsia="Times New Roman" w:cstheme="minorHAnsi"/>
          <w:szCs w:val="24"/>
          <w:lang w:val="sr-Cyrl-RS"/>
        </w:rPr>
        <w:t xml:space="preserve"> тржишту и исплата везаних за амортизоване обвезнице од прилива по основу улагања нерезидената у динарске државне ХоВ на примарном тржишту.</w:t>
      </w:r>
    </w:p>
    <w:p w14:paraId="585C4D49" w14:textId="0389CAE2" w:rsidR="00105AE6" w:rsidRPr="0062711C" w:rsidRDefault="00105AE6" w:rsidP="005C539B">
      <w:pPr>
        <w:rPr>
          <w:rFonts w:eastAsia="Times New Roman" w:cstheme="minorHAnsi"/>
          <w:szCs w:val="24"/>
          <w:lang w:val="sr-Cyrl-RS"/>
        </w:rPr>
      </w:pPr>
      <w:r w:rsidRPr="0062711C">
        <w:rPr>
          <w:rFonts w:eastAsia="Times New Roman" w:cstheme="minorHAnsi"/>
          <w:szCs w:val="24"/>
          <w:lang w:val="sr-Cyrl-RS"/>
        </w:rPr>
        <w:t>Екстерну позицију Србије током 2023. године карактерисала је отпорност на финансијске шокове из међународног окружења. Повећан је рацио девизних резерви и краткорочног дуга у односу на крај 2022. године, услед</w:t>
      </w:r>
      <w:r w:rsidRPr="0062711C">
        <w:rPr>
          <w:rFonts w:eastAsia="Times New Roman" w:cstheme="minorHAnsi"/>
          <w:color w:val="FF0000"/>
          <w:szCs w:val="24"/>
          <w:lang w:val="sr-Cyrl-RS"/>
        </w:rPr>
        <w:t xml:space="preserve"> </w:t>
      </w:r>
      <w:r w:rsidRPr="0062711C">
        <w:rPr>
          <w:rFonts w:eastAsia="Times New Roman" w:cstheme="minorHAnsi"/>
          <w:szCs w:val="24"/>
          <w:lang w:val="sr-Cyrl-RS"/>
        </w:rPr>
        <w:t xml:space="preserve">раста девизних резерви и смањења краткорочног дуга. Учешће спољног дуга у БДП смањено је за 4,1 п.п., са 69,3% у 2022. на 65,3% у 2023. години. Удео краткорочног </w:t>
      </w:r>
      <w:r w:rsidRPr="0062711C">
        <w:rPr>
          <w:rFonts w:eastAsia="Times New Roman" w:cstheme="minorHAnsi"/>
          <w:szCs w:val="24"/>
          <w:lang w:val="sr-Cyrl-RS"/>
        </w:rPr>
        <w:lastRenderedPageBreak/>
        <w:t>дуга у БДП такође је смањен, док је рацио спољног дуга и извоза робе и услуга благо повећан. Учешће спољног дуга у извозу роба и услуга</w:t>
      </w:r>
      <w:r w:rsidRPr="0062711C">
        <w:rPr>
          <w:rFonts w:eastAsia="Times New Roman" w:cstheme="minorHAnsi"/>
          <w:color w:val="FF0000"/>
          <w:szCs w:val="24"/>
          <w:lang w:val="sr-Cyrl-RS"/>
        </w:rPr>
        <w:t xml:space="preserve"> </w:t>
      </w:r>
      <w:r w:rsidRPr="0062711C">
        <w:rPr>
          <w:rFonts w:eastAsia="Times New Roman" w:cstheme="minorHAnsi"/>
          <w:szCs w:val="24"/>
          <w:lang w:val="sr-Cyrl-RS"/>
        </w:rPr>
        <w:t xml:space="preserve">на крају 2023. године износило је 110,7%, што је значајно испод критеријума Светске банке од 220% и гарант је одрживости његовог сервисирања. Бруто девизне резерве НБС </w:t>
      </w:r>
      <w:r w:rsidR="00CE3449" w:rsidRPr="00CE3449">
        <w:rPr>
          <w:rFonts w:eastAsia="Times New Roman" w:cstheme="minorHAnsi"/>
          <w:szCs w:val="24"/>
          <w:lang w:val="sr-Cyrl-RS"/>
        </w:rPr>
        <w:t>у првих пет месеци текуће године повећане су за 248,0 мил. евра и на крају маја су износиле 25,2 млрд евра</w:t>
      </w:r>
      <w:r w:rsidRPr="0062711C">
        <w:rPr>
          <w:rFonts w:eastAsia="Times New Roman" w:cstheme="minorHAnsi"/>
          <w:szCs w:val="24"/>
          <w:lang w:val="sr-Cyrl-RS"/>
        </w:rPr>
        <w:t>, што је највиши ниво до сада, виши је од референтних вредности свих мера које се користе за оцену њихове адекватности.</w:t>
      </w:r>
    </w:p>
    <w:p w14:paraId="680DC441" w14:textId="77777777" w:rsidR="00105AE6" w:rsidRPr="0062711C" w:rsidRDefault="00105AE6" w:rsidP="005C539B">
      <w:pPr>
        <w:rPr>
          <w:szCs w:val="20"/>
          <w:lang w:val="sr-Cyrl-RS"/>
        </w:rPr>
      </w:pPr>
      <w:r w:rsidRPr="0062711C">
        <w:rPr>
          <w:rFonts w:eastAsia="Times New Roman" w:cstheme="minorHAnsi"/>
          <w:szCs w:val="24"/>
          <w:lang w:val="sr-Cyrl-RS"/>
        </w:rPr>
        <w:t>Очекује се да ће укупан дефицит текућег рачуна у 2024. години порасти на 3,1 млрд евра, и износити 4,1% БДП, и наставиће постепено да расте до 5% у 2026. години, услед очекиваног убрзања инвестиционог циклуса и раста потрошње домаћинстава, након чега се очекује да ће опасти 2027. години на 4,7% БДП. И поред очекиваних високих стопа раста извоза у средњорочном периоду, могућност поновног раста цена енергената на светском тржишту, изазваног растућим геополитичким тензијама, може довести до раста дефицита у спољнотрговинској робној размени, и последично, дефицита текућег рачуна.</w:t>
      </w:r>
    </w:p>
    <w:p w14:paraId="732EF08A" w14:textId="77777777" w:rsidR="00105AE6" w:rsidRPr="0062711C" w:rsidRDefault="00105AE6" w:rsidP="005C539B">
      <w:pPr>
        <w:spacing w:after="120"/>
        <w:jc w:val="center"/>
        <w:rPr>
          <w:rFonts w:cstheme="minorHAnsi"/>
          <w:b/>
          <w:color w:val="002060"/>
          <w:lang w:val="sr-Cyrl-RS"/>
        </w:rPr>
      </w:pPr>
      <w:r w:rsidRPr="0062711C">
        <w:rPr>
          <w:rFonts w:cstheme="minorHAnsi"/>
          <w:b/>
          <w:color w:val="002060"/>
          <w:lang w:val="sr-Cyrl-RS"/>
        </w:rPr>
        <w:t>Структура текућег рачуна, % БДП</w:t>
      </w:r>
    </w:p>
    <w:p w14:paraId="6ACED2CB" w14:textId="0C88972C" w:rsidR="00105AE6" w:rsidRPr="0062711C" w:rsidRDefault="0050507E" w:rsidP="005C539B">
      <w:pPr>
        <w:spacing w:after="80"/>
        <w:rPr>
          <w:rFonts w:cstheme="minorHAnsi"/>
          <w:sz w:val="16"/>
          <w:lang w:val="sr-Cyrl-RS"/>
        </w:rPr>
      </w:pPr>
      <w:r w:rsidRPr="0062711C">
        <w:rPr>
          <w:noProof/>
          <w:lang w:val="en-GB" w:eastAsia="en-GB"/>
        </w:rPr>
        <w:drawing>
          <wp:inline distT="0" distB="0" distL="0" distR="0" wp14:anchorId="6F1C3405" wp14:editId="782DAF73">
            <wp:extent cx="2735873" cy="2150475"/>
            <wp:effectExtent l="0" t="0" r="7620" b="2540"/>
            <wp:docPr id="363250050" name="Chart 363250050">
              <a:extLst xmlns:a="http://schemas.openxmlformats.org/drawingml/2006/main">
                <a:ext uri="{FF2B5EF4-FFF2-40B4-BE49-F238E27FC236}">
                  <a16:creationId xmlns:a16="http://schemas.microsoft.com/office/drawing/2014/main" id="{00000000-0008-0000-1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1B79AEE8" w14:textId="77777777" w:rsidR="00105AE6" w:rsidRPr="0062711C" w:rsidRDefault="00105AE6" w:rsidP="005C539B">
      <w:pPr>
        <w:spacing w:after="0"/>
        <w:rPr>
          <w:rFonts w:cstheme="minorHAnsi"/>
          <w:sz w:val="16"/>
          <w:lang w:val="sr-Cyrl-RS"/>
        </w:rPr>
      </w:pPr>
      <w:r w:rsidRPr="0062711C">
        <w:rPr>
          <w:rFonts w:cstheme="minorHAnsi"/>
          <w:sz w:val="16"/>
          <w:lang w:val="sr-Cyrl-RS"/>
        </w:rPr>
        <w:t>Извор: Министарство финансија, НБС, РЗС</w:t>
      </w:r>
    </w:p>
    <w:p w14:paraId="2637C92F" w14:textId="77777777" w:rsidR="00105AE6" w:rsidRPr="0062711C" w:rsidRDefault="00105AE6" w:rsidP="005C539B">
      <w:pPr>
        <w:rPr>
          <w:rFonts w:cstheme="minorHAnsi"/>
          <w:sz w:val="16"/>
          <w:lang w:val="sr-Cyrl-RS"/>
        </w:rPr>
      </w:pPr>
      <w:r w:rsidRPr="0062711C">
        <w:rPr>
          <w:rFonts w:cstheme="minorHAnsi"/>
          <w:sz w:val="16"/>
          <w:lang w:val="sr-Cyrl-RS"/>
        </w:rPr>
        <w:t>* Процена МФИН.</w:t>
      </w:r>
    </w:p>
    <w:p w14:paraId="452DCDD1" w14:textId="2E8DDBF5" w:rsidR="00105AE6" w:rsidRPr="0062711C" w:rsidRDefault="00105AE6" w:rsidP="005C539B">
      <w:pPr>
        <w:rPr>
          <w:szCs w:val="20"/>
          <w:lang w:val="sr-Cyrl-RS"/>
        </w:rPr>
      </w:pPr>
      <w:r w:rsidRPr="0062711C">
        <w:rPr>
          <w:rFonts w:eastAsia="Times New Roman" w:cstheme="minorHAnsi"/>
          <w:szCs w:val="24"/>
          <w:lang w:val="sr-Cyrl-RS"/>
        </w:rPr>
        <w:t xml:space="preserve">Раст робног извоза у еврима по просечној стопи од 10,4% и увоза за 9,1% у пројектованом </w:t>
      </w:r>
      <w:r w:rsidRPr="0062711C">
        <w:rPr>
          <w:rFonts w:eastAsia="Times New Roman" w:cstheme="minorHAnsi"/>
          <w:szCs w:val="24"/>
          <w:lang w:val="sr-Cyrl-RS"/>
        </w:rPr>
        <w:t>трогодишњем периоду смањиће спољнотрговински дефицит роба на 8,5% БДП у 2027. години, са овогодишњих 9,5%. Предвиђа се наставак повољних кретања на рачуну услуга, где ће суфицит у пројектованом трогодишњем периоду износити у просеку 3,4 млрд евра. Прилив по основу текућих трансфера износиће у просеку 6,0% БДП годишње, при чему ће приходи од дознака задржати улогу доминантне компоненте. Нето ефекат текућих трансфера и нето факторских плаћања у наредном трогодишњем периоду биће позитиван, што ће ублажити дефицит спољнотрговинског биланса роба и услуга. Оваква кретања уз пројектовану динамику економске активности имаће за резултат постепени раст учешћа дефицита текућег рачуна платног биланса до 2026. године, док ће на крају пројектованог периода износити 4,7% БДП.</w:t>
      </w:r>
    </w:p>
    <w:p w14:paraId="093D982E" w14:textId="02D2F56A" w:rsidR="00105AE6" w:rsidRPr="0062711C" w:rsidRDefault="00105AE6" w:rsidP="005C539B">
      <w:pPr>
        <w:spacing w:after="40"/>
        <w:jc w:val="center"/>
        <w:rPr>
          <w:rFonts w:cstheme="minorHAnsi"/>
          <w:b/>
          <w:color w:val="002060"/>
          <w:lang w:val="sr-Cyrl-RS"/>
        </w:rPr>
      </w:pPr>
      <w:r w:rsidRPr="0062711C">
        <w:rPr>
          <w:rFonts w:cstheme="minorHAnsi"/>
          <w:b/>
          <w:color w:val="002060"/>
          <w:lang w:val="sr-Cyrl-RS"/>
        </w:rPr>
        <w:t>Дефицит текућег рачуна и СДИ, % БДП</w:t>
      </w:r>
    </w:p>
    <w:p w14:paraId="1B03DA9B" w14:textId="72ECC7A4" w:rsidR="00105AE6" w:rsidRPr="0062711C" w:rsidRDefault="0050507E" w:rsidP="005C539B">
      <w:pPr>
        <w:spacing w:after="40"/>
        <w:jc w:val="center"/>
        <w:rPr>
          <w:rFonts w:cstheme="minorHAnsi"/>
          <w:lang w:val="sr-Cyrl-RS"/>
        </w:rPr>
      </w:pPr>
      <w:r w:rsidRPr="0062711C">
        <w:rPr>
          <w:noProof/>
          <w:lang w:val="en-GB" w:eastAsia="en-GB"/>
        </w:rPr>
        <w:drawing>
          <wp:inline distT="0" distB="0" distL="0" distR="0" wp14:anchorId="00B3DA24" wp14:editId="6C81358C">
            <wp:extent cx="2743200" cy="2015490"/>
            <wp:effectExtent l="0" t="0" r="0" b="3810"/>
            <wp:docPr id="363250051" name="Chart 363250051">
              <a:extLst xmlns:a="http://schemas.openxmlformats.org/drawingml/2006/main">
                <a:ext uri="{FF2B5EF4-FFF2-40B4-BE49-F238E27FC236}">
                  <a16:creationId xmlns:a16="http://schemas.microsoft.com/office/drawing/2014/main" id="{00000000-0008-0000-1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14:paraId="7DE62121" w14:textId="77777777" w:rsidR="00105AE6" w:rsidRPr="0062711C" w:rsidRDefault="00105AE6" w:rsidP="005C539B">
      <w:pPr>
        <w:spacing w:after="0"/>
        <w:rPr>
          <w:rFonts w:cstheme="minorHAnsi"/>
          <w:sz w:val="16"/>
          <w:lang w:val="sr-Cyrl-RS"/>
        </w:rPr>
      </w:pPr>
      <w:r w:rsidRPr="0062711C">
        <w:rPr>
          <w:rFonts w:cstheme="minorHAnsi"/>
          <w:sz w:val="16"/>
          <w:lang w:val="sr-Cyrl-RS"/>
        </w:rPr>
        <w:t>Извор: НБС и Министарство финансија</w:t>
      </w:r>
    </w:p>
    <w:p w14:paraId="0091F15E" w14:textId="77777777" w:rsidR="00105AE6" w:rsidRPr="0062711C" w:rsidRDefault="00105AE6" w:rsidP="005C539B">
      <w:pPr>
        <w:rPr>
          <w:rFonts w:cstheme="minorHAnsi"/>
          <w:sz w:val="16"/>
          <w:lang w:val="sr-Cyrl-RS"/>
        </w:rPr>
      </w:pPr>
      <w:r w:rsidRPr="0062711C">
        <w:rPr>
          <w:rFonts w:cstheme="minorHAnsi"/>
          <w:sz w:val="16"/>
          <w:lang w:val="sr-Cyrl-RS"/>
        </w:rPr>
        <w:t>* Процена МФИН.</w:t>
      </w:r>
    </w:p>
    <w:bookmarkEnd w:id="23"/>
    <w:p w14:paraId="4C9B1CB6" w14:textId="47087FC2" w:rsidR="00A75915" w:rsidRPr="0062711C" w:rsidRDefault="00105AE6" w:rsidP="005C539B">
      <w:pPr>
        <w:rPr>
          <w:rFonts w:eastAsia="Times New Roman" w:cstheme="minorHAnsi"/>
          <w:szCs w:val="24"/>
          <w:lang w:val="sr-Cyrl-RS"/>
        </w:rPr>
      </w:pPr>
      <w:r w:rsidRPr="0062711C">
        <w:rPr>
          <w:rFonts w:eastAsia="Times New Roman" w:cstheme="minorHAnsi"/>
          <w:szCs w:val="24"/>
          <w:lang w:val="sr-Cyrl-RS"/>
        </w:rPr>
        <w:t>У структури финансијског рачуна доминираће удео СДИ са учешћем у БДП од 5,3% просечно годишње. Овај прилив ће уједно бити главни извор финансирања дефицита текућег рачуна. Задржана повољна инвестициона перспектива наше земље и очекиван наставак високог прилива СДИ, као и њихова даља диверсификација ка сектору разменљивих добара, допринеће наставку раста извоза и јачању спољне и унутрашње макроекономске равнотеже.</w:t>
      </w:r>
    </w:p>
    <w:p w14:paraId="705E0A7D" w14:textId="77777777" w:rsidR="00A75915" w:rsidRPr="0062711C" w:rsidRDefault="00A75915" w:rsidP="005C539B">
      <w:pPr>
        <w:rPr>
          <w:rFonts w:eastAsia="Times New Roman" w:cstheme="minorHAnsi"/>
          <w:szCs w:val="24"/>
          <w:lang w:val="sr-Cyrl-RS"/>
        </w:rPr>
        <w:sectPr w:rsidR="00A75915" w:rsidRPr="0062711C" w:rsidSect="00F45C01">
          <w:type w:val="continuous"/>
          <w:pgSz w:w="12240" w:h="15840" w:code="1"/>
          <w:pgMar w:top="1440" w:right="1440" w:bottom="1440" w:left="1440" w:header="720" w:footer="720" w:gutter="0"/>
          <w:cols w:num="2" w:space="720"/>
          <w:docGrid w:linePitch="360"/>
          <w15:footnoteColumns w:val="1"/>
        </w:sectPr>
      </w:pPr>
    </w:p>
    <w:p w14:paraId="79E558B8" w14:textId="7CB3525B" w:rsidR="00105AE6" w:rsidRPr="0062711C" w:rsidRDefault="00105AE6" w:rsidP="005C539B">
      <w:pPr>
        <w:rPr>
          <w:rFonts w:eastAsia="Times New Roman" w:cstheme="minorHAnsi"/>
          <w:szCs w:val="24"/>
          <w:lang w:val="sr-Cyrl-RS"/>
        </w:rPr>
      </w:pPr>
    </w:p>
    <w:p w14:paraId="4D8DD483" w14:textId="77777777" w:rsidR="006E272E" w:rsidRPr="0062711C" w:rsidRDefault="00D96A25" w:rsidP="003F1BD3">
      <w:pPr>
        <w:spacing w:before="80" w:after="80"/>
        <w:rPr>
          <w:lang w:val="sr-Cyrl-RS"/>
        </w:rPr>
      </w:pPr>
      <w:r w:rsidRPr="0062711C">
        <w:rPr>
          <w:lang w:val="sr-Cyrl-RS"/>
        </w:rPr>
        <w:br w:type="page"/>
      </w:r>
      <w:bookmarkStart w:id="24" w:name="_Toc146277918"/>
      <w:bookmarkStart w:id="25" w:name="_Toc148431271"/>
      <w:bookmarkStart w:id="26" w:name="_Toc499650053"/>
      <w:bookmarkStart w:id="27" w:name="_Toc530635109"/>
      <w:bookmarkStart w:id="28" w:name="_Toc11155995"/>
      <w:bookmarkStart w:id="29" w:name="_Toc56667080"/>
      <w:bookmarkStart w:id="30" w:name="_Toc73364972"/>
    </w:p>
    <w:p w14:paraId="5F0BF03A" w14:textId="7401DB3B" w:rsidR="006E272E" w:rsidRPr="0062711C" w:rsidRDefault="006E272E" w:rsidP="006E272E">
      <w:pPr>
        <w:spacing w:before="80" w:after="80"/>
        <w:rPr>
          <w:rFonts w:cstheme="minorHAnsi"/>
          <w:color w:val="FFFFFF" w:themeColor="background1"/>
          <w:sz w:val="48"/>
          <w:szCs w:val="64"/>
          <w:lang w:val="sr-Cyrl-RS"/>
        </w:rPr>
        <w:sectPr w:rsidR="006E272E" w:rsidRPr="0062711C" w:rsidSect="00F45C01">
          <w:footerReference w:type="default" r:id="rId108"/>
          <w:type w:val="continuous"/>
          <w:pgSz w:w="12240" w:h="15840" w:code="1"/>
          <w:pgMar w:top="1440" w:right="1440" w:bottom="1440" w:left="1440" w:header="720" w:footer="720" w:gutter="0"/>
          <w:cols w:space="720"/>
          <w:titlePg/>
          <w:docGrid w:linePitch="360"/>
        </w:sectPr>
      </w:pPr>
    </w:p>
    <w:p w14:paraId="680BC180" w14:textId="77777777" w:rsidR="006E272E" w:rsidRPr="0062711C" w:rsidRDefault="006E272E" w:rsidP="006E272E">
      <w:pPr>
        <w:keepNext/>
        <w:keepLines/>
        <w:spacing w:after="120"/>
        <w:jc w:val="center"/>
        <w:outlineLvl w:val="0"/>
        <w:rPr>
          <w:rFonts w:eastAsiaTheme="majorEastAsia" w:cstheme="minorHAnsi"/>
          <w:b/>
          <w:color w:val="2F5496" w:themeColor="accent1" w:themeShade="BF"/>
          <w:sz w:val="24"/>
          <w:szCs w:val="24"/>
          <w:lang w:val="sr-Cyrl-RS"/>
        </w:rPr>
      </w:pPr>
      <w:bookmarkStart w:id="31" w:name="_Toc11155989"/>
      <w:bookmarkStart w:id="32" w:name="_Toc56667074"/>
      <w:bookmarkStart w:id="33" w:name="_Toc86923720"/>
      <w:bookmarkStart w:id="34" w:name="_Toc119654143"/>
      <w:bookmarkStart w:id="35" w:name="_Toc135994499"/>
      <w:bookmarkStart w:id="36" w:name="_Toc146277914"/>
      <w:bookmarkStart w:id="37" w:name="_Toc148431267"/>
      <w:bookmarkStart w:id="38" w:name="_Toc170722303"/>
      <w:bookmarkStart w:id="39" w:name="_Toc86923722"/>
      <w:bookmarkStart w:id="40" w:name="_Toc11155992"/>
      <w:bookmarkStart w:id="41" w:name="_Toc56667077"/>
      <w:bookmarkStart w:id="42" w:name="_Toc24119837"/>
      <w:bookmarkStart w:id="43" w:name="_Toc530635105"/>
      <w:bookmarkStart w:id="44" w:name="_Toc24119831"/>
      <w:bookmarkStart w:id="45" w:name="_Toc56667076"/>
      <w:bookmarkStart w:id="46" w:name="_Toc530635106"/>
      <w:r w:rsidRPr="0062711C">
        <w:rPr>
          <w:rFonts w:eastAsiaTheme="majorEastAsia" w:cstheme="minorHAnsi"/>
          <w:b/>
          <w:color w:val="2F5496" w:themeColor="accent1" w:themeShade="BF"/>
          <w:sz w:val="24"/>
          <w:szCs w:val="24"/>
          <w:lang w:val="sr-Cyrl-RS"/>
        </w:rPr>
        <w:lastRenderedPageBreak/>
        <w:t>II. ФИСКАЛНИ ОКВИР ЗА ПЕРИОД ОД 2025. ДО 2027. ГОДИНЕ</w:t>
      </w:r>
      <w:bookmarkStart w:id="47" w:name="_Toc528909823"/>
      <w:bookmarkStart w:id="48" w:name="_Toc530635104"/>
      <w:bookmarkEnd w:id="31"/>
      <w:bookmarkEnd w:id="32"/>
      <w:bookmarkEnd w:id="33"/>
      <w:bookmarkEnd w:id="34"/>
      <w:bookmarkEnd w:id="35"/>
      <w:bookmarkEnd w:id="36"/>
      <w:bookmarkEnd w:id="37"/>
      <w:bookmarkEnd w:id="38"/>
    </w:p>
    <w:p w14:paraId="260B42F0" w14:textId="77777777" w:rsidR="006E272E" w:rsidRPr="0062711C" w:rsidRDefault="006E272E" w:rsidP="006236E0">
      <w:pPr>
        <w:keepNext/>
        <w:keepLines/>
        <w:spacing w:after="360"/>
        <w:jc w:val="center"/>
        <w:outlineLvl w:val="1"/>
        <w:rPr>
          <w:rFonts w:eastAsiaTheme="majorEastAsia" w:cstheme="minorHAnsi"/>
          <w:b/>
          <w:color w:val="2F5496" w:themeColor="accent1" w:themeShade="BF"/>
          <w:sz w:val="24"/>
          <w:szCs w:val="26"/>
          <w:lang w:val="sr-Cyrl-RS"/>
        </w:rPr>
      </w:pPr>
      <w:bookmarkStart w:id="49" w:name="_Toc11155990"/>
      <w:bookmarkStart w:id="50" w:name="_Toc56667075"/>
      <w:bookmarkStart w:id="51" w:name="_Toc86923721"/>
      <w:bookmarkStart w:id="52" w:name="_Toc119654144"/>
      <w:bookmarkStart w:id="53" w:name="_Toc135994500"/>
      <w:bookmarkStart w:id="54" w:name="_Toc146277915"/>
      <w:bookmarkStart w:id="55" w:name="_Toc148431268"/>
      <w:bookmarkStart w:id="56" w:name="_Toc170722304"/>
      <w:r w:rsidRPr="0062711C">
        <w:rPr>
          <w:rFonts w:eastAsiaTheme="majorEastAsia" w:cstheme="minorHAnsi"/>
          <w:b/>
          <w:color w:val="2F5496" w:themeColor="accent1" w:themeShade="BF"/>
          <w:sz w:val="24"/>
          <w:szCs w:val="26"/>
          <w:lang w:val="sr-Cyrl-RS"/>
        </w:rPr>
        <w:t xml:space="preserve">1. </w:t>
      </w:r>
      <w:bookmarkEnd w:id="47"/>
      <w:r w:rsidRPr="0062711C">
        <w:rPr>
          <w:rFonts w:eastAsiaTheme="majorEastAsia" w:cstheme="minorHAnsi"/>
          <w:b/>
          <w:color w:val="2F5496" w:themeColor="accent1" w:themeShade="BF"/>
          <w:sz w:val="24"/>
          <w:szCs w:val="26"/>
          <w:lang w:val="sr-Cyrl-RS"/>
        </w:rPr>
        <w:t>Средњорочни циљеви фискалне политике</w:t>
      </w:r>
      <w:bookmarkEnd w:id="48"/>
      <w:bookmarkEnd w:id="49"/>
      <w:bookmarkEnd w:id="50"/>
      <w:bookmarkEnd w:id="51"/>
      <w:bookmarkEnd w:id="52"/>
      <w:bookmarkEnd w:id="53"/>
      <w:bookmarkEnd w:id="54"/>
      <w:bookmarkEnd w:id="55"/>
      <w:bookmarkEnd w:id="56"/>
    </w:p>
    <w:p w14:paraId="1913B932" w14:textId="77777777" w:rsidR="006E272E" w:rsidRPr="0062711C" w:rsidRDefault="006E272E" w:rsidP="006236E0">
      <w:pPr>
        <w:spacing w:after="360"/>
        <w:rPr>
          <w:rFonts w:ascii="Calibri" w:hAnsi="Calibri" w:cs="Calibri"/>
          <w:bCs/>
          <w:szCs w:val="20"/>
          <w:lang w:val="sr-Cyrl-RS"/>
        </w:rPr>
        <w:sectPr w:rsidR="006E272E" w:rsidRPr="0062711C" w:rsidSect="00F45C01">
          <w:headerReference w:type="even" r:id="rId109"/>
          <w:footerReference w:type="even" r:id="rId110"/>
          <w:footerReference w:type="default" r:id="rId111"/>
          <w:headerReference w:type="first" r:id="rId112"/>
          <w:type w:val="continuous"/>
          <w:pgSz w:w="12240" w:h="15840" w:code="1"/>
          <w:pgMar w:top="1440" w:right="1440" w:bottom="1440" w:left="1440" w:header="720" w:footer="720" w:gutter="0"/>
          <w:cols w:space="720"/>
          <w:titlePg/>
          <w:docGrid w:linePitch="360"/>
        </w:sectPr>
      </w:pPr>
    </w:p>
    <w:p w14:paraId="24B47BFF" w14:textId="63E1C5F3" w:rsidR="006E272E" w:rsidRPr="0062711C" w:rsidRDefault="006E272E" w:rsidP="003F1BD3">
      <w:pPr>
        <w:spacing w:after="120"/>
        <w:rPr>
          <w:rFonts w:ascii="Calibri" w:hAnsi="Calibri" w:cs="Calibri"/>
          <w:bCs/>
          <w:szCs w:val="20"/>
          <w:lang w:val="sr-Cyrl-RS"/>
        </w:rPr>
      </w:pPr>
      <w:r w:rsidRPr="0062711C">
        <w:rPr>
          <w:rFonts w:ascii="Calibri" w:hAnsi="Calibri" w:cs="Calibri"/>
          <w:bCs/>
          <w:szCs w:val="20"/>
          <w:lang w:val="sr-Cyrl-RS"/>
        </w:rPr>
        <w:t>Смиривање пандемије коронавируса, висока инфлација изазвана кризом на међународним тржиштима енергије и сировина и сукоб у Украјини обележили су претходни период у свету, уз неизвесност која би могла да потраје дужи временски период. У таквој ситуацији задатак економске и фискалне политике</w:t>
      </w:r>
      <w:r w:rsidR="00622A1D">
        <w:rPr>
          <w:rFonts w:ascii="Calibri" w:hAnsi="Calibri" w:cs="Calibri"/>
          <w:bCs/>
          <w:szCs w:val="20"/>
          <w:lang w:val="sr-Cyrl-RS"/>
        </w:rPr>
        <w:t xml:space="preserve"> био</w:t>
      </w:r>
      <w:r w:rsidRPr="0062711C">
        <w:rPr>
          <w:rFonts w:ascii="Calibri" w:hAnsi="Calibri" w:cs="Calibri"/>
          <w:bCs/>
          <w:szCs w:val="20"/>
          <w:lang w:val="sr-Cyrl-RS"/>
        </w:rPr>
        <w:t xml:space="preserve"> је да обезбеди стабилност привредних токова и очува стандард грађана.</w:t>
      </w:r>
    </w:p>
    <w:p w14:paraId="3B05AE65" w14:textId="77777777" w:rsidR="006E272E" w:rsidRPr="0062711C" w:rsidRDefault="006E272E" w:rsidP="003F1BD3">
      <w:pPr>
        <w:spacing w:after="120"/>
        <w:rPr>
          <w:rFonts w:ascii="Calibri" w:hAnsi="Calibri" w:cs="Calibri"/>
          <w:bCs/>
          <w:szCs w:val="20"/>
          <w:lang w:val="sr-Cyrl-RS"/>
        </w:rPr>
      </w:pPr>
      <w:r w:rsidRPr="0062711C">
        <w:rPr>
          <w:rFonts w:ascii="Calibri" w:hAnsi="Calibri" w:cs="Calibri"/>
          <w:bCs/>
          <w:szCs w:val="20"/>
          <w:lang w:val="sr-Cyrl-RS"/>
        </w:rPr>
        <w:t>Претходна година је, ипак, била релативно стабилна у економском смислу, са очекиваном динамиком макроекономских кретања и нешто бољим резултатима фискалних агрегата. Повољни фискални трендови оличени у бољој наплати прихода од очекиване и уштедама на средствима која су намењена превазилажењу енергетске кризe довели су до нижих нивоа дефицита и дуга. Овакав развој догађаја омогућава бољу фискалну слику у средњорочном периоду, брже снижавање нивоа јавног дуга и већи фискални простор.</w:t>
      </w:r>
    </w:p>
    <w:p w14:paraId="64001A7A" w14:textId="2A31BE05" w:rsidR="006E272E" w:rsidRPr="0062711C" w:rsidRDefault="006E272E" w:rsidP="003F1BD3">
      <w:pPr>
        <w:spacing w:after="120"/>
        <w:rPr>
          <w:rFonts w:ascii="Calibri" w:hAnsi="Calibri" w:cs="Calibri"/>
          <w:bCs/>
          <w:szCs w:val="20"/>
          <w:lang w:val="sr-Cyrl-RS"/>
        </w:rPr>
      </w:pPr>
      <w:r w:rsidRPr="0062711C">
        <w:rPr>
          <w:rFonts w:ascii="Calibri" w:hAnsi="Calibri" w:cs="Calibri"/>
          <w:bCs/>
          <w:color w:val="323E4F" w:themeColor="text2" w:themeShade="BF"/>
          <w:szCs w:val="20"/>
          <w:lang w:val="sr-Cyrl-RS"/>
        </w:rPr>
        <w:t xml:space="preserve">Већи фискални простор, односно целокупна добра фискална позиција уз очекивана повољна макроекономска кретања омогућавају нови инвестициони циклус оличен у програму </w:t>
      </w:r>
      <w:r w:rsidR="00BA42C3" w:rsidRPr="0062711C">
        <w:rPr>
          <w:rFonts w:ascii="Calibri" w:hAnsi="Calibri" w:cs="Calibri"/>
          <w:bCs/>
          <w:color w:val="323E4F" w:themeColor="text2" w:themeShade="BF"/>
          <w:szCs w:val="20"/>
          <w:lang w:val="sr-Cyrl-RS"/>
        </w:rPr>
        <w:t>„</w:t>
      </w:r>
      <w:r w:rsidRPr="0062711C">
        <w:rPr>
          <w:rFonts w:ascii="Calibri" w:hAnsi="Calibri" w:cs="Calibri"/>
          <w:bCs/>
          <w:color w:val="323E4F" w:themeColor="text2" w:themeShade="BF"/>
          <w:szCs w:val="20"/>
          <w:lang w:val="sr-Cyrl-RS"/>
        </w:rPr>
        <w:t>Скок у будућност - Србија 2027</w:t>
      </w:r>
      <w:r w:rsidR="00BA42C3" w:rsidRPr="0062711C">
        <w:rPr>
          <w:rFonts w:ascii="Calibri" w:hAnsi="Calibri" w:cs="Calibri"/>
          <w:bCs/>
          <w:color w:val="323E4F" w:themeColor="text2" w:themeShade="BF"/>
          <w:szCs w:val="20"/>
          <w:lang w:val="sr-Cyrl-RS"/>
        </w:rPr>
        <w:t>”</w:t>
      </w:r>
      <w:r w:rsidRPr="0062711C">
        <w:rPr>
          <w:rFonts w:ascii="Calibri" w:hAnsi="Calibri" w:cs="Calibri"/>
          <w:bCs/>
          <w:color w:val="323E4F" w:themeColor="text2" w:themeShade="BF"/>
          <w:szCs w:val="20"/>
          <w:lang w:val="sr-Cyrl-RS"/>
        </w:rPr>
        <w:t xml:space="preserve"> и изложби ЕКСПО 2027. Овај програм ће бити окосница економског и друштвеног развоја државе у наредном периоду. С обзиром на предвиђена велика улагања у склопу програма и припрема за Експо привремено се очекује издашнија фискална политика, али уз поштовање принципа снижавања нивоа јавног дуга. Битно је да ће повећање дефицита бити резултат раста капиталних издатака, што ће </w:t>
      </w:r>
      <w:r w:rsidRPr="0062711C">
        <w:rPr>
          <w:rFonts w:ascii="Calibri" w:hAnsi="Calibri" w:cs="Calibri"/>
          <w:bCs/>
          <w:color w:val="323E4F" w:themeColor="text2" w:themeShade="BF"/>
          <w:szCs w:val="20"/>
          <w:lang w:val="sr-Cyrl-RS"/>
        </w:rPr>
        <w:t xml:space="preserve">додатно да помогне </w:t>
      </w:r>
      <w:r w:rsidR="00592106" w:rsidRPr="0062711C">
        <w:rPr>
          <w:rFonts w:ascii="Calibri" w:hAnsi="Calibri" w:cs="Calibri"/>
          <w:bCs/>
          <w:color w:val="323E4F" w:themeColor="text2" w:themeShade="BF"/>
          <w:szCs w:val="20"/>
          <w:lang w:val="sr-Cyrl-RS"/>
        </w:rPr>
        <w:t xml:space="preserve">макроекономским </w:t>
      </w:r>
      <w:r w:rsidRPr="0062711C">
        <w:rPr>
          <w:rFonts w:ascii="Calibri" w:hAnsi="Calibri" w:cs="Calibri"/>
          <w:bCs/>
          <w:color w:val="323E4F" w:themeColor="text2" w:themeShade="BF"/>
          <w:szCs w:val="20"/>
          <w:lang w:val="sr-Cyrl-RS"/>
        </w:rPr>
        <w:t xml:space="preserve">токовима и убрза раст економије. </w:t>
      </w:r>
      <w:r w:rsidRPr="0062711C">
        <w:rPr>
          <w:rFonts w:ascii="Calibri" w:hAnsi="Calibri" w:cs="Calibri"/>
          <w:bCs/>
          <w:szCs w:val="20"/>
          <w:lang w:val="sr-Cyrl-RS"/>
        </w:rPr>
        <w:t>Паралелно са тим потребно је обезбедити простор за правовремену реакцију фискалне политике на економске шокове. Међународно окружење је и даље неизвесно у погледу глобалних економских токова тако да би евентуална фискална интервенција државе у циљу минимизирања негативних екстерних ефеката свакако била комбинована са настојањима да се наставе развојни програми и инфраструктурни пројекти финансирани из буџета.</w:t>
      </w:r>
    </w:p>
    <w:p w14:paraId="7304A697" w14:textId="77777777" w:rsidR="006E272E" w:rsidRPr="0062711C" w:rsidRDefault="006E272E" w:rsidP="003F1BD3">
      <w:pPr>
        <w:spacing w:after="120"/>
        <w:rPr>
          <w:rFonts w:ascii="Calibri" w:hAnsi="Calibri" w:cs="Calibri"/>
          <w:bCs/>
          <w:szCs w:val="20"/>
          <w:lang w:val="sr-Cyrl-RS"/>
        </w:rPr>
      </w:pPr>
      <w:r w:rsidRPr="0062711C">
        <w:rPr>
          <w:rFonts w:ascii="Calibri" w:hAnsi="Calibri" w:cs="Calibri"/>
          <w:bCs/>
          <w:szCs w:val="20"/>
          <w:lang w:val="sr-Cyrl-RS"/>
        </w:rPr>
        <w:t>С обзиром на неизвесну економску ситуацију, буџет ће свакако представљати „сигурносну мрежу” у случају ескалације неповољних кретања. Са једне стране обезбедиће се континуитет развојних и социјалних програма, а са друге стране одрживост јавних финансија и наставак смањења нивоа јавног дуга у смислу учешћа у БДП. Имајући у виду очекивана макроекономска кретања, предвиђени годишњи фискални дефицити омогућавају смањење учешћа дуга сектора државе у БДП и у наредном периоду.</w:t>
      </w:r>
    </w:p>
    <w:p w14:paraId="1477DAC1" w14:textId="77777777" w:rsidR="006E272E" w:rsidRPr="0062711C" w:rsidRDefault="006E272E" w:rsidP="003F1BD3">
      <w:pPr>
        <w:spacing w:after="120"/>
        <w:rPr>
          <w:rFonts w:ascii="Calibri" w:hAnsi="Calibri" w:cs="Calibri"/>
          <w:bCs/>
          <w:szCs w:val="20"/>
          <w:lang w:val="sr-Cyrl-RS"/>
        </w:rPr>
      </w:pPr>
      <w:r w:rsidRPr="0062711C">
        <w:rPr>
          <w:rFonts w:ascii="Calibri" w:hAnsi="Calibri" w:cs="Calibri"/>
          <w:bCs/>
          <w:szCs w:val="20"/>
          <w:lang w:val="sr-Cyrl-RS"/>
        </w:rPr>
        <w:t>Фискална политика ће у наредном периоду бити фокусирана, у складу са расположивим фискалним простором, и на даље смањење укупног пореског оптерећења рада чиме се додатно растерећује привреда, односно повећава конкурентност приватног сектора. На расходној страни, осим инфраструктурних и капиталних пројеката, приоритет ће бити политика пензија и плата, како би се наставио раст животног стандарда становништва.</w:t>
      </w:r>
    </w:p>
    <w:p w14:paraId="550FE72B" w14:textId="77777777" w:rsidR="006E272E" w:rsidRPr="0062711C" w:rsidRDefault="006E272E" w:rsidP="00E124CF">
      <w:pPr>
        <w:rPr>
          <w:lang w:val="sr-Cyrl-RS" w:eastAsia="ja-JP"/>
        </w:rPr>
        <w:sectPr w:rsidR="006E272E" w:rsidRPr="0062711C" w:rsidSect="00F45C01">
          <w:headerReference w:type="even" r:id="rId113"/>
          <w:headerReference w:type="default" r:id="rId114"/>
          <w:footerReference w:type="even" r:id="rId115"/>
          <w:footerReference w:type="default" r:id="rId116"/>
          <w:headerReference w:type="first" r:id="rId117"/>
          <w:type w:val="continuous"/>
          <w:pgSz w:w="12240" w:h="15840" w:code="1"/>
          <w:pgMar w:top="1440" w:right="1440" w:bottom="1440" w:left="1440" w:header="720" w:footer="720" w:gutter="0"/>
          <w:cols w:num="2" w:space="720"/>
          <w:docGrid w:linePitch="360"/>
          <w15:footnoteColumns w:val="1"/>
        </w:sectPr>
      </w:pPr>
    </w:p>
    <w:p w14:paraId="648985F2" w14:textId="77777777" w:rsidR="006E272E" w:rsidRPr="0062711C" w:rsidRDefault="006E272E" w:rsidP="003F1BD3">
      <w:pPr>
        <w:jc w:val="left"/>
        <w:rPr>
          <w:lang w:val="sr-Cyrl-RS"/>
        </w:rPr>
      </w:pPr>
      <w:bookmarkStart w:id="57" w:name="_Toc119654147"/>
      <w:bookmarkEnd w:id="39"/>
      <w:bookmarkEnd w:id="40"/>
      <w:bookmarkEnd w:id="41"/>
      <w:bookmarkEnd w:id="42"/>
      <w:bookmarkEnd w:id="43"/>
      <w:bookmarkEnd w:id="44"/>
      <w:bookmarkEnd w:id="45"/>
      <w:bookmarkEnd w:id="46"/>
    </w:p>
    <w:p w14:paraId="29C06FA2" w14:textId="77777777" w:rsidR="006E272E" w:rsidRPr="0062711C" w:rsidRDefault="006E272E" w:rsidP="006236E0">
      <w:pPr>
        <w:rPr>
          <w:szCs w:val="26"/>
          <w:lang w:val="sr-Cyrl-RS"/>
        </w:rPr>
      </w:pPr>
      <w:bookmarkStart w:id="58" w:name="_Toc119654146"/>
      <w:bookmarkStart w:id="59" w:name="_Toc135994503"/>
      <w:bookmarkStart w:id="60" w:name="_Toc146277917"/>
      <w:bookmarkStart w:id="61" w:name="_Toc148431270"/>
      <w:bookmarkStart w:id="62" w:name="_Toc56667078"/>
      <w:bookmarkStart w:id="63" w:name="_Toc119326595"/>
      <w:bookmarkStart w:id="64" w:name="_Toc119654148"/>
      <w:bookmarkStart w:id="65" w:name="_Toc135994505"/>
      <w:bookmarkEnd w:id="57"/>
      <w:r w:rsidRPr="0062711C">
        <w:rPr>
          <w:lang w:val="sr-Cyrl-RS"/>
        </w:rPr>
        <w:br w:type="page"/>
      </w:r>
    </w:p>
    <w:p w14:paraId="4E22B78A" w14:textId="77777777" w:rsidR="0024608F" w:rsidRPr="0062711C" w:rsidRDefault="0024608F" w:rsidP="006236E0">
      <w:pPr>
        <w:rPr>
          <w:lang w:val="sr-Cyrl-RS"/>
        </w:rPr>
        <w:sectPr w:rsidR="0024608F" w:rsidRPr="0062711C" w:rsidSect="00D500A7">
          <w:headerReference w:type="even" r:id="rId118"/>
          <w:headerReference w:type="default" r:id="rId119"/>
          <w:footerReference w:type="even" r:id="rId120"/>
          <w:footerReference w:type="default" r:id="rId121"/>
          <w:headerReference w:type="first" r:id="rId122"/>
          <w:type w:val="continuous"/>
          <w:pgSz w:w="12240" w:h="15840" w:code="1"/>
          <w:pgMar w:top="1440" w:right="1440" w:bottom="1440" w:left="1440" w:header="720" w:footer="720" w:gutter="0"/>
          <w:cols w:space="720"/>
          <w:titlePg/>
          <w:docGrid w:linePitch="360"/>
        </w:sectPr>
      </w:pPr>
    </w:p>
    <w:p w14:paraId="2F140A87" w14:textId="77777777" w:rsidR="006236E0" w:rsidRPr="0062711C" w:rsidRDefault="006236E0" w:rsidP="007F06ED">
      <w:pPr>
        <w:keepNext/>
        <w:keepLines/>
        <w:spacing w:after="360"/>
        <w:jc w:val="center"/>
        <w:outlineLvl w:val="1"/>
        <w:rPr>
          <w:rFonts w:eastAsia="MS PGothic" w:cstheme="minorHAnsi"/>
          <w:b/>
          <w:color w:val="2F5496" w:themeColor="accent1" w:themeShade="BF"/>
          <w:sz w:val="24"/>
          <w:szCs w:val="26"/>
          <w:lang w:val="sr-Cyrl-RS" w:eastAsia="ja-JP"/>
        </w:rPr>
      </w:pPr>
      <w:bookmarkStart w:id="66" w:name="_Toc135994501"/>
      <w:bookmarkStart w:id="67" w:name="_Toc137206786"/>
      <w:bookmarkStart w:id="68" w:name="_Toc170722305"/>
      <w:bookmarkStart w:id="69" w:name="_Toc73364969"/>
      <w:bookmarkStart w:id="70" w:name="_Toc119654145"/>
      <w:bookmarkStart w:id="71" w:name="_Toc135994502"/>
      <w:bookmarkStart w:id="72" w:name="_Toc146277916"/>
      <w:bookmarkStart w:id="73" w:name="_Toc148431269"/>
      <w:r w:rsidRPr="0062711C">
        <w:rPr>
          <w:rFonts w:eastAsia="MS PGothic" w:cstheme="minorHAnsi"/>
          <w:b/>
          <w:color w:val="2F5496" w:themeColor="accent1" w:themeShade="BF"/>
          <w:sz w:val="24"/>
          <w:szCs w:val="26"/>
          <w:lang w:val="sr-Cyrl-RS" w:eastAsia="ja-JP"/>
        </w:rPr>
        <w:lastRenderedPageBreak/>
        <w:t>2. Фискална кретања у 2023. години</w:t>
      </w:r>
      <w:bookmarkEnd w:id="66"/>
      <w:bookmarkEnd w:id="67"/>
      <w:bookmarkEnd w:id="68"/>
    </w:p>
    <w:p w14:paraId="2EE4A8A6" w14:textId="77777777" w:rsidR="006236E0" w:rsidRPr="0062711C" w:rsidRDefault="006236E0" w:rsidP="007F06ED">
      <w:pPr>
        <w:spacing w:after="360" w:line="276" w:lineRule="auto"/>
        <w:rPr>
          <w:rFonts w:cstheme="minorHAnsi"/>
          <w:bCs/>
          <w:szCs w:val="72"/>
          <w:lang w:val="sr-Cyrl-RS"/>
        </w:rPr>
        <w:sectPr w:rsidR="006236E0" w:rsidRPr="0062711C" w:rsidSect="007F06ED">
          <w:headerReference w:type="default" r:id="rId123"/>
          <w:footerReference w:type="default" r:id="rId124"/>
          <w:headerReference w:type="first" r:id="rId125"/>
          <w:footerReference w:type="first" r:id="rId126"/>
          <w:type w:val="continuous"/>
          <w:pgSz w:w="12240" w:h="15840" w:code="1"/>
          <w:pgMar w:top="1440" w:right="1440" w:bottom="1440" w:left="1440" w:header="720" w:footer="720" w:gutter="0"/>
          <w:cols w:space="720"/>
          <w:titlePg/>
          <w:docGrid w:linePitch="360"/>
        </w:sectPr>
      </w:pPr>
    </w:p>
    <w:p w14:paraId="1526A659" w14:textId="4598AE35" w:rsidR="006236E0" w:rsidRPr="0062711C" w:rsidRDefault="006236E0" w:rsidP="007F06ED">
      <w:pPr>
        <w:spacing w:line="276" w:lineRule="auto"/>
        <w:rPr>
          <w:rFonts w:cstheme="minorHAnsi"/>
          <w:bCs/>
          <w:szCs w:val="72"/>
          <w:lang w:val="sr-Cyrl-RS"/>
        </w:rPr>
      </w:pPr>
      <w:r w:rsidRPr="0062711C">
        <w:rPr>
          <w:rFonts w:cstheme="minorHAnsi"/>
          <w:bCs/>
          <w:szCs w:val="72"/>
          <w:lang w:val="sr-Cyrl-RS"/>
        </w:rPr>
        <w:t>На крају 2023. године на нивоу сектора државе остварен је фискални дефицит у износу од 181,1 млрд динара, односно 2,2% БДП, што је за 0,6% БДП боље од планираног, с обзиром да је јесењом пројекцијом планиран фискални дефицит од 2,8% БДП, којом су додатно ревидирани приходи и расходи. Фискални оквир је првобитно ревидиран већ током пролећног дела буџетског циклуса, како у погледу висине, тако и структуре прихода и расхода, када је процена фискалног дефицита смањена са 3,3% БДП, колико је било предвиђено оригиналним буџетом за 2023. годину, на 3% БДП. У 2023. години остварен је примарни фискални дефицит од 0,5% БДП. Дуг сектора државе је смањен за 3,</w:t>
      </w:r>
      <w:r w:rsidR="00517C7D" w:rsidRPr="0062711C">
        <w:rPr>
          <w:rFonts w:cstheme="minorHAnsi"/>
          <w:bCs/>
          <w:szCs w:val="72"/>
          <w:lang w:val="sr-Cyrl-RS"/>
        </w:rPr>
        <w:t>3</w:t>
      </w:r>
      <w:r w:rsidRPr="0062711C">
        <w:rPr>
          <w:rFonts w:cstheme="minorHAnsi"/>
          <w:bCs/>
          <w:szCs w:val="72"/>
          <w:lang w:val="sr-Cyrl-RS"/>
        </w:rPr>
        <w:t xml:space="preserve"> п.п, са 55,6% БДП, колико је износио на крају 2022. године на 52,3% БДП на крају 2023. године.</w:t>
      </w:r>
    </w:p>
    <w:p w14:paraId="06C86719" w14:textId="77777777" w:rsidR="006236E0" w:rsidRPr="0062711C" w:rsidRDefault="006236E0" w:rsidP="007F06ED">
      <w:pPr>
        <w:spacing w:line="276" w:lineRule="auto"/>
        <w:rPr>
          <w:rFonts w:cstheme="minorHAnsi"/>
          <w:bCs/>
          <w:szCs w:val="72"/>
          <w:lang w:val="sr-Cyrl-RS"/>
        </w:rPr>
      </w:pPr>
      <w:r w:rsidRPr="0062711C">
        <w:rPr>
          <w:rFonts w:cstheme="minorHAnsi"/>
          <w:bCs/>
          <w:szCs w:val="72"/>
          <w:lang w:val="sr-Cyrl-RS"/>
        </w:rPr>
        <w:t>Бројни фактори утицали су на измене у висини и структури како прихода, тако и расхода сектора државе. На остварење прихода су утицали: базни ефекат (боље остварење на крају 2022. године),</w:t>
      </w:r>
      <w:r w:rsidRPr="0062711C">
        <w:rPr>
          <w:lang w:val="sr-Cyrl-RS"/>
        </w:rPr>
        <w:t xml:space="preserve"> </w:t>
      </w:r>
      <w:r w:rsidRPr="0062711C">
        <w:rPr>
          <w:rFonts w:cstheme="minorHAnsi"/>
          <w:bCs/>
          <w:szCs w:val="72"/>
          <w:lang w:val="sr-Cyrl-RS"/>
        </w:rPr>
        <w:t>снажан раст профитабилности привреде у 2022. години, постојање неструктурног (привременог) дела у наплати ПДВ током 2022. године, већа потрошња одређених акцизних производа (пре свега деривата нафте), укидање мере смањења акцизног оптерећења деривата нафте и предвиђене измене акцизне политике, повољнија кретања на тржишту рада, снажан раст редовних непореских прихода и сл. На веће расходе у односу на оригинални план највише су утицали већи расходи по основу социјалне заштите и за набавку роба и услуга, док се највеће смањење односи на буџетске позајмице, превасходно због знатно мањих потреба за набавком енергената и стабилизацијом њихових цена.</w:t>
      </w:r>
    </w:p>
    <w:p w14:paraId="5127D77D" w14:textId="77777777" w:rsidR="006236E0" w:rsidRPr="0062711C" w:rsidRDefault="006236E0" w:rsidP="007F06ED">
      <w:pPr>
        <w:spacing w:line="276" w:lineRule="auto"/>
        <w:rPr>
          <w:rFonts w:cstheme="minorHAnsi"/>
          <w:bCs/>
          <w:spacing w:val="-2"/>
          <w:szCs w:val="72"/>
          <w:lang w:val="sr-Cyrl-RS"/>
        </w:rPr>
      </w:pPr>
      <w:r w:rsidRPr="0062711C">
        <w:rPr>
          <w:rFonts w:cstheme="minorHAnsi"/>
          <w:bCs/>
          <w:spacing w:val="-2"/>
          <w:szCs w:val="72"/>
          <w:lang w:val="sr-Cyrl-RS"/>
        </w:rPr>
        <w:t xml:space="preserve">Јавни приходи су остварени у износу већем за 160,4 млрд динара (2% БДП) у односу на износ планиран оригиналним буџетом. Највеће одступање навише у односу на план је забележено код директних пореза и доприноса и акциза. Приходи од ПДВ и царина су забележили одступање наниже. Порез на </w:t>
      </w:r>
      <w:r w:rsidRPr="0062711C">
        <w:rPr>
          <w:rFonts w:cstheme="minorHAnsi"/>
          <w:bCs/>
          <w:spacing w:val="-2"/>
          <w:szCs w:val="72"/>
          <w:lang w:val="sr-Cyrl-RS"/>
        </w:rPr>
        <w:t>добит правних лица је остварен у износу вишем од планираног за око 0,7% БДП, услед конзервативног приступа у планирању ове категорије заснованог на умереном расту профитабилности привреде. Нето добит привреде је у 2022. години забележила раст од 28,3% у односу на 2021. годину. Доприноси и порез на доходак грађана су укупно већи у односу на план за 0,9% БДП, највећим делом услед снажног раста зарада у приватном сектору. Приходи од акциза премашили су план за 0,4% БДП услед веће потрошње акцизних производа (деривати нафте, ел. енергија, алкохол, кафа), односно мањег пада потрошње дуванских производа у односу на план. Поред нижег прихода од царина од 0,1% БДП у односу на план (нижи раст увозне тражње, пре свега енергената), приход од ПДВ је, у 2023. години, такође нижи од планираног (0,3% БДП). Разлог томе је висока база у 2022. години, што је последица потрошње лица на привременом боравку у земљи, већег прилива средстава од туризма, дознака и фискалног стимулуса, те ''паничне'' потрошње током првих месеци 2022. године услед конфликта у Украјини. Све ово је утицало на неструктурно повећање прихода у 2022. години. Непорески приходи су виши за 0,4% БДП у односу на план. Редовни непорески приходи остварени су у већем износу у односу на планиране највише због виших путарина,</w:t>
      </w:r>
      <w:r w:rsidRPr="0062711C">
        <w:rPr>
          <w:lang w:val="sr-Cyrl-RS"/>
        </w:rPr>
        <w:t xml:space="preserve"> </w:t>
      </w:r>
      <w:r w:rsidRPr="0062711C">
        <w:rPr>
          <w:rFonts w:cstheme="minorHAnsi"/>
          <w:bCs/>
          <w:spacing w:val="-2"/>
          <w:szCs w:val="72"/>
          <w:lang w:val="sr-Cyrl-RS"/>
        </w:rPr>
        <w:t>јер корекција њихове висине иницијално није планирана, те раста наплате накнада од игара на срећу, накнада за коришћење минералних сировина и др. Ванредни непорески приходи виши су због уплате прихода који нису били укључени у оригинални буџетски план.</w:t>
      </w:r>
      <w:r w:rsidRPr="0062711C">
        <w:rPr>
          <w:lang w:val="sr-Cyrl-RS"/>
        </w:rPr>
        <w:t xml:space="preserve"> </w:t>
      </w:r>
      <w:r w:rsidRPr="0062711C">
        <w:rPr>
          <w:rFonts w:cstheme="minorHAnsi"/>
          <w:bCs/>
          <w:spacing w:val="-2"/>
          <w:szCs w:val="72"/>
          <w:lang w:val="sr-Cyrl-RS"/>
        </w:rPr>
        <w:t>Ово се превасходно односи на приходе по основу дивиденди буџета и примљених камата.</w:t>
      </w:r>
    </w:p>
    <w:p w14:paraId="0082B31A" w14:textId="54D1574E" w:rsidR="006236E0" w:rsidRPr="0062711C" w:rsidRDefault="006236E0" w:rsidP="007F06ED">
      <w:pPr>
        <w:spacing w:line="276" w:lineRule="auto"/>
        <w:rPr>
          <w:rFonts w:cstheme="minorHAnsi"/>
          <w:bCs/>
          <w:szCs w:val="72"/>
          <w:lang w:val="sr-Cyrl-RS"/>
        </w:rPr>
      </w:pPr>
      <w:r w:rsidRPr="0062711C">
        <w:rPr>
          <w:rFonts w:cstheme="minorHAnsi"/>
          <w:bCs/>
          <w:szCs w:val="72"/>
          <w:lang w:val="sr-Cyrl-RS"/>
        </w:rPr>
        <w:t>Јавни расходи извршени су у износу вишем за 77,4 млрд динара (0,9% БДП) у односу на оригинални план. Највеће одступање навише је остварено код социјалних давања, расхода за робе и услуге и осталих текућих расхода, док је код буџетских позајмица остварено највеће одступање наниже</w:t>
      </w:r>
      <w:r w:rsidRPr="0062711C">
        <w:rPr>
          <w:lang w:val="sr-Cyrl-RS"/>
        </w:rPr>
        <w:t xml:space="preserve"> </w:t>
      </w:r>
      <w:r w:rsidRPr="0062711C">
        <w:rPr>
          <w:rFonts w:cstheme="minorHAnsi"/>
          <w:bCs/>
          <w:szCs w:val="72"/>
          <w:lang w:val="sr-Cyrl-RS"/>
        </w:rPr>
        <w:t xml:space="preserve">услед позитивних кретања на тржишту енергената и опоравка производње електричне енергије. </w:t>
      </w:r>
      <w:r w:rsidRPr="0062711C">
        <w:rPr>
          <w:rFonts w:cstheme="minorHAnsi"/>
          <w:bCs/>
          <w:szCs w:val="72"/>
          <w:lang w:val="sr-Cyrl-RS"/>
        </w:rPr>
        <w:lastRenderedPageBreak/>
        <w:t xml:space="preserve">Расходи за социјалну заштиту премашили су план за око 0,7% БДП, највише услед исплате једнократне помоћи пензионерима од око 33 млрд динара, затим новог трајног повећања пензија од 5,5% од октобра 2023. године, те додатних мера за бригу о породици исплаћених из буџета Републике и додатних средстава по овом основу исплаћених на нивоу здравственог система. Расходи за робе и услуге су већи од плана за око 0,5% БДП. Највећи део повећања се односи на текуће одржавање путева код ЈП „Путеви Србије”, као и већа издвајања у систему здравства. Остали текући расходи премашили су план за 0,3% БДП, највећим делом услед исплате једнократне помоћи мајкама и самохраним очевима деце до 16 година, у укупном износу од 12 млрд динара. Реализација јавних инвестиција у 2023. години је износила 7% БДП и премашила је план за 0,1% </w:t>
      </w:r>
      <w:r w:rsidRPr="0062711C">
        <w:rPr>
          <w:rFonts w:cstheme="minorHAnsi"/>
          <w:bCs/>
          <w:szCs w:val="72"/>
          <w:lang w:val="sr-Cyrl-RS"/>
        </w:rPr>
        <w:t xml:space="preserve">БДП. У односу на оригинални план, ребалансом буџета Републике, измењена је структура капиталних расхода, пре свега у складу са динамиком потрошње у протеклом периоду. Расходи за запослене премашили су план за око 0,1% БДП. Највећи део овог повећања односи се на већу масу зарада у здравству (повећање зараде 5,5% за део запослених </w:t>
      </w:r>
      <w:r w:rsidR="00F308B3" w:rsidRPr="0062711C">
        <w:rPr>
          <w:rFonts w:cstheme="minorHAnsi"/>
          <w:bCs/>
          <w:szCs w:val="72"/>
          <w:lang w:val="sr-Cyrl-RS"/>
        </w:rPr>
        <w:t>од септембра</w:t>
      </w:r>
      <w:r w:rsidRPr="0062711C">
        <w:rPr>
          <w:rFonts w:cstheme="minorHAnsi"/>
          <w:bCs/>
          <w:szCs w:val="72"/>
          <w:lang w:val="sr-Cyrl-RS"/>
        </w:rPr>
        <w:t>, као и повећање броја запослених и радних часова), просвети (повећање од 5,5% од септембра 2023. године). Расходи за запослене у 2023. години износили су 9,5% БДП, колико износи и учешће пензија у БДП. Посебним фискалним правилима која важе од јануара 2023. године ограничено је учешће плата сектора државе, уз корекције на основу проширења обухвата и дефинисана правила индексирања пензија зависно од њиховог учешћа у БДП.</w:t>
      </w:r>
    </w:p>
    <w:p w14:paraId="311D9402" w14:textId="77777777" w:rsidR="006236E0" w:rsidRPr="0062711C" w:rsidRDefault="006236E0" w:rsidP="007F06ED">
      <w:pPr>
        <w:spacing w:line="276" w:lineRule="auto"/>
        <w:rPr>
          <w:rFonts w:cstheme="minorHAnsi"/>
          <w:bCs/>
          <w:szCs w:val="72"/>
          <w:lang w:val="sr-Cyrl-RS"/>
        </w:rPr>
        <w:sectPr w:rsidR="006236E0" w:rsidRPr="0062711C" w:rsidSect="007F06ED">
          <w:type w:val="continuous"/>
          <w:pgSz w:w="12240" w:h="15840" w:code="1"/>
          <w:pgMar w:top="1440" w:right="1440" w:bottom="1440" w:left="1440" w:header="720" w:footer="720" w:gutter="0"/>
          <w:cols w:num="2" w:space="720"/>
          <w:titlePg/>
          <w:docGrid w:linePitch="360"/>
        </w:sectPr>
      </w:pPr>
    </w:p>
    <w:p w14:paraId="56C3E6F8" w14:textId="77777777" w:rsidR="006236E0" w:rsidRPr="0062711C" w:rsidRDefault="006236E0" w:rsidP="007F06ED">
      <w:pPr>
        <w:spacing w:line="276" w:lineRule="auto"/>
        <w:rPr>
          <w:rFonts w:cstheme="minorHAnsi"/>
          <w:bCs/>
          <w:szCs w:val="72"/>
          <w:lang w:val="sr-Cyrl-RS"/>
        </w:rPr>
      </w:pPr>
    </w:p>
    <w:p w14:paraId="3480A00F" w14:textId="77777777" w:rsidR="006236E0" w:rsidRPr="0062711C" w:rsidRDefault="006236E0" w:rsidP="007F06ED">
      <w:pPr>
        <w:jc w:val="left"/>
        <w:rPr>
          <w:rFonts w:ascii="Calibri" w:eastAsia="Calibri" w:hAnsi="Calibri" w:cs="Calibri"/>
          <w:bCs/>
          <w:color w:val="44546A"/>
          <w:szCs w:val="72"/>
          <w:lang w:val="sr-Cyrl-RS"/>
        </w:rPr>
      </w:pPr>
    </w:p>
    <w:p w14:paraId="5135EE7E" w14:textId="77777777" w:rsidR="006236E0" w:rsidRPr="0062711C" w:rsidRDefault="006236E0" w:rsidP="006236E0">
      <w:pPr>
        <w:rPr>
          <w:lang w:val="sr-Cyrl-RS" w:eastAsia="ja-JP"/>
        </w:rPr>
      </w:pPr>
      <w:r w:rsidRPr="0062711C">
        <w:rPr>
          <w:lang w:val="sr-Cyrl-RS" w:eastAsia="ja-JP"/>
        </w:rPr>
        <w:br w:type="page"/>
      </w:r>
    </w:p>
    <w:p w14:paraId="24E803B9" w14:textId="1EAFCE8E" w:rsidR="0024608F" w:rsidRPr="0062711C" w:rsidRDefault="000E3193" w:rsidP="00D500A7">
      <w:pPr>
        <w:keepNext/>
        <w:keepLines/>
        <w:spacing w:after="360"/>
        <w:jc w:val="center"/>
        <w:outlineLvl w:val="1"/>
        <w:rPr>
          <w:rFonts w:eastAsia="MS PGothic" w:cstheme="minorHAnsi"/>
          <w:b/>
          <w:color w:val="2F5496" w:themeColor="accent1" w:themeShade="BF"/>
          <w:sz w:val="24"/>
          <w:szCs w:val="26"/>
          <w:lang w:val="sr-Cyrl-RS" w:eastAsia="ja-JP"/>
        </w:rPr>
      </w:pPr>
      <w:bookmarkStart w:id="74" w:name="_Toc170722306"/>
      <w:r w:rsidRPr="0062711C">
        <w:rPr>
          <w:rFonts w:eastAsia="MS PGothic" w:cstheme="minorHAnsi"/>
          <w:b/>
          <w:color w:val="2F5496" w:themeColor="accent1" w:themeShade="BF"/>
          <w:sz w:val="24"/>
          <w:szCs w:val="26"/>
          <w:lang w:val="sr-Cyrl-RS" w:eastAsia="ja-JP"/>
        </w:rPr>
        <w:lastRenderedPageBreak/>
        <w:t>3</w:t>
      </w:r>
      <w:r w:rsidR="0024608F" w:rsidRPr="0062711C">
        <w:rPr>
          <w:rFonts w:eastAsia="MS PGothic" w:cstheme="minorHAnsi"/>
          <w:b/>
          <w:color w:val="2F5496" w:themeColor="accent1" w:themeShade="BF"/>
          <w:sz w:val="24"/>
          <w:szCs w:val="26"/>
          <w:lang w:val="sr-Cyrl-RS" w:eastAsia="ja-JP"/>
        </w:rPr>
        <w:t>. Текућа фискална кретања и изгледи за 2024. годину</w:t>
      </w:r>
      <w:bookmarkEnd w:id="69"/>
      <w:bookmarkEnd w:id="70"/>
      <w:bookmarkEnd w:id="71"/>
      <w:bookmarkEnd w:id="72"/>
      <w:bookmarkEnd w:id="73"/>
      <w:bookmarkEnd w:id="74"/>
    </w:p>
    <w:p w14:paraId="73E3A938" w14:textId="77777777" w:rsidR="0024608F" w:rsidRPr="0062711C" w:rsidRDefault="0024608F" w:rsidP="00D500A7">
      <w:pPr>
        <w:keepNext/>
        <w:keepLines/>
        <w:jc w:val="center"/>
        <w:outlineLvl w:val="1"/>
        <w:rPr>
          <w:rFonts w:eastAsia="MS PGothic" w:cstheme="minorHAnsi"/>
          <w:b/>
          <w:color w:val="2F5496" w:themeColor="accent1" w:themeShade="BF"/>
          <w:sz w:val="24"/>
          <w:szCs w:val="26"/>
          <w:lang w:val="sr-Cyrl-RS" w:eastAsia="ja-JP"/>
        </w:rPr>
        <w:sectPr w:rsidR="0024608F" w:rsidRPr="0062711C" w:rsidSect="00D500A7">
          <w:headerReference w:type="even" r:id="rId127"/>
          <w:headerReference w:type="default" r:id="rId128"/>
          <w:footerReference w:type="even" r:id="rId129"/>
          <w:footerReference w:type="default" r:id="rId130"/>
          <w:type w:val="continuous"/>
          <w:pgSz w:w="12240" w:h="15840" w:code="1"/>
          <w:pgMar w:top="1440" w:right="1440" w:bottom="1440" w:left="1440" w:header="720" w:footer="720" w:gutter="0"/>
          <w:cols w:space="720"/>
          <w:titlePg/>
          <w:docGrid w:linePitch="360"/>
        </w:sectPr>
      </w:pPr>
    </w:p>
    <w:p w14:paraId="7FDFC173" w14:textId="77777777"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bCs/>
          <w:szCs w:val="20"/>
          <w:lang w:val="sr-Cyrl-RS" w:eastAsia="ja-JP"/>
        </w:rPr>
        <w:t>Фискални оквир за 2024. годину планиран је узимајући у обзир неизвесност како на домаћем тржишту, тако и у међународном окружењу.</w:t>
      </w:r>
      <w:r w:rsidRPr="0062711C">
        <w:rPr>
          <w:rFonts w:eastAsia="MS PGothic" w:cstheme="minorHAnsi"/>
          <w:szCs w:val="20"/>
          <w:lang w:val="sr-Cyrl-RS" w:eastAsia="ja-JP"/>
        </w:rPr>
        <w:t xml:space="preserve"> Планирању се приступило опрезно, како би се оставио неопходан простор за буџетске интервенције у случају неповољних догађаја. Макроекономским оквиром за 2024. годину било је предвиђено умерено убрзање економске активности, у односу на 2023. годину, уз постепено смиривање стопе инфлације, што би, поред осталог, деловало и на повећање реалне потрошње.</w:t>
      </w:r>
    </w:p>
    <w:p w14:paraId="460D5F93" w14:textId="330FA7AB"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t xml:space="preserve"> У претходном периоду, била су неопходна значајна буџетска издвајања у циљу обезбеђења енергетске сигурности. Део фискалног напора био је усмерен и на очување животног стандарда грађана. Мере спроведене крајем 2023. утицале су на планирање фискалног оквира за 2024. годину. Тако је крајем претходне године спроведено повећање зарада запосленима у просвети и делу здравства од 5,5%, ванредно повећање пензија од 5,5%, а почетком 2024. године, у складу са законском формулом за усклађивање, пензије су повећане за 14,8%. У циљу одржања стандарда и куповне моћи становништва усвојене су следеће мере: подизање минималне зараде у 2024. години за 17,8%, повећање зарада у јавном сектору од 10%, уз даље смањење пореског о</w:t>
      </w:r>
      <w:r w:rsidR="004B7EB2" w:rsidRPr="0062711C">
        <w:rPr>
          <w:rFonts w:eastAsia="MS PGothic" w:cstheme="minorHAnsi"/>
          <w:szCs w:val="20"/>
          <w:lang w:val="sr-Cyrl-RS" w:eastAsia="ja-JP"/>
        </w:rPr>
        <w:t>п</w:t>
      </w:r>
      <w:r w:rsidRPr="0062711C">
        <w:rPr>
          <w:rFonts w:eastAsia="MS PGothic" w:cstheme="minorHAnsi"/>
          <w:szCs w:val="20"/>
          <w:lang w:val="sr-Cyrl-RS" w:eastAsia="ja-JP"/>
        </w:rPr>
        <w:t>терећења зарада испод 60%. Ове мере делују на повећање личне потрошње и последично, на приходе од пореза на потрошњу. Очекиван је и позитиван тренд кретања прихода од опорезивања рада и поред смањења пореског оптерећења, услед дејства предложених мера на запосленост и зараде у приватном сектору. У 2024. години планирана су значајна средстава за интервенцију на тржишту енергије, међутим услед стабилизације цена и расположивости енергената, део неутрошених средстава биће пренамењен.</w:t>
      </w:r>
    </w:p>
    <w:p w14:paraId="0A185B8E" w14:textId="4B7000A8"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t xml:space="preserve">На план прихода утицало је предвиђено враћање акцизне политике у редовне токове, укључујући и делимично подизање реалних износа акцизних стопа. Усвојеном законском регулативом крајем претходне године, поред осталог, извршено је повећање износа акциза за 8%, и планирано </w:t>
      </w:r>
      <w:r w:rsidRPr="0062711C">
        <w:rPr>
          <w:rFonts w:eastAsia="MS PGothic" w:cstheme="minorHAnsi"/>
          <w:szCs w:val="20"/>
          <w:lang w:val="sr-Cyrl-RS" w:eastAsia="ja-JP"/>
        </w:rPr>
        <w:t xml:space="preserve">додатно усклађивање са оствареном инфлацијом у 2023. години, почетком 2024. године. Овим повећањима се само делимично надокнађује реална вредност износа акциза, у поређењу са периодом пре избијања енергетске кризе и убрзаног раста инфлације, те висина акцизних стопа остаје 13% нижа него што би износила да је примењивана редовна индексација у протеклом периоду. Процењени губитак прихода </w:t>
      </w:r>
      <w:r w:rsidR="003D058D" w:rsidRPr="0062711C">
        <w:rPr>
          <w:rFonts w:eastAsia="MS PGothic" w:cstheme="minorHAnsi"/>
          <w:szCs w:val="20"/>
          <w:lang w:val="sr-Cyrl-RS" w:eastAsia="ja-JP"/>
        </w:rPr>
        <w:t>у 2022. и 2023. години, изостан</w:t>
      </w:r>
      <w:r w:rsidRPr="0062711C">
        <w:rPr>
          <w:rFonts w:eastAsia="MS PGothic" w:cstheme="minorHAnsi"/>
          <w:szCs w:val="20"/>
          <w:lang w:val="sr-Cyrl-RS" w:eastAsia="ja-JP"/>
        </w:rPr>
        <w:t>ком редовне индексације, износио је преко 100 млрд динара односно 1,3% БДП. Почетком 2024. године донета је одлука да се предвиђено усклађивање са инфлацијом одложи за четири месеца, услед тога што је забележен солидан раст прихода од акциза крајем претходне године, а и како би се делимично ублажио и пролонгирао инфлаторни ефекат подизања акциза.</w:t>
      </w:r>
    </w:p>
    <w:p w14:paraId="637CFF32" w14:textId="77777777"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t>Ризици који су узети у обзир приликом планирања фискалног оквира за ову годину су и даље присутни, али са нешто мањим интензитетом. Раст економске активност био је изнад пројектоване кварталне динамике, док су инфлаторна кретања на нивоу очекиваних. Процена привредног раста за ову годину благо је ревидирана навише.</w:t>
      </w:r>
    </w:p>
    <w:p w14:paraId="4D570C3C" w14:textId="09072918"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t>Остварење прихода у првом кварталу 2024. године боље је од планираног. Кретања на тржишту рада су у нивоу очекивања, што, уз истоврем</w:t>
      </w:r>
      <w:r w:rsidR="004B7EB2" w:rsidRPr="0062711C">
        <w:rPr>
          <w:rFonts w:eastAsia="MS PGothic" w:cstheme="minorHAnsi"/>
          <w:szCs w:val="20"/>
          <w:lang w:val="sr-Cyrl-RS" w:eastAsia="ja-JP"/>
        </w:rPr>
        <w:t>е</w:t>
      </w:r>
      <w:r w:rsidRPr="0062711C">
        <w:rPr>
          <w:rFonts w:eastAsia="MS PGothic" w:cstheme="minorHAnsi"/>
          <w:szCs w:val="20"/>
          <w:lang w:val="sr-Cyrl-RS" w:eastAsia="ja-JP"/>
        </w:rPr>
        <w:t>ни раст реалног дохотка, позитивно утиче на наплату прихода од пореза на по</w:t>
      </w:r>
      <w:r w:rsidR="004B7EB2" w:rsidRPr="0062711C">
        <w:rPr>
          <w:rFonts w:eastAsia="MS PGothic" w:cstheme="minorHAnsi"/>
          <w:szCs w:val="20"/>
          <w:lang w:val="sr-Cyrl-RS" w:eastAsia="ja-JP"/>
        </w:rPr>
        <w:t>трошњу. Одлука о одлагању индек</w:t>
      </w:r>
      <w:r w:rsidRPr="0062711C">
        <w:rPr>
          <w:rFonts w:eastAsia="MS PGothic" w:cstheme="minorHAnsi"/>
          <w:szCs w:val="20"/>
          <w:lang w:val="sr-Cyrl-RS" w:eastAsia="ja-JP"/>
        </w:rPr>
        <w:t>сације акциза, неће имати негативан утицај на износ наплате овог пореског облика, пре свега због опоравка потрошње у последњем кварталу претходне и првом кварталу текуће године. Уобичајено, непланирани ванредни непорески приходи, наплаћени у протеклом периоду, као и боља реализација редовних прихода укључени су у ревидирану процену непореских прихода. Боље остварење на крају претходне године, појединачно је најважнији фактор који је довео до ревизије прихода навише у овом фискалном оквиру.</w:t>
      </w:r>
    </w:p>
    <w:p w14:paraId="1F7D494B"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szCs w:val="20"/>
          <w:lang w:val="sr-Cyrl-RS" w:eastAsia="ja-JP"/>
        </w:rPr>
        <w:t xml:space="preserve">Фискалним оквиром за 2024. предвиђа се фискални дефицит од 2,2% БДП, непромењено у односу на буџетски план. Учешће јавног дуга у БДП </w:t>
      </w:r>
      <w:r w:rsidRPr="0062711C">
        <w:rPr>
          <w:rFonts w:eastAsia="MS PGothic" w:cstheme="minorHAnsi"/>
          <w:szCs w:val="20"/>
          <w:lang w:val="sr-Cyrl-RS" w:eastAsia="ja-JP"/>
        </w:rPr>
        <w:lastRenderedPageBreak/>
        <w:t>на крају 2024. године износиће 52%. И приходи и расходи повећани су за 66,9 млрд динара. Виши приходи и расходи,</w:t>
      </w:r>
      <w:r w:rsidRPr="0062711C">
        <w:rPr>
          <w:rFonts w:eastAsia="MS PGothic" w:cstheme="minorHAnsi"/>
          <w:bCs/>
          <w:szCs w:val="20"/>
          <w:lang w:val="sr-Cyrl-RS" w:eastAsia="ja-JP"/>
        </w:rPr>
        <w:t xml:space="preserve"> те прерасподела средстава предвиђених за енергетику, обезбедили су фискални простор за повећање јавних инвестиција у највећој мери, као и појединих категорија текућих расхода. На расходној страни највећу промену навише бележе капитални расходи, а потом и расходи за социјалну помоћ и трансфере становништву. </w:t>
      </w:r>
      <w:r w:rsidRPr="0062711C">
        <w:rPr>
          <w:rFonts w:eastAsia="MS PGothic" w:cstheme="minorHAnsi"/>
          <w:szCs w:val="20"/>
          <w:lang w:val="sr-Cyrl-RS" w:eastAsia="ja-JP"/>
        </w:rPr>
        <w:t>Предвиђен фискални резултат омогућава спровођење развојних мера, уз задржавање тренда смањења учешћа јавног дуга у БДП. Анализом структурног фискалног резултата у 2024. години, идентификовано је да се око 0,2% БДП односи на једнократне и привремене ефекте на приходној и расходној страни.</w:t>
      </w:r>
    </w:p>
    <w:p w14:paraId="24718083" w14:textId="77777777" w:rsidR="0024608F" w:rsidRPr="0062711C" w:rsidRDefault="0024608F" w:rsidP="00D500A7">
      <w:pPr>
        <w:spacing w:after="120"/>
        <w:jc w:val="center"/>
        <w:rPr>
          <w:rFonts w:cstheme="minorHAnsi"/>
          <w:b/>
          <w:color w:val="002060"/>
          <w:lang w:val="sr-Cyrl-RS"/>
        </w:rPr>
      </w:pPr>
      <w:r w:rsidRPr="0062711C">
        <w:rPr>
          <w:rFonts w:cstheme="minorHAnsi"/>
          <w:b/>
          <w:color w:val="002060"/>
          <w:lang w:val="sr-Cyrl-RS"/>
        </w:rPr>
        <w:t>Фискални резултат сектора државе у периоду од 2015. до 2024. године, % БДП</w:t>
      </w:r>
    </w:p>
    <w:p w14:paraId="315BF942" w14:textId="77777777" w:rsidR="0024608F" w:rsidRPr="0062711C" w:rsidRDefault="0024608F" w:rsidP="0024608F">
      <w:pPr>
        <w:spacing w:after="40"/>
        <w:jc w:val="center"/>
        <w:rPr>
          <w:rFonts w:cstheme="minorHAnsi"/>
          <w:b/>
          <w:color w:val="002060"/>
          <w:lang w:val="sr-Cyrl-RS"/>
        </w:rPr>
      </w:pPr>
      <w:r w:rsidRPr="0062711C">
        <w:rPr>
          <w:noProof/>
          <w:lang w:val="en-GB" w:eastAsia="en-GB"/>
        </w:rPr>
        <w:drawing>
          <wp:inline distT="0" distB="0" distL="0" distR="0" wp14:anchorId="270F124A" wp14:editId="1587630B">
            <wp:extent cx="2743200" cy="2276475"/>
            <wp:effectExtent l="0" t="0" r="0" b="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14:paraId="30762062" w14:textId="77777777" w:rsidR="0024608F" w:rsidRPr="0062711C" w:rsidRDefault="0024608F" w:rsidP="00D500A7">
      <w:pPr>
        <w:spacing w:after="120" w:line="276" w:lineRule="auto"/>
        <w:jc w:val="left"/>
        <w:rPr>
          <w:lang w:val="sr-Cyrl-RS"/>
        </w:rPr>
        <w:sectPr w:rsidR="0024608F" w:rsidRPr="0062711C" w:rsidSect="00D500A7">
          <w:type w:val="continuous"/>
          <w:pgSz w:w="12240" w:h="15840" w:code="1"/>
          <w:pgMar w:top="1440" w:right="1440" w:bottom="1440" w:left="1440" w:header="720" w:footer="720" w:gutter="0"/>
          <w:cols w:num="2" w:space="720"/>
          <w:docGrid w:linePitch="360"/>
        </w:sectPr>
      </w:pPr>
      <w:r w:rsidRPr="0062711C">
        <w:rPr>
          <w:rFonts w:cstheme="minorHAnsi"/>
          <w:bCs/>
          <w:sz w:val="16"/>
          <w:szCs w:val="72"/>
          <w:lang w:val="sr-Cyrl-RS"/>
        </w:rPr>
        <w:t>Извор: Министарство финансија</w:t>
      </w:r>
    </w:p>
    <w:p w14:paraId="3EC52D6A" w14:textId="7C335913" w:rsidR="0024608F" w:rsidRPr="0062711C" w:rsidRDefault="0024608F" w:rsidP="00D500A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 xml:space="preserve">Табела </w:t>
      </w:r>
      <w:r w:rsidR="00BB1E84">
        <w:rPr>
          <w:rFonts w:eastAsia="MS PGothic" w:cstheme="minorHAnsi"/>
          <w:b/>
          <w:color w:val="002060"/>
          <w:szCs w:val="20"/>
          <w:lang w:eastAsia="ja-JP"/>
        </w:rPr>
        <w:t>6</w:t>
      </w:r>
      <w:r w:rsidRPr="0062711C">
        <w:rPr>
          <w:rFonts w:eastAsia="MS PGothic" w:cstheme="minorHAnsi"/>
          <w:b/>
          <w:color w:val="002060"/>
          <w:szCs w:val="20"/>
          <w:lang w:val="sr-Cyrl-RS" w:eastAsia="ja-JP"/>
        </w:rPr>
        <w:t>. Приходи, расходи и резултат сектора државе у 2024. години, у млрд динара</w:t>
      </w:r>
    </w:p>
    <w:tbl>
      <w:tblPr>
        <w:tblW w:w="5000" w:type="pct"/>
        <w:jc w:val="center"/>
        <w:tblLook w:val="04A0" w:firstRow="1" w:lastRow="0" w:firstColumn="1" w:lastColumn="0" w:noHBand="0" w:noVBand="1"/>
      </w:tblPr>
      <w:tblGrid>
        <w:gridCol w:w="2834"/>
        <w:gridCol w:w="1241"/>
        <w:gridCol w:w="1239"/>
        <w:gridCol w:w="1584"/>
        <w:gridCol w:w="1241"/>
        <w:gridCol w:w="1221"/>
      </w:tblGrid>
      <w:tr w:rsidR="0024608F" w:rsidRPr="0062711C" w14:paraId="33A53F9A" w14:textId="77777777" w:rsidTr="0024608F">
        <w:trPr>
          <w:trHeight w:val="454"/>
          <w:tblHeader/>
          <w:jc w:val="center"/>
        </w:trPr>
        <w:tc>
          <w:tcPr>
            <w:tcW w:w="1514" w:type="pct"/>
            <w:tcBorders>
              <w:top w:val="single" w:sz="4" w:space="0" w:color="002060"/>
            </w:tcBorders>
            <w:shd w:val="clear" w:color="auto" w:fill="auto"/>
            <w:noWrap/>
            <w:vAlign w:val="center"/>
            <w:hideMark/>
          </w:tcPr>
          <w:p w14:paraId="2D6BFEDF" w14:textId="77777777" w:rsidR="0024608F" w:rsidRPr="0062711C" w:rsidRDefault="0024608F" w:rsidP="00E124CF">
            <w:pPr>
              <w:spacing w:after="0" w:line="240" w:lineRule="auto"/>
              <w:jc w:val="center"/>
              <w:rPr>
                <w:rFonts w:eastAsia="Times New Roman" w:cstheme="minorHAnsi"/>
                <w:bCs/>
                <w:color w:val="002060"/>
                <w:sz w:val="16"/>
                <w:szCs w:val="16"/>
                <w:lang w:val="sr-Cyrl-RS" w:eastAsia="sr-Cyrl-RS"/>
              </w:rPr>
            </w:pPr>
            <w:r w:rsidRPr="0062711C">
              <w:rPr>
                <w:rFonts w:eastAsia="Times New Roman" w:cstheme="minorHAnsi"/>
                <w:bCs/>
                <w:color w:val="002060"/>
                <w:sz w:val="16"/>
                <w:szCs w:val="16"/>
                <w:lang w:val="sr-Cyrl-RS" w:eastAsia="sr-Cyrl-RS"/>
              </w:rPr>
              <w:t> </w:t>
            </w:r>
          </w:p>
        </w:tc>
        <w:tc>
          <w:tcPr>
            <w:tcW w:w="663" w:type="pct"/>
            <w:tcBorders>
              <w:top w:val="single" w:sz="4" w:space="0" w:color="002060"/>
              <w:bottom w:val="single" w:sz="4" w:space="0" w:color="002060"/>
            </w:tcBorders>
            <w:shd w:val="clear" w:color="auto" w:fill="auto"/>
            <w:vAlign w:val="center"/>
            <w:hideMark/>
          </w:tcPr>
          <w:p w14:paraId="231D6FCE" w14:textId="77777777" w:rsidR="0024608F" w:rsidRPr="0062711C" w:rsidRDefault="0024608F" w:rsidP="00D500A7">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буџет 2024*</w:t>
            </w:r>
          </w:p>
        </w:tc>
        <w:tc>
          <w:tcPr>
            <w:tcW w:w="662" w:type="pct"/>
            <w:tcBorders>
              <w:top w:val="single" w:sz="4" w:space="0" w:color="002060"/>
              <w:bottom w:val="single" w:sz="4" w:space="0" w:color="002060"/>
            </w:tcBorders>
            <w:vAlign w:val="center"/>
          </w:tcPr>
          <w:p w14:paraId="3B56ED8E" w14:textId="07063F62" w:rsidR="0024608F" w:rsidRPr="0062711C" w:rsidRDefault="00DC6C35" w:rsidP="00D500A7">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 xml:space="preserve">Нова </w:t>
            </w:r>
            <w:r w:rsidR="0024608F" w:rsidRPr="0062711C">
              <w:rPr>
                <w:rFonts w:eastAsia="MS PGothic" w:cstheme="minorHAnsi"/>
                <w:color w:val="002060"/>
                <w:sz w:val="16"/>
                <w:szCs w:val="16"/>
                <w:lang w:val="sr-Cyrl-RS" w:eastAsia="ja-JP"/>
              </w:rPr>
              <w:t>процена 2024</w:t>
            </w:r>
          </w:p>
        </w:tc>
        <w:tc>
          <w:tcPr>
            <w:tcW w:w="846" w:type="pct"/>
            <w:tcBorders>
              <w:top w:val="single" w:sz="4" w:space="0" w:color="002060"/>
              <w:bottom w:val="single" w:sz="4" w:space="0" w:color="002060"/>
            </w:tcBorders>
            <w:shd w:val="clear" w:color="auto" w:fill="auto"/>
            <w:vAlign w:val="center"/>
            <w:hideMark/>
          </w:tcPr>
          <w:p w14:paraId="10E43183" w14:textId="50BE22E5" w:rsidR="0024608F" w:rsidRPr="0062711C" w:rsidRDefault="0024608F" w:rsidP="00D500A7">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Разлика</w:t>
            </w:r>
            <w:r w:rsidR="00DC6C35" w:rsidRPr="0062711C">
              <w:rPr>
                <w:rFonts w:eastAsia="MS PGothic" w:cstheme="minorHAnsi"/>
                <w:color w:val="002060"/>
                <w:sz w:val="16"/>
                <w:szCs w:val="16"/>
                <w:lang w:val="sr-Cyrl-RS" w:eastAsia="ja-JP"/>
              </w:rPr>
              <w:t xml:space="preserve"> Нова</w:t>
            </w:r>
            <w:r w:rsidRPr="0062711C">
              <w:rPr>
                <w:rFonts w:eastAsia="MS PGothic" w:cstheme="minorHAnsi"/>
                <w:color w:val="002060"/>
                <w:sz w:val="16"/>
                <w:szCs w:val="16"/>
                <w:lang w:val="sr-Cyrl-RS" w:eastAsia="ja-JP"/>
              </w:rPr>
              <w:t xml:space="preserve"> процена /буџет</w:t>
            </w:r>
          </w:p>
        </w:tc>
        <w:tc>
          <w:tcPr>
            <w:tcW w:w="663" w:type="pct"/>
            <w:tcBorders>
              <w:top w:val="single" w:sz="4" w:space="0" w:color="002060"/>
              <w:bottom w:val="single" w:sz="4" w:space="0" w:color="002060"/>
            </w:tcBorders>
            <w:shd w:val="clear" w:color="auto" w:fill="auto"/>
            <w:vAlign w:val="center"/>
            <w:hideMark/>
          </w:tcPr>
          <w:p w14:paraId="1D4C28A9" w14:textId="77777777" w:rsidR="0024608F" w:rsidRPr="0062711C" w:rsidRDefault="0024608F" w:rsidP="00D500A7">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 промена</w:t>
            </w:r>
          </w:p>
        </w:tc>
        <w:tc>
          <w:tcPr>
            <w:tcW w:w="652" w:type="pct"/>
            <w:tcBorders>
              <w:top w:val="single" w:sz="4" w:space="0" w:color="002060"/>
              <w:bottom w:val="single" w:sz="4" w:space="0" w:color="002060"/>
            </w:tcBorders>
            <w:shd w:val="clear" w:color="auto" w:fill="auto"/>
            <w:vAlign w:val="center"/>
            <w:hideMark/>
          </w:tcPr>
          <w:p w14:paraId="0DC0AC78" w14:textId="77777777" w:rsidR="0024608F" w:rsidRPr="0062711C" w:rsidRDefault="0024608F" w:rsidP="00D500A7">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2024 нова пр. % БДП</w:t>
            </w:r>
          </w:p>
        </w:tc>
      </w:tr>
      <w:tr w:rsidR="0024608F" w:rsidRPr="0062711C" w14:paraId="508E58D0" w14:textId="77777777" w:rsidTr="0024608F">
        <w:trPr>
          <w:trHeight w:val="224"/>
          <w:jc w:val="center"/>
        </w:trPr>
        <w:tc>
          <w:tcPr>
            <w:tcW w:w="1514" w:type="pct"/>
            <w:shd w:val="clear" w:color="auto" w:fill="E7E6E6" w:themeFill="background2"/>
            <w:noWrap/>
            <w:vAlign w:val="center"/>
            <w:hideMark/>
          </w:tcPr>
          <w:p w14:paraId="6585BFC6" w14:textId="77777777" w:rsidR="0024608F" w:rsidRPr="0062711C" w:rsidRDefault="0024608F" w:rsidP="00D500A7">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ЈАВНИ ПРИХОДИ</w:t>
            </w:r>
          </w:p>
        </w:tc>
        <w:tc>
          <w:tcPr>
            <w:tcW w:w="663" w:type="pct"/>
            <w:tcBorders>
              <w:top w:val="single" w:sz="4" w:space="0" w:color="002060"/>
            </w:tcBorders>
            <w:shd w:val="clear" w:color="auto" w:fill="E7E6E6" w:themeFill="background2"/>
            <w:hideMark/>
          </w:tcPr>
          <w:p w14:paraId="571AFE0C"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3.756,1</w:t>
            </w:r>
          </w:p>
        </w:tc>
        <w:tc>
          <w:tcPr>
            <w:tcW w:w="662" w:type="pct"/>
            <w:tcBorders>
              <w:top w:val="single" w:sz="4" w:space="0" w:color="002060"/>
            </w:tcBorders>
            <w:shd w:val="clear" w:color="auto" w:fill="E7E6E6" w:themeFill="background2"/>
          </w:tcPr>
          <w:p w14:paraId="4190FA8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3.823,0</w:t>
            </w:r>
          </w:p>
        </w:tc>
        <w:tc>
          <w:tcPr>
            <w:tcW w:w="846" w:type="pct"/>
            <w:tcBorders>
              <w:top w:val="single" w:sz="4" w:space="0" w:color="002060"/>
            </w:tcBorders>
            <w:shd w:val="clear" w:color="auto" w:fill="E7E6E6" w:themeFill="background2"/>
            <w:hideMark/>
          </w:tcPr>
          <w:p w14:paraId="71E7397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66,9</w:t>
            </w:r>
          </w:p>
        </w:tc>
        <w:tc>
          <w:tcPr>
            <w:tcW w:w="663" w:type="pct"/>
            <w:tcBorders>
              <w:top w:val="single" w:sz="4" w:space="0" w:color="002060"/>
            </w:tcBorders>
            <w:shd w:val="clear" w:color="auto" w:fill="E7E6E6" w:themeFill="background2"/>
            <w:hideMark/>
          </w:tcPr>
          <w:p w14:paraId="4E95A908"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w:t>
            </w:r>
          </w:p>
        </w:tc>
        <w:tc>
          <w:tcPr>
            <w:tcW w:w="652" w:type="pct"/>
            <w:tcBorders>
              <w:top w:val="single" w:sz="4" w:space="0" w:color="002060"/>
            </w:tcBorders>
            <w:shd w:val="clear" w:color="auto" w:fill="E7E6E6" w:themeFill="background2"/>
            <w:noWrap/>
            <w:hideMark/>
          </w:tcPr>
          <w:p w14:paraId="5E82875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42,7</w:t>
            </w:r>
          </w:p>
        </w:tc>
      </w:tr>
      <w:tr w:rsidR="0024608F" w:rsidRPr="0062711C" w14:paraId="4167F7C1" w14:textId="77777777" w:rsidTr="0024608F">
        <w:trPr>
          <w:trHeight w:val="224"/>
          <w:jc w:val="center"/>
        </w:trPr>
        <w:tc>
          <w:tcPr>
            <w:tcW w:w="1514" w:type="pct"/>
            <w:shd w:val="clear" w:color="auto" w:fill="auto"/>
            <w:noWrap/>
            <w:vAlign w:val="center"/>
            <w:hideMark/>
          </w:tcPr>
          <w:p w14:paraId="7FF1FF59"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Текући приходи</w:t>
            </w:r>
          </w:p>
        </w:tc>
        <w:tc>
          <w:tcPr>
            <w:tcW w:w="663" w:type="pct"/>
            <w:shd w:val="clear" w:color="auto" w:fill="auto"/>
            <w:hideMark/>
          </w:tcPr>
          <w:p w14:paraId="01DDE6BB"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3.717,0</w:t>
            </w:r>
          </w:p>
        </w:tc>
        <w:tc>
          <w:tcPr>
            <w:tcW w:w="662" w:type="pct"/>
          </w:tcPr>
          <w:p w14:paraId="38E94EE7"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3.784,0</w:t>
            </w:r>
          </w:p>
        </w:tc>
        <w:tc>
          <w:tcPr>
            <w:tcW w:w="846" w:type="pct"/>
            <w:shd w:val="clear" w:color="auto" w:fill="auto"/>
            <w:hideMark/>
          </w:tcPr>
          <w:p w14:paraId="6984CBE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66,9</w:t>
            </w:r>
          </w:p>
        </w:tc>
        <w:tc>
          <w:tcPr>
            <w:tcW w:w="663" w:type="pct"/>
            <w:shd w:val="clear" w:color="auto" w:fill="auto"/>
            <w:hideMark/>
          </w:tcPr>
          <w:p w14:paraId="268E976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w:t>
            </w:r>
          </w:p>
        </w:tc>
        <w:tc>
          <w:tcPr>
            <w:tcW w:w="652" w:type="pct"/>
            <w:shd w:val="clear" w:color="auto" w:fill="auto"/>
            <w:noWrap/>
            <w:hideMark/>
          </w:tcPr>
          <w:p w14:paraId="4752753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42,3</w:t>
            </w:r>
          </w:p>
        </w:tc>
      </w:tr>
      <w:tr w:rsidR="0024608F" w:rsidRPr="0062711C" w14:paraId="392D5A35" w14:textId="77777777" w:rsidTr="0024608F">
        <w:trPr>
          <w:trHeight w:val="224"/>
          <w:jc w:val="center"/>
        </w:trPr>
        <w:tc>
          <w:tcPr>
            <w:tcW w:w="1514" w:type="pct"/>
            <w:shd w:val="clear" w:color="auto" w:fill="auto"/>
            <w:noWrap/>
            <w:vAlign w:val="center"/>
            <w:hideMark/>
          </w:tcPr>
          <w:p w14:paraId="4C987E1B"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Порески приходи</w:t>
            </w:r>
          </w:p>
        </w:tc>
        <w:tc>
          <w:tcPr>
            <w:tcW w:w="663" w:type="pct"/>
            <w:shd w:val="clear" w:color="auto" w:fill="auto"/>
            <w:hideMark/>
          </w:tcPr>
          <w:p w14:paraId="112AA73B"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3.330,5</w:t>
            </w:r>
          </w:p>
        </w:tc>
        <w:tc>
          <w:tcPr>
            <w:tcW w:w="662" w:type="pct"/>
          </w:tcPr>
          <w:p w14:paraId="2C5E389C"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3.392,2</w:t>
            </w:r>
          </w:p>
        </w:tc>
        <w:tc>
          <w:tcPr>
            <w:tcW w:w="846" w:type="pct"/>
            <w:shd w:val="clear" w:color="auto" w:fill="auto"/>
            <w:hideMark/>
          </w:tcPr>
          <w:p w14:paraId="35AE78A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61,7</w:t>
            </w:r>
          </w:p>
        </w:tc>
        <w:tc>
          <w:tcPr>
            <w:tcW w:w="663" w:type="pct"/>
            <w:shd w:val="clear" w:color="auto" w:fill="auto"/>
            <w:hideMark/>
          </w:tcPr>
          <w:p w14:paraId="0157C9E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w:t>
            </w:r>
          </w:p>
        </w:tc>
        <w:tc>
          <w:tcPr>
            <w:tcW w:w="652" w:type="pct"/>
            <w:shd w:val="clear" w:color="auto" w:fill="auto"/>
            <w:noWrap/>
            <w:hideMark/>
          </w:tcPr>
          <w:p w14:paraId="1FE89874"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37,9</w:t>
            </w:r>
          </w:p>
        </w:tc>
      </w:tr>
      <w:tr w:rsidR="0024608F" w:rsidRPr="0062711C" w14:paraId="11155701" w14:textId="77777777" w:rsidTr="0024608F">
        <w:trPr>
          <w:trHeight w:val="224"/>
          <w:jc w:val="center"/>
        </w:trPr>
        <w:tc>
          <w:tcPr>
            <w:tcW w:w="1514" w:type="pct"/>
            <w:shd w:val="clear" w:color="auto" w:fill="auto"/>
            <w:noWrap/>
            <w:vAlign w:val="center"/>
            <w:hideMark/>
          </w:tcPr>
          <w:p w14:paraId="1BEA6DD9"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Порез на доходак грађана</w:t>
            </w:r>
          </w:p>
        </w:tc>
        <w:tc>
          <w:tcPr>
            <w:tcW w:w="663" w:type="pct"/>
            <w:shd w:val="clear" w:color="auto" w:fill="auto"/>
            <w:hideMark/>
          </w:tcPr>
          <w:p w14:paraId="0B84DDA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378,6</w:t>
            </w:r>
          </w:p>
        </w:tc>
        <w:tc>
          <w:tcPr>
            <w:tcW w:w="662" w:type="pct"/>
          </w:tcPr>
          <w:p w14:paraId="0338E00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382,0</w:t>
            </w:r>
          </w:p>
        </w:tc>
        <w:tc>
          <w:tcPr>
            <w:tcW w:w="846" w:type="pct"/>
            <w:shd w:val="clear" w:color="auto" w:fill="auto"/>
            <w:hideMark/>
          </w:tcPr>
          <w:p w14:paraId="37F776D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3,4</w:t>
            </w:r>
          </w:p>
        </w:tc>
        <w:tc>
          <w:tcPr>
            <w:tcW w:w="663" w:type="pct"/>
            <w:shd w:val="clear" w:color="auto" w:fill="auto"/>
            <w:hideMark/>
          </w:tcPr>
          <w:p w14:paraId="2B97BB9A"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0,9</w:t>
            </w:r>
          </w:p>
        </w:tc>
        <w:tc>
          <w:tcPr>
            <w:tcW w:w="652" w:type="pct"/>
            <w:shd w:val="clear" w:color="auto" w:fill="auto"/>
            <w:noWrap/>
            <w:hideMark/>
          </w:tcPr>
          <w:p w14:paraId="7704E014"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4,3</w:t>
            </w:r>
          </w:p>
        </w:tc>
      </w:tr>
      <w:tr w:rsidR="0024608F" w:rsidRPr="0062711C" w14:paraId="31F33531" w14:textId="77777777" w:rsidTr="0024608F">
        <w:trPr>
          <w:trHeight w:val="224"/>
          <w:jc w:val="center"/>
        </w:trPr>
        <w:tc>
          <w:tcPr>
            <w:tcW w:w="1514" w:type="pct"/>
            <w:shd w:val="clear" w:color="auto" w:fill="auto"/>
            <w:noWrap/>
            <w:vAlign w:val="center"/>
            <w:hideMark/>
          </w:tcPr>
          <w:p w14:paraId="7AB77F07"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Порез на добит правних лица</w:t>
            </w:r>
          </w:p>
        </w:tc>
        <w:tc>
          <w:tcPr>
            <w:tcW w:w="663" w:type="pct"/>
            <w:shd w:val="clear" w:color="auto" w:fill="auto"/>
            <w:hideMark/>
          </w:tcPr>
          <w:p w14:paraId="6C911C3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256,7</w:t>
            </w:r>
          </w:p>
        </w:tc>
        <w:tc>
          <w:tcPr>
            <w:tcW w:w="662" w:type="pct"/>
          </w:tcPr>
          <w:p w14:paraId="15F345F7"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256,7</w:t>
            </w:r>
          </w:p>
        </w:tc>
        <w:tc>
          <w:tcPr>
            <w:tcW w:w="846" w:type="pct"/>
            <w:shd w:val="clear" w:color="auto" w:fill="auto"/>
            <w:hideMark/>
          </w:tcPr>
          <w:p w14:paraId="30CFD73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shd w:val="clear" w:color="auto" w:fill="auto"/>
            <w:hideMark/>
          </w:tcPr>
          <w:p w14:paraId="307F511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52" w:type="pct"/>
            <w:shd w:val="clear" w:color="auto" w:fill="auto"/>
            <w:noWrap/>
            <w:hideMark/>
          </w:tcPr>
          <w:p w14:paraId="1F55999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2,9</w:t>
            </w:r>
          </w:p>
        </w:tc>
      </w:tr>
      <w:tr w:rsidR="0024608F" w:rsidRPr="0062711C" w14:paraId="7F7C40F3" w14:textId="77777777" w:rsidTr="0024608F">
        <w:trPr>
          <w:trHeight w:val="224"/>
          <w:jc w:val="center"/>
        </w:trPr>
        <w:tc>
          <w:tcPr>
            <w:tcW w:w="1514" w:type="pct"/>
            <w:shd w:val="clear" w:color="auto" w:fill="auto"/>
            <w:noWrap/>
            <w:vAlign w:val="center"/>
            <w:hideMark/>
          </w:tcPr>
          <w:p w14:paraId="5A4C56C4"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ПДВ</w:t>
            </w:r>
          </w:p>
        </w:tc>
        <w:tc>
          <w:tcPr>
            <w:tcW w:w="663" w:type="pct"/>
            <w:shd w:val="clear" w:color="auto" w:fill="auto"/>
            <w:hideMark/>
          </w:tcPr>
          <w:p w14:paraId="3DA97F5C"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908,0</w:t>
            </w:r>
          </w:p>
        </w:tc>
        <w:tc>
          <w:tcPr>
            <w:tcW w:w="662" w:type="pct"/>
          </w:tcPr>
          <w:p w14:paraId="2A87C45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950,0</w:t>
            </w:r>
          </w:p>
        </w:tc>
        <w:tc>
          <w:tcPr>
            <w:tcW w:w="846" w:type="pct"/>
            <w:shd w:val="clear" w:color="auto" w:fill="auto"/>
            <w:hideMark/>
          </w:tcPr>
          <w:p w14:paraId="35830D6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42,0</w:t>
            </w:r>
          </w:p>
        </w:tc>
        <w:tc>
          <w:tcPr>
            <w:tcW w:w="663" w:type="pct"/>
            <w:shd w:val="clear" w:color="auto" w:fill="auto"/>
            <w:hideMark/>
          </w:tcPr>
          <w:p w14:paraId="7FA4ED5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4,6</w:t>
            </w:r>
          </w:p>
        </w:tc>
        <w:tc>
          <w:tcPr>
            <w:tcW w:w="652" w:type="pct"/>
            <w:shd w:val="clear" w:color="auto" w:fill="auto"/>
            <w:noWrap/>
            <w:hideMark/>
          </w:tcPr>
          <w:p w14:paraId="75314DA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10,6</w:t>
            </w:r>
          </w:p>
        </w:tc>
      </w:tr>
      <w:tr w:rsidR="0024608F" w:rsidRPr="0062711C" w14:paraId="22634896" w14:textId="77777777" w:rsidTr="0024608F">
        <w:trPr>
          <w:trHeight w:val="224"/>
          <w:jc w:val="center"/>
        </w:trPr>
        <w:tc>
          <w:tcPr>
            <w:tcW w:w="1514" w:type="pct"/>
            <w:shd w:val="clear" w:color="auto" w:fill="auto"/>
            <w:noWrap/>
            <w:vAlign w:val="center"/>
            <w:hideMark/>
          </w:tcPr>
          <w:p w14:paraId="5CD4A948"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Акцизе</w:t>
            </w:r>
          </w:p>
        </w:tc>
        <w:tc>
          <w:tcPr>
            <w:tcW w:w="663" w:type="pct"/>
            <w:shd w:val="clear" w:color="auto" w:fill="auto"/>
            <w:hideMark/>
          </w:tcPr>
          <w:p w14:paraId="656F047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395,0</w:t>
            </w:r>
          </w:p>
        </w:tc>
        <w:tc>
          <w:tcPr>
            <w:tcW w:w="662" w:type="pct"/>
          </w:tcPr>
          <w:p w14:paraId="6F0C781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400,0</w:t>
            </w:r>
          </w:p>
        </w:tc>
        <w:tc>
          <w:tcPr>
            <w:tcW w:w="846" w:type="pct"/>
            <w:shd w:val="clear" w:color="auto" w:fill="auto"/>
            <w:hideMark/>
          </w:tcPr>
          <w:p w14:paraId="4C670EA6"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5,0</w:t>
            </w:r>
          </w:p>
        </w:tc>
        <w:tc>
          <w:tcPr>
            <w:tcW w:w="663" w:type="pct"/>
            <w:shd w:val="clear" w:color="auto" w:fill="auto"/>
            <w:hideMark/>
          </w:tcPr>
          <w:p w14:paraId="28A9D47E"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w:t>
            </w:r>
          </w:p>
        </w:tc>
        <w:tc>
          <w:tcPr>
            <w:tcW w:w="652" w:type="pct"/>
            <w:shd w:val="clear" w:color="auto" w:fill="auto"/>
            <w:noWrap/>
            <w:hideMark/>
          </w:tcPr>
          <w:p w14:paraId="1649A59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4,5</w:t>
            </w:r>
          </w:p>
        </w:tc>
      </w:tr>
      <w:tr w:rsidR="0024608F" w:rsidRPr="0062711C" w14:paraId="3508AC35" w14:textId="77777777" w:rsidTr="0024608F">
        <w:trPr>
          <w:trHeight w:val="224"/>
          <w:jc w:val="center"/>
        </w:trPr>
        <w:tc>
          <w:tcPr>
            <w:tcW w:w="1514" w:type="pct"/>
            <w:shd w:val="clear" w:color="auto" w:fill="auto"/>
            <w:noWrap/>
            <w:vAlign w:val="center"/>
            <w:hideMark/>
          </w:tcPr>
          <w:p w14:paraId="55E46015"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Царине</w:t>
            </w:r>
          </w:p>
        </w:tc>
        <w:tc>
          <w:tcPr>
            <w:tcW w:w="663" w:type="pct"/>
            <w:shd w:val="clear" w:color="auto" w:fill="auto"/>
            <w:hideMark/>
          </w:tcPr>
          <w:p w14:paraId="3546EB4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88,0</w:t>
            </w:r>
          </w:p>
        </w:tc>
        <w:tc>
          <w:tcPr>
            <w:tcW w:w="662" w:type="pct"/>
          </w:tcPr>
          <w:p w14:paraId="7CBDFBD4"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89,0</w:t>
            </w:r>
          </w:p>
        </w:tc>
        <w:tc>
          <w:tcPr>
            <w:tcW w:w="846" w:type="pct"/>
            <w:shd w:val="clear" w:color="auto" w:fill="auto"/>
            <w:hideMark/>
          </w:tcPr>
          <w:p w14:paraId="1F72F4D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w:t>
            </w:r>
          </w:p>
        </w:tc>
        <w:tc>
          <w:tcPr>
            <w:tcW w:w="663" w:type="pct"/>
            <w:shd w:val="clear" w:color="auto" w:fill="auto"/>
            <w:hideMark/>
          </w:tcPr>
          <w:p w14:paraId="1826D90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w:t>
            </w:r>
          </w:p>
        </w:tc>
        <w:tc>
          <w:tcPr>
            <w:tcW w:w="652" w:type="pct"/>
            <w:shd w:val="clear" w:color="auto" w:fill="auto"/>
            <w:noWrap/>
            <w:hideMark/>
          </w:tcPr>
          <w:p w14:paraId="2561D3D7"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w:t>
            </w:r>
          </w:p>
        </w:tc>
      </w:tr>
      <w:tr w:rsidR="0024608F" w:rsidRPr="0062711C" w14:paraId="47513268" w14:textId="77777777" w:rsidTr="0024608F">
        <w:trPr>
          <w:trHeight w:val="224"/>
          <w:jc w:val="center"/>
        </w:trPr>
        <w:tc>
          <w:tcPr>
            <w:tcW w:w="1514" w:type="pct"/>
            <w:shd w:val="clear" w:color="auto" w:fill="auto"/>
            <w:noWrap/>
            <w:vAlign w:val="center"/>
            <w:hideMark/>
          </w:tcPr>
          <w:p w14:paraId="28C34393"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Остали порески приходи</w:t>
            </w:r>
          </w:p>
        </w:tc>
        <w:tc>
          <w:tcPr>
            <w:tcW w:w="663" w:type="pct"/>
            <w:shd w:val="clear" w:color="auto" w:fill="auto"/>
            <w:hideMark/>
          </w:tcPr>
          <w:p w14:paraId="66041B78"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114,0</w:t>
            </w:r>
          </w:p>
        </w:tc>
        <w:tc>
          <w:tcPr>
            <w:tcW w:w="662" w:type="pct"/>
          </w:tcPr>
          <w:p w14:paraId="469EA5DB"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114,5</w:t>
            </w:r>
          </w:p>
        </w:tc>
        <w:tc>
          <w:tcPr>
            <w:tcW w:w="846" w:type="pct"/>
            <w:shd w:val="clear" w:color="auto" w:fill="auto"/>
            <w:hideMark/>
          </w:tcPr>
          <w:p w14:paraId="4F4DA58A"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0,5</w:t>
            </w:r>
          </w:p>
        </w:tc>
        <w:tc>
          <w:tcPr>
            <w:tcW w:w="663" w:type="pct"/>
            <w:shd w:val="clear" w:color="auto" w:fill="auto"/>
            <w:hideMark/>
          </w:tcPr>
          <w:p w14:paraId="70D476F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0,4</w:t>
            </w:r>
          </w:p>
        </w:tc>
        <w:tc>
          <w:tcPr>
            <w:tcW w:w="652" w:type="pct"/>
            <w:shd w:val="clear" w:color="auto" w:fill="auto"/>
            <w:noWrap/>
            <w:hideMark/>
          </w:tcPr>
          <w:p w14:paraId="21E41D9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w:t>
            </w:r>
          </w:p>
        </w:tc>
      </w:tr>
      <w:tr w:rsidR="0024608F" w:rsidRPr="0062711C" w14:paraId="4F055A58" w14:textId="77777777" w:rsidTr="0024608F">
        <w:trPr>
          <w:trHeight w:val="224"/>
          <w:jc w:val="center"/>
        </w:trPr>
        <w:tc>
          <w:tcPr>
            <w:tcW w:w="1514" w:type="pct"/>
            <w:shd w:val="clear" w:color="auto" w:fill="auto"/>
            <w:noWrap/>
            <w:vAlign w:val="center"/>
            <w:hideMark/>
          </w:tcPr>
          <w:p w14:paraId="11078ADD"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Доприноси</w:t>
            </w:r>
          </w:p>
        </w:tc>
        <w:tc>
          <w:tcPr>
            <w:tcW w:w="663" w:type="pct"/>
            <w:shd w:val="clear" w:color="auto" w:fill="auto"/>
            <w:hideMark/>
          </w:tcPr>
          <w:p w14:paraId="6966F3E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1.190,2</w:t>
            </w:r>
          </w:p>
        </w:tc>
        <w:tc>
          <w:tcPr>
            <w:tcW w:w="662" w:type="pct"/>
          </w:tcPr>
          <w:p w14:paraId="2DA8114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1.200,0</w:t>
            </w:r>
          </w:p>
        </w:tc>
        <w:tc>
          <w:tcPr>
            <w:tcW w:w="846" w:type="pct"/>
            <w:shd w:val="clear" w:color="auto" w:fill="auto"/>
            <w:hideMark/>
          </w:tcPr>
          <w:p w14:paraId="23AABBC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9,8</w:t>
            </w:r>
          </w:p>
        </w:tc>
        <w:tc>
          <w:tcPr>
            <w:tcW w:w="663" w:type="pct"/>
            <w:shd w:val="clear" w:color="auto" w:fill="auto"/>
            <w:hideMark/>
          </w:tcPr>
          <w:p w14:paraId="67F1F6D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0,8</w:t>
            </w:r>
          </w:p>
        </w:tc>
        <w:tc>
          <w:tcPr>
            <w:tcW w:w="652" w:type="pct"/>
            <w:shd w:val="clear" w:color="auto" w:fill="auto"/>
            <w:noWrap/>
            <w:hideMark/>
          </w:tcPr>
          <w:p w14:paraId="489674A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13,4</w:t>
            </w:r>
          </w:p>
        </w:tc>
      </w:tr>
      <w:tr w:rsidR="0024608F" w:rsidRPr="0062711C" w14:paraId="670FF5E7" w14:textId="77777777" w:rsidTr="0024608F">
        <w:trPr>
          <w:trHeight w:val="224"/>
          <w:jc w:val="center"/>
        </w:trPr>
        <w:tc>
          <w:tcPr>
            <w:tcW w:w="1514" w:type="pct"/>
            <w:shd w:val="clear" w:color="auto" w:fill="auto"/>
            <w:noWrap/>
            <w:vAlign w:val="center"/>
            <w:hideMark/>
          </w:tcPr>
          <w:p w14:paraId="1B67C69A"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Непорески приходи</w:t>
            </w:r>
          </w:p>
        </w:tc>
        <w:tc>
          <w:tcPr>
            <w:tcW w:w="663" w:type="pct"/>
            <w:shd w:val="clear" w:color="auto" w:fill="auto"/>
            <w:hideMark/>
          </w:tcPr>
          <w:p w14:paraId="773AB33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386,5</w:t>
            </w:r>
          </w:p>
        </w:tc>
        <w:tc>
          <w:tcPr>
            <w:tcW w:w="662" w:type="pct"/>
          </w:tcPr>
          <w:p w14:paraId="21FB65A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391,8</w:t>
            </w:r>
          </w:p>
        </w:tc>
        <w:tc>
          <w:tcPr>
            <w:tcW w:w="846" w:type="pct"/>
            <w:shd w:val="clear" w:color="auto" w:fill="auto"/>
            <w:hideMark/>
          </w:tcPr>
          <w:p w14:paraId="4477BBEB"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5,3</w:t>
            </w:r>
          </w:p>
        </w:tc>
        <w:tc>
          <w:tcPr>
            <w:tcW w:w="663" w:type="pct"/>
            <w:shd w:val="clear" w:color="auto" w:fill="auto"/>
            <w:hideMark/>
          </w:tcPr>
          <w:p w14:paraId="4070F0B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1,4</w:t>
            </w:r>
          </w:p>
        </w:tc>
        <w:tc>
          <w:tcPr>
            <w:tcW w:w="652" w:type="pct"/>
            <w:shd w:val="clear" w:color="auto" w:fill="auto"/>
            <w:noWrap/>
            <w:hideMark/>
          </w:tcPr>
          <w:p w14:paraId="47CEE40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4,4</w:t>
            </w:r>
          </w:p>
        </w:tc>
      </w:tr>
      <w:tr w:rsidR="0024608F" w:rsidRPr="0062711C" w14:paraId="6F8328A1" w14:textId="77777777" w:rsidTr="0024608F">
        <w:trPr>
          <w:trHeight w:val="224"/>
          <w:jc w:val="center"/>
        </w:trPr>
        <w:tc>
          <w:tcPr>
            <w:tcW w:w="1514" w:type="pct"/>
            <w:shd w:val="clear" w:color="auto" w:fill="auto"/>
            <w:noWrap/>
            <w:vAlign w:val="center"/>
            <w:hideMark/>
          </w:tcPr>
          <w:p w14:paraId="6A5992AE"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Донације</w:t>
            </w:r>
          </w:p>
        </w:tc>
        <w:tc>
          <w:tcPr>
            <w:tcW w:w="663" w:type="pct"/>
            <w:shd w:val="clear" w:color="auto" w:fill="auto"/>
            <w:hideMark/>
          </w:tcPr>
          <w:p w14:paraId="095D0F68"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39,1</w:t>
            </w:r>
          </w:p>
        </w:tc>
        <w:tc>
          <w:tcPr>
            <w:tcW w:w="662" w:type="pct"/>
          </w:tcPr>
          <w:p w14:paraId="5224B55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39,1</w:t>
            </w:r>
          </w:p>
        </w:tc>
        <w:tc>
          <w:tcPr>
            <w:tcW w:w="846" w:type="pct"/>
            <w:shd w:val="clear" w:color="auto" w:fill="auto"/>
            <w:hideMark/>
          </w:tcPr>
          <w:p w14:paraId="654E8D8B"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shd w:val="clear" w:color="auto" w:fill="auto"/>
            <w:hideMark/>
          </w:tcPr>
          <w:p w14:paraId="119908C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52" w:type="pct"/>
            <w:shd w:val="clear" w:color="auto" w:fill="auto"/>
            <w:noWrap/>
            <w:hideMark/>
          </w:tcPr>
          <w:p w14:paraId="36F1A63C"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0,4</w:t>
            </w:r>
          </w:p>
        </w:tc>
      </w:tr>
      <w:tr w:rsidR="0024608F" w:rsidRPr="0062711C" w14:paraId="300F1B84" w14:textId="77777777" w:rsidTr="0024608F">
        <w:trPr>
          <w:trHeight w:val="224"/>
          <w:jc w:val="center"/>
        </w:trPr>
        <w:tc>
          <w:tcPr>
            <w:tcW w:w="1514" w:type="pct"/>
            <w:shd w:val="clear" w:color="auto" w:fill="E7E6E6" w:themeFill="background2"/>
            <w:noWrap/>
            <w:vAlign w:val="center"/>
            <w:hideMark/>
          </w:tcPr>
          <w:p w14:paraId="15BAAAB7" w14:textId="77777777" w:rsidR="0024608F" w:rsidRPr="0062711C" w:rsidRDefault="0024608F" w:rsidP="00D500A7">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ЈАВНИ РАСХОДИ</w:t>
            </w:r>
          </w:p>
        </w:tc>
        <w:tc>
          <w:tcPr>
            <w:tcW w:w="663" w:type="pct"/>
            <w:shd w:val="clear" w:color="auto" w:fill="E7E6E6" w:themeFill="background2"/>
            <w:hideMark/>
          </w:tcPr>
          <w:p w14:paraId="3533FCA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3.953,1</w:t>
            </w:r>
          </w:p>
        </w:tc>
        <w:tc>
          <w:tcPr>
            <w:tcW w:w="662" w:type="pct"/>
            <w:shd w:val="clear" w:color="auto" w:fill="E7E6E6" w:themeFill="background2"/>
          </w:tcPr>
          <w:p w14:paraId="266F97A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4.020,0</w:t>
            </w:r>
          </w:p>
        </w:tc>
        <w:tc>
          <w:tcPr>
            <w:tcW w:w="846" w:type="pct"/>
            <w:shd w:val="clear" w:color="auto" w:fill="E7E6E6" w:themeFill="background2"/>
            <w:hideMark/>
          </w:tcPr>
          <w:p w14:paraId="2219185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66,9</w:t>
            </w:r>
          </w:p>
        </w:tc>
        <w:tc>
          <w:tcPr>
            <w:tcW w:w="663" w:type="pct"/>
            <w:shd w:val="clear" w:color="auto" w:fill="E7E6E6" w:themeFill="background2"/>
            <w:hideMark/>
          </w:tcPr>
          <w:p w14:paraId="37C6959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1,7</w:t>
            </w:r>
          </w:p>
        </w:tc>
        <w:tc>
          <w:tcPr>
            <w:tcW w:w="652" w:type="pct"/>
            <w:shd w:val="clear" w:color="auto" w:fill="E7E6E6" w:themeFill="background2"/>
            <w:noWrap/>
            <w:hideMark/>
          </w:tcPr>
          <w:p w14:paraId="5864DA14"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44,9</w:t>
            </w:r>
          </w:p>
        </w:tc>
      </w:tr>
      <w:tr w:rsidR="0024608F" w:rsidRPr="0062711C" w14:paraId="068259C9" w14:textId="77777777" w:rsidTr="0024608F">
        <w:trPr>
          <w:trHeight w:val="224"/>
          <w:jc w:val="center"/>
        </w:trPr>
        <w:tc>
          <w:tcPr>
            <w:tcW w:w="1514" w:type="pct"/>
            <w:shd w:val="clear" w:color="auto" w:fill="auto"/>
            <w:noWrap/>
            <w:vAlign w:val="center"/>
            <w:hideMark/>
          </w:tcPr>
          <w:p w14:paraId="4E9F6028"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Текући расходи</w:t>
            </w:r>
          </w:p>
        </w:tc>
        <w:tc>
          <w:tcPr>
            <w:tcW w:w="663" w:type="pct"/>
            <w:shd w:val="clear" w:color="auto" w:fill="auto"/>
            <w:hideMark/>
          </w:tcPr>
          <w:p w14:paraId="5338CA2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3.283,5</w:t>
            </w:r>
          </w:p>
        </w:tc>
        <w:tc>
          <w:tcPr>
            <w:tcW w:w="662" w:type="pct"/>
          </w:tcPr>
          <w:p w14:paraId="44AF2789" w14:textId="564978F4" w:rsidR="0024608F" w:rsidRPr="0062711C" w:rsidRDefault="0024608F" w:rsidP="00BC5E2E">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w:t>
            </w:r>
            <w:r w:rsidR="00BC5E2E" w:rsidRPr="0062711C">
              <w:rPr>
                <w:rFonts w:eastAsia="MS PGothic" w:cstheme="minorHAnsi"/>
                <w:color w:val="002060"/>
                <w:sz w:val="16"/>
                <w:szCs w:val="16"/>
                <w:lang w:val="sr-Cyrl-RS" w:eastAsia="ja-JP"/>
              </w:rPr>
              <w:t>318,1</w:t>
            </w:r>
          </w:p>
        </w:tc>
        <w:tc>
          <w:tcPr>
            <w:tcW w:w="846" w:type="pct"/>
            <w:shd w:val="clear" w:color="auto" w:fill="auto"/>
            <w:hideMark/>
          </w:tcPr>
          <w:p w14:paraId="0E8C7A8E"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34,6</w:t>
            </w:r>
          </w:p>
        </w:tc>
        <w:tc>
          <w:tcPr>
            <w:tcW w:w="663" w:type="pct"/>
            <w:shd w:val="clear" w:color="auto" w:fill="auto"/>
            <w:hideMark/>
          </w:tcPr>
          <w:p w14:paraId="3E464D8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w:t>
            </w:r>
          </w:p>
        </w:tc>
        <w:tc>
          <w:tcPr>
            <w:tcW w:w="652" w:type="pct"/>
            <w:shd w:val="clear" w:color="auto" w:fill="auto"/>
            <w:noWrap/>
            <w:hideMark/>
          </w:tcPr>
          <w:p w14:paraId="2A186FB6"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37,1</w:t>
            </w:r>
          </w:p>
        </w:tc>
      </w:tr>
      <w:tr w:rsidR="0024608F" w:rsidRPr="0062711C" w14:paraId="570A4058" w14:textId="77777777" w:rsidTr="0024608F">
        <w:trPr>
          <w:trHeight w:val="224"/>
          <w:jc w:val="center"/>
        </w:trPr>
        <w:tc>
          <w:tcPr>
            <w:tcW w:w="1514" w:type="pct"/>
            <w:shd w:val="clear" w:color="auto" w:fill="auto"/>
            <w:noWrap/>
            <w:vAlign w:val="center"/>
            <w:hideMark/>
          </w:tcPr>
          <w:p w14:paraId="51BB1E21"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Расходи за запослене</w:t>
            </w:r>
          </w:p>
        </w:tc>
        <w:tc>
          <w:tcPr>
            <w:tcW w:w="663" w:type="pct"/>
            <w:shd w:val="clear" w:color="auto" w:fill="auto"/>
            <w:hideMark/>
          </w:tcPr>
          <w:p w14:paraId="127FB4FA"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890,7</w:t>
            </w:r>
          </w:p>
        </w:tc>
        <w:tc>
          <w:tcPr>
            <w:tcW w:w="662" w:type="pct"/>
          </w:tcPr>
          <w:p w14:paraId="484E9E4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900,7</w:t>
            </w:r>
          </w:p>
        </w:tc>
        <w:tc>
          <w:tcPr>
            <w:tcW w:w="846" w:type="pct"/>
            <w:shd w:val="clear" w:color="auto" w:fill="auto"/>
            <w:hideMark/>
          </w:tcPr>
          <w:p w14:paraId="0B1A0FB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10,1</w:t>
            </w:r>
          </w:p>
        </w:tc>
        <w:tc>
          <w:tcPr>
            <w:tcW w:w="663" w:type="pct"/>
            <w:shd w:val="clear" w:color="auto" w:fill="auto"/>
            <w:hideMark/>
          </w:tcPr>
          <w:p w14:paraId="01DA7D4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w:t>
            </w:r>
          </w:p>
        </w:tc>
        <w:tc>
          <w:tcPr>
            <w:tcW w:w="652" w:type="pct"/>
            <w:shd w:val="clear" w:color="auto" w:fill="auto"/>
            <w:noWrap/>
            <w:hideMark/>
          </w:tcPr>
          <w:p w14:paraId="36041E46"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10,1</w:t>
            </w:r>
          </w:p>
        </w:tc>
      </w:tr>
      <w:tr w:rsidR="0024608F" w:rsidRPr="0062711C" w14:paraId="7594A054" w14:textId="77777777" w:rsidTr="0024608F">
        <w:trPr>
          <w:trHeight w:val="224"/>
          <w:jc w:val="center"/>
        </w:trPr>
        <w:tc>
          <w:tcPr>
            <w:tcW w:w="1514" w:type="pct"/>
            <w:shd w:val="clear" w:color="auto" w:fill="auto"/>
            <w:noWrap/>
            <w:vAlign w:val="center"/>
            <w:hideMark/>
          </w:tcPr>
          <w:p w14:paraId="3F534370"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Куповина робе и услуга</w:t>
            </w:r>
          </w:p>
        </w:tc>
        <w:tc>
          <w:tcPr>
            <w:tcW w:w="663" w:type="pct"/>
            <w:shd w:val="clear" w:color="auto" w:fill="auto"/>
            <w:hideMark/>
          </w:tcPr>
          <w:p w14:paraId="784F06DC"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672,6</w:t>
            </w:r>
          </w:p>
        </w:tc>
        <w:tc>
          <w:tcPr>
            <w:tcW w:w="662" w:type="pct"/>
          </w:tcPr>
          <w:p w14:paraId="0AC72AB3" w14:textId="293A1CC6"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672</w:t>
            </w:r>
            <w:r w:rsidR="0024608F" w:rsidRPr="0062711C">
              <w:rPr>
                <w:rFonts w:eastAsia="MS PGothic" w:cstheme="minorHAnsi"/>
                <w:color w:val="002060"/>
                <w:sz w:val="16"/>
                <w:szCs w:val="16"/>
                <w:lang w:val="sr-Cyrl-RS" w:eastAsia="ja-JP"/>
              </w:rPr>
              <w:t>,6</w:t>
            </w:r>
          </w:p>
        </w:tc>
        <w:tc>
          <w:tcPr>
            <w:tcW w:w="846" w:type="pct"/>
            <w:shd w:val="clear" w:color="auto" w:fill="auto"/>
            <w:hideMark/>
          </w:tcPr>
          <w:p w14:paraId="15BDC36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shd w:val="clear" w:color="auto" w:fill="auto"/>
            <w:hideMark/>
          </w:tcPr>
          <w:p w14:paraId="2BFE5755"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52" w:type="pct"/>
            <w:shd w:val="clear" w:color="auto" w:fill="auto"/>
            <w:noWrap/>
            <w:hideMark/>
          </w:tcPr>
          <w:p w14:paraId="57691698"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7,5</w:t>
            </w:r>
          </w:p>
        </w:tc>
      </w:tr>
      <w:tr w:rsidR="0024608F" w:rsidRPr="0062711C" w14:paraId="0F27993D" w14:textId="77777777" w:rsidTr="0024608F">
        <w:trPr>
          <w:trHeight w:val="224"/>
          <w:jc w:val="center"/>
        </w:trPr>
        <w:tc>
          <w:tcPr>
            <w:tcW w:w="1514" w:type="pct"/>
            <w:shd w:val="clear" w:color="auto" w:fill="auto"/>
            <w:noWrap/>
            <w:vAlign w:val="center"/>
            <w:hideMark/>
          </w:tcPr>
          <w:p w14:paraId="61D7B1EC"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Отплата камата</w:t>
            </w:r>
          </w:p>
        </w:tc>
        <w:tc>
          <w:tcPr>
            <w:tcW w:w="663" w:type="pct"/>
            <w:shd w:val="clear" w:color="auto" w:fill="auto"/>
            <w:hideMark/>
          </w:tcPr>
          <w:p w14:paraId="2AD18ADE" w14:textId="720D547E"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186,0</w:t>
            </w:r>
          </w:p>
        </w:tc>
        <w:tc>
          <w:tcPr>
            <w:tcW w:w="662" w:type="pct"/>
          </w:tcPr>
          <w:p w14:paraId="43C94236"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186,0</w:t>
            </w:r>
          </w:p>
        </w:tc>
        <w:tc>
          <w:tcPr>
            <w:tcW w:w="846" w:type="pct"/>
            <w:shd w:val="clear" w:color="auto" w:fill="auto"/>
            <w:hideMark/>
          </w:tcPr>
          <w:p w14:paraId="1AFDEA1C" w14:textId="5587C522"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shd w:val="clear" w:color="auto" w:fill="auto"/>
            <w:hideMark/>
          </w:tcPr>
          <w:p w14:paraId="1A0AFB8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52" w:type="pct"/>
            <w:shd w:val="clear" w:color="auto" w:fill="auto"/>
            <w:noWrap/>
            <w:hideMark/>
          </w:tcPr>
          <w:p w14:paraId="325F5AB5"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2,1</w:t>
            </w:r>
          </w:p>
        </w:tc>
      </w:tr>
      <w:tr w:rsidR="0024608F" w:rsidRPr="0062711C" w14:paraId="2770FAFE" w14:textId="77777777" w:rsidTr="0024608F">
        <w:trPr>
          <w:trHeight w:val="224"/>
          <w:jc w:val="center"/>
        </w:trPr>
        <w:tc>
          <w:tcPr>
            <w:tcW w:w="1514" w:type="pct"/>
            <w:shd w:val="clear" w:color="auto" w:fill="auto"/>
            <w:noWrap/>
            <w:vAlign w:val="center"/>
            <w:hideMark/>
          </w:tcPr>
          <w:p w14:paraId="7D2E7792"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Субвенције</w:t>
            </w:r>
          </w:p>
        </w:tc>
        <w:tc>
          <w:tcPr>
            <w:tcW w:w="663" w:type="pct"/>
            <w:shd w:val="clear" w:color="auto" w:fill="auto"/>
            <w:hideMark/>
          </w:tcPr>
          <w:p w14:paraId="7AAE2800" w14:textId="22949D5A"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210,0</w:t>
            </w:r>
          </w:p>
        </w:tc>
        <w:tc>
          <w:tcPr>
            <w:tcW w:w="662" w:type="pct"/>
          </w:tcPr>
          <w:p w14:paraId="064193E5" w14:textId="7ECA611A"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210</w:t>
            </w:r>
            <w:r w:rsidR="0024608F" w:rsidRPr="0062711C">
              <w:rPr>
                <w:rFonts w:eastAsia="MS PGothic" w:cstheme="minorHAnsi"/>
                <w:color w:val="002060"/>
                <w:sz w:val="16"/>
                <w:szCs w:val="16"/>
                <w:lang w:val="sr-Cyrl-RS" w:eastAsia="ja-JP"/>
              </w:rPr>
              <w:t>,0</w:t>
            </w:r>
          </w:p>
        </w:tc>
        <w:tc>
          <w:tcPr>
            <w:tcW w:w="846" w:type="pct"/>
            <w:shd w:val="clear" w:color="auto" w:fill="auto"/>
            <w:hideMark/>
          </w:tcPr>
          <w:p w14:paraId="1CD37077" w14:textId="584473C1"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shd w:val="clear" w:color="auto" w:fill="auto"/>
            <w:hideMark/>
          </w:tcPr>
          <w:p w14:paraId="768E488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52" w:type="pct"/>
            <w:shd w:val="clear" w:color="auto" w:fill="auto"/>
            <w:noWrap/>
            <w:hideMark/>
          </w:tcPr>
          <w:p w14:paraId="4B80CE2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2,3</w:t>
            </w:r>
          </w:p>
        </w:tc>
      </w:tr>
      <w:tr w:rsidR="0024608F" w:rsidRPr="0062711C" w14:paraId="279A1283" w14:textId="77777777" w:rsidTr="0024608F">
        <w:trPr>
          <w:trHeight w:val="224"/>
          <w:jc w:val="center"/>
        </w:trPr>
        <w:tc>
          <w:tcPr>
            <w:tcW w:w="1514" w:type="pct"/>
            <w:shd w:val="clear" w:color="auto" w:fill="auto"/>
            <w:noWrap/>
            <w:vAlign w:val="center"/>
            <w:hideMark/>
          </w:tcPr>
          <w:p w14:paraId="3459B9CA"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Социјална помоћ и трансфери</w:t>
            </w:r>
          </w:p>
        </w:tc>
        <w:tc>
          <w:tcPr>
            <w:tcW w:w="663" w:type="pct"/>
            <w:shd w:val="clear" w:color="auto" w:fill="auto"/>
            <w:hideMark/>
          </w:tcPr>
          <w:p w14:paraId="71395A37"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1.212,5</w:t>
            </w:r>
          </w:p>
        </w:tc>
        <w:tc>
          <w:tcPr>
            <w:tcW w:w="662" w:type="pct"/>
          </w:tcPr>
          <w:p w14:paraId="4046D608"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1.234,7</w:t>
            </w:r>
          </w:p>
        </w:tc>
        <w:tc>
          <w:tcPr>
            <w:tcW w:w="846" w:type="pct"/>
            <w:shd w:val="clear" w:color="auto" w:fill="auto"/>
            <w:hideMark/>
          </w:tcPr>
          <w:p w14:paraId="788DDA07"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22,2</w:t>
            </w:r>
          </w:p>
        </w:tc>
        <w:tc>
          <w:tcPr>
            <w:tcW w:w="663" w:type="pct"/>
            <w:shd w:val="clear" w:color="auto" w:fill="auto"/>
            <w:hideMark/>
          </w:tcPr>
          <w:p w14:paraId="74F238AC"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w:t>
            </w:r>
          </w:p>
        </w:tc>
        <w:tc>
          <w:tcPr>
            <w:tcW w:w="652" w:type="pct"/>
            <w:shd w:val="clear" w:color="auto" w:fill="auto"/>
            <w:noWrap/>
            <w:hideMark/>
          </w:tcPr>
          <w:p w14:paraId="0B7521B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13,8</w:t>
            </w:r>
          </w:p>
        </w:tc>
      </w:tr>
      <w:tr w:rsidR="0024608F" w:rsidRPr="0062711C" w14:paraId="095B25F4" w14:textId="77777777" w:rsidTr="0024608F">
        <w:trPr>
          <w:trHeight w:val="224"/>
          <w:jc w:val="center"/>
        </w:trPr>
        <w:tc>
          <w:tcPr>
            <w:tcW w:w="1514" w:type="pct"/>
            <w:shd w:val="clear" w:color="auto" w:fill="auto"/>
            <w:noWrap/>
            <w:vAlign w:val="center"/>
            <w:hideMark/>
          </w:tcPr>
          <w:p w14:paraId="5CC5008F" w14:textId="77777777" w:rsidR="0024608F" w:rsidRPr="0062711C" w:rsidRDefault="0024608F" w:rsidP="00D500A7">
            <w:pPr>
              <w:spacing w:after="0" w:line="240" w:lineRule="auto"/>
              <w:jc w:val="left"/>
              <w:rPr>
                <w:rFonts w:eastAsia="MS PGothic" w:cstheme="minorHAnsi"/>
                <w:i/>
                <w:color w:val="002060"/>
                <w:sz w:val="16"/>
                <w:szCs w:val="16"/>
                <w:lang w:val="sr-Cyrl-RS" w:eastAsia="ja-JP"/>
              </w:rPr>
            </w:pPr>
            <w:r w:rsidRPr="0062711C">
              <w:rPr>
                <w:rFonts w:eastAsia="MS PGothic" w:cstheme="minorHAnsi"/>
                <w:i/>
                <w:color w:val="002060"/>
                <w:sz w:val="16"/>
                <w:szCs w:val="16"/>
                <w:lang w:val="sr-Cyrl-RS" w:eastAsia="ja-JP"/>
              </w:rPr>
              <w:t>од чега пензије</w:t>
            </w:r>
          </w:p>
        </w:tc>
        <w:tc>
          <w:tcPr>
            <w:tcW w:w="663" w:type="pct"/>
            <w:shd w:val="clear" w:color="auto" w:fill="auto"/>
            <w:hideMark/>
          </w:tcPr>
          <w:p w14:paraId="0CB3470B" w14:textId="77777777" w:rsidR="0024608F" w:rsidRPr="0062711C" w:rsidRDefault="0024608F" w:rsidP="00D500A7">
            <w:pPr>
              <w:spacing w:after="0" w:line="240" w:lineRule="auto"/>
              <w:jc w:val="right"/>
              <w:rPr>
                <w:rFonts w:eastAsia="MS PGothic" w:cstheme="minorHAnsi"/>
                <w:i/>
                <w:color w:val="002060"/>
                <w:sz w:val="16"/>
                <w:szCs w:val="16"/>
                <w:lang w:val="sr-Cyrl-RS" w:eastAsia="ja-JP"/>
              </w:rPr>
            </w:pPr>
            <w:r w:rsidRPr="0062711C">
              <w:rPr>
                <w:rFonts w:eastAsia="MS PGothic" w:cstheme="minorHAnsi"/>
                <w:i/>
                <w:color w:val="002060"/>
                <w:sz w:val="16"/>
                <w:szCs w:val="16"/>
                <w:lang w:val="sr-Cyrl-RS" w:eastAsia="ja-JP"/>
              </w:rPr>
              <w:t>926,7</w:t>
            </w:r>
          </w:p>
        </w:tc>
        <w:tc>
          <w:tcPr>
            <w:tcW w:w="662" w:type="pct"/>
          </w:tcPr>
          <w:p w14:paraId="54B92359" w14:textId="77777777" w:rsidR="0024608F" w:rsidRPr="0062711C" w:rsidRDefault="0024608F" w:rsidP="00D500A7">
            <w:pPr>
              <w:spacing w:after="0" w:line="240" w:lineRule="auto"/>
              <w:jc w:val="right"/>
              <w:rPr>
                <w:rFonts w:eastAsia="MS PGothic" w:cstheme="minorHAnsi"/>
                <w:i/>
                <w:color w:val="002060"/>
                <w:sz w:val="16"/>
                <w:szCs w:val="16"/>
                <w:lang w:val="sr-Cyrl-RS" w:eastAsia="ja-JP"/>
              </w:rPr>
            </w:pPr>
            <w:r w:rsidRPr="0062711C">
              <w:rPr>
                <w:rFonts w:eastAsia="MS PGothic" w:cstheme="minorHAnsi"/>
                <w:i/>
                <w:color w:val="002060"/>
                <w:sz w:val="16"/>
                <w:szCs w:val="16"/>
                <w:lang w:val="sr-Cyrl-RS" w:eastAsia="ja-JP"/>
              </w:rPr>
              <w:t>926,7</w:t>
            </w:r>
          </w:p>
        </w:tc>
        <w:tc>
          <w:tcPr>
            <w:tcW w:w="846" w:type="pct"/>
            <w:shd w:val="clear" w:color="auto" w:fill="auto"/>
            <w:hideMark/>
          </w:tcPr>
          <w:p w14:paraId="5D8DE991" w14:textId="77777777" w:rsidR="0024608F" w:rsidRPr="0062711C" w:rsidRDefault="0024608F" w:rsidP="00D500A7">
            <w:pPr>
              <w:spacing w:after="0" w:line="240" w:lineRule="auto"/>
              <w:jc w:val="right"/>
              <w:rPr>
                <w:rFonts w:eastAsia="MS PGothic" w:cstheme="minorHAnsi"/>
                <w:i/>
                <w:color w:val="002060"/>
                <w:sz w:val="16"/>
                <w:szCs w:val="16"/>
                <w:lang w:val="sr-Cyrl-RS" w:eastAsia="ja-JP"/>
              </w:rPr>
            </w:pPr>
            <w:r w:rsidRPr="0062711C">
              <w:rPr>
                <w:rFonts w:eastAsia="MS PGothic" w:cstheme="minorHAnsi"/>
                <w:i/>
                <w:color w:val="002060"/>
                <w:sz w:val="16"/>
                <w:szCs w:val="16"/>
                <w:lang w:val="sr-Cyrl-RS" w:eastAsia="ja-JP"/>
              </w:rPr>
              <w:t>0,0</w:t>
            </w:r>
          </w:p>
        </w:tc>
        <w:tc>
          <w:tcPr>
            <w:tcW w:w="663" w:type="pct"/>
            <w:shd w:val="clear" w:color="auto" w:fill="auto"/>
            <w:hideMark/>
          </w:tcPr>
          <w:p w14:paraId="28465085" w14:textId="77777777" w:rsidR="0024608F" w:rsidRPr="0062711C" w:rsidRDefault="0024608F" w:rsidP="00D500A7">
            <w:pPr>
              <w:spacing w:after="0" w:line="240" w:lineRule="auto"/>
              <w:jc w:val="right"/>
              <w:rPr>
                <w:rFonts w:eastAsia="MS PGothic" w:cstheme="minorHAnsi"/>
                <w:i/>
                <w:color w:val="002060"/>
                <w:sz w:val="16"/>
                <w:szCs w:val="16"/>
                <w:lang w:val="sr-Cyrl-RS" w:eastAsia="ja-JP"/>
              </w:rPr>
            </w:pPr>
            <w:r w:rsidRPr="0062711C">
              <w:rPr>
                <w:rFonts w:eastAsia="MS PGothic" w:cstheme="minorHAnsi"/>
                <w:i/>
                <w:color w:val="002060"/>
                <w:sz w:val="16"/>
                <w:szCs w:val="16"/>
                <w:lang w:val="sr-Cyrl-RS" w:eastAsia="ja-JP"/>
              </w:rPr>
              <w:t>0,0</w:t>
            </w:r>
          </w:p>
        </w:tc>
        <w:tc>
          <w:tcPr>
            <w:tcW w:w="652" w:type="pct"/>
            <w:shd w:val="clear" w:color="auto" w:fill="auto"/>
            <w:noWrap/>
            <w:hideMark/>
          </w:tcPr>
          <w:p w14:paraId="2C8BC6EC" w14:textId="77777777" w:rsidR="0024608F" w:rsidRPr="0062711C" w:rsidRDefault="0024608F" w:rsidP="00D500A7">
            <w:pPr>
              <w:spacing w:after="0" w:line="240" w:lineRule="auto"/>
              <w:jc w:val="right"/>
              <w:rPr>
                <w:rFonts w:eastAsia="MS PGothic" w:cstheme="minorHAnsi"/>
                <w:i/>
                <w:color w:val="002060"/>
                <w:sz w:val="16"/>
                <w:szCs w:val="16"/>
                <w:lang w:val="sr-Cyrl-RS" w:eastAsia="ja-JP"/>
              </w:rPr>
            </w:pPr>
            <w:r w:rsidRPr="0062711C">
              <w:rPr>
                <w:rFonts w:eastAsia="MS PGothic" w:cstheme="minorHAnsi"/>
                <w:i/>
                <w:color w:val="002060"/>
                <w:sz w:val="16"/>
                <w:szCs w:val="16"/>
                <w:lang w:val="sr-Cyrl-RS" w:eastAsia="ja-JP"/>
              </w:rPr>
              <w:t>10,4</w:t>
            </w:r>
          </w:p>
        </w:tc>
      </w:tr>
      <w:tr w:rsidR="0024608F" w:rsidRPr="0062711C" w14:paraId="0AD10015" w14:textId="77777777" w:rsidTr="0024608F">
        <w:trPr>
          <w:trHeight w:val="224"/>
          <w:jc w:val="center"/>
        </w:trPr>
        <w:tc>
          <w:tcPr>
            <w:tcW w:w="1514" w:type="pct"/>
            <w:shd w:val="clear" w:color="auto" w:fill="auto"/>
            <w:noWrap/>
            <w:vAlign w:val="center"/>
            <w:hideMark/>
          </w:tcPr>
          <w:p w14:paraId="08CBA96E"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Остали текући расходи</w:t>
            </w:r>
          </w:p>
        </w:tc>
        <w:tc>
          <w:tcPr>
            <w:tcW w:w="663" w:type="pct"/>
            <w:shd w:val="clear" w:color="auto" w:fill="auto"/>
            <w:hideMark/>
          </w:tcPr>
          <w:p w14:paraId="082FA5C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111,9</w:t>
            </w:r>
          </w:p>
        </w:tc>
        <w:tc>
          <w:tcPr>
            <w:tcW w:w="662" w:type="pct"/>
          </w:tcPr>
          <w:p w14:paraId="26F6607D" w14:textId="2BE85229"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114</w:t>
            </w:r>
            <w:r w:rsidR="0024608F" w:rsidRPr="0062711C">
              <w:rPr>
                <w:rFonts w:eastAsia="MS PGothic" w:cstheme="minorHAnsi"/>
                <w:color w:val="002060"/>
                <w:sz w:val="16"/>
                <w:szCs w:val="16"/>
                <w:lang w:val="sr-Cyrl-RS" w:eastAsia="ja-JP"/>
              </w:rPr>
              <w:t>,1</w:t>
            </w:r>
          </w:p>
        </w:tc>
        <w:tc>
          <w:tcPr>
            <w:tcW w:w="846" w:type="pct"/>
            <w:shd w:val="clear" w:color="auto" w:fill="auto"/>
            <w:hideMark/>
          </w:tcPr>
          <w:p w14:paraId="54E0558E"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w:t>
            </w:r>
          </w:p>
        </w:tc>
        <w:tc>
          <w:tcPr>
            <w:tcW w:w="663" w:type="pct"/>
            <w:shd w:val="clear" w:color="auto" w:fill="auto"/>
            <w:hideMark/>
          </w:tcPr>
          <w:p w14:paraId="3D3F00A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w:t>
            </w:r>
          </w:p>
        </w:tc>
        <w:tc>
          <w:tcPr>
            <w:tcW w:w="652" w:type="pct"/>
            <w:shd w:val="clear" w:color="auto" w:fill="auto"/>
            <w:noWrap/>
            <w:hideMark/>
          </w:tcPr>
          <w:p w14:paraId="3507E46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w:t>
            </w:r>
          </w:p>
        </w:tc>
      </w:tr>
      <w:tr w:rsidR="0024608F" w:rsidRPr="0062711C" w14:paraId="54271090" w14:textId="77777777" w:rsidTr="0024608F">
        <w:trPr>
          <w:trHeight w:val="224"/>
          <w:jc w:val="center"/>
        </w:trPr>
        <w:tc>
          <w:tcPr>
            <w:tcW w:w="1514" w:type="pct"/>
            <w:shd w:val="clear" w:color="auto" w:fill="auto"/>
            <w:noWrap/>
            <w:vAlign w:val="center"/>
            <w:hideMark/>
          </w:tcPr>
          <w:p w14:paraId="0EFCEADE"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Капитални расходи</w:t>
            </w:r>
          </w:p>
        </w:tc>
        <w:tc>
          <w:tcPr>
            <w:tcW w:w="663" w:type="pct"/>
            <w:shd w:val="clear" w:color="auto" w:fill="auto"/>
            <w:hideMark/>
          </w:tcPr>
          <w:p w14:paraId="17CAF3D5"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595,2</w:t>
            </w:r>
          </w:p>
        </w:tc>
        <w:tc>
          <w:tcPr>
            <w:tcW w:w="662" w:type="pct"/>
          </w:tcPr>
          <w:p w14:paraId="5FF8FA29" w14:textId="45B4B4FB"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652,3</w:t>
            </w:r>
          </w:p>
        </w:tc>
        <w:tc>
          <w:tcPr>
            <w:tcW w:w="846" w:type="pct"/>
            <w:shd w:val="clear" w:color="auto" w:fill="auto"/>
            <w:hideMark/>
          </w:tcPr>
          <w:p w14:paraId="6DA1D12E"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57,1</w:t>
            </w:r>
          </w:p>
        </w:tc>
        <w:tc>
          <w:tcPr>
            <w:tcW w:w="663" w:type="pct"/>
            <w:shd w:val="clear" w:color="auto" w:fill="auto"/>
            <w:hideMark/>
          </w:tcPr>
          <w:p w14:paraId="73E2CD3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9,6</w:t>
            </w:r>
          </w:p>
        </w:tc>
        <w:tc>
          <w:tcPr>
            <w:tcW w:w="652" w:type="pct"/>
            <w:shd w:val="clear" w:color="auto" w:fill="auto"/>
            <w:noWrap/>
            <w:hideMark/>
          </w:tcPr>
          <w:p w14:paraId="5EE6B7D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7,3</w:t>
            </w:r>
          </w:p>
        </w:tc>
      </w:tr>
      <w:tr w:rsidR="0024608F" w:rsidRPr="0062711C" w14:paraId="046762CB" w14:textId="77777777" w:rsidTr="0024608F">
        <w:trPr>
          <w:trHeight w:val="224"/>
          <w:jc w:val="center"/>
        </w:trPr>
        <w:tc>
          <w:tcPr>
            <w:tcW w:w="1514" w:type="pct"/>
            <w:shd w:val="clear" w:color="auto" w:fill="auto"/>
            <w:noWrap/>
            <w:vAlign w:val="center"/>
            <w:hideMark/>
          </w:tcPr>
          <w:p w14:paraId="79B34843"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Нето буџетске позајмице</w:t>
            </w:r>
          </w:p>
        </w:tc>
        <w:tc>
          <w:tcPr>
            <w:tcW w:w="663" w:type="pct"/>
            <w:shd w:val="clear" w:color="auto" w:fill="auto"/>
            <w:hideMark/>
          </w:tcPr>
          <w:p w14:paraId="6DE83E61"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46,9</w:t>
            </w:r>
          </w:p>
        </w:tc>
        <w:tc>
          <w:tcPr>
            <w:tcW w:w="662" w:type="pct"/>
          </w:tcPr>
          <w:p w14:paraId="01ADFBD0" w14:textId="60393C04" w:rsidR="0024608F" w:rsidRPr="0062711C" w:rsidRDefault="00BC5E2E"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20,1</w:t>
            </w:r>
          </w:p>
        </w:tc>
        <w:tc>
          <w:tcPr>
            <w:tcW w:w="846" w:type="pct"/>
            <w:shd w:val="clear" w:color="auto" w:fill="auto"/>
            <w:hideMark/>
          </w:tcPr>
          <w:p w14:paraId="0AA215A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-26,8</w:t>
            </w:r>
          </w:p>
        </w:tc>
        <w:tc>
          <w:tcPr>
            <w:tcW w:w="663" w:type="pct"/>
            <w:shd w:val="clear" w:color="auto" w:fill="auto"/>
            <w:hideMark/>
          </w:tcPr>
          <w:p w14:paraId="07269A1F"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-57,1</w:t>
            </w:r>
          </w:p>
        </w:tc>
        <w:tc>
          <w:tcPr>
            <w:tcW w:w="652" w:type="pct"/>
            <w:shd w:val="clear" w:color="auto" w:fill="auto"/>
            <w:noWrap/>
            <w:hideMark/>
          </w:tcPr>
          <w:p w14:paraId="6EF33C9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0,2</w:t>
            </w:r>
          </w:p>
        </w:tc>
      </w:tr>
      <w:tr w:rsidR="0024608F" w:rsidRPr="0062711C" w14:paraId="0A9290CC" w14:textId="77777777" w:rsidTr="0024608F">
        <w:trPr>
          <w:trHeight w:val="224"/>
          <w:jc w:val="center"/>
        </w:trPr>
        <w:tc>
          <w:tcPr>
            <w:tcW w:w="1514" w:type="pct"/>
            <w:shd w:val="clear" w:color="auto" w:fill="auto"/>
            <w:noWrap/>
            <w:vAlign w:val="center"/>
            <w:hideMark/>
          </w:tcPr>
          <w:p w14:paraId="0D45C9B6" w14:textId="77777777" w:rsidR="0024608F" w:rsidRPr="0062711C" w:rsidRDefault="0024608F" w:rsidP="00D500A7">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Активиране гаранције</w:t>
            </w:r>
          </w:p>
        </w:tc>
        <w:tc>
          <w:tcPr>
            <w:tcW w:w="663" w:type="pct"/>
            <w:shd w:val="clear" w:color="auto" w:fill="auto"/>
            <w:hideMark/>
          </w:tcPr>
          <w:p w14:paraId="4957F4E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27,5</w:t>
            </w:r>
          </w:p>
        </w:tc>
        <w:tc>
          <w:tcPr>
            <w:tcW w:w="662" w:type="pct"/>
          </w:tcPr>
          <w:p w14:paraId="4E5C0F9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29,5</w:t>
            </w:r>
          </w:p>
        </w:tc>
        <w:tc>
          <w:tcPr>
            <w:tcW w:w="846" w:type="pct"/>
            <w:shd w:val="clear" w:color="auto" w:fill="auto"/>
            <w:hideMark/>
          </w:tcPr>
          <w:p w14:paraId="3CCE4E5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2,0</w:t>
            </w:r>
          </w:p>
        </w:tc>
        <w:tc>
          <w:tcPr>
            <w:tcW w:w="663" w:type="pct"/>
            <w:shd w:val="clear" w:color="auto" w:fill="auto"/>
            <w:hideMark/>
          </w:tcPr>
          <w:p w14:paraId="519F8A6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7,3</w:t>
            </w:r>
          </w:p>
        </w:tc>
        <w:tc>
          <w:tcPr>
            <w:tcW w:w="652" w:type="pct"/>
            <w:shd w:val="clear" w:color="auto" w:fill="auto"/>
            <w:noWrap/>
            <w:hideMark/>
          </w:tcPr>
          <w:p w14:paraId="708DCA30"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0,3</w:t>
            </w:r>
          </w:p>
        </w:tc>
      </w:tr>
      <w:tr w:rsidR="0024608F" w:rsidRPr="0062711C" w14:paraId="6046FAEF" w14:textId="77777777" w:rsidTr="0024608F">
        <w:trPr>
          <w:trHeight w:val="224"/>
          <w:jc w:val="center"/>
        </w:trPr>
        <w:tc>
          <w:tcPr>
            <w:tcW w:w="1514" w:type="pct"/>
            <w:shd w:val="clear" w:color="auto" w:fill="E7E6E6" w:themeFill="background2"/>
            <w:noWrap/>
            <w:vAlign w:val="center"/>
            <w:hideMark/>
          </w:tcPr>
          <w:p w14:paraId="33C9913E" w14:textId="77777777" w:rsidR="0024608F" w:rsidRPr="0062711C" w:rsidRDefault="0024608F" w:rsidP="00D500A7">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Резултат</w:t>
            </w:r>
          </w:p>
        </w:tc>
        <w:tc>
          <w:tcPr>
            <w:tcW w:w="663" w:type="pct"/>
            <w:shd w:val="clear" w:color="auto" w:fill="E7E6E6" w:themeFill="background2"/>
            <w:hideMark/>
          </w:tcPr>
          <w:p w14:paraId="56D5B4AA"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-197,0</w:t>
            </w:r>
          </w:p>
        </w:tc>
        <w:tc>
          <w:tcPr>
            <w:tcW w:w="662" w:type="pct"/>
            <w:shd w:val="clear" w:color="auto" w:fill="E7E6E6" w:themeFill="background2"/>
          </w:tcPr>
          <w:p w14:paraId="5F80BFF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-197,0</w:t>
            </w:r>
          </w:p>
        </w:tc>
        <w:tc>
          <w:tcPr>
            <w:tcW w:w="846" w:type="pct"/>
            <w:shd w:val="clear" w:color="auto" w:fill="E7E6E6" w:themeFill="background2"/>
            <w:hideMark/>
          </w:tcPr>
          <w:p w14:paraId="69522BC4"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shd w:val="clear" w:color="auto" w:fill="E7E6E6" w:themeFill="background2"/>
            <w:hideMark/>
          </w:tcPr>
          <w:p w14:paraId="1065FCC3"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p>
        </w:tc>
        <w:tc>
          <w:tcPr>
            <w:tcW w:w="652" w:type="pct"/>
            <w:shd w:val="clear" w:color="auto" w:fill="E7E6E6" w:themeFill="background2"/>
            <w:noWrap/>
            <w:hideMark/>
          </w:tcPr>
          <w:p w14:paraId="339E704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w:t>
            </w:r>
          </w:p>
        </w:tc>
      </w:tr>
      <w:tr w:rsidR="0024608F" w:rsidRPr="0062711C" w14:paraId="0E8DBB00" w14:textId="77777777" w:rsidTr="0024608F">
        <w:trPr>
          <w:trHeight w:val="224"/>
          <w:jc w:val="center"/>
        </w:trPr>
        <w:tc>
          <w:tcPr>
            <w:tcW w:w="1514" w:type="pct"/>
            <w:tcBorders>
              <w:bottom w:val="single" w:sz="4" w:space="0" w:color="002060"/>
            </w:tcBorders>
            <w:shd w:val="clear" w:color="auto" w:fill="auto"/>
            <w:noWrap/>
            <w:vAlign w:val="center"/>
            <w:hideMark/>
          </w:tcPr>
          <w:p w14:paraId="1E158F2C" w14:textId="77777777" w:rsidR="0024608F" w:rsidRPr="0062711C" w:rsidRDefault="0024608F" w:rsidP="00D500A7">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Резултат у % БДП</w:t>
            </w:r>
          </w:p>
        </w:tc>
        <w:tc>
          <w:tcPr>
            <w:tcW w:w="663" w:type="pct"/>
            <w:tcBorders>
              <w:bottom w:val="single" w:sz="4" w:space="0" w:color="002060"/>
            </w:tcBorders>
            <w:shd w:val="clear" w:color="auto" w:fill="auto"/>
            <w:hideMark/>
          </w:tcPr>
          <w:p w14:paraId="3C22577D"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w:t>
            </w:r>
          </w:p>
        </w:tc>
        <w:tc>
          <w:tcPr>
            <w:tcW w:w="662" w:type="pct"/>
            <w:tcBorders>
              <w:bottom w:val="single" w:sz="4" w:space="0" w:color="002060"/>
            </w:tcBorders>
          </w:tcPr>
          <w:p w14:paraId="0C831B59"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w:t>
            </w:r>
          </w:p>
        </w:tc>
        <w:tc>
          <w:tcPr>
            <w:tcW w:w="846" w:type="pct"/>
            <w:tcBorders>
              <w:bottom w:val="single" w:sz="4" w:space="0" w:color="002060"/>
            </w:tcBorders>
            <w:shd w:val="clear" w:color="auto" w:fill="auto"/>
            <w:hideMark/>
          </w:tcPr>
          <w:p w14:paraId="1CBCDD02" w14:textId="77777777" w:rsidR="0024608F" w:rsidRPr="0062711C" w:rsidRDefault="0024608F" w:rsidP="00D500A7">
            <w:pPr>
              <w:spacing w:after="0" w:line="240" w:lineRule="auto"/>
              <w:jc w:val="righ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0,0</w:t>
            </w:r>
          </w:p>
        </w:tc>
        <w:tc>
          <w:tcPr>
            <w:tcW w:w="663" w:type="pct"/>
            <w:tcBorders>
              <w:bottom w:val="single" w:sz="4" w:space="0" w:color="002060"/>
            </w:tcBorders>
            <w:shd w:val="clear" w:color="auto" w:fill="auto"/>
            <w:hideMark/>
          </w:tcPr>
          <w:p w14:paraId="147747A2" w14:textId="77777777" w:rsidR="0024608F" w:rsidRPr="0062711C" w:rsidRDefault="0024608F" w:rsidP="00D500A7">
            <w:pPr>
              <w:spacing w:after="0" w:line="240" w:lineRule="auto"/>
              <w:ind w:right="284"/>
              <w:jc w:val="right"/>
              <w:rPr>
                <w:rFonts w:eastAsia="MS PGothic" w:cstheme="minorHAnsi"/>
                <w:color w:val="002060"/>
                <w:sz w:val="16"/>
                <w:szCs w:val="16"/>
                <w:lang w:val="sr-Cyrl-RS" w:eastAsia="ja-JP"/>
              </w:rPr>
            </w:pPr>
          </w:p>
        </w:tc>
        <w:tc>
          <w:tcPr>
            <w:tcW w:w="652" w:type="pct"/>
            <w:tcBorders>
              <w:bottom w:val="single" w:sz="4" w:space="0" w:color="002060"/>
            </w:tcBorders>
            <w:shd w:val="clear" w:color="auto" w:fill="auto"/>
            <w:hideMark/>
          </w:tcPr>
          <w:p w14:paraId="3F03C447" w14:textId="77777777" w:rsidR="0024608F" w:rsidRPr="0062711C" w:rsidRDefault="0024608F" w:rsidP="00D500A7">
            <w:pPr>
              <w:spacing w:after="0" w:line="240" w:lineRule="auto"/>
              <w:ind w:right="284"/>
              <w:jc w:val="right"/>
              <w:rPr>
                <w:rFonts w:eastAsia="MS PGothic" w:cstheme="minorHAnsi"/>
                <w:color w:val="002060"/>
                <w:sz w:val="16"/>
                <w:szCs w:val="16"/>
                <w:lang w:val="sr-Cyrl-RS" w:eastAsia="ja-JP"/>
              </w:rPr>
            </w:pPr>
          </w:p>
        </w:tc>
      </w:tr>
    </w:tbl>
    <w:p w14:paraId="6E4BB55B" w14:textId="77777777" w:rsidR="0024608F" w:rsidRPr="0062711C" w:rsidRDefault="0024608F" w:rsidP="00D500A7">
      <w:pPr>
        <w:spacing w:after="0" w:line="240" w:lineRule="auto"/>
        <w:jc w:val="left"/>
        <w:rPr>
          <w:rFonts w:cstheme="minorHAnsi"/>
          <w:sz w:val="16"/>
          <w:szCs w:val="16"/>
          <w:lang w:val="sr-Cyrl-RS"/>
        </w:rPr>
      </w:pPr>
      <w:r w:rsidRPr="0062711C">
        <w:rPr>
          <w:rFonts w:eastAsia="Calibri" w:cstheme="minorHAnsi"/>
          <w:bCs/>
          <w:sz w:val="16"/>
          <w:szCs w:val="16"/>
          <w:lang w:val="sr-Cyrl-RS" w:eastAsia="ja-JP"/>
        </w:rPr>
        <w:t xml:space="preserve">Извор: </w:t>
      </w:r>
      <w:r w:rsidRPr="0062711C">
        <w:rPr>
          <w:rFonts w:cstheme="minorHAnsi"/>
          <w:sz w:val="16"/>
          <w:szCs w:val="16"/>
          <w:lang w:val="sr-Cyrl-RS"/>
        </w:rPr>
        <w:t>Министарство финансија</w:t>
      </w:r>
    </w:p>
    <w:p w14:paraId="69795366" w14:textId="77777777" w:rsidR="0024608F" w:rsidRPr="0062711C" w:rsidRDefault="0024608F" w:rsidP="00D500A7">
      <w:pPr>
        <w:spacing w:after="0" w:line="240" w:lineRule="auto"/>
        <w:rPr>
          <w:rFonts w:cstheme="minorHAnsi"/>
          <w:sz w:val="16"/>
          <w:szCs w:val="16"/>
          <w:lang w:val="sr-Cyrl-RS"/>
        </w:rPr>
      </w:pPr>
      <w:r w:rsidRPr="0062711C">
        <w:rPr>
          <w:rFonts w:cstheme="minorHAnsi"/>
          <w:sz w:val="16"/>
          <w:szCs w:val="16"/>
          <w:lang w:val="sr-Cyrl-RS"/>
        </w:rPr>
        <w:t>* Оригинални буџет за 2024. годину је, у сврхе упоредивости са новом проценом за текућу годину, коригован за износе настале проширењем обухвата сектора државе који се односи на укључивање и извештавање о сопственим средствима (приходи и расходи) ванбуџетских корисника (јавне агенције и институти). Укупан обим тих средстава износи 20,2 млрд и на приходној и расходној страни.</w:t>
      </w:r>
    </w:p>
    <w:p w14:paraId="6E816D42" w14:textId="77777777" w:rsidR="0024608F" w:rsidRPr="0062711C" w:rsidRDefault="0024608F" w:rsidP="00D500A7">
      <w:pPr>
        <w:spacing w:after="0" w:line="240" w:lineRule="auto"/>
        <w:rPr>
          <w:rFonts w:cstheme="minorHAnsi"/>
          <w:sz w:val="16"/>
          <w:szCs w:val="16"/>
          <w:lang w:val="sr-Cyrl-RS"/>
        </w:rPr>
      </w:pPr>
    </w:p>
    <w:p w14:paraId="76496AD2" w14:textId="77777777" w:rsidR="0024608F" w:rsidRPr="0062711C" w:rsidRDefault="0024608F" w:rsidP="00D500A7">
      <w:pPr>
        <w:spacing w:after="0" w:line="240" w:lineRule="auto"/>
        <w:jc w:val="left"/>
        <w:rPr>
          <w:rFonts w:cstheme="minorHAnsi"/>
          <w:sz w:val="16"/>
          <w:szCs w:val="16"/>
          <w:lang w:val="sr-Cyrl-RS"/>
        </w:rPr>
        <w:sectPr w:rsidR="0024608F" w:rsidRPr="0062711C" w:rsidSect="00D500A7">
          <w:type w:val="continuous"/>
          <w:pgSz w:w="12240" w:h="15840" w:code="1"/>
          <w:pgMar w:top="1440" w:right="1440" w:bottom="1440" w:left="1440" w:header="720" w:footer="720" w:gutter="0"/>
          <w:cols w:space="720"/>
          <w:docGrid w:linePitch="360"/>
        </w:sectPr>
      </w:pPr>
    </w:p>
    <w:p w14:paraId="7DF0936B" w14:textId="77777777" w:rsidR="0024608F" w:rsidRPr="0062711C" w:rsidRDefault="0024608F">
      <w:pPr>
        <w:jc w:val="left"/>
        <w:rPr>
          <w:rFonts w:eastAsia="MS PGothic" w:cstheme="minorHAnsi"/>
          <w:szCs w:val="20"/>
          <w:lang w:val="sr-Cyrl-RS" w:eastAsia="ja-JP"/>
        </w:rPr>
      </w:pPr>
      <w:r w:rsidRPr="0062711C">
        <w:rPr>
          <w:rFonts w:eastAsia="MS PGothic" w:cstheme="minorHAnsi"/>
          <w:szCs w:val="20"/>
          <w:lang w:val="sr-Cyrl-RS" w:eastAsia="ja-JP"/>
        </w:rPr>
        <w:br w:type="page"/>
      </w:r>
    </w:p>
    <w:p w14:paraId="7993DF37" w14:textId="1515B7DE"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lastRenderedPageBreak/>
        <w:t xml:space="preserve">Пројекција прихода сектора државе овим фискалним оквиром повећана је за 66,9 млрд динара (1,8%) у односу на оригиналну. Највећа апсолутна промена бележи се код пореза на додату вредност док су остали облици </w:t>
      </w:r>
      <w:r w:rsidR="004B7EB2" w:rsidRPr="0062711C">
        <w:rPr>
          <w:rFonts w:eastAsia="MS PGothic" w:cstheme="minorHAnsi"/>
          <w:szCs w:val="20"/>
          <w:lang w:val="sr-Cyrl-RS" w:eastAsia="ja-JP"/>
        </w:rPr>
        <w:t>претрпели</w:t>
      </w:r>
      <w:r w:rsidRPr="0062711C">
        <w:rPr>
          <w:rFonts w:eastAsia="MS PGothic" w:cstheme="minorHAnsi"/>
          <w:szCs w:val="20"/>
          <w:lang w:val="sr-Cyrl-RS" w:eastAsia="ja-JP"/>
        </w:rPr>
        <w:t xml:space="preserve"> мање ревизије или су остали на истом нивоу. Најважнији фактори који су довели до измене у висини и структури прихода сектора државе су:</w:t>
      </w:r>
    </w:p>
    <w:p w14:paraId="38E73498" w14:textId="77777777" w:rsidR="0024608F" w:rsidRPr="0062711C" w:rsidRDefault="0024608F" w:rsidP="00D500A7">
      <w:pPr>
        <w:pStyle w:val="ListParagraph"/>
        <w:widowControl w:val="0"/>
        <w:numPr>
          <w:ilvl w:val="0"/>
          <w:numId w:val="17"/>
        </w:numPr>
        <w:spacing w:after="0"/>
        <w:ind w:left="567" w:hanging="283"/>
        <w:contextualSpacing w:val="0"/>
        <w:rPr>
          <w:rFonts w:eastAsia="MS PGothic" w:cstheme="minorHAnsi"/>
          <w:szCs w:val="20"/>
          <w:lang w:val="sr-Cyrl-RS" w:eastAsia="ja-JP"/>
        </w:rPr>
      </w:pPr>
      <w:r w:rsidRPr="0062711C">
        <w:rPr>
          <w:rFonts w:eastAsia="MS PGothic" w:cstheme="minorHAnsi"/>
          <w:szCs w:val="20"/>
          <w:lang w:val="sr-Cyrl-RS" w:eastAsia="ja-JP"/>
        </w:rPr>
        <w:t>базни ефекат (боље остварење на крају претходне године);</w:t>
      </w:r>
    </w:p>
    <w:p w14:paraId="18D98F8D" w14:textId="77777777" w:rsidR="0024608F" w:rsidRPr="0062711C" w:rsidRDefault="0024608F" w:rsidP="00D500A7">
      <w:pPr>
        <w:pStyle w:val="ListParagraph"/>
        <w:widowControl w:val="0"/>
        <w:numPr>
          <w:ilvl w:val="0"/>
          <w:numId w:val="17"/>
        </w:numPr>
        <w:spacing w:after="120"/>
        <w:ind w:left="567" w:hanging="283"/>
        <w:rPr>
          <w:rFonts w:eastAsia="MS PGothic" w:cstheme="minorHAnsi"/>
          <w:szCs w:val="20"/>
          <w:lang w:val="sr-Cyrl-RS" w:eastAsia="ja-JP"/>
        </w:rPr>
      </w:pPr>
      <w:r w:rsidRPr="0062711C">
        <w:rPr>
          <w:rFonts w:eastAsia="MS PGothic" w:cstheme="minorHAnsi"/>
          <w:szCs w:val="20"/>
          <w:lang w:val="sr-Cyrl-RS" w:eastAsia="ja-JP"/>
        </w:rPr>
        <w:t>бржи раст личне потрошње од предвиђеног;</w:t>
      </w:r>
    </w:p>
    <w:p w14:paraId="6D64D003" w14:textId="77777777" w:rsidR="0024608F" w:rsidRPr="0062711C" w:rsidRDefault="0024608F" w:rsidP="00D500A7">
      <w:pPr>
        <w:pStyle w:val="ListParagraph"/>
        <w:widowControl w:val="0"/>
        <w:numPr>
          <w:ilvl w:val="0"/>
          <w:numId w:val="17"/>
        </w:numPr>
        <w:spacing w:after="120"/>
        <w:ind w:left="567" w:hanging="283"/>
        <w:rPr>
          <w:rFonts w:eastAsia="MS PGothic" w:cstheme="minorHAnsi"/>
          <w:szCs w:val="20"/>
          <w:lang w:val="sr-Cyrl-RS" w:eastAsia="ja-JP"/>
        </w:rPr>
      </w:pPr>
      <w:r w:rsidRPr="0062711C">
        <w:rPr>
          <w:rFonts w:eastAsia="MS PGothic" w:cstheme="minorHAnsi"/>
          <w:szCs w:val="20"/>
          <w:lang w:val="sr-Cyrl-RS" w:eastAsia="ja-JP"/>
        </w:rPr>
        <w:t>снажнији раст наплате редовних непореских прихода, и уплата одређених ванредних и једнократних непореских прихода.</w:t>
      </w:r>
    </w:p>
    <w:p w14:paraId="4F8D0158" w14:textId="77777777"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t>Пројекција прихода од пореза на доходак грађана повећана је за 3,4 млрд динара у односу на буџетски износ, док је пројекција прихода од социјалних доприноса увећана 9,8 млрд динара. Процена пореза на зараде задржана је на нивоу буџетског плана. Претпоставке буџетске пројекције ових прихода, кретања просечних зарада и запослености, током првог квартала 2024. године, су на нивоу очекиваног. У обзир су узете и процене ефеката смањења пореског оптерећења зарада у 2024. години. Процена других прихода, изузев пореза на зараде, који припадају категорији пореза на доходак (порез на дивиденде, порез на приходе од камата, годишњи порез на доходак, порез на приходе од закупа непокретности и др), повећана је за 3,4</w:t>
      </w:r>
      <w:r w:rsidRPr="0062711C">
        <w:rPr>
          <w:rFonts w:eastAsia="MS PGothic" w:cstheme="minorHAnsi"/>
          <w:color w:val="FF0000"/>
          <w:szCs w:val="20"/>
          <w:lang w:val="sr-Cyrl-RS" w:eastAsia="ja-JP"/>
        </w:rPr>
        <w:t xml:space="preserve"> </w:t>
      </w:r>
      <w:r w:rsidRPr="0062711C">
        <w:rPr>
          <w:rFonts w:eastAsia="MS PGothic" w:cstheme="minorHAnsi"/>
          <w:szCs w:val="20"/>
          <w:lang w:val="sr-Cyrl-RS" w:eastAsia="ja-JP"/>
        </w:rPr>
        <w:t>млрд динара, због боље наплате у претходној години.</w:t>
      </w:r>
    </w:p>
    <w:p w14:paraId="6F79695A" w14:textId="77777777" w:rsidR="0024608F" w:rsidRPr="0062711C" w:rsidRDefault="0024608F" w:rsidP="00D500A7">
      <w:pPr>
        <w:widowControl w:val="0"/>
        <w:spacing w:after="120"/>
        <w:rPr>
          <w:rFonts w:eastAsia="MS PGothic" w:cstheme="minorHAnsi"/>
          <w:szCs w:val="20"/>
          <w:lang w:val="sr-Cyrl-RS" w:eastAsia="ja-JP"/>
        </w:rPr>
      </w:pPr>
      <w:r w:rsidRPr="0062711C">
        <w:rPr>
          <w:rFonts w:eastAsia="MS PGothic" w:cstheme="minorHAnsi"/>
          <w:szCs w:val="20"/>
          <w:lang w:val="sr-Cyrl-RS" w:eastAsia="ja-JP"/>
        </w:rPr>
        <w:t>Процена прихода од пореза на добит задржана је на нивоу буџетског плана, имајући у виду да још увек нису познати коначни подаци о профитабилности привреде у 2023. години. Остварење прихода од пореза на добит у првом кварталу превазилази план, међутим тек по подношењу завршних финансијских извештаја, привредна друштва почињу са уплатама пореских обавеза у складу са оствареним резултатима пословања у претходној години.</w:t>
      </w:r>
    </w:p>
    <w:p w14:paraId="1FCBA07A" w14:textId="77777777" w:rsidR="0024608F" w:rsidRPr="0062711C" w:rsidRDefault="0024608F" w:rsidP="00D500A7">
      <w:pPr>
        <w:widowControl w:val="0"/>
        <w:spacing w:after="120"/>
        <w:rPr>
          <w:rFonts w:eastAsia="MS PGothic" w:cstheme="minorHAnsi"/>
          <w:bCs/>
          <w:szCs w:val="20"/>
          <w:lang w:val="sr-Cyrl-RS" w:eastAsia="ja-JP"/>
        </w:rPr>
      </w:pPr>
      <w:r w:rsidRPr="0062711C">
        <w:rPr>
          <w:rFonts w:eastAsia="MS PGothic" w:cstheme="minorHAnsi"/>
          <w:bCs/>
          <w:szCs w:val="20"/>
          <w:lang w:val="sr-Cyrl-RS" w:eastAsia="ja-JP"/>
        </w:rPr>
        <w:t xml:space="preserve">Приходи од пореза на додату вредност су ревидирани навише за 42 млрд динара, односно 4,6% у односу на буџетски план. Крајем претходне године забележена је значајно већа наплата ПДВ </w:t>
      </w:r>
      <w:r w:rsidRPr="0062711C">
        <w:rPr>
          <w:rFonts w:eastAsia="MS PGothic" w:cstheme="minorHAnsi"/>
          <w:bCs/>
          <w:szCs w:val="20"/>
          <w:lang w:val="sr-Cyrl-RS" w:eastAsia="ja-JP"/>
        </w:rPr>
        <w:t>од планиране, која је служила као основа за планирање текуће године. Боље остварење дугује се значајнијем опоравку личне потрошње у последњем кварталу 2023. године. Овај тренд се наставља и у првом тромесечју 2024. године, те је остварење прихода више од планираног. За разлику од претходне две године, у којима је услед различитих фактора („панична” потрошња, потрошња нерезидената итд.) дошло до нарушавања устаљене динамике потрошње и наплате ПДВ, сада се</w:t>
      </w:r>
      <w:r w:rsidRPr="0062711C" w:rsidDel="00895455">
        <w:rPr>
          <w:rFonts w:eastAsia="MS PGothic" w:cstheme="minorHAnsi"/>
          <w:bCs/>
          <w:szCs w:val="20"/>
          <w:lang w:val="sr-Cyrl-RS" w:eastAsia="ja-JP"/>
        </w:rPr>
        <w:t xml:space="preserve"> </w:t>
      </w:r>
      <w:r w:rsidRPr="0062711C">
        <w:rPr>
          <w:rFonts w:eastAsia="MS PGothic" w:cstheme="minorHAnsi"/>
          <w:bCs/>
          <w:szCs w:val="20"/>
          <w:lang w:val="sr-Cyrl-RS" w:eastAsia="ja-JP"/>
        </w:rPr>
        <w:t>креће у очекиваним обрасцима. Реалан раст дохотка становништва кључно доприноси расту личне потрошње и снажнијем расту прихода од ПДВ. Приходи од царина благо су ревидирани навише услед бољег остварења на крају претходне године.</w:t>
      </w:r>
    </w:p>
    <w:p w14:paraId="61D828AF" w14:textId="77777777" w:rsidR="0024608F" w:rsidRPr="0062711C" w:rsidRDefault="0024608F" w:rsidP="00D500A7">
      <w:pPr>
        <w:widowControl w:val="0"/>
        <w:spacing w:after="120"/>
        <w:rPr>
          <w:rFonts w:eastAsia="MS PGothic" w:cstheme="minorHAnsi"/>
          <w:bCs/>
          <w:szCs w:val="20"/>
          <w:lang w:val="sr-Cyrl-RS" w:eastAsia="ja-JP"/>
        </w:rPr>
      </w:pPr>
      <w:r w:rsidRPr="0062711C">
        <w:rPr>
          <w:rFonts w:eastAsia="MS PGothic" w:cstheme="minorHAnsi"/>
          <w:bCs/>
          <w:szCs w:val="20"/>
          <w:lang w:val="sr-Cyrl-RS" w:eastAsia="ja-JP"/>
        </w:rPr>
        <w:t>Процена прихода од акциза повећана је за 5 млрд динара у односу на буџетски план, чему је, у највећој мери, допринело повећање прихода од акциза на деривате нафте. Нова процена укључује само базни ефекат (боље остварење) на крају претходне године. Овај тренд се наставља, код већине акцизних производа и током првог квартала 2024. године, али тренутно није могуће поуздано сагледати у којој мери су ефекти трајни, а колико се дугује промени у динамици уплате прихода. За разлику од претходне две године, када су акцизном политиком смиривани инфлаторни притисци, у овој години је планирано да се она врати у редовне токове. Укинута су привремена смањења акциза на нафтне деривате, крајем прошле године номинални износи акциза су повећани за 8%, док је за почетак 2024. године било предвиђено усклађивање износа акциза са оствареном инфлацијом из 2023. године. Ова последња мера је пролонгирана за четири месеца, како би се додатно утицало на ублажавање инфлаторних притисака. Такође у 2024. години предвиђено је поновно успостављање механизма рефакција акциза на нафтне деривате који се користе у пољопривреди. Ефекти наведених мера нису у потпуности сагледани, те је ревизија процене акцизних прихода опрезна, са могућношћу да се ревидира навише у наредном периоду.</w:t>
      </w:r>
    </w:p>
    <w:p w14:paraId="3C9D9C8A"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bCs/>
          <w:szCs w:val="20"/>
          <w:lang w:val="sr-Cyrl-RS" w:eastAsia="ja-JP"/>
        </w:rPr>
        <w:t xml:space="preserve">Непорески приходи ревидирани су навише за 5,3 млрд динара, у складу са досадашњим кретањем како редовних, тако и ванредних непореских </w:t>
      </w:r>
      <w:r w:rsidRPr="0062711C">
        <w:rPr>
          <w:rFonts w:eastAsia="MS PGothic" w:cstheme="minorHAnsi"/>
          <w:bCs/>
          <w:szCs w:val="20"/>
          <w:lang w:val="sr-Cyrl-RS" w:eastAsia="ja-JP"/>
        </w:rPr>
        <w:lastRenderedPageBreak/>
        <w:t>прихода.</w:t>
      </w:r>
      <w:r w:rsidRPr="0062711C">
        <w:rPr>
          <w:rFonts w:eastAsia="MS PGothic" w:cstheme="minorHAnsi"/>
          <w:szCs w:val="20"/>
          <w:lang w:val="sr-Cyrl-RS" w:eastAsia="ja-JP"/>
        </w:rPr>
        <w:t xml:space="preserve"> У редовне непореске приходе спадају различите таксе, накнаде (укључујући и путарине), казне, приходи органа и организација и сви остали приходи који се остварују устаљеном динамиком током године, уз одређене сезонске варијације. Повећање пројектованог износа ових прихода, у највећој мери, резултат је остварења прихода по основу накнада за минералне сировине.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камате итд. План ванредних непореских прихода такође је коригован навише, а пре свега по основу прихода од наплаћених камата.</w:t>
      </w:r>
    </w:p>
    <w:p w14:paraId="058B213E"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szCs w:val="20"/>
          <w:lang w:val="sr-Cyrl-RS" w:eastAsia="ja-JP"/>
        </w:rPr>
        <w:t xml:space="preserve">Као део процеса свеобухватног </w:t>
      </w:r>
      <w:r w:rsidRPr="0062711C">
        <w:rPr>
          <w:rFonts w:ascii="Calibri" w:eastAsia="Calibri" w:hAnsi="Calibri" w:cs="Calibri"/>
          <w:color w:val="44546A"/>
          <w:szCs w:val="20"/>
          <w:lang w:val="sr-Cyrl-RS" w:eastAsia="ja-JP"/>
        </w:rPr>
        <w:t>побољшања квалитета и транспарентности статистике државних финансија</w:t>
      </w:r>
      <w:r w:rsidRPr="0062711C">
        <w:rPr>
          <w:rFonts w:eastAsia="MS PGothic" w:cstheme="minorHAnsi"/>
          <w:szCs w:val="20"/>
          <w:lang w:val="sr-Cyrl-RS" w:eastAsia="ja-JP"/>
        </w:rPr>
        <w:t xml:space="preserve">, и током 2024. године проширен је статистички обухват сектора државе, у складу са динамиком предвиђеном Законом о буџетском систему. Током претходне године обухват је проширен укључивањем здравствених установа са свим изворима финансирања, док је током 2024. године у систем извештавања укључен </w:t>
      </w:r>
      <w:r w:rsidRPr="0062711C">
        <w:rPr>
          <w:lang w:val="sr-Cyrl-RS" w:eastAsia="ja-JP"/>
        </w:rPr>
        <w:t>један број ванбуџетских корисника (јавних агенција, научних института и др)</w:t>
      </w:r>
      <w:r w:rsidRPr="0062711C">
        <w:rPr>
          <w:rFonts w:eastAsia="MS PGothic" w:cstheme="minorHAnsi"/>
          <w:szCs w:val="20"/>
          <w:lang w:val="sr-Cyrl-RS" w:eastAsia="ja-JP"/>
        </w:rPr>
        <w:t xml:space="preserve">. По том основу у овој години, статистички обухват прихода и расхода сектора државе увећан је за 20,2 млрд динара. На приходној страни то се односи искључиво на категорију непореских прихода, док се на расходној страни највећи део увећања односи на расходе за запослене, а остатак на остале категорије. Због упоредивости, за исти износ коригован је и оригинални план, имајући у виду да се овде не ради о бољем остварењу прихода од плана, односно прекорачења плана код расхода, већ само о проширеном обухвату прихода и расхода које остварују наведене установе. </w:t>
      </w:r>
      <w:r w:rsidRPr="0062711C">
        <w:rPr>
          <w:rFonts w:eastAsia="MS PGothic" w:cstheme="minorHAnsi"/>
          <w:bCs/>
          <w:szCs w:val="20"/>
          <w:lang w:val="sr-Cyrl-RS" w:eastAsia="ja-JP"/>
        </w:rPr>
        <w:t xml:space="preserve">На овај начин, а према планираној динамици усклађивања обухвата сектора државе са међународним стандардима, поред повећања обима долази и до тачнијег приказа потрошње код крајњих корисника. </w:t>
      </w:r>
      <w:r w:rsidRPr="0062711C">
        <w:rPr>
          <w:rFonts w:eastAsia="MS PGothic" w:cstheme="minorHAnsi"/>
          <w:szCs w:val="20"/>
          <w:lang w:val="sr-Cyrl-RS" w:eastAsia="ja-JP"/>
        </w:rPr>
        <w:t>Поједине категорије расхода сада су обухваћене на економским класификацијама на којима су и извршене.</w:t>
      </w:r>
    </w:p>
    <w:p w14:paraId="45870976" w14:textId="77777777" w:rsidR="0024608F" w:rsidRPr="0062711C" w:rsidRDefault="0024608F" w:rsidP="00D500A7">
      <w:pPr>
        <w:spacing w:after="120"/>
        <w:rPr>
          <w:rFonts w:eastAsia="MS PGothic" w:cstheme="minorHAnsi"/>
          <w:b/>
          <w:color w:val="002060"/>
          <w:szCs w:val="20"/>
          <w:lang w:val="sr-Cyrl-RS" w:eastAsia="ja-JP"/>
        </w:rPr>
      </w:pPr>
    </w:p>
    <w:p w14:paraId="6882C7B6" w14:textId="77777777" w:rsidR="0024608F" w:rsidRPr="0062711C" w:rsidRDefault="0024608F" w:rsidP="00BD049D">
      <w:pPr>
        <w:spacing w:after="120"/>
        <w:jc w:val="center"/>
        <w:rPr>
          <w:rFonts w:eastAsia="MS PGothic" w:cstheme="minorHAnsi"/>
          <w:szCs w:val="20"/>
          <w:lang w:val="sr-Cyrl-RS" w:eastAsia="ja-JP"/>
        </w:rPr>
      </w:pPr>
      <w:r w:rsidRPr="0062711C">
        <w:rPr>
          <w:rFonts w:eastAsia="MS PGothic" w:cstheme="minorHAnsi"/>
          <w:b/>
          <w:color w:val="002060"/>
          <w:szCs w:val="20"/>
          <w:lang w:val="sr-Cyrl-RS" w:eastAsia="ja-JP"/>
        </w:rPr>
        <w:t>Допринос појединих фактора корекцији фиск. резултата у односу на план за 2024. год, % БДП</w:t>
      </w:r>
    </w:p>
    <w:p w14:paraId="7C3474C5" w14:textId="77777777" w:rsidR="0024608F" w:rsidRPr="0062711C" w:rsidRDefault="0024608F" w:rsidP="00D500A7">
      <w:pPr>
        <w:widowControl w:val="0"/>
        <w:spacing w:after="120"/>
        <w:jc w:val="center"/>
        <w:rPr>
          <w:rFonts w:eastAsia="MS PGothic" w:cstheme="minorHAnsi"/>
          <w:b/>
          <w:color w:val="002060"/>
          <w:szCs w:val="20"/>
          <w:lang w:val="sr-Cyrl-RS" w:eastAsia="ja-JP"/>
        </w:rPr>
      </w:pPr>
      <w:r w:rsidRPr="0062711C">
        <w:rPr>
          <w:rFonts w:eastAsia="MS PGothic" w:cstheme="minorHAnsi"/>
          <w:b/>
          <w:noProof/>
          <w:color w:val="002060"/>
          <w:szCs w:val="20"/>
          <w:lang w:val="en-GB" w:eastAsia="en-GB"/>
        </w:rPr>
        <w:drawing>
          <wp:inline distT="0" distB="0" distL="0" distR="0" wp14:anchorId="39382147" wp14:editId="5CA452FE">
            <wp:extent cx="2743201" cy="2312209"/>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751991" cy="2319618"/>
                    </a:xfrm>
                    <a:prstGeom prst="rect">
                      <a:avLst/>
                    </a:prstGeom>
                    <a:noFill/>
                  </pic:spPr>
                </pic:pic>
              </a:graphicData>
            </a:graphic>
          </wp:inline>
        </w:drawing>
      </w:r>
    </w:p>
    <w:p w14:paraId="037099BD" w14:textId="77777777" w:rsidR="0024608F" w:rsidRPr="0062711C" w:rsidRDefault="0024608F" w:rsidP="00D500A7">
      <w:pPr>
        <w:spacing w:after="120"/>
        <w:rPr>
          <w:rFonts w:eastAsia="MS PGothic" w:cstheme="minorHAnsi"/>
          <w:bCs/>
          <w:szCs w:val="20"/>
          <w:lang w:val="sr-Cyrl-RS" w:eastAsia="ja-JP"/>
        </w:rPr>
      </w:pPr>
      <w:r w:rsidRPr="0062711C">
        <w:rPr>
          <w:rFonts w:eastAsia="MS PGothic" w:cstheme="minorHAnsi"/>
          <w:szCs w:val="20"/>
          <w:lang w:val="sr-Cyrl-RS" w:eastAsia="ja-JP"/>
        </w:rPr>
        <w:t xml:space="preserve">Процена расхода сектора државе овим фискалним оквиром повећана је за 66,9 млрд динара у односу на буџетски план. </w:t>
      </w:r>
      <w:r w:rsidRPr="0062711C">
        <w:rPr>
          <w:rFonts w:eastAsia="MS PGothic" w:cstheme="minorHAnsi"/>
          <w:bCs/>
          <w:szCs w:val="20"/>
          <w:lang w:val="sr-Cyrl-RS" w:eastAsia="ja-JP"/>
        </w:rPr>
        <w:t>При томе највеће повећање бележе капитални расходи, док се највеће смањење односи на буџетске позајмице, где су планирана интервенцијска средства за енергетски сектор.</w:t>
      </w:r>
    </w:p>
    <w:p w14:paraId="11C697FE"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bCs/>
          <w:szCs w:val="20"/>
          <w:lang w:val="sr-Cyrl-RS" w:eastAsia="ja-JP"/>
        </w:rPr>
        <w:t>Процена расхода за запослене у 2024. години ревидирана је навише за 10,1 млрд динара. Ово је у највећој мери резултат измена начина обрачуна зарада запослених у просвети и Министарству унутрашњих послова. У ову процену (као и у оригинални план) укључени су расходи за зараде који се финансирају из сопствених прихода јавних агенција и института, у износу од 17 млрд динара.</w:t>
      </w:r>
      <w:r w:rsidRPr="0062711C">
        <w:rPr>
          <w:rFonts w:eastAsia="MS PGothic" w:cstheme="minorHAnsi"/>
          <w:szCs w:val="20"/>
          <w:lang w:val="sr-Cyrl-RS" w:eastAsia="ja-JP"/>
        </w:rPr>
        <w:t xml:space="preserve"> Ова промена ће у складу са Законом о буџетском систему и посебним фискалним правилима, довести и до померања горње дозвољене границе учешћа расхода за зараде у БДП.</w:t>
      </w:r>
    </w:p>
    <w:p w14:paraId="0AC1A4D2" w14:textId="77777777" w:rsidR="0024608F" w:rsidRPr="0062711C" w:rsidRDefault="0024608F" w:rsidP="00D500A7">
      <w:pPr>
        <w:rPr>
          <w:rFonts w:eastAsia="MS PGothic" w:cstheme="minorHAnsi"/>
          <w:spacing w:val="2"/>
          <w:szCs w:val="20"/>
          <w:lang w:val="sr-Cyrl-RS" w:eastAsia="ja-JP"/>
        </w:rPr>
      </w:pPr>
      <w:r w:rsidRPr="0062711C">
        <w:rPr>
          <w:rFonts w:eastAsia="MS PGothic" w:cstheme="minorHAnsi"/>
          <w:spacing w:val="2"/>
          <w:szCs w:val="20"/>
          <w:lang w:val="sr-Cyrl-RS" w:eastAsia="ja-JP"/>
        </w:rPr>
        <w:t>Расходи за робе и услуге нису ревидирани овим фискалним оквиром, док је извршено укључивање расхода настало проширењем обухвата сектора државе, у износу од око 0,3 млрд динара.</w:t>
      </w:r>
    </w:p>
    <w:p w14:paraId="41DCD2F2" w14:textId="77777777" w:rsidR="0024608F" w:rsidRPr="0062711C" w:rsidRDefault="0024608F" w:rsidP="00D500A7">
      <w:pPr>
        <w:spacing w:after="120"/>
        <w:rPr>
          <w:rFonts w:eastAsia="MS PGothic" w:cstheme="minorHAnsi"/>
          <w:spacing w:val="2"/>
          <w:szCs w:val="20"/>
          <w:lang w:val="sr-Cyrl-RS" w:eastAsia="ja-JP"/>
        </w:rPr>
      </w:pPr>
      <w:r w:rsidRPr="0062711C">
        <w:rPr>
          <w:rFonts w:eastAsia="MS PGothic" w:cstheme="minorHAnsi"/>
          <w:spacing w:val="2"/>
          <w:szCs w:val="20"/>
          <w:lang w:val="sr-Cyrl-RS" w:eastAsia="ja-JP"/>
        </w:rPr>
        <w:t>Процена расхода за камате није ревидирана овим фискалним оквиром.</w:t>
      </w:r>
    </w:p>
    <w:p w14:paraId="4F9572C4" w14:textId="6AADF0F1" w:rsidR="0024608F" w:rsidRPr="0062711C" w:rsidRDefault="0024608F" w:rsidP="00D500A7">
      <w:pPr>
        <w:spacing w:after="120"/>
        <w:rPr>
          <w:rFonts w:eastAsia="MS PGothic" w:cstheme="minorHAnsi"/>
          <w:szCs w:val="20"/>
          <w:lang w:val="sr-Cyrl-RS" w:eastAsia="ja-JP"/>
        </w:rPr>
      </w:pPr>
      <w:r w:rsidRPr="0062711C">
        <w:rPr>
          <w:rFonts w:eastAsia="MS PGothic" w:cstheme="minorHAnsi"/>
          <w:spacing w:val="2"/>
          <w:szCs w:val="20"/>
          <w:lang w:val="sr-Cyrl-RS" w:eastAsia="ja-JP"/>
        </w:rPr>
        <w:t>Расходи за субвенције такође нису ревидирани овим фискалним оквиром</w:t>
      </w:r>
      <w:r w:rsidRPr="0062711C">
        <w:rPr>
          <w:rFonts w:eastAsia="MS PGothic" w:cstheme="minorHAnsi"/>
          <w:szCs w:val="20"/>
          <w:lang w:val="sr-Cyrl-RS" w:eastAsia="ja-JP"/>
        </w:rPr>
        <w:t xml:space="preserve">. По основу проширења </w:t>
      </w:r>
      <w:r w:rsidR="001E2B90" w:rsidRPr="0062711C">
        <w:rPr>
          <w:rFonts w:eastAsia="MS PGothic" w:cstheme="minorHAnsi"/>
          <w:szCs w:val="20"/>
          <w:lang w:val="sr-Cyrl-RS" w:eastAsia="ja-JP"/>
        </w:rPr>
        <w:t>обухвата сектора, у окви</w:t>
      </w:r>
      <w:r w:rsidRPr="0062711C">
        <w:rPr>
          <w:rFonts w:eastAsia="MS PGothic" w:cstheme="minorHAnsi"/>
          <w:szCs w:val="20"/>
          <w:lang w:val="sr-Cyrl-RS" w:eastAsia="ja-JP"/>
        </w:rPr>
        <w:t>ру ове категорије расхода, приказано је 1,7 млрд динара.</w:t>
      </w:r>
    </w:p>
    <w:p w14:paraId="3360B5C6"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bCs/>
          <w:szCs w:val="20"/>
          <w:lang w:val="sr-Cyrl-RS" w:eastAsia="ja-JP"/>
        </w:rPr>
        <w:lastRenderedPageBreak/>
        <w:t>Расходи за социјалну заштиту ревидирани су навише за 22,2 млрд динара у односу на оригинални план. Значајан део повећања односи се на исплату обештећења породиљама по основу одлуке Уставног суда о начину обрачуна накнаде плате за време породиљског одсуства</w:t>
      </w:r>
      <w:r w:rsidRPr="0062711C">
        <w:rPr>
          <w:rFonts w:eastAsia="MS PGothic" w:cstheme="minorHAnsi"/>
          <w:szCs w:val="20"/>
          <w:lang w:val="sr-Cyrl-RS" w:eastAsia="ja-JP"/>
        </w:rPr>
        <w:t>. Ефекти ове одлуке имају и једнократни утицај за ретроактивну исплату по основу обрачуна овог права од 2018. године, али и трајни ефекат по основу повећања права за будуће породиље. Део повећања је и резултат већег извршења ове категорије расхода током 2023. године.</w:t>
      </w:r>
    </w:p>
    <w:p w14:paraId="202A4E57" w14:textId="0A61EA81" w:rsidR="0024608F" w:rsidRPr="0062711C" w:rsidRDefault="0024608F" w:rsidP="00D500A7">
      <w:pPr>
        <w:spacing w:after="120"/>
        <w:rPr>
          <w:rFonts w:eastAsia="MS PGothic" w:cstheme="minorHAnsi"/>
          <w:szCs w:val="20"/>
          <w:lang w:val="sr-Cyrl-RS" w:eastAsia="ja-JP"/>
        </w:rPr>
      </w:pPr>
      <w:r w:rsidRPr="0062711C">
        <w:rPr>
          <w:rFonts w:eastAsia="MS PGothic" w:cstheme="minorHAnsi"/>
          <w:bCs/>
          <w:szCs w:val="20"/>
          <w:lang w:val="sr-Cyrl-RS" w:eastAsia="ja-JP"/>
        </w:rPr>
        <w:t>Процена осталих текућих расхода у 2024. години у односу на оригинални план, овим оквиром повећана је за 2</w:t>
      </w:r>
      <w:r w:rsidR="00FE15B0" w:rsidRPr="0062711C">
        <w:rPr>
          <w:rFonts w:eastAsia="MS PGothic" w:cstheme="minorHAnsi"/>
          <w:bCs/>
          <w:szCs w:val="20"/>
          <w:lang w:val="sr-Cyrl-RS" w:eastAsia="ja-JP"/>
        </w:rPr>
        <w:t>,</w:t>
      </w:r>
      <w:r w:rsidRPr="0062711C">
        <w:rPr>
          <w:rFonts w:eastAsia="MS PGothic" w:cstheme="minorHAnsi"/>
          <w:bCs/>
          <w:szCs w:val="20"/>
          <w:lang w:val="sr-Cyrl-RS" w:eastAsia="ja-JP"/>
        </w:rPr>
        <w:t>2 млрд динара због</w:t>
      </w:r>
      <w:r w:rsidRPr="0062711C">
        <w:rPr>
          <w:rFonts w:eastAsia="MS PGothic" w:cstheme="minorHAnsi"/>
          <w:spacing w:val="2"/>
          <w:szCs w:val="20"/>
          <w:lang w:val="sr-Cyrl-RS" w:eastAsia="ja-JP"/>
        </w:rPr>
        <w:t xml:space="preserve"> повећане процене извршења ове категорије расхода на нивоу буџета Републике.</w:t>
      </w:r>
      <w:r w:rsidRPr="0062711C">
        <w:rPr>
          <w:rFonts w:eastAsia="MS PGothic" w:cstheme="minorHAnsi"/>
          <w:szCs w:val="20"/>
          <w:lang w:val="sr-Cyrl-RS" w:eastAsia="ja-JP"/>
        </w:rPr>
        <w:t xml:space="preserve"> По основу проширења обухвата сектора државе, у оквиру ове категорије расхода, приказано је 1,7 млрд динара.</w:t>
      </w:r>
    </w:p>
    <w:p w14:paraId="120C182E"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bCs/>
          <w:szCs w:val="20"/>
          <w:lang w:val="sr-Cyrl-RS" w:eastAsia="ja-JP"/>
        </w:rPr>
        <w:t>Процењује се да ће реализација јавних инвестиција бити већа за 57,1 млрд динара од првобитног плана. Од тога се већина односи на инфраструктурне пројекте, односно изградњу путне и железничке инфраструктуре.</w:t>
      </w:r>
      <w:r w:rsidRPr="0062711C">
        <w:rPr>
          <w:rFonts w:eastAsia="MS PGothic" w:cstheme="minorHAnsi"/>
          <w:szCs w:val="20"/>
          <w:lang w:val="sr-Cyrl-RS" w:eastAsia="ja-JP"/>
        </w:rPr>
        <w:t xml:space="preserve"> Капитални расходи достижу ниво од 7,3% БДП у 2024. години. Укључивање капиталних расхода јавних агенција и института довело је до повећања и оригиналног и ревидираног плана за 1,5 млрд динара.</w:t>
      </w:r>
    </w:p>
    <w:p w14:paraId="75085581" w14:textId="77777777" w:rsidR="0024608F" w:rsidRPr="0062711C" w:rsidRDefault="0024608F" w:rsidP="00D500A7">
      <w:pPr>
        <w:widowControl w:val="0"/>
        <w:spacing w:after="120"/>
        <w:rPr>
          <w:rFonts w:eastAsia="MS PGothic" w:cstheme="minorHAnsi"/>
          <w:bCs/>
          <w:szCs w:val="20"/>
          <w:lang w:val="sr-Cyrl-RS" w:eastAsia="ja-JP"/>
        </w:rPr>
      </w:pPr>
      <w:r w:rsidRPr="0062711C">
        <w:rPr>
          <w:rFonts w:eastAsia="MS PGothic" w:cstheme="minorHAnsi"/>
          <w:bCs/>
          <w:szCs w:val="20"/>
          <w:lang w:val="sr-Cyrl-RS" w:eastAsia="ja-JP"/>
        </w:rPr>
        <w:t>Планирани износ буџетских позајмица, у оквиру којих су предвиђена средстава за набавку енергената, значајно је ревидиран наниже у износу од 26,8 млрд динара, услед позитивних кретања на тржишту енергената. Проширење обухвата сектора државе деловало је и на ову категорију расхода, у смислу рекласификације дела расхода, који се извршава преко Фонда за развој, у износу од 2 млрд динара на друге категорије.</w:t>
      </w:r>
    </w:p>
    <w:p w14:paraId="5BC529ED" w14:textId="77777777" w:rsidR="0024608F" w:rsidRPr="0062711C" w:rsidRDefault="0024608F" w:rsidP="00D500A7">
      <w:pPr>
        <w:widowControl w:val="0"/>
        <w:spacing w:after="120"/>
        <w:rPr>
          <w:rFonts w:eastAsia="MS PGothic" w:cstheme="minorHAnsi"/>
          <w:szCs w:val="20"/>
          <w:lang w:val="sr-Cyrl-RS" w:eastAsia="ja-JP"/>
        </w:rPr>
        <w:sectPr w:rsidR="0024608F" w:rsidRPr="0062711C" w:rsidSect="00D500A7">
          <w:type w:val="continuous"/>
          <w:pgSz w:w="12240" w:h="15840" w:code="1"/>
          <w:pgMar w:top="1440" w:right="1440" w:bottom="1440" w:left="1440" w:header="720" w:footer="720" w:gutter="0"/>
          <w:cols w:num="2" w:space="720"/>
          <w:docGrid w:linePitch="360"/>
        </w:sectPr>
      </w:pPr>
    </w:p>
    <w:p w14:paraId="35E650E0" w14:textId="44267E64" w:rsidR="0024608F" w:rsidRPr="0062711C" w:rsidRDefault="0024608F" w:rsidP="00D500A7">
      <w:pPr>
        <w:keepNext/>
        <w:spacing w:after="120"/>
        <w:rPr>
          <w:rFonts w:eastAsia="MS PGothic" w:cstheme="minorHAnsi"/>
          <w:b/>
          <w:vanish/>
          <w:color w:val="002060"/>
          <w:szCs w:val="20"/>
          <w:lang w:val="sr-Cyrl-RS" w:eastAsia="ja-JP"/>
          <w:specVanish/>
        </w:rPr>
      </w:pPr>
      <w:r w:rsidRPr="0062711C">
        <w:rPr>
          <w:rFonts w:eastAsia="MS PGothic" w:cstheme="minorHAnsi"/>
          <w:b/>
          <w:color w:val="002060"/>
          <w:szCs w:val="20"/>
          <w:lang w:val="sr-Cyrl-RS" w:eastAsia="ja-JP"/>
        </w:rPr>
        <w:t xml:space="preserve">Табела </w:t>
      </w:r>
      <w:r w:rsidR="00BB1E84">
        <w:rPr>
          <w:rFonts w:eastAsia="MS PGothic" w:cstheme="minorHAnsi"/>
          <w:b/>
          <w:color w:val="002060"/>
          <w:szCs w:val="20"/>
          <w:lang w:eastAsia="ja-JP"/>
        </w:rPr>
        <w:t>7</w:t>
      </w:r>
      <w:r w:rsidRPr="0062711C">
        <w:rPr>
          <w:rFonts w:eastAsia="MS PGothic" w:cstheme="minorHAnsi"/>
          <w:b/>
          <w:color w:val="002060"/>
          <w:szCs w:val="20"/>
          <w:lang w:val="sr-Cyrl-RS" w:eastAsia="ja-JP"/>
        </w:rPr>
        <w:t>. Приходи, расходи и резултат сектора државе, јануар–март 2023. и 2024. године, у млрд динара</w:t>
      </w:r>
    </w:p>
    <w:tbl>
      <w:tblPr>
        <w:tblW w:w="5000" w:type="pct"/>
        <w:jc w:val="right"/>
        <w:tblLook w:val="04A0" w:firstRow="1" w:lastRow="0" w:firstColumn="1" w:lastColumn="0" w:noHBand="0" w:noVBand="1"/>
      </w:tblPr>
      <w:tblGrid>
        <w:gridCol w:w="3940"/>
        <w:gridCol w:w="1305"/>
        <w:gridCol w:w="1685"/>
        <w:gridCol w:w="2430"/>
      </w:tblGrid>
      <w:tr w:rsidR="001D5D32" w:rsidRPr="0062711C" w14:paraId="79762E69" w14:textId="77777777" w:rsidTr="006A5646">
        <w:trPr>
          <w:trHeight w:val="242"/>
          <w:tblHeader/>
          <w:jc w:val="right"/>
        </w:trPr>
        <w:tc>
          <w:tcPr>
            <w:tcW w:w="2105" w:type="pct"/>
            <w:tcBorders>
              <w:top w:val="single" w:sz="4" w:space="0" w:color="002060"/>
            </w:tcBorders>
            <w:shd w:val="clear" w:color="auto" w:fill="auto"/>
            <w:noWrap/>
            <w:vAlign w:val="center"/>
            <w:hideMark/>
          </w:tcPr>
          <w:p w14:paraId="5FB96ACE" w14:textId="77777777" w:rsidR="001D5D32" w:rsidRPr="0062711C" w:rsidRDefault="001D5D32" w:rsidP="00E124CF">
            <w:pPr>
              <w:spacing w:after="0" w:line="240" w:lineRule="auto"/>
              <w:rPr>
                <w:rFonts w:cstheme="minorHAnsi"/>
                <w:color w:val="002060"/>
                <w:sz w:val="16"/>
                <w:szCs w:val="16"/>
                <w:lang w:val="sr-Cyrl-RS"/>
              </w:rPr>
            </w:pPr>
          </w:p>
        </w:tc>
        <w:tc>
          <w:tcPr>
            <w:tcW w:w="697" w:type="pct"/>
            <w:tcBorders>
              <w:top w:val="single" w:sz="4" w:space="0" w:color="002060"/>
              <w:bottom w:val="single" w:sz="4" w:space="0" w:color="002060"/>
            </w:tcBorders>
            <w:shd w:val="clear" w:color="auto" w:fill="auto"/>
            <w:vAlign w:val="center"/>
            <w:hideMark/>
          </w:tcPr>
          <w:p w14:paraId="67433AF9" w14:textId="5F20CE57" w:rsidR="001D5D32" w:rsidRPr="0062711C" w:rsidRDefault="006A5646" w:rsidP="00D500A7">
            <w:pPr>
              <w:spacing w:after="0" w:line="240" w:lineRule="auto"/>
              <w:jc w:val="center"/>
              <w:rPr>
                <w:rFonts w:eastAsia="MS PGothic" w:cstheme="minorHAnsi"/>
                <w:color w:val="002060"/>
                <w:sz w:val="16"/>
                <w:szCs w:val="16"/>
                <w:lang w:val="sr-Cyrl-RS" w:eastAsia="ja-JP"/>
              </w:rPr>
            </w:pPr>
            <w:r>
              <w:rPr>
                <w:rFonts w:eastAsia="MS PGothic" w:cstheme="minorHAnsi"/>
                <w:color w:val="002060"/>
                <w:sz w:val="16"/>
                <w:szCs w:val="16"/>
                <w:lang w:val="sr-Cyrl-RS" w:eastAsia="ja-JP"/>
              </w:rPr>
              <w:t xml:space="preserve"> I–</w:t>
            </w:r>
            <w:r w:rsidR="001D5D32" w:rsidRPr="0062711C">
              <w:rPr>
                <w:rFonts w:eastAsia="MS PGothic" w:cstheme="minorHAnsi"/>
                <w:color w:val="002060"/>
                <w:sz w:val="16"/>
                <w:szCs w:val="16"/>
                <w:lang w:val="sr-Cyrl-RS" w:eastAsia="ja-JP"/>
              </w:rPr>
              <w:t>III 2023</w:t>
            </w:r>
          </w:p>
        </w:tc>
        <w:tc>
          <w:tcPr>
            <w:tcW w:w="900" w:type="pct"/>
            <w:tcBorders>
              <w:top w:val="single" w:sz="4" w:space="0" w:color="002060"/>
              <w:bottom w:val="single" w:sz="4" w:space="0" w:color="002060"/>
            </w:tcBorders>
            <w:shd w:val="clear" w:color="auto" w:fill="auto"/>
            <w:vAlign w:val="center"/>
            <w:hideMark/>
          </w:tcPr>
          <w:p w14:paraId="193A5001" w14:textId="14D2BA4D" w:rsidR="001D5D32" w:rsidRPr="0062711C" w:rsidRDefault="006A5646" w:rsidP="006A5646">
            <w:pPr>
              <w:spacing w:after="0" w:line="240" w:lineRule="auto"/>
              <w:jc w:val="center"/>
              <w:rPr>
                <w:rFonts w:eastAsia="MS PGothic" w:cstheme="minorHAnsi"/>
                <w:color w:val="002060"/>
                <w:sz w:val="16"/>
                <w:szCs w:val="16"/>
                <w:lang w:val="sr-Cyrl-RS" w:eastAsia="ja-JP"/>
              </w:rPr>
            </w:pPr>
            <w:r>
              <w:rPr>
                <w:rFonts w:eastAsia="MS PGothic" w:cstheme="minorHAnsi"/>
                <w:color w:val="002060"/>
                <w:sz w:val="16"/>
                <w:szCs w:val="16"/>
                <w:lang w:val="sr-Cyrl-RS" w:eastAsia="ja-JP"/>
              </w:rPr>
              <w:t>I–</w:t>
            </w:r>
            <w:r w:rsidR="001D5D32" w:rsidRPr="0062711C">
              <w:rPr>
                <w:rFonts w:eastAsia="MS PGothic" w:cstheme="minorHAnsi"/>
                <w:color w:val="002060"/>
                <w:sz w:val="16"/>
                <w:szCs w:val="16"/>
                <w:lang w:val="sr-Cyrl-RS" w:eastAsia="ja-JP"/>
              </w:rPr>
              <w:t>III 2024*</w:t>
            </w:r>
          </w:p>
        </w:tc>
        <w:tc>
          <w:tcPr>
            <w:tcW w:w="1298" w:type="pct"/>
            <w:tcBorders>
              <w:top w:val="single" w:sz="4" w:space="0" w:color="002060"/>
              <w:bottom w:val="single" w:sz="4" w:space="0" w:color="002060"/>
            </w:tcBorders>
            <w:shd w:val="clear" w:color="auto" w:fill="auto"/>
            <w:vAlign w:val="center"/>
            <w:hideMark/>
          </w:tcPr>
          <w:p w14:paraId="661CC9CA" w14:textId="0E20B5B0" w:rsidR="001D5D32" w:rsidRPr="0062711C" w:rsidRDefault="001D5D32" w:rsidP="00E124CF">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2024 годишњи план/2023 стопа раста у %</w:t>
            </w:r>
          </w:p>
        </w:tc>
      </w:tr>
      <w:tr w:rsidR="00FD53BE" w:rsidRPr="0062711C" w14:paraId="33AFA58F" w14:textId="77777777" w:rsidTr="006A5646">
        <w:trPr>
          <w:trHeight w:val="242"/>
          <w:tblHeader/>
          <w:jc w:val="right"/>
        </w:trPr>
        <w:tc>
          <w:tcPr>
            <w:tcW w:w="2105" w:type="pct"/>
            <w:shd w:val="clear" w:color="auto" w:fill="E7E6E6" w:themeFill="background2"/>
            <w:noWrap/>
            <w:vAlign w:val="center"/>
            <w:hideMark/>
          </w:tcPr>
          <w:p w14:paraId="45DF5ECA" w14:textId="77777777" w:rsidR="00FD53BE" w:rsidRPr="0062711C" w:rsidRDefault="00FD53BE" w:rsidP="00FD53BE">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ЈАВНИ ПРИХОДИ</w:t>
            </w:r>
          </w:p>
        </w:tc>
        <w:tc>
          <w:tcPr>
            <w:tcW w:w="697" w:type="pct"/>
            <w:tcBorders>
              <w:top w:val="single" w:sz="4" w:space="0" w:color="002060"/>
            </w:tcBorders>
            <w:shd w:val="clear" w:color="auto" w:fill="E7E6E6" w:themeFill="background2"/>
            <w:hideMark/>
          </w:tcPr>
          <w:p w14:paraId="254453E9"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773,1</w:t>
            </w:r>
          </w:p>
        </w:tc>
        <w:tc>
          <w:tcPr>
            <w:tcW w:w="900" w:type="pct"/>
            <w:tcBorders>
              <w:top w:val="single" w:sz="4" w:space="0" w:color="002060"/>
            </w:tcBorders>
            <w:shd w:val="clear" w:color="auto" w:fill="E7E6E6" w:themeFill="background2"/>
            <w:hideMark/>
          </w:tcPr>
          <w:p w14:paraId="4953D408"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880,0</w:t>
            </w:r>
          </w:p>
        </w:tc>
        <w:tc>
          <w:tcPr>
            <w:tcW w:w="1298" w:type="pct"/>
            <w:tcBorders>
              <w:top w:val="single" w:sz="4" w:space="0" w:color="002060"/>
            </w:tcBorders>
            <w:shd w:val="clear" w:color="auto" w:fill="E7E6E6" w:themeFill="background2"/>
            <w:hideMark/>
          </w:tcPr>
          <w:p w14:paraId="26FF8575" w14:textId="7C78BAEC"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1</w:t>
            </w:r>
          </w:p>
        </w:tc>
      </w:tr>
      <w:tr w:rsidR="00FD53BE" w:rsidRPr="0062711C" w14:paraId="52CD3F9F" w14:textId="77777777" w:rsidTr="006A5646">
        <w:trPr>
          <w:trHeight w:val="242"/>
          <w:tblHeader/>
          <w:jc w:val="right"/>
        </w:trPr>
        <w:tc>
          <w:tcPr>
            <w:tcW w:w="2105" w:type="pct"/>
            <w:shd w:val="clear" w:color="auto" w:fill="auto"/>
            <w:noWrap/>
            <w:vAlign w:val="center"/>
            <w:hideMark/>
          </w:tcPr>
          <w:p w14:paraId="746F206F"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Текући приходи</w:t>
            </w:r>
          </w:p>
        </w:tc>
        <w:tc>
          <w:tcPr>
            <w:tcW w:w="697" w:type="pct"/>
            <w:shd w:val="clear" w:color="auto" w:fill="auto"/>
            <w:hideMark/>
          </w:tcPr>
          <w:p w14:paraId="663C3915"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752,3</w:t>
            </w:r>
          </w:p>
        </w:tc>
        <w:tc>
          <w:tcPr>
            <w:tcW w:w="900" w:type="pct"/>
            <w:shd w:val="clear" w:color="auto" w:fill="auto"/>
            <w:noWrap/>
            <w:hideMark/>
          </w:tcPr>
          <w:p w14:paraId="2F66D716"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875,9</w:t>
            </w:r>
          </w:p>
        </w:tc>
        <w:tc>
          <w:tcPr>
            <w:tcW w:w="1298" w:type="pct"/>
            <w:shd w:val="clear" w:color="auto" w:fill="auto"/>
            <w:hideMark/>
          </w:tcPr>
          <w:p w14:paraId="614FF094" w14:textId="4D58E89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3</w:t>
            </w:r>
          </w:p>
        </w:tc>
      </w:tr>
      <w:tr w:rsidR="00FD53BE" w:rsidRPr="0062711C" w14:paraId="468520CD" w14:textId="77777777" w:rsidTr="006A5646">
        <w:trPr>
          <w:trHeight w:val="242"/>
          <w:tblHeader/>
          <w:jc w:val="right"/>
        </w:trPr>
        <w:tc>
          <w:tcPr>
            <w:tcW w:w="2105" w:type="pct"/>
            <w:shd w:val="clear" w:color="auto" w:fill="auto"/>
            <w:noWrap/>
            <w:vAlign w:val="center"/>
            <w:hideMark/>
          </w:tcPr>
          <w:p w14:paraId="270E9925"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Порески приходи</w:t>
            </w:r>
          </w:p>
        </w:tc>
        <w:tc>
          <w:tcPr>
            <w:tcW w:w="697" w:type="pct"/>
            <w:shd w:val="clear" w:color="auto" w:fill="auto"/>
            <w:hideMark/>
          </w:tcPr>
          <w:p w14:paraId="7615E6DF"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680,8</w:t>
            </w:r>
          </w:p>
        </w:tc>
        <w:tc>
          <w:tcPr>
            <w:tcW w:w="900" w:type="pct"/>
            <w:shd w:val="clear" w:color="auto" w:fill="auto"/>
            <w:hideMark/>
          </w:tcPr>
          <w:p w14:paraId="4146EF53"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787,3</w:t>
            </w:r>
          </w:p>
        </w:tc>
        <w:tc>
          <w:tcPr>
            <w:tcW w:w="1298" w:type="pct"/>
            <w:shd w:val="clear" w:color="auto" w:fill="auto"/>
            <w:hideMark/>
          </w:tcPr>
          <w:p w14:paraId="23491A5D" w14:textId="31231980"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2</w:t>
            </w:r>
          </w:p>
        </w:tc>
      </w:tr>
      <w:tr w:rsidR="00FD53BE" w:rsidRPr="0062711C" w14:paraId="1BF5DDAC" w14:textId="77777777" w:rsidTr="006A5646">
        <w:trPr>
          <w:trHeight w:val="242"/>
          <w:tblHeader/>
          <w:jc w:val="right"/>
        </w:trPr>
        <w:tc>
          <w:tcPr>
            <w:tcW w:w="2105" w:type="pct"/>
            <w:shd w:val="clear" w:color="auto" w:fill="auto"/>
            <w:noWrap/>
            <w:vAlign w:val="center"/>
            <w:hideMark/>
          </w:tcPr>
          <w:p w14:paraId="7C482918"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Порез на доходак грађана</w:t>
            </w:r>
          </w:p>
        </w:tc>
        <w:tc>
          <w:tcPr>
            <w:tcW w:w="697" w:type="pct"/>
            <w:shd w:val="clear" w:color="auto" w:fill="auto"/>
            <w:hideMark/>
          </w:tcPr>
          <w:p w14:paraId="775D68A3"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72,6</w:t>
            </w:r>
          </w:p>
        </w:tc>
        <w:tc>
          <w:tcPr>
            <w:tcW w:w="900" w:type="pct"/>
            <w:shd w:val="clear" w:color="auto" w:fill="auto"/>
            <w:hideMark/>
          </w:tcPr>
          <w:p w14:paraId="55843D35"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85,4</w:t>
            </w:r>
          </w:p>
        </w:tc>
        <w:tc>
          <w:tcPr>
            <w:tcW w:w="1298" w:type="pct"/>
            <w:shd w:val="clear" w:color="auto" w:fill="auto"/>
            <w:hideMark/>
          </w:tcPr>
          <w:p w14:paraId="54856162" w14:textId="5BAE4740"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9</w:t>
            </w:r>
          </w:p>
        </w:tc>
      </w:tr>
      <w:tr w:rsidR="00FD53BE" w:rsidRPr="0062711C" w14:paraId="47E4E92A" w14:textId="77777777" w:rsidTr="006A5646">
        <w:trPr>
          <w:trHeight w:val="242"/>
          <w:tblHeader/>
          <w:jc w:val="right"/>
        </w:trPr>
        <w:tc>
          <w:tcPr>
            <w:tcW w:w="2105" w:type="pct"/>
            <w:shd w:val="clear" w:color="auto" w:fill="auto"/>
            <w:noWrap/>
            <w:vAlign w:val="center"/>
            <w:hideMark/>
          </w:tcPr>
          <w:p w14:paraId="4245C6A2"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Порез на добит правних лица</w:t>
            </w:r>
          </w:p>
        </w:tc>
        <w:tc>
          <w:tcPr>
            <w:tcW w:w="697" w:type="pct"/>
            <w:shd w:val="clear" w:color="auto" w:fill="auto"/>
            <w:hideMark/>
          </w:tcPr>
          <w:p w14:paraId="09E202B5"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44,4</w:t>
            </w:r>
          </w:p>
        </w:tc>
        <w:tc>
          <w:tcPr>
            <w:tcW w:w="900" w:type="pct"/>
            <w:shd w:val="clear" w:color="auto" w:fill="auto"/>
            <w:hideMark/>
          </w:tcPr>
          <w:p w14:paraId="3E8E82AA"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54,6</w:t>
            </w:r>
          </w:p>
        </w:tc>
        <w:tc>
          <w:tcPr>
            <w:tcW w:w="1298" w:type="pct"/>
            <w:shd w:val="clear" w:color="auto" w:fill="auto"/>
            <w:hideMark/>
          </w:tcPr>
          <w:p w14:paraId="7B42AC9C" w14:textId="68E191A2"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7</w:t>
            </w:r>
          </w:p>
        </w:tc>
      </w:tr>
      <w:tr w:rsidR="00FD53BE" w:rsidRPr="0062711C" w14:paraId="06B3F65D" w14:textId="77777777" w:rsidTr="006A5646">
        <w:trPr>
          <w:trHeight w:val="242"/>
          <w:tblHeader/>
          <w:jc w:val="right"/>
        </w:trPr>
        <w:tc>
          <w:tcPr>
            <w:tcW w:w="2105" w:type="pct"/>
            <w:shd w:val="clear" w:color="auto" w:fill="auto"/>
            <w:noWrap/>
            <w:vAlign w:val="center"/>
            <w:hideMark/>
          </w:tcPr>
          <w:p w14:paraId="33D1B9EA"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ПДВ</w:t>
            </w:r>
          </w:p>
        </w:tc>
        <w:tc>
          <w:tcPr>
            <w:tcW w:w="697" w:type="pct"/>
            <w:shd w:val="clear" w:color="auto" w:fill="auto"/>
            <w:hideMark/>
          </w:tcPr>
          <w:p w14:paraId="0FD60EB1"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197,5</w:t>
            </w:r>
          </w:p>
        </w:tc>
        <w:tc>
          <w:tcPr>
            <w:tcW w:w="900" w:type="pct"/>
            <w:shd w:val="clear" w:color="auto" w:fill="auto"/>
            <w:hideMark/>
          </w:tcPr>
          <w:p w14:paraId="21FE571F"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223,2</w:t>
            </w:r>
          </w:p>
        </w:tc>
        <w:tc>
          <w:tcPr>
            <w:tcW w:w="1298" w:type="pct"/>
            <w:shd w:val="clear" w:color="auto" w:fill="auto"/>
            <w:hideMark/>
          </w:tcPr>
          <w:p w14:paraId="66D4A467" w14:textId="0ED2FFB4"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12</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7</w:t>
            </w:r>
          </w:p>
        </w:tc>
      </w:tr>
      <w:tr w:rsidR="00FD53BE" w:rsidRPr="0062711C" w14:paraId="129AB770" w14:textId="77777777" w:rsidTr="006A5646">
        <w:trPr>
          <w:trHeight w:val="242"/>
          <w:tblHeader/>
          <w:jc w:val="right"/>
        </w:trPr>
        <w:tc>
          <w:tcPr>
            <w:tcW w:w="2105" w:type="pct"/>
            <w:shd w:val="clear" w:color="auto" w:fill="auto"/>
            <w:noWrap/>
            <w:vAlign w:val="center"/>
            <w:hideMark/>
          </w:tcPr>
          <w:p w14:paraId="40FEF353"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Акцизе</w:t>
            </w:r>
          </w:p>
        </w:tc>
        <w:tc>
          <w:tcPr>
            <w:tcW w:w="697" w:type="pct"/>
            <w:shd w:val="clear" w:color="auto" w:fill="auto"/>
            <w:hideMark/>
          </w:tcPr>
          <w:p w14:paraId="0FC99112"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82,0</w:t>
            </w:r>
          </w:p>
        </w:tc>
        <w:tc>
          <w:tcPr>
            <w:tcW w:w="900" w:type="pct"/>
            <w:shd w:val="clear" w:color="auto" w:fill="auto"/>
            <w:hideMark/>
          </w:tcPr>
          <w:p w14:paraId="42CF11D1"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102,8</w:t>
            </w:r>
          </w:p>
        </w:tc>
        <w:tc>
          <w:tcPr>
            <w:tcW w:w="1298" w:type="pct"/>
            <w:shd w:val="clear" w:color="auto" w:fill="auto"/>
            <w:hideMark/>
          </w:tcPr>
          <w:p w14:paraId="0B09D0C4" w14:textId="0765E551"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0</w:t>
            </w:r>
          </w:p>
        </w:tc>
      </w:tr>
      <w:tr w:rsidR="00FD53BE" w:rsidRPr="0062711C" w14:paraId="7AF43605" w14:textId="77777777" w:rsidTr="006A5646">
        <w:trPr>
          <w:trHeight w:val="242"/>
          <w:tblHeader/>
          <w:jc w:val="right"/>
        </w:trPr>
        <w:tc>
          <w:tcPr>
            <w:tcW w:w="2105" w:type="pct"/>
            <w:shd w:val="clear" w:color="auto" w:fill="auto"/>
            <w:noWrap/>
            <w:vAlign w:val="center"/>
            <w:hideMark/>
          </w:tcPr>
          <w:p w14:paraId="547BFB0F"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Царине</w:t>
            </w:r>
          </w:p>
        </w:tc>
        <w:tc>
          <w:tcPr>
            <w:tcW w:w="697" w:type="pct"/>
            <w:shd w:val="clear" w:color="auto" w:fill="auto"/>
            <w:hideMark/>
          </w:tcPr>
          <w:p w14:paraId="335B5135"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19,4</w:t>
            </w:r>
          </w:p>
        </w:tc>
        <w:tc>
          <w:tcPr>
            <w:tcW w:w="900" w:type="pct"/>
            <w:shd w:val="clear" w:color="auto" w:fill="auto"/>
            <w:hideMark/>
          </w:tcPr>
          <w:p w14:paraId="5147212A"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21,0</w:t>
            </w:r>
          </w:p>
        </w:tc>
        <w:tc>
          <w:tcPr>
            <w:tcW w:w="1298" w:type="pct"/>
            <w:shd w:val="clear" w:color="auto" w:fill="auto"/>
            <w:hideMark/>
          </w:tcPr>
          <w:p w14:paraId="3CE6BD2D" w14:textId="0513F13A"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8</w:t>
            </w:r>
          </w:p>
        </w:tc>
      </w:tr>
      <w:tr w:rsidR="00FD53BE" w:rsidRPr="0062711C" w14:paraId="2421664A" w14:textId="77777777" w:rsidTr="006A5646">
        <w:trPr>
          <w:trHeight w:val="242"/>
          <w:tblHeader/>
          <w:jc w:val="right"/>
        </w:trPr>
        <w:tc>
          <w:tcPr>
            <w:tcW w:w="2105" w:type="pct"/>
            <w:shd w:val="clear" w:color="auto" w:fill="auto"/>
            <w:noWrap/>
            <w:vAlign w:val="center"/>
            <w:hideMark/>
          </w:tcPr>
          <w:p w14:paraId="05C95362"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Остали порески приходи</w:t>
            </w:r>
          </w:p>
        </w:tc>
        <w:tc>
          <w:tcPr>
            <w:tcW w:w="697" w:type="pct"/>
            <w:shd w:val="clear" w:color="auto" w:fill="auto"/>
            <w:hideMark/>
          </w:tcPr>
          <w:p w14:paraId="179089EE"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26,1</w:t>
            </w:r>
          </w:p>
        </w:tc>
        <w:tc>
          <w:tcPr>
            <w:tcW w:w="900" w:type="pct"/>
            <w:shd w:val="clear" w:color="auto" w:fill="auto"/>
            <w:hideMark/>
          </w:tcPr>
          <w:p w14:paraId="1F083333"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26,8</w:t>
            </w:r>
          </w:p>
        </w:tc>
        <w:tc>
          <w:tcPr>
            <w:tcW w:w="1298" w:type="pct"/>
            <w:shd w:val="clear" w:color="auto" w:fill="auto"/>
            <w:hideMark/>
          </w:tcPr>
          <w:p w14:paraId="6FC2ED95" w14:textId="221DE780"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9</w:t>
            </w:r>
          </w:p>
        </w:tc>
      </w:tr>
      <w:tr w:rsidR="00FD53BE" w:rsidRPr="0062711C" w14:paraId="7BE239BF" w14:textId="77777777" w:rsidTr="006A5646">
        <w:trPr>
          <w:trHeight w:val="242"/>
          <w:tblHeader/>
          <w:jc w:val="right"/>
        </w:trPr>
        <w:tc>
          <w:tcPr>
            <w:tcW w:w="2105" w:type="pct"/>
            <w:shd w:val="clear" w:color="auto" w:fill="auto"/>
            <w:noWrap/>
            <w:vAlign w:val="center"/>
            <w:hideMark/>
          </w:tcPr>
          <w:p w14:paraId="305DF3C9"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Доприноси</w:t>
            </w:r>
          </w:p>
        </w:tc>
        <w:tc>
          <w:tcPr>
            <w:tcW w:w="697" w:type="pct"/>
            <w:shd w:val="clear" w:color="auto" w:fill="auto"/>
            <w:hideMark/>
          </w:tcPr>
          <w:p w14:paraId="1F5E23C3"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238,8</w:t>
            </w:r>
          </w:p>
        </w:tc>
        <w:tc>
          <w:tcPr>
            <w:tcW w:w="900" w:type="pct"/>
            <w:shd w:val="clear" w:color="auto" w:fill="auto"/>
            <w:hideMark/>
          </w:tcPr>
          <w:p w14:paraId="798EBD16"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273,5</w:t>
            </w:r>
          </w:p>
        </w:tc>
        <w:tc>
          <w:tcPr>
            <w:tcW w:w="1298" w:type="pct"/>
            <w:shd w:val="clear" w:color="auto" w:fill="auto"/>
            <w:hideMark/>
          </w:tcPr>
          <w:p w14:paraId="3272DF03" w14:textId="6A967D6F"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1</w:t>
            </w:r>
          </w:p>
        </w:tc>
      </w:tr>
      <w:tr w:rsidR="00FD53BE" w:rsidRPr="0062711C" w14:paraId="6E548B49" w14:textId="77777777" w:rsidTr="006A5646">
        <w:trPr>
          <w:trHeight w:val="242"/>
          <w:tblHeader/>
          <w:jc w:val="right"/>
        </w:trPr>
        <w:tc>
          <w:tcPr>
            <w:tcW w:w="2105" w:type="pct"/>
            <w:shd w:val="clear" w:color="auto" w:fill="auto"/>
            <w:noWrap/>
            <w:vAlign w:val="center"/>
            <w:hideMark/>
          </w:tcPr>
          <w:p w14:paraId="30CE556A"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Непорески приходи</w:t>
            </w:r>
          </w:p>
        </w:tc>
        <w:tc>
          <w:tcPr>
            <w:tcW w:w="697" w:type="pct"/>
            <w:shd w:val="clear" w:color="auto" w:fill="auto"/>
            <w:hideMark/>
          </w:tcPr>
          <w:p w14:paraId="76AF9540"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71,5</w:t>
            </w:r>
          </w:p>
        </w:tc>
        <w:tc>
          <w:tcPr>
            <w:tcW w:w="900" w:type="pct"/>
            <w:shd w:val="clear" w:color="auto" w:fill="auto"/>
            <w:hideMark/>
          </w:tcPr>
          <w:p w14:paraId="48FDBEF9"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88,6</w:t>
            </w:r>
          </w:p>
        </w:tc>
        <w:tc>
          <w:tcPr>
            <w:tcW w:w="1298" w:type="pct"/>
            <w:shd w:val="clear" w:color="auto" w:fill="auto"/>
            <w:hideMark/>
          </w:tcPr>
          <w:p w14:paraId="52B7C02E" w14:textId="65C729B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3</w:t>
            </w:r>
          </w:p>
        </w:tc>
      </w:tr>
      <w:tr w:rsidR="00FD53BE" w:rsidRPr="0062711C" w14:paraId="6FEE8E45" w14:textId="77777777" w:rsidTr="006A5646">
        <w:trPr>
          <w:trHeight w:val="242"/>
          <w:tblHeader/>
          <w:jc w:val="right"/>
        </w:trPr>
        <w:tc>
          <w:tcPr>
            <w:tcW w:w="2105" w:type="pct"/>
            <w:shd w:val="clear" w:color="auto" w:fill="auto"/>
            <w:noWrap/>
            <w:vAlign w:val="center"/>
            <w:hideMark/>
          </w:tcPr>
          <w:p w14:paraId="3C7062E9"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Донације</w:t>
            </w:r>
          </w:p>
        </w:tc>
        <w:tc>
          <w:tcPr>
            <w:tcW w:w="697" w:type="pct"/>
            <w:shd w:val="clear" w:color="auto" w:fill="auto"/>
            <w:hideMark/>
          </w:tcPr>
          <w:p w14:paraId="3E8F53FE"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20,8</w:t>
            </w:r>
          </w:p>
        </w:tc>
        <w:tc>
          <w:tcPr>
            <w:tcW w:w="900" w:type="pct"/>
            <w:shd w:val="clear" w:color="auto" w:fill="auto"/>
            <w:hideMark/>
          </w:tcPr>
          <w:p w14:paraId="1B961ED4"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4,0</w:t>
            </w:r>
          </w:p>
        </w:tc>
        <w:tc>
          <w:tcPr>
            <w:tcW w:w="1298" w:type="pct"/>
            <w:shd w:val="clear" w:color="auto" w:fill="auto"/>
            <w:hideMark/>
          </w:tcPr>
          <w:p w14:paraId="734317A2" w14:textId="01FE3E33"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4</w:t>
            </w:r>
          </w:p>
        </w:tc>
      </w:tr>
      <w:tr w:rsidR="00FD53BE" w:rsidRPr="0062711C" w14:paraId="38B32D1D" w14:textId="77777777" w:rsidTr="006A5646">
        <w:trPr>
          <w:trHeight w:val="242"/>
          <w:tblHeader/>
          <w:jc w:val="right"/>
        </w:trPr>
        <w:tc>
          <w:tcPr>
            <w:tcW w:w="2105" w:type="pct"/>
            <w:shd w:val="clear" w:color="auto" w:fill="E7E6E6" w:themeFill="background2"/>
            <w:noWrap/>
            <w:vAlign w:val="center"/>
            <w:hideMark/>
          </w:tcPr>
          <w:p w14:paraId="2DD4E6FA" w14:textId="77777777" w:rsidR="00FD53BE" w:rsidRPr="0062711C" w:rsidRDefault="00FD53BE" w:rsidP="00FD53BE">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ЈАВНИ РАСХОДИ</w:t>
            </w:r>
          </w:p>
        </w:tc>
        <w:tc>
          <w:tcPr>
            <w:tcW w:w="697" w:type="pct"/>
            <w:shd w:val="clear" w:color="auto" w:fill="E7E6E6" w:themeFill="background2"/>
            <w:hideMark/>
          </w:tcPr>
          <w:p w14:paraId="5BADCCAD"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797,9</w:t>
            </w:r>
          </w:p>
        </w:tc>
        <w:tc>
          <w:tcPr>
            <w:tcW w:w="900" w:type="pct"/>
            <w:shd w:val="clear" w:color="auto" w:fill="E7E6E6" w:themeFill="background2"/>
            <w:noWrap/>
            <w:hideMark/>
          </w:tcPr>
          <w:p w14:paraId="3591EA1B"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898,0</w:t>
            </w:r>
          </w:p>
        </w:tc>
        <w:tc>
          <w:tcPr>
            <w:tcW w:w="1298" w:type="pct"/>
            <w:shd w:val="clear" w:color="auto" w:fill="E7E6E6" w:themeFill="background2"/>
            <w:hideMark/>
          </w:tcPr>
          <w:p w14:paraId="50466C3C" w14:textId="7C7E22B1"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10</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0</w:t>
            </w:r>
          </w:p>
        </w:tc>
      </w:tr>
      <w:tr w:rsidR="00FD53BE" w:rsidRPr="0062711C" w14:paraId="448297AE" w14:textId="77777777" w:rsidTr="006A5646">
        <w:trPr>
          <w:trHeight w:val="242"/>
          <w:tblHeader/>
          <w:jc w:val="right"/>
        </w:trPr>
        <w:tc>
          <w:tcPr>
            <w:tcW w:w="2105" w:type="pct"/>
            <w:shd w:val="clear" w:color="auto" w:fill="auto"/>
            <w:noWrap/>
            <w:vAlign w:val="center"/>
            <w:hideMark/>
          </w:tcPr>
          <w:p w14:paraId="4CD679EA"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Текући расходи</w:t>
            </w:r>
          </w:p>
        </w:tc>
        <w:tc>
          <w:tcPr>
            <w:tcW w:w="697" w:type="pct"/>
            <w:shd w:val="clear" w:color="auto" w:fill="auto"/>
            <w:hideMark/>
          </w:tcPr>
          <w:p w14:paraId="5B0FF1AE"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666,8</w:t>
            </w:r>
          </w:p>
        </w:tc>
        <w:tc>
          <w:tcPr>
            <w:tcW w:w="900" w:type="pct"/>
            <w:shd w:val="clear" w:color="auto" w:fill="auto"/>
            <w:noWrap/>
            <w:hideMark/>
          </w:tcPr>
          <w:p w14:paraId="0DB77ABA"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789,6</w:t>
            </w:r>
          </w:p>
        </w:tc>
        <w:tc>
          <w:tcPr>
            <w:tcW w:w="1298" w:type="pct"/>
            <w:shd w:val="clear" w:color="auto" w:fill="auto"/>
            <w:hideMark/>
          </w:tcPr>
          <w:p w14:paraId="412BB319" w14:textId="0F608A9F"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11</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0</w:t>
            </w:r>
          </w:p>
        </w:tc>
      </w:tr>
      <w:tr w:rsidR="00FD53BE" w:rsidRPr="0062711C" w14:paraId="4135D54D" w14:textId="77777777" w:rsidTr="006A5646">
        <w:trPr>
          <w:trHeight w:val="242"/>
          <w:tblHeader/>
          <w:jc w:val="right"/>
        </w:trPr>
        <w:tc>
          <w:tcPr>
            <w:tcW w:w="2105" w:type="pct"/>
            <w:shd w:val="clear" w:color="auto" w:fill="auto"/>
            <w:noWrap/>
            <w:vAlign w:val="center"/>
            <w:hideMark/>
          </w:tcPr>
          <w:p w14:paraId="6101C0A1"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Расходи за запослене</w:t>
            </w:r>
          </w:p>
        </w:tc>
        <w:tc>
          <w:tcPr>
            <w:tcW w:w="697" w:type="pct"/>
            <w:shd w:val="clear" w:color="auto" w:fill="auto"/>
            <w:hideMark/>
          </w:tcPr>
          <w:p w14:paraId="1B47D933"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185,1</w:t>
            </w:r>
          </w:p>
        </w:tc>
        <w:tc>
          <w:tcPr>
            <w:tcW w:w="900" w:type="pct"/>
            <w:shd w:val="clear" w:color="auto" w:fill="auto"/>
            <w:hideMark/>
          </w:tcPr>
          <w:p w14:paraId="2E6444E8"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220,2</w:t>
            </w:r>
          </w:p>
        </w:tc>
        <w:tc>
          <w:tcPr>
            <w:tcW w:w="1298" w:type="pct"/>
            <w:shd w:val="clear" w:color="auto" w:fill="auto"/>
            <w:hideMark/>
          </w:tcPr>
          <w:p w14:paraId="3A3292C8" w14:textId="31D6FD8D"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16</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2</w:t>
            </w:r>
          </w:p>
        </w:tc>
      </w:tr>
      <w:tr w:rsidR="00FD53BE" w:rsidRPr="0062711C" w14:paraId="676FB1D1" w14:textId="77777777" w:rsidTr="006A5646">
        <w:trPr>
          <w:trHeight w:val="242"/>
          <w:tblHeader/>
          <w:jc w:val="right"/>
        </w:trPr>
        <w:tc>
          <w:tcPr>
            <w:tcW w:w="2105" w:type="pct"/>
            <w:shd w:val="clear" w:color="auto" w:fill="auto"/>
            <w:noWrap/>
            <w:vAlign w:val="center"/>
            <w:hideMark/>
          </w:tcPr>
          <w:p w14:paraId="4944D239"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Куповина робе и услуга</w:t>
            </w:r>
          </w:p>
        </w:tc>
        <w:tc>
          <w:tcPr>
            <w:tcW w:w="697" w:type="pct"/>
            <w:shd w:val="clear" w:color="auto" w:fill="auto"/>
            <w:hideMark/>
          </w:tcPr>
          <w:p w14:paraId="7041BA15"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122,0</w:t>
            </w:r>
          </w:p>
        </w:tc>
        <w:tc>
          <w:tcPr>
            <w:tcW w:w="900" w:type="pct"/>
            <w:shd w:val="clear" w:color="auto" w:fill="auto"/>
            <w:hideMark/>
          </w:tcPr>
          <w:p w14:paraId="248CAE9E"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139,5</w:t>
            </w:r>
          </w:p>
        </w:tc>
        <w:tc>
          <w:tcPr>
            <w:tcW w:w="1298" w:type="pct"/>
            <w:shd w:val="clear" w:color="auto" w:fill="auto"/>
            <w:hideMark/>
          </w:tcPr>
          <w:p w14:paraId="411F4390" w14:textId="1AE69D89"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1</w:t>
            </w:r>
          </w:p>
        </w:tc>
      </w:tr>
      <w:tr w:rsidR="00FD53BE" w:rsidRPr="0062711C" w14:paraId="0C465135" w14:textId="77777777" w:rsidTr="006A5646">
        <w:trPr>
          <w:trHeight w:val="242"/>
          <w:tblHeader/>
          <w:jc w:val="right"/>
        </w:trPr>
        <w:tc>
          <w:tcPr>
            <w:tcW w:w="2105" w:type="pct"/>
            <w:shd w:val="clear" w:color="auto" w:fill="auto"/>
            <w:noWrap/>
            <w:vAlign w:val="center"/>
            <w:hideMark/>
          </w:tcPr>
          <w:p w14:paraId="43059C35"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Отплата камата</w:t>
            </w:r>
          </w:p>
        </w:tc>
        <w:tc>
          <w:tcPr>
            <w:tcW w:w="697" w:type="pct"/>
            <w:shd w:val="clear" w:color="auto" w:fill="auto"/>
            <w:hideMark/>
          </w:tcPr>
          <w:p w14:paraId="49466BB4"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47,7</w:t>
            </w:r>
          </w:p>
        </w:tc>
        <w:tc>
          <w:tcPr>
            <w:tcW w:w="900" w:type="pct"/>
            <w:shd w:val="clear" w:color="auto" w:fill="auto"/>
            <w:hideMark/>
          </w:tcPr>
          <w:p w14:paraId="2D9EB90D"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62,2</w:t>
            </w:r>
          </w:p>
        </w:tc>
        <w:tc>
          <w:tcPr>
            <w:tcW w:w="1298" w:type="pct"/>
            <w:shd w:val="clear" w:color="auto" w:fill="auto"/>
            <w:hideMark/>
          </w:tcPr>
          <w:p w14:paraId="2510B040" w14:textId="6C1DF171"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24</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6</w:t>
            </w:r>
          </w:p>
        </w:tc>
      </w:tr>
      <w:tr w:rsidR="00FD53BE" w:rsidRPr="0062711C" w14:paraId="3BB7A5C8" w14:textId="77777777" w:rsidTr="006A5646">
        <w:trPr>
          <w:trHeight w:val="242"/>
          <w:tblHeader/>
          <w:jc w:val="right"/>
        </w:trPr>
        <w:tc>
          <w:tcPr>
            <w:tcW w:w="2105" w:type="pct"/>
            <w:shd w:val="clear" w:color="auto" w:fill="auto"/>
            <w:noWrap/>
            <w:vAlign w:val="center"/>
            <w:hideMark/>
          </w:tcPr>
          <w:p w14:paraId="00A61C73"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Субвенције</w:t>
            </w:r>
          </w:p>
        </w:tc>
        <w:tc>
          <w:tcPr>
            <w:tcW w:w="697" w:type="pct"/>
            <w:shd w:val="clear" w:color="auto" w:fill="auto"/>
            <w:hideMark/>
          </w:tcPr>
          <w:p w14:paraId="7F9E121C"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34,0</w:t>
            </w:r>
          </w:p>
        </w:tc>
        <w:tc>
          <w:tcPr>
            <w:tcW w:w="900" w:type="pct"/>
            <w:shd w:val="clear" w:color="auto" w:fill="auto"/>
            <w:hideMark/>
          </w:tcPr>
          <w:p w14:paraId="6E29AE10"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36,8</w:t>
            </w:r>
          </w:p>
        </w:tc>
        <w:tc>
          <w:tcPr>
            <w:tcW w:w="1298" w:type="pct"/>
            <w:shd w:val="clear" w:color="auto" w:fill="auto"/>
            <w:hideMark/>
          </w:tcPr>
          <w:p w14:paraId="4B7DFF4A" w14:textId="2F08B30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8</w:t>
            </w:r>
          </w:p>
        </w:tc>
      </w:tr>
      <w:tr w:rsidR="00FD53BE" w:rsidRPr="0062711C" w14:paraId="326CAA8A" w14:textId="77777777" w:rsidTr="006A5646">
        <w:trPr>
          <w:trHeight w:val="242"/>
          <w:tblHeader/>
          <w:jc w:val="right"/>
        </w:trPr>
        <w:tc>
          <w:tcPr>
            <w:tcW w:w="2105" w:type="pct"/>
            <w:shd w:val="clear" w:color="auto" w:fill="auto"/>
            <w:noWrap/>
            <w:vAlign w:val="center"/>
            <w:hideMark/>
          </w:tcPr>
          <w:p w14:paraId="0F5FB2B7"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Социјална помоћ и трансфери</w:t>
            </w:r>
          </w:p>
        </w:tc>
        <w:tc>
          <w:tcPr>
            <w:tcW w:w="697" w:type="pct"/>
            <w:shd w:val="clear" w:color="auto" w:fill="auto"/>
            <w:hideMark/>
          </w:tcPr>
          <w:p w14:paraId="6557CDC7"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254,7</w:t>
            </w:r>
          </w:p>
        </w:tc>
        <w:tc>
          <w:tcPr>
            <w:tcW w:w="900" w:type="pct"/>
            <w:shd w:val="clear" w:color="auto" w:fill="auto"/>
            <w:hideMark/>
          </w:tcPr>
          <w:p w14:paraId="747E2714"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298,7</w:t>
            </w:r>
          </w:p>
        </w:tc>
        <w:tc>
          <w:tcPr>
            <w:tcW w:w="1298" w:type="pct"/>
            <w:shd w:val="clear" w:color="auto" w:fill="auto"/>
            <w:hideMark/>
          </w:tcPr>
          <w:p w14:paraId="7FCE8FB9" w14:textId="622E697A"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12</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4</w:t>
            </w:r>
          </w:p>
        </w:tc>
      </w:tr>
      <w:tr w:rsidR="00FD53BE" w:rsidRPr="0062711C" w14:paraId="2ED7F087" w14:textId="77777777" w:rsidTr="006A5646">
        <w:trPr>
          <w:trHeight w:val="242"/>
          <w:tblHeader/>
          <w:jc w:val="right"/>
        </w:trPr>
        <w:tc>
          <w:tcPr>
            <w:tcW w:w="2105" w:type="pct"/>
            <w:shd w:val="clear" w:color="auto" w:fill="auto"/>
            <w:noWrap/>
            <w:vAlign w:val="center"/>
            <w:hideMark/>
          </w:tcPr>
          <w:p w14:paraId="0DD72D34"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од чега пензије</w:t>
            </w:r>
          </w:p>
        </w:tc>
        <w:tc>
          <w:tcPr>
            <w:tcW w:w="697" w:type="pct"/>
            <w:shd w:val="clear" w:color="auto" w:fill="auto"/>
            <w:hideMark/>
          </w:tcPr>
          <w:p w14:paraId="12EDD8CB"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186,9</w:t>
            </w:r>
          </w:p>
        </w:tc>
        <w:tc>
          <w:tcPr>
            <w:tcW w:w="900" w:type="pct"/>
            <w:shd w:val="clear" w:color="auto" w:fill="auto"/>
            <w:hideMark/>
          </w:tcPr>
          <w:p w14:paraId="49A2A05D"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224,7</w:t>
            </w:r>
          </w:p>
        </w:tc>
        <w:tc>
          <w:tcPr>
            <w:tcW w:w="1298" w:type="pct"/>
            <w:shd w:val="clear" w:color="auto" w:fill="auto"/>
            <w:hideMark/>
          </w:tcPr>
          <w:p w14:paraId="2E37D44A" w14:textId="4688F460"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19</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7</w:t>
            </w:r>
          </w:p>
        </w:tc>
      </w:tr>
      <w:tr w:rsidR="00FD53BE" w:rsidRPr="0062711C" w14:paraId="595335A9" w14:textId="77777777" w:rsidTr="006A5646">
        <w:trPr>
          <w:trHeight w:val="242"/>
          <w:tblHeader/>
          <w:jc w:val="right"/>
        </w:trPr>
        <w:tc>
          <w:tcPr>
            <w:tcW w:w="2105" w:type="pct"/>
            <w:shd w:val="clear" w:color="auto" w:fill="auto"/>
            <w:noWrap/>
            <w:vAlign w:val="center"/>
            <w:hideMark/>
          </w:tcPr>
          <w:p w14:paraId="2D33361F"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Остали текући расходи</w:t>
            </w:r>
          </w:p>
        </w:tc>
        <w:tc>
          <w:tcPr>
            <w:tcW w:w="697" w:type="pct"/>
            <w:shd w:val="clear" w:color="auto" w:fill="auto"/>
            <w:hideMark/>
          </w:tcPr>
          <w:p w14:paraId="20B01D41"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23,3</w:t>
            </w:r>
          </w:p>
        </w:tc>
        <w:tc>
          <w:tcPr>
            <w:tcW w:w="900" w:type="pct"/>
            <w:shd w:val="clear" w:color="auto" w:fill="auto"/>
            <w:hideMark/>
          </w:tcPr>
          <w:p w14:paraId="1F5EFFDC"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32,1</w:t>
            </w:r>
          </w:p>
        </w:tc>
        <w:tc>
          <w:tcPr>
            <w:tcW w:w="1298" w:type="pct"/>
            <w:shd w:val="clear" w:color="auto" w:fill="auto"/>
            <w:hideMark/>
          </w:tcPr>
          <w:p w14:paraId="4B60BD83" w14:textId="08CE9C16"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9</w:t>
            </w:r>
          </w:p>
        </w:tc>
      </w:tr>
      <w:tr w:rsidR="00FD53BE" w:rsidRPr="0062711C" w14:paraId="1C559A84" w14:textId="77777777" w:rsidTr="006A5646">
        <w:trPr>
          <w:trHeight w:val="242"/>
          <w:tblHeader/>
          <w:jc w:val="right"/>
        </w:trPr>
        <w:tc>
          <w:tcPr>
            <w:tcW w:w="2105" w:type="pct"/>
            <w:shd w:val="clear" w:color="auto" w:fill="auto"/>
            <w:noWrap/>
            <w:vAlign w:val="center"/>
            <w:hideMark/>
          </w:tcPr>
          <w:p w14:paraId="683E83E3"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Капитални расходи</w:t>
            </w:r>
          </w:p>
        </w:tc>
        <w:tc>
          <w:tcPr>
            <w:tcW w:w="697" w:type="pct"/>
            <w:shd w:val="clear" w:color="auto" w:fill="auto"/>
            <w:hideMark/>
          </w:tcPr>
          <w:p w14:paraId="41568018"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92,6</w:t>
            </w:r>
          </w:p>
        </w:tc>
        <w:tc>
          <w:tcPr>
            <w:tcW w:w="900" w:type="pct"/>
            <w:shd w:val="clear" w:color="auto" w:fill="auto"/>
            <w:hideMark/>
          </w:tcPr>
          <w:p w14:paraId="2E7CF063"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95,9</w:t>
            </w:r>
          </w:p>
        </w:tc>
        <w:tc>
          <w:tcPr>
            <w:tcW w:w="1298" w:type="pct"/>
            <w:shd w:val="clear" w:color="auto" w:fill="auto"/>
            <w:hideMark/>
          </w:tcPr>
          <w:p w14:paraId="5AB99352" w14:textId="28B99A6C"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14</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7</w:t>
            </w:r>
          </w:p>
        </w:tc>
      </w:tr>
      <w:tr w:rsidR="00FD53BE" w:rsidRPr="0062711C" w14:paraId="2FA482B7" w14:textId="77777777" w:rsidTr="006A5646">
        <w:trPr>
          <w:trHeight w:val="242"/>
          <w:tblHeader/>
          <w:jc w:val="right"/>
        </w:trPr>
        <w:tc>
          <w:tcPr>
            <w:tcW w:w="2105" w:type="pct"/>
            <w:shd w:val="clear" w:color="auto" w:fill="auto"/>
            <w:noWrap/>
            <w:vAlign w:val="center"/>
            <w:hideMark/>
          </w:tcPr>
          <w:p w14:paraId="1B1578BF"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Нето буџетске позајмице</w:t>
            </w:r>
          </w:p>
        </w:tc>
        <w:tc>
          <w:tcPr>
            <w:tcW w:w="697" w:type="pct"/>
            <w:shd w:val="clear" w:color="auto" w:fill="auto"/>
            <w:hideMark/>
          </w:tcPr>
          <w:p w14:paraId="21C5F31B"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32,5</w:t>
            </w:r>
          </w:p>
        </w:tc>
        <w:tc>
          <w:tcPr>
            <w:tcW w:w="900" w:type="pct"/>
            <w:shd w:val="clear" w:color="auto" w:fill="auto"/>
            <w:hideMark/>
          </w:tcPr>
          <w:p w14:paraId="420C23BB"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5,8</w:t>
            </w:r>
          </w:p>
        </w:tc>
        <w:tc>
          <w:tcPr>
            <w:tcW w:w="1298" w:type="pct"/>
            <w:shd w:val="clear" w:color="auto" w:fill="auto"/>
            <w:hideMark/>
          </w:tcPr>
          <w:p w14:paraId="7978F038" w14:textId="258F90ED"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-72</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6</w:t>
            </w:r>
          </w:p>
        </w:tc>
      </w:tr>
      <w:tr w:rsidR="00FD53BE" w:rsidRPr="0062711C" w14:paraId="236EE811" w14:textId="77777777" w:rsidTr="006A5646">
        <w:trPr>
          <w:trHeight w:val="242"/>
          <w:tblHeader/>
          <w:jc w:val="right"/>
        </w:trPr>
        <w:tc>
          <w:tcPr>
            <w:tcW w:w="2105" w:type="pct"/>
            <w:shd w:val="clear" w:color="auto" w:fill="auto"/>
            <w:noWrap/>
            <w:vAlign w:val="center"/>
            <w:hideMark/>
          </w:tcPr>
          <w:p w14:paraId="55376F62" w14:textId="77777777" w:rsidR="00FD53BE" w:rsidRPr="0062711C" w:rsidRDefault="00FD53BE" w:rsidP="00FD53BE">
            <w:pPr>
              <w:spacing w:after="0" w:line="240" w:lineRule="auto"/>
              <w:jc w:val="left"/>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Активиране гаранције</w:t>
            </w:r>
          </w:p>
        </w:tc>
        <w:tc>
          <w:tcPr>
            <w:tcW w:w="697" w:type="pct"/>
            <w:shd w:val="clear" w:color="auto" w:fill="auto"/>
            <w:hideMark/>
          </w:tcPr>
          <w:p w14:paraId="4AB8F8B0"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6,0</w:t>
            </w:r>
          </w:p>
        </w:tc>
        <w:tc>
          <w:tcPr>
            <w:tcW w:w="900" w:type="pct"/>
            <w:shd w:val="clear" w:color="auto" w:fill="auto"/>
            <w:hideMark/>
          </w:tcPr>
          <w:p w14:paraId="35295BF8"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6,8</w:t>
            </w:r>
          </w:p>
        </w:tc>
        <w:tc>
          <w:tcPr>
            <w:tcW w:w="1298" w:type="pct"/>
            <w:shd w:val="clear" w:color="auto" w:fill="auto"/>
            <w:hideMark/>
          </w:tcPr>
          <w:p w14:paraId="1086EE41" w14:textId="146AA3EE"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23</w:t>
            </w:r>
            <w:r w:rsidR="006A5646">
              <w:rPr>
                <w:rFonts w:eastAsia="MS PGothic" w:cstheme="minorHAnsi"/>
                <w:color w:val="002060"/>
                <w:sz w:val="16"/>
                <w:szCs w:val="16"/>
                <w:lang w:val="sr-Cyrl-RS" w:eastAsia="ja-JP"/>
              </w:rPr>
              <w:t>,</w:t>
            </w:r>
            <w:r w:rsidRPr="0062711C">
              <w:rPr>
                <w:rFonts w:eastAsia="MS PGothic" w:cstheme="minorHAnsi"/>
                <w:color w:val="002060"/>
                <w:sz w:val="16"/>
                <w:szCs w:val="16"/>
                <w:lang w:val="sr-Cyrl-RS" w:eastAsia="ja-JP"/>
              </w:rPr>
              <w:t>8</w:t>
            </w:r>
          </w:p>
        </w:tc>
      </w:tr>
      <w:tr w:rsidR="00FD53BE" w:rsidRPr="0062711C" w14:paraId="554A15CB" w14:textId="77777777" w:rsidTr="006A5646">
        <w:trPr>
          <w:trHeight w:val="242"/>
          <w:tblHeader/>
          <w:jc w:val="right"/>
        </w:trPr>
        <w:tc>
          <w:tcPr>
            <w:tcW w:w="2105" w:type="pct"/>
            <w:tcBorders>
              <w:bottom w:val="single" w:sz="4" w:space="0" w:color="002060"/>
            </w:tcBorders>
            <w:shd w:val="clear" w:color="auto" w:fill="E7E6E6" w:themeFill="background2"/>
            <w:noWrap/>
            <w:vAlign w:val="center"/>
            <w:hideMark/>
          </w:tcPr>
          <w:p w14:paraId="70C98D58" w14:textId="77777777" w:rsidR="00FD53BE" w:rsidRPr="0062711C" w:rsidRDefault="00FD53BE" w:rsidP="00FD53BE">
            <w:pPr>
              <w:spacing w:after="0" w:line="240" w:lineRule="auto"/>
              <w:jc w:val="left"/>
              <w:rPr>
                <w:rFonts w:cstheme="minorHAnsi"/>
                <w:color w:val="002060"/>
                <w:sz w:val="16"/>
                <w:szCs w:val="16"/>
                <w:lang w:val="sr-Cyrl-RS"/>
              </w:rPr>
            </w:pPr>
            <w:r w:rsidRPr="0062711C">
              <w:rPr>
                <w:rFonts w:eastAsia="MS PGothic" w:cstheme="minorHAnsi"/>
                <w:color w:val="002060"/>
                <w:sz w:val="16"/>
                <w:szCs w:val="16"/>
                <w:lang w:val="sr-Cyrl-RS" w:eastAsia="ja-JP"/>
              </w:rPr>
              <w:t>Фискални резултат</w:t>
            </w:r>
          </w:p>
        </w:tc>
        <w:tc>
          <w:tcPr>
            <w:tcW w:w="697" w:type="pct"/>
            <w:tcBorders>
              <w:bottom w:val="single" w:sz="4" w:space="0" w:color="002060"/>
            </w:tcBorders>
            <w:shd w:val="clear" w:color="auto" w:fill="E7E6E6" w:themeFill="background2"/>
            <w:hideMark/>
          </w:tcPr>
          <w:p w14:paraId="7F405982"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-24,8</w:t>
            </w:r>
          </w:p>
        </w:tc>
        <w:tc>
          <w:tcPr>
            <w:tcW w:w="900" w:type="pct"/>
            <w:tcBorders>
              <w:bottom w:val="single" w:sz="4" w:space="0" w:color="002060"/>
            </w:tcBorders>
            <w:shd w:val="clear" w:color="auto" w:fill="E7E6E6" w:themeFill="background2"/>
            <w:hideMark/>
          </w:tcPr>
          <w:p w14:paraId="62B6C9D5" w14:textId="77777777" w:rsidR="00FD53BE" w:rsidRPr="0062711C" w:rsidRDefault="00FD53BE" w:rsidP="00FD53BE">
            <w:pPr>
              <w:spacing w:after="0" w:line="240" w:lineRule="auto"/>
              <w:jc w:val="center"/>
              <w:rPr>
                <w:rFonts w:eastAsia="MS PGothic" w:cstheme="minorHAnsi"/>
                <w:color w:val="002060"/>
                <w:sz w:val="16"/>
                <w:szCs w:val="16"/>
                <w:lang w:val="sr-Cyrl-RS" w:eastAsia="ja-JP"/>
              </w:rPr>
            </w:pPr>
            <w:r w:rsidRPr="0062711C">
              <w:rPr>
                <w:rFonts w:eastAsia="MS PGothic" w:cstheme="minorHAnsi"/>
                <w:color w:val="002060"/>
                <w:sz w:val="16"/>
                <w:szCs w:val="16"/>
                <w:lang w:val="sr-Cyrl-RS" w:eastAsia="ja-JP"/>
              </w:rPr>
              <w:t>-18,0</w:t>
            </w:r>
          </w:p>
        </w:tc>
        <w:tc>
          <w:tcPr>
            <w:tcW w:w="1298" w:type="pct"/>
            <w:tcBorders>
              <w:bottom w:val="single" w:sz="4" w:space="0" w:color="002060"/>
            </w:tcBorders>
            <w:shd w:val="clear" w:color="auto" w:fill="E7E6E6" w:themeFill="background2"/>
            <w:hideMark/>
          </w:tcPr>
          <w:p w14:paraId="0F1FE2BD" w14:textId="02822BB7" w:rsidR="00FD53BE" w:rsidRPr="0062711C" w:rsidRDefault="00FD53BE" w:rsidP="00FD53BE">
            <w:pPr>
              <w:spacing w:after="0" w:line="240" w:lineRule="auto"/>
              <w:jc w:val="center"/>
              <w:rPr>
                <w:rFonts w:eastAsia="MS PGothic" w:cstheme="minorHAnsi"/>
                <w:color w:val="002060"/>
                <w:sz w:val="16"/>
                <w:szCs w:val="16"/>
                <w:lang w:val="sr-Cyrl-RS" w:eastAsia="ja-JP"/>
              </w:rPr>
            </w:pPr>
          </w:p>
        </w:tc>
      </w:tr>
    </w:tbl>
    <w:p w14:paraId="1633023D" w14:textId="77777777" w:rsidR="0024608F" w:rsidRPr="0062711C" w:rsidRDefault="0024608F" w:rsidP="00D500A7">
      <w:pPr>
        <w:tabs>
          <w:tab w:val="left" w:pos="623"/>
        </w:tabs>
        <w:spacing w:after="0" w:line="240" w:lineRule="auto"/>
        <w:rPr>
          <w:rFonts w:cstheme="minorHAnsi"/>
          <w:sz w:val="16"/>
          <w:szCs w:val="16"/>
          <w:lang w:val="sr-Cyrl-RS"/>
        </w:rPr>
      </w:pPr>
      <w:r w:rsidRPr="0062711C">
        <w:rPr>
          <w:rFonts w:eastAsia="Calibri" w:cstheme="minorHAnsi"/>
          <w:bCs/>
          <w:sz w:val="16"/>
          <w:szCs w:val="16"/>
          <w:lang w:val="sr-Cyrl-RS" w:eastAsia="ja-JP"/>
        </w:rPr>
        <w:t xml:space="preserve">Извор: </w:t>
      </w:r>
      <w:r w:rsidRPr="0062711C">
        <w:rPr>
          <w:rFonts w:cstheme="minorHAnsi"/>
          <w:sz w:val="16"/>
          <w:szCs w:val="16"/>
          <w:lang w:val="sr-Cyrl-RS"/>
        </w:rPr>
        <w:t>Министарство финансија</w:t>
      </w:r>
    </w:p>
    <w:p w14:paraId="3DE98A71" w14:textId="77777777" w:rsidR="0024608F" w:rsidRPr="0062711C" w:rsidRDefault="0024608F" w:rsidP="00D500A7">
      <w:pPr>
        <w:tabs>
          <w:tab w:val="left" w:pos="623"/>
        </w:tabs>
        <w:spacing w:after="120" w:line="240" w:lineRule="auto"/>
        <w:rPr>
          <w:rFonts w:cstheme="minorHAnsi"/>
          <w:sz w:val="16"/>
          <w:szCs w:val="16"/>
          <w:lang w:val="sr-Cyrl-RS"/>
        </w:rPr>
      </w:pPr>
      <w:r w:rsidRPr="0062711C">
        <w:rPr>
          <w:rFonts w:cstheme="minorHAnsi"/>
          <w:sz w:val="16"/>
          <w:szCs w:val="16"/>
          <w:lang w:val="sr-Cyrl-RS"/>
        </w:rPr>
        <w:t>* Подаци 2024. године сада обухватају сопствене приходе ванбуџетских корисника (агенције и институти).</w:t>
      </w:r>
    </w:p>
    <w:p w14:paraId="4370F84D" w14:textId="77777777" w:rsidR="0024608F" w:rsidRPr="0062711C" w:rsidRDefault="0024608F" w:rsidP="00D500A7">
      <w:pPr>
        <w:tabs>
          <w:tab w:val="left" w:pos="623"/>
        </w:tabs>
        <w:spacing w:after="120" w:line="240" w:lineRule="auto"/>
        <w:rPr>
          <w:rFonts w:cstheme="minorHAnsi"/>
          <w:sz w:val="16"/>
          <w:szCs w:val="16"/>
          <w:lang w:val="sr-Cyrl-RS"/>
        </w:rPr>
        <w:sectPr w:rsidR="0024608F" w:rsidRPr="0062711C" w:rsidSect="00D500A7">
          <w:type w:val="continuous"/>
          <w:pgSz w:w="12240" w:h="15840" w:code="1"/>
          <w:pgMar w:top="1440" w:right="1440" w:bottom="1440" w:left="1440" w:header="720" w:footer="720" w:gutter="0"/>
          <w:cols w:space="720"/>
          <w:docGrid w:linePitch="360"/>
        </w:sectPr>
      </w:pPr>
    </w:p>
    <w:p w14:paraId="5FF28759"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szCs w:val="20"/>
          <w:lang w:val="sr-Cyrl-RS" w:eastAsia="ja-JP"/>
        </w:rPr>
        <w:lastRenderedPageBreak/>
        <w:t xml:space="preserve">Стање доцњи (преко 60 дана кашњења)* буџетских корисника и организација обавезног социјалног осигурања последњег дана </w:t>
      </w:r>
      <w:r w:rsidRPr="0062711C">
        <w:rPr>
          <w:lang w:val="sr-Cyrl-RS"/>
        </w:rPr>
        <w:t xml:space="preserve">марта </w:t>
      </w:r>
      <w:r w:rsidRPr="0062711C">
        <w:rPr>
          <w:rFonts w:eastAsia="MS PGothic" w:cstheme="minorHAnsi"/>
          <w:szCs w:val="20"/>
          <w:lang w:val="sr-Cyrl-RS" w:eastAsia="ja-JP"/>
        </w:rPr>
        <w:t>2024. године износило је 2,8 млрд динара (око 0,03% БДП), и смањено је у односу на крај 2023. године.</w:t>
      </w:r>
    </w:p>
    <w:p w14:paraId="763F5851" w14:textId="77777777" w:rsidR="0024608F" w:rsidRPr="0062711C" w:rsidRDefault="0024608F" w:rsidP="00D500A7">
      <w:pPr>
        <w:spacing w:after="120"/>
        <w:rPr>
          <w:rFonts w:eastAsia="MS PGothic" w:cstheme="minorHAnsi"/>
          <w:szCs w:val="20"/>
          <w:lang w:val="sr-Cyrl-RS" w:eastAsia="ja-JP"/>
        </w:rPr>
      </w:pPr>
      <w:r w:rsidRPr="0062711C">
        <w:rPr>
          <w:rFonts w:eastAsia="MS PGothic" w:cstheme="minorHAnsi"/>
          <w:szCs w:val="20"/>
          <w:lang w:val="sr-Cyrl-RS" w:eastAsia="ja-JP"/>
        </w:rPr>
        <w:t>Корисници буџета и ЈП „Путеви Србије” креирали су доцње у плаћању од 1,6 млрд динара, док је стање доцњи организација обавезног социјалног осигурања 1,2 млрд динара.</w:t>
      </w:r>
    </w:p>
    <w:p w14:paraId="772C0658" w14:textId="77777777" w:rsidR="0024608F" w:rsidRPr="0062711C" w:rsidRDefault="0024608F" w:rsidP="00D500A7">
      <w:pPr>
        <w:spacing w:after="120"/>
        <w:rPr>
          <w:rFonts w:eastAsia="MS PGothic" w:cstheme="minorHAnsi"/>
          <w:szCs w:val="20"/>
          <w:lang w:val="sr-Cyrl-RS" w:eastAsia="ja-JP"/>
        </w:rPr>
        <w:sectPr w:rsidR="0024608F" w:rsidRPr="0062711C" w:rsidSect="00D500A7">
          <w:headerReference w:type="even" r:id="rId133"/>
          <w:headerReference w:type="default" r:id="rId134"/>
          <w:footerReference w:type="even" r:id="rId135"/>
          <w:footerReference w:type="default" r:id="rId136"/>
          <w:headerReference w:type="first" r:id="rId137"/>
          <w:type w:val="continuous"/>
          <w:pgSz w:w="12240" w:h="15840" w:code="1"/>
          <w:pgMar w:top="1440" w:right="1440" w:bottom="1440" w:left="1440" w:header="720" w:footer="720" w:gutter="0"/>
          <w:cols w:num="2" w:space="720"/>
          <w:docGrid w:linePitch="360"/>
        </w:sectPr>
      </w:pPr>
    </w:p>
    <w:p w14:paraId="6EFC65F6" w14:textId="7CB2AA0D" w:rsidR="0024608F" w:rsidRPr="0062711C" w:rsidRDefault="0024608F" w:rsidP="00D500A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 xml:space="preserve">Табела </w:t>
      </w:r>
      <w:r w:rsidR="00BB1E84">
        <w:rPr>
          <w:rFonts w:eastAsia="MS PGothic" w:cstheme="minorHAnsi"/>
          <w:b/>
          <w:color w:val="002060"/>
          <w:szCs w:val="20"/>
          <w:lang w:eastAsia="ja-JP"/>
        </w:rPr>
        <w:t>8</w:t>
      </w:r>
      <w:r w:rsidRPr="0062711C">
        <w:rPr>
          <w:rFonts w:eastAsia="MS PGothic" w:cstheme="minorHAnsi"/>
          <w:b/>
          <w:color w:val="002060"/>
          <w:szCs w:val="20"/>
          <w:lang w:val="sr-Cyrl-RS" w:eastAsia="ja-JP"/>
        </w:rPr>
        <w:t xml:space="preserve">. Стање доцњи буџетских корисника и ООСО, крај 2023. године и </w:t>
      </w:r>
      <w:r w:rsidRPr="0062711C">
        <w:rPr>
          <w:rFonts w:eastAsia="MS PGothic" w:cstheme="minorHAnsi"/>
          <w:b/>
          <w:color w:val="002060"/>
          <w:szCs w:val="20"/>
          <w:lang w:val="sr-Cyrl-RS" w:eastAsia="ja-JP"/>
        </w:rPr>
        <w:br w:type="textWrapping" w:clear="all"/>
        <w:t>март 2024. године, у млрд динара</w:t>
      </w:r>
    </w:p>
    <w:tbl>
      <w:tblPr>
        <w:tblStyle w:val="LightShading-Accent335"/>
        <w:tblpPr w:leftFromText="180" w:rightFromText="180" w:vertAnchor="text" w:horzAnchor="margin" w:tblpY="56"/>
        <w:tblW w:w="4879" w:type="pct"/>
        <w:tblBorders>
          <w:top w:val="none" w:sz="0" w:space="0" w:color="auto"/>
          <w:bottom w:val="none" w:sz="0" w:space="0" w:color="auto"/>
        </w:tblBorders>
        <w:tblLook w:val="04A0" w:firstRow="1" w:lastRow="0" w:firstColumn="1" w:lastColumn="0" w:noHBand="0" w:noVBand="1"/>
      </w:tblPr>
      <w:tblGrid>
        <w:gridCol w:w="5451"/>
        <w:gridCol w:w="1841"/>
        <w:gridCol w:w="1841"/>
      </w:tblGrid>
      <w:tr w:rsidR="0024608F" w:rsidRPr="0062711C" w14:paraId="64AB1D16" w14:textId="77777777" w:rsidTr="0004786A">
        <w:trPr>
          <w:cnfStyle w:val="100000000000" w:firstRow="1" w:lastRow="0" w:firstColumn="0" w:lastColumn="0" w:oddVBand="0" w:evenVBand="0" w:oddHBand="0"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bottom w:val="single" w:sz="4" w:space="0" w:color="002060"/>
            </w:tcBorders>
            <w:shd w:val="clear" w:color="auto" w:fill="auto"/>
            <w:noWrap/>
            <w:hideMark/>
          </w:tcPr>
          <w:p w14:paraId="63E08248" w14:textId="77777777" w:rsidR="0024608F" w:rsidRPr="0062711C" w:rsidRDefault="0024608F" w:rsidP="00E124CF">
            <w:pPr>
              <w:jc w:val="right"/>
              <w:rPr>
                <w:rFonts w:asciiTheme="minorHAnsi" w:hAnsiTheme="minorHAnsi" w:cstheme="minorHAnsi"/>
                <w:b w:val="0"/>
                <w:color w:val="002060"/>
                <w:sz w:val="18"/>
                <w:szCs w:val="18"/>
                <w:lang w:val="sr-Cyrl-RS"/>
              </w:rPr>
            </w:pPr>
            <w:r w:rsidRPr="0062711C">
              <w:rPr>
                <w:rFonts w:asciiTheme="minorHAnsi" w:hAnsiTheme="minorHAnsi" w:cstheme="minorHAnsi"/>
                <w:b w:val="0"/>
                <w:color w:val="002060"/>
                <w:sz w:val="18"/>
                <w:szCs w:val="18"/>
                <w:lang w:val="sr-Cyrl-RS"/>
              </w:rPr>
              <w:t> </w:t>
            </w:r>
          </w:p>
        </w:tc>
        <w:tc>
          <w:tcPr>
            <w:tcW w:w="1008" w:type="pct"/>
            <w:tcBorders>
              <w:top w:val="single" w:sz="4" w:space="0" w:color="002060"/>
              <w:bottom w:val="single" w:sz="4" w:space="0" w:color="002060"/>
            </w:tcBorders>
            <w:shd w:val="clear" w:color="auto" w:fill="auto"/>
          </w:tcPr>
          <w:p w14:paraId="36F2DDFF" w14:textId="77777777" w:rsidR="0024608F" w:rsidRPr="0062711C" w:rsidRDefault="0024608F"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62711C">
              <w:rPr>
                <w:rFonts w:asciiTheme="minorHAnsi" w:hAnsiTheme="minorHAnsi" w:cstheme="minorHAnsi"/>
                <w:b w:val="0"/>
                <w:color w:val="002060"/>
                <w:sz w:val="18"/>
                <w:szCs w:val="18"/>
                <w:lang w:val="sr-Cyrl-RS"/>
              </w:rPr>
              <w:t>31.12.2023.</w:t>
            </w:r>
          </w:p>
        </w:tc>
        <w:tc>
          <w:tcPr>
            <w:tcW w:w="1008" w:type="pct"/>
            <w:tcBorders>
              <w:top w:val="single" w:sz="4" w:space="0" w:color="002060"/>
              <w:bottom w:val="single" w:sz="4" w:space="0" w:color="002060"/>
            </w:tcBorders>
            <w:shd w:val="clear" w:color="auto" w:fill="auto"/>
          </w:tcPr>
          <w:p w14:paraId="1E3B5150" w14:textId="77777777" w:rsidR="0024608F" w:rsidRPr="0062711C" w:rsidRDefault="0024608F" w:rsidP="00FE1A2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color w:val="002060"/>
                <w:sz w:val="18"/>
                <w:szCs w:val="18"/>
                <w:lang w:val="sr-Cyrl-RS"/>
              </w:rPr>
            </w:pPr>
            <w:r w:rsidRPr="0062711C">
              <w:rPr>
                <w:rFonts w:asciiTheme="minorHAnsi" w:hAnsiTheme="minorHAnsi" w:cstheme="minorHAnsi"/>
                <w:b w:val="0"/>
                <w:color w:val="002060"/>
                <w:sz w:val="18"/>
                <w:szCs w:val="18"/>
                <w:lang w:val="sr-Cyrl-RS"/>
              </w:rPr>
              <w:t>31.3.2024.</w:t>
            </w:r>
          </w:p>
        </w:tc>
      </w:tr>
      <w:tr w:rsidR="0024608F" w:rsidRPr="0062711C" w14:paraId="6764E625" w14:textId="77777777" w:rsidTr="0004786A">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top w:val="single" w:sz="4" w:space="0" w:color="002060"/>
            </w:tcBorders>
            <w:shd w:val="clear" w:color="auto" w:fill="auto"/>
            <w:noWrap/>
            <w:hideMark/>
          </w:tcPr>
          <w:p w14:paraId="1387C995" w14:textId="77777777" w:rsidR="0024608F" w:rsidRPr="0062711C" w:rsidRDefault="0024608F" w:rsidP="00FE1A26">
            <w:pPr>
              <w:rPr>
                <w:rFonts w:asciiTheme="minorHAnsi" w:hAnsiTheme="minorHAnsi" w:cstheme="minorHAnsi"/>
                <w:b w:val="0"/>
                <w:color w:val="002060"/>
                <w:sz w:val="18"/>
                <w:szCs w:val="18"/>
                <w:lang w:val="sr-Cyrl-RS"/>
              </w:rPr>
            </w:pPr>
            <w:r w:rsidRPr="0062711C">
              <w:rPr>
                <w:rFonts w:asciiTheme="minorHAnsi" w:hAnsiTheme="minorHAnsi" w:cstheme="minorHAnsi"/>
                <w:b w:val="0"/>
                <w:color w:val="002060"/>
                <w:sz w:val="18"/>
                <w:szCs w:val="18"/>
                <w:lang w:val="sr-Cyrl-RS"/>
              </w:rPr>
              <w:t xml:space="preserve">Буџетски корисници и ЈП „Путеви Србије” </w:t>
            </w:r>
          </w:p>
        </w:tc>
        <w:tc>
          <w:tcPr>
            <w:tcW w:w="1008" w:type="pct"/>
            <w:tcBorders>
              <w:top w:val="single" w:sz="4" w:space="0" w:color="002060"/>
            </w:tcBorders>
            <w:shd w:val="clear" w:color="auto" w:fill="auto"/>
          </w:tcPr>
          <w:p w14:paraId="5B4D24E1" w14:textId="77777777" w:rsidR="0024608F" w:rsidRPr="0062711C" w:rsidRDefault="0024608F"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2,3</w:t>
            </w:r>
          </w:p>
        </w:tc>
        <w:tc>
          <w:tcPr>
            <w:tcW w:w="1008" w:type="pct"/>
            <w:tcBorders>
              <w:top w:val="single" w:sz="4" w:space="0" w:color="002060"/>
            </w:tcBorders>
            <w:shd w:val="clear" w:color="auto" w:fill="auto"/>
          </w:tcPr>
          <w:p w14:paraId="398CBE14" w14:textId="77777777" w:rsidR="0024608F" w:rsidRPr="0062711C" w:rsidRDefault="0024608F"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1,6</w:t>
            </w:r>
          </w:p>
        </w:tc>
      </w:tr>
      <w:tr w:rsidR="0024608F" w:rsidRPr="0062711C" w14:paraId="07616594" w14:textId="77777777" w:rsidTr="0004786A">
        <w:trPr>
          <w:trHeight w:val="239"/>
        </w:trPr>
        <w:tc>
          <w:tcPr>
            <w:cnfStyle w:val="001000000000" w:firstRow="0" w:lastRow="0" w:firstColumn="1" w:lastColumn="0" w:oddVBand="0" w:evenVBand="0" w:oddHBand="0" w:evenHBand="0" w:firstRowFirstColumn="0" w:firstRowLastColumn="0" w:lastRowFirstColumn="0" w:lastRowLastColumn="0"/>
            <w:tcW w:w="2984" w:type="pct"/>
            <w:shd w:val="clear" w:color="auto" w:fill="auto"/>
            <w:noWrap/>
            <w:hideMark/>
          </w:tcPr>
          <w:p w14:paraId="24DE1453" w14:textId="77777777" w:rsidR="0024608F" w:rsidRPr="0062711C" w:rsidRDefault="0024608F" w:rsidP="00FE1A26">
            <w:pPr>
              <w:rPr>
                <w:rFonts w:asciiTheme="minorHAnsi" w:hAnsiTheme="minorHAnsi" w:cstheme="minorHAnsi"/>
                <w:b w:val="0"/>
                <w:color w:val="002060"/>
                <w:sz w:val="18"/>
                <w:szCs w:val="18"/>
                <w:lang w:val="sr-Cyrl-RS"/>
              </w:rPr>
            </w:pPr>
            <w:r w:rsidRPr="0062711C">
              <w:rPr>
                <w:rFonts w:asciiTheme="minorHAnsi" w:hAnsiTheme="minorHAnsi" w:cstheme="minorHAnsi"/>
                <w:b w:val="0"/>
                <w:color w:val="002060"/>
                <w:sz w:val="18"/>
                <w:szCs w:val="18"/>
                <w:lang w:val="sr-Cyrl-RS"/>
              </w:rPr>
              <w:t>ООСО</w:t>
            </w:r>
          </w:p>
        </w:tc>
        <w:tc>
          <w:tcPr>
            <w:tcW w:w="1008" w:type="pct"/>
            <w:shd w:val="clear" w:color="auto" w:fill="auto"/>
          </w:tcPr>
          <w:p w14:paraId="76BE89CB" w14:textId="77777777" w:rsidR="0024608F" w:rsidRPr="0062711C" w:rsidRDefault="0024608F"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c>
          <w:tcPr>
            <w:tcW w:w="1008" w:type="pct"/>
            <w:shd w:val="clear" w:color="auto" w:fill="auto"/>
          </w:tcPr>
          <w:p w14:paraId="06B92231" w14:textId="77777777" w:rsidR="0024608F" w:rsidRPr="0062711C" w:rsidRDefault="0024608F" w:rsidP="00FE1A26">
            <w:pPr>
              <w:ind w:firstLine="709"/>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r>
      <w:tr w:rsidR="0024608F" w:rsidRPr="0062711C" w14:paraId="657AEC23" w14:textId="77777777" w:rsidTr="0004786A">
        <w:trPr>
          <w:cnfStyle w:val="000000100000" w:firstRow="0" w:lastRow="0" w:firstColumn="0" w:lastColumn="0" w:oddVBand="0" w:evenVBand="0" w:oddHBand="1"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2984" w:type="pct"/>
            <w:tcBorders>
              <w:bottom w:val="single" w:sz="4" w:space="0" w:color="002060"/>
            </w:tcBorders>
            <w:shd w:val="clear" w:color="auto" w:fill="auto"/>
            <w:noWrap/>
            <w:hideMark/>
          </w:tcPr>
          <w:p w14:paraId="3E82A5F3" w14:textId="77777777" w:rsidR="0024608F" w:rsidRPr="0062711C" w:rsidRDefault="0024608F" w:rsidP="00FE1A26">
            <w:pPr>
              <w:rPr>
                <w:rFonts w:asciiTheme="minorHAnsi" w:hAnsiTheme="minorHAnsi" w:cstheme="minorHAnsi"/>
                <w:b w:val="0"/>
                <w:color w:val="002060"/>
                <w:sz w:val="18"/>
                <w:szCs w:val="18"/>
                <w:lang w:val="sr-Cyrl-RS"/>
              </w:rPr>
            </w:pPr>
            <w:r w:rsidRPr="0062711C">
              <w:rPr>
                <w:rFonts w:asciiTheme="minorHAnsi" w:hAnsiTheme="minorHAnsi" w:cstheme="minorHAnsi"/>
                <w:b w:val="0"/>
                <w:color w:val="002060"/>
                <w:sz w:val="18"/>
                <w:szCs w:val="18"/>
                <w:lang w:val="sr-Cyrl-RS"/>
              </w:rPr>
              <w:t>УКУПНО</w:t>
            </w:r>
          </w:p>
        </w:tc>
        <w:tc>
          <w:tcPr>
            <w:tcW w:w="1008" w:type="pct"/>
            <w:tcBorders>
              <w:bottom w:val="single" w:sz="4" w:space="0" w:color="002060"/>
            </w:tcBorders>
            <w:shd w:val="clear" w:color="auto" w:fill="auto"/>
          </w:tcPr>
          <w:p w14:paraId="3525242F" w14:textId="77777777" w:rsidR="0024608F" w:rsidRPr="0062711C" w:rsidRDefault="0024608F"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3,5</w:t>
            </w:r>
          </w:p>
        </w:tc>
        <w:tc>
          <w:tcPr>
            <w:tcW w:w="1008" w:type="pct"/>
            <w:tcBorders>
              <w:bottom w:val="single" w:sz="4" w:space="0" w:color="002060"/>
            </w:tcBorders>
            <w:shd w:val="clear" w:color="auto" w:fill="auto"/>
          </w:tcPr>
          <w:p w14:paraId="6CE9EECC" w14:textId="77777777" w:rsidR="0024608F" w:rsidRPr="0062711C" w:rsidRDefault="0024608F" w:rsidP="00FE1A26">
            <w:pPr>
              <w:ind w:firstLine="709"/>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2,8</w:t>
            </w:r>
          </w:p>
        </w:tc>
      </w:tr>
    </w:tbl>
    <w:p w14:paraId="37C1E770" w14:textId="77777777" w:rsidR="0024608F" w:rsidRPr="0062711C" w:rsidRDefault="0024608F" w:rsidP="00D500A7">
      <w:pPr>
        <w:spacing w:after="120" w:line="240" w:lineRule="auto"/>
        <w:rPr>
          <w:lang w:val="sr-Cyrl-RS" w:eastAsia="ja-JP"/>
        </w:rPr>
      </w:pPr>
      <w:r w:rsidRPr="0062711C">
        <w:rPr>
          <w:rFonts w:eastAsia="Calibri" w:cstheme="minorHAnsi"/>
          <w:bCs/>
          <w:sz w:val="16"/>
          <w:szCs w:val="20"/>
          <w:lang w:val="sr-Cyrl-RS" w:eastAsia="ja-JP"/>
        </w:rPr>
        <w:t xml:space="preserve">Извор: </w:t>
      </w:r>
      <w:r w:rsidRPr="0062711C">
        <w:rPr>
          <w:rFonts w:cstheme="minorHAnsi"/>
          <w:sz w:val="16"/>
          <w:szCs w:val="20"/>
          <w:lang w:val="sr-Cyrl-RS"/>
        </w:rPr>
        <w:t xml:space="preserve">Министарство финансија; </w:t>
      </w:r>
      <w:r w:rsidRPr="0062711C">
        <w:rPr>
          <w:rFonts w:eastAsia="MS PGothic" w:cstheme="minorHAnsi"/>
          <w:sz w:val="16"/>
          <w:szCs w:val="16"/>
          <w:lang w:val="sr-Cyrl-RS" w:eastAsia="ja-JP"/>
        </w:rPr>
        <w:t>* У складу са дефиницијом која се користила за потребе праћења спровођења аранжмана са ММФ.</w:t>
      </w:r>
    </w:p>
    <w:p w14:paraId="24D87CAB" w14:textId="77777777" w:rsidR="0024608F" w:rsidRPr="0062711C" w:rsidRDefault="0024608F" w:rsidP="00D500A7">
      <w:pPr>
        <w:rPr>
          <w:lang w:val="sr-Cyrl-RS"/>
        </w:rPr>
        <w:sectPr w:rsidR="0024608F" w:rsidRPr="0062711C" w:rsidSect="00C95509">
          <w:headerReference w:type="even" r:id="rId138"/>
          <w:headerReference w:type="default" r:id="rId139"/>
          <w:footerReference w:type="even" r:id="rId140"/>
          <w:footerReference w:type="default" r:id="rId141"/>
          <w:headerReference w:type="first" r:id="rId142"/>
          <w:type w:val="continuous"/>
          <w:pgSz w:w="12240" w:h="15840"/>
          <w:pgMar w:top="1440" w:right="1440" w:bottom="1440" w:left="1440" w:header="720" w:footer="720" w:gutter="0"/>
          <w:cols w:space="720"/>
          <w:docGrid w:linePitch="360"/>
        </w:sectPr>
      </w:pPr>
    </w:p>
    <w:p w14:paraId="203382D1" w14:textId="77777777" w:rsidR="0024608F" w:rsidRPr="0062711C" w:rsidRDefault="0024608F" w:rsidP="00D500A7">
      <w:pPr>
        <w:rPr>
          <w:lang w:val="sr-Cyrl-RS"/>
        </w:rPr>
      </w:pPr>
      <w:bookmarkStart w:id="75" w:name="_Toc11155993"/>
    </w:p>
    <w:p w14:paraId="732E4578" w14:textId="77777777" w:rsidR="0024608F" w:rsidRPr="0062711C" w:rsidRDefault="0024608F" w:rsidP="00D500A7">
      <w:pPr>
        <w:spacing w:after="240" w:line="240" w:lineRule="auto"/>
        <w:contextualSpacing/>
        <w:jc w:val="center"/>
        <w:rPr>
          <w:rFonts w:ascii="Calibri" w:eastAsia="Calibri" w:hAnsi="Calibri" w:cs="Calibri"/>
          <w:b/>
          <w:color w:val="2F5496" w:themeColor="accent1" w:themeShade="BF"/>
          <w:sz w:val="24"/>
          <w:szCs w:val="24"/>
          <w:lang w:val="sr-Cyrl-RS"/>
        </w:rPr>
      </w:pPr>
      <w:r w:rsidRPr="0062711C">
        <w:rPr>
          <w:rFonts w:ascii="Calibri" w:eastAsia="Calibri" w:hAnsi="Calibri" w:cs="Calibri"/>
          <w:b/>
          <w:noProof/>
          <w:color w:val="2F5496" w:themeColor="accent1" w:themeShade="BF"/>
          <w:sz w:val="24"/>
          <w:szCs w:val="24"/>
          <w:lang w:val="en-GB" w:eastAsia="en-GB"/>
        </w:rPr>
        <mc:AlternateContent>
          <mc:Choice Requires="wps">
            <w:drawing>
              <wp:anchor distT="0" distB="0" distL="114300" distR="114300" simplePos="0" relativeHeight="251681280" behindDoc="1" locked="0" layoutInCell="1" allowOverlap="1" wp14:anchorId="69998251" wp14:editId="0304584D">
                <wp:simplePos x="0" y="0"/>
                <wp:positionH relativeFrom="margin">
                  <wp:posOffset>-266700</wp:posOffset>
                </wp:positionH>
                <wp:positionV relativeFrom="paragraph">
                  <wp:posOffset>-94615</wp:posOffset>
                </wp:positionV>
                <wp:extent cx="6480000" cy="5580000"/>
                <wp:effectExtent l="0" t="0" r="0" b="1905"/>
                <wp:wrapNone/>
                <wp:docPr id="308761644" name="Rectangle 308761644"/>
                <wp:cNvGraphicFramePr/>
                <a:graphic xmlns:a="http://schemas.openxmlformats.org/drawingml/2006/main">
                  <a:graphicData uri="http://schemas.microsoft.com/office/word/2010/wordprocessingShape">
                    <wps:wsp>
                      <wps:cNvSpPr/>
                      <wps:spPr>
                        <a:xfrm>
                          <a:off x="0" y="0"/>
                          <a:ext cx="6480000" cy="5580000"/>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5C6A89" id="Rectangle 308761644" o:spid="_x0000_s1026" style="position:absolute;margin-left:-21pt;margin-top:-7.45pt;width:510.25pt;height:439.35pt;z-index:-251635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" fillcolor="#d9d9d9" stroked="f" strokeweight="1pt">
                <v:fill r:id="rId103" o:title="" color2="window" type="pattern"/>
                <w10:wrap anchorx="margin"/>
              </v:rect>
            </w:pict>
          </mc:Fallback>
        </mc:AlternateContent>
      </w:r>
      <w:r w:rsidRPr="0062711C">
        <w:rPr>
          <w:rFonts w:ascii="Calibri" w:eastAsia="Calibri" w:hAnsi="Calibri" w:cs="Calibri"/>
          <w:b/>
          <w:color w:val="2F5496" w:themeColor="accent1" w:themeShade="BF"/>
          <w:sz w:val="24"/>
          <w:szCs w:val="24"/>
          <w:lang w:val="sr-Cyrl-RS"/>
        </w:rPr>
        <w:t>S0 индикатор краткорочне фискалне одрживости</w:t>
      </w:r>
    </w:p>
    <w:p w14:paraId="512BF99D" w14:textId="77777777" w:rsidR="0024608F" w:rsidRPr="0062711C" w:rsidRDefault="0024608F" w:rsidP="00D500A7">
      <w:pPr>
        <w:spacing w:after="60"/>
        <w:rPr>
          <w:rFonts w:cstheme="minorHAnsi"/>
          <w:color w:val="auto"/>
          <w:szCs w:val="20"/>
          <w:lang w:val="sr-Cyrl-RS"/>
        </w:rPr>
      </w:pPr>
    </w:p>
    <w:p w14:paraId="1F13E0F7" w14:textId="77777777" w:rsidR="0024608F" w:rsidRPr="0062711C" w:rsidRDefault="0024608F" w:rsidP="00D500A7">
      <w:pPr>
        <w:spacing w:after="60"/>
        <w:rPr>
          <w:rFonts w:cstheme="minorHAnsi"/>
          <w:color w:val="auto"/>
          <w:szCs w:val="20"/>
          <w:lang w:val="sr-Cyrl-RS"/>
        </w:rPr>
        <w:sectPr w:rsidR="0024608F" w:rsidRPr="0062711C" w:rsidSect="00D500A7">
          <w:headerReference w:type="even" r:id="rId143"/>
          <w:footerReference w:type="even" r:id="rId144"/>
          <w:footerReference w:type="default" r:id="rId145"/>
          <w:headerReference w:type="first" r:id="rId146"/>
          <w:type w:val="continuous"/>
          <w:pgSz w:w="12240" w:h="15840" w:code="1"/>
          <w:pgMar w:top="1440" w:right="1440" w:bottom="1440" w:left="1440" w:header="720" w:footer="720" w:gutter="0"/>
          <w:cols w:space="720"/>
          <w:titlePg/>
          <w:docGrid w:linePitch="360"/>
        </w:sectPr>
      </w:pPr>
    </w:p>
    <w:p w14:paraId="58AA30E8" w14:textId="77777777" w:rsidR="0024608F" w:rsidRPr="0062711C" w:rsidRDefault="0024608F" w:rsidP="00D500A7">
      <w:pPr>
        <w:rPr>
          <w:rFonts w:cstheme="minorHAnsi"/>
          <w:szCs w:val="20"/>
          <w:lang w:val="sr-Cyrl-RS"/>
        </w:rPr>
      </w:pPr>
      <w:r w:rsidRPr="0062711C">
        <w:rPr>
          <w:rFonts w:cstheme="minorHAnsi"/>
          <w:szCs w:val="20"/>
          <w:lang w:val="sr-Cyrl-RS"/>
        </w:rPr>
        <w:t>Европска комисија је за оцену краткорочне фискалне одрживости дизајнирала композитни индикатор S0 којим се кроз идентификацију потенцијалних краткорочних ризика у текућој години настоји да антиципира фискални стрес у наредној години. Уколико вредност S0 индикатора прелази дефинисани праг сматра се да је земља у краткорочном ризику од фискалног стреса. Поред вредности за целокупан индикатор, ради лоцирања извора из ког ризик потиче, разматрају се и вредности подиндекса и њихових компоненти. S0 композитни индикатор се састоји од два подиндекса, који у себи садрже низ варијабли фискалне и макро-финансијске одрживости. Вредности ових подиндекса испод дефинисаног прага указују на одсуство краткорочног фискалног ризика.</w:t>
      </w:r>
    </w:p>
    <w:p w14:paraId="14231192" w14:textId="77777777" w:rsidR="0024608F" w:rsidRPr="0062711C" w:rsidRDefault="0024608F" w:rsidP="00D500A7">
      <w:pPr>
        <w:rPr>
          <w:rFonts w:cstheme="minorHAnsi"/>
          <w:szCs w:val="20"/>
          <w:lang w:val="sr-Cyrl-RS"/>
        </w:rPr>
      </w:pPr>
      <w:r w:rsidRPr="0062711C">
        <w:rPr>
          <w:rFonts w:cstheme="minorHAnsi"/>
          <w:szCs w:val="20"/>
          <w:lang w:val="sr-Cyrl-RS"/>
        </w:rPr>
        <w:t>У 2023. години вредности фискалног (0,13) и финансијског подиндекса (0,27) су унутар за њих дефинисаног прага, као и вредност целокупног S0 индикатора за Републику Србију (0,22), што начелно указује да не постоји опасност од појаве макроекономске нестабилности у наредном средњорочном периоду. Успешно очувана макроекономска и фискална стабилност успостављена у претходном периоду обезбедила је простор за брзе и значајне мере подршке фискалне и монетарне политике.</w:t>
      </w:r>
    </w:p>
    <w:p w14:paraId="2065C6FD" w14:textId="77777777" w:rsidR="0024608F" w:rsidRPr="003F7BDB" w:rsidRDefault="0024608F">
      <w:pPr>
        <w:jc w:val="left"/>
        <w:rPr>
          <w:noProof/>
          <w:lang w:eastAsia="sr-Cyrl-CS"/>
        </w:rPr>
      </w:pPr>
      <w:r w:rsidRPr="0062711C">
        <w:rPr>
          <w:noProof/>
          <w:lang w:val="en-GB" w:eastAsia="en-GB"/>
        </w:rPr>
        <w:drawing>
          <wp:inline distT="0" distB="0" distL="0" distR="0" wp14:anchorId="698F8B74" wp14:editId="684A3499">
            <wp:extent cx="2743200" cy="4138501"/>
            <wp:effectExtent l="0" t="0" r="0" b="0"/>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7"/>
              </a:graphicData>
            </a:graphic>
          </wp:inline>
        </w:drawing>
      </w:r>
    </w:p>
    <w:p w14:paraId="7B8F8D2E" w14:textId="77777777" w:rsidR="0024608F" w:rsidRPr="0062711C" w:rsidRDefault="0024608F">
      <w:pPr>
        <w:jc w:val="left"/>
        <w:rPr>
          <w:rFonts w:cstheme="minorHAnsi"/>
          <w:color w:val="auto"/>
          <w:szCs w:val="20"/>
          <w:lang w:val="sr-Cyrl-RS"/>
        </w:rPr>
      </w:pPr>
    </w:p>
    <w:p w14:paraId="4D282388" w14:textId="77777777" w:rsidR="0024608F" w:rsidRPr="0062711C" w:rsidRDefault="0024608F" w:rsidP="00D500A7">
      <w:pPr>
        <w:rPr>
          <w:rFonts w:cstheme="minorHAnsi"/>
          <w:color w:val="auto"/>
          <w:szCs w:val="20"/>
          <w:lang w:val="sr-Cyrl-RS"/>
        </w:rPr>
      </w:pPr>
    </w:p>
    <w:p w14:paraId="17E80222" w14:textId="77777777" w:rsidR="0024608F" w:rsidRPr="0062711C" w:rsidRDefault="0024608F" w:rsidP="00D500A7">
      <w:pPr>
        <w:rPr>
          <w:rFonts w:eastAsia="Calibri" w:cstheme="minorHAnsi"/>
          <w:b/>
          <w:color w:val="auto"/>
          <w:sz w:val="24"/>
          <w:szCs w:val="26"/>
          <w:lang w:val="sr-Cyrl-RS"/>
        </w:rPr>
        <w:sectPr w:rsidR="0024608F" w:rsidRPr="0062711C" w:rsidSect="00C95509">
          <w:type w:val="continuous"/>
          <w:pgSz w:w="12240" w:h="15840"/>
          <w:pgMar w:top="1440" w:right="1440" w:bottom="1440" w:left="1440" w:header="720" w:footer="720" w:gutter="0"/>
          <w:cols w:num="2" w:space="720"/>
          <w:docGrid w:linePitch="360"/>
        </w:sectPr>
      </w:pPr>
    </w:p>
    <w:p w14:paraId="3AA69124" w14:textId="2A1EEA8E" w:rsidR="0024608F" w:rsidRPr="0062711C" w:rsidRDefault="0024608F" w:rsidP="00D500A7">
      <w:pPr>
        <w:jc w:val="center"/>
        <w:rPr>
          <w:rFonts w:cstheme="minorHAnsi"/>
          <w:color w:val="auto"/>
          <w:szCs w:val="20"/>
          <w:lang w:val="sr-Cyrl-RS"/>
        </w:rPr>
      </w:pPr>
      <w:r w:rsidRPr="0062711C">
        <w:rPr>
          <w:rFonts w:cstheme="minorHAnsi"/>
          <w:noProof/>
          <w:color w:val="auto"/>
          <w:lang w:val="en-GB" w:eastAsia="en-GB"/>
        </w:rPr>
        <w:lastRenderedPageBreak/>
        <mc:AlternateContent>
          <mc:Choice Requires="wps">
            <w:drawing>
              <wp:anchor distT="0" distB="0" distL="114300" distR="114300" simplePos="0" relativeHeight="251682304" behindDoc="1" locked="0" layoutInCell="1" allowOverlap="1" wp14:anchorId="05455E33" wp14:editId="07D79FC9">
                <wp:simplePos x="0" y="0"/>
                <wp:positionH relativeFrom="margin">
                  <wp:posOffset>-238836</wp:posOffset>
                </wp:positionH>
                <wp:positionV relativeFrom="paragraph">
                  <wp:posOffset>6823</wp:posOffset>
                </wp:positionV>
                <wp:extent cx="6479540" cy="6680579"/>
                <wp:effectExtent l="0" t="0" r="0" b="6350"/>
                <wp:wrapNone/>
                <wp:docPr id="1771899838" name="Rectangle 1771899838"/>
                <wp:cNvGraphicFramePr/>
                <a:graphic xmlns:a="http://schemas.openxmlformats.org/drawingml/2006/main">
                  <a:graphicData uri="http://schemas.microsoft.com/office/word/2010/wordprocessingShape">
                    <wps:wsp>
                      <wps:cNvSpPr/>
                      <wps:spPr>
                        <a:xfrm>
                          <a:off x="0" y="0"/>
                          <a:ext cx="6479540" cy="6680579"/>
                        </a:xfrm>
                        <a:prstGeom prst="rect">
                          <a:avLst/>
                        </a:prstGeom>
                        <a:pattFill prst="pct25">
                          <a:fgClr>
                            <a:sysClr val="window" lastClr="FFFFFF">
                              <a:lumMod val="85000"/>
                            </a:sysClr>
                          </a:fgClr>
                          <a:bgClr>
                            <a:sysClr val="window" lastClr="FFFFFF"/>
                          </a:bgClr>
                        </a:patt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4FE3DF" id="Rectangle 1771899838" o:spid="_x0000_s1026" style="position:absolute;margin-left:-18.8pt;margin-top:.55pt;width:510.2pt;height:526.05pt;z-index:-251634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" fillcolor="#d9d9d9" stroked="f" strokeweight="1pt">
                <v:fill r:id="rId103" o:title="" color2="window" type="pattern"/>
                <w10:wrap anchorx="margin"/>
              </v:rect>
            </w:pict>
          </mc:Fallback>
        </mc:AlternateContent>
      </w:r>
      <w:r w:rsidRPr="0062711C">
        <w:rPr>
          <w:noProof/>
          <w:lang w:val="en-GB" w:eastAsia="en-GB"/>
        </w:rPr>
        <w:drawing>
          <wp:inline distT="0" distB="0" distL="0" distR="0" wp14:anchorId="7382F0D7" wp14:editId="015E6983">
            <wp:extent cx="5943600" cy="2179320"/>
            <wp:effectExtent l="0" t="0" r="0" b="0"/>
            <wp:docPr id="68" name="Chart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8"/>
              </a:graphicData>
            </a:graphic>
          </wp:inline>
        </w:drawing>
      </w:r>
    </w:p>
    <w:p w14:paraId="7F190959" w14:textId="77777777" w:rsidR="0024608F" w:rsidRPr="0062711C" w:rsidRDefault="0024608F" w:rsidP="0024608F">
      <w:pPr>
        <w:spacing w:after="0"/>
        <w:jc w:val="center"/>
        <w:rPr>
          <w:rFonts w:cstheme="minorHAnsi"/>
          <w:color w:val="auto"/>
          <w:szCs w:val="20"/>
          <w:lang w:val="sr-Cyrl-RS"/>
        </w:rPr>
      </w:pPr>
    </w:p>
    <w:p w14:paraId="5C1599D1" w14:textId="77777777" w:rsidR="0024608F" w:rsidRPr="0062711C" w:rsidRDefault="0024608F" w:rsidP="00D500A7">
      <w:pPr>
        <w:rPr>
          <w:rFonts w:cstheme="minorHAnsi"/>
          <w:color w:val="auto"/>
          <w:szCs w:val="20"/>
          <w:lang w:val="sr-Cyrl-RS"/>
        </w:rPr>
      </w:pPr>
      <w:r w:rsidRPr="0062711C">
        <w:rPr>
          <w:noProof/>
          <w:lang w:val="en-GB" w:eastAsia="en-GB"/>
        </w:rPr>
        <w:drawing>
          <wp:inline distT="0" distB="0" distL="0" distR="0" wp14:anchorId="1E026E61" wp14:editId="490D6906">
            <wp:extent cx="6210300" cy="2762250"/>
            <wp:effectExtent l="0" t="0" r="0" b="0"/>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9"/>
              </a:graphicData>
            </a:graphic>
          </wp:inline>
        </w:drawing>
      </w:r>
    </w:p>
    <w:p w14:paraId="43BAC75C" w14:textId="77777777" w:rsidR="0024608F" w:rsidRPr="0062711C" w:rsidRDefault="0024608F" w:rsidP="00D500A7">
      <w:pPr>
        <w:rPr>
          <w:rFonts w:cstheme="minorHAnsi"/>
          <w:color w:val="auto"/>
          <w:szCs w:val="20"/>
          <w:lang w:val="sr-Cyrl-RS"/>
        </w:rPr>
        <w:sectPr w:rsidR="0024608F" w:rsidRPr="0062711C" w:rsidSect="00C95509">
          <w:type w:val="continuous"/>
          <w:pgSz w:w="12240" w:h="15840"/>
          <w:pgMar w:top="1440" w:right="1440" w:bottom="1440" w:left="1440" w:header="720" w:footer="720" w:gutter="0"/>
          <w:cols w:space="720"/>
          <w:docGrid w:linePitch="360"/>
        </w:sectPr>
      </w:pPr>
    </w:p>
    <w:p w14:paraId="6F7EE57E" w14:textId="77777777" w:rsidR="0024608F" w:rsidRPr="0062711C" w:rsidRDefault="0024608F" w:rsidP="00D500A7">
      <w:pPr>
        <w:rPr>
          <w:rFonts w:cstheme="minorHAnsi"/>
          <w:szCs w:val="20"/>
          <w:lang w:val="sr-Cyrl-RS"/>
        </w:rPr>
      </w:pPr>
      <w:r w:rsidRPr="0062711C">
        <w:rPr>
          <w:rFonts w:cstheme="minorHAnsi"/>
          <w:szCs w:val="20"/>
          <w:lang w:val="sr-Cyrl-RS"/>
        </w:rPr>
        <w:t>Обрачун S0 индикатора за Републику Србију, урађен је од стране Министарства финансија, и базира се на методологији ЕК.</w:t>
      </w:r>
    </w:p>
    <w:p w14:paraId="72370124" w14:textId="77777777" w:rsidR="0024608F" w:rsidRPr="0062711C" w:rsidRDefault="0024608F" w:rsidP="00D500A7">
      <w:pPr>
        <w:rPr>
          <w:rFonts w:cstheme="minorHAnsi"/>
          <w:szCs w:val="20"/>
          <w:lang w:val="sr-Cyrl-RS"/>
        </w:rPr>
      </w:pPr>
      <w:r w:rsidRPr="0062711C">
        <w:rPr>
          <w:rFonts w:cstheme="minorHAnsi"/>
          <w:szCs w:val="20"/>
          <w:lang w:val="sr-Cyrl-RS"/>
        </w:rPr>
        <w:t xml:space="preserve">На основу података ЕК за земље ЕУ за 2023. годину и обрачуна Министарства финансија за Републику </w:t>
      </w:r>
      <w:r w:rsidRPr="0062711C">
        <w:rPr>
          <w:rFonts w:cstheme="minorHAnsi"/>
          <w:szCs w:val="20"/>
          <w:lang w:val="sr-Cyrl-RS"/>
        </w:rPr>
        <w:t>Србију, закључујемо да већина посматраних земаља, као и Србија, није била изложена краткорочном ризику реализације фискалног стреса, будући да вредност S0 нигде не премашује дефинисани праг.</w:t>
      </w:r>
    </w:p>
    <w:p w14:paraId="4333B159" w14:textId="77777777" w:rsidR="0024608F" w:rsidRPr="0062711C" w:rsidRDefault="0024608F" w:rsidP="00D500A7">
      <w:pPr>
        <w:rPr>
          <w:rFonts w:cstheme="minorHAnsi"/>
          <w:color w:val="auto"/>
          <w:szCs w:val="20"/>
          <w:lang w:val="sr-Cyrl-RS"/>
        </w:rPr>
        <w:sectPr w:rsidR="0024608F" w:rsidRPr="0062711C" w:rsidSect="00D500A7">
          <w:headerReference w:type="even" r:id="rId150"/>
          <w:headerReference w:type="default" r:id="rId151"/>
          <w:footerReference w:type="even" r:id="rId152"/>
          <w:footerReference w:type="default" r:id="rId153"/>
          <w:headerReference w:type="first" r:id="rId154"/>
          <w:type w:val="continuous"/>
          <w:pgSz w:w="12240" w:h="15840" w:code="1"/>
          <w:pgMar w:top="1440" w:right="1440" w:bottom="1440" w:left="1440" w:header="720" w:footer="720" w:gutter="0"/>
          <w:cols w:num="2" w:space="332"/>
          <w:docGrid w:linePitch="360"/>
        </w:sectPr>
      </w:pPr>
    </w:p>
    <w:p w14:paraId="31277322" w14:textId="77777777" w:rsidR="0024608F" w:rsidRPr="0062711C" w:rsidRDefault="0024608F" w:rsidP="00CE2DC7">
      <w:pPr>
        <w:rPr>
          <w:lang w:val="sr-Cyrl-RS"/>
        </w:rPr>
      </w:pPr>
    </w:p>
    <w:p w14:paraId="5178A3FC" w14:textId="77777777" w:rsidR="0024608F" w:rsidRPr="0062711C" w:rsidRDefault="0024608F" w:rsidP="00E124CF">
      <w:pPr>
        <w:rPr>
          <w:rFonts w:ascii="Calibri" w:eastAsia="Calibri" w:hAnsi="Calibri" w:cs="Calibri"/>
          <w:color w:val="auto"/>
          <w:szCs w:val="20"/>
          <w:lang w:val="sr-Cyrl-RS"/>
        </w:rPr>
        <w:sectPr w:rsidR="0024608F" w:rsidRPr="0062711C" w:rsidSect="00D500A7">
          <w:headerReference w:type="even" r:id="rId155"/>
          <w:footerReference w:type="even" r:id="rId156"/>
          <w:footerReference w:type="default" r:id="rId157"/>
          <w:headerReference w:type="first" r:id="rId158"/>
          <w:type w:val="continuous"/>
          <w:pgSz w:w="12240" w:h="15840"/>
          <w:pgMar w:top="1440" w:right="1440" w:bottom="1440" w:left="1440" w:header="720" w:footer="720" w:gutter="0"/>
          <w:cols w:space="720"/>
          <w:docGrid w:linePitch="360"/>
        </w:sectPr>
      </w:pPr>
    </w:p>
    <w:bookmarkEnd w:id="75"/>
    <w:p w14:paraId="1C37E313" w14:textId="77777777" w:rsidR="0024608F" w:rsidRPr="0062711C" w:rsidRDefault="0024608F" w:rsidP="00D500A7">
      <w:pPr>
        <w:jc w:val="left"/>
        <w:rPr>
          <w:lang w:val="sr-Cyrl-RS"/>
        </w:rPr>
      </w:pPr>
    </w:p>
    <w:p w14:paraId="287C40D0" w14:textId="77777777" w:rsidR="0024608F" w:rsidRPr="0062711C" w:rsidRDefault="0024608F" w:rsidP="0024608F">
      <w:pPr>
        <w:rPr>
          <w:color w:val="2F5496" w:themeColor="accent1" w:themeShade="BF"/>
          <w:szCs w:val="26"/>
          <w:lang w:val="sr-Cyrl-RS"/>
        </w:rPr>
      </w:pPr>
      <w:r w:rsidRPr="0062711C">
        <w:rPr>
          <w:lang w:val="sr-Cyrl-RS"/>
        </w:rPr>
        <w:br w:type="page"/>
      </w:r>
    </w:p>
    <w:p w14:paraId="0AE47640" w14:textId="3C9C02E4" w:rsidR="006E272E" w:rsidRPr="0062711C" w:rsidRDefault="000E3193" w:rsidP="003F1BD3">
      <w:pPr>
        <w:pStyle w:val="Heading2"/>
        <w:spacing w:before="0" w:after="320"/>
        <w:jc w:val="center"/>
        <w:rPr>
          <w:rFonts w:asciiTheme="minorHAnsi" w:eastAsia="Calibri" w:hAnsiTheme="minorHAnsi" w:cstheme="minorHAnsi"/>
          <w:b/>
          <w:sz w:val="24"/>
          <w:lang w:val="sr-Cyrl-RS"/>
        </w:rPr>
      </w:pPr>
      <w:bookmarkStart w:id="76" w:name="_Toc170722307"/>
      <w:r w:rsidRPr="0062711C">
        <w:rPr>
          <w:rFonts w:asciiTheme="minorHAnsi" w:eastAsia="Calibri" w:hAnsiTheme="minorHAnsi" w:cstheme="minorHAnsi"/>
          <w:b/>
          <w:sz w:val="24"/>
          <w:lang w:val="sr-Cyrl-RS"/>
        </w:rPr>
        <w:lastRenderedPageBreak/>
        <w:t>4</w:t>
      </w:r>
      <w:r w:rsidR="006E272E" w:rsidRPr="0062711C">
        <w:rPr>
          <w:rFonts w:asciiTheme="minorHAnsi" w:eastAsia="Calibri" w:hAnsiTheme="minorHAnsi" w:cstheme="minorHAnsi"/>
          <w:b/>
          <w:sz w:val="24"/>
          <w:lang w:val="sr-Cyrl-RS"/>
        </w:rPr>
        <w:t>. Фискалне пројекције у периоду 2025–2027. године</w:t>
      </w:r>
      <w:bookmarkEnd w:id="58"/>
      <w:bookmarkEnd w:id="59"/>
      <w:bookmarkEnd w:id="60"/>
      <w:bookmarkEnd w:id="61"/>
      <w:bookmarkEnd w:id="76"/>
    </w:p>
    <w:p w14:paraId="799926D9" w14:textId="77777777" w:rsidR="006E272E" w:rsidRPr="0062711C" w:rsidRDefault="006E272E" w:rsidP="003F1BD3">
      <w:pPr>
        <w:rPr>
          <w:lang w:val="sr-Cyrl-RS" w:eastAsia="ja-JP"/>
        </w:rPr>
        <w:sectPr w:rsidR="006E272E" w:rsidRPr="0062711C" w:rsidSect="00F45C01">
          <w:footerReference w:type="even" r:id="rId159"/>
          <w:footerReference w:type="default" r:id="rId160"/>
          <w:headerReference w:type="first" r:id="rId161"/>
          <w:type w:val="continuous"/>
          <w:pgSz w:w="12240" w:h="15840" w:code="1"/>
          <w:pgMar w:top="1440" w:right="1440" w:bottom="1440" w:left="1440" w:header="720" w:footer="720" w:gutter="0"/>
          <w:cols w:space="720"/>
          <w:titlePg/>
          <w:docGrid w:linePitch="360"/>
        </w:sectPr>
      </w:pPr>
    </w:p>
    <w:p w14:paraId="03745C7B" w14:textId="374B48F8" w:rsidR="006E272E" w:rsidRPr="0062711C" w:rsidRDefault="007067AD" w:rsidP="003F1BD3">
      <w:pPr>
        <w:spacing w:after="120"/>
        <w:rPr>
          <w:lang w:val="sr-Cyrl-RS" w:eastAsia="ja-JP"/>
        </w:rPr>
      </w:pPr>
      <w:r w:rsidRPr="0062711C">
        <w:rPr>
          <w:lang w:val="sr-Cyrl-RS" w:eastAsia="ja-JP"/>
        </w:rPr>
        <w:t>Основни</w:t>
      </w:r>
      <w:r w:rsidR="006E272E" w:rsidRPr="0062711C">
        <w:rPr>
          <w:lang w:val="sr-Cyrl-RS" w:eastAsia="ja-JP"/>
        </w:rPr>
        <w:t xml:space="preserve"> циљеви фискалне политике су усмерени на одржање фискалне стабилности и смањење учешћа јавног дуга у БДП на </w:t>
      </w:r>
      <w:r w:rsidR="006E272E" w:rsidRPr="0062711C">
        <w:rPr>
          <w:color w:val="323E4F" w:themeColor="text2" w:themeShade="BF"/>
          <w:lang w:val="sr-Cyrl-RS" w:eastAsia="ja-JP"/>
        </w:rPr>
        <w:t>око 50% БДП</w:t>
      </w:r>
      <w:r w:rsidR="006E272E" w:rsidRPr="0062711C">
        <w:rPr>
          <w:lang w:val="sr-Cyrl-RS" w:eastAsia="ja-JP"/>
        </w:rPr>
        <w:t>. Пројекције фискалних агрегата у периоду од 2025. до 2027. године заснивају се на пројекцијама макроекономских показатеља за наведени период, планираној пореској политици која подразумева даље усаглашавање са законима и директивама ЕУ и фискалним и структурним мерама, укључујући и даљу реформу великих јавних предузећа.</w:t>
      </w:r>
    </w:p>
    <w:p w14:paraId="220C81B9" w14:textId="77777777" w:rsidR="006E272E" w:rsidRPr="0062711C" w:rsidRDefault="006E272E" w:rsidP="006E272E">
      <w:pPr>
        <w:spacing w:after="600"/>
        <w:rPr>
          <w:lang w:val="sr-Cyrl-RS" w:eastAsia="ja-JP"/>
        </w:rPr>
      </w:pPr>
      <w:r w:rsidRPr="0062711C">
        <w:rPr>
          <w:lang w:val="sr-Cyrl-RS" w:eastAsia="ja-JP"/>
        </w:rPr>
        <w:t xml:space="preserve">Захваљујући мерама фискалне консолидације у претходном периоду створен је фискални простор </w:t>
      </w:r>
      <w:r w:rsidRPr="0062711C">
        <w:rPr>
          <w:lang w:val="sr-Cyrl-RS" w:eastAsia="ja-JP"/>
        </w:rPr>
        <w:t>који је омогућио богате пакете мера у склопу борбе против ефеката кризе изазване пандемијом током 2020. и 2021. године, а у 2022. години су обезбеђена средства за ублажавање ефеката енергетске кризе, изазване сукобом у Украјини. Реакција фискалне политике у наредном периоду, креиране мере и њихове фискалне импликације биће одређени тако да не угрозе стабилност јавних финансија и темпо смањења јавног дуга, да одрже животни стандард становништва и помогну привредни развој, али и да осигурају флексибилност у случају снажнијег удара кризе.</w:t>
      </w:r>
    </w:p>
    <w:p w14:paraId="54D96209" w14:textId="77777777" w:rsidR="006E272E" w:rsidRPr="0062711C" w:rsidRDefault="006E272E" w:rsidP="00953528">
      <w:pPr>
        <w:rPr>
          <w:rFonts w:eastAsia="MS PGothic" w:cstheme="minorHAnsi"/>
          <w:b/>
          <w:color w:val="002060"/>
          <w:szCs w:val="20"/>
          <w:lang w:val="sr-Cyrl-RS" w:eastAsia="ja-JP"/>
        </w:rPr>
        <w:sectPr w:rsidR="006E272E" w:rsidRPr="0062711C" w:rsidSect="00F45C01">
          <w:type w:val="continuous"/>
          <w:pgSz w:w="12240" w:h="15840" w:code="1"/>
          <w:pgMar w:top="1440" w:right="1440" w:bottom="1440" w:left="1440" w:header="720" w:footer="720" w:gutter="0"/>
          <w:cols w:num="2" w:space="720"/>
          <w:docGrid w:linePitch="360"/>
        </w:sectPr>
      </w:pPr>
    </w:p>
    <w:p w14:paraId="3292C637" w14:textId="31122CB0" w:rsidR="006E272E" w:rsidRPr="0062711C" w:rsidRDefault="006E272E" w:rsidP="00953528">
      <w:pPr>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 xml:space="preserve">Табела </w:t>
      </w:r>
      <w:r w:rsidR="00BB1E84">
        <w:rPr>
          <w:rFonts w:eastAsia="MS PGothic" w:cstheme="minorHAnsi"/>
          <w:b/>
          <w:color w:val="002060"/>
          <w:szCs w:val="20"/>
          <w:lang w:eastAsia="ja-JP"/>
        </w:rPr>
        <w:t>9</w:t>
      </w:r>
      <w:r w:rsidRPr="0062711C">
        <w:rPr>
          <w:rFonts w:eastAsia="MS PGothic" w:cstheme="minorHAnsi"/>
          <w:b/>
          <w:color w:val="002060"/>
          <w:szCs w:val="20"/>
          <w:lang w:val="sr-Cyrl-RS" w:eastAsia="ja-JP"/>
        </w:rPr>
        <w:t>. Фискални агрегати у периоду 2023–2027. године, % БДП</w:t>
      </w:r>
    </w:p>
    <w:tbl>
      <w:tblPr>
        <w:tblStyle w:val="LightShading-Accent1221"/>
        <w:tblW w:w="5000" w:type="pct"/>
        <w:tblBorders>
          <w:top w:val="none" w:sz="0" w:space="0" w:color="auto"/>
          <w:bottom w:val="none" w:sz="0" w:space="0" w:color="auto"/>
        </w:tblBorders>
        <w:tblLook w:val="0420" w:firstRow="1" w:lastRow="0" w:firstColumn="0" w:lastColumn="0" w:noHBand="0" w:noVBand="1"/>
      </w:tblPr>
      <w:tblGrid>
        <w:gridCol w:w="3971"/>
        <w:gridCol w:w="1133"/>
        <w:gridCol w:w="1133"/>
        <w:gridCol w:w="1041"/>
        <w:gridCol w:w="1041"/>
        <w:gridCol w:w="1041"/>
      </w:tblGrid>
      <w:tr w:rsidR="006E272E" w:rsidRPr="0062711C" w14:paraId="7E2C5C88" w14:textId="77777777" w:rsidTr="003F1BD3">
        <w:trPr>
          <w:cnfStyle w:val="100000000000" w:firstRow="1" w:lastRow="0" w:firstColumn="0" w:lastColumn="0" w:oddVBand="0" w:evenVBand="0" w:oddHBand="0" w:evenHBand="0" w:firstRowFirstColumn="0" w:firstRowLastColumn="0" w:lastRowFirstColumn="0" w:lastRowLastColumn="0"/>
          <w:trHeight w:val="253"/>
        </w:trPr>
        <w:tc>
          <w:tcPr>
            <w:tcW w:w="2122" w:type="pct"/>
            <w:tcBorders>
              <w:top w:val="single" w:sz="4" w:space="0" w:color="002060"/>
              <w:bottom w:val="single" w:sz="4" w:space="0" w:color="002060"/>
            </w:tcBorders>
            <w:shd w:val="clear" w:color="auto" w:fill="auto"/>
            <w:noWrap/>
            <w:vAlign w:val="center"/>
          </w:tcPr>
          <w:p w14:paraId="43CB08BE" w14:textId="77777777" w:rsidR="006E272E" w:rsidRPr="0062711C" w:rsidRDefault="006E272E" w:rsidP="00C130D2">
            <w:pPr>
              <w:spacing w:line="276" w:lineRule="auto"/>
              <w:rPr>
                <w:rFonts w:asciiTheme="minorHAnsi" w:hAnsiTheme="minorHAnsi" w:cstheme="minorHAnsi"/>
                <w:b w:val="0"/>
                <w:color w:val="002060"/>
                <w:sz w:val="18"/>
                <w:lang w:val="sr-Cyrl-RS"/>
              </w:rPr>
            </w:pPr>
            <w:r w:rsidRPr="0062711C">
              <w:rPr>
                <w:rFonts w:asciiTheme="minorHAnsi" w:hAnsiTheme="minorHAnsi" w:cstheme="minorHAnsi"/>
                <w:b w:val="0"/>
                <w:color w:val="002060"/>
                <w:sz w:val="18"/>
                <w:lang w:val="sr-Cyrl-RS"/>
              </w:rPr>
              <w:t>Опис</w:t>
            </w:r>
          </w:p>
        </w:tc>
        <w:tc>
          <w:tcPr>
            <w:tcW w:w="605" w:type="pct"/>
            <w:tcBorders>
              <w:top w:val="single" w:sz="4" w:space="0" w:color="002060"/>
              <w:bottom w:val="single" w:sz="4" w:space="0" w:color="002060"/>
            </w:tcBorders>
            <w:shd w:val="clear" w:color="auto" w:fill="auto"/>
            <w:vAlign w:val="center"/>
          </w:tcPr>
          <w:p w14:paraId="5F1B35EA" w14:textId="77777777" w:rsidR="006E272E" w:rsidRPr="0062711C" w:rsidRDefault="006E272E" w:rsidP="00C130D2">
            <w:pPr>
              <w:spacing w:line="276" w:lineRule="auto"/>
              <w:jc w:val="right"/>
              <w:rPr>
                <w:rFonts w:asciiTheme="minorHAnsi" w:hAnsiTheme="minorHAnsi" w:cstheme="minorHAnsi"/>
                <w:b w:val="0"/>
                <w:color w:val="002060"/>
                <w:sz w:val="18"/>
                <w:lang w:val="sr-Cyrl-RS"/>
              </w:rPr>
            </w:pPr>
            <w:r w:rsidRPr="0062711C">
              <w:rPr>
                <w:rFonts w:asciiTheme="minorHAnsi" w:hAnsiTheme="minorHAnsi" w:cstheme="minorHAnsi"/>
                <w:b w:val="0"/>
                <w:color w:val="002060"/>
                <w:sz w:val="18"/>
                <w:lang w:val="sr-Cyrl-RS"/>
              </w:rPr>
              <w:t>Извршење</w:t>
            </w:r>
          </w:p>
        </w:tc>
        <w:tc>
          <w:tcPr>
            <w:tcW w:w="605" w:type="pct"/>
            <w:tcBorders>
              <w:top w:val="single" w:sz="4" w:space="0" w:color="002060"/>
              <w:bottom w:val="single" w:sz="4" w:space="0" w:color="002060"/>
            </w:tcBorders>
            <w:shd w:val="clear" w:color="auto" w:fill="auto"/>
            <w:vAlign w:val="center"/>
          </w:tcPr>
          <w:p w14:paraId="31F04A7E" w14:textId="77777777" w:rsidR="006E272E" w:rsidRPr="0062711C" w:rsidRDefault="006E272E" w:rsidP="00C130D2">
            <w:pPr>
              <w:spacing w:line="276" w:lineRule="auto"/>
              <w:jc w:val="right"/>
              <w:rPr>
                <w:rFonts w:asciiTheme="minorHAnsi" w:hAnsiTheme="minorHAnsi" w:cstheme="minorHAnsi"/>
                <w:b w:val="0"/>
                <w:color w:val="002060"/>
                <w:sz w:val="18"/>
                <w:lang w:val="sr-Cyrl-RS"/>
              </w:rPr>
            </w:pPr>
            <w:r w:rsidRPr="0062711C">
              <w:rPr>
                <w:rFonts w:asciiTheme="minorHAnsi" w:hAnsiTheme="minorHAnsi" w:cstheme="minorHAnsi"/>
                <w:b w:val="0"/>
                <w:color w:val="002060"/>
                <w:sz w:val="18"/>
                <w:lang w:val="sr-Cyrl-RS"/>
              </w:rPr>
              <w:t>Процена</w:t>
            </w:r>
          </w:p>
        </w:tc>
        <w:tc>
          <w:tcPr>
            <w:tcW w:w="1669" w:type="pct"/>
            <w:gridSpan w:val="3"/>
            <w:tcBorders>
              <w:top w:val="single" w:sz="4" w:space="0" w:color="002060"/>
              <w:bottom w:val="single" w:sz="4" w:space="0" w:color="002060"/>
            </w:tcBorders>
            <w:shd w:val="clear" w:color="auto" w:fill="auto"/>
            <w:vAlign w:val="center"/>
          </w:tcPr>
          <w:p w14:paraId="6A66A09B" w14:textId="77777777" w:rsidR="006E272E" w:rsidRPr="0062711C" w:rsidRDefault="006E272E" w:rsidP="00C130D2">
            <w:pPr>
              <w:spacing w:line="276" w:lineRule="auto"/>
              <w:jc w:val="center"/>
              <w:rPr>
                <w:rFonts w:asciiTheme="minorHAnsi" w:hAnsiTheme="minorHAnsi" w:cstheme="minorHAnsi"/>
                <w:b w:val="0"/>
                <w:color w:val="002060"/>
                <w:sz w:val="18"/>
                <w:lang w:val="sr-Cyrl-RS"/>
              </w:rPr>
            </w:pPr>
            <w:r w:rsidRPr="0062711C">
              <w:rPr>
                <w:rFonts w:asciiTheme="minorHAnsi" w:hAnsiTheme="minorHAnsi" w:cstheme="minorHAnsi"/>
                <w:b w:val="0"/>
                <w:color w:val="002060"/>
                <w:sz w:val="18"/>
                <w:lang w:val="sr-Cyrl-RS"/>
              </w:rPr>
              <w:t>Пројекција</w:t>
            </w:r>
          </w:p>
        </w:tc>
      </w:tr>
      <w:tr w:rsidR="006E272E" w:rsidRPr="0062711C" w14:paraId="531546B9"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122" w:type="pct"/>
            <w:tcBorders>
              <w:top w:val="single" w:sz="4" w:space="0" w:color="002060"/>
            </w:tcBorders>
            <w:shd w:val="clear" w:color="auto" w:fill="auto"/>
            <w:noWrap/>
            <w:vAlign w:val="center"/>
          </w:tcPr>
          <w:p w14:paraId="06E6C1C6" w14:textId="77777777" w:rsidR="006E272E" w:rsidRPr="0062711C" w:rsidRDefault="006E272E" w:rsidP="00C130D2">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 </w:t>
            </w:r>
          </w:p>
        </w:tc>
        <w:tc>
          <w:tcPr>
            <w:tcW w:w="605" w:type="pct"/>
            <w:tcBorders>
              <w:top w:val="single" w:sz="4" w:space="0" w:color="002060"/>
              <w:bottom w:val="single" w:sz="4" w:space="0" w:color="002060"/>
            </w:tcBorders>
            <w:shd w:val="clear" w:color="auto" w:fill="auto"/>
            <w:vAlign w:val="center"/>
          </w:tcPr>
          <w:p w14:paraId="5DA47FDA"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2023</w:t>
            </w:r>
          </w:p>
        </w:tc>
        <w:tc>
          <w:tcPr>
            <w:tcW w:w="605" w:type="pct"/>
            <w:tcBorders>
              <w:top w:val="single" w:sz="4" w:space="0" w:color="002060"/>
              <w:bottom w:val="single" w:sz="4" w:space="0" w:color="002060"/>
            </w:tcBorders>
            <w:shd w:val="clear" w:color="auto" w:fill="auto"/>
            <w:vAlign w:val="center"/>
          </w:tcPr>
          <w:p w14:paraId="0AC9AD82"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2024</w:t>
            </w:r>
          </w:p>
        </w:tc>
        <w:tc>
          <w:tcPr>
            <w:tcW w:w="556" w:type="pct"/>
            <w:tcBorders>
              <w:top w:val="single" w:sz="4" w:space="0" w:color="002060"/>
              <w:bottom w:val="single" w:sz="4" w:space="0" w:color="002060"/>
            </w:tcBorders>
            <w:shd w:val="clear" w:color="auto" w:fill="auto"/>
            <w:vAlign w:val="center"/>
          </w:tcPr>
          <w:p w14:paraId="7612097F"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2025</w:t>
            </w:r>
          </w:p>
        </w:tc>
        <w:tc>
          <w:tcPr>
            <w:tcW w:w="556" w:type="pct"/>
            <w:tcBorders>
              <w:top w:val="single" w:sz="4" w:space="0" w:color="002060"/>
              <w:bottom w:val="single" w:sz="4" w:space="0" w:color="002060"/>
            </w:tcBorders>
            <w:shd w:val="clear" w:color="auto" w:fill="auto"/>
            <w:vAlign w:val="center"/>
          </w:tcPr>
          <w:p w14:paraId="2D0352F6"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2026</w:t>
            </w:r>
          </w:p>
        </w:tc>
        <w:tc>
          <w:tcPr>
            <w:tcW w:w="556" w:type="pct"/>
            <w:tcBorders>
              <w:top w:val="single" w:sz="4" w:space="0" w:color="002060"/>
              <w:bottom w:val="single" w:sz="4" w:space="0" w:color="002060"/>
            </w:tcBorders>
            <w:shd w:val="clear" w:color="auto" w:fill="auto"/>
            <w:vAlign w:val="center"/>
          </w:tcPr>
          <w:p w14:paraId="73926ABA" w14:textId="77777777" w:rsidR="006E272E" w:rsidRPr="0062711C" w:rsidRDefault="006E272E" w:rsidP="005D42AC">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2027</w:t>
            </w:r>
          </w:p>
        </w:tc>
      </w:tr>
      <w:tr w:rsidR="006E272E" w:rsidRPr="0062711C" w14:paraId="072DA275" w14:textId="77777777" w:rsidTr="003F1BD3">
        <w:trPr>
          <w:trHeight w:val="253"/>
        </w:trPr>
        <w:tc>
          <w:tcPr>
            <w:tcW w:w="2122" w:type="pct"/>
            <w:shd w:val="clear" w:color="auto" w:fill="auto"/>
            <w:vAlign w:val="center"/>
          </w:tcPr>
          <w:p w14:paraId="7247096F" w14:textId="77777777" w:rsidR="006E272E" w:rsidRPr="0062711C" w:rsidRDefault="006E272E" w:rsidP="00C130D2">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Јавни приходи</w:t>
            </w:r>
          </w:p>
        </w:tc>
        <w:tc>
          <w:tcPr>
            <w:tcW w:w="605" w:type="pct"/>
            <w:tcBorders>
              <w:top w:val="single" w:sz="4" w:space="0" w:color="002060"/>
            </w:tcBorders>
            <w:shd w:val="clear" w:color="auto" w:fill="auto"/>
            <w:vAlign w:val="center"/>
          </w:tcPr>
          <w:p w14:paraId="2A41EC8C" w14:textId="77777777" w:rsidR="006E272E" w:rsidRPr="0062711C" w:rsidRDefault="006E272E" w:rsidP="003F1BD3">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42,6</w:t>
            </w:r>
          </w:p>
        </w:tc>
        <w:tc>
          <w:tcPr>
            <w:tcW w:w="605" w:type="pct"/>
            <w:tcBorders>
              <w:top w:val="single" w:sz="4" w:space="0" w:color="002060"/>
            </w:tcBorders>
            <w:shd w:val="clear" w:color="auto" w:fill="auto"/>
            <w:vAlign w:val="center"/>
          </w:tcPr>
          <w:p w14:paraId="3E1C8F33"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42,7</w:t>
            </w:r>
          </w:p>
        </w:tc>
        <w:tc>
          <w:tcPr>
            <w:tcW w:w="556" w:type="pct"/>
            <w:tcBorders>
              <w:top w:val="single" w:sz="4" w:space="0" w:color="002060"/>
            </w:tcBorders>
            <w:shd w:val="clear" w:color="auto" w:fill="auto"/>
            <w:vAlign w:val="center"/>
          </w:tcPr>
          <w:p w14:paraId="68AE7749" w14:textId="77777777" w:rsidR="006E272E" w:rsidRPr="0062711C" w:rsidRDefault="006E272E" w:rsidP="003F1BD3">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42,6</w:t>
            </w:r>
          </w:p>
        </w:tc>
        <w:tc>
          <w:tcPr>
            <w:tcW w:w="556" w:type="pct"/>
            <w:tcBorders>
              <w:top w:val="single" w:sz="4" w:space="0" w:color="002060"/>
            </w:tcBorders>
            <w:shd w:val="clear" w:color="auto" w:fill="auto"/>
            <w:vAlign w:val="center"/>
          </w:tcPr>
          <w:p w14:paraId="08230A9B"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42,4</w:t>
            </w:r>
          </w:p>
        </w:tc>
        <w:tc>
          <w:tcPr>
            <w:tcW w:w="556" w:type="pct"/>
            <w:tcBorders>
              <w:top w:val="single" w:sz="4" w:space="0" w:color="002060"/>
            </w:tcBorders>
            <w:shd w:val="clear" w:color="auto" w:fill="auto"/>
            <w:vAlign w:val="center"/>
          </w:tcPr>
          <w:p w14:paraId="435AA30B"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42,1</w:t>
            </w:r>
          </w:p>
        </w:tc>
      </w:tr>
      <w:tr w:rsidR="006E272E" w:rsidRPr="0062711C" w14:paraId="03155340"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7CBE2496" w14:textId="77777777" w:rsidR="006E272E" w:rsidRPr="0062711C" w:rsidRDefault="006E272E" w:rsidP="00C130D2">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Јавни расходи</w:t>
            </w:r>
          </w:p>
        </w:tc>
        <w:tc>
          <w:tcPr>
            <w:tcW w:w="605" w:type="pct"/>
            <w:shd w:val="clear" w:color="auto" w:fill="auto"/>
            <w:vAlign w:val="center"/>
          </w:tcPr>
          <w:p w14:paraId="258E96A4"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44,8</w:t>
            </w:r>
          </w:p>
        </w:tc>
        <w:tc>
          <w:tcPr>
            <w:tcW w:w="605" w:type="pct"/>
            <w:shd w:val="clear" w:color="auto" w:fill="auto"/>
            <w:vAlign w:val="center"/>
          </w:tcPr>
          <w:p w14:paraId="6A35C6B3"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44,9</w:t>
            </w:r>
          </w:p>
        </w:tc>
        <w:tc>
          <w:tcPr>
            <w:tcW w:w="556" w:type="pct"/>
            <w:shd w:val="clear" w:color="auto" w:fill="auto"/>
            <w:vAlign w:val="center"/>
          </w:tcPr>
          <w:p w14:paraId="2C14B8EA" w14:textId="77777777" w:rsidR="006E272E" w:rsidRPr="0062711C" w:rsidRDefault="006E272E" w:rsidP="005D42AC">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45,1</w:t>
            </w:r>
          </w:p>
        </w:tc>
        <w:tc>
          <w:tcPr>
            <w:tcW w:w="556" w:type="pct"/>
            <w:shd w:val="clear" w:color="auto" w:fill="auto"/>
            <w:vAlign w:val="center"/>
          </w:tcPr>
          <w:p w14:paraId="3206B476"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44,6</w:t>
            </w:r>
          </w:p>
        </w:tc>
        <w:tc>
          <w:tcPr>
            <w:tcW w:w="556" w:type="pct"/>
            <w:shd w:val="clear" w:color="auto" w:fill="auto"/>
            <w:vAlign w:val="center"/>
          </w:tcPr>
          <w:p w14:paraId="4645E956"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44,4</w:t>
            </w:r>
          </w:p>
        </w:tc>
      </w:tr>
      <w:tr w:rsidR="006E272E" w:rsidRPr="0062711C" w14:paraId="00383BA4" w14:textId="77777777" w:rsidTr="003F1BD3">
        <w:trPr>
          <w:trHeight w:val="253"/>
        </w:trPr>
        <w:tc>
          <w:tcPr>
            <w:tcW w:w="2122" w:type="pct"/>
            <w:shd w:val="clear" w:color="auto" w:fill="auto"/>
            <w:vAlign w:val="center"/>
          </w:tcPr>
          <w:p w14:paraId="64276AE8" w14:textId="77777777" w:rsidR="006E272E" w:rsidRPr="0062711C" w:rsidRDefault="006E272E" w:rsidP="00C130D2">
            <w:pPr>
              <w:spacing w:line="276" w:lineRule="auto"/>
              <w:rPr>
                <w:rFonts w:asciiTheme="minorHAnsi" w:hAnsiTheme="minorHAnsi" w:cstheme="minorHAnsi"/>
                <w:color w:val="002060"/>
                <w:sz w:val="18"/>
                <w:szCs w:val="18"/>
                <w:lang w:val="sr-Cyrl-RS"/>
              </w:rPr>
            </w:pPr>
          </w:p>
        </w:tc>
        <w:tc>
          <w:tcPr>
            <w:tcW w:w="605" w:type="pct"/>
            <w:shd w:val="clear" w:color="auto" w:fill="auto"/>
            <w:vAlign w:val="center"/>
          </w:tcPr>
          <w:p w14:paraId="573D2A03"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p>
        </w:tc>
        <w:tc>
          <w:tcPr>
            <w:tcW w:w="605" w:type="pct"/>
            <w:shd w:val="clear" w:color="auto" w:fill="auto"/>
            <w:vAlign w:val="center"/>
          </w:tcPr>
          <w:p w14:paraId="60819CDD" w14:textId="77777777" w:rsidR="006E272E" w:rsidRPr="0062711C" w:rsidRDefault="006E272E" w:rsidP="00C130D2">
            <w:pPr>
              <w:spacing w:line="276" w:lineRule="auto"/>
              <w:jc w:val="right"/>
              <w:rPr>
                <w:rFonts w:asciiTheme="minorHAnsi" w:hAnsiTheme="minorHAnsi" w:cstheme="minorHAnsi"/>
                <w:sz w:val="18"/>
                <w:szCs w:val="18"/>
                <w:lang w:val="sr-Cyrl-RS"/>
              </w:rPr>
            </w:pPr>
          </w:p>
        </w:tc>
        <w:tc>
          <w:tcPr>
            <w:tcW w:w="556" w:type="pct"/>
            <w:shd w:val="clear" w:color="auto" w:fill="auto"/>
            <w:vAlign w:val="center"/>
          </w:tcPr>
          <w:p w14:paraId="676BBA13"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p>
        </w:tc>
        <w:tc>
          <w:tcPr>
            <w:tcW w:w="556" w:type="pct"/>
            <w:shd w:val="clear" w:color="auto" w:fill="auto"/>
            <w:vAlign w:val="center"/>
          </w:tcPr>
          <w:p w14:paraId="2ACE6B68"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p>
        </w:tc>
        <w:tc>
          <w:tcPr>
            <w:tcW w:w="556" w:type="pct"/>
            <w:shd w:val="clear" w:color="auto" w:fill="auto"/>
            <w:vAlign w:val="center"/>
          </w:tcPr>
          <w:p w14:paraId="4BFB3BF6"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p>
        </w:tc>
      </w:tr>
      <w:tr w:rsidR="006E272E" w:rsidRPr="0062711C" w14:paraId="566C9BC4"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0854ABF1" w14:textId="77777777" w:rsidR="006E272E" w:rsidRPr="0062711C" w:rsidRDefault="006E272E" w:rsidP="00C130D2">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Консолидовани фискални резултат</w:t>
            </w:r>
          </w:p>
        </w:tc>
        <w:tc>
          <w:tcPr>
            <w:tcW w:w="605" w:type="pct"/>
            <w:shd w:val="clear" w:color="auto" w:fill="auto"/>
            <w:vAlign w:val="center"/>
          </w:tcPr>
          <w:p w14:paraId="3354FA38" w14:textId="77777777" w:rsidR="006E272E" w:rsidRPr="0062711C" w:rsidRDefault="006E272E" w:rsidP="00953528">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-2,2</w:t>
            </w:r>
          </w:p>
        </w:tc>
        <w:tc>
          <w:tcPr>
            <w:tcW w:w="605" w:type="pct"/>
            <w:shd w:val="clear" w:color="auto" w:fill="auto"/>
            <w:vAlign w:val="center"/>
          </w:tcPr>
          <w:p w14:paraId="5E100B00" w14:textId="77777777" w:rsidR="006E272E" w:rsidRPr="0062711C" w:rsidRDefault="006E272E" w:rsidP="00953528">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-2,2</w:t>
            </w:r>
          </w:p>
        </w:tc>
        <w:tc>
          <w:tcPr>
            <w:tcW w:w="556" w:type="pct"/>
            <w:shd w:val="clear" w:color="auto" w:fill="auto"/>
            <w:vAlign w:val="center"/>
          </w:tcPr>
          <w:p w14:paraId="2882F9B2" w14:textId="77777777" w:rsidR="006E272E" w:rsidRPr="0062711C" w:rsidRDefault="006E272E" w:rsidP="003F1BD3">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-2,5</w:t>
            </w:r>
          </w:p>
        </w:tc>
        <w:tc>
          <w:tcPr>
            <w:tcW w:w="556" w:type="pct"/>
            <w:shd w:val="clear" w:color="auto" w:fill="auto"/>
            <w:vAlign w:val="center"/>
          </w:tcPr>
          <w:p w14:paraId="43B1F908" w14:textId="77777777" w:rsidR="006E272E" w:rsidRPr="0062711C" w:rsidRDefault="006E272E" w:rsidP="00953528">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-2.3</w:t>
            </w:r>
          </w:p>
        </w:tc>
        <w:tc>
          <w:tcPr>
            <w:tcW w:w="556" w:type="pct"/>
            <w:shd w:val="clear" w:color="auto" w:fill="auto"/>
            <w:vAlign w:val="center"/>
          </w:tcPr>
          <w:p w14:paraId="1DAB79CE" w14:textId="77777777" w:rsidR="006E272E" w:rsidRPr="0062711C" w:rsidRDefault="006E272E" w:rsidP="003F1BD3">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-2,3</w:t>
            </w:r>
          </w:p>
        </w:tc>
      </w:tr>
      <w:tr w:rsidR="006E272E" w:rsidRPr="0062711C" w14:paraId="759CAF2D" w14:textId="77777777" w:rsidTr="003F1BD3">
        <w:trPr>
          <w:trHeight w:val="253"/>
        </w:trPr>
        <w:tc>
          <w:tcPr>
            <w:tcW w:w="2122" w:type="pct"/>
            <w:shd w:val="clear" w:color="auto" w:fill="auto"/>
            <w:vAlign w:val="center"/>
          </w:tcPr>
          <w:p w14:paraId="1FA0966E" w14:textId="77777777" w:rsidR="006E272E" w:rsidRPr="0062711C" w:rsidRDefault="006E272E" w:rsidP="00C130D2">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Примарни консолидовани резултат</w:t>
            </w:r>
          </w:p>
        </w:tc>
        <w:tc>
          <w:tcPr>
            <w:tcW w:w="605" w:type="pct"/>
            <w:shd w:val="clear" w:color="auto" w:fill="auto"/>
            <w:vAlign w:val="center"/>
          </w:tcPr>
          <w:p w14:paraId="6EB7C6D6" w14:textId="77777777" w:rsidR="006E272E" w:rsidRPr="0062711C" w:rsidRDefault="006E272E" w:rsidP="003F1BD3">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-0,5</w:t>
            </w:r>
          </w:p>
        </w:tc>
        <w:tc>
          <w:tcPr>
            <w:tcW w:w="605" w:type="pct"/>
            <w:shd w:val="clear" w:color="auto" w:fill="auto"/>
            <w:vAlign w:val="center"/>
          </w:tcPr>
          <w:p w14:paraId="1B53E785" w14:textId="77777777" w:rsidR="006E272E" w:rsidRPr="0062711C" w:rsidRDefault="006E272E" w:rsidP="003F1BD3">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-0,2</w:t>
            </w:r>
          </w:p>
        </w:tc>
        <w:tc>
          <w:tcPr>
            <w:tcW w:w="556" w:type="pct"/>
            <w:shd w:val="clear" w:color="auto" w:fill="auto"/>
            <w:vAlign w:val="center"/>
          </w:tcPr>
          <w:p w14:paraId="7CE5A2D1" w14:textId="77777777" w:rsidR="006E272E" w:rsidRPr="0062711C" w:rsidRDefault="006E272E" w:rsidP="003F1BD3">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-0,1</w:t>
            </w:r>
          </w:p>
        </w:tc>
        <w:tc>
          <w:tcPr>
            <w:tcW w:w="556" w:type="pct"/>
            <w:shd w:val="clear" w:color="auto" w:fill="auto"/>
            <w:vAlign w:val="center"/>
          </w:tcPr>
          <w:p w14:paraId="10A43366"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0,0</w:t>
            </w:r>
          </w:p>
        </w:tc>
        <w:tc>
          <w:tcPr>
            <w:tcW w:w="556" w:type="pct"/>
            <w:shd w:val="clear" w:color="auto" w:fill="auto"/>
            <w:vAlign w:val="center"/>
          </w:tcPr>
          <w:p w14:paraId="0654931F"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0,1</w:t>
            </w:r>
          </w:p>
        </w:tc>
      </w:tr>
      <w:tr w:rsidR="006E272E" w:rsidRPr="0062711C" w14:paraId="7E5AF58C"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122" w:type="pct"/>
            <w:shd w:val="clear" w:color="auto" w:fill="auto"/>
            <w:vAlign w:val="center"/>
          </w:tcPr>
          <w:p w14:paraId="16F943EA" w14:textId="77777777" w:rsidR="006E272E" w:rsidRPr="0062711C" w:rsidRDefault="006E272E" w:rsidP="00C130D2">
            <w:pPr>
              <w:spacing w:line="276" w:lineRule="auto"/>
              <w:rPr>
                <w:rFonts w:asciiTheme="minorHAnsi" w:hAnsiTheme="minorHAnsi" w:cstheme="minorHAnsi"/>
                <w:color w:val="002060"/>
                <w:sz w:val="18"/>
                <w:szCs w:val="18"/>
                <w:lang w:val="sr-Cyrl-RS"/>
              </w:rPr>
            </w:pPr>
          </w:p>
        </w:tc>
        <w:tc>
          <w:tcPr>
            <w:tcW w:w="605" w:type="pct"/>
            <w:shd w:val="clear" w:color="auto" w:fill="auto"/>
            <w:vAlign w:val="center"/>
          </w:tcPr>
          <w:p w14:paraId="73AF3781"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p>
        </w:tc>
        <w:tc>
          <w:tcPr>
            <w:tcW w:w="605" w:type="pct"/>
            <w:shd w:val="clear" w:color="auto" w:fill="auto"/>
            <w:vAlign w:val="center"/>
          </w:tcPr>
          <w:p w14:paraId="23F1455A"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79FE6057"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2EC2D0DC"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p>
        </w:tc>
        <w:tc>
          <w:tcPr>
            <w:tcW w:w="556" w:type="pct"/>
            <w:shd w:val="clear" w:color="auto" w:fill="auto"/>
            <w:vAlign w:val="center"/>
          </w:tcPr>
          <w:p w14:paraId="02D34717"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p>
        </w:tc>
      </w:tr>
      <w:tr w:rsidR="006E272E" w:rsidRPr="0062711C" w14:paraId="0F39A290" w14:textId="77777777" w:rsidTr="003F1BD3">
        <w:trPr>
          <w:trHeight w:val="253"/>
        </w:trPr>
        <w:tc>
          <w:tcPr>
            <w:tcW w:w="2122" w:type="pct"/>
            <w:shd w:val="clear" w:color="auto" w:fill="auto"/>
            <w:vAlign w:val="center"/>
          </w:tcPr>
          <w:p w14:paraId="028B04E9" w14:textId="77777777" w:rsidR="006E272E" w:rsidRPr="0062711C" w:rsidRDefault="006E272E">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Дуг сектора државе</w:t>
            </w:r>
          </w:p>
        </w:tc>
        <w:tc>
          <w:tcPr>
            <w:tcW w:w="605" w:type="pct"/>
            <w:shd w:val="clear" w:color="auto" w:fill="auto"/>
            <w:vAlign w:val="center"/>
          </w:tcPr>
          <w:p w14:paraId="2A480B3B"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52,3</w:t>
            </w:r>
          </w:p>
        </w:tc>
        <w:tc>
          <w:tcPr>
            <w:tcW w:w="605" w:type="pct"/>
            <w:shd w:val="clear" w:color="auto" w:fill="auto"/>
            <w:vAlign w:val="center"/>
          </w:tcPr>
          <w:p w14:paraId="28E38CD6" w14:textId="77777777" w:rsidR="006E272E" w:rsidRPr="0062711C" w:rsidRDefault="006E272E" w:rsidP="003F1BD3">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52,0</w:t>
            </w:r>
          </w:p>
        </w:tc>
        <w:tc>
          <w:tcPr>
            <w:tcW w:w="556" w:type="pct"/>
            <w:shd w:val="clear" w:color="auto" w:fill="auto"/>
            <w:vAlign w:val="center"/>
          </w:tcPr>
          <w:p w14:paraId="3C9EB347" w14:textId="77777777" w:rsidR="006E272E" w:rsidRPr="0062711C" w:rsidRDefault="006E272E" w:rsidP="005D42AC">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51,6</w:t>
            </w:r>
          </w:p>
        </w:tc>
        <w:tc>
          <w:tcPr>
            <w:tcW w:w="556" w:type="pct"/>
            <w:shd w:val="clear" w:color="auto" w:fill="auto"/>
            <w:vAlign w:val="center"/>
          </w:tcPr>
          <w:p w14:paraId="2F5073D9" w14:textId="77777777" w:rsidR="006E272E" w:rsidRPr="0062711C" w:rsidRDefault="006E272E" w:rsidP="00C130D2">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51,0</w:t>
            </w:r>
          </w:p>
        </w:tc>
        <w:tc>
          <w:tcPr>
            <w:tcW w:w="556" w:type="pct"/>
            <w:shd w:val="clear" w:color="auto" w:fill="auto"/>
            <w:vAlign w:val="center"/>
          </w:tcPr>
          <w:p w14:paraId="3C79297E" w14:textId="77777777" w:rsidR="006E272E" w:rsidRPr="0062711C" w:rsidRDefault="006E272E" w:rsidP="00953528">
            <w:pPr>
              <w:spacing w:line="276" w:lineRule="auto"/>
              <w:jc w:val="right"/>
              <w:rPr>
                <w:rFonts w:asciiTheme="minorHAnsi" w:hAnsiTheme="minorHAnsi" w:cstheme="minorHAnsi"/>
                <w:color w:val="1F3864" w:themeColor="accent1" w:themeShade="80"/>
                <w:sz w:val="18"/>
                <w:szCs w:val="18"/>
                <w:lang w:val="sr-Cyrl-RS"/>
              </w:rPr>
            </w:pPr>
            <w:r w:rsidRPr="0062711C">
              <w:rPr>
                <w:rFonts w:asciiTheme="minorHAnsi" w:hAnsiTheme="minorHAnsi" w:cstheme="minorHAnsi"/>
                <w:color w:val="1F3864" w:themeColor="accent1" w:themeShade="80"/>
                <w:sz w:val="18"/>
                <w:szCs w:val="18"/>
                <w:lang w:val="sr-Cyrl-RS"/>
              </w:rPr>
              <w:t>50,5</w:t>
            </w:r>
          </w:p>
        </w:tc>
      </w:tr>
      <w:tr w:rsidR="006E272E" w:rsidRPr="0062711C" w14:paraId="7BEAFDB0"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122" w:type="pct"/>
            <w:tcBorders>
              <w:bottom w:val="single" w:sz="4" w:space="0" w:color="002060"/>
            </w:tcBorders>
            <w:shd w:val="clear" w:color="auto" w:fill="auto"/>
            <w:vAlign w:val="center"/>
          </w:tcPr>
          <w:p w14:paraId="311E3559" w14:textId="77777777" w:rsidR="006E272E" w:rsidRPr="0062711C" w:rsidRDefault="006E272E" w:rsidP="00C130D2">
            <w:pPr>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Реална стопа раста БДП</w:t>
            </w:r>
          </w:p>
        </w:tc>
        <w:tc>
          <w:tcPr>
            <w:tcW w:w="605" w:type="pct"/>
            <w:tcBorders>
              <w:bottom w:val="single" w:sz="4" w:space="0" w:color="002060"/>
            </w:tcBorders>
            <w:shd w:val="clear" w:color="auto" w:fill="auto"/>
            <w:vAlign w:val="center"/>
          </w:tcPr>
          <w:p w14:paraId="6EF1524C" w14:textId="77777777" w:rsidR="006E272E" w:rsidRPr="0062711C" w:rsidRDefault="006E272E" w:rsidP="00953528">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2,5%</w:t>
            </w:r>
          </w:p>
        </w:tc>
        <w:tc>
          <w:tcPr>
            <w:tcW w:w="605" w:type="pct"/>
            <w:tcBorders>
              <w:bottom w:val="single" w:sz="4" w:space="0" w:color="002060"/>
            </w:tcBorders>
            <w:shd w:val="clear" w:color="auto" w:fill="auto"/>
            <w:vAlign w:val="center"/>
          </w:tcPr>
          <w:p w14:paraId="3AEF2BF0" w14:textId="77777777" w:rsidR="006E272E" w:rsidRPr="0062711C" w:rsidRDefault="006E272E" w:rsidP="005D42AC">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3,8%</w:t>
            </w:r>
          </w:p>
        </w:tc>
        <w:tc>
          <w:tcPr>
            <w:tcW w:w="556" w:type="pct"/>
            <w:tcBorders>
              <w:bottom w:val="single" w:sz="4" w:space="0" w:color="002060"/>
            </w:tcBorders>
            <w:shd w:val="clear" w:color="auto" w:fill="auto"/>
            <w:vAlign w:val="center"/>
          </w:tcPr>
          <w:p w14:paraId="0475799F"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w:t>
            </w:r>
          </w:p>
        </w:tc>
        <w:tc>
          <w:tcPr>
            <w:tcW w:w="556" w:type="pct"/>
            <w:tcBorders>
              <w:bottom w:val="single" w:sz="4" w:space="0" w:color="002060"/>
            </w:tcBorders>
            <w:shd w:val="clear" w:color="auto" w:fill="auto"/>
            <w:vAlign w:val="center"/>
          </w:tcPr>
          <w:p w14:paraId="29C77DAA"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4,0%</w:t>
            </w:r>
          </w:p>
        </w:tc>
        <w:tc>
          <w:tcPr>
            <w:tcW w:w="556" w:type="pct"/>
            <w:tcBorders>
              <w:bottom w:val="single" w:sz="4" w:space="0" w:color="002060"/>
            </w:tcBorders>
            <w:shd w:val="clear" w:color="auto" w:fill="auto"/>
            <w:vAlign w:val="center"/>
          </w:tcPr>
          <w:p w14:paraId="652C9F5F" w14:textId="77777777" w:rsidR="006E272E" w:rsidRPr="0062711C" w:rsidRDefault="006E272E" w:rsidP="00C130D2">
            <w:pPr>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4,0%</w:t>
            </w:r>
          </w:p>
        </w:tc>
      </w:tr>
    </w:tbl>
    <w:p w14:paraId="011344A6" w14:textId="77777777" w:rsidR="006E272E" w:rsidRPr="0062711C" w:rsidRDefault="006E272E" w:rsidP="003F1BD3">
      <w:pPr>
        <w:spacing w:before="40" w:after="240" w:line="276" w:lineRule="auto"/>
        <w:rPr>
          <w:rFonts w:cstheme="minorHAnsi"/>
          <w:sz w:val="16"/>
          <w:szCs w:val="20"/>
          <w:lang w:val="sr-Cyrl-RS"/>
        </w:rPr>
      </w:pPr>
      <w:r w:rsidRPr="0062711C">
        <w:rPr>
          <w:rFonts w:eastAsia="Calibri" w:cstheme="minorHAnsi"/>
          <w:bCs/>
          <w:sz w:val="16"/>
          <w:szCs w:val="20"/>
          <w:lang w:val="sr-Cyrl-RS" w:eastAsia="ja-JP"/>
        </w:rPr>
        <w:t xml:space="preserve">Извор: </w:t>
      </w:r>
      <w:r w:rsidRPr="0062711C">
        <w:rPr>
          <w:rFonts w:cstheme="minorHAnsi"/>
          <w:sz w:val="16"/>
          <w:szCs w:val="20"/>
          <w:lang w:val="sr-Cyrl-RS"/>
        </w:rPr>
        <w:t>Министарство финансија</w:t>
      </w:r>
    </w:p>
    <w:p w14:paraId="5B3D4395" w14:textId="77777777" w:rsidR="006E272E" w:rsidRPr="0062711C" w:rsidRDefault="006E272E" w:rsidP="003F1BD3">
      <w:pPr>
        <w:spacing w:before="40" w:after="240" w:line="276" w:lineRule="auto"/>
        <w:rPr>
          <w:rFonts w:eastAsia="MS PGothic" w:cstheme="minorHAnsi"/>
          <w:szCs w:val="20"/>
          <w:lang w:val="sr-Cyrl-RS" w:eastAsia="ja-JP"/>
        </w:rPr>
        <w:sectPr w:rsidR="006E272E" w:rsidRPr="0062711C" w:rsidSect="00F45C01">
          <w:type w:val="continuous"/>
          <w:pgSz w:w="12240" w:h="15840" w:code="1"/>
          <w:pgMar w:top="1440" w:right="1440" w:bottom="1440" w:left="1440" w:header="720" w:footer="720" w:gutter="0"/>
          <w:cols w:space="720"/>
          <w:docGrid w:linePitch="360"/>
        </w:sectPr>
      </w:pPr>
    </w:p>
    <w:p w14:paraId="58569C92" w14:textId="77777777" w:rsidR="006E272E" w:rsidRPr="0062711C" w:rsidRDefault="006E272E" w:rsidP="003F1BD3">
      <w:pPr>
        <w:spacing w:after="120"/>
        <w:rPr>
          <w:rFonts w:cstheme="minorHAnsi"/>
          <w:lang w:val="sr-Cyrl-RS"/>
        </w:rPr>
      </w:pPr>
      <w:r w:rsidRPr="0062711C">
        <w:rPr>
          <w:rFonts w:eastAsia="MS PGothic" w:cstheme="minorHAnsi"/>
          <w:szCs w:val="20"/>
          <w:lang w:val="sr-Cyrl-RS" w:eastAsia="ja-JP"/>
        </w:rPr>
        <w:t>Циљеви фискалне политике у наредном средњорочном периоду биће обезбеђење стабилне позиције јавних финансија и опадајућа путања јавног дуга. Смањење</w:t>
      </w:r>
      <w:r w:rsidRPr="0062711C">
        <w:rPr>
          <w:rFonts w:cstheme="minorHAnsi"/>
          <w:lang w:val="sr-Cyrl-RS"/>
        </w:rPr>
        <w:t xml:space="preserve"> учешћа дуга је уско везано за динамику планираног дефицита као главног фактора задуживања. Растући трошкови задуживања на међународном финансијском тржишту такође захтевају опрез при вођењу фискалне политике.</w:t>
      </w:r>
    </w:p>
    <w:p w14:paraId="0DC1727F" w14:textId="77777777" w:rsidR="006E272E" w:rsidRPr="0062711C" w:rsidRDefault="006E272E" w:rsidP="00C01E82">
      <w:pPr>
        <w:spacing w:after="0"/>
        <w:jc w:val="center"/>
        <w:rPr>
          <w:rFonts w:cstheme="minorHAnsi"/>
          <w:b/>
          <w:color w:val="002060"/>
          <w:lang w:val="sr-Cyrl-RS"/>
        </w:rPr>
      </w:pPr>
      <w:r w:rsidRPr="0062711C">
        <w:rPr>
          <w:rFonts w:cstheme="minorHAnsi"/>
          <w:b/>
          <w:color w:val="002060"/>
          <w:lang w:val="sr-Cyrl-RS"/>
        </w:rPr>
        <w:br w:type="column"/>
      </w:r>
      <w:r w:rsidRPr="0062711C">
        <w:rPr>
          <w:rFonts w:cstheme="minorHAnsi"/>
          <w:b/>
          <w:color w:val="002060"/>
          <w:lang w:val="sr-Cyrl-RS"/>
        </w:rPr>
        <w:t>Фискални резултат и дуг сектора државе, % БДП</w:t>
      </w:r>
    </w:p>
    <w:p w14:paraId="5152235D" w14:textId="77777777" w:rsidR="006E272E" w:rsidRPr="0062711C" w:rsidRDefault="006E272E" w:rsidP="003F1BD3">
      <w:pPr>
        <w:spacing w:after="120"/>
        <w:jc w:val="right"/>
        <w:rPr>
          <w:lang w:val="sr-Cyrl-RS"/>
        </w:rPr>
      </w:pPr>
      <w:r w:rsidRPr="0062711C">
        <w:rPr>
          <w:noProof/>
          <w:lang w:val="en-GB" w:eastAsia="en-GB"/>
        </w:rPr>
        <w:drawing>
          <wp:inline distT="0" distB="0" distL="0" distR="0" wp14:anchorId="5A16014A" wp14:editId="1712EEEA">
            <wp:extent cx="2743200" cy="2160270"/>
            <wp:effectExtent l="0" t="0" r="0" b="0"/>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p>
    <w:p w14:paraId="57238D96" w14:textId="77777777" w:rsidR="006E272E" w:rsidRPr="0062711C" w:rsidRDefault="006E272E" w:rsidP="003F1BD3">
      <w:pPr>
        <w:rPr>
          <w:rFonts w:eastAsia="MS PGothic" w:cstheme="minorHAnsi"/>
          <w:spacing w:val="-2"/>
          <w:szCs w:val="20"/>
          <w:lang w:val="sr-Cyrl-RS" w:eastAsia="ja-JP"/>
        </w:rPr>
      </w:pPr>
      <w:r w:rsidRPr="0062711C">
        <w:rPr>
          <w:rFonts w:eastAsia="MS PGothic" w:cstheme="minorHAnsi"/>
          <w:szCs w:val="20"/>
          <w:lang w:val="sr-Cyrl-RS" w:eastAsia="ja-JP"/>
        </w:rPr>
        <w:br w:type="page"/>
      </w:r>
      <w:r w:rsidRPr="0062711C">
        <w:rPr>
          <w:rFonts w:eastAsia="MS PGothic" w:cstheme="minorHAnsi"/>
          <w:spacing w:val="-2"/>
          <w:szCs w:val="20"/>
          <w:lang w:val="sr-Cyrl-RS" w:eastAsia="ja-JP"/>
        </w:rPr>
        <w:lastRenderedPageBreak/>
        <w:t>Експанзивна фискална политика током 2020. и 2021. године умањила је негативне економске последице пандемије. У 2022. години фокус је пребачен на заштиту привреде и становништва од енергетске кризе, док је у 2023. години фискална политика враћена у релативно стабилне оквире. Као подршка бржем привредном расту, почетком 2024. године започете су активности на реализацији развојног плана „Скок у будућност”. У наредном периоду, фискални импулс ће бити усмерен на повећање јавних инвестиција са фокусом на оне приоритетне и продуктивне, а реформом управљања јавним инвестицијама ће се додатно подржати висок квалитет инвестиционих улагања.</w:t>
      </w:r>
    </w:p>
    <w:p w14:paraId="09FB956D" w14:textId="77777777" w:rsidR="006E272E" w:rsidRPr="0062711C" w:rsidRDefault="006E272E" w:rsidP="003F1BD3">
      <w:pPr>
        <w:rPr>
          <w:rFonts w:eastAsia="Times New Roman" w:cstheme="minorHAnsi"/>
          <w:b/>
          <w:bCs/>
          <w:spacing w:val="-2"/>
          <w:szCs w:val="20"/>
          <w:lang w:val="sr-Cyrl-RS" w:eastAsia="ja-JP"/>
        </w:rPr>
      </w:pPr>
      <w:r w:rsidRPr="0062711C">
        <w:rPr>
          <w:rFonts w:eastAsia="Calibri" w:cstheme="minorHAnsi"/>
          <w:spacing w:val="-2"/>
          <w:szCs w:val="20"/>
          <w:lang w:val="sr-Cyrl-RS" w:eastAsia="ja-JP"/>
        </w:rPr>
        <w:t>На приходној страни приоритет ће остати даље смањење пореског оптерећења зарада и наставак борбе против пореске евазије и сиве економије.</w:t>
      </w:r>
    </w:p>
    <w:p w14:paraId="13A03996" w14:textId="77777777" w:rsidR="006E272E" w:rsidRPr="0062711C" w:rsidRDefault="006E272E" w:rsidP="003F1BD3">
      <w:pPr>
        <w:keepNext/>
        <w:spacing w:after="120"/>
        <w:rPr>
          <w:rFonts w:eastAsia="MS PGothic" w:cstheme="minorHAnsi"/>
          <w:szCs w:val="20"/>
          <w:lang w:val="sr-Cyrl-RS" w:eastAsia="ja-JP"/>
        </w:rPr>
      </w:pPr>
      <w:r w:rsidRPr="0062711C">
        <w:rPr>
          <w:rFonts w:eastAsia="MS PGothic" w:cstheme="minorHAnsi"/>
          <w:szCs w:val="20"/>
          <w:lang w:val="sr-Cyrl-RS" w:eastAsia="ja-JP"/>
        </w:rPr>
        <w:t>Пројекција прихода у периоду од 2025. до 2027. године израђена је на основу:</w:t>
      </w:r>
    </w:p>
    <w:p w14:paraId="04CDF1CF" w14:textId="77777777" w:rsidR="006E272E" w:rsidRPr="0062711C" w:rsidRDefault="006E272E" w:rsidP="003F1BD3">
      <w:pPr>
        <w:numPr>
          <w:ilvl w:val="0"/>
          <w:numId w:val="1"/>
        </w:numPr>
        <w:spacing w:after="120"/>
        <w:ind w:left="181" w:hanging="181"/>
        <w:contextualSpacing/>
        <w:rPr>
          <w:rFonts w:eastAsia="Calibri" w:cstheme="minorHAnsi"/>
          <w:lang w:val="sr-Cyrl-RS"/>
        </w:rPr>
      </w:pPr>
      <w:r w:rsidRPr="0062711C">
        <w:rPr>
          <w:rFonts w:eastAsia="Calibri" w:cstheme="minorHAnsi"/>
          <w:lang w:val="sr-Cyrl-RS"/>
        </w:rPr>
        <w:t>пројекције кретања најважнијих макроекономских показатеља: БДП и његових компоненти, инфлације, девизног курса, спољнотрговинске размене, запослености и зарада;</w:t>
      </w:r>
    </w:p>
    <w:p w14:paraId="6BC23C28" w14:textId="77777777" w:rsidR="006E272E" w:rsidRPr="0062711C" w:rsidRDefault="006E272E" w:rsidP="003F1BD3">
      <w:pPr>
        <w:numPr>
          <w:ilvl w:val="0"/>
          <w:numId w:val="1"/>
        </w:numPr>
        <w:spacing w:after="120"/>
        <w:ind w:left="181" w:hanging="181"/>
        <w:contextualSpacing/>
        <w:rPr>
          <w:rFonts w:eastAsia="Calibri" w:cstheme="minorHAnsi"/>
          <w:lang w:val="sr-Cyrl-RS"/>
        </w:rPr>
      </w:pPr>
      <w:r w:rsidRPr="0062711C">
        <w:rPr>
          <w:rFonts w:eastAsia="Calibri" w:cstheme="minorHAnsi"/>
          <w:lang w:val="sr-Cyrl-RS"/>
        </w:rPr>
        <w:t>важеће и планиране измене пореске политике;</w:t>
      </w:r>
    </w:p>
    <w:p w14:paraId="158ABFF2" w14:textId="77777777" w:rsidR="006E272E" w:rsidRPr="0062711C" w:rsidRDefault="006E272E" w:rsidP="003F1BD3">
      <w:pPr>
        <w:numPr>
          <w:ilvl w:val="0"/>
          <w:numId w:val="1"/>
        </w:numPr>
        <w:spacing w:after="120"/>
        <w:ind w:left="181" w:hanging="181"/>
        <w:rPr>
          <w:rFonts w:eastAsia="Calibri" w:cstheme="minorHAnsi"/>
          <w:lang w:val="sr-Cyrl-RS"/>
        </w:rPr>
      </w:pPr>
      <w:r w:rsidRPr="0062711C">
        <w:rPr>
          <w:rFonts w:eastAsia="Calibri" w:cstheme="minorHAnsi"/>
          <w:lang w:val="sr-Cyrl-RS"/>
        </w:rPr>
        <w:t>процењених ефеката фискалних и структурних мера у наредном периоду.</w:t>
      </w:r>
    </w:p>
    <w:p w14:paraId="06F272AC" w14:textId="77777777" w:rsidR="006E272E" w:rsidRPr="0062711C" w:rsidRDefault="006E272E" w:rsidP="00451097">
      <w:pPr>
        <w:spacing w:before="240" w:after="120" w:line="276" w:lineRule="auto"/>
        <w:jc w:val="center"/>
        <w:rPr>
          <w:rFonts w:eastAsia="MS PGothic" w:cstheme="minorHAnsi"/>
          <w:b/>
          <w:color w:val="002060"/>
          <w:szCs w:val="20"/>
          <w:lang w:val="sr-Cyrl-RS" w:eastAsia="ja-JP"/>
        </w:rPr>
        <w:sectPr w:rsidR="006E272E" w:rsidRPr="0062711C" w:rsidSect="00F45C01">
          <w:type w:val="continuous"/>
          <w:pgSz w:w="12240" w:h="15840" w:code="1"/>
          <w:pgMar w:top="1440" w:right="1440" w:bottom="1440" w:left="1440" w:header="720" w:footer="720" w:gutter="0"/>
          <w:cols w:num="2" w:space="720"/>
          <w:docGrid w:linePitch="360"/>
        </w:sectPr>
      </w:pPr>
    </w:p>
    <w:p w14:paraId="1E25D61A" w14:textId="6F8F9A91" w:rsidR="006E272E" w:rsidRPr="0062711C" w:rsidRDefault="006E272E" w:rsidP="003F1BD3">
      <w:pPr>
        <w:spacing w:before="120" w:after="120" w:line="276" w:lineRule="auto"/>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 xml:space="preserve">Табела </w:t>
      </w:r>
      <w:r w:rsidR="00BB1E84">
        <w:rPr>
          <w:rFonts w:eastAsia="MS PGothic" w:cstheme="minorHAnsi"/>
          <w:b/>
          <w:color w:val="002060"/>
          <w:szCs w:val="20"/>
          <w:lang w:eastAsia="ja-JP"/>
        </w:rPr>
        <w:t>10</w:t>
      </w:r>
      <w:r w:rsidRPr="0062711C">
        <w:rPr>
          <w:rFonts w:eastAsia="MS PGothic" w:cstheme="minorHAnsi"/>
          <w:b/>
          <w:color w:val="002060"/>
          <w:szCs w:val="20"/>
          <w:lang w:val="sr-Cyrl-RS" w:eastAsia="ja-JP"/>
        </w:rPr>
        <w:t>. Укупни приходи и донације у периоду 2023–2027. године, % БДП</w:t>
      </w:r>
    </w:p>
    <w:tbl>
      <w:tblPr>
        <w:tblStyle w:val="LightShading-Accent1211"/>
        <w:tblW w:w="5000" w:type="pct"/>
        <w:tblBorders>
          <w:top w:val="none" w:sz="0" w:space="0" w:color="auto"/>
          <w:bottom w:val="none" w:sz="0" w:space="0" w:color="auto"/>
        </w:tblBorders>
        <w:tblLook w:val="0420" w:firstRow="1" w:lastRow="0" w:firstColumn="0" w:lastColumn="0" w:noHBand="0" w:noVBand="1"/>
      </w:tblPr>
      <w:tblGrid>
        <w:gridCol w:w="3824"/>
        <w:gridCol w:w="1133"/>
        <w:gridCol w:w="1134"/>
        <w:gridCol w:w="1088"/>
        <w:gridCol w:w="1090"/>
        <w:gridCol w:w="1091"/>
      </w:tblGrid>
      <w:tr w:rsidR="006E272E" w:rsidRPr="0062711C" w14:paraId="2F264E0E" w14:textId="77777777" w:rsidTr="00953528">
        <w:trPr>
          <w:cnfStyle w:val="100000000000" w:firstRow="1" w:lastRow="0" w:firstColumn="0" w:lastColumn="0" w:oddVBand="0" w:evenVBand="0" w:oddHBand="0" w:evenHBand="0" w:firstRowFirstColumn="0" w:firstRowLastColumn="0" w:lastRowFirstColumn="0" w:lastRowLastColumn="0"/>
          <w:trHeight w:val="253"/>
        </w:trPr>
        <w:tc>
          <w:tcPr>
            <w:tcW w:w="2043" w:type="pct"/>
            <w:tcBorders>
              <w:top w:val="single" w:sz="4" w:space="0" w:color="002060"/>
              <w:bottom w:val="single" w:sz="4" w:space="0" w:color="002060"/>
            </w:tcBorders>
            <w:noWrap/>
            <w:vAlign w:val="center"/>
          </w:tcPr>
          <w:p w14:paraId="2C935DF7" w14:textId="77777777" w:rsidR="006E272E" w:rsidRPr="0062711C" w:rsidRDefault="006E272E" w:rsidP="00C130D2">
            <w:pPr>
              <w:keepLines/>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Опис</w:t>
            </w:r>
          </w:p>
        </w:tc>
        <w:tc>
          <w:tcPr>
            <w:tcW w:w="605" w:type="pct"/>
            <w:tcBorders>
              <w:top w:val="single" w:sz="4" w:space="0" w:color="002060"/>
              <w:bottom w:val="single" w:sz="4" w:space="0" w:color="002060"/>
            </w:tcBorders>
            <w:vAlign w:val="center"/>
          </w:tcPr>
          <w:p w14:paraId="2C88A140" w14:textId="77777777" w:rsidR="006E272E" w:rsidRPr="0062711C" w:rsidRDefault="006E27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Извршење</w:t>
            </w:r>
          </w:p>
        </w:tc>
        <w:tc>
          <w:tcPr>
            <w:tcW w:w="606" w:type="pct"/>
            <w:tcBorders>
              <w:top w:val="single" w:sz="4" w:space="0" w:color="002060"/>
              <w:bottom w:val="single" w:sz="4" w:space="0" w:color="002060"/>
            </w:tcBorders>
            <w:vAlign w:val="center"/>
          </w:tcPr>
          <w:p w14:paraId="109EE9E5" w14:textId="77777777" w:rsidR="006E272E" w:rsidRPr="0062711C" w:rsidRDefault="006E27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Процена</w:t>
            </w:r>
          </w:p>
        </w:tc>
        <w:tc>
          <w:tcPr>
            <w:tcW w:w="1746" w:type="pct"/>
            <w:gridSpan w:val="3"/>
            <w:tcBorders>
              <w:top w:val="single" w:sz="4" w:space="0" w:color="002060"/>
              <w:bottom w:val="single" w:sz="4" w:space="0" w:color="002060"/>
            </w:tcBorders>
            <w:vAlign w:val="center"/>
          </w:tcPr>
          <w:p w14:paraId="3B7FC145" w14:textId="77777777" w:rsidR="006E272E" w:rsidRPr="0062711C" w:rsidRDefault="006E272E" w:rsidP="001940DA">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Пројекција</w:t>
            </w:r>
          </w:p>
        </w:tc>
      </w:tr>
      <w:tr w:rsidR="006E272E" w:rsidRPr="0062711C" w14:paraId="42DF5AA7"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tcBorders>
              <w:top w:val="single" w:sz="4" w:space="0" w:color="002060"/>
            </w:tcBorders>
            <w:shd w:val="clear" w:color="auto" w:fill="FFFFFF" w:themeFill="background1"/>
            <w:noWrap/>
          </w:tcPr>
          <w:p w14:paraId="6B8D4EB1" w14:textId="77777777" w:rsidR="006E272E" w:rsidRPr="0062711C" w:rsidRDefault="006E272E" w:rsidP="003F1BD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p>
        </w:tc>
        <w:tc>
          <w:tcPr>
            <w:tcW w:w="605" w:type="pct"/>
            <w:tcBorders>
              <w:top w:val="single" w:sz="4" w:space="0" w:color="002060"/>
              <w:bottom w:val="single" w:sz="4" w:space="0" w:color="002060"/>
            </w:tcBorders>
            <w:shd w:val="clear" w:color="auto" w:fill="FFFFFF" w:themeFill="background1"/>
          </w:tcPr>
          <w:p w14:paraId="2710D3D0"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2023</w:t>
            </w:r>
          </w:p>
        </w:tc>
        <w:tc>
          <w:tcPr>
            <w:tcW w:w="606" w:type="pct"/>
            <w:tcBorders>
              <w:top w:val="single" w:sz="4" w:space="0" w:color="002060"/>
              <w:bottom w:val="single" w:sz="4" w:space="0" w:color="002060"/>
            </w:tcBorders>
            <w:shd w:val="clear" w:color="auto" w:fill="FFFFFF" w:themeFill="background1"/>
          </w:tcPr>
          <w:p w14:paraId="4B9AA19D"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2024</w:t>
            </w:r>
          </w:p>
        </w:tc>
        <w:tc>
          <w:tcPr>
            <w:tcW w:w="581" w:type="pct"/>
            <w:tcBorders>
              <w:top w:val="single" w:sz="4" w:space="0" w:color="002060"/>
              <w:bottom w:val="single" w:sz="4" w:space="0" w:color="002060"/>
            </w:tcBorders>
            <w:shd w:val="clear" w:color="auto" w:fill="FFFFFF" w:themeFill="background1"/>
          </w:tcPr>
          <w:p w14:paraId="0636CFB7"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2025</w:t>
            </w:r>
          </w:p>
        </w:tc>
        <w:tc>
          <w:tcPr>
            <w:tcW w:w="582" w:type="pct"/>
            <w:tcBorders>
              <w:top w:val="single" w:sz="4" w:space="0" w:color="002060"/>
              <w:bottom w:val="single" w:sz="4" w:space="0" w:color="002060"/>
            </w:tcBorders>
            <w:shd w:val="clear" w:color="auto" w:fill="FFFFFF" w:themeFill="background1"/>
          </w:tcPr>
          <w:p w14:paraId="7FCB647C"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2026</w:t>
            </w:r>
          </w:p>
        </w:tc>
        <w:tc>
          <w:tcPr>
            <w:tcW w:w="583" w:type="pct"/>
            <w:tcBorders>
              <w:top w:val="single" w:sz="4" w:space="0" w:color="002060"/>
              <w:bottom w:val="single" w:sz="4" w:space="0" w:color="002060"/>
            </w:tcBorders>
            <w:shd w:val="clear" w:color="auto" w:fill="FFFFFF" w:themeFill="background1"/>
          </w:tcPr>
          <w:p w14:paraId="38DAF46A"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2027</w:t>
            </w:r>
          </w:p>
        </w:tc>
      </w:tr>
      <w:tr w:rsidR="006E272E" w:rsidRPr="0062711C" w14:paraId="69D7358C" w14:textId="77777777" w:rsidTr="003F1BD3">
        <w:trPr>
          <w:trHeight w:val="253"/>
        </w:trPr>
        <w:tc>
          <w:tcPr>
            <w:tcW w:w="2043" w:type="pct"/>
            <w:shd w:val="clear" w:color="auto" w:fill="FFFFFF" w:themeFill="background1"/>
          </w:tcPr>
          <w:p w14:paraId="0DA591D6" w14:textId="77777777" w:rsidR="006E272E" w:rsidRPr="0062711C" w:rsidRDefault="006E272E" w:rsidP="003F1BD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ЈАВНИ ПРИХОДИ</w:t>
            </w:r>
          </w:p>
        </w:tc>
        <w:tc>
          <w:tcPr>
            <w:tcW w:w="605" w:type="pct"/>
            <w:tcBorders>
              <w:top w:val="single" w:sz="4" w:space="0" w:color="002060"/>
            </w:tcBorders>
            <w:shd w:val="clear" w:color="auto" w:fill="auto"/>
            <w:vAlign w:val="center"/>
          </w:tcPr>
          <w:p w14:paraId="23D8781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42,6</w:t>
            </w:r>
          </w:p>
        </w:tc>
        <w:tc>
          <w:tcPr>
            <w:tcW w:w="606" w:type="pct"/>
            <w:tcBorders>
              <w:top w:val="single" w:sz="4" w:space="0" w:color="002060"/>
            </w:tcBorders>
            <w:shd w:val="clear" w:color="auto" w:fill="auto"/>
            <w:noWrap/>
            <w:vAlign w:val="center"/>
          </w:tcPr>
          <w:p w14:paraId="4282D5E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42,7</w:t>
            </w:r>
          </w:p>
        </w:tc>
        <w:tc>
          <w:tcPr>
            <w:tcW w:w="581" w:type="pct"/>
            <w:tcBorders>
              <w:top w:val="single" w:sz="4" w:space="0" w:color="002060"/>
            </w:tcBorders>
            <w:shd w:val="clear" w:color="auto" w:fill="auto"/>
            <w:noWrap/>
            <w:vAlign w:val="center"/>
          </w:tcPr>
          <w:p w14:paraId="3055D65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42,6</w:t>
            </w:r>
          </w:p>
        </w:tc>
        <w:tc>
          <w:tcPr>
            <w:tcW w:w="582" w:type="pct"/>
            <w:tcBorders>
              <w:top w:val="single" w:sz="4" w:space="0" w:color="002060"/>
            </w:tcBorders>
            <w:shd w:val="clear" w:color="auto" w:fill="auto"/>
            <w:noWrap/>
            <w:vAlign w:val="center"/>
          </w:tcPr>
          <w:p w14:paraId="680BA68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42,4</w:t>
            </w:r>
          </w:p>
        </w:tc>
        <w:tc>
          <w:tcPr>
            <w:tcW w:w="583" w:type="pct"/>
            <w:tcBorders>
              <w:top w:val="single" w:sz="4" w:space="0" w:color="002060"/>
            </w:tcBorders>
            <w:shd w:val="clear" w:color="auto" w:fill="auto"/>
            <w:noWrap/>
            <w:vAlign w:val="center"/>
          </w:tcPr>
          <w:p w14:paraId="21FFB533"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42,1</w:t>
            </w:r>
          </w:p>
        </w:tc>
      </w:tr>
      <w:tr w:rsidR="006E272E" w:rsidRPr="0062711C" w14:paraId="75665660"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002E3BC4" w14:textId="77777777" w:rsidR="006E272E" w:rsidRPr="0062711C" w:rsidRDefault="006E272E" w:rsidP="003F1BD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Текући приходи</w:t>
            </w:r>
          </w:p>
        </w:tc>
        <w:tc>
          <w:tcPr>
            <w:tcW w:w="605" w:type="pct"/>
            <w:shd w:val="clear" w:color="auto" w:fill="FFFFFF" w:themeFill="background1"/>
          </w:tcPr>
          <w:p w14:paraId="08B7840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42,1</w:t>
            </w:r>
          </w:p>
        </w:tc>
        <w:tc>
          <w:tcPr>
            <w:tcW w:w="606" w:type="pct"/>
            <w:shd w:val="clear" w:color="auto" w:fill="FFFFFF" w:themeFill="background1"/>
            <w:noWrap/>
          </w:tcPr>
          <w:p w14:paraId="034FDDE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42,3</w:t>
            </w:r>
          </w:p>
        </w:tc>
        <w:tc>
          <w:tcPr>
            <w:tcW w:w="581" w:type="pct"/>
            <w:shd w:val="clear" w:color="auto" w:fill="FFFFFF" w:themeFill="background1"/>
            <w:noWrap/>
          </w:tcPr>
          <w:p w14:paraId="29FFB57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42,2</w:t>
            </w:r>
          </w:p>
        </w:tc>
        <w:tc>
          <w:tcPr>
            <w:tcW w:w="582" w:type="pct"/>
            <w:shd w:val="clear" w:color="auto" w:fill="FFFFFF" w:themeFill="background1"/>
            <w:noWrap/>
          </w:tcPr>
          <w:p w14:paraId="51E1F579"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42,0</w:t>
            </w:r>
          </w:p>
        </w:tc>
        <w:tc>
          <w:tcPr>
            <w:tcW w:w="583" w:type="pct"/>
            <w:shd w:val="clear" w:color="auto" w:fill="FFFFFF" w:themeFill="background1"/>
            <w:noWrap/>
          </w:tcPr>
          <w:p w14:paraId="6492F8F9"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41,8</w:t>
            </w:r>
          </w:p>
        </w:tc>
      </w:tr>
      <w:tr w:rsidR="006E272E" w:rsidRPr="0062711C" w14:paraId="07A25617" w14:textId="77777777" w:rsidTr="003F1BD3">
        <w:trPr>
          <w:trHeight w:val="253"/>
        </w:trPr>
        <w:tc>
          <w:tcPr>
            <w:tcW w:w="2043" w:type="pct"/>
            <w:shd w:val="clear" w:color="auto" w:fill="FFFFFF" w:themeFill="background1"/>
          </w:tcPr>
          <w:p w14:paraId="720C8C9F" w14:textId="77777777" w:rsidR="006E272E" w:rsidRPr="0062711C" w:rsidRDefault="006E272E" w:rsidP="003F1BD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 xml:space="preserve"> Порески приходи</w:t>
            </w:r>
          </w:p>
        </w:tc>
        <w:tc>
          <w:tcPr>
            <w:tcW w:w="605" w:type="pct"/>
            <w:shd w:val="clear" w:color="auto" w:fill="FFFFFF" w:themeFill="background1"/>
          </w:tcPr>
          <w:p w14:paraId="667B9164"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37,8</w:t>
            </w:r>
          </w:p>
        </w:tc>
        <w:tc>
          <w:tcPr>
            <w:tcW w:w="606" w:type="pct"/>
            <w:shd w:val="clear" w:color="auto" w:fill="FFFFFF" w:themeFill="background1"/>
            <w:noWrap/>
          </w:tcPr>
          <w:p w14:paraId="2D859D3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37,9</w:t>
            </w:r>
          </w:p>
        </w:tc>
        <w:tc>
          <w:tcPr>
            <w:tcW w:w="581" w:type="pct"/>
            <w:shd w:val="clear" w:color="auto" w:fill="FFFFFF" w:themeFill="background1"/>
            <w:noWrap/>
          </w:tcPr>
          <w:p w14:paraId="79EE2D49"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38,1</w:t>
            </w:r>
          </w:p>
        </w:tc>
        <w:tc>
          <w:tcPr>
            <w:tcW w:w="582" w:type="pct"/>
            <w:shd w:val="clear" w:color="auto" w:fill="FFFFFF" w:themeFill="background1"/>
            <w:noWrap/>
          </w:tcPr>
          <w:p w14:paraId="414C3A9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38,0</w:t>
            </w:r>
          </w:p>
        </w:tc>
        <w:tc>
          <w:tcPr>
            <w:tcW w:w="583" w:type="pct"/>
            <w:shd w:val="clear" w:color="auto" w:fill="FFFFFF" w:themeFill="background1"/>
            <w:noWrap/>
          </w:tcPr>
          <w:p w14:paraId="24706A14"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38,0</w:t>
            </w:r>
          </w:p>
        </w:tc>
      </w:tr>
      <w:tr w:rsidR="006E272E" w:rsidRPr="0062711C" w14:paraId="5D094861"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79CD5524"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Порез на доходак грађана</w:t>
            </w:r>
          </w:p>
        </w:tc>
        <w:tc>
          <w:tcPr>
            <w:tcW w:w="605" w:type="pct"/>
            <w:shd w:val="clear" w:color="auto" w:fill="FFFFFF" w:themeFill="background1"/>
          </w:tcPr>
          <w:p w14:paraId="55484D6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4,3</w:t>
            </w:r>
          </w:p>
        </w:tc>
        <w:tc>
          <w:tcPr>
            <w:tcW w:w="606" w:type="pct"/>
            <w:shd w:val="clear" w:color="auto" w:fill="FFFFFF" w:themeFill="background1"/>
            <w:noWrap/>
          </w:tcPr>
          <w:p w14:paraId="51CE1DB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4,3</w:t>
            </w:r>
          </w:p>
        </w:tc>
        <w:tc>
          <w:tcPr>
            <w:tcW w:w="581" w:type="pct"/>
            <w:shd w:val="clear" w:color="auto" w:fill="FFFFFF" w:themeFill="background1"/>
            <w:noWrap/>
          </w:tcPr>
          <w:p w14:paraId="6B55EEC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4,3</w:t>
            </w:r>
          </w:p>
        </w:tc>
        <w:tc>
          <w:tcPr>
            <w:tcW w:w="582" w:type="pct"/>
            <w:shd w:val="clear" w:color="auto" w:fill="FFFFFF" w:themeFill="background1"/>
            <w:noWrap/>
          </w:tcPr>
          <w:p w14:paraId="5AB5720D"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w:t>
            </w:r>
          </w:p>
        </w:tc>
        <w:tc>
          <w:tcPr>
            <w:tcW w:w="583" w:type="pct"/>
            <w:shd w:val="clear" w:color="auto" w:fill="FFFFFF" w:themeFill="background1"/>
            <w:noWrap/>
          </w:tcPr>
          <w:p w14:paraId="7DE53403"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w:t>
            </w:r>
          </w:p>
        </w:tc>
      </w:tr>
      <w:tr w:rsidR="006E272E" w:rsidRPr="0062711C" w14:paraId="2CF51003" w14:textId="77777777" w:rsidTr="003F1BD3">
        <w:trPr>
          <w:trHeight w:val="253"/>
        </w:trPr>
        <w:tc>
          <w:tcPr>
            <w:tcW w:w="2043" w:type="pct"/>
            <w:shd w:val="clear" w:color="auto" w:fill="FFFFFF" w:themeFill="background1"/>
          </w:tcPr>
          <w:p w14:paraId="482AA3A7"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Порез на добит правних лица</w:t>
            </w:r>
          </w:p>
        </w:tc>
        <w:tc>
          <w:tcPr>
            <w:tcW w:w="605" w:type="pct"/>
            <w:shd w:val="clear" w:color="auto" w:fill="FFFFFF" w:themeFill="background1"/>
          </w:tcPr>
          <w:p w14:paraId="26D52585"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3,3</w:t>
            </w:r>
          </w:p>
        </w:tc>
        <w:tc>
          <w:tcPr>
            <w:tcW w:w="606" w:type="pct"/>
            <w:shd w:val="clear" w:color="auto" w:fill="FFFFFF" w:themeFill="background1"/>
            <w:noWrap/>
          </w:tcPr>
          <w:p w14:paraId="5A0D2FB7"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2,9</w:t>
            </w:r>
          </w:p>
        </w:tc>
        <w:tc>
          <w:tcPr>
            <w:tcW w:w="581" w:type="pct"/>
            <w:shd w:val="clear" w:color="auto" w:fill="FFFFFF" w:themeFill="background1"/>
            <w:noWrap/>
          </w:tcPr>
          <w:p w14:paraId="46EC558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2,8</w:t>
            </w:r>
          </w:p>
        </w:tc>
        <w:tc>
          <w:tcPr>
            <w:tcW w:w="582" w:type="pct"/>
            <w:shd w:val="clear" w:color="auto" w:fill="FFFFFF" w:themeFill="background1"/>
            <w:noWrap/>
          </w:tcPr>
          <w:p w14:paraId="7398D70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2,7</w:t>
            </w:r>
          </w:p>
        </w:tc>
        <w:tc>
          <w:tcPr>
            <w:tcW w:w="583" w:type="pct"/>
            <w:shd w:val="clear" w:color="auto" w:fill="FFFFFF" w:themeFill="background1"/>
            <w:noWrap/>
          </w:tcPr>
          <w:p w14:paraId="497F1FD5"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2,7</w:t>
            </w:r>
          </w:p>
        </w:tc>
      </w:tr>
      <w:tr w:rsidR="006E272E" w:rsidRPr="0062711C" w14:paraId="39F721BF"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50741091"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ПДВ</w:t>
            </w:r>
          </w:p>
        </w:tc>
        <w:tc>
          <w:tcPr>
            <w:tcW w:w="605" w:type="pct"/>
            <w:shd w:val="clear" w:color="auto" w:fill="FFFFFF" w:themeFill="background1"/>
          </w:tcPr>
          <w:p w14:paraId="0FAC5D7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10,3</w:t>
            </w:r>
          </w:p>
        </w:tc>
        <w:tc>
          <w:tcPr>
            <w:tcW w:w="606" w:type="pct"/>
            <w:shd w:val="clear" w:color="auto" w:fill="FFFFFF" w:themeFill="background1"/>
            <w:noWrap/>
          </w:tcPr>
          <w:p w14:paraId="628AB9C8"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10,6</w:t>
            </w:r>
          </w:p>
        </w:tc>
        <w:tc>
          <w:tcPr>
            <w:tcW w:w="581" w:type="pct"/>
            <w:shd w:val="clear" w:color="auto" w:fill="FFFFFF" w:themeFill="background1"/>
            <w:noWrap/>
          </w:tcPr>
          <w:p w14:paraId="7F060AC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10,7</w:t>
            </w:r>
          </w:p>
        </w:tc>
        <w:tc>
          <w:tcPr>
            <w:tcW w:w="582" w:type="pct"/>
            <w:shd w:val="clear" w:color="auto" w:fill="FFFFFF" w:themeFill="background1"/>
            <w:noWrap/>
          </w:tcPr>
          <w:p w14:paraId="25D8DF1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10,7</w:t>
            </w:r>
          </w:p>
        </w:tc>
        <w:tc>
          <w:tcPr>
            <w:tcW w:w="583" w:type="pct"/>
            <w:shd w:val="clear" w:color="auto" w:fill="FFFFFF" w:themeFill="background1"/>
            <w:noWrap/>
          </w:tcPr>
          <w:p w14:paraId="0BF465E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10,7</w:t>
            </w:r>
          </w:p>
        </w:tc>
      </w:tr>
      <w:tr w:rsidR="006E272E" w:rsidRPr="0062711C" w14:paraId="592F02CB" w14:textId="77777777" w:rsidTr="003F1BD3">
        <w:trPr>
          <w:trHeight w:val="253"/>
        </w:trPr>
        <w:tc>
          <w:tcPr>
            <w:tcW w:w="2043" w:type="pct"/>
            <w:shd w:val="clear" w:color="auto" w:fill="FFFFFF" w:themeFill="background1"/>
          </w:tcPr>
          <w:p w14:paraId="58D65E66"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Акцизе</w:t>
            </w:r>
          </w:p>
        </w:tc>
        <w:tc>
          <w:tcPr>
            <w:tcW w:w="605" w:type="pct"/>
            <w:shd w:val="clear" w:color="auto" w:fill="FFFFFF" w:themeFill="background1"/>
          </w:tcPr>
          <w:p w14:paraId="32F049D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4,5</w:t>
            </w:r>
          </w:p>
        </w:tc>
        <w:tc>
          <w:tcPr>
            <w:tcW w:w="606" w:type="pct"/>
            <w:shd w:val="clear" w:color="auto" w:fill="FFFFFF" w:themeFill="background1"/>
            <w:noWrap/>
          </w:tcPr>
          <w:p w14:paraId="474EA92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4,5</w:t>
            </w:r>
          </w:p>
        </w:tc>
        <w:tc>
          <w:tcPr>
            <w:tcW w:w="581" w:type="pct"/>
            <w:shd w:val="clear" w:color="auto" w:fill="FFFFFF" w:themeFill="background1"/>
            <w:noWrap/>
          </w:tcPr>
          <w:p w14:paraId="2FBD3A4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4,3</w:t>
            </w:r>
          </w:p>
        </w:tc>
        <w:tc>
          <w:tcPr>
            <w:tcW w:w="582" w:type="pct"/>
            <w:shd w:val="clear" w:color="auto" w:fill="FFFFFF" w:themeFill="background1"/>
            <w:noWrap/>
          </w:tcPr>
          <w:p w14:paraId="0970A2B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4,1</w:t>
            </w:r>
          </w:p>
        </w:tc>
        <w:tc>
          <w:tcPr>
            <w:tcW w:w="583" w:type="pct"/>
            <w:shd w:val="clear" w:color="auto" w:fill="FFFFFF" w:themeFill="background1"/>
            <w:noWrap/>
          </w:tcPr>
          <w:p w14:paraId="411EE474"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3,9</w:t>
            </w:r>
          </w:p>
        </w:tc>
      </w:tr>
      <w:tr w:rsidR="006E272E" w:rsidRPr="0062711C" w14:paraId="4D14E6E6"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7B8AF89D"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Царине</w:t>
            </w:r>
          </w:p>
        </w:tc>
        <w:tc>
          <w:tcPr>
            <w:tcW w:w="605" w:type="pct"/>
            <w:shd w:val="clear" w:color="auto" w:fill="FFFFFF" w:themeFill="background1"/>
          </w:tcPr>
          <w:p w14:paraId="1D709B3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w:t>
            </w:r>
          </w:p>
        </w:tc>
        <w:tc>
          <w:tcPr>
            <w:tcW w:w="606" w:type="pct"/>
            <w:shd w:val="clear" w:color="auto" w:fill="FFFFFF" w:themeFill="background1"/>
            <w:noWrap/>
          </w:tcPr>
          <w:p w14:paraId="03FE7FE5"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w:t>
            </w:r>
          </w:p>
        </w:tc>
        <w:tc>
          <w:tcPr>
            <w:tcW w:w="581" w:type="pct"/>
            <w:shd w:val="clear" w:color="auto" w:fill="FFFFFF" w:themeFill="background1"/>
            <w:noWrap/>
          </w:tcPr>
          <w:p w14:paraId="557D268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w:t>
            </w:r>
          </w:p>
        </w:tc>
        <w:tc>
          <w:tcPr>
            <w:tcW w:w="582" w:type="pct"/>
            <w:shd w:val="clear" w:color="auto" w:fill="FFFFFF" w:themeFill="background1"/>
            <w:noWrap/>
          </w:tcPr>
          <w:p w14:paraId="3D3C7EBC"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w:t>
            </w:r>
          </w:p>
        </w:tc>
        <w:tc>
          <w:tcPr>
            <w:tcW w:w="583" w:type="pct"/>
            <w:shd w:val="clear" w:color="auto" w:fill="FFFFFF" w:themeFill="background1"/>
            <w:noWrap/>
          </w:tcPr>
          <w:p w14:paraId="54D6BCC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w:t>
            </w:r>
          </w:p>
        </w:tc>
      </w:tr>
      <w:tr w:rsidR="006E272E" w:rsidRPr="0062711C" w14:paraId="3825A9E2" w14:textId="77777777" w:rsidTr="003F1BD3">
        <w:trPr>
          <w:trHeight w:val="253"/>
        </w:trPr>
        <w:tc>
          <w:tcPr>
            <w:tcW w:w="2043" w:type="pct"/>
            <w:shd w:val="clear" w:color="auto" w:fill="FFFFFF" w:themeFill="background1"/>
          </w:tcPr>
          <w:p w14:paraId="35EADFC5"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Остали порески приходи</w:t>
            </w:r>
          </w:p>
        </w:tc>
        <w:tc>
          <w:tcPr>
            <w:tcW w:w="605" w:type="pct"/>
            <w:shd w:val="clear" w:color="auto" w:fill="FFFFFF" w:themeFill="background1"/>
          </w:tcPr>
          <w:p w14:paraId="0E9756B8"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w:t>
            </w:r>
          </w:p>
        </w:tc>
        <w:tc>
          <w:tcPr>
            <w:tcW w:w="606" w:type="pct"/>
            <w:shd w:val="clear" w:color="auto" w:fill="FFFFFF" w:themeFill="background1"/>
            <w:noWrap/>
          </w:tcPr>
          <w:p w14:paraId="5EE695A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w:t>
            </w:r>
          </w:p>
        </w:tc>
        <w:tc>
          <w:tcPr>
            <w:tcW w:w="581" w:type="pct"/>
            <w:shd w:val="clear" w:color="auto" w:fill="FFFFFF" w:themeFill="background1"/>
            <w:noWrap/>
          </w:tcPr>
          <w:p w14:paraId="4F07119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c>
          <w:tcPr>
            <w:tcW w:w="582" w:type="pct"/>
            <w:shd w:val="clear" w:color="auto" w:fill="FFFFFF" w:themeFill="background1"/>
            <w:noWrap/>
          </w:tcPr>
          <w:p w14:paraId="5D3A880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c>
          <w:tcPr>
            <w:tcW w:w="583" w:type="pct"/>
            <w:shd w:val="clear" w:color="auto" w:fill="FFFFFF" w:themeFill="background1"/>
            <w:noWrap/>
          </w:tcPr>
          <w:p w14:paraId="2980400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1,1</w:t>
            </w:r>
          </w:p>
        </w:tc>
      </w:tr>
      <w:tr w:rsidR="006E272E" w:rsidRPr="0062711C" w14:paraId="634B097D"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shd w:val="clear" w:color="auto" w:fill="FFFFFF" w:themeFill="background1"/>
          </w:tcPr>
          <w:p w14:paraId="17F30C4F" w14:textId="77777777" w:rsidR="006E272E" w:rsidRPr="0062711C" w:rsidRDefault="006E272E" w:rsidP="003F1BD3">
            <w:pPr>
              <w:keepLines/>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Доприноси</w:t>
            </w:r>
          </w:p>
        </w:tc>
        <w:tc>
          <w:tcPr>
            <w:tcW w:w="605" w:type="pct"/>
            <w:shd w:val="clear" w:color="auto" w:fill="FFFFFF" w:themeFill="background1"/>
          </w:tcPr>
          <w:p w14:paraId="622BF7E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13,0</w:t>
            </w:r>
          </w:p>
        </w:tc>
        <w:tc>
          <w:tcPr>
            <w:tcW w:w="606" w:type="pct"/>
            <w:shd w:val="clear" w:color="auto" w:fill="FFFFFF" w:themeFill="background1"/>
            <w:noWrap/>
          </w:tcPr>
          <w:p w14:paraId="4BD35F5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13,4</w:t>
            </w:r>
          </w:p>
        </w:tc>
        <w:tc>
          <w:tcPr>
            <w:tcW w:w="581" w:type="pct"/>
            <w:shd w:val="clear" w:color="auto" w:fill="FFFFFF" w:themeFill="background1"/>
            <w:noWrap/>
          </w:tcPr>
          <w:p w14:paraId="06FE874C"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13,7</w:t>
            </w:r>
          </w:p>
        </w:tc>
        <w:tc>
          <w:tcPr>
            <w:tcW w:w="582" w:type="pct"/>
            <w:shd w:val="clear" w:color="auto" w:fill="FFFFFF" w:themeFill="background1"/>
            <w:noWrap/>
          </w:tcPr>
          <w:p w14:paraId="6D992288"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13,9</w:t>
            </w:r>
          </w:p>
        </w:tc>
        <w:tc>
          <w:tcPr>
            <w:tcW w:w="583" w:type="pct"/>
            <w:shd w:val="clear" w:color="auto" w:fill="FFFFFF" w:themeFill="background1"/>
            <w:noWrap/>
          </w:tcPr>
          <w:p w14:paraId="26CEB6E4"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14,1</w:t>
            </w:r>
          </w:p>
        </w:tc>
      </w:tr>
      <w:tr w:rsidR="006E272E" w:rsidRPr="0062711C" w14:paraId="62BF9416" w14:textId="77777777" w:rsidTr="003F1BD3">
        <w:trPr>
          <w:trHeight w:val="253"/>
        </w:trPr>
        <w:tc>
          <w:tcPr>
            <w:tcW w:w="2043" w:type="pct"/>
            <w:shd w:val="clear" w:color="auto" w:fill="FFFFFF" w:themeFill="background1"/>
          </w:tcPr>
          <w:p w14:paraId="50B7F73F" w14:textId="77777777" w:rsidR="006E272E" w:rsidRPr="0062711C" w:rsidRDefault="006E272E" w:rsidP="003F1BD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 xml:space="preserve"> Непорески приходи</w:t>
            </w:r>
          </w:p>
        </w:tc>
        <w:tc>
          <w:tcPr>
            <w:tcW w:w="605" w:type="pct"/>
            <w:shd w:val="clear" w:color="auto" w:fill="FFFFFF" w:themeFill="background1"/>
          </w:tcPr>
          <w:p w14:paraId="3C9508E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4,3</w:t>
            </w:r>
          </w:p>
        </w:tc>
        <w:tc>
          <w:tcPr>
            <w:tcW w:w="606" w:type="pct"/>
            <w:shd w:val="clear" w:color="auto" w:fill="FFFFFF" w:themeFill="background1"/>
            <w:noWrap/>
          </w:tcPr>
          <w:p w14:paraId="3C823CD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w:t>
            </w:r>
          </w:p>
        </w:tc>
        <w:tc>
          <w:tcPr>
            <w:tcW w:w="581" w:type="pct"/>
            <w:shd w:val="clear" w:color="auto" w:fill="FFFFFF" w:themeFill="background1"/>
            <w:noWrap/>
          </w:tcPr>
          <w:p w14:paraId="6B63BD5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4,1</w:t>
            </w:r>
          </w:p>
        </w:tc>
        <w:tc>
          <w:tcPr>
            <w:tcW w:w="582" w:type="pct"/>
            <w:shd w:val="clear" w:color="auto" w:fill="FFFFFF" w:themeFill="background1"/>
            <w:noWrap/>
          </w:tcPr>
          <w:p w14:paraId="6C62D0B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4,0</w:t>
            </w:r>
          </w:p>
        </w:tc>
        <w:tc>
          <w:tcPr>
            <w:tcW w:w="583" w:type="pct"/>
            <w:shd w:val="clear" w:color="auto" w:fill="FFFFFF" w:themeFill="background1"/>
            <w:noWrap/>
          </w:tcPr>
          <w:p w14:paraId="25EF2733"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3,8</w:t>
            </w:r>
          </w:p>
        </w:tc>
      </w:tr>
      <w:tr w:rsidR="006E272E" w:rsidRPr="0062711C" w14:paraId="10893DF5" w14:textId="77777777" w:rsidTr="003F1BD3">
        <w:trPr>
          <w:cnfStyle w:val="000000100000" w:firstRow="0" w:lastRow="0" w:firstColumn="0" w:lastColumn="0" w:oddVBand="0" w:evenVBand="0" w:oddHBand="1" w:evenHBand="0" w:firstRowFirstColumn="0" w:firstRowLastColumn="0" w:lastRowFirstColumn="0" w:lastRowLastColumn="0"/>
          <w:trHeight w:val="253"/>
        </w:trPr>
        <w:tc>
          <w:tcPr>
            <w:tcW w:w="2043" w:type="pct"/>
            <w:tcBorders>
              <w:bottom w:val="single" w:sz="4" w:space="0" w:color="002060"/>
            </w:tcBorders>
            <w:shd w:val="clear" w:color="auto" w:fill="FFFFFF" w:themeFill="background1"/>
          </w:tcPr>
          <w:p w14:paraId="6AA0F18C" w14:textId="77777777" w:rsidR="006E272E" w:rsidRPr="0062711C" w:rsidRDefault="006E272E" w:rsidP="003F1BD3">
            <w:pPr>
              <w:keepLines/>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Донације</w:t>
            </w:r>
          </w:p>
        </w:tc>
        <w:tc>
          <w:tcPr>
            <w:tcW w:w="605" w:type="pct"/>
            <w:tcBorders>
              <w:bottom w:val="single" w:sz="4" w:space="0" w:color="002060"/>
            </w:tcBorders>
            <w:shd w:val="clear" w:color="auto" w:fill="FFFFFF" w:themeFill="background1"/>
          </w:tcPr>
          <w:p w14:paraId="3B5F74B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0,5</w:t>
            </w:r>
          </w:p>
        </w:tc>
        <w:tc>
          <w:tcPr>
            <w:tcW w:w="606" w:type="pct"/>
            <w:tcBorders>
              <w:bottom w:val="single" w:sz="4" w:space="0" w:color="002060"/>
            </w:tcBorders>
            <w:shd w:val="clear" w:color="auto" w:fill="FFFFFF" w:themeFill="background1"/>
            <w:noWrap/>
          </w:tcPr>
          <w:p w14:paraId="580E00D9"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0,4</w:t>
            </w:r>
          </w:p>
        </w:tc>
        <w:tc>
          <w:tcPr>
            <w:tcW w:w="581" w:type="pct"/>
            <w:tcBorders>
              <w:bottom w:val="single" w:sz="4" w:space="0" w:color="002060"/>
            </w:tcBorders>
            <w:shd w:val="clear" w:color="auto" w:fill="FFFFFF" w:themeFill="background1"/>
            <w:noWrap/>
          </w:tcPr>
          <w:p w14:paraId="2C4379A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0,4</w:t>
            </w:r>
          </w:p>
        </w:tc>
        <w:tc>
          <w:tcPr>
            <w:tcW w:w="582" w:type="pct"/>
            <w:tcBorders>
              <w:bottom w:val="single" w:sz="4" w:space="0" w:color="002060"/>
            </w:tcBorders>
            <w:shd w:val="clear" w:color="auto" w:fill="FFFFFF" w:themeFill="background1"/>
            <w:noWrap/>
          </w:tcPr>
          <w:p w14:paraId="339E8F9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0,4</w:t>
            </w:r>
          </w:p>
        </w:tc>
        <w:tc>
          <w:tcPr>
            <w:tcW w:w="583" w:type="pct"/>
            <w:tcBorders>
              <w:bottom w:val="single" w:sz="4" w:space="0" w:color="002060"/>
            </w:tcBorders>
            <w:shd w:val="clear" w:color="auto" w:fill="FFFFFF" w:themeFill="background1"/>
            <w:noWrap/>
          </w:tcPr>
          <w:p w14:paraId="64F7C68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0,4</w:t>
            </w:r>
          </w:p>
        </w:tc>
      </w:tr>
    </w:tbl>
    <w:p w14:paraId="7C1AA9F4" w14:textId="77777777" w:rsidR="006E272E" w:rsidRPr="0062711C" w:rsidRDefault="006E272E" w:rsidP="00953528">
      <w:pPr>
        <w:spacing w:before="40" w:after="120" w:line="276" w:lineRule="auto"/>
        <w:jc w:val="left"/>
        <w:rPr>
          <w:rFonts w:cstheme="minorHAnsi"/>
          <w:sz w:val="16"/>
          <w:szCs w:val="20"/>
          <w:lang w:val="sr-Cyrl-RS"/>
        </w:rPr>
        <w:sectPr w:rsidR="006E272E" w:rsidRPr="0062711C" w:rsidSect="00F45C01">
          <w:type w:val="continuous"/>
          <w:pgSz w:w="12240" w:h="15840" w:code="1"/>
          <w:pgMar w:top="1440" w:right="1440" w:bottom="1440" w:left="1440" w:header="720" w:footer="720" w:gutter="0"/>
          <w:cols w:space="720"/>
          <w:docGrid w:linePitch="360"/>
        </w:sectPr>
      </w:pPr>
      <w:r w:rsidRPr="0062711C">
        <w:rPr>
          <w:rFonts w:eastAsia="Calibri" w:cstheme="minorHAnsi"/>
          <w:bCs/>
          <w:sz w:val="16"/>
          <w:szCs w:val="20"/>
          <w:lang w:val="sr-Cyrl-RS" w:eastAsia="ja-JP"/>
        </w:rPr>
        <w:t xml:space="preserve">Извор: </w:t>
      </w:r>
      <w:r w:rsidRPr="0062711C">
        <w:rPr>
          <w:rFonts w:cstheme="minorHAnsi"/>
          <w:sz w:val="16"/>
          <w:szCs w:val="20"/>
          <w:lang w:val="sr-Cyrl-RS"/>
        </w:rPr>
        <w:t>Министарство финансија</w:t>
      </w:r>
    </w:p>
    <w:p w14:paraId="25F7008F" w14:textId="2FD743EC"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Благо опадајући тренд</w:t>
      </w:r>
      <w:r w:rsidR="007067AD" w:rsidRPr="0062711C">
        <w:rPr>
          <w:rFonts w:eastAsia="MS PGothic" w:cstheme="minorHAnsi"/>
          <w:szCs w:val="20"/>
          <w:lang w:val="sr-Cyrl-RS" w:eastAsia="ja-JP"/>
        </w:rPr>
        <w:t xml:space="preserve"> укупних јавних</w:t>
      </w:r>
      <w:r w:rsidRPr="0062711C">
        <w:rPr>
          <w:rFonts w:eastAsia="MS PGothic" w:cstheme="minorHAnsi"/>
          <w:szCs w:val="20"/>
          <w:lang w:val="sr-Cyrl-RS" w:eastAsia="ja-JP"/>
        </w:rPr>
        <w:t xml:space="preserve"> прихода у посматраном периоду, у смислу учешћа у БДП, је очекиван с обзиром на пројектовану структуру средњорочног раста српске привреде. Пројекција пореских прихода подразумева одржавање постојећег степена наплате.</w:t>
      </w:r>
    </w:p>
    <w:p w14:paraId="0FDD3ECD"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 xml:space="preserve">Преовлађујући облик пореза на доходак је порез на зараде, тако да су кретање масе зарада и запослености главни фактори који утичу на кретање овог пореског облика. С обзиром да се очекује бржи раст ове две компоненте од номиналног раста БДП очекује се благи раст учешћа пореза на доходак у БДП. </w:t>
      </w:r>
    </w:p>
    <w:p w14:paraId="35BEF193"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Остали облици пореза на доходак (порез на дивиденде, порез на приходе од камата, годишњи порез на доходак, итд.) ће расти спорије, то јест у складу са кретањем опште економске активности.</w:t>
      </w:r>
    </w:p>
    <w:p w14:paraId="79466998"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 xml:space="preserve">Кретање учешћа доприноса у БДП има сличну путању као и кретање учешћа пореза на зараде, с обзиром да су за њихову пројекцију коришћене исте претпоставке о кретању зарада и запослености. С обзиром на очекивано брже кретање масе зарада, и последично пореза и доприноса на зараде, у односу на номинални БДП, предвиђа се раст нивоа доприноса у односу на БДП. </w:t>
      </w:r>
    </w:p>
    <w:p w14:paraId="1D4DDA37"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 xml:space="preserve">Приходи од пореза на добит правних лица у периоду 2025–2027. године зависиће од путање привредног раста, релативне стабилности курса динара и опште профитабилности привреде. Процена прихода по овом основу је неизвесна како због економских фактора, тако и због могућности коришћења пореског кредита или повраћаја, као и разлика између </w:t>
      </w:r>
      <w:r w:rsidRPr="0062711C">
        <w:rPr>
          <w:rFonts w:eastAsia="MS PGothic" w:cstheme="minorHAnsi"/>
          <w:szCs w:val="20"/>
          <w:lang w:val="sr-Cyrl-RS" w:eastAsia="ja-JP"/>
        </w:rPr>
        <w:lastRenderedPageBreak/>
        <w:t>рачуноводствених и пореских биланса. Раст профитабилности привреде у 2022. години допринео је значајном скоку пореза на добит у 2023. години, с обзиром да се порез на добит по коначном обрачуну уплаћује у наредној години. Очекује се да се у периоду до 2027. године наплата пореза на добит стабилизује у складу са кретањем БДП.</w:t>
      </w:r>
    </w:p>
    <w:p w14:paraId="4EB93C55"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Главна детерминанта кретања ПДВ је домаћа тражња вођена расположивим дохотком становништва. Расположиви доходак као највећа детерминанта потрошње зависи од кретања зарада, пензија, социјалне помоћи и осталих облика доходака, укључујући и дознаке, као и од динамике кредитне активности банака према становништву.</w:t>
      </w:r>
    </w:p>
    <w:p w14:paraId="334C663E"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Као и код пореза на доходак грађана, ризици за остварење пројекције ПДВ у наредном периоду, поред опште неизвесности међународног економског окружења, односе се и на кретање зарада у приватном сектору, раст привредне активности, као и на степен сиве економије, односно ефикасност у њеном смањењу.</w:t>
      </w:r>
    </w:p>
    <w:p w14:paraId="14FB1871"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Подизање ефикасности наплате и контроле пореских обвезника ће бити настављено у наредном периоду, с тим што ефекти борбе против сиве економије нису експлицитно укључени у средњорочну пројекцију јавних прихода. У овом сегменту простор за даља побољшања створиће се јачањем и модернизацијом пореске администрације.</w:t>
      </w:r>
    </w:p>
    <w:p w14:paraId="7FE55833"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Пројекција прихода од акциза сачињена је на основу важеће акцизне политике и пројектоване потрошње акцизних производа. У октобру 2023. године је било ванредно повећање акциза од 8%, док је редовно усклађивање са растом потрошачких цена примењено током маја 2024. године. У наредним годинама, услед опрезности, није претпостављен раст потрошње нафтних деривата.</w:t>
      </w:r>
    </w:p>
    <w:p w14:paraId="1C75A2BA" w14:textId="504036CD"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 xml:space="preserve">У оквиру акцизне политике код дуванских производа очекује се даље постепено усклађивање са директивама ЕУ у складу са средњорочним планом поступног повећавања акцизног оптерећења. У наредном периоду је за потребе пројекције прихода од акциза, услед </w:t>
      </w:r>
      <w:r w:rsidRPr="0062711C">
        <w:rPr>
          <w:rFonts w:eastAsia="MS PGothic" w:cstheme="minorHAnsi"/>
          <w:szCs w:val="20"/>
          <w:lang w:val="sr-Cyrl-RS" w:eastAsia="ja-JP"/>
        </w:rPr>
        <w:t>опрезности, предвиђен даљи очекивани пад тржишта дуванских производа.</w:t>
      </w:r>
    </w:p>
    <w:p w14:paraId="67F07955"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Приходи од акциза на алкохолна пића, кафу и електричну енергију су пројектовани у складу са постојећом структуром потрошње и актуелном акцизном политиком, а од 2025. године предвиђено је увођење акцизе на природни гас који се користи за грејање и погон моторних возила.</w:t>
      </w:r>
    </w:p>
    <w:p w14:paraId="0F6BA1D3"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Приходи од царина ће се стабилизовати на нивоу од 1% БДП у наредном периоду, а пројектовани су у складу са очекиваним кретањем увоза, девизног курса и потрошње.</w:t>
      </w:r>
    </w:p>
    <w:p w14:paraId="2F2BDD5E"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Пројектује се стабилизација учешћа у БДП осталих пореских прихода. Најзначајнији порески приход у овој категорији је порез на имовину чије учешће износи око 70%. Номинално повећање овог прихода може се очекивати по основу проширења основице. Повећање степена наплате, кроз повећање обухвата непокретности на које се порез плаћа (то јест по основу проширења пореске базе), није укључено у пројекције у средњем року и представља позитиван ризик. Поред пореза на имовину, у остале пореске приходе укључују се и порези на употребу, држање и ношење добара, те други облици пореза на локалном нивоу. Они су пројектовани у складу са кретањем инфлације, будући да је инфлаторна компонента уграђена у значајан део ових пореских облика.</w:t>
      </w:r>
    </w:p>
    <w:p w14:paraId="40D81E17"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 xml:space="preserve">Предвиђено је смањење учешћа непореских прихода у БДП, са 4,4% у 2024. години на 3,8% колико се очекује да ће износити у 2027. години. Разлог за смањење пројектованог учешћа непореских прихода у БДП је искључивање из базне </w:t>
      </w:r>
      <w:r w:rsidRPr="0062711C">
        <w:rPr>
          <w:rFonts w:eastAsia="MS PGothic" w:cstheme="minorHAnsi"/>
          <w:szCs w:val="20"/>
          <w:shd w:val="clear" w:color="auto" w:fill="FFFFFF" w:themeFill="background1"/>
          <w:lang w:val="sr-Cyrl-RS" w:eastAsia="ja-JP"/>
        </w:rPr>
        <w:t>2024.</w:t>
      </w:r>
      <w:r w:rsidRPr="0062711C">
        <w:rPr>
          <w:rFonts w:eastAsia="MS PGothic" w:cstheme="minorHAnsi"/>
          <w:szCs w:val="20"/>
          <w:lang w:val="sr-Cyrl-RS" w:eastAsia="ja-JP"/>
        </w:rPr>
        <w:t xml:space="preserve"> године свих оних прихода који се не сматрају структурним тј. трајним, првенствено ванредних непореских прихода. Ванредни непорески приходи су углавном једнократни, у одређеној мери неизвесни, како по питању износа, тако и по питању тренутка уплате. Највећи део ових прихода представљају ванредне уплате добити јавних предузећа и агенција, дивиденде буџета, приходи по основу наплаћених потраживања АОД, емисионе премије, итд. Редовни непорески приходи обухватају различите таксе, накнаде, казне, приходе органа и организација и све остале приходе који се </w:t>
      </w:r>
      <w:r w:rsidRPr="0062711C">
        <w:rPr>
          <w:rFonts w:eastAsia="MS PGothic" w:cstheme="minorHAnsi"/>
          <w:szCs w:val="20"/>
          <w:lang w:val="sr-Cyrl-RS" w:eastAsia="ja-JP"/>
        </w:rPr>
        <w:lastRenderedPageBreak/>
        <w:t>остварују устаљеном динамиком током године. Овај тип непореских прихода индексира се са оствареном инфлацијом у претходној години, или пак прати промену у вредности основице на коју се примењују, и услед тога се коригује пројектованом инфлацијом.</w:t>
      </w:r>
    </w:p>
    <w:p w14:paraId="3E072203"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Процесом приближавања државе чланству у ЕУ повећавају се расположива средства из ИПА и ИПАРД фондова која чине преовлађујући део прихода од донација. У пројектоване износе по основу донација укључена су и средства по основу секторске буџетске подршке ЕУ. Приходи по основу донација су неутрални у односу на резултат, с обзиром да су једнаки расходима по овом основу.</w:t>
      </w:r>
    </w:p>
    <w:p w14:paraId="32B095C5" w14:textId="77777777" w:rsidR="006E272E" w:rsidRPr="0062711C" w:rsidRDefault="006E272E" w:rsidP="003F1BD3">
      <w:pPr>
        <w:spacing w:after="120"/>
        <w:rPr>
          <w:rFonts w:eastAsia="MS PGothic" w:cstheme="minorHAnsi"/>
          <w:szCs w:val="20"/>
          <w:lang w:val="sr-Cyrl-RS" w:eastAsia="ja-JP"/>
        </w:rPr>
      </w:pPr>
      <w:r w:rsidRPr="0062711C">
        <w:rPr>
          <w:rFonts w:eastAsia="MS PGothic" w:cstheme="minorHAnsi"/>
          <w:szCs w:val="20"/>
          <w:lang w:val="sr-Cyrl-RS" w:eastAsia="ja-JP"/>
        </w:rPr>
        <w:t xml:space="preserve">Одговорном фискалном политиком у комбинацији са добрим макроекономским перформансама у протеклом периоду обезбеђено је релаксирање политике плата и пензија и значајно повећање капиталних инвестиција као битне компоненте развоја привреде. Посебна пажња је посвећена унапређењу ефикасности реализације капиталних инвестиција државе. Социјална компонента буџета је побољшана бољим таргетирањем програма социјалне помоћи и већим издвајањем за функције здравства и образовања. Плате и пензије заједно чине преко </w:t>
      </w:r>
      <w:r w:rsidRPr="0062711C">
        <w:rPr>
          <w:rFonts w:eastAsia="MS PGothic" w:cstheme="minorHAnsi"/>
          <w:szCs w:val="20"/>
          <w:shd w:val="clear" w:color="auto" w:fill="FFFFFF" w:themeFill="background1"/>
          <w:lang w:val="sr-Cyrl-RS" w:eastAsia="ja-JP"/>
        </w:rPr>
        <w:t>40%</w:t>
      </w:r>
      <w:r w:rsidRPr="0062711C">
        <w:rPr>
          <w:rFonts w:eastAsia="MS PGothic" w:cstheme="minorHAnsi"/>
          <w:szCs w:val="20"/>
          <w:lang w:val="sr-Cyrl-RS" w:eastAsia="ja-JP"/>
        </w:rPr>
        <w:t xml:space="preserve"> расхода на нивоу сектора државе и њихова стабилизација је од пресудног значаја за одрживост јавних финансија.</w:t>
      </w:r>
    </w:p>
    <w:p w14:paraId="3B6E87C0" w14:textId="77777777" w:rsidR="006E272E" w:rsidRPr="0062711C" w:rsidRDefault="006E272E" w:rsidP="003F1BD3">
      <w:pPr>
        <w:spacing w:after="120"/>
        <w:rPr>
          <w:rFonts w:eastAsia="MS PGothic" w:cstheme="minorHAnsi"/>
          <w:szCs w:val="20"/>
          <w:lang w:val="sr-Cyrl-RS" w:eastAsia="ja-JP"/>
        </w:rPr>
        <w:sectPr w:rsidR="006E272E" w:rsidRPr="0062711C" w:rsidSect="00F45C01">
          <w:type w:val="continuous"/>
          <w:pgSz w:w="12240" w:h="15840" w:code="1"/>
          <w:pgMar w:top="1440" w:right="1440" w:bottom="1440" w:left="1440" w:header="720" w:footer="720" w:gutter="0"/>
          <w:cols w:num="2" w:space="720"/>
          <w:docGrid w:linePitch="360"/>
        </w:sectPr>
      </w:pPr>
    </w:p>
    <w:p w14:paraId="1A5A9AC8" w14:textId="63C38213" w:rsidR="006E272E" w:rsidRPr="0062711C" w:rsidRDefault="006E272E" w:rsidP="006E272E">
      <w:pPr>
        <w:jc w:val="center"/>
        <w:rPr>
          <w:lang w:val="sr-Cyrl-RS" w:eastAsia="ja-JP"/>
        </w:rPr>
      </w:pPr>
      <w:r w:rsidRPr="0062711C">
        <w:rPr>
          <w:rFonts w:eastAsia="MS PGothic" w:cstheme="minorHAnsi"/>
          <w:b/>
          <w:color w:val="002060"/>
          <w:szCs w:val="20"/>
          <w:lang w:val="sr-Cyrl-RS" w:eastAsia="ja-JP"/>
        </w:rPr>
        <w:t>Табела 1</w:t>
      </w:r>
      <w:r w:rsidR="00BB1E84">
        <w:rPr>
          <w:rFonts w:eastAsia="MS PGothic" w:cstheme="minorHAnsi"/>
          <w:b/>
          <w:color w:val="002060"/>
          <w:szCs w:val="20"/>
          <w:lang w:eastAsia="ja-JP"/>
        </w:rPr>
        <w:t>1</w:t>
      </w:r>
      <w:r w:rsidRPr="0062711C">
        <w:rPr>
          <w:rFonts w:eastAsia="MS PGothic" w:cstheme="minorHAnsi"/>
          <w:b/>
          <w:color w:val="002060"/>
          <w:szCs w:val="20"/>
          <w:lang w:val="sr-Cyrl-RS" w:eastAsia="ja-JP"/>
        </w:rPr>
        <w:t>. Укупни расходи у периоду 2023–2027. године, % БДП</w:t>
      </w:r>
    </w:p>
    <w:tbl>
      <w:tblPr>
        <w:tblStyle w:val="LightShading-Accent1221"/>
        <w:tblW w:w="4952" w:type="pct"/>
        <w:tblLook w:val="0420" w:firstRow="1" w:lastRow="0" w:firstColumn="0" w:lastColumn="0" w:noHBand="0" w:noVBand="1"/>
      </w:tblPr>
      <w:tblGrid>
        <w:gridCol w:w="3647"/>
        <w:gridCol w:w="1194"/>
        <w:gridCol w:w="1194"/>
        <w:gridCol w:w="1077"/>
        <w:gridCol w:w="1077"/>
        <w:gridCol w:w="1081"/>
      </w:tblGrid>
      <w:tr w:rsidR="006E272E" w:rsidRPr="0062711C" w14:paraId="75EBA189" w14:textId="77777777" w:rsidTr="001940DA">
        <w:trPr>
          <w:cnfStyle w:val="100000000000" w:firstRow="1" w:lastRow="0" w:firstColumn="0" w:lastColumn="0" w:oddVBand="0" w:evenVBand="0" w:oddHBand="0" w:evenHBand="0" w:firstRowFirstColumn="0" w:firstRowLastColumn="0" w:lastRowFirstColumn="0" w:lastRowLastColumn="0"/>
          <w:trHeight w:val="49"/>
        </w:trPr>
        <w:tc>
          <w:tcPr>
            <w:tcW w:w="1967" w:type="pct"/>
            <w:tcBorders>
              <w:top w:val="single" w:sz="4" w:space="0" w:color="002060"/>
              <w:bottom w:val="single" w:sz="4" w:space="0" w:color="002060"/>
            </w:tcBorders>
            <w:noWrap/>
            <w:vAlign w:val="center"/>
          </w:tcPr>
          <w:p w14:paraId="20F0AFD1" w14:textId="77777777" w:rsidR="006E272E" w:rsidRPr="0062711C" w:rsidRDefault="006E272E" w:rsidP="003F1BD3">
            <w:pPr>
              <w:widowControl w:val="0"/>
              <w:shd w:val="clear" w:color="auto" w:fill="FFFFFF" w:themeFill="background1"/>
              <w:spacing w:line="276" w:lineRule="auto"/>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Опис</w:t>
            </w:r>
          </w:p>
        </w:tc>
        <w:tc>
          <w:tcPr>
            <w:tcW w:w="644" w:type="pct"/>
            <w:tcBorders>
              <w:top w:val="single" w:sz="4" w:space="0" w:color="002060"/>
              <w:bottom w:val="single" w:sz="4" w:space="0" w:color="002060"/>
            </w:tcBorders>
            <w:vAlign w:val="center"/>
          </w:tcPr>
          <w:p w14:paraId="4C95B181" w14:textId="77777777" w:rsidR="006E272E" w:rsidRPr="0062711C" w:rsidRDefault="006E27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Извршење</w:t>
            </w:r>
          </w:p>
        </w:tc>
        <w:tc>
          <w:tcPr>
            <w:tcW w:w="644" w:type="pct"/>
            <w:tcBorders>
              <w:top w:val="single" w:sz="4" w:space="0" w:color="002060"/>
              <w:bottom w:val="single" w:sz="4" w:space="0" w:color="002060"/>
            </w:tcBorders>
            <w:vAlign w:val="center"/>
          </w:tcPr>
          <w:p w14:paraId="25C76DC4" w14:textId="77777777" w:rsidR="006E272E" w:rsidRPr="0062711C" w:rsidRDefault="006E272E" w:rsidP="00C130D2">
            <w:pPr>
              <w:keepNext/>
              <w:widowControl w:val="0"/>
              <w:shd w:val="clear" w:color="auto" w:fill="FFFFFF" w:themeFill="background1"/>
              <w:spacing w:line="276" w:lineRule="auto"/>
              <w:jc w:val="right"/>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Процена</w:t>
            </w:r>
          </w:p>
        </w:tc>
        <w:tc>
          <w:tcPr>
            <w:tcW w:w="1745" w:type="pct"/>
            <w:gridSpan w:val="3"/>
            <w:tcBorders>
              <w:top w:val="single" w:sz="4" w:space="0" w:color="002060"/>
              <w:bottom w:val="single" w:sz="4" w:space="0" w:color="002060"/>
            </w:tcBorders>
            <w:vAlign w:val="center"/>
          </w:tcPr>
          <w:p w14:paraId="6ECAD21D" w14:textId="77777777" w:rsidR="006E272E" w:rsidRPr="0062711C" w:rsidRDefault="006E272E" w:rsidP="00C130D2">
            <w:pPr>
              <w:keepNext/>
              <w:widowControl w:val="0"/>
              <w:shd w:val="clear" w:color="auto" w:fill="FFFFFF" w:themeFill="background1"/>
              <w:spacing w:line="276" w:lineRule="auto"/>
              <w:jc w:val="center"/>
              <w:rPr>
                <w:rFonts w:asciiTheme="minorHAnsi" w:eastAsia="Times New Roman" w:hAnsiTheme="minorHAnsi" w:cstheme="minorHAnsi"/>
                <w:b w:val="0"/>
                <w:color w:val="002060"/>
                <w:sz w:val="18"/>
                <w:szCs w:val="18"/>
                <w:lang w:val="sr-Cyrl-RS"/>
              </w:rPr>
            </w:pPr>
            <w:r w:rsidRPr="0062711C">
              <w:rPr>
                <w:rFonts w:asciiTheme="minorHAnsi" w:hAnsiTheme="minorHAnsi" w:cstheme="minorHAnsi"/>
                <w:b w:val="0"/>
                <w:color w:val="002060"/>
                <w:sz w:val="18"/>
                <w:lang w:val="sr-Cyrl-RS"/>
              </w:rPr>
              <w:t>Пројекција</w:t>
            </w:r>
          </w:p>
        </w:tc>
      </w:tr>
      <w:tr w:rsidR="006E272E" w:rsidRPr="0062711C" w14:paraId="56AAB95A"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tcBorders>
              <w:top w:val="single" w:sz="4" w:space="0" w:color="002060"/>
              <w:bottom w:val="nil"/>
            </w:tcBorders>
            <w:shd w:val="clear" w:color="auto" w:fill="FFFFFF" w:themeFill="background1"/>
            <w:noWrap/>
          </w:tcPr>
          <w:p w14:paraId="6BA10079" w14:textId="77777777" w:rsidR="006E272E" w:rsidRPr="0062711C" w:rsidRDefault="006E272E" w:rsidP="003F1BD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p>
        </w:tc>
        <w:tc>
          <w:tcPr>
            <w:tcW w:w="644" w:type="pct"/>
            <w:tcBorders>
              <w:top w:val="single" w:sz="4" w:space="0" w:color="002060"/>
              <w:bottom w:val="single" w:sz="4" w:space="0" w:color="002060"/>
            </w:tcBorders>
            <w:shd w:val="clear" w:color="auto" w:fill="FFFFFF" w:themeFill="background1"/>
          </w:tcPr>
          <w:p w14:paraId="1A9C1DF7"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2023</w:t>
            </w:r>
          </w:p>
        </w:tc>
        <w:tc>
          <w:tcPr>
            <w:tcW w:w="644" w:type="pct"/>
            <w:tcBorders>
              <w:top w:val="single" w:sz="4" w:space="0" w:color="002060"/>
              <w:bottom w:val="single" w:sz="4" w:space="0" w:color="002060"/>
            </w:tcBorders>
            <w:shd w:val="clear" w:color="auto" w:fill="FFFFFF" w:themeFill="background1"/>
          </w:tcPr>
          <w:p w14:paraId="723657E1"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2024</w:t>
            </w:r>
          </w:p>
        </w:tc>
        <w:tc>
          <w:tcPr>
            <w:tcW w:w="581" w:type="pct"/>
            <w:tcBorders>
              <w:top w:val="single" w:sz="4" w:space="0" w:color="002060"/>
              <w:bottom w:val="single" w:sz="4" w:space="0" w:color="002060"/>
            </w:tcBorders>
            <w:shd w:val="clear" w:color="auto" w:fill="FFFFFF" w:themeFill="background1"/>
          </w:tcPr>
          <w:p w14:paraId="29D65A0F"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2025</w:t>
            </w:r>
          </w:p>
        </w:tc>
        <w:tc>
          <w:tcPr>
            <w:tcW w:w="581" w:type="pct"/>
            <w:tcBorders>
              <w:top w:val="single" w:sz="4" w:space="0" w:color="002060"/>
              <w:bottom w:val="single" w:sz="4" w:space="0" w:color="002060"/>
            </w:tcBorders>
            <w:shd w:val="clear" w:color="auto" w:fill="FFFFFF" w:themeFill="background1"/>
          </w:tcPr>
          <w:p w14:paraId="1F49CD17"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2026</w:t>
            </w:r>
          </w:p>
        </w:tc>
        <w:tc>
          <w:tcPr>
            <w:tcW w:w="583" w:type="pct"/>
            <w:tcBorders>
              <w:top w:val="single" w:sz="4" w:space="0" w:color="002060"/>
              <w:bottom w:val="single" w:sz="4" w:space="0" w:color="002060"/>
            </w:tcBorders>
            <w:shd w:val="clear" w:color="auto" w:fill="FFFFFF" w:themeFill="background1"/>
          </w:tcPr>
          <w:p w14:paraId="6D4DA473" w14:textId="77777777" w:rsidR="006E272E" w:rsidRPr="0062711C" w:rsidRDefault="006E272E" w:rsidP="003F1BD3">
            <w:pPr>
              <w:keepNext/>
              <w:widowControl w:val="0"/>
              <w:shd w:val="clear" w:color="auto" w:fill="FFFFFF" w:themeFill="background1"/>
              <w:spacing w:line="276" w:lineRule="auto"/>
              <w:jc w:val="right"/>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2027</w:t>
            </w:r>
          </w:p>
        </w:tc>
      </w:tr>
      <w:tr w:rsidR="006E272E" w:rsidRPr="0062711C" w14:paraId="4E84C393" w14:textId="77777777" w:rsidTr="00953528">
        <w:trPr>
          <w:trHeight w:val="49"/>
        </w:trPr>
        <w:tc>
          <w:tcPr>
            <w:tcW w:w="1967" w:type="pct"/>
            <w:tcBorders>
              <w:top w:val="nil"/>
            </w:tcBorders>
            <w:shd w:val="clear" w:color="auto" w:fill="FFFFFF" w:themeFill="background1"/>
          </w:tcPr>
          <w:p w14:paraId="6E9588FC" w14:textId="77777777" w:rsidR="006E272E" w:rsidRPr="0062711C" w:rsidRDefault="006E272E" w:rsidP="003F1BD3">
            <w:pPr>
              <w:widowControl w:val="0"/>
              <w:shd w:val="clear" w:color="auto" w:fill="FFFFFF" w:themeFill="background1"/>
              <w:spacing w:line="276" w:lineRule="auto"/>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ЈАВНИ РАСХОДИ</w:t>
            </w:r>
          </w:p>
        </w:tc>
        <w:tc>
          <w:tcPr>
            <w:tcW w:w="644" w:type="pct"/>
            <w:tcBorders>
              <w:top w:val="single" w:sz="4" w:space="0" w:color="002060"/>
            </w:tcBorders>
            <w:shd w:val="clear" w:color="auto" w:fill="FFFFFF" w:themeFill="background1"/>
          </w:tcPr>
          <w:p w14:paraId="79B51CD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44,8</w:t>
            </w:r>
          </w:p>
        </w:tc>
        <w:tc>
          <w:tcPr>
            <w:tcW w:w="644" w:type="pct"/>
            <w:tcBorders>
              <w:top w:val="single" w:sz="4" w:space="0" w:color="002060"/>
            </w:tcBorders>
            <w:shd w:val="clear" w:color="auto" w:fill="FFFFFF" w:themeFill="background1"/>
            <w:noWrap/>
          </w:tcPr>
          <w:p w14:paraId="34203029"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44,9</w:t>
            </w:r>
          </w:p>
        </w:tc>
        <w:tc>
          <w:tcPr>
            <w:tcW w:w="581" w:type="pct"/>
            <w:tcBorders>
              <w:top w:val="single" w:sz="4" w:space="0" w:color="002060"/>
            </w:tcBorders>
            <w:shd w:val="clear" w:color="auto" w:fill="FFFFFF" w:themeFill="background1"/>
            <w:noWrap/>
          </w:tcPr>
          <w:p w14:paraId="51E45675"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45,1</w:t>
            </w:r>
          </w:p>
        </w:tc>
        <w:tc>
          <w:tcPr>
            <w:tcW w:w="581" w:type="pct"/>
            <w:tcBorders>
              <w:top w:val="single" w:sz="4" w:space="0" w:color="002060"/>
            </w:tcBorders>
            <w:shd w:val="clear" w:color="auto" w:fill="FFFFFF" w:themeFill="background1"/>
            <w:noWrap/>
          </w:tcPr>
          <w:p w14:paraId="3FD59DD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44,6</w:t>
            </w:r>
          </w:p>
        </w:tc>
        <w:tc>
          <w:tcPr>
            <w:tcW w:w="583" w:type="pct"/>
            <w:tcBorders>
              <w:top w:val="single" w:sz="4" w:space="0" w:color="002060"/>
            </w:tcBorders>
            <w:shd w:val="clear" w:color="auto" w:fill="FFFFFF" w:themeFill="background1"/>
            <w:noWrap/>
          </w:tcPr>
          <w:p w14:paraId="011645E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44,4</w:t>
            </w:r>
          </w:p>
        </w:tc>
      </w:tr>
      <w:tr w:rsidR="006E272E" w:rsidRPr="0062711C" w14:paraId="143280A5"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564FC6A1" w14:textId="77777777" w:rsidR="006E272E" w:rsidRPr="0062711C" w:rsidRDefault="006E272E" w:rsidP="003F1BD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 xml:space="preserve"> Текући расходи</w:t>
            </w:r>
          </w:p>
        </w:tc>
        <w:tc>
          <w:tcPr>
            <w:tcW w:w="644" w:type="pct"/>
            <w:shd w:val="clear" w:color="auto" w:fill="FFFFFF" w:themeFill="background1"/>
          </w:tcPr>
          <w:p w14:paraId="4D83E6D4"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36,7</w:t>
            </w:r>
          </w:p>
        </w:tc>
        <w:tc>
          <w:tcPr>
            <w:tcW w:w="644" w:type="pct"/>
            <w:shd w:val="clear" w:color="auto" w:fill="FFFFFF" w:themeFill="background1"/>
            <w:noWrap/>
          </w:tcPr>
          <w:p w14:paraId="583B32C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37,1</w:t>
            </w:r>
          </w:p>
        </w:tc>
        <w:tc>
          <w:tcPr>
            <w:tcW w:w="581" w:type="pct"/>
            <w:shd w:val="clear" w:color="auto" w:fill="FFFFFF" w:themeFill="background1"/>
            <w:noWrap/>
          </w:tcPr>
          <w:p w14:paraId="7217B503"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37,4</w:t>
            </w:r>
          </w:p>
        </w:tc>
        <w:tc>
          <w:tcPr>
            <w:tcW w:w="581" w:type="pct"/>
            <w:shd w:val="clear" w:color="auto" w:fill="FFFFFF" w:themeFill="background1"/>
            <w:noWrap/>
          </w:tcPr>
          <w:p w14:paraId="1288213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36,8</w:t>
            </w:r>
          </w:p>
        </w:tc>
        <w:tc>
          <w:tcPr>
            <w:tcW w:w="583" w:type="pct"/>
            <w:shd w:val="clear" w:color="auto" w:fill="FFFFFF" w:themeFill="background1"/>
            <w:noWrap/>
          </w:tcPr>
          <w:p w14:paraId="0B6DF3E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36,5</w:t>
            </w:r>
          </w:p>
        </w:tc>
      </w:tr>
      <w:tr w:rsidR="006E272E" w:rsidRPr="0062711C" w14:paraId="0C3797F1" w14:textId="77777777" w:rsidTr="00953528">
        <w:trPr>
          <w:trHeight w:val="49"/>
        </w:trPr>
        <w:tc>
          <w:tcPr>
            <w:tcW w:w="1967" w:type="pct"/>
            <w:shd w:val="clear" w:color="auto" w:fill="FFFFFF" w:themeFill="background1"/>
          </w:tcPr>
          <w:p w14:paraId="707DF55B" w14:textId="77777777" w:rsidR="006E272E" w:rsidRPr="0062711C" w:rsidRDefault="006E272E" w:rsidP="003F1BD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Расходи за запослене</w:t>
            </w:r>
          </w:p>
        </w:tc>
        <w:tc>
          <w:tcPr>
            <w:tcW w:w="644" w:type="pct"/>
            <w:shd w:val="clear" w:color="auto" w:fill="FFFFFF" w:themeFill="background1"/>
          </w:tcPr>
          <w:p w14:paraId="2B3AA5D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9,5</w:t>
            </w:r>
          </w:p>
        </w:tc>
        <w:tc>
          <w:tcPr>
            <w:tcW w:w="644" w:type="pct"/>
            <w:shd w:val="clear" w:color="auto" w:fill="FFFFFF" w:themeFill="background1"/>
            <w:noWrap/>
          </w:tcPr>
          <w:p w14:paraId="03F8CD4D"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10,1</w:t>
            </w:r>
          </w:p>
        </w:tc>
        <w:tc>
          <w:tcPr>
            <w:tcW w:w="581" w:type="pct"/>
            <w:shd w:val="clear" w:color="auto" w:fill="FFFFFF" w:themeFill="background1"/>
            <w:noWrap/>
          </w:tcPr>
          <w:p w14:paraId="7AE8AC2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10,1</w:t>
            </w:r>
          </w:p>
        </w:tc>
        <w:tc>
          <w:tcPr>
            <w:tcW w:w="581" w:type="pct"/>
            <w:shd w:val="clear" w:color="auto" w:fill="FFFFFF" w:themeFill="background1"/>
            <w:noWrap/>
          </w:tcPr>
          <w:p w14:paraId="4B225D2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10,1</w:t>
            </w:r>
          </w:p>
        </w:tc>
        <w:tc>
          <w:tcPr>
            <w:tcW w:w="583" w:type="pct"/>
            <w:shd w:val="clear" w:color="auto" w:fill="FFFFFF" w:themeFill="background1"/>
            <w:noWrap/>
          </w:tcPr>
          <w:p w14:paraId="005D093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10,1</w:t>
            </w:r>
          </w:p>
        </w:tc>
      </w:tr>
      <w:tr w:rsidR="006E272E" w:rsidRPr="0062711C" w14:paraId="5398A1DF"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4BCCAFED" w14:textId="77777777" w:rsidR="006E272E" w:rsidRPr="0062711C" w:rsidRDefault="006E272E" w:rsidP="003F1BD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Куповина робе и услуга</w:t>
            </w:r>
          </w:p>
        </w:tc>
        <w:tc>
          <w:tcPr>
            <w:tcW w:w="644" w:type="pct"/>
            <w:shd w:val="clear" w:color="auto" w:fill="FFFFFF" w:themeFill="background1"/>
          </w:tcPr>
          <w:p w14:paraId="0685E1D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7,7</w:t>
            </w:r>
          </w:p>
        </w:tc>
        <w:tc>
          <w:tcPr>
            <w:tcW w:w="644" w:type="pct"/>
            <w:shd w:val="clear" w:color="auto" w:fill="FFFFFF" w:themeFill="background1"/>
            <w:noWrap/>
          </w:tcPr>
          <w:p w14:paraId="5936D6D7"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7,5</w:t>
            </w:r>
          </w:p>
        </w:tc>
        <w:tc>
          <w:tcPr>
            <w:tcW w:w="581" w:type="pct"/>
            <w:shd w:val="clear" w:color="auto" w:fill="FFFFFF" w:themeFill="background1"/>
            <w:noWrap/>
          </w:tcPr>
          <w:p w14:paraId="27DCE41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7,4</w:t>
            </w:r>
          </w:p>
        </w:tc>
        <w:tc>
          <w:tcPr>
            <w:tcW w:w="581" w:type="pct"/>
            <w:shd w:val="clear" w:color="auto" w:fill="FFFFFF" w:themeFill="background1"/>
            <w:noWrap/>
          </w:tcPr>
          <w:p w14:paraId="602785CC"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7,4</w:t>
            </w:r>
          </w:p>
        </w:tc>
        <w:tc>
          <w:tcPr>
            <w:tcW w:w="583" w:type="pct"/>
            <w:shd w:val="clear" w:color="auto" w:fill="FFFFFF" w:themeFill="background1"/>
            <w:noWrap/>
          </w:tcPr>
          <w:p w14:paraId="6744C078"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7,4</w:t>
            </w:r>
          </w:p>
        </w:tc>
      </w:tr>
      <w:tr w:rsidR="006E272E" w:rsidRPr="0062711C" w14:paraId="763BD1BF" w14:textId="77777777" w:rsidTr="00953528">
        <w:trPr>
          <w:trHeight w:val="49"/>
        </w:trPr>
        <w:tc>
          <w:tcPr>
            <w:tcW w:w="1967" w:type="pct"/>
            <w:shd w:val="clear" w:color="auto" w:fill="FFFFFF" w:themeFill="background1"/>
          </w:tcPr>
          <w:p w14:paraId="2186BF88" w14:textId="77777777" w:rsidR="006E272E" w:rsidRPr="0062711C" w:rsidRDefault="006E272E" w:rsidP="003F1BD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Отплата камата</w:t>
            </w:r>
          </w:p>
        </w:tc>
        <w:tc>
          <w:tcPr>
            <w:tcW w:w="644" w:type="pct"/>
            <w:shd w:val="clear" w:color="auto" w:fill="FFFFFF" w:themeFill="background1"/>
          </w:tcPr>
          <w:p w14:paraId="496E7DE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1,8</w:t>
            </w:r>
          </w:p>
        </w:tc>
        <w:tc>
          <w:tcPr>
            <w:tcW w:w="644" w:type="pct"/>
            <w:shd w:val="clear" w:color="auto" w:fill="FFFFFF" w:themeFill="background1"/>
            <w:noWrap/>
          </w:tcPr>
          <w:p w14:paraId="2EDFE06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2,1</w:t>
            </w:r>
          </w:p>
        </w:tc>
        <w:tc>
          <w:tcPr>
            <w:tcW w:w="581" w:type="pct"/>
            <w:shd w:val="clear" w:color="auto" w:fill="FFFFFF" w:themeFill="background1"/>
            <w:noWrap/>
          </w:tcPr>
          <w:p w14:paraId="5DB19E9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2,4</w:t>
            </w:r>
          </w:p>
        </w:tc>
        <w:tc>
          <w:tcPr>
            <w:tcW w:w="581" w:type="pct"/>
            <w:shd w:val="clear" w:color="auto" w:fill="FFFFFF" w:themeFill="background1"/>
            <w:noWrap/>
          </w:tcPr>
          <w:p w14:paraId="021D333D"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2,3</w:t>
            </w:r>
          </w:p>
        </w:tc>
        <w:tc>
          <w:tcPr>
            <w:tcW w:w="583" w:type="pct"/>
            <w:shd w:val="clear" w:color="auto" w:fill="FFFFFF" w:themeFill="background1"/>
            <w:noWrap/>
          </w:tcPr>
          <w:p w14:paraId="354369B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2,4</w:t>
            </w:r>
          </w:p>
        </w:tc>
      </w:tr>
      <w:tr w:rsidR="006E272E" w:rsidRPr="0062711C" w14:paraId="1F25F1CE"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6FEA80AC" w14:textId="77777777" w:rsidR="006E272E" w:rsidRPr="0062711C" w:rsidRDefault="006E272E" w:rsidP="003F1BD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Субвенције</w:t>
            </w:r>
          </w:p>
        </w:tc>
        <w:tc>
          <w:tcPr>
            <w:tcW w:w="644" w:type="pct"/>
            <w:shd w:val="clear" w:color="auto" w:fill="FFFFFF" w:themeFill="background1"/>
          </w:tcPr>
          <w:p w14:paraId="12574318"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2,6</w:t>
            </w:r>
          </w:p>
        </w:tc>
        <w:tc>
          <w:tcPr>
            <w:tcW w:w="644" w:type="pct"/>
            <w:shd w:val="clear" w:color="auto" w:fill="FFFFFF" w:themeFill="background1"/>
            <w:noWrap/>
          </w:tcPr>
          <w:p w14:paraId="38B5A5E5"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2,3</w:t>
            </w:r>
          </w:p>
        </w:tc>
        <w:tc>
          <w:tcPr>
            <w:tcW w:w="581" w:type="pct"/>
            <w:shd w:val="clear" w:color="auto" w:fill="FFFFFF" w:themeFill="background1"/>
            <w:noWrap/>
          </w:tcPr>
          <w:p w14:paraId="2BAA022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2,3</w:t>
            </w:r>
          </w:p>
        </w:tc>
        <w:tc>
          <w:tcPr>
            <w:tcW w:w="581" w:type="pct"/>
            <w:shd w:val="clear" w:color="auto" w:fill="FFFFFF" w:themeFill="background1"/>
            <w:noWrap/>
          </w:tcPr>
          <w:p w14:paraId="34227D3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2,2</w:t>
            </w:r>
          </w:p>
        </w:tc>
        <w:tc>
          <w:tcPr>
            <w:tcW w:w="583" w:type="pct"/>
            <w:shd w:val="clear" w:color="auto" w:fill="FFFFFF" w:themeFill="background1"/>
            <w:noWrap/>
          </w:tcPr>
          <w:p w14:paraId="2A29C2E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2,2</w:t>
            </w:r>
          </w:p>
        </w:tc>
      </w:tr>
      <w:tr w:rsidR="006E272E" w:rsidRPr="0062711C" w14:paraId="46916F00" w14:textId="77777777" w:rsidTr="00953528">
        <w:trPr>
          <w:trHeight w:val="49"/>
        </w:trPr>
        <w:tc>
          <w:tcPr>
            <w:tcW w:w="1967" w:type="pct"/>
            <w:shd w:val="clear" w:color="auto" w:fill="FFFFFF" w:themeFill="background1"/>
          </w:tcPr>
          <w:p w14:paraId="0DBA2AEE" w14:textId="77777777" w:rsidR="006E272E" w:rsidRPr="0062711C" w:rsidRDefault="006E272E" w:rsidP="003F1BD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Социјална помоћ и трансфери</w:t>
            </w:r>
          </w:p>
        </w:tc>
        <w:tc>
          <w:tcPr>
            <w:tcW w:w="644" w:type="pct"/>
            <w:shd w:val="clear" w:color="auto" w:fill="FFFFFF" w:themeFill="background1"/>
          </w:tcPr>
          <w:p w14:paraId="3A0D9DB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13,5</w:t>
            </w:r>
          </w:p>
        </w:tc>
        <w:tc>
          <w:tcPr>
            <w:tcW w:w="644" w:type="pct"/>
            <w:shd w:val="clear" w:color="auto" w:fill="FFFFFF" w:themeFill="background1"/>
            <w:noWrap/>
          </w:tcPr>
          <w:p w14:paraId="37674FBD"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13,8</w:t>
            </w:r>
          </w:p>
        </w:tc>
        <w:tc>
          <w:tcPr>
            <w:tcW w:w="581" w:type="pct"/>
            <w:shd w:val="clear" w:color="auto" w:fill="FFFFFF" w:themeFill="background1"/>
            <w:noWrap/>
          </w:tcPr>
          <w:p w14:paraId="116AE798"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14,0</w:t>
            </w:r>
          </w:p>
        </w:tc>
        <w:tc>
          <w:tcPr>
            <w:tcW w:w="581" w:type="pct"/>
            <w:shd w:val="clear" w:color="auto" w:fill="FFFFFF" w:themeFill="background1"/>
            <w:noWrap/>
          </w:tcPr>
          <w:p w14:paraId="4D437534"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13,7</w:t>
            </w:r>
          </w:p>
        </w:tc>
        <w:tc>
          <w:tcPr>
            <w:tcW w:w="583" w:type="pct"/>
            <w:shd w:val="clear" w:color="auto" w:fill="FFFFFF" w:themeFill="background1"/>
            <w:noWrap/>
          </w:tcPr>
          <w:p w14:paraId="2FF4349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13,3</w:t>
            </w:r>
          </w:p>
        </w:tc>
      </w:tr>
      <w:tr w:rsidR="006E272E" w:rsidRPr="0062711C" w14:paraId="34955334" w14:textId="77777777" w:rsidTr="00953528">
        <w:trPr>
          <w:cnfStyle w:val="000000100000" w:firstRow="0" w:lastRow="0" w:firstColumn="0" w:lastColumn="0" w:oddVBand="0" w:evenVBand="0" w:oddHBand="1" w:evenHBand="0" w:firstRowFirstColumn="0" w:firstRowLastColumn="0" w:lastRowFirstColumn="0" w:lastRowLastColumn="0"/>
          <w:trHeight w:val="104"/>
        </w:trPr>
        <w:tc>
          <w:tcPr>
            <w:tcW w:w="1967" w:type="pct"/>
            <w:shd w:val="clear" w:color="auto" w:fill="FFFFFF" w:themeFill="background1"/>
          </w:tcPr>
          <w:p w14:paraId="545C220C" w14:textId="77777777" w:rsidR="006E272E" w:rsidRPr="0062711C" w:rsidRDefault="006E272E" w:rsidP="003F1BD3">
            <w:pPr>
              <w:widowControl w:val="0"/>
              <w:shd w:val="clear" w:color="auto" w:fill="FFFFFF" w:themeFill="background1"/>
              <w:spacing w:line="276" w:lineRule="auto"/>
              <w:ind w:left="397"/>
              <w:rPr>
                <w:rFonts w:asciiTheme="minorHAnsi" w:eastAsia="Times New Roman" w:hAnsiTheme="minorHAnsi" w:cstheme="minorHAnsi"/>
                <w:bCs/>
                <w:i/>
                <w:color w:val="002060"/>
                <w:sz w:val="18"/>
                <w:szCs w:val="18"/>
                <w:lang w:val="sr-Cyrl-RS"/>
              </w:rPr>
            </w:pPr>
            <w:r w:rsidRPr="0062711C">
              <w:rPr>
                <w:rFonts w:asciiTheme="minorHAnsi" w:eastAsia="Times New Roman" w:hAnsiTheme="minorHAnsi" w:cstheme="minorHAnsi"/>
                <w:bCs/>
                <w:i/>
                <w:color w:val="002060"/>
                <w:sz w:val="18"/>
                <w:szCs w:val="18"/>
                <w:lang w:val="sr-Cyrl-RS"/>
              </w:rPr>
              <w:t>од чега пензије</w:t>
            </w:r>
          </w:p>
        </w:tc>
        <w:tc>
          <w:tcPr>
            <w:tcW w:w="644" w:type="pct"/>
            <w:shd w:val="clear" w:color="auto" w:fill="FFFFFF" w:themeFill="background1"/>
          </w:tcPr>
          <w:p w14:paraId="6D931866" w14:textId="77777777" w:rsidR="006E272E" w:rsidRPr="0062711C" w:rsidRDefault="006E272E" w:rsidP="003F1BD3">
            <w:pPr>
              <w:shd w:val="clear" w:color="auto" w:fill="FFFFFF" w:themeFill="background1"/>
              <w:spacing w:line="276" w:lineRule="auto"/>
              <w:jc w:val="right"/>
              <w:rPr>
                <w:rFonts w:asciiTheme="minorHAnsi" w:hAnsiTheme="minorHAnsi" w:cstheme="minorHAnsi"/>
                <w:i/>
                <w:color w:val="002060"/>
                <w:sz w:val="18"/>
                <w:szCs w:val="18"/>
                <w:lang w:val="sr-Cyrl-RS"/>
              </w:rPr>
            </w:pPr>
            <w:r w:rsidRPr="0062711C">
              <w:rPr>
                <w:rFonts w:asciiTheme="minorHAnsi" w:hAnsiTheme="minorHAnsi" w:cstheme="minorHAnsi"/>
                <w:i/>
                <w:color w:val="002060"/>
                <w:sz w:val="18"/>
                <w:szCs w:val="18"/>
                <w:lang w:val="sr-Cyrl-RS"/>
              </w:rPr>
              <w:t>9,5</w:t>
            </w:r>
          </w:p>
        </w:tc>
        <w:tc>
          <w:tcPr>
            <w:tcW w:w="644" w:type="pct"/>
            <w:shd w:val="clear" w:color="auto" w:fill="FFFFFF" w:themeFill="background1"/>
            <w:noWrap/>
          </w:tcPr>
          <w:p w14:paraId="3F1BEC6D" w14:textId="77777777" w:rsidR="006E272E" w:rsidRPr="0062711C" w:rsidRDefault="006E272E" w:rsidP="003F1BD3">
            <w:pPr>
              <w:shd w:val="clear" w:color="auto" w:fill="FFFFFF" w:themeFill="background1"/>
              <w:spacing w:line="276" w:lineRule="auto"/>
              <w:jc w:val="right"/>
              <w:rPr>
                <w:rFonts w:asciiTheme="minorHAnsi" w:hAnsiTheme="minorHAnsi" w:cstheme="minorHAnsi"/>
                <w:i/>
                <w:color w:val="002060"/>
                <w:sz w:val="18"/>
                <w:szCs w:val="18"/>
                <w:lang w:val="sr-Cyrl-RS"/>
              </w:rPr>
            </w:pPr>
            <w:r w:rsidRPr="0062711C">
              <w:rPr>
                <w:rFonts w:asciiTheme="minorHAnsi" w:hAnsiTheme="minorHAnsi" w:cstheme="minorHAnsi"/>
                <w:i/>
                <w:color w:val="002060"/>
                <w:sz w:val="18"/>
                <w:szCs w:val="18"/>
                <w:lang w:val="sr-Cyrl-RS"/>
              </w:rPr>
              <w:t>10,4</w:t>
            </w:r>
          </w:p>
        </w:tc>
        <w:tc>
          <w:tcPr>
            <w:tcW w:w="581" w:type="pct"/>
            <w:shd w:val="clear" w:color="auto" w:fill="FFFFFF" w:themeFill="background1"/>
            <w:noWrap/>
          </w:tcPr>
          <w:p w14:paraId="2D49F6AD" w14:textId="77777777" w:rsidR="006E272E" w:rsidRPr="0062711C" w:rsidRDefault="006E272E" w:rsidP="003F1BD3">
            <w:pPr>
              <w:shd w:val="clear" w:color="auto" w:fill="FFFFFF" w:themeFill="background1"/>
              <w:spacing w:line="276" w:lineRule="auto"/>
              <w:jc w:val="right"/>
              <w:rPr>
                <w:rFonts w:asciiTheme="minorHAnsi" w:hAnsiTheme="minorHAnsi" w:cstheme="minorHAnsi"/>
                <w:i/>
                <w:color w:val="002060"/>
                <w:sz w:val="18"/>
                <w:szCs w:val="18"/>
                <w:lang w:val="sr-Cyrl-RS"/>
              </w:rPr>
            </w:pPr>
            <w:r w:rsidRPr="0062711C">
              <w:rPr>
                <w:rFonts w:asciiTheme="minorHAnsi" w:hAnsiTheme="minorHAnsi" w:cstheme="minorHAnsi"/>
                <w:i/>
                <w:color w:val="002060"/>
                <w:sz w:val="18"/>
                <w:szCs w:val="18"/>
                <w:lang w:val="sr-Cyrl-RS"/>
              </w:rPr>
              <w:t>10,7</w:t>
            </w:r>
          </w:p>
        </w:tc>
        <w:tc>
          <w:tcPr>
            <w:tcW w:w="581" w:type="pct"/>
            <w:shd w:val="clear" w:color="auto" w:fill="FFFFFF" w:themeFill="background1"/>
            <w:noWrap/>
          </w:tcPr>
          <w:p w14:paraId="098925F7" w14:textId="77777777" w:rsidR="006E272E" w:rsidRPr="0062711C" w:rsidRDefault="006E272E" w:rsidP="003F1BD3">
            <w:pPr>
              <w:shd w:val="clear" w:color="auto" w:fill="FFFFFF" w:themeFill="background1"/>
              <w:spacing w:line="276" w:lineRule="auto"/>
              <w:jc w:val="right"/>
              <w:rPr>
                <w:rFonts w:asciiTheme="minorHAnsi" w:hAnsiTheme="minorHAnsi" w:cstheme="minorHAnsi"/>
                <w:i/>
                <w:color w:val="002060"/>
                <w:sz w:val="18"/>
                <w:szCs w:val="18"/>
                <w:lang w:val="sr-Cyrl-RS"/>
              </w:rPr>
            </w:pPr>
            <w:r w:rsidRPr="0062711C">
              <w:rPr>
                <w:rFonts w:asciiTheme="minorHAnsi" w:hAnsiTheme="minorHAnsi" w:cstheme="minorHAnsi"/>
                <w:i/>
                <w:color w:val="002060"/>
                <w:sz w:val="18"/>
                <w:szCs w:val="18"/>
                <w:lang w:val="sr-Cyrl-RS"/>
              </w:rPr>
              <w:t>10,4</w:t>
            </w:r>
          </w:p>
        </w:tc>
        <w:tc>
          <w:tcPr>
            <w:tcW w:w="583" w:type="pct"/>
            <w:shd w:val="clear" w:color="auto" w:fill="FFFFFF" w:themeFill="background1"/>
            <w:noWrap/>
          </w:tcPr>
          <w:p w14:paraId="6D822369" w14:textId="77777777" w:rsidR="006E272E" w:rsidRPr="0062711C" w:rsidRDefault="006E272E" w:rsidP="003F1BD3">
            <w:pPr>
              <w:shd w:val="clear" w:color="auto" w:fill="FFFFFF" w:themeFill="background1"/>
              <w:spacing w:line="276" w:lineRule="auto"/>
              <w:jc w:val="right"/>
              <w:rPr>
                <w:rFonts w:asciiTheme="minorHAnsi" w:hAnsiTheme="minorHAnsi" w:cstheme="minorHAnsi"/>
                <w:i/>
                <w:color w:val="002060"/>
                <w:sz w:val="18"/>
                <w:szCs w:val="18"/>
                <w:lang w:val="sr-Cyrl-RS"/>
              </w:rPr>
            </w:pPr>
            <w:r w:rsidRPr="0062711C">
              <w:rPr>
                <w:rFonts w:asciiTheme="minorHAnsi" w:hAnsiTheme="minorHAnsi" w:cstheme="minorHAnsi"/>
                <w:i/>
                <w:color w:val="002060"/>
                <w:sz w:val="18"/>
                <w:szCs w:val="18"/>
                <w:lang w:val="sr-Cyrl-RS"/>
              </w:rPr>
              <w:t>10,0</w:t>
            </w:r>
          </w:p>
        </w:tc>
      </w:tr>
      <w:tr w:rsidR="006E272E" w:rsidRPr="0062711C" w14:paraId="667C2334" w14:textId="77777777" w:rsidTr="00953528">
        <w:trPr>
          <w:trHeight w:val="49"/>
        </w:trPr>
        <w:tc>
          <w:tcPr>
            <w:tcW w:w="1967" w:type="pct"/>
            <w:shd w:val="clear" w:color="auto" w:fill="FFFFFF" w:themeFill="background1"/>
          </w:tcPr>
          <w:p w14:paraId="5FA5C6A2" w14:textId="77777777" w:rsidR="006E272E" w:rsidRPr="0062711C" w:rsidRDefault="006E272E" w:rsidP="003F1BD3">
            <w:pPr>
              <w:widowControl w:val="0"/>
              <w:shd w:val="clear" w:color="auto" w:fill="FFFFFF" w:themeFill="background1"/>
              <w:spacing w:line="276" w:lineRule="auto"/>
              <w:ind w:left="284"/>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Остали текући расходи</w:t>
            </w:r>
          </w:p>
        </w:tc>
        <w:tc>
          <w:tcPr>
            <w:tcW w:w="644" w:type="pct"/>
            <w:shd w:val="clear" w:color="auto" w:fill="FFFFFF" w:themeFill="background1"/>
          </w:tcPr>
          <w:p w14:paraId="75C21F6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1,5</w:t>
            </w:r>
          </w:p>
        </w:tc>
        <w:tc>
          <w:tcPr>
            <w:tcW w:w="644" w:type="pct"/>
            <w:shd w:val="clear" w:color="auto" w:fill="FFFFFF" w:themeFill="background1"/>
            <w:noWrap/>
          </w:tcPr>
          <w:p w14:paraId="333B712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1,3</w:t>
            </w:r>
          </w:p>
        </w:tc>
        <w:tc>
          <w:tcPr>
            <w:tcW w:w="581" w:type="pct"/>
            <w:shd w:val="clear" w:color="auto" w:fill="FFFFFF" w:themeFill="background1"/>
            <w:noWrap/>
          </w:tcPr>
          <w:p w14:paraId="0A70008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c>
          <w:tcPr>
            <w:tcW w:w="581" w:type="pct"/>
            <w:shd w:val="clear" w:color="auto" w:fill="FFFFFF" w:themeFill="background1"/>
            <w:noWrap/>
          </w:tcPr>
          <w:p w14:paraId="05D18A2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c>
          <w:tcPr>
            <w:tcW w:w="583" w:type="pct"/>
            <w:shd w:val="clear" w:color="auto" w:fill="FFFFFF" w:themeFill="background1"/>
            <w:noWrap/>
          </w:tcPr>
          <w:p w14:paraId="52AD8961"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1,2</w:t>
            </w:r>
          </w:p>
        </w:tc>
      </w:tr>
      <w:tr w:rsidR="006E272E" w:rsidRPr="0062711C" w14:paraId="1E126EB3" w14:textId="77777777" w:rsidTr="00953528">
        <w:trPr>
          <w:cnfStyle w:val="000000100000" w:firstRow="0" w:lastRow="0" w:firstColumn="0" w:lastColumn="0" w:oddVBand="0" w:evenVBand="0" w:oddHBand="1" w:evenHBand="0" w:firstRowFirstColumn="0" w:firstRowLastColumn="0" w:lastRowFirstColumn="0" w:lastRowLastColumn="0"/>
          <w:trHeight w:val="49"/>
        </w:trPr>
        <w:tc>
          <w:tcPr>
            <w:tcW w:w="1967" w:type="pct"/>
            <w:shd w:val="clear" w:color="auto" w:fill="FFFFFF" w:themeFill="background1"/>
          </w:tcPr>
          <w:p w14:paraId="435F8158" w14:textId="77777777" w:rsidR="006E272E" w:rsidRPr="0062711C" w:rsidRDefault="006E272E" w:rsidP="003F1BD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 xml:space="preserve"> Капитални расходи</w:t>
            </w:r>
          </w:p>
        </w:tc>
        <w:tc>
          <w:tcPr>
            <w:tcW w:w="644" w:type="pct"/>
            <w:shd w:val="clear" w:color="auto" w:fill="FFFFFF" w:themeFill="background1"/>
          </w:tcPr>
          <w:p w14:paraId="41F1E5A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7,0</w:t>
            </w:r>
          </w:p>
        </w:tc>
        <w:tc>
          <w:tcPr>
            <w:tcW w:w="644" w:type="pct"/>
            <w:shd w:val="clear" w:color="auto" w:fill="FFFFFF" w:themeFill="background1"/>
            <w:noWrap/>
          </w:tcPr>
          <w:p w14:paraId="780546C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7,3</w:t>
            </w:r>
          </w:p>
        </w:tc>
        <w:tc>
          <w:tcPr>
            <w:tcW w:w="581" w:type="pct"/>
            <w:shd w:val="clear" w:color="auto" w:fill="FFFFFF" w:themeFill="background1"/>
            <w:noWrap/>
          </w:tcPr>
          <w:p w14:paraId="7D7A640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7,3</w:t>
            </w:r>
          </w:p>
        </w:tc>
        <w:tc>
          <w:tcPr>
            <w:tcW w:w="581" w:type="pct"/>
            <w:shd w:val="clear" w:color="auto" w:fill="FFFFFF" w:themeFill="background1"/>
            <w:noWrap/>
          </w:tcPr>
          <w:p w14:paraId="5B5CC2C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7,4</w:t>
            </w:r>
          </w:p>
        </w:tc>
        <w:tc>
          <w:tcPr>
            <w:tcW w:w="583" w:type="pct"/>
            <w:shd w:val="clear" w:color="auto" w:fill="FFFFFF" w:themeFill="background1"/>
            <w:noWrap/>
          </w:tcPr>
          <w:p w14:paraId="10A827FA"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7,5</w:t>
            </w:r>
          </w:p>
        </w:tc>
      </w:tr>
      <w:tr w:rsidR="006E272E" w:rsidRPr="0062711C" w14:paraId="0E12715B" w14:textId="77777777" w:rsidTr="00953528">
        <w:trPr>
          <w:trHeight w:val="49"/>
        </w:trPr>
        <w:tc>
          <w:tcPr>
            <w:tcW w:w="1967" w:type="pct"/>
            <w:tcBorders>
              <w:bottom w:val="nil"/>
            </w:tcBorders>
            <w:shd w:val="clear" w:color="auto" w:fill="FFFFFF" w:themeFill="background1"/>
            <w:noWrap/>
          </w:tcPr>
          <w:p w14:paraId="442D8A71" w14:textId="77777777" w:rsidR="006E272E" w:rsidRPr="0062711C" w:rsidRDefault="006E272E" w:rsidP="003F1BD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 xml:space="preserve"> Нето буџетске позајмице</w:t>
            </w:r>
          </w:p>
        </w:tc>
        <w:tc>
          <w:tcPr>
            <w:tcW w:w="644" w:type="pct"/>
            <w:tcBorders>
              <w:bottom w:val="nil"/>
            </w:tcBorders>
            <w:shd w:val="clear" w:color="auto" w:fill="FFFFFF" w:themeFill="background1"/>
          </w:tcPr>
          <w:p w14:paraId="2224DA7C"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0,9</w:t>
            </w:r>
          </w:p>
        </w:tc>
        <w:tc>
          <w:tcPr>
            <w:tcW w:w="644" w:type="pct"/>
            <w:tcBorders>
              <w:bottom w:val="nil"/>
            </w:tcBorders>
            <w:shd w:val="clear" w:color="auto" w:fill="FFFFFF" w:themeFill="background1"/>
            <w:noWrap/>
          </w:tcPr>
          <w:p w14:paraId="7ADE7AD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0,2</w:t>
            </w:r>
          </w:p>
        </w:tc>
        <w:tc>
          <w:tcPr>
            <w:tcW w:w="581" w:type="pct"/>
            <w:tcBorders>
              <w:bottom w:val="nil"/>
            </w:tcBorders>
            <w:shd w:val="clear" w:color="auto" w:fill="FFFFFF" w:themeFill="background1"/>
            <w:noWrap/>
          </w:tcPr>
          <w:p w14:paraId="441AB7D6"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0,2</w:t>
            </w:r>
          </w:p>
        </w:tc>
        <w:tc>
          <w:tcPr>
            <w:tcW w:w="581" w:type="pct"/>
            <w:tcBorders>
              <w:bottom w:val="nil"/>
            </w:tcBorders>
            <w:shd w:val="clear" w:color="auto" w:fill="FFFFFF" w:themeFill="background1"/>
            <w:noWrap/>
          </w:tcPr>
          <w:p w14:paraId="500B55CC"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0,2</w:t>
            </w:r>
          </w:p>
        </w:tc>
        <w:tc>
          <w:tcPr>
            <w:tcW w:w="583" w:type="pct"/>
            <w:tcBorders>
              <w:bottom w:val="nil"/>
            </w:tcBorders>
            <w:shd w:val="clear" w:color="auto" w:fill="FFFFFF" w:themeFill="background1"/>
            <w:noWrap/>
          </w:tcPr>
          <w:p w14:paraId="5DE750C5"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0,2</w:t>
            </w:r>
          </w:p>
        </w:tc>
      </w:tr>
      <w:tr w:rsidR="006E272E" w:rsidRPr="0062711C" w14:paraId="340CD04F" w14:textId="77777777" w:rsidTr="00953528">
        <w:trPr>
          <w:cnfStyle w:val="000000100000" w:firstRow="0" w:lastRow="0" w:firstColumn="0" w:lastColumn="0" w:oddVBand="0" w:evenVBand="0" w:oddHBand="1" w:evenHBand="0" w:firstRowFirstColumn="0" w:firstRowLastColumn="0" w:lastRowFirstColumn="0" w:lastRowLastColumn="0"/>
          <w:trHeight w:val="95"/>
        </w:trPr>
        <w:tc>
          <w:tcPr>
            <w:tcW w:w="1967" w:type="pct"/>
            <w:tcBorders>
              <w:top w:val="nil"/>
              <w:bottom w:val="single" w:sz="4" w:space="0" w:color="002060"/>
            </w:tcBorders>
            <w:shd w:val="clear" w:color="auto" w:fill="FFFFFF" w:themeFill="background1"/>
            <w:noWrap/>
          </w:tcPr>
          <w:p w14:paraId="74937716" w14:textId="77777777" w:rsidR="006E272E" w:rsidRPr="0062711C" w:rsidRDefault="006E272E" w:rsidP="003F1BD3">
            <w:pPr>
              <w:widowControl w:val="0"/>
              <w:shd w:val="clear" w:color="auto" w:fill="FFFFFF" w:themeFill="background1"/>
              <w:spacing w:line="276" w:lineRule="auto"/>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 xml:space="preserve"> Отплата по основу гаранција</w:t>
            </w:r>
          </w:p>
        </w:tc>
        <w:tc>
          <w:tcPr>
            <w:tcW w:w="644" w:type="pct"/>
            <w:tcBorders>
              <w:top w:val="nil"/>
              <w:bottom w:val="single" w:sz="4" w:space="0" w:color="002060"/>
            </w:tcBorders>
            <w:shd w:val="clear" w:color="auto" w:fill="FFFFFF" w:themeFill="background1"/>
          </w:tcPr>
          <w:p w14:paraId="584C8EB0"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0,3</w:t>
            </w:r>
          </w:p>
        </w:tc>
        <w:tc>
          <w:tcPr>
            <w:tcW w:w="644" w:type="pct"/>
            <w:tcBorders>
              <w:top w:val="nil"/>
              <w:bottom w:val="single" w:sz="4" w:space="0" w:color="002060"/>
            </w:tcBorders>
            <w:shd w:val="clear" w:color="auto" w:fill="FFFFFF" w:themeFill="background1"/>
            <w:noWrap/>
          </w:tcPr>
          <w:p w14:paraId="0C0ACDFB"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0,3</w:t>
            </w:r>
          </w:p>
        </w:tc>
        <w:tc>
          <w:tcPr>
            <w:tcW w:w="581" w:type="pct"/>
            <w:tcBorders>
              <w:top w:val="nil"/>
              <w:bottom w:val="single" w:sz="4" w:space="0" w:color="002060"/>
            </w:tcBorders>
            <w:shd w:val="clear" w:color="auto" w:fill="FFFFFF" w:themeFill="background1"/>
            <w:noWrap/>
          </w:tcPr>
          <w:p w14:paraId="158CDA12"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0,3</w:t>
            </w:r>
          </w:p>
        </w:tc>
        <w:tc>
          <w:tcPr>
            <w:tcW w:w="581" w:type="pct"/>
            <w:tcBorders>
              <w:top w:val="nil"/>
              <w:bottom w:val="single" w:sz="4" w:space="0" w:color="002060"/>
            </w:tcBorders>
            <w:shd w:val="clear" w:color="auto" w:fill="FFFFFF" w:themeFill="background1"/>
            <w:noWrap/>
          </w:tcPr>
          <w:p w14:paraId="5796ADBE"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0,3</w:t>
            </w:r>
          </w:p>
        </w:tc>
        <w:tc>
          <w:tcPr>
            <w:tcW w:w="583" w:type="pct"/>
            <w:tcBorders>
              <w:top w:val="nil"/>
              <w:bottom w:val="single" w:sz="4" w:space="0" w:color="002060"/>
            </w:tcBorders>
            <w:shd w:val="clear" w:color="auto" w:fill="FFFFFF" w:themeFill="background1"/>
            <w:noWrap/>
          </w:tcPr>
          <w:p w14:paraId="4A943D9F" w14:textId="77777777" w:rsidR="006E272E" w:rsidRPr="0062711C" w:rsidRDefault="006E272E" w:rsidP="003F1BD3">
            <w:pPr>
              <w:shd w:val="clear" w:color="auto" w:fill="FFFFFF" w:themeFill="background1"/>
              <w:spacing w:line="276" w:lineRule="auto"/>
              <w:jc w:val="right"/>
              <w:rPr>
                <w:rFonts w:asciiTheme="minorHAnsi" w:hAnsiTheme="minorHAnsi" w:cstheme="minorHAnsi"/>
                <w:color w:val="002060"/>
                <w:sz w:val="18"/>
                <w:szCs w:val="18"/>
                <w:lang w:val="sr-Cyrl-RS"/>
              </w:rPr>
            </w:pPr>
            <w:r w:rsidRPr="0062711C">
              <w:rPr>
                <w:rFonts w:asciiTheme="minorHAnsi" w:hAnsiTheme="minorHAnsi" w:cstheme="minorHAnsi"/>
                <w:color w:val="002060"/>
                <w:sz w:val="18"/>
                <w:szCs w:val="18"/>
                <w:lang w:val="sr-Cyrl-RS"/>
              </w:rPr>
              <w:t>0,2</w:t>
            </w:r>
          </w:p>
        </w:tc>
      </w:tr>
    </w:tbl>
    <w:p w14:paraId="6AA02E7A" w14:textId="77777777" w:rsidR="006E272E" w:rsidRPr="0062711C" w:rsidRDefault="006E272E" w:rsidP="00D42008">
      <w:pPr>
        <w:spacing w:before="40" w:after="120" w:line="276" w:lineRule="auto"/>
        <w:jc w:val="left"/>
        <w:rPr>
          <w:rFonts w:cstheme="minorHAnsi"/>
          <w:sz w:val="16"/>
          <w:szCs w:val="20"/>
          <w:lang w:val="sr-Cyrl-RS"/>
        </w:rPr>
      </w:pPr>
      <w:r w:rsidRPr="0062711C">
        <w:rPr>
          <w:rFonts w:eastAsia="Calibri" w:cstheme="minorHAnsi"/>
          <w:bCs/>
          <w:sz w:val="16"/>
          <w:szCs w:val="20"/>
          <w:lang w:val="sr-Cyrl-RS" w:eastAsia="ja-JP"/>
        </w:rPr>
        <w:t xml:space="preserve">Извор: </w:t>
      </w:r>
      <w:r w:rsidRPr="0062711C">
        <w:rPr>
          <w:rFonts w:cstheme="minorHAnsi"/>
          <w:sz w:val="16"/>
          <w:szCs w:val="20"/>
          <w:lang w:val="sr-Cyrl-RS"/>
        </w:rPr>
        <w:t>Министарство финансија</w:t>
      </w:r>
    </w:p>
    <w:p w14:paraId="1E23FEF9" w14:textId="77777777" w:rsidR="006E272E" w:rsidRPr="0062711C" w:rsidRDefault="006E272E" w:rsidP="005D42AC">
      <w:pPr>
        <w:spacing w:before="40" w:after="120" w:line="276" w:lineRule="auto"/>
        <w:rPr>
          <w:rFonts w:eastAsia="Calibri" w:cstheme="minorHAnsi"/>
          <w:szCs w:val="20"/>
          <w:lang w:val="sr-Cyrl-RS" w:eastAsia="ja-JP"/>
        </w:rPr>
        <w:sectPr w:rsidR="006E272E" w:rsidRPr="0062711C" w:rsidSect="00F45C01">
          <w:type w:val="continuous"/>
          <w:pgSz w:w="12240" w:h="15840" w:code="1"/>
          <w:pgMar w:top="1440" w:right="1440" w:bottom="1440" w:left="1440" w:header="720" w:footer="720" w:gutter="0"/>
          <w:cols w:space="720"/>
          <w:docGrid w:linePitch="360"/>
        </w:sectPr>
      </w:pPr>
    </w:p>
    <w:p w14:paraId="65F96B93"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Фискални простор предвиђен за раст зарада, у наредном периоду, ће се повећавати умерено и контролисано, водећи рачуна о њиховом учешћу у БДП.</w:t>
      </w:r>
    </w:p>
    <w:p w14:paraId="2CA0CD6E"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 xml:space="preserve">Чланом 27е Закона о буџетском систему предвиђено је ограничење расхода за запослене сектора државе од 10% БДП. Усклађивање плата у свим институцијама (ентитетима) које чине сектор државе, ограничено је дефинисаним учешћем ових расхода у БДП. Надаље, ово ограничење коригује се навише у случају повећања обухвата сектора државе, односно укључивањем нових </w:t>
      </w:r>
      <w:r w:rsidRPr="0062711C">
        <w:rPr>
          <w:rFonts w:eastAsia="Calibri" w:cstheme="minorHAnsi"/>
          <w:szCs w:val="20"/>
          <w:lang w:val="sr-Cyrl-RS" w:eastAsia="ja-JP"/>
        </w:rPr>
        <w:t>ентитета у сектор државе, односно наниже у случају искључивања ентитета из сектора државе</w:t>
      </w:r>
      <w:r w:rsidRPr="0062711C">
        <w:rPr>
          <w:rStyle w:val="FootnoteReference"/>
          <w:rFonts w:eastAsia="Calibri" w:cstheme="minorHAnsi"/>
          <w:szCs w:val="20"/>
          <w:lang w:val="sr-Cyrl-RS" w:eastAsia="ja-JP"/>
        </w:rPr>
        <w:footnoteReference w:id="3"/>
      </w:r>
      <w:r w:rsidRPr="0062711C">
        <w:rPr>
          <w:rFonts w:eastAsia="Calibri" w:cstheme="minorHAnsi"/>
          <w:szCs w:val="20"/>
          <w:lang w:val="sr-Cyrl-RS" w:eastAsia="ja-JP"/>
        </w:rPr>
        <w:t>.</w:t>
      </w:r>
    </w:p>
    <w:p w14:paraId="2FF5C56F" w14:textId="77777777" w:rsidR="006E272E" w:rsidRPr="0062711C" w:rsidRDefault="006E272E" w:rsidP="003F1BD3">
      <w:pPr>
        <w:widowControl w:val="0"/>
        <w:spacing w:after="120"/>
        <w:rPr>
          <w:rFonts w:eastAsia="Calibri" w:cstheme="minorHAnsi"/>
          <w:spacing w:val="2"/>
          <w:szCs w:val="20"/>
          <w:lang w:val="sr-Cyrl-RS" w:eastAsia="ja-JP"/>
        </w:rPr>
      </w:pPr>
      <w:r w:rsidRPr="0062711C">
        <w:rPr>
          <w:rFonts w:eastAsia="Calibri" w:cstheme="minorHAnsi"/>
          <w:spacing w:val="2"/>
          <w:szCs w:val="20"/>
          <w:lang w:val="sr-Cyrl-RS" w:eastAsia="ja-JP"/>
        </w:rPr>
        <w:t>Како је у 2023. години фискални оквир сектора државе проширен за сопствена средства здравствених установа и средњих школа, а процењени ниво расхода за запослене из тих средстава је 0,2% БДП, п</w:t>
      </w:r>
      <w:r w:rsidRPr="0062711C">
        <w:rPr>
          <w:rFonts w:eastAsia="Calibri" w:cstheme="minorHAnsi"/>
          <w:bCs/>
          <w:spacing w:val="2"/>
          <w:szCs w:val="20"/>
          <w:lang w:val="sr-Cyrl-RS" w:eastAsia="ja-JP"/>
        </w:rPr>
        <w:t>роширивање обухвата сектора државе, по овом основу, имплицира корекцију максималног лимита за расходе запослених у сектору државе на 10,2% БДП.</w:t>
      </w:r>
    </w:p>
    <w:p w14:paraId="02A41050" w14:textId="77777777" w:rsidR="006E272E" w:rsidRPr="0062711C" w:rsidRDefault="006E272E" w:rsidP="003F1BD3">
      <w:pPr>
        <w:widowControl w:val="0"/>
        <w:spacing w:after="120"/>
        <w:rPr>
          <w:rFonts w:eastAsia="Calibri" w:cstheme="minorHAnsi"/>
          <w:szCs w:val="20"/>
          <w:lang w:val="sr-Cyrl-RS" w:eastAsia="ja-JP"/>
        </w:rPr>
      </w:pPr>
      <w:r w:rsidRPr="0062711C">
        <w:rPr>
          <w:rFonts w:eastAsia="Calibri" w:cstheme="minorHAnsi"/>
          <w:szCs w:val="20"/>
          <w:lang w:val="sr-Cyrl-RS" w:eastAsia="ja-JP"/>
        </w:rPr>
        <w:t xml:space="preserve">У 2024. години обухват сектора државе се додатно проширује за један број ванбуџетских корисника (јавнe агенцијe, институти и други ентитети), те ће </w:t>
      </w:r>
      <w:r w:rsidRPr="0062711C">
        <w:rPr>
          <w:rFonts w:eastAsia="Calibri" w:cstheme="minorHAnsi"/>
          <w:szCs w:val="20"/>
          <w:lang w:val="sr-Cyrl-RS" w:eastAsia="ja-JP"/>
        </w:rPr>
        <w:lastRenderedPageBreak/>
        <w:t xml:space="preserve">и максимални лимит за расходе запослених у сектору државе бити подигнут на 10,4%, с обзиром да је ниво зарада у овим институцијама око 0,2% БДП. </w:t>
      </w:r>
    </w:p>
    <w:p w14:paraId="6B12907F" w14:textId="77777777" w:rsidR="006E272E" w:rsidRPr="0062711C" w:rsidRDefault="006E272E" w:rsidP="003F1BD3">
      <w:pPr>
        <w:widowControl w:val="0"/>
        <w:spacing w:after="120"/>
        <w:rPr>
          <w:rFonts w:eastAsia="Calibri" w:cstheme="minorHAnsi"/>
          <w:szCs w:val="20"/>
          <w:lang w:val="sr-Cyrl-RS" w:eastAsia="ja-JP"/>
        </w:rPr>
      </w:pPr>
      <w:r w:rsidRPr="0062711C">
        <w:rPr>
          <w:rFonts w:eastAsia="Calibri" w:cstheme="minorHAnsi"/>
          <w:szCs w:val="20"/>
          <w:lang w:val="sr-Cyrl-RS" w:eastAsia="ja-JP"/>
        </w:rPr>
        <w:t>Издаци за робе и услуге ће се стабилизовати на нивоу од 7,4% БДП, с обзиром да је предвиђено да номинално расту у складу са растом номиналног БДП. У претходним годинама је ниво ових расхода био виши, превасходно због већих расхода у сектору здравства.</w:t>
      </w:r>
    </w:p>
    <w:p w14:paraId="423E4443"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Имајући у виду растуће трошкове задуживања на међународном финансијском тржишту и потребе за финансирањем дефицита пројектовано је да ће у наредном периоду ниво расхода за камате благо порасти.</w:t>
      </w:r>
    </w:p>
    <w:p w14:paraId="69CD8CF0"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Социјална помоћ и трансфери становништву представљају највећу расходну категорију буџета државе. Највећа појединачна ставка ове групе расхода, а уједно и највећа ставка свих расхода, су пензије. Од 2020. године закључно са 2022. годином, пензије су се усклађивале коришћењем „швајцарске формуле”, како би се истовремено обезбедио раст животног стандарда пензионера и одрживост пензионог и система јавних финансија. „Швајцарска формула” подразумева индексацију, односно увећање пензија једнако збиру половине стопе раста просечне зараде и половине стопе раста потрошачких цена.</w:t>
      </w:r>
    </w:p>
    <w:p w14:paraId="0DA4C1C9"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Од 2023. године примењује се другачији начин индексације пензија, односно, усклађивање пензија узима у обзир и учешће пензија у БДП, како би се додатно заштитио животни стандард пензионера. Индексација пензија, те њихово кретање, опредељује и путању кретања укупних расхода за трансфере становништву и социјалну заштиту кад је реч о учешћу у БДП. У 2024.години пензије су индексиране растом зарада. Остали облици социјалних давања и трансфера становништву у наредном периоду усклађиваће се применом прописане индексације, текућих и планираних измена политика у овој области и пројектованим бројем корисника.</w:t>
      </w:r>
    </w:p>
    <w:p w14:paraId="04AAF365"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Смањење субвенција које служе као помоћ неефикасним сегментима јавног сектора омогућило је повећање оног дела субвенција које представљају праве подстицаје привреди, пре свега пољопривреди и малим и средњим предузећима, и које доводе до убрзања привредне активности. Током 2023. године бележи се привремени раст субвенција у смислу учешћа у БДП, узрокован већим расходима намењеним превазилажењу негативних ефеката растућих цена енергената, а који су финансирани из донације Европске уније, те додатним субвенцијама намењених пољопривреди и саобраћајној инфраструктури.</w:t>
      </w:r>
    </w:p>
    <w:p w14:paraId="2D482616"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Категорије осталих текућих расхода чине различити издаци, као што су дотације удружењима, политичким странкама, верским и спортским организацијама, казне, накнада штете итд. Као и код субвенција једнократни раст је узрокован фискалном реакцијом на кризу, с обзиром да су се са ове позиције исплаћивали фискални стимулуси становништву.</w:t>
      </w:r>
    </w:p>
    <w:p w14:paraId="2649AD92" w14:textId="3278EC86"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 xml:space="preserve">Током претходних година значајно је побољшана ефикасност извршења јавних инвестиција. Капитални расходи су у 2022. години достигли 7,4% БДП, упркос проблемима које је проузроковала пандемија и енергетска криза. У наредном средњорочном периоду очекује се пораст нивоа улагања у јавну инфраструктуру, након одлуке да се изложба Експо одржи 2027. године у Београду и најаве програма </w:t>
      </w:r>
      <w:r w:rsidR="00BA42C3" w:rsidRPr="0062711C">
        <w:rPr>
          <w:rFonts w:cstheme="minorHAnsi"/>
          <w:bCs/>
          <w:szCs w:val="20"/>
          <w:lang w:val="sr-Cyrl-RS"/>
        </w:rPr>
        <w:t>„</w:t>
      </w:r>
      <w:r w:rsidRPr="0062711C">
        <w:rPr>
          <w:rFonts w:cstheme="minorHAnsi"/>
          <w:bCs/>
          <w:szCs w:val="20"/>
          <w:lang w:val="sr-Cyrl-RS"/>
        </w:rPr>
        <w:t>Скок у будућност – Србија 2027</w:t>
      </w:r>
      <w:r w:rsidR="00BA42C3" w:rsidRPr="0062711C">
        <w:rPr>
          <w:rFonts w:cstheme="minorHAnsi"/>
          <w:bCs/>
          <w:szCs w:val="20"/>
          <w:lang w:val="sr-Cyrl-RS"/>
        </w:rPr>
        <w:t>”</w:t>
      </w:r>
      <w:r w:rsidRPr="0062711C">
        <w:rPr>
          <w:rFonts w:eastAsia="Calibri" w:cstheme="minorHAnsi"/>
          <w:szCs w:val="20"/>
          <w:lang w:val="sr-Cyrl-RS" w:eastAsia="ja-JP"/>
        </w:rPr>
        <w:t>. Најзначајнији радови су на путној, железничкој, комуналној и водној инфраструктури који се углавном финансирају из међународних кредита. Поред саобраћајне инфраструктуре обезбеђена су средства за додатна капитална улагања у здравству, енергетици, заштити животне средине, просвети, култури, одбрани и другим областима које представљ</w:t>
      </w:r>
      <w:r w:rsidR="004C6845">
        <w:rPr>
          <w:rFonts w:eastAsia="Calibri" w:cstheme="minorHAnsi"/>
          <w:szCs w:val="20"/>
          <w:lang w:val="sr-Cyrl-RS" w:eastAsia="ja-JP"/>
        </w:rPr>
        <w:t>ају најважније функције државе.</w:t>
      </w:r>
    </w:p>
    <w:p w14:paraId="739488C9" w14:textId="77777777" w:rsidR="006E272E" w:rsidRPr="0062711C" w:rsidRDefault="006E272E" w:rsidP="003F1BD3">
      <w:pPr>
        <w:spacing w:after="120"/>
        <w:rPr>
          <w:rFonts w:eastAsia="Calibri" w:cstheme="minorHAnsi"/>
          <w:b/>
          <w:bCs/>
          <w:color w:val="002060"/>
          <w:szCs w:val="20"/>
          <w:lang w:val="sr-Cyrl-RS" w:eastAsia="ja-JP"/>
        </w:rPr>
        <w:sectPr w:rsidR="006E272E" w:rsidRPr="0062711C" w:rsidSect="00F45C01">
          <w:type w:val="continuous"/>
          <w:pgSz w:w="12240" w:h="15840"/>
          <w:pgMar w:top="1440" w:right="1440" w:bottom="1440" w:left="1440" w:header="720" w:footer="720" w:gutter="0"/>
          <w:cols w:num="2" w:space="720"/>
          <w:docGrid w:linePitch="360"/>
          <w15:footnoteColumns w:val="1"/>
        </w:sectPr>
      </w:pPr>
    </w:p>
    <w:p w14:paraId="36950A00" w14:textId="77777777" w:rsidR="006E272E" w:rsidRPr="0062711C" w:rsidRDefault="006E272E">
      <w:pPr>
        <w:jc w:val="left"/>
        <w:rPr>
          <w:rFonts w:eastAsia="Calibri" w:cstheme="minorHAnsi"/>
          <w:b/>
          <w:bCs/>
          <w:color w:val="002060"/>
          <w:szCs w:val="20"/>
          <w:lang w:val="sr-Cyrl-RS" w:eastAsia="ja-JP"/>
        </w:rPr>
      </w:pPr>
      <w:r w:rsidRPr="0062711C">
        <w:rPr>
          <w:rFonts w:eastAsia="Calibri" w:cstheme="minorHAnsi"/>
          <w:b/>
          <w:bCs/>
          <w:color w:val="002060"/>
          <w:szCs w:val="20"/>
          <w:lang w:val="sr-Cyrl-RS" w:eastAsia="ja-JP"/>
        </w:rPr>
        <w:br w:type="page"/>
      </w:r>
    </w:p>
    <w:p w14:paraId="2450838D" w14:textId="436425E3" w:rsidR="006E272E" w:rsidRPr="0062711C" w:rsidRDefault="00BB1E84" w:rsidP="003F1BD3">
      <w:pPr>
        <w:spacing w:line="240" w:lineRule="auto"/>
        <w:jc w:val="center"/>
        <w:rPr>
          <w:rFonts w:eastAsia="Calibri" w:cstheme="minorHAnsi"/>
          <w:b/>
          <w:bCs/>
          <w:color w:val="002060"/>
          <w:szCs w:val="20"/>
          <w:lang w:val="sr-Cyrl-RS" w:eastAsia="ja-JP"/>
        </w:rPr>
      </w:pPr>
      <w:r w:rsidRPr="00BB1E84">
        <w:rPr>
          <w:rFonts w:eastAsia="Calibri" w:cstheme="minorHAnsi"/>
          <w:b/>
          <w:bCs/>
          <w:color w:val="002060"/>
          <w:szCs w:val="20"/>
          <w:lang w:val="sr-Cyrl-RS" w:eastAsia="ja-JP"/>
        </w:rPr>
        <w:lastRenderedPageBreak/>
        <w:t xml:space="preserve">Табела </w:t>
      </w:r>
      <w:r>
        <w:rPr>
          <w:rFonts w:eastAsia="Calibri" w:cstheme="minorHAnsi"/>
          <w:b/>
          <w:bCs/>
          <w:color w:val="002060"/>
          <w:szCs w:val="20"/>
          <w:lang w:eastAsia="ja-JP"/>
        </w:rPr>
        <w:t>12</w:t>
      </w:r>
      <w:r w:rsidRPr="00BB1E84">
        <w:rPr>
          <w:rFonts w:eastAsia="Calibri" w:cstheme="minorHAnsi"/>
          <w:b/>
          <w:bCs/>
          <w:color w:val="002060"/>
          <w:szCs w:val="20"/>
          <w:lang w:val="sr-Cyrl-RS" w:eastAsia="ja-JP"/>
        </w:rPr>
        <w:t>.</w:t>
      </w:r>
      <w:r>
        <w:rPr>
          <w:rFonts w:eastAsia="Calibri" w:cstheme="minorHAnsi"/>
          <w:b/>
          <w:bCs/>
          <w:color w:val="002060"/>
          <w:szCs w:val="20"/>
          <w:lang w:eastAsia="ja-JP"/>
        </w:rPr>
        <w:t xml:space="preserve"> </w:t>
      </w:r>
      <w:r w:rsidR="006E272E" w:rsidRPr="0062711C">
        <w:rPr>
          <w:rFonts w:eastAsia="Calibri" w:cstheme="minorHAnsi"/>
          <w:b/>
          <w:bCs/>
          <w:color w:val="002060"/>
          <w:szCs w:val="20"/>
          <w:lang w:val="sr-Cyrl-RS" w:eastAsia="ja-JP"/>
        </w:rPr>
        <w:t>Пројекти програма „Скок у будућност – Србијa 2027”</w:t>
      </w:r>
    </w:p>
    <w:tbl>
      <w:tblPr>
        <w:tblStyle w:val="PlainTable41"/>
        <w:tblW w:w="9002" w:type="dxa"/>
        <w:tblLook w:val="04A0" w:firstRow="1" w:lastRow="0" w:firstColumn="1" w:lastColumn="0" w:noHBand="0" w:noVBand="1"/>
      </w:tblPr>
      <w:tblGrid>
        <w:gridCol w:w="567"/>
        <w:gridCol w:w="5245"/>
        <w:gridCol w:w="1388"/>
        <w:gridCol w:w="1802"/>
      </w:tblGrid>
      <w:tr w:rsidR="006E272E" w:rsidRPr="0062711C" w14:paraId="32A3E119" w14:textId="77777777" w:rsidTr="00C01E82">
        <w:trPr>
          <w:cnfStyle w:val="100000000000" w:firstRow="1" w:lastRow="0" w:firstColumn="0" w:lastColumn="0" w:oddVBand="0" w:evenVBand="0" w:oddHBand="0"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567" w:type="dxa"/>
            <w:tcBorders>
              <w:top w:val="single" w:sz="4" w:space="0" w:color="002060"/>
              <w:bottom w:val="single" w:sz="4" w:space="0" w:color="002060"/>
            </w:tcBorders>
            <w:shd w:val="clear" w:color="auto" w:fill="auto"/>
            <w:hideMark/>
          </w:tcPr>
          <w:p w14:paraId="3FD38DDE" w14:textId="77777777" w:rsidR="006E272E" w:rsidRPr="0062711C" w:rsidRDefault="006E272E" w:rsidP="003F1BD3">
            <w:pPr>
              <w:spacing w:after="120"/>
              <w:jc w:val="center"/>
              <w:rPr>
                <w:rFonts w:eastAsia="Calibri" w:cstheme="minorHAnsi"/>
                <w:b w:val="0"/>
                <w:bCs w:val="0"/>
                <w:color w:val="002060"/>
                <w:sz w:val="18"/>
                <w:szCs w:val="18"/>
                <w:lang w:val="sr-Cyrl-RS" w:eastAsia="ja-JP"/>
              </w:rPr>
            </w:pPr>
          </w:p>
        </w:tc>
        <w:tc>
          <w:tcPr>
            <w:tcW w:w="5245" w:type="dxa"/>
            <w:tcBorders>
              <w:top w:val="single" w:sz="4" w:space="0" w:color="002060"/>
              <w:bottom w:val="single" w:sz="4" w:space="0" w:color="002060"/>
            </w:tcBorders>
            <w:shd w:val="clear" w:color="auto" w:fill="auto"/>
            <w:hideMark/>
          </w:tcPr>
          <w:p w14:paraId="31F648BA" w14:textId="77777777" w:rsidR="006E272E" w:rsidRPr="0062711C" w:rsidRDefault="006E272E" w:rsidP="003F1BD3">
            <w:pPr>
              <w:spacing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Пројекат</w:t>
            </w:r>
          </w:p>
        </w:tc>
        <w:tc>
          <w:tcPr>
            <w:tcW w:w="1388" w:type="dxa"/>
            <w:tcBorders>
              <w:top w:val="single" w:sz="4" w:space="0" w:color="002060"/>
              <w:bottom w:val="single" w:sz="4" w:space="0" w:color="002060"/>
            </w:tcBorders>
            <w:shd w:val="clear" w:color="auto" w:fill="auto"/>
            <w:hideMark/>
          </w:tcPr>
          <w:p w14:paraId="5050E18F" w14:textId="77777777" w:rsidR="006E272E" w:rsidRPr="0062711C" w:rsidRDefault="006E272E" w:rsidP="003F1BD3">
            <w:pPr>
              <w:spacing w:after="120"/>
              <w:jc w:val="center"/>
              <w:cnfStyle w:val="100000000000" w:firstRow="1" w:lastRow="0" w:firstColumn="0" w:lastColumn="0" w:oddVBand="0" w:evenVBand="0" w:oddHBand="0" w:evenHBand="0" w:firstRowFirstColumn="0" w:firstRowLastColumn="0" w:lastRowFirstColumn="0" w:lastRowLastColumn="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Број пројеката</w:t>
            </w:r>
          </w:p>
        </w:tc>
        <w:tc>
          <w:tcPr>
            <w:tcW w:w="1802" w:type="dxa"/>
            <w:tcBorders>
              <w:top w:val="single" w:sz="4" w:space="0" w:color="002060"/>
              <w:bottom w:val="single" w:sz="4" w:space="0" w:color="002060"/>
            </w:tcBorders>
            <w:shd w:val="clear" w:color="auto" w:fill="auto"/>
            <w:hideMark/>
          </w:tcPr>
          <w:p w14:paraId="49EA0A8F" w14:textId="77777777" w:rsidR="006E272E" w:rsidRPr="0062711C" w:rsidRDefault="006E272E" w:rsidP="00B65998">
            <w:pPr>
              <w:spacing w:after="40"/>
              <w:jc w:val="center"/>
              <w:cnfStyle w:val="100000000000" w:firstRow="1" w:lastRow="0" w:firstColumn="0" w:lastColumn="0" w:oddVBand="0" w:evenVBand="0" w:oddHBand="0" w:evenHBand="0" w:firstRowFirstColumn="0" w:firstRowLastColumn="0" w:lastRowFirstColumn="0" w:lastRowLastColumn="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Вредност пројекта у млрд ЕУР</w:t>
            </w:r>
          </w:p>
        </w:tc>
      </w:tr>
      <w:tr w:rsidR="006E272E" w:rsidRPr="0062711C" w14:paraId="01C16BDF" w14:textId="77777777" w:rsidTr="00C01E82">
        <w:trPr>
          <w:cnfStyle w:val="000000100000" w:firstRow="0" w:lastRow="0" w:firstColumn="0" w:lastColumn="0" w:oddVBand="0" w:evenVBand="0" w:oddHBand="1" w:evenHBand="0" w:firstRowFirstColumn="0" w:firstRowLastColumn="0" w:lastRowFirstColumn="0" w:lastRowLastColumn="0"/>
          <w:trHeight w:val="656"/>
        </w:trPr>
        <w:tc>
          <w:tcPr>
            <w:cnfStyle w:val="001000000000" w:firstRow="0" w:lastRow="0" w:firstColumn="1" w:lastColumn="0" w:oddVBand="0" w:evenVBand="0" w:oddHBand="0" w:evenHBand="0" w:firstRowFirstColumn="0" w:firstRowLastColumn="0" w:lastRowFirstColumn="0" w:lastRowLastColumn="0"/>
            <w:tcW w:w="567" w:type="dxa"/>
            <w:tcBorders>
              <w:top w:val="single" w:sz="4" w:space="0" w:color="002060"/>
            </w:tcBorders>
            <w:shd w:val="clear" w:color="auto" w:fill="auto"/>
            <w:hideMark/>
          </w:tcPr>
          <w:p w14:paraId="53FF4B0E" w14:textId="77777777" w:rsidR="006E272E" w:rsidRPr="0062711C" w:rsidRDefault="006E272E" w:rsidP="003F1BD3">
            <w:pPr>
              <w:spacing w:after="12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1</w:t>
            </w:r>
          </w:p>
        </w:tc>
        <w:tc>
          <w:tcPr>
            <w:tcW w:w="5245" w:type="dxa"/>
            <w:tcBorders>
              <w:top w:val="single" w:sz="4" w:space="0" w:color="002060"/>
            </w:tcBorders>
            <w:shd w:val="clear" w:color="auto" w:fill="auto"/>
            <w:hideMark/>
          </w:tcPr>
          <w:p w14:paraId="03EF432A" w14:textId="77777777" w:rsidR="006E272E" w:rsidRPr="0062711C" w:rsidRDefault="006E272E" w:rsidP="003F1BD3">
            <w:pPr>
              <w:spacing w:after="40"/>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EXPO, укључујући инфраструктуру за нове градске четврти у Београду, Акватик центар, железницу Земун-Аеродром Београд-Expo, стамбени комплекс од 1.500 станова и нови кеј на Сави</w:t>
            </w:r>
          </w:p>
        </w:tc>
        <w:tc>
          <w:tcPr>
            <w:tcW w:w="1388" w:type="dxa"/>
            <w:tcBorders>
              <w:top w:val="single" w:sz="4" w:space="0" w:color="002060"/>
            </w:tcBorders>
            <w:shd w:val="clear" w:color="auto" w:fill="auto"/>
            <w:hideMark/>
          </w:tcPr>
          <w:p w14:paraId="0CF04507"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6</w:t>
            </w:r>
          </w:p>
        </w:tc>
        <w:tc>
          <w:tcPr>
            <w:tcW w:w="1802" w:type="dxa"/>
            <w:tcBorders>
              <w:top w:val="single" w:sz="4" w:space="0" w:color="002060"/>
            </w:tcBorders>
            <w:shd w:val="clear" w:color="auto" w:fill="auto"/>
            <w:hideMark/>
          </w:tcPr>
          <w:p w14:paraId="7894DBCE"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1,29</w:t>
            </w:r>
          </w:p>
        </w:tc>
      </w:tr>
      <w:tr w:rsidR="006E272E" w:rsidRPr="0062711C" w14:paraId="656DAD09" w14:textId="77777777" w:rsidTr="00C01E82">
        <w:trPr>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7453EB34" w14:textId="77777777" w:rsidR="006E272E" w:rsidRPr="0062711C" w:rsidRDefault="006E272E" w:rsidP="003F1BD3">
            <w:pPr>
              <w:spacing w:after="12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2</w:t>
            </w:r>
          </w:p>
        </w:tc>
        <w:tc>
          <w:tcPr>
            <w:tcW w:w="5245" w:type="dxa"/>
            <w:shd w:val="clear" w:color="auto" w:fill="auto"/>
            <w:hideMark/>
          </w:tcPr>
          <w:p w14:paraId="527315A4" w14:textId="77777777" w:rsidR="006E272E" w:rsidRPr="0062711C" w:rsidRDefault="006E272E" w:rsidP="003F1BD3">
            <w:pPr>
              <w:spacing w:after="120"/>
              <w:cnfStyle w:val="000000000000" w:firstRow="0" w:lastRow="0" w:firstColumn="0" w:lastColumn="0" w:oddVBand="0" w:evenVBand="0" w:oddHBand="0"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Инфраструктура</w:t>
            </w:r>
          </w:p>
        </w:tc>
        <w:tc>
          <w:tcPr>
            <w:tcW w:w="1388" w:type="dxa"/>
            <w:shd w:val="clear" w:color="auto" w:fill="auto"/>
            <w:hideMark/>
          </w:tcPr>
          <w:p w14:paraId="241206C7"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121</w:t>
            </w:r>
          </w:p>
        </w:tc>
        <w:tc>
          <w:tcPr>
            <w:tcW w:w="1802" w:type="dxa"/>
            <w:shd w:val="clear" w:color="auto" w:fill="auto"/>
            <w:hideMark/>
          </w:tcPr>
          <w:p w14:paraId="629ABDBB"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11,4</w:t>
            </w:r>
          </w:p>
        </w:tc>
      </w:tr>
      <w:tr w:rsidR="006E272E" w:rsidRPr="0062711C" w14:paraId="521F7B07" w14:textId="77777777" w:rsidTr="00C01E82">
        <w:trPr>
          <w:cnfStyle w:val="000000100000" w:firstRow="0" w:lastRow="0" w:firstColumn="0" w:lastColumn="0" w:oddVBand="0" w:evenVBand="0" w:oddHBand="1" w:evenHBand="0" w:firstRowFirstColumn="0" w:firstRowLastColumn="0" w:lastRowFirstColumn="0" w:lastRowLastColumn="0"/>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3B942702" w14:textId="77777777" w:rsidR="006E272E" w:rsidRPr="0062711C" w:rsidRDefault="006E272E" w:rsidP="003F1BD3">
            <w:pPr>
              <w:spacing w:after="120"/>
              <w:rPr>
                <w:rFonts w:eastAsia="Calibri" w:cstheme="minorHAnsi"/>
                <w:b w:val="0"/>
                <w:color w:val="002060"/>
                <w:sz w:val="18"/>
                <w:szCs w:val="18"/>
                <w:lang w:val="sr-Cyrl-RS" w:eastAsia="ja-JP"/>
              </w:rPr>
            </w:pPr>
            <w:r w:rsidRPr="0062711C">
              <w:rPr>
                <w:rFonts w:eastAsia="Calibri" w:cstheme="minorHAnsi"/>
                <w:b w:val="0"/>
                <w:color w:val="002060"/>
                <w:sz w:val="18"/>
                <w:szCs w:val="18"/>
                <w:lang w:val="sr-Cyrl-RS" w:eastAsia="ja-JP"/>
              </w:rPr>
              <w:t>2.1.</w:t>
            </w:r>
          </w:p>
        </w:tc>
        <w:tc>
          <w:tcPr>
            <w:tcW w:w="5245" w:type="dxa"/>
            <w:shd w:val="clear" w:color="auto" w:fill="auto"/>
            <w:hideMark/>
          </w:tcPr>
          <w:p w14:paraId="3DA9516B" w14:textId="77777777" w:rsidR="006E272E" w:rsidRPr="0062711C" w:rsidRDefault="006E272E" w:rsidP="003F1BD3">
            <w:pPr>
              <w:spacing w:after="120"/>
              <w:cnfStyle w:val="000000100000" w:firstRow="0" w:lastRow="0" w:firstColumn="0" w:lastColumn="0" w:oddVBand="0" w:evenVBand="0" w:oddHBand="1"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Путна инфраструктура</w:t>
            </w:r>
          </w:p>
        </w:tc>
        <w:tc>
          <w:tcPr>
            <w:tcW w:w="1388" w:type="dxa"/>
            <w:shd w:val="clear" w:color="auto" w:fill="auto"/>
            <w:hideMark/>
          </w:tcPr>
          <w:p w14:paraId="23A5399C"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13</w:t>
            </w:r>
          </w:p>
        </w:tc>
        <w:tc>
          <w:tcPr>
            <w:tcW w:w="1802" w:type="dxa"/>
            <w:shd w:val="clear" w:color="auto" w:fill="auto"/>
            <w:hideMark/>
          </w:tcPr>
          <w:p w14:paraId="149FD0F1"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5,25</w:t>
            </w:r>
          </w:p>
        </w:tc>
      </w:tr>
      <w:tr w:rsidR="006E272E" w:rsidRPr="0062711C" w14:paraId="4C0B7CE4" w14:textId="77777777" w:rsidTr="00C01E82">
        <w:trPr>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1CBF8E57" w14:textId="77777777" w:rsidR="006E272E" w:rsidRPr="0062711C" w:rsidRDefault="006E272E" w:rsidP="003F1BD3">
            <w:pPr>
              <w:spacing w:after="120"/>
              <w:rPr>
                <w:rFonts w:eastAsia="Calibri" w:cstheme="minorHAnsi"/>
                <w:b w:val="0"/>
                <w:color w:val="002060"/>
                <w:sz w:val="18"/>
                <w:szCs w:val="18"/>
                <w:lang w:val="sr-Cyrl-RS" w:eastAsia="ja-JP"/>
              </w:rPr>
            </w:pPr>
            <w:r w:rsidRPr="0062711C">
              <w:rPr>
                <w:rFonts w:eastAsia="Calibri" w:cstheme="minorHAnsi"/>
                <w:b w:val="0"/>
                <w:color w:val="002060"/>
                <w:sz w:val="18"/>
                <w:szCs w:val="18"/>
                <w:lang w:val="sr-Cyrl-RS" w:eastAsia="ja-JP"/>
              </w:rPr>
              <w:t>2.2.</w:t>
            </w:r>
          </w:p>
        </w:tc>
        <w:tc>
          <w:tcPr>
            <w:tcW w:w="5245" w:type="dxa"/>
            <w:shd w:val="clear" w:color="auto" w:fill="auto"/>
            <w:hideMark/>
          </w:tcPr>
          <w:p w14:paraId="7BC46E6D" w14:textId="77777777" w:rsidR="006E272E" w:rsidRPr="0062711C" w:rsidRDefault="006E272E" w:rsidP="003F1BD3">
            <w:pPr>
              <w:spacing w:after="120"/>
              <w:cnfStyle w:val="000000000000" w:firstRow="0" w:lastRow="0" w:firstColumn="0" w:lastColumn="0" w:oddVBand="0" w:evenVBand="0" w:oddHBand="0"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Локални путеви</w:t>
            </w:r>
          </w:p>
        </w:tc>
        <w:tc>
          <w:tcPr>
            <w:tcW w:w="1388" w:type="dxa"/>
            <w:shd w:val="clear" w:color="auto" w:fill="auto"/>
            <w:hideMark/>
          </w:tcPr>
          <w:p w14:paraId="39CD4F19"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color w:val="002060"/>
                <w:sz w:val="18"/>
                <w:szCs w:val="18"/>
                <w:lang w:val="sr-Cyrl-RS" w:eastAsia="ja-JP"/>
              </w:rPr>
            </w:pPr>
          </w:p>
        </w:tc>
        <w:tc>
          <w:tcPr>
            <w:tcW w:w="1802" w:type="dxa"/>
            <w:shd w:val="clear" w:color="auto" w:fill="auto"/>
            <w:hideMark/>
          </w:tcPr>
          <w:p w14:paraId="14604388"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2</w:t>
            </w:r>
          </w:p>
        </w:tc>
      </w:tr>
      <w:tr w:rsidR="006E272E" w:rsidRPr="0062711C" w14:paraId="0F7220FF" w14:textId="77777777" w:rsidTr="00C01E82">
        <w:trPr>
          <w:cnfStyle w:val="000000100000" w:firstRow="0" w:lastRow="0" w:firstColumn="0" w:lastColumn="0" w:oddVBand="0" w:evenVBand="0" w:oddHBand="1" w:evenHBand="0" w:firstRowFirstColumn="0" w:firstRowLastColumn="0" w:lastRowFirstColumn="0" w:lastRowLastColumn="0"/>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6FC3116A" w14:textId="77777777" w:rsidR="006E272E" w:rsidRPr="0062711C" w:rsidRDefault="006E272E" w:rsidP="003F1BD3">
            <w:pPr>
              <w:spacing w:after="120"/>
              <w:rPr>
                <w:rFonts w:eastAsia="Calibri" w:cstheme="minorHAnsi"/>
                <w:b w:val="0"/>
                <w:color w:val="002060"/>
                <w:sz w:val="18"/>
                <w:szCs w:val="18"/>
                <w:lang w:val="sr-Cyrl-RS" w:eastAsia="ja-JP"/>
              </w:rPr>
            </w:pPr>
            <w:r w:rsidRPr="0062711C">
              <w:rPr>
                <w:rFonts w:eastAsia="Calibri" w:cstheme="minorHAnsi"/>
                <w:b w:val="0"/>
                <w:color w:val="002060"/>
                <w:sz w:val="18"/>
                <w:szCs w:val="18"/>
                <w:lang w:val="sr-Cyrl-RS" w:eastAsia="ja-JP"/>
              </w:rPr>
              <w:t>2.3.</w:t>
            </w:r>
          </w:p>
        </w:tc>
        <w:tc>
          <w:tcPr>
            <w:tcW w:w="5245" w:type="dxa"/>
            <w:shd w:val="clear" w:color="auto" w:fill="auto"/>
            <w:hideMark/>
          </w:tcPr>
          <w:p w14:paraId="29800080" w14:textId="77777777" w:rsidR="006E272E" w:rsidRPr="0062711C" w:rsidRDefault="006E272E" w:rsidP="003F1BD3">
            <w:pPr>
              <w:spacing w:after="120"/>
              <w:cnfStyle w:val="000000100000" w:firstRow="0" w:lastRow="0" w:firstColumn="0" w:lastColumn="0" w:oddVBand="0" w:evenVBand="0" w:oddHBand="1"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Железничка инфраструктура</w:t>
            </w:r>
          </w:p>
        </w:tc>
        <w:tc>
          <w:tcPr>
            <w:tcW w:w="1388" w:type="dxa"/>
            <w:shd w:val="clear" w:color="auto" w:fill="auto"/>
            <w:hideMark/>
          </w:tcPr>
          <w:p w14:paraId="2EA0050B"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11</w:t>
            </w:r>
          </w:p>
        </w:tc>
        <w:tc>
          <w:tcPr>
            <w:tcW w:w="1802" w:type="dxa"/>
            <w:shd w:val="clear" w:color="auto" w:fill="auto"/>
            <w:hideMark/>
          </w:tcPr>
          <w:p w14:paraId="4BEE48F8"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2</w:t>
            </w:r>
          </w:p>
        </w:tc>
      </w:tr>
      <w:tr w:rsidR="006E272E" w:rsidRPr="0062711C" w14:paraId="4371FCED" w14:textId="77777777" w:rsidTr="00C01E82">
        <w:trPr>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28689461" w14:textId="77777777" w:rsidR="006E272E" w:rsidRPr="0062711C" w:rsidRDefault="006E272E" w:rsidP="003F1BD3">
            <w:pPr>
              <w:spacing w:after="120"/>
              <w:rPr>
                <w:rFonts w:eastAsia="Calibri" w:cstheme="minorHAnsi"/>
                <w:b w:val="0"/>
                <w:color w:val="002060"/>
                <w:sz w:val="18"/>
                <w:szCs w:val="18"/>
                <w:lang w:val="sr-Cyrl-RS" w:eastAsia="ja-JP"/>
              </w:rPr>
            </w:pPr>
            <w:r w:rsidRPr="0062711C">
              <w:rPr>
                <w:rFonts w:eastAsia="Calibri" w:cstheme="minorHAnsi"/>
                <w:b w:val="0"/>
                <w:color w:val="002060"/>
                <w:sz w:val="18"/>
                <w:szCs w:val="18"/>
                <w:lang w:val="sr-Cyrl-RS" w:eastAsia="ja-JP"/>
              </w:rPr>
              <w:t>2.4.</w:t>
            </w:r>
          </w:p>
        </w:tc>
        <w:tc>
          <w:tcPr>
            <w:tcW w:w="5245" w:type="dxa"/>
            <w:shd w:val="clear" w:color="auto" w:fill="auto"/>
            <w:hideMark/>
          </w:tcPr>
          <w:p w14:paraId="4F111A7D" w14:textId="77777777" w:rsidR="006E272E" w:rsidRPr="0062711C" w:rsidRDefault="006E272E" w:rsidP="003F1BD3">
            <w:pPr>
              <w:spacing w:after="120"/>
              <w:cnfStyle w:val="000000000000" w:firstRow="0" w:lastRow="0" w:firstColumn="0" w:lastColumn="0" w:oddVBand="0" w:evenVBand="0" w:oddHBand="0"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Водни и ваздушни саобраћај и друга инфраструктура</w:t>
            </w:r>
          </w:p>
        </w:tc>
        <w:tc>
          <w:tcPr>
            <w:tcW w:w="1388" w:type="dxa"/>
            <w:shd w:val="clear" w:color="auto" w:fill="auto"/>
            <w:hideMark/>
          </w:tcPr>
          <w:p w14:paraId="5E3211AA"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97</w:t>
            </w:r>
          </w:p>
        </w:tc>
        <w:tc>
          <w:tcPr>
            <w:tcW w:w="1802" w:type="dxa"/>
            <w:shd w:val="clear" w:color="auto" w:fill="auto"/>
            <w:hideMark/>
          </w:tcPr>
          <w:p w14:paraId="41DC81F2"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color w:val="002060"/>
                <w:sz w:val="18"/>
                <w:szCs w:val="18"/>
                <w:lang w:val="sr-Cyrl-RS" w:eastAsia="ja-JP"/>
              </w:rPr>
            </w:pPr>
            <w:r w:rsidRPr="0062711C">
              <w:rPr>
                <w:rFonts w:eastAsia="Calibri" w:cstheme="minorHAnsi"/>
                <w:color w:val="002060"/>
                <w:sz w:val="18"/>
                <w:szCs w:val="18"/>
                <w:lang w:val="sr-Cyrl-RS" w:eastAsia="ja-JP"/>
              </w:rPr>
              <w:t>2,2</w:t>
            </w:r>
          </w:p>
        </w:tc>
      </w:tr>
      <w:tr w:rsidR="006E272E" w:rsidRPr="0062711C" w14:paraId="25CA69F8" w14:textId="77777777" w:rsidTr="00C01E82">
        <w:trPr>
          <w:cnfStyle w:val="000000100000" w:firstRow="0" w:lastRow="0" w:firstColumn="0" w:lastColumn="0" w:oddVBand="0" w:evenVBand="0" w:oddHBand="1" w:evenHBand="0" w:firstRowFirstColumn="0" w:firstRowLastColumn="0" w:lastRowFirstColumn="0" w:lastRowLastColumn="0"/>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0700EC0A" w14:textId="77777777" w:rsidR="006E272E" w:rsidRPr="0062711C" w:rsidRDefault="006E272E" w:rsidP="003F1BD3">
            <w:pPr>
              <w:spacing w:after="12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3</w:t>
            </w:r>
          </w:p>
        </w:tc>
        <w:tc>
          <w:tcPr>
            <w:tcW w:w="5245" w:type="dxa"/>
            <w:shd w:val="clear" w:color="auto" w:fill="auto"/>
            <w:hideMark/>
          </w:tcPr>
          <w:p w14:paraId="496BEA3D" w14:textId="77777777" w:rsidR="006E272E" w:rsidRPr="0062711C" w:rsidRDefault="006E272E" w:rsidP="003F1BD3">
            <w:pPr>
              <w:spacing w:after="120"/>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Индустријализација</w:t>
            </w:r>
          </w:p>
        </w:tc>
        <w:tc>
          <w:tcPr>
            <w:tcW w:w="1388" w:type="dxa"/>
            <w:shd w:val="clear" w:color="auto" w:fill="auto"/>
            <w:hideMark/>
          </w:tcPr>
          <w:p w14:paraId="4C05FF40"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81</w:t>
            </w:r>
          </w:p>
        </w:tc>
        <w:tc>
          <w:tcPr>
            <w:tcW w:w="1802" w:type="dxa"/>
            <w:shd w:val="clear" w:color="auto" w:fill="auto"/>
            <w:hideMark/>
          </w:tcPr>
          <w:p w14:paraId="1D1E12F8"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3,3</w:t>
            </w:r>
          </w:p>
        </w:tc>
      </w:tr>
      <w:tr w:rsidR="006E272E" w:rsidRPr="0062711C" w14:paraId="01D16C2E" w14:textId="77777777" w:rsidTr="00C01E82">
        <w:trPr>
          <w:trHeight w:hRule="exact" w:val="245"/>
        </w:trPr>
        <w:tc>
          <w:tcPr>
            <w:cnfStyle w:val="001000000000" w:firstRow="0" w:lastRow="0" w:firstColumn="1" w:lastColumn="0" w:oddVBand="0" w:evenVBand="0" w:oddHBand="0" w:evenHBand="0" w:firstRowFirstColumn="0" w:firstRowLastColumn="0" w:lastRowFirstColumn="0" w:lastRowLastColumn="0"/>
            <w:tcW w:w="567" w:type="dxa"/>
            <w:shd w:val="clear" w:color="auto" w:fill="auto"/>
            <w:hideMark/>
          </w:tcPr>
          <w:p w14:paraId="61501992" w14:textId="77777777" w:rsidR="006E272E" w:rsidRPr="0062711C" w:rsidRDefault="006E272E" w:rsidP="003F1BD3">
            <w:pPr>
              <w:spacing w:after="12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4</w:t>
            </w:r>
          </w:p>
        </w:tc>
        <w:tc>
          <w:tcPr>
            <w:tcW w:w="5245" w:type="dxa"/>
            <w:shd w:val="clear" w:color="auto" w:fill="auto"/>
            <w:hideMark/>
          </w:tcPr>
          <w:p w14:paraId="58F1E502" w14:textId="77777777" w:rsidR="006E272E" w:rsidRPr="0062711C" w:rsidRDefault="006E272E" w:rsidP="003F1BD3">
            <w:pPr>
              <w:spacing w:after="120"/>
              <w:cnfStyle w:val="000000000000" w:firstRow="0" w:lastRow="0" w:firstColumn="0" w:lastColumn="0" w:oddVBand="0" w:evenVBand="0" w:oddHBand="0"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 xml:space="preserve">Урбана модернизација </w:t>
            </w:r>
          </w:p>
        </w:tc>
        <w:tc>
          <w:tcPr>
            <w:tcW w:w="1388" w:type="dxa"/>
            <w:shd w:val="clear" w:color="auto" w:fill="auto"/>
            <w:hideMark/>
          </w:tcPr>
          <w:p w14:paraId="52EB57F0"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97</w:t>
            </w:r>
          </w:p>
        </w:tc>
        <w:tc>
          <w:tcPr>
            <w:tcW w:w="1802" w:type="dxa"/>
            <w:shd w:val="clear" w:color="auto" w:fill="auto"/>
            <w:hideMark/>
          </w:tcPr>
          <w:p w14:paraId="299986B4" w14:textId="77777777" w:rsidR="006E272E" w:rsidRPr="0062711C" w:rsidRDefault="006E272E" w:rsidP="003F1BD3">
            <w:pPr>
              <w:spacing w:after="120"/>
              <w:jc w:val="right"/>
              <w:cnfStyle w:val="000000000000" w:firstRow="0" w:lastRow="0" w:firstColumn="0" w:lastColumn="0" w:oddVBand="0" w:evenVBand="0" w:oddHBand="0"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1,7</w:t>
            </w:r>
          </w:p>
        </w:tc>
      </w:tr>
      <w:tr w:rsidR="006E272E" w:rsidRPr="0062711C" w14:paraId="7E893816" w14:textId="77777777" w:rsidTr="00C01E82">
        <w:trPr>
          <w:cnfStyle w:val="000000100000" w:firstRow="0" w:lastRow="0" w:firstColumn="0" w:lastColumn="0" w:oddVBand="0" w:evenVBand="0" w:oddHBand="1" w:evenHBand="0" w:firstRowFirstColumn="0" w:firstRowLastColumn="0" w:lastRowFirstColumn="0" w:lastRowLastColumn="0"/>
          <w:trHeight w:hRule="exact" w:val="245"/>
        </w:trPr>
        <w:tc>
          <w:tcPr>
            <w:cnfStyle w:val="001000000000" w:firstRow="0" w:lastRow="0" w:firstColumn="1" w:lastColumn="0" w:oddVBand="0" w:evenVBand="0" w:oddHBand="0" w:evenHBand="0" w:firstRowFirstColumn="0" w:firstRowLastColumn="0" w:lastRowFirstColumn="0" w:lastRowLastColumn="0"/>
            <w:tcW w:w="567" w:type="dxa"/>
            <w:tcBorders>
              <w:bottom w:val="single" w:sz="4" w:space="0" w:color="002060"/>
            </w:tcBorders>
            <w:shd w:val="clear" w:color="auto" w:fill="auto"/>
            <w:hideMark/>
          </w:tcPr>
          <w:p w14:paraId="5A2FCA72" w14:textId="77777777" w:rsidR="006E272E" w:rsidRPr="0062711C" w:rsidRDefault="006E272E" w:rsidP="003F1BD3">
            <w:pPr>
              <w:spacing w:after="120"/>
              <w:rPr>
                <w:rFonts w:eastAsia="Calibri" w:cstheme="minorHAnsi"/>
                <w:b w:val="0"/>
                <w:bCs w:val="0"/>
                <w:color w:val="002060"/>
                <w:sz w:val="18"/>
                <w:szCs w:val="18"/>
                <w:lang w:val="sr-Cyrl-RS" w:eastAsia="ja-JP"/>
              </w:rPr>
            </w:pPr>
            <w:r w:rsidRPr="0062711C">
              <w:rPr>
                <w:rFonts w:eastAsia="Calibri" w:cstheme="minorHAnsi"/>
                <w:b w:val="0"/>
                <w:color w:val="002060"/>
                <w:sz w:val="18"/>
                <w:szCs w:val="18"/>
                <w:lang w:val="sr-Cyrl-RS" w:eastAsia="ja-JP"/>
              </w:rPr>
              <w:t>5</w:t>
            </w:r>
          </w:p>
        </w:tc>
        <w:tc>
          <w:tcPr>
            <w:tcW w:w="5245" w:type="dxa"/>
            <w:tcBorders>
              <w:bottom w:val="single" w:sz="4" w:space="0" w:color="002060"/>
            </w:tcBorders>
            <w:shd w:val="clear" w:color="auto" w:fill="auto"/>
            <w:hideMark/>
          </w:tcPr>
          <w:p w14:paraId="767657EC" w14:textId="77777777" w:rsidR="006E272E" w:rsidRPr="0062711C" w:rsidRDefault="006E272E" w:rsidP="003F1BD3">
            <w:pPr>
              <w:spacing w:after="120"/>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Интегрални развој и туризам</w:t>
            </w:r>
          </w:p>
        </w:tc>
        <w:tc>
          <w:tcPr>
            <w:tcW w:w="1388" w:type="dxa"/>
            <w:tcBorders>
              <w:bottom w:val="single" w:sz="4" w:space="0" w:color="002060"/>
            </w:tcBorders>
            <w:shd w:val="clear" w:color="auto" w:fill="auto"/>
            <w:hideMark/>
          </w:tcPr>
          <w:p w14:paraId="3517E7C7"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18</w:t>
            </w:r>
          </w:p>
        </w:tc>
        <w:tc>
          <w:tcPr>
            <w:tcW w:w="1802" w:type="dxa"/>
            <w:tcBorders>
              <w:bottom w:val="single" w:sz="4" w:space="0" w:color="4472C4" w:themeColor="accent1"/>
            </w:tcBorders>
            <w:shd w:val="clear" w:color="auto" w:fill="auto"/>
            <w:hideMark/>
          </w:tcPr>
          <w:p w14:paraId="71239E9F" w14:textId="77777777" w:rsidR="006E272E" w:rsidRPr="0062711C" w:rsidRDefault="006E272E" w:rsidP="003F1BD3">
            <w:pPr>
              <w:spacing w:after="120"/>
              <w:jc w:val="right"/>
              <w:cnfStyle w:val="000000100000" w:firstRow="0" w:lastRow="0" w:firstColumn="0" w:lastColumn="0" w:oddVBand="0" w:evenVBand="0" w:oddHBand="1" w:evenHBand="0" w:firstRowFirstColumn="0" w:firstRowLastColumn="0" w:lastRowFirstColumn="0" w:lastRowLastColumn="0"/>
              <w:rPr>
                <w:rFonts w:eastAsia="Calibri" w:cstheme="minorHAnsi"/>
                <w:bCs/>
                <w:color w:val="002060"/>
                <w:sz w:val="18"/>
                <w:szCs w:val="18"/>
                <w:lang w:val="sr-Cyrl-RS" w:eastAsia="ja-JP"/>
              </w:rPr>
            </w:pPr>
            <w:r w:rsidRPr="0062711C">
              <w:rPr>
                <w:rFonts w:eastAsia="Calibri" w:cstheme="minorHAnsi"/>
                <w:bCs/>
                <w:color w:val="002060"/>
                <w:sz w:val="18"/>
                <w:szCs w:val="18"/>
                <w:lang w:val="sr-Cyrl-RS" w:eastAsia="ja-JP"/>
              </w:rPr>
              <w:t>0,12</w:t>
            </w:r>
          </w:p>
        </w:tc>
      </w:tr>
      <w:tr w:rsidR="00C01E82" w:rsidRPr="0062711C" w14:paraId="563BE44B" w14:textId="77777777" w:rsidTr="00C01E82">
        <w:trPr>
          <w:trHeight w:val="340"/>
        </w:trPr>
        <w:tc>
          <w:tcPr>
            <w:cnfStyle w:val="001000000000" w:firstRow="0" w:lastRow="0" w:firstColumn="1" w:lastColumn="0" w:oddVBand="0" w:evenVBand="0" w:oddHBand="0" w:evenHBand="0" w:firstRowFirstColumn="0" w:firstRowLastColumn="0" w:lastRowFirstColumn="0" w:lastRowLastColumn="0"/>
            <w:tcW w:w="567" w:type="dxa"/>
            <w:tcBorders>
              <w:top w:val="single" w:sz="4" w:space="0" w:color="002060"/>
              <w:bottom w:val="single" w:sz="4" w:space="0" w:color="002060"/>
            </w:tcBorders>
            <w:shd w:val="clear" w:color="auto" w:fill="auto"/>
            <w:vAlign w:val="center"/>
            <w:hideMark/>
          </w:tcPr>
          <w:p w14:paraId="5C8D1C06" w14:textId="7F442DCB" w:rsidR="00C01E82" w:rsidRPr="0062711C" w:rsidRDefault="00C01E82" w:rsidP="00C01E82">
            <w:pPr>
              <w:ind w:left="567"/>
              <w:jc w:val="left"/>
              <w:rPr>
                <w:rFonts w:eastAsia="Calibri" w:cstheme="minorHAnsi"/>
                <w:color w:val="002060"/>
                <w:sz w:val="18"/>
                <w:szCs w:val="18"/>
                <w:lang w:val="sr-Cyrl-RS" w:eastAsia="ja-JP"/>
              </w:rPr>
            </w:pPr>
          </w:p>
        </w:tc>
        <w:tc>
          <w:tcPr>
            <w:tcW w:w="5245" w:type="dxa"/>
            <w:tcBorders>
              <w:top w:val="single" w:sz="4" w:space="0" w:color="002060"/>
              <w:bottom w:val="single" w:sz="4" w:space="0" w:color="002060"/>
            </w:tcBorders>
            <w:shd w:val="clear" w:color="auto" w:fill="auto"/>
            <w:vAlign w:val="center"/>
          </w:tcPr>
          <w:p w14:paraId="7139ADC8" w14:textId="759DB356" w:rsidR="00C01E82" w:rsidRPr="0062711C" w:rsidRDefault="00C01E82" w:rsidP="00C01E82">
            <w:pPr>
              <w:jc w:val="left"/>
              <w:cnfStyle w:val="000000000000" w:firstRow="0" w:lastRow="0" w:firstColumn="0" w:lastColumn="0" w:oddVBand="0" w:evenVBand="0" w:oddHBand="0" w:evenHBand="0" w:firstRowFirstColumn="0" w:firstRowLastColumn="0" w:lastRowFirstColumn="0" w:lastRowLastColumn="0"/>
              <w:rPr>
                <w:rFonts w:eastAsia="Calibri" w:cstheme="minorHAnsi"/>
                <w:b/>
                <w:bCs/>
                <w:color w:val="002060"/>
                <w:sz w:val="18"/>
                <w:szCs w:val="18"/>
                <w:lang w:val="sr-Cyrl-RS" w:eastAsia="ja-JP"/>
              </w:rPr>
            </w:pPr>
            <w:r w:rsidRPr="0062711C">
              <w:rPr>
                <w:rFonts w:eastAsia="Calibri" w:cstheme="minorHAnsi"/>
                <w:b/>
                <w:color w:val="002060"/>
                <w:sz w:val="18"/>
                <w:szCs w:val="18"/>
                <w:lang w:val="sr-Cyrl-RS" w:eastAsia="ja-JP"/>
              </w:rPr>
              <w:t>Укупно:</w:t>
            </w:r>
          </w:p>
        </w:tc>
        <w:tc>
          <w:tcPr>
            <w:tcW w:w="1388" w:type="dxa"/>
            <w:tcBorders>
              <w:top w:val="single" w:sz="4" w:space="0" w:color="002060"/>
              <w:bottom w:val="single" w:sz="4" w:space="0" w:color="002060"/>
            </w:tcBorders>
            <w:shd w:val="clear" w:color="auto" w:fill="auto"/>
            <w:vAlign w:val="center"/>
            <w:hideMark/>
          </w:tcPr>
          <w:p w14:paraId="4CCCD35B" w14:textId="77777777" w:rsidR="00C01E82" w:rsidRPr="002D14FC" w:rsidRDefault="00C01E82" w:rsidP="00C01E82">
            <w:pPr>
              <w:jc w:val="right"/>
              <w:cnfStyle w:val="000000000000" w:firstRow="0" w:lastRow="0" w:firstColumn="0" w:lastColumn="0" w:oddVBand="0" w:evenVBand="0" w:oddHBand="0" w:evenHBand="0" w:firstRowFirstColumn="0" w:firstRowLastColumn="0" w:lastRowFirstColumn="0" w:lastRowLastColumn="0"/>
              <w:rPr>
                <w:rFonts w:eastAsia="Calibri" w:cstheme="minorHAnsi"/>
                <w:b/>
                <w:bCs/>
                <w:color w:val="002060"/>
                <w:sz w:val="18"/>
                <w:szCs w:val="18"/>
                <w:lang w:val="sr-Cyrl-RS" w:eastAsia="ja-JP"/>
              </w:rPr>
            </w:pPr>
            <w:r w:rsidRPr="002D14FC">
              <w:rPr>
                <w:rFonts w:eastAsia="Calibri" w:cstheme="minorHAnsi"/>
                <w:b/>
                <w:bCs/>
                <w:color w:val="002060"/>
                <w:sz w:val="18"/>
                <w:szCs w:val="18"/>
                <w:lang w:val="sr-Cyrl-RS" w:eastAsia="ja-JP"/>
              </w:rPr>
              <w:t>323</w:t>
            </w:r>
          </w:p>
        </w:tc>
        <w:tc>
          <w:tcPr>
            <w:tcW w:w="1802" w:type="dxa"/>
            <w:tcBorders>
              <w:top w:val="single" w:sz="4" w:space="0" w:color="002060"/>
              <w:bottom w:val="single" w:sz="4" w:space="0" w:color="002060"/>
            </w:tcBorders>
            <w:shd w:val="clear" w:color="auto" w:fill="auto"/>
            <w:vAlign w:val="center"/>
            <w:hideMark/>
          </w:tcPr>
          <w:p w14:paraId="68D53414" w14:textId="77777777" w:rsidR="00C01E82" w:rsidRPr="002D14FC" w:rsidRDefault="00C01E82" w:rsidP="00C01E82">
            <w:pPr>
              <w:jc w:val="right"/>
              <w:cnfStyle w:val="000000000000" w:firstRow="0" w:lastRow="0" w:firstColumn="0" w:lastColumn="0" w:oddVBand="0" w:evenVBand="0" w:oddHBand="0" w:evenHBand="0" w:firstRowFirstColumn="0" w:firstRowLastColumn="0" w:lastRowFirstColumn="0" w:lastRowLastColumn="0"/>
              <w:rPr>
                <w:rFonts w:eastAsia="Calibri" w:cstheme="minorHAnsi"/>
                <w:b/>
                <w:bCs/>
                <w:color w:val="002060"/>
                <w:sz w:val="18"/>
                <w:szCs w:val="18"/>
                <w:lang w:val="sr-Cyrl-RS" w:eastAsia="ja-JP"/>
              </w:rPr>
            </w:pPr>
            <w:r w:rsidRPr="002D14FC">
              <w:rPr>
                <w:rFonts w:eastAsia="Calibri" w:cstheme="minorHAnsi"/>
                <w:b/>
                <w:bCs/>
                <w:color w:val="002060"/>
                <w:sz w:val="18"/>
                <w:szCs w:val="18"/>
                <w:lang w:val="sr-Cyrl-RS" w:eastAsia="ja-JP"/>
              </w:rPr>
              <w:t>17,81</w:t>
            </w:r>
          </w:p>
        </w:tc>
      </w:tr>
    </w:tbl>
    <w:p w14:paraId="52B1E2D8" w14:textId="77777777" w:rsidR="006E272E" w:rsidRPr="0062711C" w:rsidRDefault="006E272E" w:rsidP="003F1BD3">
      <w:pPr>
        <w:spacing w:after="120"/>
        <w:rPr>
          <w:rFonts w:eastAsia="Calibri" w:cstheme="minorHAnsi"/>
          <w:szCs w:val="20"/>
          <w:lang w:val="sr-Cyrl-RS" w:eastAsia="ja-JP"/>
        </w:rPr>
        <w:sectPr w:rsidR="006E272E" w:rsidRPr="0062711C" w:rsidSect="00F45C01">
          <w:type w:val="continuous"/>
          <w:pgSz w:w="12240" w:h="15840"/>
          <w:pgMar w:top="1440" w:right="1440" w:bottom="1440" w:left="1440" w:header="720" w:footer="720" w:gutter="0"/>
          <w:cols w:space="720"/>
          <w:docGrid w:linePitch="360"/>
        </w:sectPr>
      </w:pPr>
    </w:p>
    <w:p w14:paraId="0D584AE5" w14:textId="77777777" w:rsidR="006E272E" w:rsidRPr="0062711C" w:rsidRDefault="006E272E" w:rsidP="003F1BD3">
      <w:pPr>
        <w:spacing w:after="120"/>
        <w:rPr>
          <w:lang w:val="sr-Cyrl-RS"/>
        </w:rPr>
      </w:pPr>
      <w:r w:rsidRPr="0062711C">
        <w:rPr>
          <w:rFonts w:eastAsia="Calibri" w:cstheme="minorHAnsi"/>
          <w:szCs w:val="20"/>
          <w:lang w:val="sr-Cyrl-RS" w:eastAsia="ja-JP"/>
        </w:rPr>
        <w:t xml:space="preserve">Опште опредељење фискалне политике у средњем року јесте повећање улагања у инфраструктуру на свим нивоима власти. Кад је реч о локалном нивоу власти то се пре свега односи на улагања у водоводну и канализациону инфраструктуру, управљање отпадом, локалну путну инфраструктуру и </w:t>
      </w:r>
      <w:r w:rsidRPr="0062711C">
        <w:rPr>
          <w:rFonts w:eastAsia="Calibri" w:cstheme="minorHAnsi"/>
          <w:color w:val="323E4F" w:themeColor="text2" w:themeShade="BF"/>
          <w:szCs w:val="20"/>
          <w:lang w:val="sr-Cyrl-RS" w:eastAsia="ja-JP"/>
        </w:rPr>
        <w:t>друго.</w:t>
      </w:r>
    </w:p>
    <w:p w14:paraId="0F3DDF2D"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У средњорочном фискалном оквиру, до краја 2027. године, пројектована је избалансирана укупна фискална позиција локалне самоуправе. То значи да у збиру сви градови и општине имају приближно избалансиран буџет. Пројекција је рађена на основу кретања у претходном периоду, у коме су збирно ЈЛС најчешће биле у суфициту. Овакво стање на нивоу свих локалних самоуправа је последица раздуживања у претходном периоду. То не значи да појединачне ЈЛС не могу забележити дефицит (у складу са фискалним правилом), што зависи од фискалне позиције сваке појединачне општине и града.</w:t>
      </w:r>
    </w:p>
    <w:p w14:paraId="5DCE8B11" w14:textId="1D4A1068"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На кретање категорије буџетских позајмица највише су утицала средства намењена превазилажењу негативних последица енергетске кризе. У наредном периоду очекује се снижавање учешћа ове расходне категорије на 0,2% БДП.</w:t>
      </w:r>
    </w:p>
    <w:p w14:paraId="57BA00AA" w14:textId="77777777" w:rsidR="006E272E" w:rsidRPr="0062711C" w:rsidRDefault="006E272E" w:rsidP="003F1BD3">
      <w:pPr>
        <w:spacing w:after="120"/>
        <w:rPr>
          <w:rFonts w:eastAsia="Calibri" w:cstheme="minorHAnsi"/>
          <w:szCs w:val="20"/>
          <w:lang w:val="sr-Cyrl-RS" w:eastAsia="ja-JP"/>
        </w:rPr>
      </w:pPr>
      <w:r w:rsidRPr="0062711C">
        <w:rPr>
          <w:rFonts w:eastAsia="Calibri" w:cstheme="minorHAnsi"/>
          <w:szCs w:val="20"/>
          <w:lang w:val="sr-Cyrl-RS" w:eastAsia="ja-JP"/>
        </w:rPr>
        <w:t>Отплата по основу издатих гаранција и плаћање гаранција по комерцијалним трансакцијама представљају обавезе по основу дуга јавних предузећа које је републички буџет преузео на себе, с обзиром да та предузећа нису могла самостално да их извршавају. У претходном периоду ови расходи су значајно смањени, а планом отплате предвиђено је да ће у 2027. години ови расходи износити 0,2% БДП на годишњем нивоу.</w:t>
      </w:r>
    </w:p>
    <w:p w14:paraId="5A57F2AB" w14:textId="77777777" w:rsidR="006E272E" w:rsidRPr="0062711C" w:rsidRDefault="006E272E" w:rsidP="003F1BD3">
      <w:pPr>
        <w:spacing w:after="120"/>
        <w:rPr>
          <w:rFonts w:cstheme="minorHAnsi"/>
          <w:b/>
          <w:bCs/>
          <w:color w:val="2F5496" w:themeColor="accent1" w:themeShade="BF"/>
          <w:sz w:val="22"/>
          <w:szCs w:val="20"/>
          <w:lang w:val="sr-Cyrl-RS"/>
        </w:rPr>
      </w:pPr>
      <w:r w:rsidRPr="0062711C">
        <w:rPr>
          <w:rFonts w:cstheme="minorHAnsi"/>
          <w:b/>
          <w:bCs/>
          <w:color w:val="2F5496" w:themeColor="accent1" w:themeShade="BF"/>
          <w:sz w:val="22"/>
          <w:szCs w:val="20"/>
          <w:lang w:val="sr-Cyrl-RS"/>
        </w:rPr>
        <w:t>Поређење са претходним програмом</w:t>
      </w:r>
    </w:p>
    <w:p w14:paraId="7B056F7F" w14:textId="5FAA8291" w:rsidR="006E272E" w:rsidRPr="0062711C" w:rsidRDefault="006E272E" w:rsidP="003F1BD3">
      <w:pPr>
        <w:spacing w:after="120"/>
        <w:rPr>
          <w:lang w:val="sr-Cyrl-RS"/>
        </w:rPr>
      </w:pPr>
      <w:r w:rsidRPr="0062711C">
        <w:rPr>
          <w:rFonts w:cstheme="minorHAnsi"/>
          <w:bCs/>
          <w:szCs w:val="20"/>
          <w:lang w:val="sr-Cyrl-RS"/>
        </w:rPr>
        <w:t xml:space="preserve">Средњорочни фискални оквир je промењен у складу са најављеним инвестиционим циклусом у склопу програма </w:t>
      </w:r>
      <w:r w:rsidR="00BA42C3" w:rsidRPr="0062711C">
        <w:rPr>
          <w:rFonts w:cstheme="minorHAnsi"/>
          <w:bCs/>
          <w:szCs w:val="20"/>
          <w:lang w:val="sr-Cyrl-RS"/>
        </w:rPr>
        <w:t>„</w:t>
      </w:r>
      <w:r w:rsidRPr="0062711C">
        <w:rPr>
          <w:rFonts w:cstheme="minorHAnsi"/>
          <w:bCs/>
          <w:szCs w:val="20"/>
          <w:lang w:val="sr-Cyrl-RS"/>
        </w:rPr>
        <w:t>Скок у будућност – Србија 2027</w:t>
      </w:r>
      <w:r w:rsidR="00811BDE" w:rsidRPr="0062711C">
        <w:rPr>
          <w:rFonts w:cstheme="minorHAnsi"/>
          <w:bCs/>
          <w:szCs w:val="20"/>
          <w:lang w:val="sr-Cyrl-RS"/>
        </w:rPr>
        <w:t>”</w:t>
      </w:r>
      <w:r w:rsidR="00C01E82" w:rsidRPr="0062711C">
        <w:rPr>
          <w:rFonts w:cstheme="minorHAnsi"/>
          <w:bCs/>
          <w:szCs w:val="20"/>
          <w:lang w:val="sr-Cyrl-RS"/>
        </w:rPr>
        <w:t xml:space="preserve"> и изложбом Експо 2027.</w:t>
      </w:r>
    </w:p>
    <w:p w14:paraId="1A935220" w14:textId="77777777" w:rsidR="006E272E" w:rsidRPr="0062711C" w:rsidRDefault="006E272E" w:rsidP="003F1BD3">
      <w:pPr>
        <w:spacing w:after="120"/>
        <w:jc w:val="center"/>
        <w:rPr>
          <w:rFonts w:eastAsia="MS PGothic" w:cstheme="minorHAnsi"/>
          <w:b/>
          <w:color w:val="002060"/>
          <w:szCs w:val="20"/>
          <w:lang w:val="sr-Cyrl-RS" w:eastAsia="ja-JP"/>
        </w:rPr>
        <w:sectPr w:rsidR="006E272E" w:rsidRPr="0062711C" w:rsidSect="00F45C01">
          <w:footerReference w:type="even" r:id="rId163"/>
          <w:footerReference w:type="default" r:id="rId164"/>
          <w:headerReference w:type="first" r:id="rId165"/>
          <w:type w:val="continuous"/>
          <w:pgSz w:w="12240" w:h="15840" w:code="1"/>
          <w:pgMar w:top="1440" w:right="1440" w:bottom="1440" w:left="1440" w:header="720" w:footer="720" w:gutter="0"/>
          <w:cols w:num="2" w:space="720"/>
          <w:docGrid w:linePitch="360"/>
          <w15:footnoteColumns w:val="1"/>
        </w:sectPr>
      </w:pPr>
    </w:p>
    <w:p w14:paraId="64AC2ACD" w14:textId="77777777" w:rsidR="00B65998" w:rsidRPr="0062711C" w:rsidRDefault="00B65998" w:rsidP="005226A8">
      <w:pPr>
        <w:rPr>
          <w:lang w:val="sr-Cyrl-RS" w:eastAsia="ja-JP"/>
        </w:rPr>
      </w:pPr>
      <w:r w:rsidRPr="0062711C">
        <w:rPr>
          <w:lang w:val="sr-Cyrl-RS" w:eastAsia="ja-JP"/>
        </w:rPr>
        <w:br w:type="page"/>
      </w:r>
    </w:p>
    <w:p w14:paraId="23A850BF" w14:textId="1D744DE0" w:rsidR="006E272E" w:rsidRPr="0062711C" w:rsidRDefault="006E272E" w:rsidP="00B65998">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lastRenderedPageBreak/>
        <w:t>Табела 1</w:t>
      </w:r>
      <w:r w:rsidR="00BB1E84">
        <w:rPr>
          <w:rFonts w:eastAsia="MS PGothic" w:cstheme="minorHAnsi"/>
          <w:b/>
          <w:color w:val="002060"/>
          <w:szCs w:val="20"/>
          <w:lang w:eastAsia="ja-JP"/>
        </w:rPr>
        <w:t>3</w:t>
      </w:r>
      <w:r w:rsidRPr="0062711C">
        <w:rPr>
          <w:rFonts w:eastAsia="MS PGothic" w:cstheme="minorHAnsi"/>
          <w:b/>
          <w:color w:val="002060"/>
          <w:szCs w:val="20"/>
          <w:lang w:val="sr-Cyrl-RS" w:eastAsia="ja-JP"/>
        </w:rPr>
        <w:t>. Поређење фискалних показатеља два програма, у % БДП</w:t>
      </w:r>
    </w:p>
    <w:tbl>
      <w:tblPr>
        <w:tblStyle w:val="ListTable6Colorful-Accent610"/>
        <w:tblW w:w="5000" w:type="pct"/>
        <w:tblLook w:val="04A0" w:firstRow="1" w:lastRow="0" w:firstColumn="1" w:lastColumn="0" w:noHBand="0" w:noVBand="1"/>
      </w:tblPr>
      <w:tblGrid>
        <w:gridCol w:w="5145"/>
        <w:gridCol w:w="843"/>
        <w:gridCol w:w="842"/>
        <w:gridCol w:w="844"/>
        <w:gridCol w:w="842"/>
        <w:gridCol w:w="844"/>
      </w:tblGrid>
      <w:tr w:rsidR="006E272E" w:rsidRPr="0062711C" w14:paraId="4FA0D8D9" w14:textId="77777777" w:rsidTr="005226A8">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tcBorders>
              <w:top w:val="single" w:sz="4" w:space="0" w:color="002060"/>
              <w:bottom w:val="single" w:sz="4" w:space="0" w:color="FFFFFF" w:themeColor="background1"/>
            </w:tcBorders>
            <w:shd w:val="clear" w:color="auto" w:fill="FFFFFF" w:themeFill="background1"/>
            <w:noWrap/>
            <w:hideMark/>
          </w:tcPr>
          <w:p w14:paraId="0B2E6F01"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p>
        </w:tc>
        <w:tc>
          <w:tcPr>
            <w:tcW w:w="450" w:type="pct"/>
            <w:tcBorders>
              <w:top w:val="single" w:sz="4" w:space="0" w:color="002060"/>
              <w:bottom w:val="single" w:sz="4" w:space="0" w:color="002060"/>
            </w:tcBorders>
            <w:shd w:val="clear" w:color="auto" w:fill="FFFFFF" w:themeFill="background1"/>
            <w:noWrap/>
            <w:hideMark/>
          </w:tcPr>
          <w:p w14:paraId="0F653502" w14:textId="77777777" w:rsidR="006E272E" w:rsidRPr="0062711C" w:rsidRDefault="006E272E" w:rsidP="003F1BD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2023</w:t>
            </w:r>
          </w:p>
        </w:tc>
        <w:tc>
          <w:tcPr>
            <w:tcW w:w="450" w:type="pct"/>
            <w:tcBorders>
              <w:top w:val="single" w:sz="4" w:space="0" w:color="002060"/>
              <w:bottom w:val="single" w:sz="4" w:space="0" w:color="002060"/>
            </w:tcBorders>
            <w:shd w:val="clear" w:color="auto" w:fill="FFFFFF" w:themeFill="background1"/>
            <w:noWrap/>
            <w:hideMark/>
          </w:tcPr>
          <w:p w14:paraId="38AF57AE" w14:textId="77777777" w:rsidR="006E272E" w:rsidRPr="0062711C" w:rsidRDefault="006E272E" w:rsidP="003F1BD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2024</w:t>
            </w:r>
          </w:p>
        </w:tc>
        <w:tc>
          <w:tcPr>
            <w:tcW w:w="451" w:type="pct"/>
            <w:tcBorders>
              <w:top w:val="single" w:sz="4" w:space="0" w:color="002060"/>
              <w:bottom w:val="single" w:sz="4" w:space="0" w:color="002060"/>
            </w:tcBorders>
            <w:shd w:val="clear" w:color="auto" w:fill="FFFFFF" w:themeFill="background1"/>
            <w:noWrap/>
            <w:hideMark/>
          </w:tcPr>
          <w:p w14:paraId="39C392C4" w14:textId="77777777" w:rsidR="006E272E" w:rsidRPr="0062711C" w:rsidRDefault="006E272E" w:rsidP="003F1BD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2025</w:t>
            </w:r>
          </w:p>
        </w:tc>
        <w:tc>
          <w:tcPr>
            <w:tcW w:w="450" w:type="pct"/>
            <w:tcBorders>
              <w:top w:val="single" w:sz="4" w:space="0" w:color="002060"/>
              <w:bottom w:val="single" w:sz="4" w:space="0" w:color="002060"/>
            </w:tcBorders>
            <w:shd w:val="clear" w:color="auto" w:fill="FFFFFF" w:themeFill="background1"/>
            <w:noWrap/>
            <w:hideMark/>
          </w:tcPr>
          <w:p w14:paraId="1EE239E7" w14:textId="77777777" w:rsidR="006E272E" w:rsidRPr="0062711C" w:rsidRDefault="006E272E" w:rsidP="003F1BD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2026</w:t>
            </w:r>
          </w:p>
        </w:tc>
        <w:tc>
          <w:tcPr>
            <w:tcW w:w="451" w:type="pct"/>
            <w:tcBorders>
              <w:top w:val="single" w:sz="4" w:space="0" w:color="002060"/>
              <w:bottom w:val="single" w:sz="4" w:space="0" w:color="002060"/>
            </w:tcBorders>
            <w:shd w:val="clear" w:color="auto" w:fill="FFFFFF" w:themeFill="background1"/>
            <w:noWrap/>
            <w:hideMark/>
          </w:tcPr>
          <w:p w14:paraId="67D41E72" w14:textId="77777777" w:rsidR="006E272E" w:rsidRPr="0062711C" w:rsidRDefault="006E272E" w:rsidP="003F1BD3">
            <w:pPr>
              <w:keepNext/>
              <w:widowControl w:val="0"/>
              <w:shd w:val="clear" w:color="auto" w:fill="FFFFFF" w:themeFill="background1"/>
              <w:spacing w:line="276" w:lineRule="auto"/>
              <w:jc w:val="righ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2027</w:t>
            </w:r>
          </w:p>
        </w:tc>
      </w:tr>
      <w:tr w:rsidR="006E272E" w:rsidRPr="0062711C" w14:paraId="0EAA70D0"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68ABEA13" w14:textId="77777777" w:rsidR="006E272E" w:rsidRPr="0062711C" w:rsidRDefault="006E272E" w:rsidP="003F1BD3">
            <w:pPr>
              <w:keepNext/>
              <w:widowControl w:val="0"/>
              <w:shd w:val="clear" w:color="auto" w:fill="FFFFFF" w:themeFill="background1"/>
              <w:spacing w:line="276"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Ревидирана Фискална стратегија за период 2024–2026. године</w:t>
            </w:r>
          </w:p>
        </w:tc>
        <w:tc>
          <w:tcPr>
            <w:tcW w:w="450" w:type="pct"/>
            <w:tcBorders>
              <w:top w:val="single" w:sz="4" w:space="0" w:color="002060"/>
            </w:tcBorders>
            <w:shd w:val="clear" w:color="auto" w:fill="FFFFFF" w:themeFill="background1"/>
            <w:noWrap/>
            <w:hideMark/>
          </w:tcPr>
          <w:p w14:paraId="263FD4AA"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0" w:type="pct"/>
            <w:tcBorders>
              <w:top w:val="single" w:sz="4" w:space="0" w:color="002060"/>
            </w:tcBorders>
            <w:shd w:val="clear" w:color="auto" w:fill="FFFFFF" w:themeFill="background1"/>
            <w:noWrap/>
            <w:hideMark/>
          </w:tcPr>
          <w:p w14:paraId="79CE379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1" w:type="pct"/>
            <w:tcBorders>
              <w:top w:val="single" w:sz="4" w:space="0" w:color="002060"/>
            </w:tcBorders>
            <w:shd w:val="clear" w:color="auto" w:fill="FFFFFF" w:themeFill="background1"/>
            <w:noWrap/>
            <w:hideMark/>
          </w:tcPr>
          <w:p w14:paraId="7737F17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0" w:type="pct"/>
            <w:tcBorders>
              <w:top w:val="single" w:sz="4" w:space="0" w:color="002060"/>
            </w:tcBorders>
            <w:shd w:val="clear" w:color="auto" w:fill="FFFFFF" w:themeFill="background1"/>
            <w:noWrap/>
            <w:hideMark/>
          </w:tcPr>
          <w:p w14:paraId="3837A9C4"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1" w:type="pct"/>
            <w:tcBorders>
              <w:top w:val="single" w:sz="4" w:space="0" w:color="002060"/>
            </w:tcBorders>
            <w:shd w:val="clear" w:color="auto" w:fill="FFFFFF" w:themeFill="background1"/>
            <w:noWrap/>
            <w:hideMark/>
          </w:tcPr>
          <w:p w14:paraId="4A7892F4"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6E272E" w:rsidRPr="0062711C" w14:paraId="16EA6B0C"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3BB68AB1"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Приходи</w:t>
            </w:r>
          </w:p>
        </w:tc>
        <w:tc>
          <w:tcPr>
            <w:tcW w:w="450" w:type="pct"/>
            <w:tcBorders>
              <w:top w:val="nil"/>
              <w:bottom w:val="nil"/>
            </w:tcBorders>
            <w:shd w:val="clear" w:color="auto" w:fill="auto"/>
            <w:noWrap/>
            <w:vAlign w:val="center"/>
            <w:hideMark/>
          </w:tcPr>
          <w:p w14:paraId="64F38BCE"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42,5</w:t>
            </w:r>
          </w:p>
        </w:tc>
        <w:tc>
          <w:tcPr>
            <w:tcW w:w="450" w:type="pct"/>
            <w:tcBorders>
              <w:top w:val="nil"/>
              <w:bottom w:val="nil"/>
            </w:tcBorders>
            <w:shd w:val="clear" w:color="auto" w:fill="auto"/>
            <w:noWrap/>
            <w:vAlign w:val="center"/>
            <w:hideMark/>
          </w:tcPr>
          <w:p w14:paraId="6E474010"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42,6</w:t>
            </w:r>
          </w:p>
        </w:tc>
        <w:tc>
          <w:tcPr>
            <w:tcW w:w="451" w:type="pct"/>
            <w:tcBorders>
              <w:top w:val="nil"/>
              <w:bottom w:val="nil"/>
            </w:tcBorders>
            <w:shd w:val="clear" w:color="auto" w:fill="auto"/>
            <w:noWrap/>
            <w:vAlign w:val="center"/>
            <w:hideMark/>
          </w:tcPr>
          <w:p w14:paraId="3E71AB09"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42,5</w:t>
            </w:r>
          </w:p>
        </w:tc>
        <w:tc>
          <w:tcPr>
            <w:tcW w:w="450" w:type="pct"/>
            <w:tcBorders>
              <w:top w:val="nil"/>
              <w:bottom w:val="nil"/>
            </w:tcBorders>
            <w:shd w:val="clear" w:color="auto" w:fill="auto"/>
            <w:noWrap/>
            <w:vAlign w:val="center"/>
            <w:hideMark/>
          </w:tcPr>
          <w:p w14:paraId="29BB509D"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42,3</w:t>
            </w:r>
          </w:p>
        </w:tc>
        <w:tc>
          <w:tcPr>
            <w:tcW w:w="451" w:type="pct"/>
            <w:tcBorders>
              <w:top w:val="nil"/>
              <w:bottom w:val="nil"/>
            </w:tcBorders>
            <w:shd w:val="clear" w:color="auto" w:fill="auto"/>
            <w:noWrap/>
            <w:vAlign w:val="center"/>
            <w:hideMark/>
          </w:tcPr>
          <w:p w14:paraId="1210506F"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w:t>
            </w:r>
          </w:p>
        </w:tc>
      </w:tr>
      <w:tr w:rsidR="006E272E" w:rsidRPr="0062711C" w14:paraId="58F6B33E"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3A197218"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Расходи</w:t>
            </w:r>
          </w:p>
        </w:tc>
        <w:tc>
          <w:tcPr>
            <w:tcW w:w="450" w:type="pct"/>
            <w:tcBorders>
              <w:top w:val="nil"/>
            </w:tcBorders>
            <w:shd w:val="clear" w:color="auto" w:fill="auto"/>
            <w:noWrap/>
            <w:vAlign w:val="center"/>
            <w:hideMark/>
          </w:tcPr>
          <w:p w14:paraId="7D3AC82D"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45,3</w:t>
            </w:r>
          </w:p>
        </w:tc>
        <w:tc>
          <w:tcPr>
            <w:tcW w:w="450" w:type="pct"/>
            <w:tcBorders>
              <w:top w:val="nil"/>
            </w:tcBorders>
            <w:shd w:val="clear" w:color="auto" w:fill="auto"/>
            <w:noWrap/>
            <w:vAlign w:val="center"/>
            <w:hideMark/>
          </w:tcPr>
          <w:p w14:paraId="531E4ECC"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44,8</w:t>
            </w:r>
          </w:p>
        </w:tc>
        <w:tc>
          <w:tcPr>
            <w:tcW w:w="451" w:type="pct"/>
            <w:tcBorders>
              <w:top w:val="nil"/>
            </w:tcBorders>
            <w:shd w:val="clear" w:color="auto" w:fill="auto"/>
            <w:noWrap/>
            <w:vAlign w:val="center"/>
            <w:hideMark/>
          </w:tcPr>
          <w:p w14:paraId="4CC1CA0A"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44,0</w:t>
            </w:r>
          </w:p>
        </w:tc>
        <w:tc>
          <w:tcPr>
            <w:tcW w:w="450" w:type="pct"/>
            <w:tcBorders>
              <w:top w:val="nil"/>
            </w:tcBorders>
            <w:shd w:val="clear" w:color="auto" w:fill="auto"/>
            <w:noWrap/>
            <w:vAlign w:val="center"/>
            <w:hideMark/>
          </w:tcPr>
          <w:p w14:paraId="4170CAFB"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43,8</w:t>
            </w:r>
          </w:p>
        </w:tc>
        <w:tc>
          <w:tcPr>
            <w:tcW w:w="451" w:type="pct"/>
            <w:tcBorders>
              <w:top w:val="nil"/>
            </w:tcBorders>
            <w:shd w:val="clear" w:color="auto" w:fill="auto"/>
            <w:noWrap/>
            <w:vAlign w:val="center"/>
            <w:hideMark/>
          </w:tcPr>
          <w:p w14:paraId="1F27E7DC"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w:t>
            </w:r>
          </w:p>
        </w:tc>
      </w:tr>
      <w:tr w:rsidR="006E272E" w:rsidRPr="0062711C" w14:paraId="2A29ED0A"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0B4746F1"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Фискални резултат</w:t>
            </w:r>
          </w:p>
        </w:tc>
        <w:tc>
          <w:tcPr>
            <w:tcW w:w="450" w:type="pct"/>
            <w:shd w:val="clear" w:color="auto" w:fill="FFFFFF" w:themeFill="background1"/>
            <w:noWrap/>
            <w:hideMark/>
          </w:tcPr>
          <w:p w14:paraId="487930DD"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-2,8</w:t>
            </w:r>
          </w:p>
        </w:tc>
        <w:tc>
          <w:tcPr>
            <w:tcW w:w="450" w:type="pct"/>
            <w:shd w:val="clear" w:color="auto" w:fill="FFFFFF" w:themeFill="background1"/>
            <w:noWrap/>
            <w:hideMark/>
          </w:tcPr>
          <w:p w14:paraId="6C5479A8"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-2,2</w:t>
            </w:r>
          </w:p>
        </w:tc>
        <w:tc>
          <w:tcPr>
            <w:tcW w:w="451" w:type="pct"/>
            <w:shd w:val="clear" w:color="auto" w:fill="FFFFFF" w:themeFill="background1"/>
            <w:noWrap/>
            <w:hideMark/>
          </w:tcPr>
          <w:p w14:paraId="7FCC0708"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-1,5</w:t>
            </w:r>
          </w:p>
        </w:tc>
        <w:tc>
          <w:tcPr>
            <w:tcW w:w="450" w:type="pct"/>
            <w:shd w:val="clear" w:color="auto" w:fill="FFFFFF" w:themeFill="background1"/>
            <w:noWrap/>
            <w:hideMark/>
          </w:tcPr>
          <w:p w14:paraId="5136B86A"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-1,5</w:t>
            </w:r>
          </w:p>
        </w:tc>
        <w:tc>
          <w:tcPr>
            <w:tcW w:w="451" w:type="pct"/>
            <w:shd w:val="clear" w:color="auto" w:fill="FFFFFF" w:themeFill="background1"/>
            <w:noWrap/>
            <w:hideMark/>
          </w:tcPr>
          <w:p w14:paraId="3B4D93BF"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p>
        </w:tc>
      </w:tr>
      <w:tr w:rsidR="006E272E" w:rsidRPr="0062711C" w14:paraId="49564A38"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tcPr>
          <w:p w14:paraId="25776CA1"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cstheme="minorHAnsi"/>
                <w:b w:val="0"/>
                <w:color w:val="002060"/>
                <w:sz w:val="18"/>
                <w:szCs w:val="18"/>
                <w:lang w:val="sr-Cyrl-RS"/>
              </w:rPr>
              <w:t>Дуг сектора државе</w:t>
            </w:r>
          </w:p>
        </w:tc>
        <w:tc>
          <w:tcPr>
            <w:tcW w:w="450" w:type="pct"/>
            <w:tcBorders>
              <w:top w:val="nil"/>
              <w:bottom w:val="nil"/>
            </w:tcBorders>
            <w:shd w:val="clear" w:color="auto" w:fill="FFFFFF" w:themeFill="background1"/>
            <w:noWrap/>
          </w:tcPr>
          <w:p w14:paraId="718F27B7"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53,3</w:t>
            </w:r>
          </w:p>
        </w:tc>
        <w:tc>
          <w:tcPr>
            <w:tcW w:w="450" w:type="pct"/>
            <w:tcBorders>
              <w:top w:val="nil"/>
              <w:bottom w:val="nil"/>
            </w:tcBorders>
            <w:shd w:val="clear" w:color="auto" w:fill="FFFFFF" w:themeFill="background1"/>
            <w:noWrap/>
          </w:tcPr>
          <w:p w14:paraId="1BF37F6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51,7</w:t>
            </w:r>
          </w:p>
        </w:tc>
        <w:tc>
          <w:tcPr>
            <w:tcW w:w="451" w:type="pct"/>
            <w:tcBorders>
              <w:top w:val="nil"/>
              <w:bottom w:val="nil"/>
            </w:tcBorders>
            <w:shd w:val="clear" w:color="auto" w:fill="FFFFFF" w:themeFill="background1"/>
            <w:noWrap/>
          </w:tcPr>
          <w:p w14:paraId="676B9038"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50,7</w:t>
            </w:r>
          </w:p>
        </w:tc>
        <w:tc>
          <w:tcPr>
            <w:tcW w:w="450" w:type="pct"/>
            <w:tcBorders>
              <w:top w:val="nil"/>
              <w:bottom w:val="nil"/>
            </w:tcBorders>
            <w:shd w:val="clear" w:color="auto" w:fill="FFFFFF" w:themeFill="background1"/>
            <w:noWrap/>
          </w:tcPr>
          <w:p w14:paraId="2488B393"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50,0</w:t>
            </w:r>
          </w:p>
        </w:tc>
        <w:tc>
          <w:tcPr>
            <w:tcW w:w="451" w:type="pct"/>
            <w:tcBorders>
              <w:top w:val="nil"/>
              <w:bottom w:val="nil"/>
            </w:tcBorders>
            <w:shd w:val="clear" w:color="auto" w:fill="FFFFFF" w:themeFill="background1"/>
            <w:noWrap/>
          </w:tcPr>
          <w:p w14:paraId="2B5DD237"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6E272E" w:rsidRPr="0062711C" w14:paraId="34EF1ACD"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0E6A0FB4" w14:textId="77777777" w:rsidR="006E272E" w:rsidRPr="0062711C" w:rsidRDefault="006E272E" w:rsidP="003F1BD3">
            <w:pPr>
              <w:keepNext/>
              <w:widowControl w:val="0"/>
              <w:shd w:val="clear" w:color="auto" w:fill="FFFFFF" w:themeFill="background1"/>
              <w:spacing w:line="276"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Фискална стратегија за период 2025–2027. године</w:t>
            </w:r>
          </w:p>
        </w:tc>
        <w:tc>
          <w:tcPr>
            <w:tcW w:w="450" w:type="pct"/>
            <w:tcBorders>
              <w:top w:val="nil"/>
              <w:bottom w:val="nil"/>
            </w:tcBorders>
            <w:shd w:val="clear" w:color="auto" w:fill="FFFFFF" w:themeFill="background1"/>
            <w:noWrap/>
            <w:hideMark/>
          </w:tcPr>
          <w:p w14:paraId="15E91933"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p>
        </w:tc>
        <w:tc>
          <w:tcPr>
            <w:tcW w:w="450" w:type="pct"/>
            <w:tcBorders>
              <w:top w:val="nil"/>
              <w:bottom w:val="nil"/>
            </w:tcBorders>
            <w:shd w:val="clear" w:color="auto" w:fill="FFFFFF" w:themeFill="background1"/>
            <w:noWrap/>
            <w:hideMark/>
          </w:tcPr>
          <w:p w14:paraId="2A7884D5"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p>
        </w:tc>
        <w:tc>
          <w:tcPr>
            <w:tcW w:w="451" w:type="pct"/>
            <w:tcBorders>
              <w:top w:val="nil"/>
              <w:bottom w:val="nil"/>
            </w:tcBorders>
            <w:shd w:val="clear" w:color="auto" w:fill="FFFFFF" w:themeFill="background1"/>
            <w:noWrap/>
            <w:hideMark/>
          </w:tcPr>
          <w:p w14:paraId="6C8CA7E8"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p>
        </w:tc>
        <w:tc>
          <w:tcPr>
            <w:tcW w:w="450" w:type="pct"/>
            <w:tcBorders>
              <w:top w:val="nil"/>
              <w:bottom w:val="nil"/>
            </w:tcBorders>
            <w:shd w:val="clear" w:color="auto" w:fill="FFFFFF" w:themeFill="background1"/>
            <w:noWrap/>
            <w:hideMark/>
          </w:tcPr>
          <w:p w14:paraId="6B1268E3"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p>
        </w:tc>
        <w:tc>
          <w:tcPr>
            <w:tcW w:w="451" w:type="pct"/>
            <w:tcBorders>
              <w:top w:val="nil"/>
              <w:bottom w:val="nil"/>
            </w:tcBorders>
            <w:shd w:val="clear" w:color="auto" w:fill="FFFFFF" w:themeFill="background1"/>
            <w:noWrap/>
            <w:hideMark/>
          </w:tcPr>
          <w:p w14:paraId="3C4EC52D"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p>
        </w:tc>
      </w:tr>
      <w:tr w:rsidR="006E272E" w:rsidRPr="0062711C" w14:paraId="69C916FF"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53E400F0"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Приходи</w:t>
            </w:r>
          </w:p>
        </w:tc>
        <w:tc>
          <w:tcPr>
            <w:tcW w:w="450" w:type="pct"/>
            <w:tcBorders>
              <w:top w:val="nil"/>
              <w:bottom w:val="nil"/>
            </w:tcBorders>
            <w:shd w:val="clear" w:color="auto" w:fill="auto"/>
            <w:noWrap/>
            <w:vAlign w:val="center"/>
            <w:hideMark/>
          </w:tcPr>
          <w:p w14:paraId="6D04E88D"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42,6</w:t>
            </w:r>
          </w:p>
        </w:tc>
        <w:tc>
          <w:tcPr>
            <w:tcW w:w="450" w:type="pct"/>
            <w:tcBorders>
              <w:top w:val="nil"/>
              <w:bottom w:val="nil"/>
            </w:tcBorders>
            <w:shd w:val="clear" w:color="auto" w:fill="auto"/>
            <w:noWrap/>
            <w:vAlign w:val="center"/>
            <w:hideMark/>
          </w:tcPr>
          <w:p w14:paraId="705A629B"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42,7</w:t>
            </w:r>
          </w:p>
        </w:tc>
        <w:tc>
          <w:tcPr>
            <w:tcW w:w="451" w:type="pct"/>
            <w:tcBorders>
              <w:top w:val="nil"/>
              <w:bottom w:val="nil"/>
            </w:tcBorders>
            <w:shd w:val="clear" w:color="auto" w:fill="auto"/>
            <w:noWrap/>
            <w:vAlign w:val="center"/>
            <w:hideMark/>
          </w:tcPr>
          <w:p w14:paraId="5685B80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42,6</w:t>
            </w:r>
          </w:p>
        </w:tc>
        <w:tc>
          <w:tcPr>
            <w:tcW w:w="450" w:type="pct"/>
            <w:tcBorders>
              <w:top w:val="nil"/>
              <w:bottom w:val="nil"/>
            </w:tcBorders>
            <w:shd w:val="clear" w:color="auto" w:fill="auto"/>
            <w:noWrap/>
            <w:vAlign w:val="center"/>
            <w:hideMark/>
          </w:tcPr>
          <w:p w14:paraId="62F2287B"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42,4</w:t>
            </w:r>
          </w:p>
        </w:tc>
        <w:tc>
          <w:tcPr>
            <w:tcW w:w="451" w:type="pct"/>
            <w:tcBorders>
              <w:top w:val="nil"/>
              <w:bottom w:val="nil"/>
            </w:tcBorders>
            <w:shd w:val="clear" w:color="auto" w:fill="auto"/>
            <w:noWrap/>
            <w:vAlign w:val="center"/>
            <w:hideMark/>
          </w:tcPr>
          <w:p w14:paraId="7F07D025"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42,1</w:t>
            </w:r>
          </w:p>
        </w:tc>
      </w:tr>
      <w:tr w:rsidR="006E272E" w:rsidRPr="0062711C" w14:paraId="6231384B"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628422B4"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Расходи</w:t>
            </w:r>
          </w:p>
        </w:tc>
        <w:tc>
          <w:tcPr>
            <w:tcW w:w="450" w:type="pct"/>
            <w:tcBorders>
              <w:top w:val="nil"/>
            </w:tcBorders>
            <w:shd w:val="clear" w:color="auto" w:fill="auto"/>
            <w:noWrap/>
            <w:vAlign w:val="center"/>
            <w:hideMark/>
          </w:tcPr>
          <w:p w14:paraId="02344D14"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44,8</w:t>
            </w:r>
          </w:p>
        </w:tc>
        <w:tc>
          <w:tcPr>
            <w:tcW w:w="450" w:type="pct"/>
            <w:tcBorders>
              <w:top w:val="nil"/>
            </w:tcBorders>
            <w:shd w:val="clear" w:color="auto" w:fill="auto"/>
            <w:noWrap/>
            <w:vAlign w:val="center"/>
            <w:hideMark/>
          </w:tcPr>
          <w:p w14:paraId="2B7DAB25"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44,9</w:t>
            </w:r>
          </w:p>
        </w:tc>
        <w:tc>
          <w:tcPr>
            <w:tcW w:w="451" w:type="pct"/>
            <w:tcBorders>
              <w:top w:val="nil"/>
            </w:tcBorders>
            <w:shd w:val="clear" w:color="auto" w:fill="auto"/>
            <w:noWrap/>
            <w:vAlign w:val="center"/>
            <w:hideMark/>
          </w:tcPr>
          <w:p w14:paraId="0F1B6ABC"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45,1</w:t>
            </w:r>
          </w:p>
        </w:tc>
        <w:tc>
          <w:tcPr>
            <w:tcW w:w="450" w:type="pct"/>
            <w:tcBorders>
              <w:top w:val="nil"/>
            </w:tcBorders>
            <w:shd w:val="clear" w:color="auto" w:fill="auto"/>
            <w:noWrap/>
            <w:vAlign w:val="center"/>
            <w:hideMark/>
          </w:tcPr>
          <w:p w14:paraId="29DA72EF"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44,6</w:t>
            </w:r>
          </w:p>
        </w:tc>
        <w:tc>
          <w:tcPr>
            <w:tcW w:w="451" w:type="pct"/>
            <w:tcBorders>
              <w:top w:val="nil"/>
            </w:tcBorders>
            <w:shd w:val="clear" w:color="auto" w:fill="auto"/>
            <w:noWrap/>
            <w:vAlign w:val="center"/>
            <w:hideMark/>
          </w:tcPr>
          <w:p w14:paraId="3C77FCFD"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1F3864" w:themeColor="accent1" w:themeShade="80"/>
                <w:sz w:val="18"/>
                <w:szCs w:val="18"/>
                <w:lang w:val="sr-Cyrl-RS"/>
              </w:rPr>
              <w:t>44,4</w:t>
            </w:r>
          </w:p>
        </w:tc>
      </w:tr>
      <w:tr w:rsidR="006E272E" w:rsidRPr="0062711C" w14:paraId="55FA5F28"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154992E7"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Фискални резултат</w:t>
            </w:r>
          </w:p>
        </w:tc>
        <w:tc>
          <w:tcPr>
            <w:tcW w:w="450" w:type="pct"/>
            <w:shd w:val="clear" w:color="auto" w:fill="FFFFFF" w:themeFill="background1"/>
            <w:noWrap/>
            <w:hideMark/>
          </w:tcPr>
          <w:p w14:paraId="429572D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-2,2</w:t>
            </w:r>
          </w:p>
        </w:tc>
        <w:tc>
          <w:tcPr>
            <w:tcW w:w="450" w:type="pct"/>
            <w:shd w:val="clear" w:color="auto" w:fill="FFFFFF" w:themeFill="background1"/>
            <w:noWrap/>
            <w:hideMark/>
          </w:tcPr>
          <w:p w14:paraId="7A63BAE2"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-2,2</w:t>
            </w:r>
          </w:p>
        </w:tc>
        <w:tc>
          <w:tcPr>
            <w:tcW w:w="451" w:type="pct"/>
            <w:shd w:val="clear" w:color="auto" w:fill="FFFFFF" w:themeFill="background1"/>
            <w:noWrap/>
            <w:hideMark/>
          </w:tcPr>
          <w:p w14:paraId="5F0557F3"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-2,5</w:t>
            </w:r>
          </w:p>
        </w:tc>
        <w:tc>
          <w:tcPr>
            <w:tcW w:w="450" w:type="pct"/>
            <w:shd w:val="clear" w:color="auto" w:fill="FFFFFF" w:themeFill="background1"/>
            <w:noWrap/>
            <w:hideMark/>
          </w:tcPr>
          <w:p w14:paraId="6B0BFC30"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-2,3</w:t>
            </w:r>
          </w:p>
        </w:tc>
        <w:tc>
          <w:tcPr>
            <w:tcW w:w="451" w:type="pct"/>
            <w:shd w:val="clear" w:color="auto" w:fill="FFFFFF" w:themeFill="background1"/>
            <w:noWrap/>
            <w:hideMark/>
          </w:tcPr>
          <w:p w14:paraId="45D6A164"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-2,3</w:t>
            </w:r>
          </w:p>
        </w:tc>
      </w:tr>
      <w:tr w:rsidR="006E272E" w:rsidRPr="0062711C" w14:paraId="055797EF"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tcPr>
          <w:p w14:paraId="0121559B"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cstheme="minorHAnsi"/>
                <w:b w:val="0"/>
                <w:color w:val="002060"/>
                <w:sz w:val="18"/>
                <w:szCs w:val="18"/>
                <w:lang w:val="sr-Cyrl-RS"/>
              </w:rPr>
              <w:t>Дуг сектора државе</w:t>
            </w:r>
          </w:p>
        </w:tc>
        <w:tc>
          <w:tcPr>
            <w:tcW w:w="450" w:type="pct"/>
            <w:shd w:val="clear" w:color="auto" w:fill="FFFFFF" w:themeFill="background1"/>
            <w:noWrap/>
          </w:tcPr>
          <w:p w14:paraId="76DDC723"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52,3</w:t>
            </w:r>
          </w:p>
        </w:tc>
        <w:tc>
          <w:tcPr>
            <w:tcW w:w="450" w:type="pct"/>
            <w:shd w:val="clear" w:color="auto" w:fill="FFFFFF" w:themeFill="background1"/>
            <w:noWrap/>
          </w:tcPr>
          <w:p w14:paraId="352D93E3"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52,0</w:t>
            </w:r>
          </w:p>
        </w:tc>
        <w:tc>
          <w:tcPr>
            <w:tcW w:w="451" w:type="pct"/>
            <w:shd w:val="clear" w:color="auto" w:fill="FFFFFF" w:themeFill="background1"/>
            <w:noWrap/>
          </w:tcPr>
          <w:p w14:paraId="308F2862"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51,6</w:t>
            </w:r>
          </w:p>
        </w:tc>
        <w:tc>
          <w:tcPr>
            <w:tcW w:w="450" w:type="pct"/>
            <w:shd w:val="clear" w:color="auto" w:fill="FFFFFF" w:themeFill="background1"/>
            <w:noWrap/>
          </w:tcPr>
          <w:p w14:paraId="7F0D04ED"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51,0</w:t>
            </w:r>
          </w:p>
        </w:tc>
        <w:tc>
          <w:tcPr>
            <w:tcW w:w="451" w:type="pct"/>
            <w:shd w:val="clear" w:color="auto" w:fill="FFFFFF" w:themeFill="background1"/>
            <w:noWrap/>
          </w:tcPr>
          <w:p w14:paraId="3182E352"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50,5</w:t>
            </w:r>
          </w:p>
        </w:tc>
      </w:tr>
      <w:tr w:rsidR="006E272E" w:rsidRPr="0062711C" w14:paraId="5E233A74"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0C6C68D2" w14:textId="77777777" w:rsidR="006E272E" w:rsidRPr="0062711C" w:rsidRDefault="006E272E" w:rsidP="003F1BD3">
            <w:pPr>
              <w:keepNext/>
              <w:widowControl w:val="0"/>
              <w:shd w:val="clear" w:color="auto" w:fill="FFFFFF" w:themeFill="background1"/>
              <w:spacing w:line="276"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Разлика два програма </w:t>
            </w:r>
          </w:p>
        </w:tc>
        <w:tc>
          <w:tcPr>
            <w:tcW w:w="450" w:type="pct"/>
            <w:shd w:val="clear" w:color="auto" w:fill="FFFFFF" w:themeFill="background1"/>
            <w:noWrap/>
            <w:hideMark/>
          </w:tcPr>
          <w:p w14:paraId="35FDEE3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0" w:type="pct"/>
            <w:shd w:val="clear" w:color="auto" w:fill="FFFFFF" w:themeFill="background1"/>
            <w:noWrap/>
            <w:hideMark/>
          </w:tcPr>
          <w:p w14:paraId="69A8C171"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1" w:type="pct"/>
            <w:shd w:val="clear" w:color="auto" w:fill="FFFFFF" w:themeFill="background1"/>
            <w:noWrap/>
            <w:hideMark/>
          </w:tcPr>
          <w:p w14:paraId="0A1209DC"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0" w:type="pct"/>
            <w:shd w:val="clear" w:color="auto" w:fill="FFFFFF" w:themeFill="background1"/>
            <w:noWrap/>
            <w:hideMark/>
          </w:tcPr>
          <w:p w14:paraId="7110EF6C"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c>
          <w:tcPr>
            <w:tcW w:w="451" w:type="pct"/>
            <w:shd w:val="clear" w:color="auto" w:fill="FFFFFF" w:themeFill="background1"/>
            <w:noWrap/>
            <w:hideMark/>
          </w:tcPr>
          <w:p w14:paraId="31BDEC6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r w:rsidR="006E272E" w:rsidRPr="0062711C" w14:paraId="41E89139"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shd w:val="clear" w:color="auto" w:fill="FFFFFF" w:themeFill="background1"/>
            <w:noWrap/>
            <w:hideMark/>
          </w:tcPr>
          <w:p w14:paraId="08866AD5"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Приходи</w:t>
            </w:r>
          </w:p>
        </w:tc>
        <w:tc>
          <w:tcPr>
            <w:tcW w:w="450" w:type="pct"/>
            <w:shd w:val="clear" w:color="auto" w:fill="FFFFFF" w:themeFill="background1"/>
            <w:noWrap/>
            <w:hideMark/>
          </w:tcPr>
          <w:p w14:paraId="27BD1611"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0,1</w:t>
            </w:r>
          </w:p>
        </w:tc>
        <w:tc>
          <w:tcPr>
            <w:tcW w:w="450" w:type="pct"/>
            <w:shd w:val="clear" w:color="auto" w:fill="FFFFFF" w:themeFill="background1"/>
            <w:noWrap/>
            <w:hideMark/>
          </w:tcPr>
          <w:p w14:paraId="1C0455DB"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0,1</w:t>
            </w:r>
          </w:p>
        </w:tc>
        <w:tc>
          <w:tcPr>
            <w:tcW w:w="451" w:type="pct"/>
            <w:shd w:val="clear" w:color="auto" w:fill="FFFFFF" w:themeFill="background1"/>
            <w:noWrap/>
            <w:hideMark/>
          </w:tcPr>
          <w:p w14:paraId="6D5E7791"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0,1</w:t>
            </w:r>
          </w:p>
        </w:tc>
        <w:tc>
          <w:tcPr>
            <w:tcW w:w="450" w:type="pct"/>
            <w:shd w:val="clear" w:color="auto" w:fill="FFFFFF" w:themeFill="background1"/>
            <w:noWrap/>
            <w:hideMark/>
          </w:tcPr>
          <w:p w14:paraId="5C1DDAAD"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0,1</w:t>
            </w:r>
          </w:p>
        </w:tc>
        <w:tc>
          <w:tcPr>
            <w:tcW w:w="451" w:type="pct"/>
            <w:tcBorders>
              <w:top w:val="nil"/>
              <w:bottom w:val="nil"/>
            </w:tcBorders>
            <w:shd w:val="clear" w:color="auto" w:fill="auto"/>
            <w:noWrap/>
            <w:vAlign w:val="center"/>
            <w:hideMark/>
          </w:tcPr>
          <w:p w14:paraId="005B195C"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w:t>
            </w:r>
          </w:p>
        </w:tc>
      </w:tr>
      <w:tr w:rsidR="006E272E" w:rsidRPr="0062711C" w14:paraId="792F3900"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tcBorders>
              <w:bottom w:val="nil"/>
            </w:tcBorders>
            <w:shd w:val="clear" w:color="auto" w:fill="FFFFFF" w:themeFill="background1"/>
            <w:noWrap/>
            <w:hideMark/>
          </w:tcPr>
          <w:p w14:paraId="12181765"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Расходи</w:t>
            </w:r>
          </w:p>
        </w:tc>
        <w:tc>
          <w:tcPr>
            <w:tcW w:w="450" w:type="pct"/>
            <w:tcBorders>
              <w:bottom w:val="nil"/>
            </w:tcBorders>
            <w:shd w:val="clear" w:color="auto" w:fill="FFFFFF" w:themeFill="background1"/>
            <w:noWrap/>
            <w:hideMark/>
          </w:tcPr>
          <w:p w14:paraId="41463DD5"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-0,5</w:t>
            </w:r>
          </w:p>
        </w:tc>
        <w:tc>
          <w:tcPr>
            <w:tcW w:w="450" w:type="pct"/>
            <w:tcBorders>
              <w:bottom w:val="nil"/>
            </w:tcBorders>
            <w:shd w:val="clear" w:color="auto" w:fill="FFFFFF" w:themeFill="background1"/>
            <w:noWrap/>
            <w:hideMark/>
          </w:tcPr>
          <w:p w14:paraId="3EBEDA70"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0,1</w:t>
            </w:r>
          </w:p>
        </w:tc>
        <w:tc>
          <w:tcPr>
            <w:tcW w:w="451" w:type="pct"/>
            <w:tcBorders>
              <w:bottom w:val="nil"/>
            </w:tcBorders>
            <w:shd w:val="clear" w:color="auto" w:fill="FFFFFF" w:themeFill="background1"/>
            <w:noWrap/>
            <w:hideMark/>
          </w:tcPr>
          <w:p w14:paraId="3ACECE29"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1,1</w:t>
            </w:r>
          </w:p>
        </w:tc>
        <w:tc>
          <w:tcPr>
            <w:tcW w:w="450" w:type="pct"/>
            <w:tcBorders>
              <w:bottom w:val="nil"/>
            </w:tcBorders>
            <w:shd w:val="clear" w:color="auto" w:fill="FFFFFF" w:themeFill="background1"/>
            <w:noWrap/>
            <w:hideMark/>
          </w:tcPr>
          <w:p w14:paraId="2AC7BBB6"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0,8</w:t>
            </w:r>
          </w:p>
        </w:tc>
        <w:tc>
          <w:tcPr>
            <w:tcW w:w="451" w:type="pct"/>
            <w:tcBorders>
              <w:top w:val="nil"/>
            </w:tcBorders>
            <w:shd w:val="clear" w:color="auto" w:fill="auto"/>
            <w:noWrap/>
            <w:vAlign w:val="center"/>
            <w:hideMark/>
          </w:tcPr>
          <w:p w14:paraId="4B78ED2A"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r w:rsidRPr="0062711C">
              <w:rPr>
                <w:rFonts w:cstheme="minorHAnsi"/>
                <w:color w:val="002060"/>
                <w:sz w:val="18"/>
                <w:szCs w:val="18"/>
                <w:lang w:val="sr-Cyrl-RS"/>
              </w:rPr>
              <w:t>-</w:t>
            </w:r>
          </w:p>
        </w:tc>
      </w:tr>
      <w:tr w:rsidR="006E272E" w:rsidRPr="0062711C" w14:paraId="0D1C9380" w14:textId="77777777" w:rsidTr="005226A8">
        <w:trPr>
          <w:trHeight w:val="241"/>
        </w:trPr>
        <w:tc>
          <w:tcPr>
            <w:cnfStyle w:val="001000000000" w:firstRow="0" w:lastRow="0" w:firstColumn="1" w:lastColumn="0" w:oddVBand="0" w:evenVBand="0" w:oddHBand="0" w:evenHBand="0" w:firstRowFirstColumn="0" w:firstRowLastColumn="0" w:lastRowFirstColumn="0" w:lastRowLastColumn="0"/>
            <w:tcW w:w="2747" w:type="pct"/>
            <w:tcBorders>
              <w:top w:val="nil"/>
              <w:bottom w:val="nil"/>
            </w:tcBorders>
            <w:shd w:val="clear" w:color="auto" w:fill="FFFFFF" w:themeFill="background1"/>
            <w:noWrap/>
            <w:hideMark/>
          </w:tcPr>
          <w:p w14:paraId="23AA9F8D"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eastAsia="Times New Roman" w:cstheme="minorHAnsi"/>
                <w:b w:val="0"/>
                <w:color w:val="002060"/>
                <w:sz w:val="18"/>
                <w:szCs w:val="18"/>
                <w:lang w:val="sr-Cyrl-RS"/>
              </w:rPr>
              <w:t>Фискални резултат</w:t>
            </w:r>
          </w:p>
        </w:tc>
        <w:tc>
          <w:tcPr>
            <w:tcW w:w="450" w:type="pct"/>
            <w:tcBorders>
              <w:top w:val="nil"/>
              <w:bottom w:val="nil"/>
            </w:tcBorders>
            <w:shd w:val="clear" w:color="auto" w:fill="FFFFFF" w:themeFill="background1"/>
            <w:noWrap/>
            <w:hideMark/>
          </w:tcPr>
          <w:p w14:paraId="63B7A316"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0,6</w:t>
            </w:r>
          </w:p>
        </w:tc>
        <w:tc>
          <w:tcPr>
            <w:tcW w:w="450" w:type="pct"/>
            <w:tcBorders>
              <w:top w:val="nil"/>
              <w:bottom w:val="nil"/>
            </w:tcBorders>
            <w:shd w:val="clear" w:color="auto" w:fill="FFFFFF" w:themeFill="background1"/>
            <w:noWrap/>
            <w:hideMark/>
          </w:tcPr>
          <w:p w14:paraId="16F86C0B"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0,0</w:t>
            </w:r>
          </w:p>
        </w:tc>
        <w:tc>
          <w:tcPr>
            <w:tcW w:w="451" w:type="pct"/>
            <w:tcBorders>
              <w:top w:val="nil"/>
              <w:bottom w:val="nil"/>
            </w:tcBorders>
            <w:shd w:val="clear" w:color="auto" w:fill="FFFFFF" w:themeFill="background1"/>
            <w:noWrap/>
            <w:hideMark/>
          </w:tcPr>
          <w:p w14:paraId="5355AECC"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-1,0</w:t>
            </w:r>
          </w:p>
        </w:tc>
        <w:tc>
          <w:tcPr>
            <w:tcW w:w="450" w:type="pct"/>
            <w:tcBorders>
              <w:top w:val="nil"/>
              <w:bottom w:val="nil"/>
            </w:tcBorders>
            <w:shd w:val="clear" w:color="auto" w:fill="FFFFFF" w:themeFill="background1"/>
            <w:noWrap/>
            <w:hideMark/>
          </w:tcPr>
          <w:p w14:paraId="191FA8EB"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bCs/>
                <w:color w:val="002060"/>
                <w:sz w:val="18"/>
                <w:szCs w:val="18"/>
                <w:lang w:val="sr-Cyrl-RS"/>
              </w:rPr>
              <w:t>-0,8</w:t>
            </w:r>
          </w:p>
        </w:tc>
        <w:tc>
          <w:tcPr>
            <w:tcW w:w="451" w:type="pct"/>
            <w:tcBorders>
              <w:bottom w:val="nil"/>
            </w:tcBorders>
            <w:shd w:val="clear" w:color="auto" w:fill="FFFFFF" w:themeFill="background1"/>
            <w:noWrap/>
            <w:hideMark/>
          </w:tcPr>
          <w:p w14:paraId="6EA00CEB" w14:textId="77777777" w:rsidR="006E272E" w:rsidRPr="0062711C" w:rsidRDefault="006E272E" w:rsidP="003F1BD3">
            <w:pPr>
              <w:keepNext/>
              <w:widowControl w:val="0"/>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p>
        </w:tc>
      </w:tr>
      <w:tr w:rsidR="006E272E" w:rsidRPr="0062711C" w14:paraId="3E6C78DA" w14:textId="77777777" w:rsidTr="005226A8">
        <w:trPr>
          <w:cnfStyle w:val="000000100000" w:firstRow="0" w:lastRow="0" w:firstColumn="0" w:lastColumn="0" w:oddVBand="0" w:evenVBand="0" w:oddHBand="1"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2747" w:type="pct"/>
            <w:tcBorders>
              <w:top w:val="nil"/>
              <w:bottom w:val="single" w:sz="4" w:space="0" w:color="002060"/>
            </w:tcBorders>
            <w:shd w:val="clear" w:color="auto" w:fill="FFFFFF" w:themeFill="background1"/>
            <w:noWrap/>
          </w:tcPr>
          <w:p w14:paraId="1C53605B" w14:textId="77777777" w:rsidR="006E272E" w:rsidRPr="0062711C" w:rsidRDefault="006E272E" w:rsidP="003F1BD3">
            <w:pPr>
              <w:keepNext/>
              <w:widowControl w:val="0"/>
              <w:shd w:val="clear" w:color="auto" w:fill="FFFFFF" w:themeFill="background1"/>
              <w:spacing w:line="276" w:lineRule="auto"/>
              <w:rPr>
                <w:rFonts w:eastAsia="Times New Roman" w:cstheme="minorHAnsi"/>
                <w:b w:val="0"/>
                <w:color w:val="002060"/>
                <w:sz w:val="18"/>
                <w:szCs w:val="18"/>
                <w:lang w:val="sr-Cyrl-RS"/>
              </w:rPr>
            </w:pPr>
            <w:r w:rsidRPr="0062711C">
              <w:rPr>
                <w:rFonts w:cstheme="minorHAnsi"/>
                <w:b w:val="0"/>
                <w:color w:val="002060"/>
                <w:sz w:val="18"/>
                <w:szCs w:val="18"/>
                <w:lang w:val="sr-Cyrl-RS"/>
              </w:rPr>
              <w:t>Дуг сектора државе</w:t>
            </w:r>
          </w:p>
        </w:tc>
        <w:tc>
          <w:tcPr>
            <w:tcW w:w="450" w:type="pct"/>
            <w:tcBorders>
              <w:top w:val="nil"/>
              <w:bottom w:val="single" w:sz="4" w:space="0" w:color="002060"/>
            </w:tcBorders>
            <w:shd w:val="clear" w:color="auto" w:fill="FFFFFF" w:themeFill="background1"/>
            <w:noWrap/>
          </w:tcPr>
          <w:p w14:paraId="45A44824"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-1,0</w:t>
            </w:r>
          </w:p>
        </w:tc>
        <w:tc>
          <w:tcPr>
            <w:tcW w:w="450" w:type="pct"/>
            <w:tcBorders>
              <w:top w:val="nil"/>
              <w:bottom w:val="single" w:sz="4" w:space="0" w:color="002060"/>
            </w:tcBorders>
            <w:shd w:val="clear" w:color="auto" w:fill="FFFFFF" w:themeFill="background1"/>
            <w:noWrap/>
          </w:tcPr>
          <w:p w14:paraId="4A70790D"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0,3</w:t>
            </w:r>
          </w:p>
        </w:tc>
        <w:tc>
          <w:tcPr>
            <w:tcW w:w="451" w:type="pct"/>
            <w:tcBorders>
              <w:top w:val="nil"/>
              <w:bottom w:val="single" w:sz="4" w:space="0" w:color="002060"/>
            </w:tcBorders>
            <w:shd w:val="clear" w:color="auto" w:fill="FFFFFF" w:themeFill="background1"/>
            <w:noWrap/>
          </w:tcPr>
          <w:p w14:paraId="57E0B7BF"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0,9</w:t>
            </w:r>
          </w:p>
        </w:tc>
        <w:tc>
          <w:tcPr>
            <w:tcW w:w="450" w:type="pct"/>
            <w:tcBorders>
              <w:top w:val="nil"/>
              <w:bottom w:val="single" w:sz="4" w:space="0" w:color="002060"/>
            </w:tcBorders>
            <w:shd w:val="clear" w:color="auto" w:fill="FFFFFF" w:themeFill="background1"/>
            <w:noWrap/>
          </w:tcPr>
          <w:p w14:paraId="62F5F3ED"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bCs/>
                <w:color w:val="002060"/>
                <w:sz w:val="18"/>
                <w:szCs w:val="18"/>
                <w:lang w:val="sr-Cyrl-RS"/>
              </w:rPr>
            </w:pPr>
            <w:r w:rsidRPr="0062711C">
              <w:rPr>
                <w:rFonts w:eastAsia="Times New Roman" w:cstheme="minorHAnsi"/>
                <w:bCs/>
                <w:color w:val="002060"/>
                <w:sz w:val="18"/>
                <w:szCs w:val="18"/>
                <w:lang w:val="sr-Cyrl-RS"/>
              </w:rPr>
              <w:t>1,0</w:t>
            </w:r>
          </w:p>
        </w:tc>
        <w:tc>
          <w:tcPr>
            <w:tcW w:w="451" w:type="pct"/>
            <w:tcBorders>
              <w:top w:val="nil"/>
              <w:bottom w:val="single" w:sz="4" w:space="0" w:color="002060"/>
            </w:tcBorders>
            <w:shd w:val="clear" w:color="auto" w:fill="FFFFFF" w:themeFill="background1"/>
            <w:noWrap/>
          </w:tcPr>
          <w:p w14:paraId="109BA743" w14:textId="77777777" w:rsidR="006E272E" w:rsidRPr="0062711C" w:rsidRDefault="006E272E" w:rsidP="003F1BD3">
            <w:pPr>
              <w:keepNext/>
              <w:widowControl w:val="0"/>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2060"/>
                <w:sz w:val="18"/>
                <w:szCs w:val="18"/>
                <w:lang w:val="sr-Cyrl-RS"/>
              </w:rPr>
            </w:pPr>
          </w:p>
        </w:tc>
      </w:tr>
    </w:tbl>
    <w:p w14:paraId="62650FEC" w14:textId="77777777" w:rsidR="006E272E" w:rsidRPr="0062711C" w:rsidRDefault="006E272E" w:rsidP="003F1BD3">
      <w:pPr>
        <w:spacing w:before="40" w:after="200" w:line="276" w:lineRule="auto"/>
        <w:rPr>
          <w:rFonts w:cstheme="minorHAnsi"/>
          <w:sz w:val="16"/>
          <w:szCs w:val="20"/>
          <w:lang w:val="sr-Cyrl-RS"/>
        </w:rPr>
      </w:pPr>
      <w:r w:rsidRPr="0062711C">
        <w:rPr>
          <w:rFonts w:eastAsia="Calibri" w:cstheme="minorHAnsi"/>
          <w:bCs/>
          <w:sz w:val="16"/>
          <w:szCs w:val="20"/>
          <w:lang w:val="sr-Cyrl-RS" w:eastAsia="ja-JP"/>
        </w:rPr>
        <w:t xml:space="preserve">Извор: </w:t>
      </w:r>
      <w:r w:rsidRPr="0062711C">
        <w:rPr>
          <w:rFonts w:cstheme="minorHAnsi"/>
          <w:sz w:val="16"/>
          <w:szCs w:val="20"/>
          <w:lang w:val="sr-Cyrl-RS"/>
        </w:rPr>
        <w:t>Министарство финансија</w:t>
      </w:r>
    </w:p>
    <w:p w14:paraId="5A20AA92" w14:textId="77777777" w:rsidR="006E272E" w:rsidRPr="0062711C" w:rsidRDefault="006E272E" w:rsidP="003F1BD3">
      <w:pPr>
        <w:spacing w:after="200" w:line="276" w:lineRule="auto"/>
        <w:rPr>
          <w:rFonts w:cstheme="minorHAnsi"/>
          <w:bCs/>
          <w:szCs w:val="20"/>
          <w:lang w:val="sr-Cyrl-RS"/>
        </w:rPr>
        <w:sectPr w:rsidR="006E272E" w:rsidRPr="0062711C" w:rsidSect="00F45C01">
          <w:type w:val="continuous"/>
          <w:pgSz w:w="12240" w:h="15840" w:code="1"/>
          <w:pgMar w:top="1440" w:right="1440" w:bottom="1440" w:left="1440" w:header="720" w:footer="720" w:gutter="0"/>
          <w:cols w:space="720"/>
          <w:docGrid w:linePitch="360"/>
        </w:sectPr>
      </w:pPr>
    </w:p>
    <w:bookmarkEnd w:id="62"/>
    <w:bookmarkEnd w:id="63"/>
    <w:bookmarkEnd w:id="64"/>
    <w:bookmarkEnd w:id="65"/>
    <w:p w14:paraId="66E4A437" w14:textId="77777777" w:rsidR="000248EF" w:rsidRPr="0062711C" w:rsidRDefault="000248EF" w:rsidP="003F1BD3">
      <w:pPr>
        <w:rPr>
          <w:lang w:val="sr-Cyrl-RS"/>
        </w:rPr>
      </w:pPr>
      <w:r w:rsidRPr="0062711C">
        <w:rPr>
          <w:rFonts w:eastAsia="Calibri" w:cstheme="minorHAnsi"/>
          <w:b/>
          <w:color w:val="2F5496" w:themeColor="accent1" w:themeShade="BF"/>
          <w:sz w:val="22"/>
          <w:szCs w:val="20"/>
          <w:lang w:val="sr-Cyrl-RS" w:eastAsia="ja-JP"/>
        </w:rPr>
        <w:t>Структурне мере за унапређење стабилности и одрживости јавних финансија</w:t>
      </w:r>
      <w:r w:rsidRPr="0062711C">
        <w:rPr>
          <w:rFonts w:eastAsia="Calibri" w:cstheme="minorHAnsi"/>
          <w:b/>
          <w:color w:val="2F5496" w:themeColor="accent1" w:themeShade="BF"/>
          <w:sz w:val="22"/>
          <w:szCs w:val="20"/>
          <w:vertAlign w:val="superscript"/>
          <w:lang w:val="sr-Cyrl-RS" w:eastAsia="ja-JP"/>
        </w:rPr>
        <w:footnoteReference w:id="4"/>
      </w:r>
    </w:p>
    <w:p w14:paraId="6C7CC96A" w14:textId="42D86028" w:rsidR="000248EF" w:rsidRPr="0062711C" w:rsidRDefault="000248EF" w:rsidP="00953528">
      <w:pPr>
        <w:rPr>
          <w:rFonts w:ascii="Calibri" w:eastAsia="Calibri" w:hAnsi="Calibri" w:cs="Calibri"/>
          <w:color w:val="44546A"/>
          <w:spacing w:val="-2"/>
          <w:szCs w:val="20"/>
          <w:lang w:val="sr-Cyrl-RS" w:eastAsia="ja-JP"/>
        </w:rPr>
      </w:pPr>
      <w:r w:rsidRPr="0062711C">
        <w:rPr>
          <w:rFonts w:ascii="Calibri" w:eastAsia="Calibri" w:hAnsi="Calibri" w:cs="Calibri"/>
          <w:color w:val="44546A"/>
          <w:spacing w:val="-2"/>
          <w:szCs w:val="20"/>
          <w:lang w:val="sr-Cyrl-RS" w:eastAsia="ja-JP"/>
        </w:rPr>
        <w:t xml:space="preserve">Након неизвесне и турбулентне 2022. године коју је обележила криза у Украјини уневши неизвесност у све економске токове, у 2023. години Република Србија је остварила макроекономске резултате који су се показали повољнијим него што се првобитно очекивало и то упркос бројним изазовима из окружења и наставку и продубљењу геополитичких криза. У оваквим ванредним околностима Република Србија се налази пред трећом ревизијом аранжмана са ММФ, који је склопљен у децембру 2022. у трајању од две године. Циљеви програма су: 1) очување макроекономске и финансијске стабилности прилагођавањем политика на настале економске шокове; 2) јачање отпорности привреде на енергетске шокове спровођењем одговарајућих енергетских политика и реформи за суочавање са изазовима домаћег енергетског сектора, истовремено штитећи најугроженије; 3) давање подстицаја бржем, зеленом и инклузивном одрживом расту у средњем року спровођењем свеобухватних структурних реформи. Циљеви програма су компатибилни с тежњама Републике </w:t>
      </w:r>
      <w:r w:rsidRPr="0062711C">
        <w:rPr>
          <w:rFonts w:ascii="Calibri" w:eastAsia="Calibri" w:hAnsi="Calibri" w:cs="Calibri"/>
          <w:color w:val="44546A"/>
          <w:spacing w:val="-2"/>
          <w:szCs w:val="20"/>
          <w:lang w:val="sr-Cyrl-RS" w:eastAsia="ja-JP"/>
        </w:rPr>
        <w:t xml:space="preserve">Србије да се придружи ЕУ. У току писања овог документа најављен је </w:t>
      </w:r>
      <w:r w:rsidR="00F42DE0" w:rsidRPr="0062711C">
        <w:rPr>
          <w:rFonts w:ascii="Calibri" w:eastAsia="Calibri" w:hAnsi="Calibri" w:cs="Calibri"/>
          <w:color w:val="44546A"/>
          <w:spacing w:val="-2"/>
          <w:szCs w:val="20"/>
          <w:lang w:val="sr-Cyrl-RS" w:eastAsia="ja-JP"/>
        </w:rPr>
        <w:t>наставак сарадње</w:t>
      </w:r>
      <w:r w:rsidRPr="0062711C">
        <w:rPr>
          <w:rFonts w:ascii="Calibri" w:eastAsia="Calibri" w:hAnsi="Calibri" w:cs="Calibri"/>
          <w:color w:val="44546A"/>
          <w:spacing w:val="-2"/>
          <w:szCs w:val="20"/>
          <w:lang w:val="sr-Cyrl-RS" w:eastAsia="ja-JP"/>
        </w:rPr>
        <w:t xml:space="preserve"> са ММФ (</w:t>
      </w:r>
      <w:r w:rsidR="00F42DE0" w:rsidRPr="0062711C">
        <w:rPr>
          <w:rFonts w:ascii="Calibri" w:eastAsia="Calibri" w:hAnsi="Calibri" w:cs="Calibri"/>
          <w:color w:val="44546A"/>
          <w:spacing w:val="-2"/>
          <w:szCs w:val="20"/>
          <w:lang w:val="sr-Cyrl-RS" w:eastAsia="ja-JP"/>
        </w:rPr>
        <w:t xml:space="preserve">постојећи аранжман </w:t>
      </w:r>
      <w:r w:rsidRPr="0062711C">
        <w:rPr>
          <w:rFonts w:ascii="Calibri" w:eastAsia="Calibri" w:hAnsi="Calibri" w:cs="Calibri"/>
          <w:color w:val="44546A"/>
          <w:spacing w:val="-2"/>
          <w:szCs w:val="20"/>
          <w:lang w:val="sr-Cyrl-RS" w:eastAsia="ja-JP"/>
        </w:rPr>
        <w:t>истиче крајем ове године).</w:t>
      </w:r>
    </w:p>
    <w:p w14:paraId="0A47D5E1" w14:textId="3E573492" w:rsidR="000248EF" w:rsidRPr="0062711C" w:rsidRDefault="000248EF" w:rsidP="003F1BD3">
      <w:pPr>
        <w:spacing w:after="280"/>
        <w:rPr>
          <w:rFonts w:ascii="Calibri" w:eastAsia="Calibri" w:hAnsi="Calibri" w:cs="Calibri"/>
          <w:color w:val="44546A"/>
          <w:szCs w:val="20"/>
          <w:lang w:val="sr-Cyrl-RS" w:eastAsia="ja-JP"/>
        </w:rPr>
      </w:pPr>
      <w:r w:rsidRPr="0062711C">
        <w:rPr>
          <w:rFonts w:ascii="Calibri" w:eastAsia="Calibri" w:hAnsi="Calibri" w:cs="Calibri"/>
          <w:color w:val="44546A"/>
          <w:spacing w:val="-2"/>
          <w:szCs w:val="20"/>
          <w:lang w:val="sr-Cyrl-RS"/>
        </w:rPr>
        <w:t>Нови сет фискалних правила саставни је део Закона о изменама и допунама Закона о буџетском систему, усвојеног у децембру 2022. године</w:t>
      </w:r>
      <w:r w:rsidRPr="0062711C">
        <w:rPr>
          <w:rFonts w:ascii="Calibri" w:eastAsia="Calibri" w:hAnsi="Calibri" w:cs="Calibri"/>
          <w:color w:val="44546A"/>
          <w:szCs w:val="20"/>
          <w:lang w:val="sr-Cyrl-RS" w:eastAsia="ja-JP"/>
        </w:rPr>
        <w:t>. Опште фискално правило којим се одређује ниво дефицита ће се примењивати од доношења буџета за 2029. годину, а до тада ће се примењивати циљеви утврђени Фискалном стратегијом. Ово је потребно услед новог инвестиционог циклуса у наредном средњорочном периоду (програм „</w:t>
      </w:r>
      <w:r w:rsidR="00F42DE0" w:rsidRPr="0062711C">
        <w:rPr>
          <w:rFonts w:ascii="Calibri" w:eastAsia="Calibri" w:hAnsi="Calibri" w:cs="Calibri"/>
          <w:color w:val="44546A"/>
          <w:szCs w:val="20"/>
          <w:lang w:val="sr-Cyrl-RS" w:eastAsia="ja-JP"/>
        </w:rPr>
        <w:t>Скок у будућност – Србија 2027</w:t>
      </w:r>
      <w:r w:rsidR="000B4AC5" w:rsidRPr="0062711C">
        <w:rPr>
          <w:rFonts w:ascii="Calibri" w:eastAsia="Calibri" w:hAnsi="Calibri" w:cs="Calibri"/>
          <w:color w:val="44546A"/>
          <w:szCs w:val="20"/>
          <w:lang w:val="sr-Cyrl-RS" w:eastAsia="ja-JP"/>
        </w:rPr>
        <w:t>”</w:t>
      </w:r>
      <w:r w:rsidRPr="0062711C">
        <w:rPr>
          <w:rFonts w:ascii="Calibri" w:eastAsia="Calibri" w:hAnsi="Calibri" w:cs="Calibri"/>
          <w:color w:val="44546A"/>
          <w:szCs w:val="20"/>
          <w:lang w:val="sr-Cyrl-RS" w:eastAsia="ja-JP"/>
        </w:rPr>
        <w:t xml:space="preserve">), којим су предвиђена значајна нова улагања у саобраћајну инфраструктуру, рударство, енергетику, пољопривреду, здравство, образовање, културу, заштиту животне средине, регионални развој </w:t>
      </w:r>
      <w:r w:rsidR="003F5D06" w:rsidRPr="0062711C">
        <w:rPr>
          <w:rFonts w:ascii="Calibri" w:eastAsia="Calibri" w:hAnsi="Calibri" w:cs="Calibri"/>
          <w:color w:val="44546A"/>
          <w:szCs w:val="20"/>
          <w:lang w:val="sr-Cyrl-RS" w:eastAsia="ja-JP"/>
        </w:rPr>
        <w:t>итд.</w:t>
      </w:r>
      <w:r w:rsidRPr="0062711C">
        <w:rPr>
          <w:rFonts w:ascii="Calibri" w:eastAsia="Calibri" w:hAnsi="Calibri" w:cs="Calibri"/>
          <w:color w:val="44546A"/>
          <w:szCs w:val="20"/>
          <w:lang w:val="sr-Cyrl-RS" w:eastAsia="ja-JP"/>
        </w:rPr>
        <w:t>, Програмом ће се спровести свеобухватна модернизација државе и повећати животни стандард грађана, истовремено обезбеђујући више стопе раста БДП. Посебна фискална правила остају на снази.</w:t>
      </w:r>
    </w:p>
    <w:p w14:paraId="192C367C" w14:textId="77777777" w:rsidR="000248EF" w:rsidRPr="0062711C" w:rsidRDefault="000248EF" w:rsidP="003F1BD3">
      <w:pPr>
        <w:spacing w:after="280"/>
        <w:rPr>
          <w:rFonts w:ascii="Calibri" w:eastAsia="Calibri" w:hAnsi="Calibri" w:cs="Calibri"/>
          <w:color w:val="44546A"/>
          <w:szCs w:val="20"/>
          <w:lang w:val="sr-Cyrl-RS" w:eastAsia="ja-JP"/>
        </w:rPr>
        <w:sectPr w:rsidR="000248EF" w:rsidRPr="0062711C" w:rsidSect="00F45C01">
          <w:footerReference w:type="default" r:id="rId166"/>
          <w:headerReference w:type="first" r:id="rId167"/>
          <w:footerReference w:type="first" r:id="rId168"/>
          <w:type w:val="continuous"/>
          <w:pgSz w:w="12240" w:h="15840" w:code="1"/>
          <w:pgMar w:top="1440" w:right="1440" w:bottom="1440" w:left="1440" w:header="720" w:footer="720" w:gutter="0"/>
          <w:cols w:num="2" w:space="720"/>
          <w:titlePg/>
          <w:docGrid w:linePitch="360"/>
          <w15:footnoteColumns w:val="1"/>
        </w:sectPr>
      </w:pPr>
    </w:p>
    <w:p w14:paraId="16F0CBCB" w14:textId="77777777" w:rsidR="000248EF" w:rsidRPr="0062711C" w:rsidRDefault="000248EF">
      <w:pPr>
        <w:jc w:val="left"/>
        <w:rPr>
          <w:rFonts w:ascii="Calibri" w:eastAsia="Calibri" w:hAnsi="Calibri" w:cs="Calibri"/>
          <w:color w:val="44546A"/>
          <w:szCs w:val="20"/>
          <w:lang w:val="sr-Cyrl-RS" w:eastAsia="ja-JP"/>
        </w:rPr>
      </w:pPr>
      <w:r w:rsidRPr="0062711C">
        <w:rPr>
          <w:rFonts w:ascii="Calibri" w:eastAsia="Calibri" w:hAnsi="Calibri" w:cs="Calibri"/>
          <w:color w:val="44546A"/>
          <w:szCs w:val="20"/>
          <w:lang w:val="sr-Cyrl-RS" w:eastAsia="ja-JP"/>
        </w:rPr>
        <w:br w:type="page"/>
      </w:r>
    </w:p>
    <w:p w14:paraId="2EC6D622" w14:textId="77777777" w:rsidR="000248EF" w:rsidRPr="0062711C" w:rsidRDefault="000248EF" w:rsidP="00953528">
      <w:pPr>
        <w:rPr>
          <w:rFonts w:ascii="Calibri" w:eastAsia="Calibri" w:hAnsi="Calibri" w:cs="Calibri"/>
          <w:color w:val="44546A"/>
          <w:szCs w:val="20"/>
          <w:lang w:val="sr-Cyrl-RS" w:eastAsia="ja-JP"/>
        </w:rPr>
      </w:pPr>
      <w:r w:rsidRPr="0062711C">
        <w:rPr>
          <w:rFonts w:ascii="Calibri" w:eastAsia="Calibri" w:hAnsi="Calibri" w:cs="Calibri"/>
          <w:color w:val="44546A"/>
          <w:szCs w:val="20"/>
          <w:lang w:val="sr-Cyrl-RS" w:eastAsia="ja-JP"/>
        </w:rPr>
        <w:lastRenderedPageBreak/>
        <w:t xml:space="preserve">У наредном периоду очекује се наставак реформи у области запошљавања, управљања кадровима и система плата у сектору државе. Циљ фискалне политике у средњем року је задржавање расхода за запослене на одрживом нивоу, уз адекватну структуру запослених, како би се обезбедио већи квалитет пружених услуга. Постојећи систем запошљавања, којим руководи Владина Комисија за давање сагласности за ново запошљавање и додатно радно ангажовање код корисника јавних средстава наставиће да функционише у прелазном периоду, односно све док нови систем не буде у потпуности оперативан. Крајем 2020. године усвојене су измене Закона о буџетском систему како би било омогућено да у прелазном периоду институције могу да ангажују нова лица до нивоа од 70% оних који напуштају институцију или одлазе у пензију, док је дозвола Комисије потребна уколико број новозапослених пређе 70%. Смисао ове мере је да се обезбеди већа флексибилност у запошљавању на нивоу самих институција, у складу с њиховим потребама за новим кадровима. Такође, постављен је и лимит од 1% за повећање укупног броја запослених на неодређено време у односу на ниво с краја 2020. године. Централни информациони систем за обрачун примања запослених у јавном сектору „Искра” тренутно обухвата све директне кориснике буџета, институције из области културе, правосуђа, рада и социјалне заштите и просвете (осим установа вишег и високог образовања), а почетком ове године укључене су институције из области здравства, док је за јединице локалне самоуправе са индиректним корисницима (предшколске установе, установе културе, спорта и социјалне заштите) овај процес у току и очекује се да буде завршен до краја године. Суштина овог система је боље планирање, извршење и контрола расхода за плате запослених, већа транспарентност и боље управљање људским ресурсима у условима све јаче конкуренције из приватног сектора, што има негативан утицај на привлачење и задржавање запослених у јавном сектору, поготово имајући у виду атрактивност зарада у приватном сектору, што може довести до значајног одлива кадрова уколико се ове реформе не спроведу. Системом ће бити обухваћено преко 450.000 запослених у јавном сектору, а ван система у овој фази ће остати само запослени у </w:t>
      </w:r>
      <w:r w:rsidRPr="0062711C">
        <w:rPr>
          <w:rFonts w:ascii="Calibri" w:eastAsia="Calibri" w:hAnsi="Calibri" w:cs="Calibri"/>
          <w:color w:val="44546A"/>
          <w:szCs w:val="20"/>
          <w:lang w:val="sr-Cyrl-RS" w:eastAsia="ja-JP"/>
        </w:rPr>
        <w:t>сектору одбране, безбедности и унутрашњих послова и институције вишег и високог образовања. Планирано је да се и ове институције укључе у систем до 2027. године.</w:t>
      </w:r>
    </w:p>
    <w:p w14:paraId="1D119059" w14:textId="39332480" w:rsidR="000248EF" w:rsidRPr="0062711C" w:rsidRDefault="000248EF" w:rsidP="00953528">
      <w:pPr>
        <w:rPr>
          <w:rFonts w:ascii="Calibri" w:eastAsia="Calibri" w:hAnsi="Calibri" w:cs="Calibri"/>
          <w:szCs w:val="20"/>
          <w:lang w:val="sr-Cyrl-RS" w:eastAsia="ja-JP"/>
        </w:rPr>
      </w:pPr>
      <w:r w:rsidRPr="0062711C">
        <w:rPr>
          <w:rFonts w:ascii="Calibri" w:eastAsia="Calibri" w:hAnsi="Calibri" w:cs="Calibri"/>
          <w:szCs w:val="20"/>
          <w:lang w:val="sr-Cyrl-RS" w:eastAsia="ja-JP"/>
        </w:rPr>
        <w:t xml:space="preserve">Криза у Украјини је кроз негативан утицај на тржишту енергената нарочито истакла све изазове и проблеме с којима се суочава енергетски сектор у Србији. Идентификовани проблеми могу се решити само спровођењем свеобухватних реформи, које су услов, како за обезбеђивање енергетске безбедности, тако и за фискалну и екстерну одрживост. Приоритет има реструктурирање великих енергетских компанија у власништву државе, како би се повећала њихова ефикасност и смањила буџетска подршка и фискални ризици који произилазе из њиховог пословања. Фазно подизање цена енергената (гаса и електричне енергије) било је нужна мера како би се надоместили егзогено условљени високи трошкови њихове набавке. У случају ЕПС а.д. ове мере, заједно са повољним околностима које су утицале на хидроенергетски потенцијал и већи извоз електричне енергије, имале су за резултат значајан профит који је ова компанија остварила у 2023. години. </w:t>
      </w:r>
      <w:r w:rsidR="00F12C0D">
        <w:rPr>
          <w:rFonts w:ascii="Calibri" w:eastAsia="Calibri" w:hAnsi="Calibri" w:cs="Calibri"/>
          <w:szCs w:val="20"/>
          <w:lang w:val="sr-Cyrl-RS" w:eastAsia="ja-JP"/>
        </w:rPr>
        <w:t>Део ових</w:t>
      </w:r>
      <w:r w:rsidRPr="0062711C">
        <w:rPr>
          <w:rFonts w:ascii="Calibri" w:eastAsia="Calibri" w:hAnsi="Calibri" w:cs="Calibri"/>
          <w:szCs w:val="20"/>
          <w:lang w:val="sr-Cyrl-RS" w:eastAsia="ja-JP"/>
        </w:rPr>
        <w:t xml:space="preserve"> средства су искоришћена за отплату кредита узетих за подршку ликвидности и инвестиције. </w:t>
      </w:r>
      <w:r w:rsidR="008174B3" w:rsidRPr="0062711C">
        <w:rPr>
          <w:rFonts w:ascii="Calibri" w:eastAsia="Calibri" w:hAnsi="Calibri" w:cs="Calibri"/>
          <w:szCs w:val="20"/>
          <w:lang w:val="sr-Cyrl-RS" w:eastAsia="ja-JP"/>
        </w:rPr>
        <w:t xml:space="preserve">Oд 1. маја ове године су обезбеђене ниже цене електричне енергије за комерцијалне купце за око 20%, што је у складу са кретањем цена електричне енергије у региону. </w:t>
      </w:r>
      <w:r w:rsidRPr="0062711C">
        <w:rPr>
          <w:rFonts w:ascii="Calibri" w:eastAsia="Calibri" w:hAnsi="Calibri" w:cs="Calibri"/>
          <w:szCs w:val="20"/>
          <w:lang w:val="sr-Cyrl-RS" w:eastAsia="ja-JP"/>
        </w:rPr>
        <w:t>У току је измена методологије</w:t>
      </w:r>
      <w:r w:rsidR="008174B3" w:rsidRPr="0062711C">
        <w:rPr>
          <w:rFonts w:ascii="Calibri" w:eastAsia="Calibri" w:hAnsi="Calibri" w:cs="Calibri"/>
          <w:szCs w:val="20"/>
          <w:lang w:val="sr-Cyrl-RS" w:eastAsia="ja-JP"/>
        </w:rPr>
        <w:t>, којом ће се</w:t>
      </w:r>
      <w:r w:rsidRPr="0062711C">
        <w:rPr>
          <w:rFonts w:ascii="Calibri" w:eastAsia="Calibri" w:hAnsi="Calibri" w:cs="Calibri"/>
          <w:szCs w:val="20"/>
          <w:lang w:val="sr-Cyrl-RS" w:eastAsia="ja-JP"/>
        </w:rPr>
        <w:t xml:space="preserve"> обезбедити заштит</w:t>
      </w:r>
      <w:r w:rsidR="008174B3" w:rsidRPr="0062711C">
        <w:rPr>
          <w:rFonts w:ascii="Calibri" w:eastAsia="Calibri" w:hAnsi="Calibri" w:cs="Calibri"/>
          <w:szCs w:val="20"/>
          <w:lang w:val="sr-Cyrl-RS" w:eastAsia="ja-JP"/>
        </w:rPr>
        <w:t>а</w:t>
      </w:r>
      <w:r w:rsidRPr="0062711C">
        <w:rPr>
          <w:rFonts w:ascii="Calibri" w:eastAsia="Calibri" w:hAnsi="Calibri" w:cs="Calibri"/>
          <w:szCs w:val="20"/>
          <w:lang w:val="sr-Cyrl-RS" w:eastAsia="ja-JP"/>
        </w:rPr>
        <w:t xml:space="preserve"> куп</w:t>
      </w:r>
      <w:r w:rsidR="0076214E" w:rsidRPr="0062711C">
        <w:rPr>
          <w:rFonts w:ascii="Calibri" w:eastAsia="Calibri" w:hAnsi="Calibri" w:cs="Calibri"/>
          <w:szCs w:val="20"/>
          <w:lang w:val="sr-Cyrl-RS" w:eastAsia="ja-JP"/>
        </w:rPr>
        <w:t>а</w:t>
      </w:r>
      <w:r w:rsidRPr="0062711C">
        <w:rPr>
          <w:rFonts w:ascii="Calibri" w:eastAsia="Calibri" w:hAnsi="Calibri" w:cs="Calibri"/>
          <w:szCs w:val="20"/>
          <w:lang w:val="sr-Cyrl-RS" w:eastAsia="ja-JP"/>
        </w:rPr>
        <w:t>ц</w:t>
      </w:r>
      <w:r w:rsidR="0076214E" w:rsidRPr="0062711C">
        <w:rPr>
          <w:rFonts w:ascii="Calibri" w:eastAsia="Calibri" w:hAnsi="Calibri" w:cs="Calibri"/>
          <w:szCs w:val="20"/>
          <w:lang w:val="sr-Cyrl-RS" w:eastAsia="ja-JP"/>
        </w:rPr>
        <w:t>а</w:t>
      </w:r>
      <w:r w:rsidRPr="0062711C">
        <w:rPr>
          <w:rFonts w:ascii="Calibri" w:eastAsia="Calibri" w:hAnsi="Calibri" w:cs="Calibri"/>
          <w:szCs w:val="20"/>
          <w:lang w:val="sr-Cyrl-RS" w:eastAsia="ja-JP"/>
        </w:rPr>
        <w:t xml:space="preserve"> од изненадних ценовних шокова на тржишту електричне енергије, истовремено комбинујући нивое цена за регулисане и нерегулисане секторе како би у укупном износу приходи могли да покрију укупне трошкове, укључујући и средства потребна за </w:t>
      </w:r>
      <w:r w:rsidR="00633B01" w:rsidRPr="0062711C">
        <w:rPr>
          <w:rFonts w:ascii="Calibri" w:eastAsia="Calibri" w:hAnsi="Calibri" w:cs="Calibri"/>
          <w:szCs w:val="20"/>
          <w:lang w:val="sr-Cyrl-RS" w:eastAsia="ja-JP"/>
        </w:rPr>
        <w:t>инвестиције</w:t>
      </w:r>
      <w:r w:rsidRPr="0062711C">
        <w:rPr>
          <w:rFonts w:ascii="Calibri" w:eastAsia="Calibri" w:hAnsi="Calibri" w:cs="Calibri"/>
          <w:szCs w:val="20"/>
          <w:lang w:val="sr-Cyrl-RS" w:eastAsia="ja-JP"/>
        </w:rPr>
        <w:t xml:space="preserve"> у нове производне капацитете. Статусна промена ЕПС, у акционарско друштво, извршена у априлу прошле године, има за циљ јачање ове компаније на дуги рок кроз професионализацију менаџмента. </w:t>
      </w:r>
      <w:r w:rsidR="007F06ED" w:rsidRPr="0062711C">
        <w:rPr>
          <w:rFonts w:ascii="Calibri" w:eastAsia="Calibri" w:hAnsi="Calibri" w:cs="Calibri"/>
          <w:szCs w:val="20"/>
          <w:lang w:val="sr-Cyrl-RS" w:eastAsia="ja-JP"/>
        </w:rPr>
        <w:t>С</w:t>
      </w:r>
      <w:r w:rsidRPr="0062711C">
        <w:rPr>
          <w:rFonts w:ascii="Calibri" w:eastAsia="Calibri" w:hAnsi="Calibri" w:cs="Calibri"/>
          <w:szCs w:val="20"/>
          <w:lang w:val="sr-Cyrl-RS" w:eastAsia="ja-JP"/>
        </w:rPr>
        <w:t>тратешки</w:t>
      </w:r>
      <w:r w:rsidR="007F06ED" w:rsidRPr="0062711C">
        <w:rPr>
          <w:rFonts w:ascii="Calibri" w:eastAsia="Calibri" w:hAnsi="Calibri" w:cs="Calibri"/>
          <w:szCs w:val="20"/>
          <w:lang w:val="sr-Cyrl-RS" w:eastAsia="ja-JP"/>
        </w:rPr>
        <w:t>м</w:t>
      </w:r>
      <w:r w:rsidRPr="0062711C">
        <w:rPr>
          <w:rFonts w:ascii="Calibri" w:eastAsia="Calibri" w:hAnsi="Calibri" w:cs="Calibri"/>
          <w:szCs w:val="20"/>
          <w:lang w:val="sr-Cyrl-RS" w:eastAsia="ja-JP"/>
        </w:rPr>
        <w:t xml:space="preserve"> план</w:t>
      </w:r>
      <w:r w:rsidR="007F06ED" w:rsidRPr="0062711C">
        <w:rPr>
          <w:rFonts w:ascii="Calibri" w:eastAsia="Calibri" w:hAnsi="Calibri" w:cs="Calibri"/>
          <w:szCs w:val="20"/>
          <w:lang w:val="sr-Cyrl-RS" w:eastAsia="ja-JP"/>
        </w:rPr>
        <w:t>ом</w:t>
      </w:r>
      <w:r w:rsidRPr="0062711C">
        <w:rPr>
          <w:rFonts w:ascii="Calibri" w:eastAsia="Calibri" w:hAnsi="Calibri" w:cs="Calibri"/>
          <w:szCs w:val="20"/>
          <w:lang w:val="sr-Cyrl-RS" w:eastAsia="ja-JP"/>
        </w:rPr>
        <w:t xml:space="preserve"> реструктурирања ове компаније</w:t>
      </w:r>
      <w:r w:rsidR="007F06ED" w:rsidRPr="0062711C">
        <w:rPr>
          <w:rFonts w:ascii="Calibri" w:eastAsia="Calibri" w:hAnsi="Calibri" w:cs="Calibri"/>
          <w:szCs w:val="20"/>
          <w:lang w:val="sr-Cyrl-RS" w:eastAsia="ja-JP"/>
        </w:rPr>
        <w:t xml:space="preserve"> биће</w:t>
      </w:r>
      <w:r w:rsidRPr="0062711C">
        <w:rPr>
          <w:rFonts w:ascii="Calibri" w:eastAsia="Calibri" w:hAnsi="Calibri" w:cs="Calibri"/>
          <w:szCs w:val="20"/>
          <w:lang w:val="sr-Cyrl-RS" w:eastAsia="ja-JP"/>
        </w:rPr>
        <w:t xml:space="preserve"> решени бројни проблеми у пословању</w:t>
      </w:r>
      <w:r w:rsidR="007F06ED" w:rsidRPr="0062711C">
        <w:rPr>
          <w:rFonts w:ascii="Calibri" w:eastAsia="Calibri" w:hAnsi="Calibri" w:cs="Calibri"/>
          <w:szCs w:val="20"/>
          <w:lang w:val="sr-Cyrl-RS" w:eastAsia="ja-JP"/>
        </w:rPr>
        <w:t xml:space="preserve"> и</w:t>
      </w:r>
      <w:r w:rsidRPr="0062711C">
        <w:rPr>
          <w:rFonts w:ascii="Calibri" w:eastAsia="Calibri" w:hAnsi="Calibri" w:cs="Calibri"/>
          <w:szCs w:val="20"/>
          <w:lang w:val="sr-Cyrl-RS" w:eastAsia="ja-JP"/>
        </w:rPr>
        <w:t xml:space="preserve"> дефиниса</w:t>
      </w:r>
      <w:r w:rsidR="007F06ED" w:rsidRPr="0062711C">
        <w:rPr>
          <w:rFonts w:ascii="Calibri" w:eastAsia="Calibri" w:hAnsi="Calibri" w:cs="Calibri"/>
          <w:szCs w:val="20"/>
          <w:lang w:val="sr-Cyrl-RS" w:eastAsia="ja-JP"/>
        </w:rPr>
        <w:t>ће се</w:t>
      </w:r>
      <w:r w:rsidRPr="0062711C">
        <w:rPr>
          <w:rFonts w:ascii="Calibri" w:eastAsia="Calibri" w:hAnsi="Calibri" w:cs="Calibri"/>
          <w:szCs w:val="20"/>
          <w:lang w:val="sr-Cyrl-RS" w:eastAsia="ja-JP"/>
        </w:rPr>
        <w:t xml:space="preserve"> кора</w:t>
      </w:r>
      <w:r w:rsidR="007F06ED" w:rsidRPr="0062711C">
        <w:rPr>
          <w:rFonts w:ascii="Calibri" w:eastAsia="Calibri" w:hAnsi="Calibri" w:cs="Calibri"/>
          <w:szCs w:val="20"/>
          <w:lang w:val="sr-Cyrl-RS" w:eastAsia="ja-JP"/>
        </w:rPr>
        <w:t>ци</w:t>
      </w:r>
      <w:r w:rsidRPr="0062711C">
        <w:rPr>
          <w:rFonts w:ascii="Calibri" w:eastAsia="Calibri" w:hAnsi="Calibri" w:cs="Calibri"/>
          <w:szCs w:val="20"/>
          <w:lang w:val="sr-Cyrl-RS" w:eastAsia="ja-JP"/>
        </w:rPr>
        <w:t xml:space="preserve"> у трансформацији компаније, обезбеђујући њену стабилизацију и прецизирајући реформске приоритете у управљању и организационој структури. У складу с </w:t>
      </w:r>
      <w:r w:rsidRPr="0062711C">
        <w:rPr>
          <w:rFonts w:ascii="Calibri" w:eastAsia="Calibri" w:hAnsi="Calibri" w:cs="Calibri"/>
          <w:szCs w:val="20"/>
          <w:lang w:val="sr-Cyrl-RS" w:eastAsia="ja-JP"/>
        </w:rPr>
        <w:lastRenderedPageBreak/>
        <w:t>начелом транспарентности биће објављени сви стратешки и финансијски планови за ЕПС а.д. и ЈП „Србијагас”. Такође, наставиће се с праксом објављивања 20 највећих дужника овим двема компанијама на месечном нивоу. Следећи приоритет представља усвајање Интегрисаног националног енергетског и климатског плана Републике Србије, одмах након усвајања Стратегије развоја енергетике Републике Србије до 2030. године, и чији је циљ смањење емисија гасова стаклене баште, повећање удела обновљивих извора енергије и повећање енергетске ефикасности. Истовремено, потребно је обезбедити повољније окружење и унапредити постојећу законску регулативу како би се омогућило веће учешће приватног сектора у области обновљивих извора енергије и активних потрошача који инвестирају у производњу електричне енергије за сопствене потребе, а једним делом испоручују електричну енергију у мрежу. У наредном периоду планирају се и реформе АД Електромрежа Србије (у даљем тексту: ЕМС АД). Повећања цена гаса током 2022. и 2023. године допринела су стабилизацији финансијске ситуације код ЈП „Србијагас”. У току је израда новог система цена, уз смањење цена за привреду за око 15% од 1. маја текуће године и таквог микса цена који ће омогућити несметано функционисање и инвестиције у нове капацитете, уз истовремену заштиту потрошача од изненадних ценовних шокова који могу наступити на тржиштима гаса, што ће повећати атрактивност за нове стране инвестиције. Планиран је завршетак реорганизације ове компаније до краја године, а ускоро се очекује да Агенција за енергетику изврши сертификацију компаније Транспортгас Србија д.о.о. која је регистрована за обављање делатности транспорта природног гаса и управљања транспортним системом природног гаса. Претходно је Агенција дала сагласност на План развоја транспортног гасоводног система за период 2022-2031. година који је донео Транспортгас Србија</w:t>
      </w:r>
      <w:r w:rsidRPr="0062711C">
        <w:rPr>
          <w:lang w:val="sr-Cyrl-RS"/>
        </w:rPr>
        <w:t xml:space="preserve"> </w:t>
      </w:r>
      <w:r w:rsidRPr="0062711C">
        <w:rPr>
          <w:rFonts w:ascii="Calibri" w:eastAsia="Calibri" w:hAnsi="Calibri" w:cs="Calibri"/>
          <w:szCs w:val="20"/>
          <w:lang w:val="sr-Cyrl-RS" w:eastAsia="ja-JP"/>
        </w:rPr>
        <w:t xml:space="preserve">д.о.о. План развоја транспортног система за период од десет година је урађен у складу са Законом о енергетици и са Стратегијом развоја енергетике Републике Србије до 2025. године, са пројекцијама до 2030. године и Програмом за остваривање Стратегије. Саставни </w:t>
      </w:r>
      <w:r w:rsidRPr="0062711C">
        <w:rPr>
          <w:rFonts w:ascii="Calibri" w:eastAsia="Calibri" w:hAnsi="Calibri" w:cs="Calibri"/>
          <w:szCs w:val="20"/>
          <w:lang w:val="sr-Cyrl-RS" w:eastAsia="ja-JP"/>
        </w:rPr>
        <w:t>део плана су и инвестиције чија је реализација планирана за период од три године.</w:t>
      </w:r>
    </w:p>
    <w:p w14:paraId="45DB7070" w14:textId="76F1B688" w:rsidR="000248EF" w:rsidRPr="0062711C" w:rsidRDefault="000248EF" w:rsidP="00953528">
      <w:pPr>
        <w:rPr>
          <w:rFonts w:ascii="Calibri" w:eastAsia="Calibri" w:hAnsi="Calibri" w:cs="Calibri"/>
          <w:szCs w:val="20"/>
          <w:lang w:val="sr-Cyrl-RS" w:eastAsia="ja-JP"/>
        </w:rPr>
      </w:pPr>
      <w:r w:rsidRPr="0062711C">
        <w:rPr>
          <w:rFonts w:ascii="Calibri" w:eastAsia="Calibri" w:hAnsi="Calibri" w:cs="Calibri"/>
          <w:szCs w:val="20"/>
          <w:lang w:val="sr-Cyrl-RS" w:eastAsia="ja-JP"/>
        </w:rPr>
        <w:t xml:space="preserve">Влада је, уз подршку </w:t>
      </w:r>
      <w:r w:rsidRPr="0062711C">
        <w:rPr>
          <w:rFonts w:eastAsia="MS PGothic" w:cstheme="minorHAnsi"/>
          <w:szCs w:val="20"/>
          <w:lang w:val="sr-Cyrl-RS" w:eastAsia="ja-JP"/>
        </w:rPr>
        <w:t>Европске банке за обнову и развој (у даљем тексту: ЕБРД)</w:t>
      </w:r>
      <w:r w:rsidRPr="0062711C">
        <w:rPr>
          <w:rFonts w:ascii="Calibri" w:eastAsia="Calibri" w:hAnsi="Calibri" w:cs="Calibri"/>
          <w:szCs w:val="20"/>
          <w:lang w:val="sr-Cyrl-RS" w:eastAsia="ja-JP"/>
        </w:rPr>
        <w:t>, усвојила Стратегију државног власништва и управљања привредним субјектима који су у власништву Републике Србије за период од 2021. до 2027. године као јединствени акт који пружа стратешку визију и упутства у вези са циљевима власничког управљања, циљевима финансијских и јавних политика, као и принципима корпоративног управљања и праксама надзора у складу са међународним стандардима и најбољом праксом.</w:t>
      </w:r>
      <w:r w:rsidR="00223388" w:rsidRPr="0062711C">
        <w:rPr>
          <w:rFonts w:ascii="Calibri" w:eastAsia="Calibri" w:hAnsi="Calibri" w:cs="Calibri"/>
          <w:szCs w:val="20"/>
          <w:lang w:val="sr-Cyrl-RS" w:eastAsia="ja-JP"/>
        </w:rPr>
        <w:t xml:space="preserve"> </w:t>
      </w:r>
      <w:r w:rsidR="00223388" w:rsidRPr="00F265D4">
        <w:rPr>
          <w:rFonts w:ascii="Calibri" w:eastAsia="Calibri" w:hAnsi="Calibri" w:cs="Calibri"/>
          <w:szCs w:val="20"/>
          <w:lang w:val="sr-Cyrl-RS" w:eastAsia="ja-JP"/>
        </w:rPr>
        <w:t xml:space="preserve">Закон о управљању привредним друштвима која су у власништву Републике Србије </w:t>
      </w:r>
      <w:r w:rsidR="009C742C" w:rsidRPr="00F265D4">
        <w:rPr>
          <w:rFonts w:ascii="Calibri" w:eastAsia="Calibri" w:hAnsi="Calibri" w:cs="Calibri"/>
          <w:szCs w:val="20"/>
          <w:lang w:val="sr-Cyrl-RS" w:eastAsia="ja-JP"/>
        </w:rPr>
        <w:t>почиње да се примењује у септембру 2024. године, а ступио је на снагу у септембру 2023. године</w:t>
      </w:r>
      <w:r w:rsidR="00223388" w:rsidRPr="00F265D4">
        <w:rPr>
          <w:rFonts w:ascii="Calibri" w:eastAsia="Calibri" w:hAnsi="Calibri" w:cs="Calibri"/>
          <w:szCs w:val="20"/>
          <w:lang w:val="sr-Cyrl-RS" w:eastAsia="ja-JP"/>
        </w:rPr>
        <w:t>.</w:t>
      </w:r>
    </w:p>
    <w:p w14:paraId="0E7544D1" w14:textId="77777777" w:rsidR="000248EF" w:rsidRPr="0062711C" w:rsidRDefault="000248EF" w:rsidP="00953528">
      <w:pPr>
        <w:rPr>
          <w:rFonts w:ascii="Calibri" w:eastAsia="Calibri" w:hAnsi="Calibri" w:cs="Calibri"/>
          <w:szCs w:val="20"/>
          <w:lang w:val="sr-Cyrl-RS" w:eastAsia="ja-JP"/>
        </w:rPr>
      </w:pPr>
      <w:r w:rsidRPr="0062711C">
        <w:rPr>
          <w:rFonts w:ascii="Calibri" w:eastAsia="Calibri" w:hAnsi="Calibri" w:cs="Calibri"/>
          <w:szCs w:val="20"/>
          <w:lang w:val="sr-Cyrl-RS" w:eastAsia="ja-JP"/>
        </w:rPr>
        <w:t>Наставља се стриктно ограничавање издавања државних гаранција за подршку ликвидности. У 2024. години осим једне нове државне гаранције за кредит ЕПС а.д. неће бити издаване државне гаранције за подршку ликвидности државним предузећима, нити за било које предузеће из портфолија бивше Агенције за приватизацију. Наставиће се са издавањем гаранција за пројектне зајмове које дају мултилатералне финансијске организације као подршку инвестиционој и реформској агенди.</w:t>
      </w:r>
    </w:p>
    <w:p w14:paraId="43DDCE62" w14:textId="77777777" w:rsidR="000248EF" w:rsidRPr="0062711C" w:rsidRDefault="000248EF" w:rsidP="00953528">
      <w:pPr>
        <w:rPr>
          <w:rFonts w:ascii="Calibri" w:eastAsia="Calibri" w:hAnsi="Calibri" w:cs="Calibri"/>
          <w:szCs w:val="20"/>
          <w:lang w:val="sr-Cyrl-RS" w:eastAsia="ja-JP"/>
        </w:rPr>
      </w:pPr>
      <w:r w:rsidRPr="0062711C">
        <w:rPr>
          <w:rFonts w:ascii="Calibri" w:eastAsia="Calibri" w:hAnsi="Calibri" w:cs="Calibri"/>
          <w:szCs w:val="20"/>
          <w:lang w:val="sr-Cyrl-RS" w:eastAsia="ja-JP"/>
        </w:rPr>
        <w:t>За предузећа која чине стратешке компаније из портфолија бивше Агенције за приватизацију, решење се налази или кроз приватизационе тендере, или кроз стечај. Министарство рударства и енергетике ради на изради планова за ЈП ПЕУ „Ресавица”, чије спровођење укључује проналажење решења за економски неодрживе руднике који су пред исцрпљењем преосталих резерви угља, као и план рационализације производње и пословања у деловима система у којима анализа покаже да могу да буду економски одрживи.</w:t>
      </w:r>
    </w:p>
    <w:p w14:paraId="2F4351E1" w14:textId="77777777" w:rsidR="000248EF" w:rsidRPr="0062711C" w:rsidRDefault="000248EF" w:rsidP="00953528">
      <w:pPr>
        <w:rPr>
          <w:rFonts w:ascii="Calibri" w:eastAsia="Calibri" w:hAnsi="Calibri" w:cs="Calibri"/>
          <w:color w:val="44546A"/>
          <w:szCs w:val="20"/>
          <w:lang w:val="sr-Cyrl-RS" w:eastAsia="ja-JP"/>
        </w:rPr>
      </w:pPr>
      <w:r w:rsidRPr="0062711C">
        <w:rPr>
          <w:rFonts w:ascii="Calibri" w:eastAsia="Calibri" w:hAnsi="Calibri" w:cs="Calibri"/>
          <w:color w:val="44546A"/>
          <w:szCs w:val="20"/>
          <w:lang w:val="sr-Cyrl-RS" w:eastAsia="ja-JP"/>
        </w:rPr>
        <w:t xml:space="preserve">Побољшање управљања јавним финансијама је нужно, не само као подршка мерама фискалне стабилизације и структурним реформама, већ као процес који подиже квалитет државне управе и осигурава привлачан амбијент за инвеститоре. Нови Програм реформе управљања јавним </w:t>
      </w:r>
      <w:r w:rsidRPr="0062711C">
        <w:rPr>
          <w:rFonts w:ascii="Calibri" w:eastAsia="Calibri" w:hAnsi="Calibri" w:cs="Calibri"/>
          <w:color w:val="44546A"/>
          <w:szCs w:val="20"/>
          <w:lang w:val="sr-Cyrl-RS" w:eastAsia="ja-JP"/>
        </w:rPr>
        <w:lastRenderedPageBreak/>
        <w:t>финансијама за период од 2021–2025. године усвојен је у јуну 2021. године.</w:t>
      </w:r>
    </w:p>
    <w:p w14:paraId="44A8FB21" w14:textId="77777777" w:rsidR="000248EF" w:rsidRPr="0062711C" w:rsidRDefault="000248EF" w:rsidP="00953528">
      <w:pPr>
        <w:rPr>
          <w:rFonts w:ascii="Calibri" w:eastAsia="Calibri" w:hAnsi="Calibri" w:cs="Calibri"/>
          <w:color w:val="44546A"/>
          <w:szCs w:val="20"/>
          <w:lang w:val="sr-Cyrl-RS" w:eastAsia="ja-JP"/>
        </w:rPr>
      </w:pPr>
      <w:r w:rsidRPr="0062711C">
        <w:rPr>
          <w:rFonts w:ascii="Calibri" w:eastAsia="Calibri" w:hAnsi="Calibri" w:cs="Calibri"/>
          <w:color w:val="44546A"/>
          <w:szCs w:val="20"/>
          <w:lang w:val="sr-Cyrl-RS" w:eastAsia="ja-JP"/>
        </w:rPr>
        <w:t>Систем за припрему, извршење, рачуноводство и извештавање – СПИРИ је информациони систем који на јединствен начин подржава све активности Министарства финансија и Управе за трезор у вези са буџетом Републике Србије, чиме се поједностављује начин рада корисника и омогућава ефикаснији начин управљања системом јавних финансија. У систем су укључени сви директни корисници буџета, као и индиректни корисници Министарства културе, Министарства за рад, запошљавање, борачка и социјална питања и Управе за извршење кривичних санкција, као и индиректни корисници Министарства спорта, Министарства привреде, Министарства унутрашњих послова и Министарства просвете који нису били део претходног система (ИСИБ), којег је СПИРИ заменио почетком 2023. године.</w:t>
      </w:r>
    </w:p>
    <w:p w14:paraId="21B70B63" w14:textId="1A870D50" w:rsidR="000248EF" w:rsidRPr="0062711C" w:rsidRDefault="000248EF" w:rsidP="003F1BD3">
      <w:pPr>
        <w:rPr>
          <w:rFonts w:eastAsia="MS PGothic" w:cstheme="minorHAnsi"/>
          <w:szCs w:val="20"/>
          <w:lang w:val="sr-Cyrl-RS" w:eastAsia="ja-JP"/>
        </w:rPr>
      </w:pPr>
      <w:r w:rsidRPr="0062711C">
        <w:rPr>
          <w:rFonts w:eastAsia="MS PGothic" w:cstheme="minorHAnsi"/>
          <w:szCs w:val="20"/>
          <w:lang w:val="sr-Cyrl-RS" w:eastAsia="ja-JP"/>
        </w:rPr>
        <w:t xml:space="preserve">С циљем унапређења система управљања јавним инвестицијама, а имајући нарочито у виду развојни план „Скок у будућност 2027ˮ, који обухвата преко 320 пројеката укупне вредности од 18 млрд евра, Министарство финансија је током 2023. године спровело процес доношења нове правне регулативе којом се на јединствен и свеобухватан начин уређује поступак дефинисања циљева, адекватне припреме и планирања средстава, објективне оцене, селекције и реализације капиталних пројеката, као и њихове накнадне евалуације, односно извештавања о учинку реализованог капиталног пројекта. Нова правна регулатива обухвата Уредбу о капиталним пројектима, као и четири правилника донета на основу предметне уредбе којима се ближе уређује примена њених одредби и тиме знатно олакшава спровођење пројектног циклуса за све актере. Доношењу нове правне регулативе </w:t>
      </w:r>
      <w:r w:rsidR="00633B01" w:rsidRPr="0062711C">
        <w:rPr>
          <w:rFonts w:eastAsia="MS PGothic" w:cstheme="minorHAnsi"/>
          <w:szCs w:val="20"/>
          <w:lang w:val="sr-Cyrl-RS" w:eastAsia="ja-JP"/>
        </w:rPr>
        <w:t>претходио</w:t>
      </w:r>
      <w:r w:rsidRPr="0062711C">
        <w:rPr>
          <w:rFonts w:eastAsia="MS PGothic" w:cstheme="minorHAnsi"/>
          <w:szCs w:val="20"/>
          <w:lang w:val="sr-Cyrl-RS" w:eastAsia="ja-JP"/>
        </w:rPr>
        <w:t xml:space="preserve"> је свеобухватан аналитички процес практичне примене дотадашњег правног оквира, с циљем отклањања уочених недостатака и нелогичности, али и имплементацији нормативних решења која су у пракси остварила позитивну примену. Управо на основу спроведеног аналитичког процеса, односно уочених недостатака и предности у примени претходног правног оквира, одредбе Уредбе о капиталним пројектима тако су конципиране да за све актере јасно дефинишу </w:t>
      </w:r>
      <w:r w:rsidRPr="0062711C">
        <w:rPr>
          <w:rFonts w:eastAsia="MS PGothic" w:cstheme="minorHAnsi"/>
          <w:szCs w:val="20"/>
          <w:lang w:val="sr-Cyrl-RS" w:eastAsia="ja-JP"/>
        </w:rPr>
        <w:t xml:space="preserve">права и обавезе током пројектног циклуса. Тако је новом правном регулативом јасно дефинисана надлежност Министарства за европске интеграције у случају када се капитални пројекат финансира или суфинансира из средстава фондова Европске уније. Такође, ради детаљније анализе капиталних пројеката који се финансирају или суфинансирају из средстава фондова Европске уније или из средстава неке друге државе или међународне институције, формирана је Поткомисија, као помоћно тело Комисије за капиталне инвестиције, која прелиминарно разматра наведене капиталне пројекте и прати њихову реализацију. Предметна уредба предвиђа критеријуме за поделу и класификацију капиталних пројеката, узимајући у обзир процењене трошкове за његову реализацију, извор финансирања и ниво власти који спроводи капитални пројекат, а с циљем да сви капитални пројекти који могу имати значајне импликације на републичком, покрајинском или локалном нивоу буду на </w:t>
      </w:r>
      <w:r w:rsidR="00633B01" w:rsidRPr="0062711C">
        <w:rPr>
          <w:rFonts w:eastAsia="MS PGothic" w:cstheme="minorHAnsi"/>
          <w:szCs w:val="20"/>
          <w:lang w:val="sr-Cyrl-RS" w:eastAsia="ja-JP"/>
        </w:rPr>
        <w:t>јединствен</w:t>
      </w:r>
      <w:r w:rsidRPr="0062711C">
        <w:rPr>
          <w:rFonts w:eastAsia="MS PGothic" w:cstheme="minorHAnsi"/>
          <w:szCs w:val="20"/>
          <w:lang w:val="sr-Cyrl-RS" w:eastAsia="ja-JP"/>
        </w:rPr>
        <w:t xml:space="preserve"> начин предложени, оцењени, селектовани и праћени. Нова класификација капиталних пројектата омогућиће детаљнију и свеобухватнију анализу покрајинских, односно локалних капиталних пројеката. Ради успостављања система свеобухватног и јединственог управљања јавним инвестицијама, Уредбом о капиталним пројектима прописана је и обавеза евидентирања и праћења капиталних пројеката од посебног значаја за Републику Србију као и пројеката који се реализују путем јавно-приватног партнерства, односно концесије.</w:t>
      </w:r>
    </w:p>
    <w:p w14:paraId="063CAC1C" w14:textId="77777777" w:rsidR="000248EF" w:rsidRPr="0062711C" w:rsidRDefault="000248EF" w:rsidP="003F1BD3">
      <w:pPr>
        <w:rPr>
          <w:rFonts w:eastAsia="MS PGothic" w:cstheme="minorHAnsi"/>
          <w:szCs w:val="20"/>
          <w:lang w:val="sr-Cyrl-RS" w:eastAsia="ja-JP"/>
        </w:rPr>
      </w:pPr>
      <w:r w:rsidRPr="0062711C">
        <w:rPr>
          <w:rFonts w:eastAsia="MS PGothic" w:cstheme="minorHAnsi"/>
          <w:szCs w:val="20"/>
          <w:lang w:val="sr-Cyrl-RS" w:eastAsia="ja-JP"/>
        </w:rPr>
        <w:t xml:space="preserve">Такође, одредбама Уредбе о капиталним пројектима, дефинисано је да Комисија за капиталне инвестиције и Поткомисија представљају радна тела која образује Влада. Сходно наведеном, Влада је донела Одлуку о образовању комисије за капиталне инвестиције, као и Одлуку о образовању поткомисије за капиталне инвестиције, а након чега је 8. фебруара 2024. године одржана заједничка конститутивна седница Комисије за капиталне инвестиције и Поткомисије. На конститутивној седници, усвојен је Пословник о раду Комисије за капиталне инвестиције којим је уређен њен начин рада и одлучивања, као и начин рада и одлучивања </w:t>
      </w:r>
      <w:r w:rsidRPr="0062711C">
        <w:rPr>
          <w:rFonts w:eastAsia="MS PGothic" w:cstheme="minorHAnsi"/>
          <w:szCs w:val="20"/>
          <w:lang w:val="sr-Cyrl-RS" w:eastAsia="ja-JP"/>
        </w:rPr>
        <w:lastRenderedPageBreak/>
        <w:t>Поткомисије, чиме је створен неопходан предуслов за несметан рад ових радних тела.</w:t>
      </w:r>
    </w:p>
    <w:p w14:paraId="60A36B29" w14:textId="77777777" w:rsidR="000248EF" w:rsidRPr="0062711C" w:rsidRDefault="000248EF" w:rsidP="003F1BD3">
      <w:pPr>
        <w:rPr>
          <w:rFonts w:eastAsia="MS PGothic" w:cstheme="minorHAnsi"/>
          <w:szCs w:val="20"/>
          <w:lang w:val="sr-Cyrl-RS" w:eastAsia="ja-JP"/>
        </w:rPr>
      </w:pPr>
      <w:r w:rsidRPr="0062711C">
        <w:rPr>
          <w:rFonts w:eastAsia="MS PGothic" w:cstheme="minorHAnsi"/>
          <w:szCs w:val="20"/>
          <w:lang w:val="sr-Cyrl-RS" w:eastAsia="ja-JP"/>
        </w:rPr>
        <w:t>Поред наведеног, на конститутивној седници усвојена је јединствена листа пројектних идеја која ће бити предложена за финансирање из средстава Инвестиционог оквира за Западни Балкан, и која садржи осам пројеката, пре свега из области енергетике, односно одрживе енергије, заштите животне средине, али и инфраструктурне пројекте из области железничке инфраструктуре. Међу усвојеним пројектима налази се пројекат изградње и опремања БИО 4 кампуса, пројекат магистралног гасовода Ниш-Велика Плана-Батајница-Хоргош, са компресорским станицама, пројекат ревитализације и доградње четвртог агрегата ХЕ Потпећ, пројекат интеграције соларно-термалног постројења у систему даљинског грејања Новог Сада, пројекат широкопојасне мреже у руралним деловима, као и пројекат убрзања железница на Балкану кроз комерцијализацију. У погледу заштите животне средине, од изузетног су значаја пројекти који се односе на затварање и санацију општинских несанитарних депонија и изградњу рециклажних дворишта у региону Новог Сада, као и на затварање и санацију несанитарних депонија у градовима, односно општинама шест регионалних центара за управљање отпадом. На основу анализе наведених пројеката, може се закључити да су ти пројекти од значаја за континуирано и одрживо унапређење структуре српске привреде.</w:t>
      </w:r>
    </w:p>
    <w:p w14:paraId="7852FE8D" w14:textId="77777777" w:rsidR="000248EF" w:rsidRPr="0062711C" w:rsidRDefault="000248EF" w:rsidP="003F1BD3">
      <w:pPr>
        <w:rPr>
          <w:rFonts w:ascii="Calibri" w:eastAsia="Calibri" w:hAnsi="Calibri" w:cs="Calibri"/>
          <w:color w:val="44546A"/>
          <w:szCs w:val="20"/>
          <w:lang w:val="sr-Cyrl-RS" w:eastAsia="ja-JP"/>
        </w:rPr>
      </w:pPr>
      <w:r w:rsidRPr="0062711C">
        <w:rPr>
          <w:rFonts w:eastAsia="MS PGothic" w:cstheme="minorHAnsi"/>
          <w:szCs w:val="20"/>
          <w:lang w:val="sr-Cyrl-RS" w:eastAsia="ja-JP"/>
        </w:rPr>
        <w:t>Паралелно са радом на унапређењу правног оквира, одвијао се рад на надоградњи Централизоване базе капиталних пројеката (Public Investment Management Information System-у даљем тексту: PIMIS) која је прилагођена новом правном оквиру. Креиран је информациони систем који ће омогућити свеобухватно и транспарентно спровођење пројектног циклуса дефинисаног Уредбом о капиталним пројектима, а све с циљем делотворног и ефикасног управљања јавним средствима.</w:t>
      </w:r>
    </w:p>
    <w:p w14:paraId="22FC4E53" w14:textId="77777777" w:rsidR="000248EF" w:rsidRPr="0062711C" w:rsidRDefault="000248EF" w:rsidP="00953528">
      <w:pPr>
        <w:rPr>
          <w:rFonts w:ascii="Calibri" w:eastAsia="Calibri" w:hAnsi="Calibri" w:cs="Calibri"/>
          <w:color w:val="44546A"/>
          <w:szCs w:val="20"/>
          <w:lang w:val="sr-Cyrl-RS" w:eastAsia="ja-JP"/>
        </w:rPr>
      </w:pPr>
      <w:r w:rsidRPr="0062711C">
        <w:rPr>
          <w:rFonts w:ascii="Calibri" w:eastAsia="Calibri" w:hAnsi="Calibri" w:cs="Calibri"/>
          <w:color w:val="44546A"/>
          <w:szCs w:val="20"/>
          <w:lang w:val="sr-Cyrl-RS" w:eastAsia="ja-JP"/>
        </w:rPr>
        <w:t xml:space="preserve">Реформе у области управљања јавним набавкама су такође веома важне с обзиром на велики значај и вредност јавних инвестиција. Важећи Закон о јавним набавкама, припремљен уз подршку ЕУ, усклађен је са правним тековинама ЕУ и има за </w:t>
      </w:r>
      <w:r w:rsidRPr="0062711C">
        <w:rPr>
          <w:rFonts w:ascii="Calibri" w:eastAsia="Calibri" w:hAnsi="Calibri" w:cs="Calibri"/>
          <w:color w:val="44546A"/>
          <w:szCs w:val="20"/>
          <w:lang w:val="sr-Cyrl-RS" w:eastAsia="ja-JP"/>
        </w:rPr>
        <w:t>циљ да унапреди конкурентност и транспарентност у поступцима. С тим у вези потребно је обезбедити редовно јавно извештавање преко Управе за јавне набавке о свим набавкама које су изузете из режима редовних набавки према овом закону, као и навођење по ком основу су та изузећа учињена. Убудуће је потребно обезбедити континуирано усклађивање целокупног оквира јавних набавки с правним тековинама ЕУ. Такође, потребно је обезбедити да се све трансакције набавки у јавном сектору одвијају путем портала е-набавки уз настојање да се створе услови за повећање броја понуда по поступку. Имајући то у виду, ради се на унапређењу функционалности Портала јавних набавки како би била олакшана примена одредби Закона о јавним набавкама. Такође, спроводе се обуке за службенике јавних набавки, као и за полицијске службенике у вези праћења јавних набавки и најчешћих неправилности у овој области.</w:t>
      </w:r>
    </w:p>
    <w:p w14:paraId="44559D98" w14:textId="77777777" w:rsidR="000248EF" w:rsidRPr="0062711C" w:rsidRDefault="000248EF" w:rsidP="00953528">
      <w:pPr>
        <w:rPr>
          <w:rFonts w:ascii="Calibri" w:eastAsia="Calibri" w:hAnsi="Calibri" w:cs="Calibri"/>
          <w:szCs w:val="20"/>
          <w:lang w:val="sr-Cyrl-RS" w:eastAsia="ja-JP"/>
        </w:rPr>
      </w:pPr>
      <w:r w:rsidRPr="0062711C">
        <w:rPr>
          <w:rFonts w:ascii="Calibri" w:eastAsia="Calibri" w:hAnsi="Calibri" w:cs="Calibri"/>
          <w:szCs w:val="20"/>
          <w:lang w:val="sr-Cyrl-RS" w:eastAsia="ja-JP"/>
        </w:rPr>
        <w:t xml:space="preserve">Успешно се спроводи нови Акциони план трансформације Пореске управе за период 2021–2025. године, који је усвојен у мају 2021. године и који дефинише стратешке смернице и временске рокове у којим ће бити спроведене активности потребне за стварање модерне пореске администрације, која ће, уз коришћење савремених електронских процеса, пружити бољу и свеобухватнију услугу пореским обвезницима и бољу контролу и наплату прихода, односно поспешити борбу против сиве економије, заједно са реформом и модернизацијом инспекцијског надзора. У мају 2022. године уведен је нови модел фискализације (е-фискализација), на основу којег је извршен први круг ревизија. Нови систем је допринео смањењу неусклађености код пореских обвезника и мањем броју негативних мишљења ревизије. Систем за електронску размену фактура (е-фактура) је био следећи корак који је имплементиран почетком 2023. године. Ускоро се очекује набавка информационог система, који ће, заједно са редизајнираним бизнис моделом, омогућити имплементацију модерних пословних процеса. Набавка новог информационог система се одвија уз подршку Светске Банке, циљ је да се одмах по имплементацији побољша ефикасност нарочито у области управљања људским </w:t>
      </w:r>
      <w:r w:rsidRPr="0062711C">
        <w:rPr>
          <w:rFonts w:ascii="Calibri" w:eastAsia="Calibri" w:hAnsi="Calibri" w:cs="Calibri"/>
          <w:szCs w:val="20"/>
          <w:lang w:val="sr-Cyrl-RS" w:eastAsia="ja-JP"/>
        </w:rPr>
        <w:lastRenderedPageBreak/>
        <w:t>ресурсима и обради података и документације. У току је пројекат који се бави анализом ПДВ јаза где се тренутно врши анализа недостатака у подацима и прилагођавање аналитичких алата. Прелиминарни резултати сугеришу да је ПДВ јаз знатно смањен у односу на 2018. годину. Усвајањем Закона о утврђивању порекла имовине и посебном порезу и образовањем посебне организационе јединице Пореске управе, створили су се услови за унакрсну анализу имовине и прихода лица, а први случај ревизије је завршен ове године. Развој нове стратегије људских ресурса за Пореску управу и убрзање процедура запошљавања остају приоритет како би се осигурао адекватан број запослених. Број запослених у Пореској управи је значајно опао током последњих година. Са предстојећим таласом пензионисања великог броја запослених и узимајући у обзир план трансформације која подразумева прелазак на рад са вишим квалификацијама, императив је да се на време запосли адекватан број висококвалификованог особља, што подразумева и адекватне зараде.</w:t>
      </w:r>
    </w:p>
    <w:p w14:paraId="238BA916" w14:textId="0FC3EDAE" w:rsidR="000248EF" w:rsidRPr="0062711C" w:rsidRDefault="000248EF" w:rsidP="003F1BD3">
      <w:pPr>
        <w:rPr>
          <w:rFonts w:ascii="Calibri" w:eastAsia="Calibri" w:hAnsi="Calibri" w:cs="Calibri"/>
          <w:color w:val="44546A"/>
          <w:szCs w:val="20"/>
          <w:lang w:val="sr-Cyrl-RS" w:eastAsia="ja-JP"/>
        </w:rPr>
      </w:pPr>
      <w:r w:rsidRPr="0062711C">
        <w:rPr>
          <w:rFonts w:ascii="Calibri" w:eastAsia="Calibri" w:hAnsi="Calibri" w:cs="Calibri"/>
          <w:color w:val="44546A"/>
          <w:szCs w:val="20"/>
          <w:lang w:val="sr-Cyrl-RS" w:eastAsia="ja-JP"/>
        </w:rPr>
        <w:t>Побољшање квалитета и транспарентности статистике државних финансија</w:t>
      </w:r>
      <w:r w:rsidRPr="0062711C">
        <w:rPr>
          <w:rFonts w:ascii="Calibri" w:eastAsia="Calibri" w:hAnsi="Calibri" w:cs="Calibri"/>
          <w:b/>
          <w:bCs/>
          <w:color w:val="44546A"/>
          <w:szCs w:val="20"/>
          <w:lang w:val="sr-Cyrl-RS" w:eastAsia="ja-JP"/>
        </w:rPr>
        <w:t xml:space="preserve"> </w:t>
      </w:r>
      <w:r w:rsidRPr="0062711C">
        <w:rPr>
          <w:rFonts w:ascii="Calibri" w:eastAsia="Calibri" w:hAnsi="Calibri" w:cs="Calibri"/>
          <w:color w:val="44546A"/>
          <w:szCs w:val="20"/>
          <w:lang w:val="sr-Cyrl-RS" w:eastAsia="ja-JP"/>
        </w:rPr>
        <w:t>врши</w:t>
      </w:r>
      <w:r w:rsidRPr="0062711C">
        <w:rPr>
          <w:lang w:val="sr-Cyrl-RS"/>
        </w:rPr>
        <w:t xml:space="preserve"> </w:t>
      </w:r>
      <w:r w:rsidRPr="0062711C">
        <w:rPr>
          <w:rFonts w:ascii="Calibri" w:eastAsia="Calibri" w:hAnsi="Calibri" w:cs="Calibri"/>
          <w:color w:val="44546A"/>
          <w:szCs w:val="20"/>
          <w:lang w:val="sr-Cyrl-RS" w:eastAsia="ja-JP"/>
        </w:rPr>
        <w:t xml:space="preserve">се кроз унапређење свеобухватне, правовремене и аутоматске размене података између надлежних институција – Републичког завода за статистику, Народне банке Србије и Министарства финансија, у складу са Споразумом о сарадњи у области статистике националних рачуна сектора државе и с њом повезаних статистика. У априлу 2018. године Републички завод је објавио листу институција које чине сектор државе, као и остале секторе, у складу са Европским системом националних и регионалних рачуна (ESA 2010), Системом националних рачуна (SNA 2008) и Приручником о дефициту и дугу сектора државе, која је урађена у сарадњи са Народном банком Србије и Министарством финансија. Управа за </w:t>
      </w:r>
      <w:r w:rsidRPr="0062711C">
        <w:rPr>
          <w:rFonts w:ascii="Calibri" w:eastAsia="Calibri" w:hAnsi="Calibri" w:cs="Calibri"/>
          <w:color w:val="44546A"/>
          <w:szCs w:val="20"/>
          <w:lang w:val="sr-Cyrl-RS" w:eastAsia="ja-JP"/>
        </w:rPr>
        <w:t>јавни дуг од средине 2021. тромесечно објављује податке о мастришком дугу, који израђује Народна банка Србије у складу са ESA 2010</w:t>
      </w:r>
      <w:r w:rsidRPr="0062711C">
        <w:rPr>
          <w:rFonts w:ascii="Calibri" w:eastAsia="Calibri" w:hAnsi="Calibri" w:cs="Calibri"/>
          <w:b/>
          <w:bCs/>
          <w:color w:val="44546A"/>
          <w:szCs w:val="20"/>
          <w:lang w:val="sr-Cyrl-RS" w:eastAsia="ja-JP"/>
        </w:rPr>
        <w:t>.</w:t>
      </w:r>
      <w:r w:rsidRPr="0062711C">
        <w:rPr>
          <w:rFonts w:ascii="Calibri" w:eastAsia="Calibri" w:hAnsi="Calibri" w:cs="Calibri"/>
          <w:color w:val="44546A"/>
          <w:szCs w:val="20"/>
          <w:lang w:val="sr-Cyrl-RS" w:eastAsia="ja-JP"/>
        </w:rPr>
        <w:t xml:space="preserve"> У току је пројекат у сарадњи са ММФ који има за циљ да се у оквиру Управе за трезор, као централног информационог система и свеобухватне базе података изгради систем који ће омогућити прикупљање и консолидацију података за сектор државе како по националној методологији тако и по методологији GFSM 2014, кроз постепено увођење институција у његов обухват. Од маја 2009. године Република Србија је члан општег система за дисеминацију (достављање) података (</w:t>
      </w:r>
      <w:r w:rsidRPr="0062711C">
        <w:rPr>
          <w:rFonts w:ascii="Calibri" w:eastAsia="Calibri" w:hAnsi="Calibri" w:cs="Calibri"/>
          <w:i/>
          <w:color w:val="44546A"/>
          <w:szCs w:val="20"/>
          <w:lang w:val="sr-Cyrl-RS" w:eastAsia="ja-JP"/>
        </w:rPr>
        <w:t>General Data Dissemination System</w:t>
      </w:r>
      <w:r w:rsidRPr="0062711C">
        <w:rPr>
          <w:rFonts w:ascii="Calibri" w:eastAsia="Calibri" w:hAnsi="Calibri" w:cs="Calibri"/>
          <w:color w:val="44546A"/>
          <w:szCs w:val="20"/>
          <w:lang w:val="sr-Cyrl-RS" w:eastAsia="ja-JP"/>
        </w:rPr>
        <w:t xml:space="preserve"> – GDDS) Међународног монетарног фонда, односно члан проширеног општег система дисеминације података (</w:t>
      </w:r>
      <w:r w:rsidRPr="0062711C">
        <w:rPr>
          <w:rFonts w:ascii="Calibri" w:eastAsia="Calibri" w:hAnsi="Calibri" w:cs="Calibri"/>
          <w:i/>
          <w:color w:val="44546A"/>
          <w:szCs w:val="20"/>
          <w:lang w:val="sr-Cyrl-RS" w:eastAsia="ja-JP"/>
        </w:rPr>
        <w:t>Enhanced General Data Dissemination System</w:t>
      </w:r>
      <w:r w:rsidRPr="0062711C">
        <w:rPr>
          <w:rFonts w:ascii="Calibri" w:eastAsia="Calibri" w:hAnsi="Calibri" w:cs="Calibri"/>
          <w:color w:val="44546A"/>
          <w:szCs w:val="20"/>
          <w:lang w:val="sr-Cyrl-RS" w:eastAsia="ja-JP"/>
        </w:rPr>
        <w:t xml:space="preserve"> – e-GDDS) од 2015. године. Систем e-GDDS заменио је и наследио GDDS, те представља структурирани систем који има за циљ унапређење квалитета и дисеминације података из области економске, финансијске и социодемографске статистике држава чланица Међународног монетарног фонда. У сарадњи Републичког завода за статистику, Народне банке Србије, Министарства финансија и Београдске берзе, у оквиру e-GDDS, израђена је национална страница сумарних података (</w:t>
      </w:r>
      <w:r w:rsidRPr="0062711C">
        <w:rPr>
          <w:rFonts w:ascii="Calibri" w:eastAsia="Calibri" w:hAnsi="Calibri" w:cs="Calibri"/>
          <w:i/>
          <w:color w:val="44546A"/>
          <w:szCs w:val="20"/>
          <w:lang w:val="sr-Cyrl-RS" w:eastAsia="ja-JP"/>
        </w:rPr>
        <w:t>National Summary Data Page</w:t>
      </w:r>
      <w:r w:rsidRPr="0062711C">
        <w:rPr>
          <w:rFonts w:ascii="Calibri" w:eastAsia="Calibri" w:hAnsi="Calibri" w:cs="Calibri"/>
          <w:color w:val="44546A"/>
          <w:szCs w:val="20"/>
          <w:lang w:val="sr-Cyrl-RS" w:eastAsia="ja-JP"/>
        </w:rPr>
        <w:t xml:space="preserve"> – NSDP) за Републику Србију, која је постављена на веб-сајту Републичког завода за статистику. Страница примењује стандардизовани систем за размену података и метаподатака (</w:t>
      </w:r>
      <w:r w:rsidRPr="0062711C">
        <w:rPr>
          <w:rFonts w:ascii="Calibri" w:eastAsia="Calibri" w:hAnsi="Calibri" w:cs="Calibri"/>
          <w:i/>
          <w:color w:val="44546A"/>
          <w:szCs w:val="20"/>
          <w:lang w:val="sr-Cyrl-RS" w:eastAsia="ja-JP"/>
        </w:rPr>
        <w:t>Statistical Data and Metadata Exchange</w:t>
      </w:r>
      <w:r w:rsidRPr="0062711C">
        <w:rPr>
          <w:rFonts w:ascii="Calibri" w:eastAsia="Calibri" w:hAnsi="Calibri" w:cs="Calibri"/>
          <w:color w:val="44546A"/>
          <w:szCs w:val="20"/>
          <w:lang w:val="sr-Cyrl-RS" w:eastAsia="ja-JP"/>
        </w:rPr>
        <w:t xml:space="preserve"> – SDMX) у настојању да служи као јединствено средство публиковања за главне макроекономске и финансијске податке Републике Србије. Имајући у виду остварен напредак у погледу националних рачуна и квалитета фискалне статистике биће размотрено аплицирање за специјални систем дисеминације података (</w:t>
      </w:r>
      <w:r w:rsidRPr="0062711C">
        <w:rPr>
          <w:rFonts w:ascii="Calibri" w:eastAsia="Calibri" w:hAnsi="Calibri" w:cs="Calibri"/>
          <w:i/>
          <w:color w:val="44546A"/>
          <w:szCs w:val="20"/>
          <w:lang w:val="sr-Cyrl-RS" w:eastAsia="ja-JP"/>
        </w:rPr>
        <w:t>Special Data Dissemination Standard</w:t>
      </w:r>
      <w:r w:rsidR="009367BB" w:rsidRPr="0062711C">
        <w:rPr>
          <w:rFonts w:ascii="Calibri" w:eastAsia="Calibri" w:hAnsi="Calibri" w:cs="Calibri"/>
          <w:color w:val="44546A"/>
          <w:szCs w:val="20"/>
          <w:lang w:val="sr-Cyrl-RS" w:eastAsia="ja-JP"/>
        </w:rPr>
        <w:t xml:space="preserve"> </w:t>
      </w:r>
      <w:r w:rsidRPr="0062711C">
        <w:rPr>
          <w:rFonts w:ascii="Calibri" w:eastAsia="Calibri" w:hAnsi="Calibri" w:cs="Calibri"/>
          <w:color w:val="44546A"/>
          <w:szCs w:val="20"/>
          <w:lang w:val="sr-Cyrl-RS" w:eastAsia="ja-JP"/>
        </w:rPr>
        <w:t>– SDDS).</w:t>
      </w:r>
    </w:p>
    <w:p w14:paraId="3FE274CD" w14:textId="77777777" w:rsidR="000248EF" w:rsidRPr="0062711C" w:rsidRDefault="000248EF" w:rsidP="003F1BD3">
      <w:pPr>
        <w:rPr>
          <w:rFonts w:ascii="Calibri" w:eastAsia="Calibri" w:hAnsi="Calibri" w:cs="Calibri"/>
          <w:color w:val="44546A"/>
          <w:szCs w:val="20"/>
          <w:lang w:val="sr-Cyrl-RS" w:eastAsia="ja-JP"/>
        </w:rPr>
        <w:sectPr w:rsidR="000248EF" w:rsidRPr="0062711C" w:rsidSect="00F45C01">
          <w:headerReference w:type="even" r:id="rId169"/>
          <w:footerReference w:type="even" r:id="rId170"/>
          <w:footerReference w:type="default" r:id="rId171"/>
          <w:headerReference w:type="first" r:id="rId172"/>
          <w:type w:val="continuous"/>
          <w:pgSz w:w="12240" w:h="15840" w:code="1"/>
          <w:pgMar w:top="1440" w:right="1440" w:bottom="1440" w:left="1440" w:header="720" w:footer="720" w:gutter="0"/>
          <w:cols w:num="2" w:space="720"/>
          <w:docGrid w:linePitch="360"/>
        </w:sectPr>
      </w:pPr>
    </w:p>
    <w:p w14:paraId="6DA7C512" w14:textId="77777777" w:rsidR="000248EF" w:rsidRPr="0062711C" w:rsidRDefault="000248EF" w:rsidP="003F1BD3">
      <w:pPr>
        <w:rPr>
          <w:rFonts w:ascii="Calibri" w:eastAsia="Calibri" w:hAnsi="Calibri" w:cs="Calibri"/>
          <w:bCs/>
          <w:color w:val="44546A"/>
          <w:szCs w:val="72"/>
          <w:lang w:val="sr-Cyrl-RS"/>
        </w:rPr>
      </w:pPr>
    </w:p>
    <w:p w14:paraId="58403342" w14:textId="77777777" w:rsidR="000248EF" w:rsidRPr="0062711C" w:rsidRDefault="000248EF">
      <w:pPr>
        <w:jc w:val="left"/>
        <w:rPr>
          <w:lang w:val="sr-Cyrl-RS"/>
        </w:rPr>
      </w:pPr>
    </w:p>
    <w:p w14:paraId="23708862" w14:textId="77777777" w:rsidR="006E272E" w:rsidRPr="0062711C" w:rsidRDefault="006E272E" w:rsidP="003F1BD3">
      <w:pPr>
        <w:rPr>
          <w:rFonts w:ascii="Calibri" w:eastAsia="Calibri" w:hAnsi="Calibri" w:cs="Calibri"/>
          <w:bCs/>
          <w:szCs w:val="72"/>
          <w:highlight w:val="darkGray"/>
          <w:lang w:val="sr-Cyrl-RS"/>
        </w:rPr>
      </w:pPr>
    </w:p>
    <w:p w14:paraId="30737959" w14:textId="55A0B65C" w:rsidR="00B4097F" w:rsidRPr="0062711C" w:rsidRDefault="00B4097F">
      <w:pPr>
        <w:jc w:val="left"/>
        <w:rPr>
          <w:lang w:val="sr-Cyrl-RS"/>
        </w:rPr>
      </w:pPr>
      <w:r w:rsidRPr="0062711C">
        <w:rPr>
          <w:lang w:val="sr-Cyrl-RS"/>
        </w:rPr>
        <w:br w:type="page"/>
      </w:r>
    </w:p>
    <w:p w14:paraId="7AC29544" w14:textId="71FFA13E" w:rsidR="006F3279" w:rsidRPr="0062711C" w:rsidRDefault="000E3193" w:rsidP="006F3279">
      <w:pPr>
        <w:keepNext/>
        <w:keepLines/>
        <w:spacing w:after="320"/>
        <w:jc w:val="center"/>
        <w:outlineLvl w:val="1"/>
        <w:rPr>
          <w:rFonts w:eastAsia="MS PGothic" w:cstheme="minorHAnsi"/>
          <w:b/>
          <w:color w:val="2F5496" w:themeColor="accent1" w:themeShade="BF"/>
          <w:sz w:val="24"/>
          <w:szCs w:val="26"/>
          <w:lang w:val="sr-Cyrl-RS" w:eastAsia="ja-JP"/>
        </w:rPr>
      </w:pPr>
      <w:bookmarkStart w:id="77" w:name="_Toc170722308"/>
      <w:r w:rsidRPr="0062711C">
        <w:rPr>
          <w:rFonts w:eastAsia="MS PGothic" w:cstheme="minorHAnsi"/>
          <w:b/>
          <w:color w:val="2F5496" w:themeColor="accent1" w:themeShade="BF"/>
          <w:sz w:val="24"/>
          <w:szCs w:val="26"/>
          <w:lang w:val="sr-Cyrl-RS" w:eastAsia="ja-JP"/>
        </w:rPr>
        <w:lastRenderedPageBreak/>
        <w:t>5</w:t>
      </w:r>
      <w:r w:rsidR="006F3279" w:rsidRPr="0062711C">
        <w:rPr>
          <w:rFonts w:eastAsia="MS PGothic" w:cstheme="minorHAnsi"/>
          <w:b/>
          <w:color w:val="2F5496" w:themeColor="accent1" w:themeShade="BF"/>
          <w:sz w:val="24"/>
          <w:szCs w:val="26"/>
          <w:lang w:val="sr-Cyrl-RS" w:eastAsia="ja-JP"/>
        </w:rPr>
        <w:t>. Фискални ризици</w:t>
      </w:r>
      <w:bookmarkEnd w:id="24"/>
      <w:bookmarkEnd w:id="25"/>
      <w:bookmarkEnd w:id="77"/>
    </w:p>
    <w:p w14:paraId="01F6411F" w14:textId="3328EC71" w:rsidR="00DF0C87" w:rsidRPr="0062711C" w:rsidRDefault="00DF0C87" w:rsidP="00DF0C87">
      <w:pPr>
        <w:spacing w:after="120"/>
        <w:rPr>
          <w:rFonts w:eastAsia="MS PGothic" w:cstheme="minorHAnsi"/>
          <w:szCs w:val="20"/>
          <w:lang w:val="sr-Cyrl-RS" w:eastAsia="ja-JP"/>
        </w:rPr>
        <w:sectPr w:rsidR="00DF0C87" w:rsidRPr="0062711C" w:rsidSect="00F45C01">
          <w:headerReference w:type="even" r:id="rId173"/>
          <w:footerReference w:type="even" r:id="rId174"/>
          <w:footerReference w:type="default" r:id="rId175"/>
          <w:headerReference w:type="first" r:id="rId176"/>
          <w:type w:val="continuous"/>
          <w:pgSz w:w="12240" w:h="15840" w:code="1"/>
          <w:pgMar w:top="1440" w:right="1440" w:bottom="1440" w:left="1440" w:header="720" w:footer="720" w:gutter="0"/>
          <w:cols w:space="720"/>
          <w:titlePg/>
          <w:docGrid w:linePitch="360"/>
        </w:sectPr>
      </w:pPr>
    </w:p>
    <w:p w14:paraId="29D2E83C"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Предмет и значење израза</w:t>
      </w:r>
    </w:p>
    <w:p w14:paraId="1B2409AF"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Фискални ризици представљају изложеност јавних финансија одређеним околностима које могу проузроковати одступања од пројектованог фискалног оквира. До одступања може доћи у приходима, расходима, фискалном резултату, као и у имовини и обавезама државе, у односу на оно што је планирано и очекивано. На спољашње ризике, попут природних катастрофа или глобалних финансијских криза, Влада не може да утиче, али могуће је дефинисати излазне стратегије које би ублажиле њихово дејство (очување стабилности у добрим временима како би у условима рецесије или кризе фискална политика имала простора за адекватан одговор, осигурање у случају природних катастрофа и сл.). Унутрашњи ризици, односно њихова материјализација последица су активности у јавном сектору, те се на вероватноћу њихове реализације може утицати одлукама и политикама Владе.</w:t>
      </w:r>
    </w:p>
    <w:p w14:paraId="509447C7"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Идентификација највећих фискалних ризика који могу утицати на државне финансије у средњем року полазна је тачка у бољем управљању фискалним ризицима. О одређеним фискалним ризицима постоје детаљни подаци и лако се може идентификовати да ли ће и са коликом вероватноћом утицати на фискалне агрегате у средњем року. За друге, пак, не постоје довољно детаљни подаци, али и само њихово идентификовање подиже свест о могућности да у наредном периоду доведу до одступања од планираног фискалног оквира.</w:t>
      </w:r>
    </w:p>
    <w:p w14:paraId="53866097" w14:textId="77777777" w:rsidR="00B875C0"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Министарство финансија има водећу улогу у управљању фискалним ризицима. Као кључна институција за средњорочно макроекономско и фискално планирање, формулацију и управљање буџетом, Министарство финансија мора имати и водећу улогу у успостављању институционалне и законске структуре, те изградњи капацитета неопходних за управљање фискалним ризицима. Сектор за праћење фискалних ризика, организациона јединица за управљање фискалним ризицима у Министарству финансија, </w:t>
      </w:r>
    </w:p>
    <w:p w14:paraId="1C880BA5" w14:textId="77777777" w:rsidR="00B875C0" w:rsidRPr="0062711C" w:rsidRDefault="00B875C0" w:rsidP="00DF0C87">
      <w:pPr>
        <w:rPr>
          <w:rFonts w:eastAsia="MS PGothic" w:cstheme="minorHAnsi"/>
          <w:szCs w:val="20"/>
          <w:lang w:val="sr-Cyrl-RS" w:eastAsia="ja-JP"/>
        </w:rPr>
      </w:pPr>
    </w:p>
    <w:p w14:paraId="639288E3" w14:textId="2DB89064"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основан је са циљем да ради на јачању законске регулативе и методолошког оквира, изградњи капацитета, те развијању техничких алата и модела неопходних за праћење и процену фискалних ризика. Намера је да резултат ових активности буде идентификација и процена ризика и предлагање излазних стратегија, као помоћ Влади у очувању стабилности јавних финансија, што је кључни циљ фискалне политике и један од основних предуслова за динамичнији привредни раст.</w:t>
      </w:r>
    </w:p>
    <w:p w14:paraId="079A6660" w14:textId="52CAE330"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 циљу спровођења наведеног процеса праћења фискалних ризика, у октобру 2021. године, усвојена је Јединствена методологија, која је припремљена уз помоћ Светске банке, која обухвата че</w:t>
      </w:r>
      <w:r w:rsidR="007666F4" w:rsidRPr="0062711C">
        <w:rPr>
          <w:rFonts w:eastAsia="MS PGothic" w:cstheme="minorHAnsi"/>
          <w:szCs w:val="20"/>
          <w:lang w:val="sr-Cyrl-RS" w:eastAsia="ja-JP"/>
        </w:rPr>
        <w:t>тири основне методологије и то:</w:t>
      </w:r>
    </w:p>
    <w:p w14:paraId="495638A8" w14:textId="0F4F3D1E" w:rsidR="00DF0C87" w:rsidRPr="0062711C" w:rsidRDefault="00DF0C87" w:rsidP="00DF0C87">
      <w:pPr>
        <w:spacing w:after="120"/>
        <w:rPr>
          <w:rFonts w:eastAsia="MS PGothic" w:cstheme="minorHAnsi"/>
          <w:szCs w:val="20"/>
          <w:lang w:val="sr-Cyrl-RS" w:eastAsia="ja-JP"/>
        </w:rPr>
      </w:pPr>
      <w:r w:rsidRPr="0062711C">
        <w:rPr>
          <w:rFonts w:eastAsia="MS PGothic" w:cstheme="minorHAnsi"/>
          <w:szCs w:val="20"/>
          <w:lang w:val="sr-Cyrl-RS" w:eastAsia="ja-JP"/>
        </w:rPr>
        <w:t>1) Методологију за праћење фискалних ризика који произилазе и</w:t>
      </w:r>
      <w:r w:rsidR="00D121C1" w:rsidRPr="0062711C">
        <w:rPr>
          <w:rFonts w:eastAsia="MS PGothic" w:cstheme="minorHAnsi"/>
          <w:szCs w:val="20"/>
          <w:lang w:val="sr-Cyrl-RS" w:eastAsia="ja-JP"/>
        </w:rPr>
        <w:t>з пословања државних предузећа;</w:t>
      </w:r>
    </w:p>
    <w:p w14:paraId="0BC85F53" w14:textId="232BDC36" w:rsidR="00DF0C87" w:rsidRPr="0062711C" w:rsidRDefault="00DF0C87" w:rsidP="00DF0C87">
      <w:pPr>
        <w:spacing w:after="120"/>
        <w:rPr>
          <w:rFonts w:eastAsia="MS PGothic" w:cstheme="minorHAnsi"/>
          <w:szCs w:val="20"/>
          <w:lang w:val="sr-Cyrl-RS" w:eastAsia="ja-JP"/>
        </w:rPr>
      </w:pPr>
      <w:r w:rsidRPr="0062711C">
        <w:rPr>
          <w:rFonts w:eastAsia="MS PGothic" w:cstheme="minorHAnsi"/>
          <w:szCs w:val="20"/>
          <w:lang w:val="sr-Cyrl-RS" w:eastAsia="ja-JP"/>
        </w:rPr>
        <w:t>2) Методологију за праћење фискалних ризика по буџет Републике Србије који произилазе из вршења надлежнос</w:t>
      </w:r>
      <w:r w:rsidR="00D121C1" w:rsidRPr="0062711C">
        <w:rPr>
          <w:rFonts w:eastAsia="MS PGothic" w:cstheme="minorHAnsi"/>
          <w:szCs w:val="20"/>
          <w:lang w:val="sr-Cyrl-RS" w:eastAsia="ja-JP"/>
        </w:rPr>
        <w:t>ти јединица локалне самоуправе;</w:t>
      </w:r>
    </w:p>
    <w:p w14:paraId="20FDA1E9" w14:textId="77777777" w:rsidR="00DF0C87" w:rsidRPr="0062711C" w:rsidRDefault="00DF0C87" w:rsidP="00DF0C87">
      <w:pPr>
        <w:spacing w:after="120"/>
        <w:rPr>
          <w:rFonts w:eastAsia="MS PGothic" w:cstheme="minorHAnsi"/>
          <w:szCs w:val="20"/>
          <w:lang w:val="sr-Cyrl-RS" w:eastAsia="ja-JP"/>
        </w:rPr>
      </w:pPr>
      <w:r w:rsidRPr="0062711C">
        <w:rPr>
          <w:rFonts w:eastAsia="MS PGothic" w:cstheme="minorHAnsi"/>
          <w:szCs w:val="20"/>
          <w:lang w:val="sr-Cyrl-RS" w:eastAsia="ja-JP"/>
        </w:rPr>
        <w:t>3) Методологију за праћење фискалних ризика по основу судских поступака;</w:t>
      </w:r>
    </w:p>
    <w:p w14:paraId="3D39284F" w14:textId="77777777" w:rsidR="00DF0C87" w:rsidRPr="0062711C" w:rsidRDefault="00DF0C87" w:rsidP="00DF0C87">
      <w:pPr>
        <w:spacing w:after="120"/>
        <w:rPr>
          <w:rFonts w:eastAsia="MS PGothic" w:cstheme="minorHAnsi"/>
          <w:szCs w:val="20"/>
          <w:lang w:val="sr-Cyrl-RS" w:eastAsia="ja-JP"/>
        </w:rPr>
      </w:pPr>
      <w:r w:rsidRPr="0062711C">
        <w:rPr>
          <w:rFonts w:eastAsia="MS PGothic" w:cstheme="minorHAnsi"/>
          <w:szCs w:val="20"/>
          <w:lang w:val="sr-Cyrl-RS" w:eastAsia="ja-JP"/>
        </w:rPr>
        <w:t>4) Методологију за праћење фискалних ризика који се јављају као последица елементарних непогода.</w:t>
      </w:r>
    </w:p>
    <w:p w14:paraId="54CC2F2C" w14:textId="5B7FB97F" w:rsidR="00DF0C87" w:rsidRPr="00C73C98" w:rsidRDefault="00DF0C87" w:rsidP="00DF0C87">
      <w:pPr>
        <w:jc w:val="left"/>
        <w:rPr>
          <w:rFonts w:cstheme="minorHAnsi"/>
          <w:b/>
          <w:color w:val="2F5496" w:themeColor="accent1" w:themeShade="BF"/>
          <w:sz w:val="22"/>
        </w:rPr>
      </w:pPr>
      <w:r w:rsidRPr="0062711C">
        <w:rPr>
          <w:rFonts w:cstheme="minorHAnsi"/>
          <w:b/>
          <w:color w:val="2F5496" w:themeColor="accent1" w:themeShade="BF"/>
          <w:sz w:val="22"/>
          <w:lang w:val="sr-Cyrl-RS"/>
        </w:rPr>
        <w:t>Гл</w:t>
      </w:r>
      <w:r w:rsidR="008E4C48" w:rsidRPr="0062711C">
        <w:rPr>
          <w:rFonts w:cstheme="minorHAnsi"/>
          <w:b/>
          <w:color w:val="2F5496" w:themeColor="accent1" w:themeShade="BF"/>
          <w:sz w:val="22"/>
          <w:lang w:val="sr-Cyrl-RS"/>
        </w:rPr>
        <w:t>авни фискални ризици за 2023</w:t>
      </w:r>
      <w:r w:rsidR="00C73C98">
        <w:rPr>
          <w:rFonts w:cstheme="minorHAnsi"/>
          <w:b/>
          <w:color w:val="2F5496" w:themeColor="accent1" w:themeShade="BF"/>
          <w:sz w:val="22"/>
        </w:rPr>
        <w:t>–20</w:t>
      </w:r>
      <w:r w:rsidR="008E4C48" w:rsidRPr="0062711C">
        <w:rPr>
          <w:rFonts w:cstheme="minorHAnsi"/>
          <w:b/>
          <w:color w:val="2F5496" w:themeColor="accent1" w:themeShade="BF"/>
          <w:sz w:val="22"/>
          <w:lang w:val="sr-Cyrl-RS"/>
        </w:rPr>
        <w:t>24</w:t>
      </w:r>
      <w:r w:rsidR="00C73C98">
        <w:rPr>
          <w:rFonts w:cstheme="minorHAnsi"/>
          <w:b/>
          <w:color w:val="2F5496" w:themeColor="accent1" w:themeShade="BF"/>
          <w:sz w:val="22"/>
        </w:rPr>
        <w:t>.</w:t>
      </w:r>
    </w:p>
    <w:p w14:paraId="383A87F9" w14:textId="29377149"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Током јесени 2021. године десили су се поремећаји на енергетском тржишту у свету. Криза у енергетском сектору се само надовезала на већ постојећу кризу изазвану пандемијом COVID-19. Због повећане тражње узроковане постпандемијским развојем економије и проблема у снабдевању, односно недовољне понуде и недовољних залиха, цене природног гаса су достигле историјске максимуме. Ово је подстакло тражњу за осталим енергентима, чије су цене изузетно порасле. Високе цене осталих енергената, а у Европи и смањена производња из </w:t>
      </w:r>
      <w:r w:rsidRPr="0062711C">
        <w:rPr>
          <w:rFonts w:eastAsia="MS PGothic" w:cstheme="minorHAnsi"/>
          <w:szCs w:val="20"/>
          <w:lang w:val="sr-Cyrl-RS" w:eastAsia="ja-JP"/>
        </w:rPr>
        <w:lastRenderedPageBreak/>
        <w:t>електрана на ветар и високе цене дозвола за емисију CO2 довеле су до раста цена електричне енергије, т</w:t>
      </w:r>
      <w:r w:rsidR="008E4C48" w:rsidRPr="0062711C">
        <w:rPr>
          <w:rFonts w:eastAsia="MS PGothic" w:cstheme="minorHAnsi"/>
          <w:szCs w:val="20"/>
          <w:lang w:val="sr-Cyrl-RS" w:eastAsia="ja-JP"/>
        </w:rPr>
        <w:t>акође до историјских максимума.</w:t>
      </w:r>
    </w:p>
    <w:p w14:paraId="387F1EE5" w14:textId="3AC21041"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До сада се више пута показало, да раст неког од основних енергената, попут нафте и гаса, доводи до раста осталих цена на тржишту, а на шта је утицала пре свега ситуација и криза у Украјини, те се као један од кључних проблема наметнуло питање енергетске сигурности и европске зависности од руских фосилних горива. Овај след догађаја утицао је да цене електричне енергије и природног гаса у претходном периоду у свету достигну цене знатно веће од уобичајених. Енергетска криза неизбежно се прелила и на Србију, а највише су погођена енергетска предузећа, претежно „Електропривреда Србије</w:t>
      </w:r>
      <w:r w:rsidR="007666F4" w:rsidRPr="0062711C">
        <w:rPr>
          <w:rFonts w:eastAsia="MS PGothic" w:cstheme="minorHAnsi"/>
          <w:szCs w:val="20"/>
          <w:lang w:val="sr-Cyrl-RS" w:eastAsia="ja-JP"/>
        </w:rPr>
        <w:t xml:space="preserve">” ад </w:t>
      </w:r>
      <w:r w:rsidRPr="0062711C">
        <w:rPr>
          <w:rFonts w:eastAsia="MS PGothic" w:cstheme="minorHAnsi"/>
          <w:szCs w:val="20"/>
          <w:lang w:val="sr-Cyrl-RS" w:eastAsia="ja-JP"/>
        </w:rPr>
        <w:t>и ЈП „Србијагас”.</w:t>
      </w:r>
    </w:p>
    <w:p w14:paraId="7FD0FCF2" w14:textId="58D658F0"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Због високих цена електричне енергије у претходном периоду, које су угрожавале пословање привредних субјеката у Републици Србији, као и енергетских субјеката који обављају делатност преноса, односно дистрибуције електричне енергије (у вези набавке електричне енергије за губитке), препоручено је да „Електропривреда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те субјекте снабдева по ценама нижим од тржишних, чиме је „Електропривреда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била изложена финансијском ризику, односно ризик раста цена у потпуности je био пребачен на „Електропривреду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У другој половини 2023. године цене енергената на светском тржишту су се стабилизовале, а што је за последицу имало и стабилност енергетс</w:t>
      </w:r>
      <w:r w:rsidR="00D121C1" w:rsidRPr="0062711C">
        <w:rPr>
          <w:rFonts w:eastAsia="MS PGothic" w:cstheme="minorHAnsi"/>
          <w:szCs w:val="20"/>
          <w:lang w:val="sr-Cyrl-RS" w:eastAsia="ja-JP"/>
        </w:rPr>
        <w:t>ког сектора у Републици Србији.</w:t>
      </w:r>
    </w:p>
    <w:p w14:paraId="0F84D43E" w14:textId="40A0C668"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Република Србија је наставила и у 2023. години да финансијским и стратешким мерама обезбеђује и осигурава снабдевање кључним енергентима. Поред наведеног, уложен је додатни напор да се настави са трансформацијом предузећа из енергетског сектора, тако је 6. априла 2023. године промењена правна форма „Електропривреде Србије” ад из јавног предузећа у нејавно акционарско друштво. Повећање цена електричне енергије током 2022-2023. године, рационално планирање ресурса, кретање цене енергената и позитивни хидролошки трендови утицали су да „Електропривреда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заврши 2023. годину </w:t>
      </w:r>
      <w:r w:rsidRPr="0062711C">
        <w:rPr>
          <w:rFonts w:eastAsia="MS PGothic" w:cstheme="minorHAnsi"/>
          <w:szCs w:val="20"/>
          <w:lang w:val="sr-Cyrl-RS" w:eastAsia="ja-JP"/>
        </w:rPr>
        <w:t xml:space="preserve">са историјским нето добитком од 114,6 млрд динара. Остварени резултат делимично је коришћен за </w:t>
      </w:r>
      <w:r w:rsidR="00633B01" w:rsidRPr="0062711C">
        <w:rPr>
          <w:rFonts w:eastAsia="MS PGothic" w:cstheme="minorHAnsi"/>
          <w:szCs w:val="20"/>
          <w:lang w:val="sr-Cyrl-RS" w:eastAsia="ja-JP"/>
        </w:rPr>
        <w:t>отплату</w:t>
      </w:r>
      <w:r w:rsidRPr="0062711C">
        <w:rPr>
          <w:rFonts w:eastAsia="MS PGothic" w:cstheme="minorHAnsi"/>
          <w:szCs w:val="20"/>
          <w:lang w:val="sr-Cyrl-RS" w:eastAsia="ja-JP"/>
        </w:rPr>
        <w:t xml:space="preserve"> кредита за ликвидност и инвестиционе пројекте што ће имати позитиван ефекат на будуће пословање предузећа. Иако су направљени позитивни помаци у пословању, главни изазов за наредни период је наставак започетих реформи као и енергетска транзиција која ће омогућити постепен прелазак на све већу производњу енергије из обновљивих извора, а што ће свакако захтевати финансијску консолидацију и</w:t>
      </w:r>
      <w:r w:rsidR="00D121C1" w:rsidRPr="0062711C">
        <w:rPr>
          <w:rFonts w:eastAsia="MS PGothic" w:cstheme="minorHAnsi"/>
          <w:szCs w:val="20"/>
          <w:lang w:val="sr-Cyrl-RS" w:eastAsia="ja-JP"/>
        </w:rPr>
        <w:t xml:space="preserve"> значајна инвестициона улагања.</w:t>
      </w:r>
    </w:p>
    <w:p w14:paraId="75CEF99B" w14:textId="573441A9"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Важну улогу за енергетску стаб</w:t>
      </w:r>
      <w:r w:rsidR="00633B01" w:rsidRPr="0062711C">
        <w:rPr>
          <w:rFonts w:eastAsia="MS PGothic" w:cstheme="minorHAnsi"/>
          <w:szCs w:val="20"/>
          <w:lang w:val="sr-Cyrl-RS" w:eastAsia="ja-JP"/>
        </w:rPr>
        <w:t xml:space="preserve">илност има и друго прeдузeћe из </w:t>
      </w:r>
      <w:r w:rsidRPr="0062711C">
        <w:rPr>
          <w:rFonts w:eastAsia="MS PGothic" w:cstheme="minorHAnsi"/>
          <w:szCs w:val="20"/>
          <w:lang w:val="sr-Cyrl-RS" w:eastAsia="ja-JP"/>
        </w:rPr>
        <w:t>oблaсти eлeктрoeнeргeтикe – „Елeктродистрибуциja Србијe</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доо (ЕДС), који од 2021. године послује самостално (до 2021. године у саставу ЕПС-а ад). У претходној 2023. години, основни приходи од мрежарине EДС-у нису били дoвoљни зa oдрживo пoслoвањe због </w:t>
      </w:r>
      <w:r w:rsidR="00633B01" w:rsidRPr="0062711C">
        <w:rPr>
          <w:rFonts w:eastAsia="MS PGothic" w:cstheme="minorHAnsi"/>
          <w:szCs w:val="20"/>
          <w:lang w:val="sr-Cyrl-RS" w:eastAsia="ja-JP"/>
        </w:rPr>
        <w:t>високих</w:t>
      </w:r>
      <w:r w:rsidRPr="0062711C">
        <w:rPr>
          <w:rFonts w:eastAsia="MS PGothic" w:cstheme="minorHAnsi"/>
          <w:szCs w:val="20"/>
          <w:lang w:val="sr-Cyrl-RS" w:eastAsia="ja-JP"/>
        </w:rPr>
        <w:t xml:space="preserve"> цeнa eлeктричне eнeргиje која се користи зa нaдoкнaду губитaкa услед чега је Република Србија интервенисала у виду </w:t>
      </w:r>
      <w:r w:rsidR="00633B01" w:rsidRPr="0062711C">
        <w:rPr>
          <w:rFonts w:eastAsia="MS PGothic" w:cstheme="minorHAnsi"/>
          <w:szCs w:val="20"/>
          <w:lang w:val="sr-Cyrl-RS" w:eastAsia="ja-JP"/>
        </w:rPr>
        <w:t>краткорочних</w:t>
      </w:r>
      <w:r w:rsidRPr="0062711C">
        <w:rPr>
          <w:rFonts w:eastAsia="MS PGothic" w:cstheme="minorHAnsi"/>
          <w:szCs w:val="20"/>
          <w:lang w:val="sr-Cyrl-RS" w:eastAsia="ja-JP"/>
        </w:rPr>
        <w:t xml:space="preserve"> бескaмaтних пoзaјмица. Високе цене електричне енергије и осталe околности у енергетском сектору утицале су на пословање овог привредног субјекта да 2023. годину заврши са негативним резултатом од 1 млрд динара. Иако се ЕДС сусретао са бројним изазовима у претходном периоду, позитиван аспект у пословању представљају значајна инвестициона улагања. У првој половини 2024. године окончан је пројекат Реконструкција дистрибутивне мреже којим је замењено преко 34 хиљаде дрвених бандера бетонским, наставља се са реализацијом пројекта Паметна бројила који се финансира делом из донације ЕУ и из кредита ЕБРД и ЕИБ као и пројекат Аутоматизација средњенапонске дистрибутивне мреже који се реализује у сарадњи са компанијом Schneider Electric. Претходно наведени инвестициони пројекти утицаће на решавање једног од главних структурних проблема ЕДС-а којима ће се значајно унапредити дистрибутивне мреже, а што ће допринети смањењу губитака на мрежи. Република Србија препознала је изазове који се налазе пред овим привредним субјектом и за 2024. годину планиран је наставак подршке у виду обезбеђења гаранција у износу од 32,7 млрд динара.</w:t>
      </w:r>
    </w:p>
    <w:p w14:paraId="204A9A29" w14:textId="2AF51ECA"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lastRenderedPageBreak/>
        <w:t>Што се тиче ЈП „Србијагас”, неповољна тржишна кретања у 2021. и 2022. години и финансијска позиција дистрибутера природног гаса утицали су да Република Србија у претходном периоду учествује у финансирању набавки резервних количина гаса као и суфинансирању редовних набавки. Проактивним режимом рада током 2022. и 2023. године обезбеђени су додатни складишни капацитети за природни гас у Мађарској, одакле су се ускладиштене количине повремено повлачиле у зимској сезони 2022/2023. и 2023/2024. године, а преостале количине омогућиће додатну сигурност снабдевања тржишта током зимске сезоне 2024/2025. године. Кретање цена енергената на светском тржишту утицало је да и ЈП „Србијагас” током 2022/2023. године неколико пута изврши корекцију продајних цена гаса, а што је допринело побољшању финансијске позиције овог јавног предузећа. Битно је истаћи и да је ЈП „Србијагас</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крајем 2023. године потписало Уговор о испорукама природног гаса у Републику Србију са азербејџанском државном нафтном компанијом „СОКАР</w:t>
      </w:r>
      <w:r w:rsidR="008E4C48" w:rsidRPr="0062711C">
        <w:rPr>
          <w:rFonts w:eastAsia="MS PGothic" w:cstheme="minorHAnsi"/>
          <w:szCs w:val="20"/>
          <w:lang w:val="sr-Cyrl-RS" w:eastAsia="ja-JP"/>
        </w:rPr>
        <w:t>”</w:t>
      </w:r>
      <w:r w:rsidRPr="0062711C">
        <w:rPr>
          <w:rFonts w:eastAsia="MS PGothic" w:cstheme="minorHAnsi"/>
          <w:szCs w:val="20"/>
          <w:lang w:val="sr-Cyrl-RS" w:eastAsia="ja-JP"/>
        </w:rPr>
        <w:t>, која је значајан произвођач и извозник фосилних горива, а првенствено природног гаса. Потписивањем овог Уговора наставило се са диверсификацијом у снабдевању чиме се ствара додатна сигурност у случају поремећаја на глобалном тржишту. За 2024. годину планиран је наставак инвестиционих улагања, пре свега у делатностима транспорта и дистрибуцији гаса, односно наставак развоја дистрибутивне мреже и јачање транспортних капацитета г</w:t>
      </w:r>
      <w:r w:rsidR="00D121C1" w:rsidRPr="0062711C">
        <w:rPr>
          <w:rFonts w:eastAsia="MS PGothic" w:cstheme="minorHAnsi"/>
          <w:szCs w:val="20"/>
          <w:lang w:val="sr-Cyrl-RS" w:eastAsia="ja-JP"/>
        </w:rPr>
        <w:t>асовода у Републици Србији.</w:t>
      </w:r>
    </w:p>
    <w:p w14:paraId="6908CB44"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Ефекти енергетске кризе у свету, нису заобишли ни ЈП „Путеви Србије” који су идентификовани као носилац високог фискалног ризика због раста цена основних енергената и главних сировина потребних за обављање основне делатности, што би могло додатно да погорша финансијску позицију овог јавног предузећа, а самим тим и повећа ослањање на буџет Републике Србије. У циљу благовременог спречавања утицаја на буџет, током 2023. године Република Србија је донела </w:t>
      </w:r>
      <w:r w:rsidRPr="0062711C">
        <w:rPr>
          <w:rFonts w:eastAsia="MS PGothic" w:cstheme="minorHAnsi"/>
          <w:szCs w:val="20"/>
          <w:lang w:val="sr-Cyrl-RS" w:eastAsia="ja-JP"/>
        </w:rPr>
        <w:t>низ мера. Како би се избегли негативни ефекти и њихов утицај на буџет Републике Србије, ЈП „Путеви Србије” су од 1. априла 2023. године повећали цене путарина за 14%, односно 8% за возила са ТАГ уређајем.</w:t>
      </w:r>
    </w:p>
    <w:p w14:paraId="116AEEA3" w14:textId="451B0714" w:rsidR="00DF0C87" w:rsidRPr="0062711C" w:rsidRDefault="00DF0C87" w:rsidP="00DF0C87">
      <w:pPr>
        <w:rPr>
          <w:lang w:val="sr-Cyrl-RS"/>
        </w:rPr>
      </w:pPr>
      <w:r w:rsidRPr="0062711C">
        <w:rPr>
          <w:rFonts w:eastAsia="MS PGothic" w:cstheme="minorHAnsi"/>
          <w:szCs w:val="20"/>
          <w:lang w:val="sr-Cyrl-RS" w:eastAsia="ja-JP"/>
        </w:rPr>
        <w:t>Слична сит</w:t>
      </w:r>
      <w:r w:rsidR="007666F4" w:rsidRPr="0062711C">
        <w:rPr>
          <w:rFonts w:eastAsia="MS PGothic" w:cstheme="minorHAnsi"/>
          <w:szCs w:val="20"/>
          <w:lang w:val="sr-Cyrl-RS" w:eastAsia="ja-JP"/>
        </w:rPr>
        <w:t xml:space="preserve">уација идентификована је и код </w:t>
      </w:r>
      <w:r w:rsidRPr="0062711C">
        <w:rPr>
          <w:rFonts w:eastAsia="MS PGothic" w:cstheme="minorHAnsi"/>
          <w:szCs w:val="20"/>
          <w:lang w:val="sr-Cyrl-RS" w:eastAsia="ja-JP"/>
        </w:rPr>
        <w:t>„Коридори Србије” доо, због високих издатака за капиталне инвестиције које су у надлежности овог друштва, те самим тим, промене цена основних сировина могу значајно повећати трошкове спровођења пројеката и повећати ослањање на буџет Републике Србије, у циљу континуиране реализације пројекта.</w:t>
      </w:r>
    </w:p>
    <w:p w14:paraId="4E518B27"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Анализа фискалних ризика</w:t>
      </w:r>
    </w:p>
    <w:p w14:paraId="295429E4"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Државне гаранције</w:t>
      </w:r>
    </w:p>
    <w:p w14:paraId="1CD7D7B0" w14:textId="5B1BEECA" w:rsidR="00DF0C87" w:rsidRPr="0062711C" w:rsidRDefault="00DF0C87" w:rsidP="00DF0C87">
      <w:pPr>
        <w:spacing w:after="240"/>
        <w:rPr>
          <w:rFonts w:eastAsia="MS PGothic" w:cstheme="minorHAnsi"/>
          <w:szCs w:val="20"/>
          <w:lang w:val="sr-Cyrl-RS" w:eastAsia="ja-JP"/>
        </w:rPr>
      </w:pPr>
      <w:r w:rsidRPr="0062711C">
        <w:rPr>
          <w:rFonts w:eastAsia="MS PGothic" w:cstheme="minorHAnsi"/>
          <w:szCs w:val="20"/>
          <w:lang w:val="sr-Cyrl-RS" w:eastAsia="ja-JP"/>
        </w:rPr>
        <w:t>Гаранције издате од стране државе утичу на висину јавног дуга, али и на висину дефицита, уколико отплату по кредиту уместо првобитног дужника преузме држава. Издате гаранције су према дефиницији одређеној Законом о јавном дугу</w:t>
      </w:r>
      <w:r w:rsidRPr="0062711C">
        <w:rPr>
          <w:rFonts w:eastAsia="MS PGothic" w:cstheme="minorHAnsi"/>
          <w:szCs w:val="20"/>
          <w:vertAlign w:val="superscript"/>
          <w:lang w:val="sr-Cyrl-RS" w:eastAsia="ja-JP"/>
        </w:rPr>
        <w:footnoteReference w:id="5"/>
      </w:r>
      <w:r w:rsidRPr="0062711C">
        <w:rPr>
          <w:rFonts w:eastAsia="MS PGothic" w:cstheme="minorHAnsi"/>
          <w:szCs w:val="20"/>
          <w:lang w:val="sr-Cyrl-RS" w:eastAsia="ja-JP"/>
        </w:rPr>
        <w:t xml:space="preserve"> део индиректних обавеза и у укупном износу се укључују у јавни дуг. На дан 31. март 2024. године укупно стање јавног дуга у сектору државе износило је 4.286,2 млрд динара, што чини 47,9% БДП</w:t>
      </w:r>
      <w:r w:rsidRPr="0062711C">
        <w:rPr>
          <w:rFonts w:eastAsia="MS PGothic" w:cstheme="minorHAnsi"/>
          <w:vertAlign w:val="superscript"/>
          <w:lang w:val="sr-Cyrl-RS" w:eastAsia="ja-JP"/>
        </w:rPr>
        <w:footnoteReference w:id="6"/>
      </w:r>
      <w:r w:rsidRPr="0062711C">
        <w:rPr>
          <w:rFonts w:eastAsia="MS PGothic" w:cstheme="minorHAnsi"/>
          <w:szCs w:val="20"/>
          <w:lang w:val="sr-Cyrl-RS" w:eastAsia="ja-JP"/>
        </w:rPr>
        <w:t>, од чега директне обавезе чине 4.045,2 млрд динара (45,2% БДП), индиректне обавезе 212 млрд динара (2,4% БДП) и негарантовани остали дуг сектора др</w:t>
      </w:r>
      <w:r w:rsidR="00D121C1" w:rsidRPr="0062711C">
        <w:rPr>
          <w:rFonts w:eastAsia="MS PGothic" w:cstheme="minorHAnsi"/>
          <w:szCs w:val="20"/>
          <w:lang w:val="sr-Cyrl-RS" w:eastAsia="ja-JP"/>
        </w:rPr>
        <w:t>жаве 29 млрд динара (0,3% БДП).</w:t>
      </w:r>
    </w:p>
    <w:p w14:paraId="41F8FC31" w14:textId="6C39D6CC" w:rsidR="0031567B" w:rsidRPr="0062711C" w:rsidRDefault="00DF0C87" w:rsidP="00DF0C87">
      <w:pPr>
        <w:spacing w:after="240"/>
        <w:rPr>
          <w:rFonts w:eastAsia="MS PGothic" w:cstheme="minorHAnsi"/>
          <w:szCs w:val="20"/>
          <w:lang w:val="sr-Cyrl-RS" w:eastAsia="ja-JP"/>
        </w:rPr>
      </w:pPr>
      <w:r w:rsidRPr="0062711C">
        <w:rPr>
          <w:rFonts w:eastAsia="MS PGothic" w:cstheme="minorHAnsi"/>
          <w:szCs w:val="20"/>
          <w:lang w:val="sr-Cyrl-RS" w:eastAsia="ja-JP"/>
        </w:rPr>
        <w:t>Ограничења постављена на издавање нових гаранција у последњих 10 година дала су резултате, те се учешће индиректних обавеза у укупном јавном дугу смањивало из године у годину. Индиректне обавезе (издате гаранције од стране Републике Србије) су учествовале са 9,5% у дугу сектора државе на крају 2015. године, док су на крају 2023. године оне чиниле 5,0% дуга сектора државе. На крају првог квартала 2024. године, индиректне обавезе су учествовале са 4,9% у дугу сектора државе.</w:t>
      </w:r>
    </w:p>
    <w:p w14:paraId="01F252CA" w14:textId="77777777" w:rsidR="0031567B" w:rsidRPr="0062711C" w:rsidRDefault="0031567B" w:rsidP="00DF0C87">
      <w:pPr>
        <w:spacing w:after="240"/>
        <w:rPr>
          <w:rFonts w:eastAsia="MS PGothic" w:cstheme="minorHAnsi"/>
          <w:szCs w:val="20"/>
          <w:lang w:val="sr-Cyrl-RS" w:eastAsia="ja-JP"/>
        </w:rPr>
        <w:sectPr w:rsidR="0031567B" w:rsidRPr="0062711C" w:rsidSect="00F45C01">
          <w:type w:val="continuous"/>
          <w:pgSz w:w="12240" w:h="15840"/>
          <w:pgMar w:top="1440" w:right="1440" w:bottom="1440" w:left="1440" w:header="720" w:footer="720" w:gutter="0"/>
          <w:cols w:num="2" w:space="720"/>
          <w:docGrid w:linePitch="360"/>
          <w15:footnoteColumns w:val="1"/>
        </w:sectPr>
      </w:pPr>
    </w:p>
    <w:p w14:paraId="1F7A35D5" w14:textId="436983FB" w:rsidR="00DF0C87" w:rsidRPr="0062711C" w:rsidRDefault="00DF0C87" w:rsidP="0031567B">
      <w:pPr>
        <w:rPr>
          <w:lang w:val="sr-Cyrl-RS" w:eastAsia="ja-JP"/>
        </w:rPr>
      </w:pPr>
    </w:p>
    <w:p w14:paraId="2E6FFD61" w14:textId="77777777" w:rsidR="00DF0C87" w:rsidRPr="0062711C" w:rsidRDefault="00DF0C87" w:rsidP="0031567B">
      <w:pPr>
        <w:rPr>
          <w:lang w:val="sr-Cyrl-RS" w:eastAsia="ja-JP"/>
        </w:rPr>
      </w:pPr>
    </w:p>
    <w:p w14:paraId="3126A4E0" w14:textId="77777777" w:rsidR="00DF0C87" w:rsidRPr="0062711C" w:rsidRDefault="00DF0C87" w:rsidP="00DF0C87">
      <w:pPr>
        <w:spacing w:after="0"/>
        <w:jc w:val="center"/>
        <w:rPr>
          <w:rFonts w:cstheme="minorHAnsi"/>
          <w:b/>
          <w:bCs/>
          <w:szCs w:val="20"/>
          <w:lang w:val="sr-Cyrl-RS"/>
        </w:rPr>
      </w:pPr>
    </w:p>
    <w:p w14:paraId="328FFFF7" w14:textId="77777777"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lastRenderedPageBreak/>
        <w:t>Учешће индиректног дуга у дугу сектора државе (у %)</w:t>
      </w:r>
    </w:p>
    <w:p w14:paraId="595B715C" w14:textId="77777777" w:rsidR="00DF0C87" w:rsidRPr="0062711C" w:rsidRDefault="00DF0C87" w:rsidP="007B60D6">
      <w:pPr>
        <w:spacing w:after="120"/>
        <w:jc w:val="center"/>
        <w:rPr>
          <w:lang w:val="sr-Cyrl-RS"/>
        </w:rPr>
      </w:pPr>
      <w:r w:rsidRPr="0062711C">
        <w:rPr>
          <w:noProof/>
          <w:lang w:val="en-GB" w:eastAsia="en-GB"/>
        </w:rPr>
        <w:drawing>
          <wp:inline distT="0" distB="0" distL="0" distR="0" wp14:anchorId="6B77311F" wp14:editId="56A46952">
            <wp:extent cx="2743200" cy="1537948"/>
            <wp:effectExtent l="0" t="0" r="0" b="5715"/>
            <wp:docPr id="17719683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743200" cy="1537948"/>
                    </a:xfrm>
                    <a:prstGeom prst="rect">
                      <a:avLst/>
                    </a:prstGeom>
                    <a:noFill/>
                  </pic:spPr>
                </pic:pic>
              </a:graphicData>
            </a:graphic>
          </wp:inline>
        </w:drawing>
      </w:r>
    </w:p>
    <w:p w14:paraId="2418ACF7" w14:textId="77777777" w:rsidR="00DF0C87" w:rsidRPr="0062711C" w:rsidRDefault="00DF0C87" w:rsidP="00DF0C87">
      <w:pPr>
        <w:rPr>
          <w:rFonts w:eastAsia="MS PGothic" w:cstheme="minorHAnsi"/>
          <w:szCs w:val="20"/>
          <w:lang w:val="sr-Cyrl-RS" w:eastAsia="ja-JP"/>
        </w:rPr>
      </w:pPr>
    </w:p>
    <w:p w14:paraId="61B051B3" w14:textId="16A8065D"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Структура гарантованог дуга по корисницима је остала готово непромењена у првом кварталу 2024. године у односу на 2023. годину. Највеће учешће у индиректним обавезама има ЈП „Србијагас</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35,1% (74,4 млрд динара), „Електропривреда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30,1% (63,8 млрд динара) и ЈП „Путеви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10,3% (21,8 млрд динара).</w:t>
      </w:r>
    </w:p>
    <w:p w14:paraId="443B354A" w14:textId="77777777" w:rsidR="00DF0C87" w:rsidRPr="0062711C" w:rsidRDefault="00DF0C87" w:rsidP="00DF0C87">
      <w:pPr>
        <w:spacing w:after="120" w:line="276" w:lineRule="auto"/>
        <w:rPr>
          <w:rFonts w:eastAsia="MS PGothic" w:cstheme="minorHAnsi"/>
          <w:b/>
          <w:bCs/>
          <w:color w:val="002060"/>
          <w:szCs w:val="20"/>
          <w:lang w:val="sr-Cyrl-RS" w:eastAsia="ja-JP"/>
        </w:rPr>
        <w:sectPr w:rsidR="00DF0C87" w:rsidRPr="0062711C" w:rsidSect="00F45C01">
          <w:type w:val="continuous"/>
          <w:pgSz w:w="12240" w:h="15840"/>
          <w:pgMar w:top="1440" w:right="1440" w:bottom="1440" w:left="1440" w:header="720" w:footer="720" w:gutter="0"/>
          <w:cols w:num="2" w:space="720"/>
          <w:docGrid w:linePitch="360"/>
          <w15:footnoteColumns w:val="1"/>
        </w:sectPr>
      </w:pPr>
    </w:p>
    <w:p w14:paraId="2E783BFD" w14:textId="76DC3907"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1</w:t>
      </w:r>
      <w:r w:rsidR="00BB1E84">
        <w:rPr>
          <w:rFonts w:eastAsia="MS PGothic" w:cstheme="minorHAnsi"/>
          <w:b/>
          <w:color w:val="002060"/>
          <w:szCs w:val="20"/>
          <w:lang w:eastAsia="ja-JP"/>
        </w:rPr>
        <w:t>4</w:t>
      </w:r>
      <w:r w:rsidRPr="0062711C">
        <w:rPr>
          <w:rFonts w:eastAsia="MS PGothic" w:cstheme="minorHAnsi"/>
          <w:b/>
          <w:color w:val="002060"/>
          <w:szCs w:val="20"/>
          <w:lang w:val="sr-Cyrl-RS" w:eastAsia="ja-JP"/>
        </w:rPr>
        <w:t>. Стање гарантованог дуга по корисницима, млрд динара</w:t>
      </w:r>
    </w:p>
    <w:tbl>
      <w:tblPr>
        <w:tblW w:w="5000" w:type="pct"/>
        <w:tblLook w:val="04A0" w:firstRow="1" w:lastRow="0" w:firstColumn="1" w:lastColumn="0" w:noHBand="0" w:noVBand="1"/>
      </w:tblPr>
      <w:tblGrid>
        <w:gridCol w:w="4617"/>
        <w:gridCol w:w="948"/>
        <w:gridCol w:w="950"/>
        <w:gridCol w:w="947"/>
        <w:gridCol w:w="949"/>
        <w:gridCol w:w="949"/>
      </w:tblGrid>
      <w:tr w:rsidR="00DF0C87" w:rsidRPr="0062711C" w14:paraId="6A07E30B" w14:textId="77777777" w:rsidTr="00855141">
        <w:trPr>
          <w:trHeight w:val="288"/>
        </w:trPr>
        <w:tc>
          <w:tcPr>
            <w:tcW w:w="2466" w:type="pct"/>
            <w:tcBorders>
              <w:top w:val="single" w:sz="4" w:space="0" w:color="002060"/>
              <w:left w:val="nil"/>
              <w:bottom w:val="single" w:sz="4" w:space="0" w:color="002060"/>
              <w:right w:val="nil"/>
            </w:tcBorders>
            <w:shd w:val="clear" w:color="auto" w:fill="FFFFFF" w:themeFill="background1"/>
            <w:noWrap/>
            <w:vAlign w:val="center"/>
            <w:hideMark/>
          </w:tcPr>
          <w:p w14:paraId="55A22629" w14:textId="77777777" w:rsidR="00DF0C87" w:rsidRPr="0062711C" w:rsidRDefault="00DF0C87" w:rsidP="00DF0C87">
            <w:pPr>
              <w:spacing w:after="0" w:line="240" w:lineRule="auto"/>
              <w:jc w:val="left"/>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Корисник </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489ED726"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2020</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10B0A7FF"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64299749"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2A9DA775"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7D2E0878"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Q1 2024</w:t>
            </w:r>
          </w:p>
        </w:tc>
      </w:tr>
      <w:tr w:rsidR="00DF0C87" w:rsidRPr="0062711C" w14:paraId="1A59D011" w14:textId="77777777" w:rsidTr="00855141">
        <w:trPr>
          <w:trHeight w:val="288"/>
        </w:trPr>
        <w:tc>
          <w:tcPr>
            <w:tcW w:w="2466" w:type="pct"/>
            <w:tcBorders>
              <w:top w:val="nil"/>
              <w:left w:val="nil"/>
              <w:bottom w:val="nil"/>
              <w:right w:val="nil"/>
            </w:tcBorders>
            <w:shd w:val="clear" w:color="000000" w:fill="FFFFFF"/>
            <w:noWrap/>
            <w:vAlign w:val="center"/>
            <w:hideMark/>
          </w:tcPr>
          <w:p w14:paraId="4B9E1C26" w14:textId="48DE77B1"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JП </w:t>
            </w:r>
            <w:r w:rsidR="008E4C48" w:rsidRPr="0062711C">
              <w:rPr>
                <w:rFonts w:ascii="Calibri" w:eastAsia="Times New Roman" w:hAnsi="Calibri" w:cs="Calibri"/>
                <w:color w:val="002060"/>
                <w:sz w:val="18"/>
                <w:szCs w:val="18"/>
                <w:lang w:val="sr-Cyrl-RS"/>
              </w:rPr>
              <w:t>„</w:t>
            </w:r>
            <w:r w:rsidRPr="0062711C">
              <w:rPr>
                <w:rFonts w:ascii="Calibri" w:eastAsia="Times New Roman" w:hAnsi="Calibri" w:cs="Calibri"/>
                <w:color w:val="002060"/>
                <w:sz w:val="18"/>
                <w:szCs w:val="18"/>
                <w:lang w:val="sr-Cyrl-RS"/>
              </w:rPr>
              <w:t>Србијагас</w:t>
            </w:r>
            <w:r w:rsidR="008E4C48" w:rsidRPr="0062711C">
              <w:rPr>
                <w:rFonts w:ascii="Calibri" w:eastAsia="Times New Roman" w:hAnsi="Calibri" w:cs="Calibri"/>
                <w:color w:val="002060"/>
                <w:sz w:val="18"/>
                <w:szCs w:val="18"/>
                <w:lang w:val="sr-Cyrl-RS"/>
              </w:rPr>
              <w:t>”</w:t>
            </w:r>
          </w:p>
        </w:tc>
        <w:tc>
          <w:tcPr>
            <w:tcW w:w="506" w:type="pct"/>
            <w:tcBorders>
              <w:top w:val="nil"/>
              <w:left w:val="nil"/>
              <w:bottom w:val="nil"/>
              <w:right w:val="nil"/>
            </w:tcBorders>
            <w:shd w:val="clear" w:color="000000" w:fill="FFFFFF"/>
            <w:noWrap/>
            <w:vAlign w:val="center"/>
            <w:hideMark/>
          </w:tcPr>
          <w:p w14:paraId="0BAAC10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23,1</w:t>
            </w:r>
          </w:p>
        </w:tc>
        <w:tc>
          <w:tcPr>
            <w:tcW w:w="507" w:type="pct"/>
            <w:tcBorders>
              <w:top w:val="nil"/>
              <w:left w:val="nil"/>
              <w:bottom w:val="nil"/>
              <w:right w:val="nil"/>
            </w:tcBorders>
            <w:shd w:val="clear" w:color="000000" w:fill="FFFFFF"/>
            <w:noWrap/>
            <w:vAlign w:val="center"/>
            <w:hideMark/>
          </w:tcPr>
          <w:p w14:paraId="30BB567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27,7</w:t>
            </w:r>
          </w:p>
        </w:tc>
        <w:tc>
          <w:tcPr>
            <w:tcW w:w="506" w:type="pct"/>
            <w:tcBorders>
              <w:top w:val="nil"/>
              <w:left w:val="nil"/>
              <w:bottom w:val="nil"/>
              <w:right w:val="nil"/>
            </w:tcBorders>
            <w:shd w:val="clear" w:color="000000" w:fill="FFFFFF"/>
            <w:noWrap/>
            <w:vAlign w:val="center"/>
            <w:hideMark/>
          </w:tcPr>
          <w:p w14:paraId="1DF042C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55,1</w:t>
            </w:r>
          </w:p>
        </w:tc>
        <w:tc>
          <w:tcPr>
            <w:tcW w:w="507" w:type="pct"/>
            <w:tcBorders>
              <w:top w:val="nil"/>
              <w:left w:val="nil"/>
              <w:bottom w:val="nil"/>
              <w:right w:val="nil"/>
            </w:tcBorders>
            <w:shd w:val="clear" w:color="000000" w:fill="FFFFFF"/>
            <w:noWrap/>
            <w:vAlign w:val="center"/>
            <w:hideMark/>
          </w:tcPr>
          <w:p w14:paraId="253DE32C"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79,1</w:t>
            </w:r>
          </w:p>
        </w:tc>
        <w:tc>
          <w:tcPr>
            <w:tcW w:w="507" w:type="pct"/>
            <w:tcBorders>
              <w:top w:val="nil"/>
              <w:left w:val="nil"/>
              <w:bottom w:val="nil"/>
              <w:right w:val="nil"/>
            </w:tcBorders>
            <w:shd w:val="clear" w:color="000000" w:fill="FFFFFF"/>
            <w:noWrap/>
            <w:vAlign w:val="center"/>
            <w:hideMark/>
          </w:tcPr>
          <w:p w14:paraId="5240C887"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74,4</w:t>
            </w:r>
          </w:p>
        </w:tc>
      </w:tr>
      <w:tr w:rsidR="00DF0C87" w:rsidRPr="0062711C" w14:paraId="5BC78482" w14:textId="77777777" w:rsidTr="00855141">
        <w:trPr>
          <w:trHeight w:val="288"/>
        </w:trPr>
        <w:tc>
          <w:tcPr>
            <w:tcW w:w="2466" w:type="pct"/>
            <w:tcBorders>
              <w:top w:val="nil"/>
              <w:left w:val="nil"/>
              <w:bottom w:val="nil"/>
              <w:right w:val="nil"/>
            </w:tcBorders>
            <w:shd w:val="clear" w:color="000000" w:fill="FFFFFF"/>
            <w:noWrap/>
            <w:vAlign w:val="center"/>
            <w:hideMark/>
          </w:tcPr>
          <w:p w14:paraId="028FDAAC" w14:textId="1527EAA7" w:rsidR="00DF0C87" w:rsidRPr="0062711C" w:rsidRDefault="008E4C48"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Електропривреда Србије</w:t>
            </w: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 xml:space="preserve"> ад</w:t>
            </w:r>
          </w:p>
        </w:tc>
        <w:tc>
          <w:tcPr>
            <w:tcW w:w="506" w:type="pct"/>
            <w:tcBorders>
              <w:top w:val="nil"/>
              <w:left w:val="nil"/>
              <w:bottom w:val="nil"/>
              <w:right w:val="nil"/>
            </w:tcBorders>
            <w:shd w:val="clear" w:color="000000" w:fill="FFFFFF"/>
            <w:noWrap/>
            <w:vAlign w:val="center"/>
            <w:hideMark/>
          </w:tcPr>
          <w:p w14:paraId="63C49854"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43,0</w:t>
            </w:r>
          </w:p>
        </w:tc>
        <w:tc>
          <w:tcPr>
            <w:tcW w:w="507" w:type="pct"/>
            <w:tcBorders>
              <w:top w:val="nil"/>
              <w:left w:val="nil"/>
              <w:bottom w:val="nil"/>
              <w:right w:val="nil"/>
            </w:tcBorders>
            <w:shd w:val="clear" w:color="000000" w:fill="FFFFFF"/>
            <w:noWrap/>
            <w:vAlign w:val="center"/>
            <w:hideMark/>
          </w:tcPr>
          <w:p w14:paraId="0814AFEE"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42,7</w:t>
            </w:r>
          </w:p>
        </w:tc>
        <w:tc>
          <w:tcPr>
            <w:tcW w:w="506" w:type="pct"/>
            <w:tcBorders>
              <w:top w:val="nil"/>
              <w:left w:val="nil"/>
              <w:bottom w:val="nil"/>
              <w:right w:val="nil"/>
            </w:tcBorders>
            <w:shd w:val="clear" w:color="000000" w:fill="FFFFFF"/>
            <w:noWrap/>
            <w:vAlign w:val="center"/>
            <w:hideMark/>
          </w:tcPr>
          <w:p w14:paraId="1CADE6AD"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40,6</w:t>
            </w:r>
          </w:p>
        </w:tc>
        <w:tc>
          <w:tcPr>
            <w:tcW w:w="507" w:type="pct"/>
            <w:tcBorders>
              <w:top w:val="nil"/>
              <w:left w:val="nil"/>
              <w:bottom w:val="nil"/>
              <w:right w:val="nil"/>
            </w:tcBorders>
            <w:shd w:val="clear" w:color="000000" w:fill="FFFFFF"/>
            <w:noWrap/>
            <w:vAlign w:val="center"/>
            <w:hideMark/>
          </w:tcPr>
          <w:p w14:paraId="56772A9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58,5</w:t>
            </w:r>
          </w:p>
        </w:tc>
        <w:tc>
          <w:tcPr>
            <w:tcW w:w="507" w:type="pct"/>
            <w:tcBorders>
              <w:top w:val="nil"/>
              <w:left w:val="nil"/>
              <w:bottom w:val="nil"/>
              <w:right w:val="nil"/>
            </w:tcBorders>
            <w:shd w:val="clear" w:color="000000" w:fill="FFFFFF"/>
            <w:noWrap/>
            <w:vAlign w:val="center"/>
            <w:hideMark/>
          </w:tcPr>
          <w:p w14:paraId="34A93E4B"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63,8</w:t>
            </w:r>
          </w:p>
        </w:tc>
      </w:tr>
      <w:tr w:rsidR="00DF0C87" w:rsidRPr="0062711C" w14:paraId="5FB44B6E" w14:textId="77777777" w:rsidTr="00855141">
        <w:trPr>
          <w:trHeight w:val="288"/>
        </w:trPr>
        <w:tc>
          <w:tcPr>
            <w:tcW w:w="2466" w:type="pct"/>
            <w:tcBorders>
              <w:top w:val="nil"/>
              <w:left w:val="nil"/>
              <w:bottom w:val="nil"/>
              <w:right w:val="nil"/>
            </w:tcBorders>
            <w:shd w:val="clear" w:color="000000" w:fill="FFFFFF"/>
            <w:noWrap/>
            <w:vAlign w:val="center"/>
            <w:hideMark/>
          </w:tcPr>
          <w:p w14:paraId="10335116"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Железничка предузећа збирно</w:t>
            </w:r>
          </w:p>
        </w:tc>
        <w:tc>
          <w:tcPr>
            <w:tcW w:w="506" w:type="pct"/>
            <w:tcBorders>
              <w:top w:val="nil"/>
              <w:left w:val="nil"/>
              <w:bottom w:val="nil"/>
              <w:right w:val="nil"/>
            </w:tcBorders>
            <w:shd w:val="clear" w:color="000000" w:fill="FFFFFF"/>
            <w:noWrap/>
            <w:vAlign w:val="center"/>
            <w:hideMark/>
          </w:tcPr>
          <w:p w14:paraId="1BBA750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35,2</w:t>
            </w:r>
          </w:p>
        </w:tc>
        <w:tc>
          <w:tcPr>
            <w:tcW w:w="507" w:type="pct"/>
            <w:tcBorders>
              <w:top w:val="nil"/>
              <w:left w:val="nil"/>
              <w:bottom w:val="nil"/>
              <w:right w:val="nil"/>
            </w:tcBorders>
            <w:shd w:val="clear" w:color="000000" w:fill="FFFFFF"/>
            <w:noWrap/>
            <w:vAlign w:val="center"/>
            <w:hideMark/>
          </w:tcPr>
          <w:p w14:paraId="5B27BA85"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31,7</w:t>
            </w:r>
          </w:p>
        </w:tc>
        <w:tc>
          <w:tcPr>
            <w:tcW w:w="506" w:type="pct"/>
            <w:tcBorders>
              <w:top w:val="nil"/>
              <w:left w:val="nil"/>
              <w:bottom w:val="nil"/>
              <w:right w:val="nil"/>
            </w:tcBorders>
            <w:shd w:val="clear" w:color="000000" w:fill="FFFFFF"/>
            <w:noWrap/>
            <w:vAlign w:val="center"/>
            <w:hideMark/>
          </w:tcPr>
          <w:p w14:paraId="1E2B76A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31,2</w:t>
            </w:r>
          </w:p>
        </w:tc>
        <w:tc>
          <w:tcPr>
            <w:tcW w:w="507" w:type="pct"/>
            <w:tcBorders>
              <w:top w:val="nil"/>
              <w:left w:val="nil"/>
              <w:bottom w:val="nil"/>
              <w:right w:val="nil"/>
            </w:tcBorders>
            <w:shd w:val="clear" w:color="000000" w:fill="FFFFFF"/>
            <w:noWrap/>
            <w:vAlign w:val="center"/>
            <w:hideMark/>
          </w:tcPr>
          <w:p w14:paraId="0472D110"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26,3</w:t>
            </w:r>
          </w:p>
        </w:tc>
        <w:tc>
          <w:tcPr>
            <w:tcW w:w="507" w:type="pct"/>
            <w:tcBorders>
              <w:top w:val="nil"/>
              <w:left w:val="nil"/>
              <w:bottom w:val="nil"/>
              <w:right w:val="nil"/>
            </w:tcBorders>
            <w:shd w:val="clear" w:color="000000" w:fill="FFFFFF"/>
            <w:noWrap/>
            <w:vAlign w:val="center"/>
            <w:hideMark/>
          </w:tcPr>
          <w:p w14:paraId="43CB0CBB"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24,7</w:t>
            </w:r>
          </w:p>
        </w:tc>
      </w:tr>
      <w:tr w:rsidR="00DF0C87" w:rsidRPr="0062711C" w14:paraId="32F75B94" w14:textId="77777777" w:rsidTr="00855141">
        <w:trPr>
          <w:trHeight w:val="288"/>
        </w:trPr>
        <w:tc>
          <w:tcPr>
            <w:tcW w:w="2466" w:type="pct"/>
            <w:tcBorders>
              <w:top w:val="nil"/>
              <w:left w:val="nil"/>
              <w:bottom w:val="nil"/>
              <w:right w:val="nil"/>
            </w:tcBorders>
            <w:shd w:val="clear" w:color="000000" w:fill="FFFFFF"/>
            <w:noWrap/>
            <w:vAlign w:val="center"/>
            <w:hideMark/>
          </w:tcPr>
          <w:p w14:paraId="22BEB193" w14:textId="4873CB44"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ЈП </w:t>
            </w:r>
            <w:r w:rsidR="008E4C48" w:rsidRPr="0062711C">
              <w:rPr>
                <w:rFonts w:ascii="Calibri" w:eastAsia="Times New Roman" w:hAnsi="Calibri" w:cs="Calibri"/>
                <w:color w:val="002060"/>
                <w:sz w:val="18"/>
                <w:szCs w:val="18"/>
                <w:lang w:val="sr-Cyrl-RS"/>
              </w:rPr>
              <w:t>„</w:t>
            </w:r>
            <w:r w:rsidRPr="0062711C">
              <w:rPr>
                <w:rFonts w:ascii="Calibri" w:eastAsia="Times New Roman" w:hAnsi="Calibri" w:cs="Calibri"/>
                <w:color w:val="002060"/>
                <w:sz w:val="18"/>
                <w:szCs w:val="18"/>
                <w:lang w:val="sr-Cyrl-RS"/>
              </w:rPr>
              <w:t>Путеви Србије</w:t>
            </w:r>
            <w:r w:rsidR="008E4C48" w:rsidRPr="0062711C">
              <w:rPr>
                <w:rFonts w:ascii="Calibri" w:eastAsia="Times New Roman" w:hAnsi="Calibri" w:cs="Calibri"/>
                <w:color w:val="002060"/>
                <w:sz w:val="18"/>
                <w:szCs w:val="18"/>
                <w:lang w:val="sr-Cyrl-RS"/>
              </w:rPr>
              <w:t>”</w:t>
            </w:r>
          </w:p>
        </w:tc>
        <w:tc>
          <w:tcPr>
            <w:tcW w:w="506" w:type="pct"/>
            <w:tcBorders>
              <w:top w:val="nil"/>
              <w:left w:val="nil"/>
              <w:bottom w:val="nil"/>
              <w:right w:val="nil"/>
            </w:tcBorders>
            <w:shd w:val="clear" w:color="000000" w:fill="FFFFFF"/>
            <w:noWrap/>
            <w:vAlign w:val="center"/>
            <w:hideMark/>
          </w:tcPr>
          <w:p w14:paraId="08AF1C7D"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33,7</w:t>
            </w:r>
          </w:p>
        </w:tc>
        <w:tc>
          <w:tcPr>
            <w:tcW w:w="507" w:type="pct"/>
            <w:tcBorders>
              <w:top w:val="nil"/>
              <w:left w:val="nil"/>
              <w:bottom w:val="nil"/>
              <w:right w:val="nil"/>
            </w:tcBorders>
            <w:shd w:val="clear" w:color="000000" w:fill="FFFFFF"/>
            <w:noWrap/>
            <w:vAlign w:val="center"/>
            <w:hideMark/>
          </w:tcPr>
          <w:p w14:paraId="40E490D9"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30,1</w:t>
            </w:r>
          </w:p>
        </w:tc>
        <w:tc>
          <w:tcPr>
            <w:tcW w:w="506" w:type="pct"/>
            <w:tcBorders>
              <w:top w:val="nil"/>
              <w:left w:val="nil"/>
              <w:bottom w:val="nil"/>
              <w:right w:val="nil"/>
            </w:tcBorders>
            <w:shd w:val="clear" w:color="000000" w:fill="FFFFFF"/>
            <w:noWrap/>
            <w:vAlign w:val="center"/>
            <w:hideMark/>
          </w:tcPr>
          <w:p w14:paraId="1B959978"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26,5</w:t>
            </w:r>
          </w:p>
        </w:tc>
        <w:tc>
          <w:tcPr>
            <w:tcW w:w="507" w:type="pct"/>
            <w:tcBorders>
              <w:top w:val="nil"/>
              <w:left w:val="nil"/>
              <w:bottom w:val="nil"/>
              <w:right w:val="nil"/>
            </w:tcBorders>
            <w:shd w:val="clear" w:color="000000" w:fill="FFFFFF"/>
            <w:noWrap/>
            <w:vAlign w:val="center"/>
            <w:hideMark/>
          </w:tcPr>
          <w:p w14:paraId="552D52C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23,0</w:t>
            </w:r>
          </w:p>
        </w:tc>
        <w:tc>
          <w:tcPr>
            <w:tcW w:w="507" w:type="pct"/>
            <w:tcBorders>
              <w:top w:val="nil"/>
              <w:left w:val="nil"/>
              <w:bottom w:val="nil"/>
              <w:right w:val="nil"/>
            </w:tcBorders>
            <w:shd w:val="clear" w:color="000000" w:fill="FFFFFF"/>
            <w:noWrap/>
            <w:vAlign w:val="center"/>
            <w:hideMark/>
          </w:tcPr>
          <w:p w14:paraId="46CC9EDD"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21,8</w:t>
            </w:r>
          </w:p>
        </w:tc>
      </w:tr>
      <w:tr w:rsidR="00DF0C87" w:rsidRPr="0062711C" w14:paraId="1631CEA6" w14:textId="77777777" w:rsidTr="00855141">
        <w:trPr>
          <w:trHeight w:val="288"/>
        </w:trPr>
        <w:tc>
          <w:tcPr>
            <w:tcW w:w="2466" w:type="pct"/>
            <w:tcBorders>
              <w:top w:val="nil"/>
              <w:left w:val="nil"/>
              <w:bottom w:val="nil"/>
              <w:right w:val="nil"/>
            </w:tcBorders>
            <w:shd w:val="clear" w:color="000000" w:fill="FFFFFF"/>
            <w:noWrap/>
            <w:vAlign w:val="center"/>
            <w:hideMark/>
          </w:tcPr>
          <w:p w14:paraId="568107B1"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Јединице локалне власти (градови и општине)</w:t>
            </w:r>
          </w:p>
        </w:tc>
        <w:tc>
          <w:tcPr>
            <w:tcW w:w="506" w:type="pct"/>
            <w:tcBorders>
              <w:top w:val="nil"/>
              <w:left w:val="nil"/>
              <w:bottom w:val="nil"/>
              <w:right w:val="nil"/>
            </w:tcBorders>
            <w:shd w:val="clear" w:color="000000" w:fill="FFFFFF"/>
            <w:noWrap/>
            <w:vAlign w:val="center"/>
            <w:hideMark/>
          </w:tcPr>
          <w:p w14:paraId="2F1103B8"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23,0</w:t>
            </w:r>
          </w:p>
        </w:tc>
        <w:tc>
          <w:tcPr>
            <w:tcW w:w="507" w:type="pct"/>
            <w:tcBorders>
              <w:top w:val="nil"/>
              <w:left w:val="nil"/>
              <w:bottom w:val="nil"/>
              <w:right w:val="nil"/>
            </w:tcBorders>
            <w:shd w:val="clear" w:color="000000" w:fill="FFFFFF"/>
            <w:noWrap/>
            <w:vAlign w:val="center"/>
            <w:hideMark/>
          </w:tcPr>
          <w:p w14:paraId="3AC86B55"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21,1</w:t>
            </w:r>
          </w:p>
        </w:tc>
        <w:tc>
          <w:tcPr>
            <w:tcW w:w="506" w:type="pct"/>
            <w:tcBorders>
              <w:top w:val="nil"/>
              <w:left w:val="nil"/>
              <w:bottom w:val="nil"/>
              <w:right w:val="nil"/>
            </w:tcBorders>
            <w:shd w:val="clear" w:color="000000" w:fill="FFFFFF"/>
            <w:noWrap/>
            <w:vAlign w:val="center"/>
            <w:hideMark/>
          </w:tcPr>
          <w:p w14:paraId="35CA6C47"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19,2</w:t>
            </w:r>
          </w:p>
        </w:tc>
        <w:tc>
          <w:tcPr>
            <w:tcW w:w="507" w:type="pct"/>
            <w:tcBorders>
              <w:top w:val="nil"/>
              <w:left w:val="nil"/>
              <w:bottom w:val="nil"/>
              <w:right w:val="nil"/>
            </w:tcBorders>
            <w:shd w:val="clear" w:color="000000" w:fill="FFFFFF"/>
            <w:noWrap/>
            <w:vAlign w:val="center"/>
            <w:hideMark/>
          </w:tcPr>
          <w:p w14:paraId="31A8B5D0"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17,3</w:t>
            </w:r>
          </w:p>
        </w:tc>
        <w:tc>
          <w:tcPr>
            <w:tcW w:w="507" w:type="pct"/>
            <w:tcBorders>
              <w:top w:val="nil"/>
              <w:left w:val="nil"/>
              <w:bottom w:val="nil"/>
              <w:right w:val="nil"/>
            </w:tcBorders>
            <w:shd w:val="clear" w:color="000000" w:fill="FFFFFF"/>
            <w:noWrap/>
            <w:vAlign w:val="center"/>
            <w:hideMark/>
          </w:tcPr>
          <w:p w14:paraId="3053B41F"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17,0</w:t>
            </w:r>
          </w:p>
        </w:tc>
      </w:tr>
      <w:tr w:rsidR="00DF0C87" w:rsidRPr="0062711C" w14:paraId="3FB1BCBC" w14:textId="77777777" w:rsidTr="00855141">
        <w:trPr>
          <w:trHeight w:val="288"/>
        </w:trPr>
        <w:tc>
          <w:tcPr>
            <w:tcW w:w="2466" w:type="pct"/>
            <w:tcBorders>
              <w:top w:val="nil"/>
              <w:left w:val="nil"/>
              <w:bottom w:val="nil"/>
              <w:right w:val="nil"/>
            </w:tcBorders>
            <w:shd w:val="clear" w:color="000000" w:fill="FFFFFF"/>
            <w:noWrap/>
            <w:vAlign w:val="center"/>
            <w:hideMark/>
          </w:tcPr>
          <w:p w14:paraId="0FD1716D"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Остали</w:t>
            </w:r>
          </w:p>
        </w:tc>
        <w:tc>
          <w:tcPr>
            <w:tcW w:w="506" w:type="pct"/>
            <w:tcBorders>
              <w:top w:val="nil"/>
              <w:left w:val="nil"/>
              <w:bottom w:val="nil"/>
              <w:right w:val="nil"/>
            </w:tcBorders>
            <w:shd w:val="clear" w:color="000000" w:fill="FFFFFF"/>
            <w:noWrap/>
            <w:vAlign w:val="center"/>
            <w:hideMark/>
          </w:tcPr>
          <w:p w14:paraId="70F92222"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9,5</w:t>
            </w:r>
          </w:p>
        </w:tc>
        <w:tc>
          <w:tcPr>
            <w:tcW w:w="507" w:type="pct"/>
            <w:tcBorders>
              <w:top w:val="nil"/>
              <w:left w:val="nil"/>
              <w:bottom w:val="nil"/>
              <w:right w:val="nil"/>
            </w:tcBorders>
            <w:shd w:val="clear" w:color="000000" w:fill="FFFFFF"/>
            <w:noWrap/>
            <w:vAlign w:val="center"/>
            <w:hideMark/>
          </w:tcPr>
          <w:p w14:paraId="209F73C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9,3</w:t>
            </w:r>
          </w:p>
        </w:tc>
        <w:tc>
          <w:tcPr>
            <w:tcW w:w="506" w:type="pct"/>
            <w:tcBorders>
              <w:top w:val="nil"/>
              <w:left w:val="nil"/>
              <w:bottom w:val="nil"/>
              <w:right w:val="nil"/>
            </w:tcBorders>
            <w:shd w:val="clear" w:color="000000" w:fill="FFFFFF"/>
            <w:noWrap/>
            <w:vAlign w:val="center"/>
            <w:hideMark/>
          </w:tcPr>
          <w:p w14:paraId="20288144"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8,8</w:t>
            </w:r>
          </w:p>
        </w:tc>
        <w:tc>
          <w:tcPr>
            <w:tcW w:w="507" w:type="pct"/>
            <w:tcBorders>
              <w:top w:val="nil"/>
              <w:left w:val="nil"/>
              <w:bottom w:val="nil"/>
              <w:right w:val="nil"/>
            </w:tcBorders>
            <w:shd w:val="clear" w:color="000000" w:fill="FFFFFF"/>
            <w:noWrap/>
            <w:vAlign w:val="center"/>
            <w:hideMark/>
          </w:tcPr>
          <w:p w14:paraId="4CF3D27D"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8,6</w:t>
            </w:r>
          </w:p>
        </w:tc>
        <w:tc>
          <w:tcPr>
            <w:tcW w:w="507" w:type="pct"/>
            <w:tcBorders>
              <w:top w:val="nil"/>
              <w:left w:val="nil"/>
              <w:bottom w:val="nil"/>
              <w:right w:val="nil"/>
            </w:tcBorders>
            <w:shd w:val="clear" w:color="000000" w:fill="FFFFFF"/>
            <w:noWrap/>
            <w:vAlign w:val="center"/>
            <w:hideMark/>
          </w:tcPr>
          <w:p w14:paraId="40DED582"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10,3</w:t>
            </w:r>
          </w:p>
        </w:tc>
      </w:tr>
      <w:tr w:rsidR="00DF0C87" w:rsidRPr="0062711C" w14:paraId="44A679F5" w14:textId="77777777" w:rsidTr="00855141">
        <w:trPr>
          <w:trHeight w:val="288"/>
        </w:trPr>
        <w:tc>
          <w:tcPr>
            <w:tcW w:w="2466" w:type="pct"/>
            <w:tcBorders>
              <w:top w:val="single" w:sz="4" w:space="0" w:color="002060"/>
              <w:left w:val="nil"/>
              <w:bottom w:val="single" w:sz="4" w:space="0" w:color="002060"/>
              <w:right w:val="nil"/>
            </w:tcBorders>
            <w:shd w:val="clear" w:color="auto" w:fill="FFFFFF" w:themeFill="background1"/>
            <w:noWrap/>
            <w:vAlign w:val="center"/>
            <w:hideMark/>
          </w:tcPr>
          <w:p w14:paraId="20A25057" w14:textId="77777777" w:rsidR="00DF0C87" w:rsidRPr="0062711C" w:rsidRDefault="00DF0C87" w:rsidP="00DF0C87">
            <w:pPr>
              <w:spacing w:after="0" w:line="240" w:lineRule="auto"/>
              <w:jc w:val="left"/>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 Укупно: </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0DF0DD7E"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167,3</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6C6DF3FA"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162,5</w:t>
            </w:r>
          </w:p>
        </w:tc>
        <w:tc>
          <w:tcPr>
            <w:tcW w:w="506" w:type="pct"/>
            <w:tcBorders>
              <w:top w:val="single" w:sz="4" w:space="0" w:color="002060"/>
              <w:left w:val="nil"/>
              <w:bottom w:val="single" w:sz="4" w:space="0" w:color="002060"/>
              <w:right w:val="nil"/>
            </w:tcBorders>
            <w:shd w:val="clear" w:color="auto" w:fill="FFFFFF" w:themeFill="background1"/>
            <w:noWrap/>
            <w:vAlign w:val="center"/>
            <w:hideMark/>
          </w:tcPr>
          <w:p w14:paraId="5135A96B"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181,4</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12B1416B"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212,8</w:t>
            </w:r>
          </w:p>
        </w:tc>
        <w:tc>
          <w:tcPr>
            <w:tcW w:w="507" w:type="pct"/>
            <w:tcBorders>
              <w:top w:val="single" w:sz="4" w:space="0" w:color="002060"/>
              <w:left w:val="nil"/>
              <w:bottom w:val="single" w:sz="4" w:space="0" w:color="002060"/>
              <w:right w:val="nil"/>
            </w:tcBorders>
            <w:shd w:val="clear" w:color="auto" w:fill="FFFFFF" w:themeFill="background1"/>
            <w:noWrap/>
            <w:vAlign w:val="center"/>
            <w:hideMark/>
          </w:tcPr>
          <w:p w14:paraId="35276DA7"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212,0</w:t>
            </w:r>
          </w:p>
        </w:tc>
      </w:tr>
    </w:tbl>
    <w:p w14:paraId="41A1811F" w14:textId="77777777" w:rsidR="00DF0C87" w:rsidRPr="0062711C" w:rsidRDefault="00DF0C87" w:rsidP="00DF0C87">
      <w:pPr>
        <w:spacing w:after="120" w:line="276" w:lineRule="auto"/>
        <w:rPr>
          <w:rFonts w:eastAsia="MS PGothic" w:cstheme="minorHAnsi"/>
          <w:sz w:val="16"/>
          <w:szCs w:val="16"/>
          <w:lang w:val="sr-Cyrl-RS" w:eastAsia="ja-JP"/>
        </w:rPr>
        <w:sectPr w:rsidR="00DF0C87" w:rsidRPr="0062711C" w:rsidSect="00F45C01">
          <w:type w:val="continuous"/>
          <w:pgSz w:w="12240" w:h="15840"/>
          <w:pgMar w:top="1440" w:right="1440" w:bottom="1440" w:left="1440" w:header="720" w:footer="720" w:gutter="0"/>
          <w:cols w:space="720"/>
          <w:docGrid w:linePitch="360"/>
        </w:sectPr>
      </w:pPr>
      <w:r w:rsidRPr="0062711C">
        <w:rPr>
          <w:rFonts w:eastAsia="MS PGothic" w:cstheme="minorHAnsi"/>
          <w:sz w:val="16"/>
          <w:szCs w:val="16"/>
          <w:lang w:val="sr-Cyrl-RS" w:eastAsia="ja-JP"/>
        </w:rPr>
        <w:t>Извор: Министарство финансија</w:t>
      </w:r>
    </w:p>
    <w:p w14:paraId="6BE36949" w14:textId="5ABA1A4F" w:rsidR="00DF0C87" w:rsidRPr="0062711C" w:rsidRDefault="00DF0C87" w:rsidP="00DF0C87">
      <w:pPr>
        <w:spacing w:afterLines="120" w:after="288"/>
        <w:rPr>
          <w:rFonts w:eastAsia="MS PGothic" w:cstheme="minorHAnsi"/>
          <w:szCs w:val="20"/>
          <w:lang w:val="sr-Cyrl-RS" w:eastAsia="ja-JP"/>
        </w:rPr>
      </w:pPr>
      <w:r w:rsidRPr="0062711C">
        <w:rPr>
          <w:rFonts w:eastAsia="MS PGothic" w:cstheme="minorHAnsi"/>
          <w:szCs w:val="20"/>
          <w:lang w:val="sr-Cyrl-RS" w:eastAsia="ja-JP"/>
        </w:rPr>
        <w:t>Стање гарантованог дуга код Железничких предузећа („Железнице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„Инфраструктура железнице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„Србијавоз</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и „Србија Карго</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је значајно флуктуирало од 2020. године па све до данас. У 2020. и 2021. години „Железнице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су имале водећу позицију по основу стања гарантованог дуга, док је од 2022. године ту позицију преузело железничко предузеће „Србијавоз</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због кредита ЕБРД чија је намена набавка возних средстава и реконструкција и м</w:t>
      </w:r>
      <w:r w:rsidR="00D121C1" w:rsidRPr="0062711C">
        <w:rPr>
          <w:rFonts w:eastAsia="MS PGothic" w:cstheme="minorHAnsi"/>
          <w:szCs w:val="20"/>
          <w:lang w:val="sr-Cyrl-RS" w:eastAsia="ja-JP"/>
        </w:rPr>
        <w:t>одернизација регионалних депоа.</w:t>
      </w:r>
    </w:p>
    <w:p w14:paraId="0E4B0C5C" w14:textId="7F2BCB18" w:rsidR="00DF0C87" w:rsidRPr="0062711C" w:rsidRDefault="00DF0C87" w:rsidP="007B60D6">
      <w:pPr>
        <w:rPr>
          <w:rFonts w:eastAsia="MS PGothic" w:cstheme="minorHAnsi"/>
          <w:szCs w:val="20"/>
          <w:lang w:val="sr-Cyrl-RS" w:eastAsia="ja-JP"/>
        </w:rPr>
      </w:pPr>
      <w:r w:rsidRPr="0062711C">
        <w:rPr>
          <w:rFonts w:eastAsia="MS PGothic" w:cstheme="minorHAnsi"/>
          <w:szCs w:val="20"/>
          <w:lang w:val="sr-Cyrl-RS" w:eastAsia="ja-JP"/>
        </w:rPr>
        <w:t>Ако посматрамо стање дуга обезбеђеног државним гаранцијама према кредиторима, на дан 31. март 2024. године, највећа изложеност је према пословним банкама (унутрашњи и спољашњи дуг) у износу од 79,7 млрд динара или 37,6% укупних индиректних обавеза и Европској банци за обнову и развој (ЕБРД) у износу од 59,3 млрд динара (27,9%), затим обавезе према Европској инвестиционој банци (ЕИБ) од 46,2 млрд динара (21,8%), Јапанској агенцији за међународну сарадњу од 13,2 млрд динара (6,2%) и Немачкој развојној б</w:t>
      </w:r>
      <w:r w:rsidR="00063AC2" w:rsidRPr="0062711C">
        <w:rPr>
          <w:rFonts w:eastAsia="MS PGothic" w:cstheme="minorHAnsi"/>
          <w:szCs w:val="20"/>
          <w:lang w:val="sr-Cyrl-RS" w:eastAsia="ja-JP"/>
        </w:rPr>
        <w:t>анци од 10,6 млрд динара (5,0%)</w:t>
      </w:r>
      <w:r w:rsidR="007B60D6" w:rsidRPr="0062711C">
        <w:rPr>
          <w:rFonts w:eastAsia="MS PGothic" w:cstheme="minorHAnsi"/>
          <w:szCs w:val="20"/>
          <w:lang w:val="sr-Cyrl-RS" w:eastAsia="ja-JP"/>
        </w:rPr>
        <w:t>.</w:t>
      </w:r>
    </w:p>
    <w:p w14:paraId="4E1B5B98" w14:textId="77777777" w:rsidR="007B60D6" w:rsidRPr="0062711C" w:rsidRDefault="007B60D6" w:rsidP="007B60D6">
      <w:pPr>
        <w:rPr>
          <w:rFonts w:eastAsia="MS PGothic" w:cstheme="minorHAnsi"/>
          <w:szCs w:val="20"/>
          <w:lang w:val="sr-Cyrl-RS" w:eastAsia="ja-JP"/>
        </w:rPr>
        <w:sectPr w:rsidR="007B60D6" w:rsidRPr="0062711C" w:rsidSect="00F45C01">
          <w:type w:val="continuous"/>
          <w:pgSz w:w="12240" w:h="15840"/>
          <w:pgMar w:top="1440" w:right="1440" w:bottom="1440" w:left="1440" w:header="720" w:footer="720" w:gutter="0"/>
          <w:cols w:num="2" w:space="720"/>
          <w:docGrid w:linePitch="360"/>
        </w:sectPr>
      </w:pPr>
    </w:p>
    <w:p w14:paraId="7025DC31" w14:textId="78C7482F" w:rsidR="00DF0C87" w:rsidRPr="0062711C" w:rsidRDefault="009F6C93"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w:t>
      </w:r>
      <w:r w:rsidR="00DF0C87" w:rsidRPr="0062711C">
        <w:rPr>
          <w:rFonts w:eastAsia="MS PGothic" w:cstheme="minorHAnsi"/>
          <w:b/>
          <w:color w:val="002060"/>
          <w:szCs w:val="20"/>
          <w:lang w:val="sr-Cyrl-RS" w:eastAsia="ja-JP"/>
        </w:rPr>
        <w:t>а 1</w:t>
      </w:r>
      <w:r w:rsidR="00BB1E84">
        <w:rPr>
          <w:rFonts w:eastAsia="MS PGothic" w:cstheme="minorHAnsi"/>
          <w:b/>
          <w:color w:val="002060"/>
          <w:szCs w:val="20"/>
          <w:lang w:eastAsia="ja-JP"/>
        </w:rPr>
        <w:t>5</w:t>
      </w:r>
      <w:r w:rsidR="00DF0C87" w:rsidRPr="0062711C">
        <w:rPr>
          <w:rFonts w:eastAsia="MS PGothic" w:cstheme="minorHAnsi"/>
          <w:b/>
          <w:color w:val="002060"/>
          <w:szCs w:val="20"/>
          <w:lang w:val="sr-Cyrl-RS" w:eastAsia="ja-JP"/>
        </w:rPr>
        <w:t xml:space="preserve">: </w:t>
      </w:r>
      <w:r w:rsidR="001E44C9">
        <w:rPr>
          <w:rFonts w:eastAsia="MS PGothic" w:cstheme="minorHAnsi"/>
          <w:b/>
          <w:color w:val="002060"/>
          <w:szCs w:val="20"/>
          <w:lang w:val="sr-Cyrl-RS" w:eastAsia="ja-JP"/>
        </w:rPr>
        <w:t>Стање гарантованог дуга по кредиторима</w:t>
      </w:r>
      <w:r w:rsidR="00DF0C87" w:rsidRPr="0062711C">
        <w:rPr>
          <w:rFonts w:eastAsia="MS PGothic" w:cstheme="minorHAnsi"/>
          <w:b/>
          <w:color w:val="002060"/>
          <w:szCs w:val="20"/>
          <w:lang w:val="sr-Cyrl-RS" w:eastAsia="ja-JP"/>
        </w:rPr>
        <w:t>, млрд динара</w:t>
      </w:r>
    </w:p>
    <w:tbl>
      <w:tblPr>
        <w:tblW w:w="5000" w:type="pct"/>
        <w:tblLook w:val="04A0" w:firstRow="1" w:lastRow="0" w:firstColumn="1" w:lastColumn="0" w:noHBand="0" w:noVBand="1"/>
      </w:tblPr>
      <w:tblGrid>
        <w:gridCol w:w="4189"/>
        <w:gridCol w:w="1033"/>
        <w:gridCol w:w="1035"/>
        <w:gridCol w:w="1033"/>
        <w:gridCol w:w="1035"/>
        <w:gridCol w:w="1035"/>
      </w:tblGrid>
      <w:tr w:rsidR="00DF0C87" w:rsidRPr="0062711C" w14:paraId="02190813" w14:textId="77777777" w:rsidTr="00DC1D8F">
        <w:trPr>
          <w:trHeight w:val="300"/>
        </w:trPr>
        <w:tc>
          <w:tcPr>
            <w:tcW w:w="2237" w:type="pct"/>
            <w:tcBorders>
              <w:top w:val="single" w:sz="4" w:space="0" w:color="002060"/>
              <w:left w:val="nil"/>
              <w:bottom w:val="single" w:sz="4" w:space="0" w:color="002060"/>
              <w:right w:val="nil"/>
            </w:tcBorders>
            <w:shd w:val="clear" w:color="auto" w:fill="FFFFFF" w:themeFill="background1"/>
            <w:vAlign w:val="center"/>
            <w:hideMark/>
          </w:tcPr>
          <w:p w14:paraId="777D3B88" w14:textId="296292D4" w:rsidR="00DF0C87" w:rsidRPr="0062711C" w:rsidRDefault="001E44C9" w:rsidP="00DF0C87">
            <w:pPr>
              <w:spacing w:after="0" w:line="240" w:lineRule="auto"/>
              <w:rPr>
                <w:rFonts w:ascii="Calibri" w:eastAsia="Times New Roman" w:hAnsi="Calibri" w:cs="Calibri"/>
                <w:b/>
                <w:bCs/>
                <w:color w:val="002060"/>
                <w:sz w:val="18"/>
                <w:szCs w:val="18"/>
                <w:lang w:val="sr-Cyrl-RS"/>
              </w:rPr>
            </w:pPr>
            <w:r>
              <w:rPr>
                <w:rFonts w:ascii="Calibri" w:eastAsia="Times New Roman" w:hAnsi="Calibri" w:cs="Calibri"/>
                <w:b/>
                <w:bCs/>
                <w:color w:val="002060"/>
                <w:sz w:val="18"/>
                <w:szCs w:val="18"/>
                <w:lang w:val="sr-Cyrl-RS"/>
              </w:rPr>
              <w:t>Кредитори</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1A61DACD"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2020</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3713B0D5"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552" w:type="pct"/>
            <w:tcBorders>
              <w:top w:val="single" w:sz="4" w:space="0" w:color="002060"/>
              <w:left w:val="nil"/>
              <w:bottom w:val="single" w:sz="4" w:space="0" w:color="002060"/>
              <w:right w:val="nil"/>
            </w:tcBorders>
            <w:shd w:val="clear" w:color="auto" w:fill="FFFFFF" w:themeFill="background1"/>
            <w:vAlign w:val="center"/>
            <w:hideMark/>
          </w:tcPr>
          <w:p w14:paraId="0973A45D"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3475341D"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c>
          <w:tcPr>
            <w:tcW w:w="553" w:type="pct"/>
            <w:tcBorders>
              <w:top w:val="single" w:sz="4" w:space="0" w:color="002060"/>
              <w:left w:val="nil"/>
              <w:bottom w:val="single" w:sz="4" w:space="0" w:color="002060"/>
              <w:right w:val="nil"/>
            </w:tcBorders>
            <w:shd w:val="clear" w:color="auto" w:fill="FFFFFF" w:themeFill="background1"/>
            <w:vAlign w:val="center"/>
            <w:hideMark/>
          </w:tcPr>
          <w:p w14:paraId="0F5D1C72"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Q1 2024</w:t>
            </w:r>
          </w:p>
        </w:tc>
      </w:tr>
      <w:tr w:rsidR="00DF0C87" w:rsidRPr="0062711C" w14:paraId="3220B294" w14:textId="77777777" w:rsidTr="00DC1D8F">
        <w:trPr>
          <w:trHeight w:val="300"/>
        </w:trPr>
        <w:tc>
          <w:tcPr>
            <w:tcW w:w="2237" w:type="pct"/>
            <w:tcBorders>
              <w:top w:val="nil"/>
              <w:left w:val="nil"/>
              <w:bottom w:val="nil"/>
              <w:right w:val="nil"/>
            </w:tcBorders>
            <w:shd w:val="clear" w:color="000000" w:fill="FFFFFF"/>
            <w:vAlign w:val="center"/>
            <w:hideMark/>
          </w:tcPr>
          <w:p w14:paraId="15577F65"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Кредити пословних банака</w:t>
            </w:r>
          </w:p>
        </w:tc>
        <w:tc>
          <w:tcPr>
            <w:tcW w:w="552" w:type="pct"/>
            <w:tcBorders>
              <w:top w:val="nil"/>
              <w:left w:val="nil"/>
              <w:bottom w:val="nil"/>
              <w:right w:val="nil"/>
            </w:tcBorders>
            <w:shd w:val="clear" w:color="000000" w:fill="FFFFFF"/>
            <w:noWrap/>
            <w:vAlign w:val="center"/>
            <w:hideMark/>
          </w:tcPr>
          <w:p w14:paraId="58BF0BE6"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25,4 </w:t>
            </w:r>
          </w:p>
        </w:tc>
        <w:tc>
          <w:tcPr>
            <w:tcW w:w="553" w:type="pct"/>
            <w:tcBorders>
              <w:top w:val="nil"/>
              <w:left w:val="nil"/>
              <w:bottom w:val="nil"/>
              <w:right w:val="nil"/>
            </w:tcBorders>
            <w:shd w:val="clear" w:color="000000" w:fill="FFFFFF"/>
            <w:noWrap/>
            <w:vAlign w:val="center"/>
            <w:hideMark/>
          </w:tcPr>
          <w:p w14:paraId="34386EF7"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30,8 </w:t>
            </w:r>
          </w:p>
        </w:tc>
        <w:tc>
          <w:tcPr>
            <w:tcW w:w="552" w:type="pct"/>
            <w:tcBorders>
              <w:top w:val="nil"/>
              <w:left w:val="nil"/>
              <w:bottom w:val="nil"/>
              <w:right w:val="nil"/>
            </w:tcBorders>
            <w:shd w:val="clear" w:color="000000" w:fill="FFFFFF"/>
            <w:noWrap/>
            <w:vAlign w:val="center"/>
            <w:hideMark/>
          </w:tcPr>
          <w:p w14:paraId="7405CF98"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58,2 </w:t>
            </w:r>
          </w:p>
        </w:tc>
        <w:tc>
          <w:tcPr>
            <w:tcW w:w="553" w:type="pct"/>
            <w:tcBorders>
              <w:top w:val="nil"/>
              <w:left w:val="nil"/>
              <w:bottom w:val="nil"/>
              <w:right w:val="nil"/>
            </w:tcBorders>
            <w:shd w:val="clear" w:color="000000" w:fill="FFFFFF"/>
            <w:noWrap/>
            <w:vAlign w:val="center"/>
            <w:hideMark/>
          </w:tcPr>
          <w:p w14:paraId="1DFA009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82,8 </w:t>
            </w:r>
          </w:p>
        </w:tc>
        <w:tc>
          <w:tcPr>
            <w:tcW w:w="553" w:type="pct"/>
            <w:tcBorders>
              <w:top w:val="nil"/>
              <w:left w:val="nil"/>
              <w:bottom w:val="nil"/>
              <w:right w:val="nil"/>
            </w:tcBorders>
            <w:shd w:val="clear" w:color="000000" w:fill="FFFFFF"/>
            <w:noWrap/>
            <w:vAlign w:val="center"/>
            <w:hideMark/>
          </w:tcPr>
          <w:p w14:paraId="1AF4886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79,7 </w:t>
            </w:r>
          </w:p>
        </w:tc>
      </w:tr>
      <w:tr w:rsidR="00DF0C87" w:rsidRPr="0062711C" w14:paraId="75927077" w14:textId="77777777" w:rsidTr="00DC1D8F">
        <w:trPr>
          <w:trHeight w:val="300"/>
        </w:trPr>
        <w:tc>
          <w:tcPr>
            <w:tcW w:w="2237" w:type="pct"/>
            <w:tcBorders>
              <w:top w:val="nil"/>
              <w:left w:val="nil"/>
              <w:bottom w:val="nil"/>
              <w:right w:val="nil"/>
            </w:tcBorders>
            <w:shd w:val="clear" w:color="000000" w:fill="FFFFFF"/>
            <w:noWrap/>
            <w:vAlign w:val="center"/>
            <w:hideMark/>
          </w:tcPr>
          <w:p w14:paraId="2B6F9A3B"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Европска банка за обнову и развој (ЕБРД)</w:t>
            </w:r>
          </w:p>
        </w:tc>
        <w:tc>
          <w:tcPr>
            <w:tcW w:w="552" w:type="pct"/>
            <w:tcBorders>
              <w:top w:val="nil"/>
              <w:left w:val="nil"/>
              <w:bottom w:val="nil"/>
              <w:right w:val="nil"/>
            </w:tcBorders>
            <w:shd w:val="clear" w:color="000000" w:fill="FFFFFF"/>
            <w:noWrap/>
            <w:vAlign w:val="center"/>
            <w:hideMark/>
          </w:tcPr>
          <w:p w14:paraId="737C8154"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47,3 </w:t>
            </w:r>
          </w:p>
        </w:tc>
        <w:tc>
          <w:tcPr>
            <w:tcW w:w="553" w:type="pct"/>
            <w:tcBorders>
              <w:top w:val="nil"/>
              <w:left w:val="nil"/>
              <w:bottom w:val="nil"/>
              <w:right w:val="nil"/>
            </w:tcBorders>
            <w:shd w:val="clear" w:color="000000" w:fill="FFFFFF"/>
            <w:noWrap/>
            <w:vAlign w:val="center"/>
            <w:hideMark/>
          </w:tcPr>
          <w:p w14:paraId="0A7A60B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40,1 </w:t>
            </w:r>
          </w:p>
        </w:tc>
        <w:tc>
          <w:tcPr>
            <w:tcW w:w="552" w:type="pct"/>
            <w:tcBorders>
              <w:top w:val="nil"/>
              <w:left w:val="nil"/>
              <w:bottom w:val="nil"/>
              <w:right w:val="nil"/>
            </w:tcBorders>
            <w:shd w:val="clear" w:color="000000" w:fill="FFFFFF"/>
            <w:noWrap/>
            <w:vAlign w:val="center"/>
            <w:hideMark/>
          </w:tcPr>
          <w:p w14:paraId="13DC0C7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39,4 </w:t>
            </w:r>
          </w:p>
        </w:tc>
        <w:tc>
          <w:tcPr>
            <w:tcW w:w="553" w:type="pct"/>
            <w:tcBorders>
              <w:top w:val="nil"/>
              <w:left w:val="nil"/>
              <w:bottom w:val="nil"/>
              <w:right w:val="nil"/>
            </w:tcBorders>
            <w:shd w:val="clear" w:color="000000" w:fill="FFFFFF"/>
            <w:noWrap/>
            <w:vAlign w:val="center"/>
            <w:hideMark/>
          </w:tcPr>
          <w:p w14:paraId="7BD60FFB"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54,6 </w:t>
            </w:r>
          </w:p>
        </w:tc>
        <w:tc>
          <w:tcPr>
            <w:tcW w:w="553" w:type="pct"/>
            <w:tcBorders>
              <w:top w:val="nil"/>
              <w:left w:val="nil"/>
              <w:bottom w:val="nil"/>
              <w:right w:val="nil"/>
            </w:tcBorders>
            <w:shd w:val="clear" w:color="000000" w:fill="FFFFFF"/>
            <w:noWrap/>
            <w:vAlign w:val="center"/>
            <w:hideMark/>
          </w:tcPr>
          <w:p w14:paraId="5E301495"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59,3 </w:t>
            </w:r>
          </w:p>
        </w:tc>
      </w:tr>
      <w:tr w:rsidR="00DF0C87" w:rsidRPr="0062711C" w14:paraId="17B2121A" w14:textId="77777777" w:rsidTr="00DC1D8F">
        <w:trPr>
          <w:trHeight w:val="300"/>
        </w:trPr>
        <w:tc>
          <w:tcPr>
            <w:tcW w:w="2237" w:type="pct"/>
            <w:tcBorders>
              <w:top w:val="nil"/>
              <w:left w:val="nil"/>
              <w:bottom w:val="nil"/>
              <w:right w:val="nil"/>
            </w:tcBorders>
            <w:shd w:val="clear" w:color="000000" w:fill="FFFFFF"/>
            <w:noWrap/>
            <w:vAlign w:val="center"/>
            <w:hideMark/>
          </w:tcPr>
          <w:p w14:paraId="0DF18B5B"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Европска инвестициона банка (ЕИБ)</w:t>
            </w:r>
          </w:p>
        </w:tc>
        <w:tc>
          <w:tcPr>
            <w:tcW w:w="552" w:type="pct"/>
            <w:tcBorders>
              <w:top w:val="nil"/>
              <w:left w:val="nil"/>
              <w:bottom w:val="nil"/>
              <w:right w:val="nil"/>
            </w:tcBorders>
            <w:shd w:val="clear" w:color="000000" w:fill="FFFFFF"/>
            <w:noWrap/>
            <w:vAlign w:val="center"/>
            <w:hideMark/>
          </w:tcPr>
          <w:p w14:paraId="067BDAEF"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66,1 </w:t>
            </w:r>
          </w:p>
        </w:tc>
        <w:tc>
          <w:tcPr>
            <w:tcW w:w="553" w:type="pct"/>
            <w:tcBorders>
              <w:top w:val="nil"/>
              <w:left w:val="nil"/>
              <w:bottom w:val="nil"/>
              <w:right w:val="nil"/>
            </w:tcBorders>
            <w:shd w:val="clear" w:color="000000" w:fill="FFFFFF"/>
            <w:noWrap/>
            <w:vAlign w:val="center"/>
            <w:hideMark/>
          </w:tcPr>
          <w:p w14:paraId="588AB12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59,7 </w:t>
            </w:r>
          </w:p>
        </w:tc>
        <w:tc>
          <w:tcPr>
            <w:tcW w:w="552" w:type="pct"/>
            <w:tcBorders>
              <w:top w:val="nil"/>
              <w:left w:val="nil"/>
              <w:bottom w:val="nil"/>
              <w:right w:val="nil"/>
            </w:tcBorders>
            <w:shd w:val="clear" w:color="000000" w:fill="FFFFFF"/>
            <w:noWrap/>
            <w:vAlign w:val="center"/>
            <w:hideMark/>
          </w:tcPr>
          <w:p w14:paraId="5BBA229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53,5 </w:t>
            </w:r>
          </w:p>
        </w:tc>
        <w:tc>
          <w:tcPr>
            <w:tcW w:w="553" w:type="pct"/>
            <w:tcBorders>
              <w:top w:val="nil"/>
              <w:left w:val="nil"/>
              <w:bottom w:val="nil"/>
              <w:right w:val="nil"/>
            </w:tcBorders>
            <w:shd w:val="clear" w:color="000000" w:fill="FFFFFF"/>
            <w:noWrap/>
            <w:vAlign w:val="center"/>
            <w:hideMark/>
          </w:tcPr>
          <w:p w14:paraId="0ECCFDE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47,9 </w:t>
            </w:r>
          </w:p>
        </w:tc>
        <w:tc>
          <w:tcPr>
            <w:tcW w:w="553" w:type="pct"/>
            <w:tcBorders>
              <w:top w:val="nil"/>
              <w:left w:val="nil"/>
              <w:bottom w:val="nil"/>
              <w:right w:val="nil"/>
            </w:tcBorders>
            <w:shd w:val="clear" w:color="000000" w:fill="FFFFFF"/>
            <w:noWrap/>
            <w:vAlign w:val="center"/>
            <w:hideMark/>
          </w:tcPr>
          <w:p w14:paraId="6934551C"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46,2 </w:t>
            </w:r>
          </w:p>
        </w:tc>
      </w:tr>
      <w:tr w:rsidR="00DF0C87" w:rsidRPr="0062711C" w14:paraId="56C838CA" w14:textId="77777777" w:rsidTr="00DC1D8F">
        <w:trPr>
          <w:trHeight w:val="300"/>
        </w:trPr>
        <w:tc>
          <w:tcPr>
            <w:tcW w:w="2237" w:type="pct"/>
            <w:tcBorders>
              <w:top w:val="nil"/>
              <w:left w:val="nil"/>
              <w:bottom w:val="nil"/>
              <w:right w:val="nil"/>
            </w:tcBorders>
            <w:shd w:val="clear" w:color="000000" w:fill="FFFFFF"/>
            <w:noWrap/>
            <w:vAlign w:val="center"/>
            <w:hideMark/>
          </w:tcPr>
          <w:p w14:paraId="256D3DBF"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Јапанска агенција за међународну сарадњу</w:t>
            </w:r>
          </w:p>
        </w:tc>
        <w:tc>
          <w:tcPr>
            <w:tcW w:w="552" w:type="pct"/>
            <w:tcBorders>
              <w:top w:val="nil"/>
              <w:left w:val="nil"/>
              <w:bottom w:val="nil"/>
              <w:right w:val="nil"/>
            </w:tcBorders>
            <w:shd w:val="clear" w:color="000000" w:fill="FFFFFF"/>
            <w:noWrap/>
            <w:vAlign w:val="center"/>
            <w:hideMark/>
          </w:tcPr>
          <w:p w14:paraId="6AE69B1B"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10,5 </w:t>
            </w:r>
          </w:p>
        </w:tc>
        <w:tc>
          <w:tcPr>
            <w:tcW w:w="553" w:type="pct"/>
            <w:tcBorders>
              <w:top w:val="nil"/>
              <w:left w:val="nil"/>
              <w:bottom w:val="nil"/>
              <w:right w:val="nil"/>
            </w:tcBorders>
            <w:shd w:val="clear" w:color="000000" w:fill="FFFFFF"/>
            <w:noWrap/>
            <w:vAlign w:val="center"/>
            <w:hideMark/>
          </w:tcPr>
          <w:p w14:paraId="2BD94908"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16,0 </w:t>
            </w:r>
          </w:p>
        </w:tc>
        <w:tc>
          <w:tcPr>
            <w:tcW w:w="552" w:type="pct"/>
            <w:tcBorders>
              <w:top w:val="nil"/>
              <w:left w:val="nil"/>
              <w:bottom w:val="nil"/>
              <w:right w:val="nil"/>
            </w:tcBorders>
            <w:shd w:val="clear" w:color="000000" w:fill="FFFFFF"/>
            <w:noWrap/>
            <w:vAlign w:val="center"/>
            <w:hideMark/>
          </w:tcPr>
          <w:p w14:paraId="49D372E0"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17,1 </w:t>
            </w:r>
          </w:p>
        </w:tc>
        <w:tc>
          <w:tcPr>
            <w:tcW w:w="553" w:type="pct"/>
            <w:tcBorders>
              <w:top w:val="nil"/>
              <w:left w:val="nil"/>
              <w:bottom w:val="nil"/>
              <w:right w:val="nil"/>
            </w:tcBorders>
            <w:shd w:val="clear" w:color="000000" w:fill="FFFFFF"/>
            <w:noWrap/>
            <w:vAlign w:val="center"/>
            <w:hideMark/>
          </w:tcPr>
          <w:p w14:paraId="4FEAD357"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13,7 </w:t>
            </w:r>
          </w:p>
        </w:tc>
        <w:tc>
          <w:tcPr>
            <w:tcW w:w="553" w:type="pct"/>
            <w:tcBorders>
              <w:top w:val="nil"/>
              <w:left w:val="nil"/>
              <w:bottom w:val="nil"/>
              <w:right w:val="nil"/>
            </w:tcBorders>
            <w:shd w:val="clear" w:color="000000" w:fill="FFFFFF"/>
            <w:noWrap/>
            <w:vAlign w:val="center"/>
            <w:hideMark/>
          </w:tcPr>
          <w:p w14:paraId="7EBA93E2"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13,2 </w:t>
            </w:r>
          </w:p>
        </w:tc>
      </w:tr>
      <w:tr w:rsidR="00DF0C87" w:rsidRPr="0062711C" w14:paraId="738720CB" w14:textId="77777777" w:rsidTr="00DC1D8F">
        <w:trPr>
          <w:trHeight w:val="300"/>
        </w:trPr>
        <w:tc>
          <w:tcPr>
            <w:tcW w:w="2237" w:type="pct"/>
            <w:tcBorders>
              <w:top w:val="nil"/>
              <w:left w:val="nil"/>
              <w:bottom w:val="nil"/>
              <w:right w:val="nil"/>
            </w:tcBorders>
            <w:shd w:val="clear" w:color="000000" w:fill="FFFFFF"/>
            <w:noWrap/>
            <w:vAlign w:val="center"/>
            <w:hideMark/>
          </w:tcPr>
          <w:p w14:paraId="5A37889B"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Немачка развојна банка </w:t>
            </w:r>
          </w:p>
        </w:tc>
        <w:tc>
          <w:tcPr>
            <w:tcW w:w="552" w:type="pct"/>
            <w:tcBorders>
              <w:top w:val="nil"/>
              <w:left w:val="nil"/>
              <w:bottom w:val="nil"/>
              <w:right w:val="nil"/>
            </w:tcBorders>
            <w:shd w:val="clear" w:color="000000" w:fill="FFFFFF"/>
            <w:noWrap/>
            <w:vAlign w:val="center"/>
            <w:hideMark/>
          </w:tcPr>
          <w:p w14:paraId="1F80796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9,5 </w:t>
            </w:r>
          </w:p>
        </w:tc>
        <w:tc>
          <w:tcPr>
            <w:tcW w:w="553" w:type="pct"/>
            <w:tcBorders>
              <w:top w:val="nil"/>
              <w:left w:val="nil"/>
              <w:bottom w:val="nil"/>
              <w:right w:val="nil"/>
            </w:tcBorders>
            <w:shd w:val="clear" w:color="000000" w:fill="FFFFFF"/>
            <w:noWrap/>
            <w:vAlign w:val="center"/>
            <w:hideMark/>
          </w:tcPr>
          <w:p w14:paraId="1EBD3444"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7,9 </w:t>
            </w:r>
          </w:p>
        </w:tc>
        <w:tc>
          <w:tcPr>
            <w:tcW w:w="552" w:type="pct"/>
            <w:tcBorders>
              <w:top w:val="nil"/>
              <w:left w:val="nil"/>
              <w:bottom w:val="nil"/>
              <w:right w:val="nil"/>
            </w:tcBorders>
            <w:shd w:val="clear" w:color="000000" w:fill="FFFFFF"/>
            <w:noWrap/>
            <w:vAlign w:val="center"/>
            <w:hideMark/>
          </w:tcPr>
          <w:p w14:paraId="5B8AC6C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9,3 </w:t>
            </w:r>
          </w:p>
        </w:tc>
        <w:tc>
          <w:tcPr>
            <w:tcW w:w="553" w:type="pct"/>
            <w:tcBorders>
              <w:top w:val="nil"/>
              <w:left w:val="nil"/>
              <w:bottom w:val="nil"/>
              <w:right w:val="nil"/>
            </w:tcBorders>
            <w:shd w:val="clear" w:color="000000" w:fill="FFFFFF"/>
            <w:noWrap/>
            <w:vAlign w:val="center"/>
            <w:hideMark/>
          </w:tcPr>
          <w:p w14:paraId="75F7C0D6"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10,5 </w:t>
            </w:r>
          </w:p>
        </w:tc>
        <w:tc>
          <w:tcPr>
            <w:tcW w:w="553" w:type="pct"/>
            <w:tcBorders>
              <w:top w:val="nil"/>
              <w:left w:val="nil"/>
              <w:bottom w:val="nil"/>
              <w:right w:val="nil"/>
            </w:tcBorders>
            <w:shd w:val="clear" w:color="000000" w:fill="FFFFFF"/>
            <w:noWrap/>
            <w:vAlign w:val="center"/>
            <w:hideMark/>
          </w:tcPr>
          <w:p w14:paraId="3CADD312"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10,6 </w:t>
            </w:r>
          </w:p>
        </w:tc>
      </w:tr>
      <w:tr w:rsidR="00DF0C87" w:rsidRPr="0062711C" w14:paraId="0E489E03" w14:textId="77777777" w:rsidTr="00DC1D8F">
        <w:trPr>
          <w:trHeight w:val="300"/>
        </w:trPr>
        <w:tc>
          <w:tcPr>
            <w:tcW w:w="2237" w:type="pct"/>
            <w:tcBorders>
              <w:top w:val="nil"/>
              <w:left w:val="nil"/>
              <w:bottom w:val="nil"/>
              <w:right w:val="nil"/>
            </w:tcBorders>
            <w:shd w:val="clear" w:color="000000" w:fill="FFFFFF"/>
            <w:noWrap/>
            <w:vAlign w:val="center"/>
            <w:hideMark/>
          </w:tcPr>
          <w:p w14:paraId="220201FC"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Остали</w:t>
            </w:r>
          </w:p>
        </w:tc>
        <w:tc>
          <w:tcPr>
            <w:tcW w:w="552" w:type="pct"/>
            <w:tcBorders>
              <w:top w:val="nil"/>
              <w:left w:val="nil"/>
              <w:bottom w:val="nil"/>
              <w:right w:val="nil"/>
            </w:tcBorders>
            <w:shd w:val="clear" w:color="000000" w:fill="FFFFFF"/>
            <w:noWrap/>
            <w:vAlign w:val="center"/>
            <w:hideMark/>
          </w:tcPr>
          <w:p w14:paraId="4212EC4D"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8,5 </w:t>
            </w:r>
          </w:p>
        </w:tc>
        <w:tc>
          <w:tcPr>
            <w:tcW w:w="553" w:type="pct"/>
            <w:tcBorders>
              <w:top w:val="nil"/>
              <w:left w:val="nil"/>
              <w:bottom w:val="nil"/>
              <w:right w:val="nil"/>
            </w:tcBorders>
            <w:shd w:val="clear" w:color="000000" w:fill="FFFFFF"/>
            <w:noWrap/>
            <w:vAlign w:val="center"/>
            <w:hideMark/>
          </w:tcPr>
          <w:p w14:paraId="6B0011F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8,0 </w:t>
            </w:r>
          </w:p>
        </w:tc>
        <w:tc>
          <w:tcPr>
            <w:tcW w:w="552" w:type="pct"/>
            <w:tcBorders>
              <w:top w:val="nil"/>
              <w:left w:val="nil"/>
              <w:bottom w:val="nil"/>
              <w:right w:val="nil"/>
            </w:tcBorders>
            <w:shd w:val="clear" w:color="000000" w:fill="FFFFFF"/>
            <w:noWrap/>
            <w:vAlign w:val="center"/>
            <w:hideMark/>
          </w:tcPr>
          <w:p w14:paraId="7CBD7828"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4,0 </w:t>
            </w:r>
          </w:p>
        </w:tc>
        <w:tc>
          <w:tcPr>
            <w:tcW w:w="553" w:type="pct"/>
            <w:tcBorders>
              <w:top w:val="nil"/>
              <w:left w:val="nil"/>
              <w:bottom w:val="nil"/>
              <w:right w:val="nil"/>
            </w:tcBorders>
            <w:shd w:val="clear" w:color="000000" w:fill="FFFFFF"/>
            <w:noWrap/>
            <w:vAlign w:val="center"/>
            <w:hideMark/>
          </w:tcPr>
          <w:p w14:paraId="0BB7917E"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3,3 </w:t>
            </w:r>
          </w:p>
        </w:tc>
        <w:tc>
          <w:tcPr>
            <w:tcW w:w="553" w:type="pct"/>
            <w:tcBorders>
              <w:top w:val="nil"/>
              <w:left w:val="nil"/>
              <w:bottom w:val="nil"/>
              <w:right w:val="nil"/>
            </w:tcBorders>
            <w:shd w:val="clear" w:color="000000" w:fill="FFFFFF"/>
            <w:noWrap/>
            <w:vAlign w:val="center"/>
            <w:hideMark/>
          </w:tcPr>
          <w:p w14:paraId="1C554519"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3,1 </w:t>
            </w:r>
          </w:p>
        </w:tc>
      </w:tr>
      <w:tr w:rsidR="00DF0C87" w:rsidRPr="0062711C" w14:paraId="15998AFF" w14:textId="77777777" w:rsidTr="00DC1D8F">
        <w:trPr>
          <w:trHeight w:val="300"/>
        </w:trPr>
        <w:tc>
          <w:tcPr>
            <w:tcW w:w="2237" w:type="pct"/>
            <w:tcBorders>
              <w:top w:val="single" w:sz="4" w:space="0" w:color="002060"/>
              <w:left w:val="nil"/>
              <w:bottom w:val="single" w:sz="4" w:space="0" w:color="002060"/>
              <w:right w:val="nil"/>
            </w:tcBorders>
            <w:shd w:val="clear" w:color="auto" w:fill="FFFFFF" w:themeFill="background1"/>
            <w:noWrap/>
            <w:vAlign w:val="center"/>
            <w:hideMark/>
          </w:tcPr>
          <w:p w14:paraId="12E288F9" w14:textId="4ADEB66B" w:rsidR="00DF0C87" w:rsidRPr="0062711C" w:rsidRDefault="001E44C9" w:rsidP="001E44C9">
            <w:pPr>
              <w:spacing w:after="0" w:line="240" w:lineRule="auto"/>
              <w:rPr>
                <w:rFonts w:ascii="Calibri" w:eastAsia="Times New Roman" w:hAnsi="Calibri" w:cs="Calibri"/>
                <w:b/>
                <w:bCs/>
                <w:color w:val="002060"/>
                <w:sz w:val="18"/>
                <w:szCs w:val="18"/>
                <w:lang w:val="sr-Cyrl-RS"/>
              </w:rPr>
            </w:pPr>
            <w:r>
              <w:rPr>
                <w:rFonts w:ascii="Calibri" w:eastAsia="Times New Roman" w:hAnsi="Calibri" w:cs="Calibri"/>
                <w:b/>
                <w:bCs/>
                <w:color w:val="002060"/>
                <w:sz w:val="18"/>
                <w:szCs w:val="18"/>
                <w:lang w:val="sr-Cyrl-RS"/>
              </w:rPr>
              <w:t>Укупно</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17AD6E8F"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167,3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73771CF8"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162,5 </w:t>
            </w:r>
          </w:p>
        </w:tc>
        <w:tc>
          <w:tcPr>
            <w:tcW w:w="552" w:type="pct"/>
            <w:tcBorders>
              <w:top w:val="single" w:sz="4" w:space="0" w:color="002060"/>
              <w:left w:val="nil"/>
              <w:bottom w:val="single" w:sz="4" w:space="0" w:color="002060"/>
              <w:right w:val="nil"/>
            </w:tcBorders>
            <w:shd w:val="clear" w:color="auto" w:fill="FFFFFF" w:themeFill="background1"/>
            <w:noWrap/>
            <w:vAlign w:val="center"/>
            <w:hideMark/>
          </w:tcPr>
          <w:p w14:paraId="3B9F38B3"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181,4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664F065D"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212,8 </w:t>
            </w:r>
          </w:p>
        </w:tc>
        <w:tc>
          <w:tcPr>
            <w:tcW w:w="553" w:type="pct"/>
            <w:tcBorders>
              <w:top w:val="single" w:sz="4" w:space="0" w:color="002060"/>
              <w:left w:val="nil"/>
              <w:bottom w:val="single" w:sz="4" w:space="0" w:color="002060"/>
              <w:right w:val="nil"/>
            </w:tcBorders>
            <w:shd w:val="clear" w:color="auto" w:fill="FFFFFF" w:themeFill="background1"/>
            <w:noWrap/>
            <w:vAlign w:val="center"/>
            <w:hideMark/>
          </w:tcPr>
          <w:p w14:paraId="00B407BD"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 xml:space="preserve">212,0 </w:t>
            </w:r>
          </w:p>
        </w:tc>
      </w:tr>
    </w:tbl>
    <w:p w14:paraId="3E7607FE" w14:textId="77777777" w:rsidR="00DF0C87" w:rsidRPr="0062711C" w:rsidRDefault="00DF0C87" w:rsidP="00DF0C87">
      <w:pPr>
        <w:spacing w:after="12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Извор: Министарство финансија</w:t>
      </w:r>
    </w:p>
    <w:p w14:paraId="511D78D2" w14:textId="77777777" w:rsidR="00DF0C87" w:rsidRPr="0062711C" w:rsidRDefault="00DF0C87" w:rsidP="00DF0C87">
      <w:pPr>
        <w:spacing w:afterLines="120" w:after="288"/>
        <w:rPr>
          <w:rFonts w:eastAsia="MS PGothic" w:cstheme="minorHAnsi"/>
          <w:szCs w:val="20"/>
          <w:lang w:val="sr-Cyrl-RS" w:eastAsia="ja-JP"/>
        </w:rPr>
        <w:sectPr w:rsidR="00DF0C87" w:rsidRPr="0062711C" w:rsidSect="00F45C01">
          <w:type w:val="continuous"/>
          <w:pgSz w:w="12240" w:h="15840"/>
          <w:pgMar w:top="1440" w:right="1440" w:bottom="1440" w:left="1440" w:header="720" w:footer="720" w:gutter="0"/>
          <w:cols w:space="720"/>
          <w:docGrid w:linePitch="360"/>
        </w:sectPr>
      </w:pPr>
    </w:p>
    <w:p w14:paraId="72B0F4D7" w14:textId="75EFD90A" w:rsidR="00DF0C87" w:rsidRPr="0062711C" w:rsidRDefault="00DF0C87" w:rsidP="007B60D6">
      <w:pPr>
        <w:rPr>
          <w:rFonts w:eastAsia="MS PGothic" w:cstheme="minorHAnsi"/>
          <w:szCs w:val="20"/>
          <w:lang w:val="sr-Cyrl-RS" w:eastAsia="ja-JP"/>
        </w:rPr>
      </w:pPr>
      <w:r w:rsidRPr="0062711C">
        <w:rPr>
          <w:rFonts w:eastAsia="MS PGothic" w:cstheme="minorHAnsi"/>
          <w:szCs w:val="20"/>
          <w:lang w:val="sr-Cyrl-RS" w:eastAsia="ja-JP"/>
        </w:rPr>
        <w:lastRenderedPageBreak/>
        <w:t>Главнице по основу гарантованих кредита, сервисиране из буџета Републике Србије у 2023. години износиле су 27,2 млрд динара (2022. година 21,3 млрд динара), од чега 23,8 млрд динара утиче на дефицит. Рачуноводствена методологија, до 2014. године, није у расходе укључива</w:t>
      </w:r>
      <w:r w:rsidR="00D121C1" w:rsidRPr="0062711C">
        <w:rPr>
          <w:rFonts w:eastAsia="MS PGothic" w:cstheme="minorHAnsi"/>
          <w:szCs w:val="20"/>
          <w:lang w:val="sr-Cyrl-RS" w:eastAsia="ja-JP"/>
        </w:rPr>
        <w:t>ла отплате по основу гаранција.</w:t>
      </w:r>
    </w:p>
    <w:p w14:paraId="09ADD32C" w14:textId="77777777" w:rsidR="00DF0C87" w:rsidRPr="0062711C" w:rsidRDefault="00DF0C87" w:rsidP="00DF0C87">
      <w:pPr>
        <w:spacing w:afterLines="120" w:after="288"/>
        <w:rPr>
          <w:rFonts w:eastAsia="MS PGothic" w:cstheme="minorHAnsi"/>
          <w:szCs w:val="20"/>
          <w:lang w:val="sr-Cyrl-RS" w:eastAsia="ja-JP"/>
        </w:rPr>
      </w:pPr>
      <w:r w:rsidRPr="0062711C">
        <w:rPr>
          <w:rFonts w:eastAsia="MS PGothic" w:cstheme="minorHAnsi"/>
          <w:szCs w:val="20"/>
          <w:lang w:val="sr-Cyrl-RS" w:eastAsia="ja-JP"/>
        </w:rPr>
        <w:t>Од 2014. године део ових расхода је укључен у расходе буџета. Независно од буџетског и рачуноводственог приказа, дуг који уместо главног дужника плаћа држава повећава укупне потребе за задуживањем.</w:t>
      </w:r>
    </w:p>
    <w:p w14:paraId="6C8AE439" w14:textId="77777777" w:rsidR="00DF0C87" w:rsidRPr="0062711C" w:rsidRDefault="00DF0C87" w:rsidP="00DF0C87">
      <w:pPr>
        <w:spacing w:after="0" w:line="276" w:lineRule="auto"/>
        <w:jc w:val="center"/>
        <w:rPr>
          <w:rFonts w:eastAsia="MS PGothic" w:cstheme="minorHAnsi"/>
          <w:b/>
          <w:color w:val="002060"/>
          <w:szCs w:val="20"/>
          <w:lang w:val="sr-Cyrl-RS" w:eastAsia="ja-JP"/>
        </w:rPr>
        <w:sectPr w:rsidR="00DF0C87" w:rsidRPr="0062711C" w:rsidSect="00F45C01">
          <w:type w:val="continuous"/>
          <w:pgSz w:w="12240" w:h="15840"/>
          <w:pgMar w:top="1440" w:right="1440" w:bottom="1440" w:left="1440" w:header="720" w:footer="720" w:gutter="0"/>
          <w:cols w:num="2" w:space="720"/>
          <w:docGrid w:linePitch="360"/>
        </w:sectPr>
      </w:pPr>
    </w:p>
    <w:p w14:paraId="2762431D" w14:textId="77777777" w:rsidR="00DF0C87" w:rsidRPr="0062711C" w:rsidRDefault="00DF0C87" w:rsidP="007B60D6">
      <w:pPr>
        <w:spacing w:after="40" w:line="276" w:lineRule="auto"/>
        <w:jc w:val="center"/>
        <w:rPr>
          <w:rFonts w:eastAsia="MS PGothic" w:cstheme="minorHAnsi"/>
          <w:b/>
          <w:color w:val="002060"/>
          <w:szCs w:val="20"/>
          <w:lang w:val="sr-Cyrl-RS" w:eastAsia="ja-JP"/>
        </w:rPr>
        <w:sectPr w:rsidR="00DF0C87" w:rsidRPr="0062711C" w:rsidSect="00F45C01">
          <w:type w:val="continuous"/>
          <w:pgSz w:w="12240" w:h="15840"/>
          <w:pgMar w:top="1440" w:right="1440" w:bottom="1440" w:left="1440" w:header="720" w:footer="720" w:gutter="0"/>
          <w:cols w:space="720"/>
          <w:docGrid w:linePitch="360"/>
        </w:sectPr>
      </w:pPr>
      <w:r w:rsidRPr="0062711C">
        <w:rPr>
          <w:rFonts w:eastAsia="MS PGothic" w:cstheme="minorHAnsi"/>
          <w:b/>
          <w:color w:val="002060"/>
          <w:szCs w:val="20"/>
          <w:lang w:val="sr-Cyrl-RS" w:eastAsia="ja-JP"/>
        </w:rPr>
        <w:t>Укупна отплата по основу гаранција сервисираних из буџета Републике Србије, млрд динара</w:t>
      </w:r>
      <w:r w:rsidRPr="0062711C">
        <w:rPr>
          <w:noProof/>
          <w:lang w:val="en-GB" w:eastAsia="en-GB"/>
        </w:rPr>
        <w:drawing>
          <wp:inline distT="0" distB="0" distL="0" distR="0" wp14:anchorId="7C6960C0" wp14:editId="7BD440C8">
            <wp:extent cx="5943600" cy="2639695"/>
            <wp:effectExtent l="0" t="0" r="0" b="8255"/>
            <wp:docPr id="159483940" name="Chart 1">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p w14:paraId="7FB5724B"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План отплате по основу гаранција (укупно главница и камата) у Закону о буџету Републике Србије за 2024. годину износи 42,3 млрд динара, од чега се у расходе који утичу на резултат укључује 29,5 млрд динара за отплату главнице по гаранцијама.</w:t>
      </w:r>
    </w:p>
    <w:p w14:paraId="6EEEA160" w14:textId="77777777" w:rsidR="00DF0C87" w:rsidRPr="0062711C" w:rsidRDefault="00DF0C87" w:rsidP="00DF0C87">
      <w:pPr>
        <w:spacing w:after="120" w:line="257" w:lineRule="auto"/>
        <w:rPr>
          <w:rFonts w:eastAsia="MS PGothic" w:cstheme="minorHAnsi"/>
          <w:szCs w:val="20"/>
          <w:lang w:val="sr-Cyrl-RS" w:eastAsia="ja-JP"/>
        </w:rPr>
      </w:pPr>
      <w:r w:rsidRPr="0062711C">
        <w:rPr>
          <w:rFonts w:eastAsia="MS PGothic" w:cstheme="minorHAnsi"/>
          <w:szCs w:val="20"/>
          <w:lang w:val="sr-Cyrl-RS" w:eastAsia="ja-JP"/>
        </w:rPr>
        <w:t xml:space="preserve">Индиректни дуг, те укључивање дела отплата по основу гаранција у буџетске расходе, и повећање дефицита по том основу, повећали су свест о растућим фискалним ризицима који произилазе по основу издатих гаранција. Стога су предузете активности које ограничавају издавање нових гаранција. Изменама Закона о јавном дугу, чланом 16. става 3, Република Србија може дати гаранције само ако се средствима кредита за који се даје гаранција финансирају капитална улагања дужника. Република Србија не може дати гаранције ако се средствима кредита за који се даје гаранција финансира текуће пословање дужника односно за потребе ликвидности дужника. Изменама Закона о Фонду за развој Републике Србије онемогућено је даље давање </w:t>
      </w:r>
      <w:r w:rsidRPr="0062711C">
        <w:rPr>
          <w:rFonts w:eastAsia="MS PGothic" w:cstheme="minorHAnsi"/>
          <w:szCs w:val="20"/>
          <w:lang w:val="sr-Cyrl-RS" w:eastAsia="ja-JP"/>
        </w:rPr>
        <w:t>контрагаранција за гаранције издате од стране Фонда за развој Републике Србије.</w:t>
      </w:r>
    </w:p>
    <w:p w14:paraId="53B1E313" w14:textId="77777777" w:rsidR="00DF0C87" w:rsidRPr="0062711C" w:rsidRDefault="00DF0C87" w:rsidP="00DF0C87">
      <w:pPr>
        <w:spacing w:after="120" w:line="257" w:lineRule="auto"/>
        <w:rPr>
          <w:rFonts w:eastAsia="MS PGothic" w:cstheme="minorHAnsi"/>
          <w:szCs w:val="20"/>
          <w:lang w:val="sr-Cyrl-RS" w:eastAsia="ja-JP"/>
        </w:rPr>
      </w:pPr>
      <w:r w:rsidRPr="0062711C">
        <w:rPr>
          <w:rFonts w:eastAsia="MS PGothic" w:cstheme="minorHAnsi"/>
          <w:szCs w:val="20"/>
          <w:lang w:val="sr-Cyrl-RS" w:eastAsia="ja-JP"/>
        </w:rPr>
        <w:t>Поред ограничења у издавању државних гаранција кључни корак у смањењу и отклањању фискалних ризика по овом основу је у реформи државних предузећа, корисника гаранција, како би били способни да отплаћују своје кредите. Већи број предузећа, која су и највећи корисници гаранција, налазе се у процесу реструктурирања, односно спровођења планова реструктурирања урађених у сарадњи са међународним финансијским институцијама.</w:t>
      </w:r>
    </w:p>
    <w:p w14:paraId="6A612BD6" w14:textId="06B097FD" w:rsidR="00DF0C87" w:rsidRPr="0062711C" w:rsidRDefault="00DF0C87" w:rsidP="00DF0C87">
      <w:pPr>
        <w:spacing w:after="240" w:line="257" w:lineRule="auto"/>
        <w:rPr>
          <w:rFonts w:eastAsia="MS PGothic" w:cstheme="minorHAnsi"/>
          <w:szCs w:val="20"/>
          <w:lang w:val="sr-Cyrl-RS" w:eastAsia="ja-JP"/>
        </w:rPr>
      </w:pPr>
      <w:r w:rsidRPr="0062711C">
        <w:rPr>
          <w:rFonts w:eastAsia="MS PGothic" w:cstheme="minorHAnsi"/>
          <w:szCs w:val="20"/>
          <w:lang w:val="sr-Cyrl-RS" w:eastAsia="ja-JP"/>
        </w:rPr>
        <w:t xml:space="preserve">Законом о буџету Републике Србије за 2024. годину, члан 3А, планирано је издавање гаранција највише до 181 млрд динара. Чланом 42. Закона о буџету </w:t>
      </w:r>
      <w:r w:rsidR="00C708F5" w:rsidRPr="0062711C">
        <w:rPr>
          <w:rFonts w:eastAsia="MS PGothic" w:cstheme="minorHAnsi"/>
          <w:szCs w:val="20"/>
          <w:lang w:val="sr-Cyrl-RS" w:eastAsia="ja-JP"/>
        </w:rPr>
        <w:t>Републике</w:t>
      </w:r>
      <w:r w:rsidRPr="0062711C">
        <w:rPr>
          <w:rFonts w:eastAsia="MS PGothic" w:cstheme="minorHAnsi"/>
          <w:szCs w:val="20"/>
          <w:lang w:val="sr-Cyrl-RS" w:eastAsia="ja-JP"/>
        </w:rPr>
        <w:t xml:space="preserve"> Србије омогућено је да се обим издатих гаранција повећа, ради очувања и јачања финансијске стабилности или спречавања наступања или отклањања последица ванредних околности које могу да угрозе живот и здравље људи или да проузрокују штету већих размера, у износу до 20 млрд динара, а на предлог министарства надлежног за послове финансија.</w:t>
      </w:r>
    </w:p>
    <w:p w14:paraId="2CDBAC13" w14:textId="77777777" w:rsidR="00DF0C87" w:rsidRPr="0062711C" w:rsidRDefault="00DF0C87" w:rsidP="00DF0C87">
      <w:pPr>
        <w:spacing w:after="240" w:line="257" w:lineRule="auto"/>
        <w:rPr>
          <w:rFonts w:eastAsia="MS PGothic" w:cstheme="minorHAnsi"/>
          <w:b/>
          <w:color w:val="002060"/>
          <w:szCs w:val="20"/>
          <w:highlight w:val="yellow"/>
          <w:lang w:val="sr-Cyrl-RS" w:eastAsia="ja-JP"/>
        </w:rPr>
        <w:sectPr w:rsidR="00DF0C87" w:rsidRPr="0062711C" w:rsidSect="00F45C01">
          <w:type w:val="continuous"/>
          <w:pgSz w:w="12240" w:h="15840"/>
          <w:pgMar w:top="1440" w:right="1440" w:bottom="1440" w:left="1440" w:header="720" w:footer="720" w:gutter="0"/>
          <w:cols w:num="2" w:space="720"/>
          <w:docGrid w:linePitch="360"/>
        </w:sectPr>
      </w:pPr>
    </w:p>
    <w:p w14:paraId="02652DFF" w14:textId="1DF57F9E"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lastRenderedPageBreak/>
        <w:t>Табела 1</w:t>
      </w:r>
      <w:r w:rsidR="00BB1E84">
        <w:rPr>
          <w:rFonts w:eastAsia="MS PGothic" w:cstheme="minorHAnsi"/>
          <w:b/>
          <w:color w:val="002060"/>
          <w:szCs w:val="20"/>
          <w:lang w:eastAsia="ja-JP"/>
        </w:rPr>
        <w:t>6</w:t>
      </w:r>
      <w:r w:rsidRPr="0062711C">
        <w:rPr>
          <w:rFonts w:eastAsia="MS PGothic" w:cstheme="minorHAnsi"/>
          <w:b/>
          <w:color w:val="002060"/>
          <w:szCs w:val="20"/>
          <w:lang w:val="sr-Cyrl-RS" w:eastAsia="ja-JP"/>
        </w:rPr>
        <w:t>. План издавања гаранција у 2024. години, млрд динара</w:t>
      </w:r>
    </w:p>
    <w:tbl>
      <w:tblPr>
        <w:tblW w:w="5225" w:type="pct"/>
        <w:jc w:val="center"/>
        <w:tblLayout w:type="fixed"/>
        <w:tblCellMar>
          <w:left w:w="0" w:type="dxa"/>
          <w:right w:w="0" w:type="dxa"/>
        </w:tblCellMar>
        <w:tblLook w:val="04A0" w:firstRow="1" w:lastRow="0" w:firstColumn="1" w:lastColumn="0" w:noHBand="0" w:noVBand="1"/>
      </w:tblPr>
      <w:tblGrid>
        <w:gridCol w:w="2126"/>
        <w:gridCol w:w="708"/>
        <w:gridCol w:w="853"/>
        <w:gridCol w:w="1135"/>
        <w:gridCol w:w="1279"/>
        <w:gridCol w:w="847"/>
        <w:gridCol w:w="855"/>
        <w:gridCol w:w="497"/>
        <w:gridCol w:w="497"/>
        <w:gridCol w:w="984"/>
      </w:tblGrid>
      <w:tr w:rsidR="0003624C" w:rsidRPr="0062711C" w14:paraId="48DF3942" w14:textId="77777777" w:rsidTr="0003624C">
        <w:trPr>
          <w:trHeight w:val="940"/>
          <w:jc w:val="center"/>
        </w:trPr>
        <w:tc>
          <w:tcPr>
            <w:tcW w:w="1087" w:type="pct"/>
            <w:tcBorders>
              <w:top w:val="single" w:sz="4" w:space="0" w:color="002060"/>
              <w:left w:val="nil"/>
              <w:bottom w:val="single" w:sz="4" w:space="0" w:color="002060"/>
              <w:right w:val="nil"/>
            </w:tcBorders>
            <w:shd w:val="clear" w:color="auto" w:fill="auto"/>
            <w:vAlign w:val="center"/>
            <w:hideMark/>
          </w:tcPr>
          <w:p w14:paraId="6B1C5289" w14:textId="77777777" w:rsidR="008C484F" w:rsidRPr="0062711C" w:rsidRDefault="008C484F" w:rsidP="009367BB">
            <w:pPr>
              <w:spacing w:after="0" w:line="240" w:lineRule="auto"/>
              <w:jc w:val="left"/>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Корисници</w:t>
            </w:r>
          </w:p>
        </w:tc>
        <w:tc>
          <w:tcPr>
            <w:tcW w:w="362" w:type="pct"/>
            <w:tcBorders>
              <w:top w:val="single" w:sz="4" w:space="0" w:color="002060"/>
              <w:left w:val="nil"/>
              <w:bottom w:val="single" w:sz="4" w:space="0" w:color="002060"/>
              <w:right w:val="nil"/>
            </w:tcBorders>
            <w:shd w:val="clear" w:color="auto" w:fill="auto"/>
            <w:vAlign w:val="center"/>
            <w:hideMark/>
          </w:tcPr>
          <w:p w14:paraId="389749E1"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Број пројеката</w:t>
            </w:r>
          </w:p>
        </w:tc>
        <w:tc>
          <w:tcPr>
            <w:tcW w:w="436" w:type="pct"/>
            <w:tcBorders>
              <w:top w:val="single" w:sz="4" w:space="0" w:color="002060"/>
              <w:left w:val="nil"/>
              <w:bottom w:val="single" w:sz="4" w:space="0" w:color="002060"/>
              <w:right w:val="nil"/>
            </w:tcBorders>
            <w:shd w:val="clear" w:color="auto" w:fill="auto"/>
            <w:vAlign w:val="center"/>
            <w:hideMark/>
          </w:tcPr>
          <w:p w14:paraId="1EFA1D2C"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Домаће и стране пословне банке</w:t>
            </w:r>
          </w:p>
        </w:tc>
        <w:tc>
          <w:tcPr>
            <w:tcW w:w="580" w:type="pct"/>
            <w:tcBorders>
              <w:top w:val="single" w:sz="4" w:space="0" w:color="002060"/>
              <w:left w:val="nil"/>
              <w:bottom w:val="single" w:sz="4" w:space="0" w:color="002060"/>
              <w:right w:val="nil"/>
            </w:tcBorders>
            <w:shd w:val="clear" w:color="auto" w:fill="auto"/>
            <w:vAlign w:val="center"/>
            <w:hideMark/>
          </w:tcPr>
          <w:p w14:paraId="7C3DF20E" w14:textId="122AD046"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Европска инвестициона банка</w:t>
            </w:r>
          </w:p>
        </w:tc>
        <w:tc>
          <w:tcPr>
            <w:tcW w:w="654" w:type="pct"/>
            <w:tcBorders>
              <w:top w:val="single" w:sz="4" w:space="0" w:color="002060"/>
              <w:left w:val="nil"/>
              <w:bottom w:val="single" w:sz="4" w:space="0" w:color="002060"/>
              <w:right w:val="nil"/>
            </w:tcBorders>
            <w:shd w:val="clear" w:color="auto" w:fill="auto"/>
            <w:vAlign w:val="center"/>
            <w:hideMark/>
          </w:tcPr>
          <w:p w14:paraId="6F7BF174" w14:textId="10A48D6C" w:rsidR="008C484F" w:rsidRPr="0062711C" w:rsidRDefault="008C484F" w:rsidP="00D53E08">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Азијска инф</w:t>
            </w:r>
            <w:r w:rsidR="0003624C" w:rsidRPr="0062711C">
              <w:rPr>
                <w:rFonts w:eastAsia="Times New Roman" w:cstheme="minorHAnsi"/>
                <w:b/>
                <w:bCs/>
                <w:color w:val="002060"/>
                <w:sz w:val="16"/>
                <w:szCs w:val="16"/>
                <w:lang w:val="sr-Cyrl-RS"/>
              </w:rPr>
              <w:t>р</w:t>
            </w:r>
            <w:r w:rsidRPr="0062711C">
              <w:rPr>
                <w:rFonts w:eastAsia="Times New Roman" w:cstheme="minorHAnsi"/>
                <w:b/>
                <w:bCs/>
                <w:color w:val="002060"/>
                <w:sz w:val="16"/>
                <w:szCs w:val="16"/>
                <w:lang w:val="sr-Cyrl-RS"/>
              </w:rPr>
              <w:t>аструктурна инвестициона банка</w:t>
            </w:r>
          </w:p>
        </w:tc>
        <w:tc>
          <w:tcPr>
            <w:tcW w:w="433" w:type="pct"/>
            <w:tcBorders>
              <w:top w:val="single" w:sz="4" w:space="0" w:color="002060"/>
              <w:left w:val="nil"/>
              <w:bottom w:val="single" w:sz="4" w:space="0" w:color="002060"/>
              <w:right w:val="nil"/>
            </w:tcBorders>
            <w:shd w:val="clear" w:color="auto" w:fill="auto"/>
            <w:vAlign w:val="center"/>
            <w:hideMark/>
          </w:tcPr>
          <w:p w14:paraId="00EADE6A"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Европска банка за обнову и развој</w:t>
            </w:r>
          </w:p>
        </w:tc>
        <w:tc>
          <w:tcPr>
            <w:tcW w:w="437" w:type="pct"/>
            <w:tcBorders>
              <w:top w:val="single" w:sz="4" w:space="0" w:color="002060"/>
              <w:left w:val="nil"/>
              <w:bottom w:val="single" w:sz="4" w:space="0" w:color="002060"/>
              <w:right w:val="nil"/>
            </w:tcBorders>
            <w:shd w:val="clear" w:color="auto" w:fill="auto"/>
            <w:noWrap/>
            <w:vAlign w:val="center"/>
            <w:hideMark/>
          </w:tcPr>
          <w:p w14:paraId="4D6331F1"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ЕУРОФИМА</w:t>
            </w:r>
          </w:p>
        </w:tc>
        <w:tc>
          <w:tcPr>
            <w:tcW w:w="254" w:type="pct"/>
            <w:tcBorders>
              <w:top w:val="single" w:sz="4" w:space="0" w:color="002060"/>
              <w:left w:val="nil"/>
              <w:bottom w:val="single" w:sz="4" w:space="0" w:color="002060"/>
              <w:right w:val="nil"/>
            </w:tcBorders>
            <w:shd w:val="clear" w:color="auto" w:fill="auto"/>
            <w:vAlign w:val="center"/>
            <w:hideMark/>
          </w:tcPr>
          <w:p w14:paraId="717FD58C"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KfW</w:t>
            </w:r>
          </w:p>
        </w:tc>
        <w:tc>
          <w:tcPr>
            <w:tcW w:w="254" w:type="pct"/>
            <w:tcBorders>
              <w:top w:val="single" w:sz="4" w:space="0" w:color="002060"/>
              <w:left w:val="nil"/>
              <w:bottom w:val="single" w:sz="4" w:space="0" w:color="002060"/>
              <w:right w:val="nil"/>
            </w:tcBorders>
            <w:shd w:val="clear" w:color="auto" w:fill="auto"/>
            <w:vAlign w:val="center"/>
            <w:hideMark/>
          </w:tcPr>
          <w:p w14:paraId="50304FD9"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АФД</w:t>
            </w:r>
          </w:p>
        </w:tc>
        <w:tc>
          <w:tcPr>
            <w:tcW w:w="504" w:type="pct"/>
            <w:tcBorders>
              <w:top w:val="single" w:sz="4" w:space="0" w:color="002060"/>
              <w:left w:val="nil"/>
              <w:bottom w:val="single" w:sz="4" w:space="0" w:color="002060"/>
              <w:right w:val="nil"/>
            </w:tcBorders>
            <w:shd w:val="clear" w:color="auto" w:fill="auto"/>
            <w:vAlign w:val="center"/>
            <w:hideMark/>
          </w:tcPr>
          <w:p w14:paraId="68741890"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Укупно по предузећима</w:t>
            </w:r>
          </w:p>
        </w:tc>
      </w:tr>
      <w:tr w:rsidR="0003624C" w:rsidRPr="0062711C" w14:paraId="794D7A15" w14:textId="77777777" w:rsidTr="0003624C">
        <w:trPr>
          <w:trHeight w:val="300"/>
          <w:jc w:val="center"/>
        </w:trPr>
        <w:tc>
          <w:tcPr>
            <w:tcW w:w="1087" w:type="pct"/>
            <w:tcBorders>
              <w:top w:val="nil"/>
              <w:left w:val="nil"/>
              <w:bottom w:val="nil"/>
              <w:right w:val="nil"/>
            </w:tcBorders>
            <w:shd w:val="clear" w:color="auto" w:fill="auto"/>
            <w:noWrap/>
            <w:vAlign w:val="center"/>
            <w:hideMark/>
          </w:tcPr>
          <w:p w14:paraId="36A476DD" w14:textId="77777777" w:rsidR="008C484F" w:rsidRPr="0062711C" w:rsidRDefault="008C484F" w:rsidP="009367BB">
            <w:pPr>
              <w:spacing w:after="0" w:line="240" w:lineRule="auto"/>
              <w:jc w:val="left"/>
              <w:rPr>
                <w:rFonts w:eastAsia="Times New Roman" w:cstheme="minorHAnsi"/>
                <w:color w:val="002060"/>
                <w:sz w:val="16"/>
                <w:szCs w:val="16"/>
                <w:lang w:val="sr-Cyrl-RS"/>
              </w:rPr>
            </w:pPr>
            <w:r w:rsidRPr="0062711C">
              <w:rPr>
                <w:rFonts w:eastAsia="Times New Roman" w:cstheme="minorHAnsi"/>
                <w:color w:val="002060"/>
                <w:sz w:val="16"/>
                <w:szCs w:val="16"/>
                <w:lang w:val="sr-Cyrl-RS"/>
              </w:rPr>
              <w:t>„Електропривреда Србије” ад</w:t>
            </w:r>
          </w:p>
        </w:tc>
        <w:tc>
          <w:tcPr>
            <w:tcW w:w="362" w:type="pct"/>
            <w:tcBorders>
              <w:top w:val="nil"/>
              <w:left w:val="nil"/>
              <w:bottom w:val="nil"/>
              <w:right w:val="nil"/>
            </w:tcBorders>
            <w:shd w:val="clear" w:color="auto" w:fill="auto"/>
            <w:noWrap/>
            <w:vAlign w:val="center"/>
            <w:hideMark/>
          </w:tcPr>
          <w:p w14:paraId="5E70C69D"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8</w:t>
            </w:r>
          </w:p>
        </w:tc>
        <w:tc>
          <w:tcPr>
            <w:tcW w:w="436" w:type="pct"/>
            <w:tcBorders>
              <w:top w:val="nil"/>
              <w:left w:val="nil"/>
              <w:bottom w:val="nil"/>
              <w:right w:val="nil"/>
            </w:tcBorders>
            <w:shd w:val="clear" w:color="auto" w:fill="auto"/>
            <w:noWrap/>
            <w:vAlign w:val="center"/>
            <w:hideMark/>
          </w:tcPr>
          <w:p w14:paraId="27805612"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72,9</w:t>
            </w:r>
          </w:p>
        </w:tc>
        <w:tc>
          <w:tcPr>
            <w:tcW w:w="580" w:type="pct"/>
            <w:tcBorders>
              <w:top w:val="nil"/>
              <w:left w:val="nil"/>
              <w:bottom w:val="nil"/>
              <w:right w:val="nil"/>
            </w:tcBorders>
            <w:shd w:val="clear" w:color="auto" w:fill="auto"/>
            <w:noWrap/>
            <w:vAlign w:val="center"/>
            <w:hideMark/>
          </w:tcPr>
          <w:p w14:paraId="0172ACA3"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654" w:type="pct"/>
            <w:tcBorders>
              <w:top w:val="nil"/>
              <w:left w:val="nil"/>
              <w:bottom w:val="nil"/>
              <w:right w:val="nil"/>
            </w:tcBorders>
            <w:shd w:val="clear" w:color="auto" w:fill="auto"/>
            <w:noWrap/>
            <w:vAlign w:val="center"/>
            <w:hideMark/>
          </w:tcPr>
          <w:p w14:paraId="27559041"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15,9</w:t>
            </w:r>
          </w:p>
        </w:tc>
        <w:tc>
          <w:tcPr>
            <w:tcW w:w="433" w:type="pct"/>
            <w:tcBorders>
              <w:top w:val="nil"/>
              <w:left w:val="nil"/>
              <w:bottom w:val="nil"/>
              <w:right w:val="nil"/>
            </w:tcBorders>
            <w:shd w:val="clear" w:color="auto" w:fill="auto"/>
            <w:noWrap/>
            <w:vAlign w:val="center"/>
            <w:hideMark/>
          </w:tcPr>
          <w:p w14:paraId="188BD972"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7,9</w:t>
            </w:r>
          </w:p>
        </w:tc>
        <w:tc>
          <w:tcPr>
            <w:tcW w:w="437" w:type="pct"/>
            <w:tcBorders>
              <w:top w:val="nil"/>
              <w:left w:val="nil"/>
              <w:bottom w:val="nil"/>
              <w:right w:val="nil"/>
            </w:tcBorders>
            <w:shd w:val="clear" w:color="auto" w:fill="auto"/>
            <w:noWrap/>
            <w:vAlign w:val="center"/>
            <w:hideMark/>
          </w:tcPr>
          <w:p w14:paraId="4821A27F"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254" w:type="pct"/>
            <w:tcBorders>
              <w:top w:val="nil"/>
              <w:left w:val="nil"/>
              <w:bottom w:val="nil"/>
              <w:right w:val="nil"/>
            </w:tcBorders>
            <w:shd w:val="clear" w:color="auto" w:fill="auto"/>
            <w:noWrap/>
            <w:vAlign w:val="center"/>
            <w:hideMark/>
          </w:tcPr>
          <w:p w14:paraId="4D63CD8C"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3,5</w:t>
            </w:r>
          </w:p>
        </w:tc>
        <w:tc>
          <w:tcPr>
            <w:tcW w:w="254" w:type="pct"/>
            <w:tcBorders>
              <w:top w:val="nil"/>
              <w:left w:val="nil"/>
              <w:bottom w:val="nil"/>
              <w:right w:val="nil"/>
            </w:tcBorders>
            <w:shd w:val="clear" w:color="auto" w:fill="auto"/>
            <w:noWrap/>
            <w:vAlign w:val="center"/>
            <w:hideMark/>
          </w:tcPr>
          <w:p w14:paraId="08D14922"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504" w:type="pct"/>
            <w:tcBorders>
              <w:top w:val="nil"/>
              <w:left w:val="nil"/>
              <w:bottom w:val="nil"/>
              <w:right w:val="nil"/>
            </w:tcBorders>
            <w:shd w:val="clear" w:color="auto" w:fill="auto"/>
            <w:noWrap/>
            <w:vAlign w:val="center"/>
            <w:hideMark/>
          </w:tcPr>
          <w:p w14:paraId="5FEF4596"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100,2</w:t>
            </w:r>
          </w:p>
        </w:tc>
      </w:tr>
      <w:tr w:rsidR="0003624C" w:rsidRPr="0062711C" w14:paraId="576D8B4A" w14:textId="77777777" w:rsidTr="0003624C">
        <w:trPr>
          <w:trHeight w:val="300"/>
          <w:jc w:val="center"/>
        </w:trPr>
        <w:tc>
          <w:tcPr>
            <w:tcW w:w="1087" w:type="pct"/>
            <w:tcBorders>
              <w:top w:val="nil"/>
              <w:left w:val="nil"/>
              <w:bottom w:val="nil"/>
              <w:right w:val="nil"/>
            </w:tcBorders>
            <w:shd w:val="clear" w:color="auto" w:fill="auto"/>
            <w:noWrap/>
            <w:vAlign w:val="center"/>
            <w:hideMark/>
          </w:tcPr>
          <w:p w14:paraId="2C517BBB" w14:textId="77777777" w:rsidR="008C484F" w:rsidRPr="0062711C" w:rsidRDefault="008C484F" w:rsidP="009367BB">
            <w:pPr>
              <w:spacing w:after="0" w:line="240" w:lineRule="auto"/>
              <w:jc w:val="left"/>
              <w:rPr>
                <w:rFonts w:eastAsia="Times New Roman" w:cstheme="minorHAnsi"/>
                <w:color w:val="002060"/>
                <w:sz w:val="16"/>
                <w:szCs w:val="16"/>
                <w:lang w:val="sr-Cyrl-RS"/>
              </w:rPr>
            </w:pPr>
            <w:r w:rsidRPr="0062711C">
              <w:rPr>
                <w:rFonts w:eastAsia="Times New Roman" w:cstheme="minorHAnsi"/>
                <w:color w:val="002060"/>
                <w:sz w:val="16"/>
                <w:szCs w:val="16"/>
                <w:lang w:val="sr-Cyrl-RS"/>
              </w:rPr>
              <w:t>„Електродистрибуција Србије” доо</w:t>
            </w:r>
          </w:p>
        </w:tc>
        <w:tc>
          <w:tcPr>
            <w:tcW w:w="362" w:type="pct"/>
            <w:tcBorders>
              <w:top w:val="nil"/>
              <w:left w:val="nil"/>
              <w:bottom w:val="nil"/>
              <w:right w:val="nil"/>
            </w:tcBorders>
            <w:shd w:val="clear" w:color="auto" w:fill="auto"/>
            <w:noWrap/>
            <w:vAlign w:val="center"/>
            <w:hideMark/>
          </w:tcPr>
          <w:p w14:paraId="4D047166"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3</w:t>
            </w:r>
          </w:p>
        </w:tc>
        <w:tc>
          <w:tcPr>
            <w:tcW w:w="436" w:type="pct"/>
            <w:tcBorders>
              <w:top w:val="nil"/>
              <w:left w:val="nil"/>
              <w:bottom w:val="nil"/>
              <w:right w:val="nil"/>
            </w:tcBorders>
            <w:shd w:val="clear" w:color="auto" w:fill="auto"/>
            <w:noWrap/>
            <w:vAlign w:val="center"/>
            <w:hideMark/>
          </w:tcPr>
          <w:p w14:paraId="3E7F464C"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11,5</w:t>
            </w:r>
          </w:p>
        </w:tc>
        <w:tc>
          <w:tcPr>
            <w:tcW w:w="580" w:type="pct"/>
            <w:tcBorders>
              <w:top w:val="nil"/>
              <w:left w:val="nil"/>
              <w:bottom w:val="nil"/>
              <w:right w:val="nil"/>
            </w:tcBorders>
            <w:shd w:val="clear" w:color="auto" w:fill="auto"/>
            <w:noWrap/>
            <w:vAlign w:val="center"/>
            <w:hideMark/>
          </w:tcPr>
          <w:p w14:paraId="33B8AF32"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21,2</w:t>
            </w:r>
          </w:p>
        </w:tc>
        <w:tc>
          <w:tcPr>
            <w:tcW w:w="654" w:type="pct"/>
            <w:tcBorders>
              <w:top w:val="nil"/>
              <w:left w:val="nil"/>
              <w:bottom w:val="nil"/>
              <w:right w:val="nil"/>
            </w:tcBorders>
            <w:shd w:val="clear" w:color="auto" w:fill="auto"/>
            <w:noWrap/>
            <w:vAlign w:val="center"/>
            <w:hideMark/>
          </w:tcPr>
          <w:p w14:paraId="4F25E5FB"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433" w:type="pct"/>
            <w:tcBorders>
              <w:top w:val="nil"/>
              <w:left w:val="nil"/>
              <w:bottom w:val="nil"/>
              <w:right w:val="nil"/>
            </w:tcBorders>
            <w:shd w:val="clear" w:color="auto" w:fill="auto"/>
            <w:noWrap/>
            <w:vAlign w:val="center"/>
            <w:hideMark/>
          </w:tcPr>
          <w:p w14:paraId="7BF4BFB2"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437" w:type="pct"/>
            <w:tcBorders>
              <w:top w:val="nil"/>
              <w:left w:val="nil"/>
              <w:bottom w:val="nil"/>
              <w:right w:val="nil"/>
            </w:tcBorders>
            <w:shd w:val="clear" w:color="auto" w:fill="auto"/>
            <w:noWrap/>
            <w:vAlign w:val="center"/>
            <w:hideMark/>
          </w:tcPr>
          <w:p w14:paraId="776B16FB"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254" w:type="pct"/>
            <w:tcBorders>
              <w:top w:val="nil"/>
              <w:left w:val="nil"/>
              <w:bottom w:val="nil"/>
              <w:right w:val="nil"/>
            </w:tcBorders>
            <w:shd w:val="clear" w:color="auto" w:fill="auto"/>
            <w:noWrap/>
            <w:vAlign w:val="center"/>
            <w:hideMark/>
          </w:tcPr>
          <w:p w14:paraId="625D9D2F"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254" w:type="pct"/>
            <w:tcBorders>
              <w:top w:val="nil"/>
              <w:left w:val="nil"/>
              <w:bottom w:val="nil"/>
              <w:right w:val="nil"/>
            </w:tcBorders>
            <w:shd w:val="clear" w:color="auto" w:fill="auto"/>
            <w:noWrap/>
            <w:vAlign w:val="center"/>
            <w:hideMark/>
          </w:tcPr>
          <w:p w14:paraId="3C63F39C"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504" w:type="pct"/>
            <w:tcBorders>
              <w:top w:val="nil"/>
              <w:left w:val="nil"/>
              <w:bottom w:val="nil"/>
              <w:right w:val="nil"/>
            </w:tcBorders>
            <w:shd w:val="clear" w:color="auto" w:fill="auto"/>
            <w:noWrap/>
            <w:vAlign w:val="center"/>
            <w:hideMark/>
          </w:tcPr>
          <w:p w14:paraId="618571D9"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32,7</w:t>
            </w:r>
          </w:p>
        </w:tc>
      </w:tr>
      <w:tr w:rsidR="0003624C" w:rsidRPr="0062711C" w14:paraId="4D793C5E" w14:textId="77777777" w:rsidTr="0003624C">
        <w:trPr>
          <w:trHeight w:val="300"/>
          <w:jc w:val="center"/>
        </w:trPr>
        <w:tc>
          <w:tcPr>
            <w:tcW w:w="1087" w:type="pct"/>
            <w:tcBorders>
              <w:top w:val="nil"/>
              <w:left w:val="nil"/>
              <w:bottom w:val="nil"/>
              <w:right w:val="nil"/>
            </w:tcBorders>
            <w:shd w:val="clear" w:color="auto" w:fill="auto"/>
            <w:noWrap/>
            <w:vAlign w:val="center"/>
            <w:hideMark/>
          </w:tcPr>
          <w:p w14:paraId="20858095" w14:textId="77777777" w:rsidR="008C484F" w:rsidRPr="0062711C" w:rsidRDefault="008C484F" w:rsidP="009367BB">
            <w:pPr>
              <w:spacing w:after="0" w:line="240" w:lineRule="auto"/>
              <w:jc w:val="left"/>
              <w:rPr>
                <w:rFonts w:eastAsia="Times New Roman" w:cstheme="minorHAnsi"/>
                <w:color w:val="002060"/>
                <w:sz w:val="16"/>
                <w:szCs w:val="16"/>
                <w:lang w:val="sr-Cyrl-RS"/>
              </w:rPr>
            </w:pPr>
            <w:r w:rsidRPr="0062711C">
              <w:rPr>
                <w:rFonts w:eastAsia="Times New Roman" w:cstheme="minorHAnsi"/>
                <w:color w:val="002060"/>
                <w:sz w:val="16"/>
                <w:szCs w:val="16"/>
                <w:lang w:val="sr-Cyrl-RS"/>
              </w:rPr>
              <w:t>ЈП „Србијагас”</w:t>
            </w:r>
          </w:p>
        </w:tc>
        <w:tc>
          <w:tcPr>
            <w:tcW w:w="362" w:type="pct"/>
            <w:tcBorders>
              <w:top w:val="nil"/>
              <w:left w:val="nil"/>
              <w:bottom w:val="nil"/>
              <w:right w:val="nil"/>
            </w:tcBorders>
            <w:shd w:val="clear" w:color="auto" w:fill="auto"/>
            <w:noWrap/>
            <w:vAlign w:val="center"/>
            <w:hideMark/>
          </w:tcPr>
          <w:p w14:paraId="3CA2A0C8"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w:t>
            </w:r>
          </w:p>
        </w:tc>
        <w:tc>
          <w:tcPr>
            <w:tcW w:w="436" w:type="pct"/>
            <w:tcBorders>
              <w:top w:val="nil"/>
              <w:left w:val="nil"/>
              <w:bottom w:val="nil"/>
              <w:right w:val="nil"/>
            </w:tcBorders>
            <w:shd w:val="clear" w:color="auto" w:fill="auto"/>
            <w:noWrap/>
            <w:vAlign w:val="center"/>
            <w:hideMark/>
          </w:tcPr>
          <w:p w14:paraId="45FEEB87"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27,1</w:t>
            </w:r>
          </w:p>
        </w:tc>
        <w:tc>
          <w:tcPr>
            <w:tcW w:w="580" w:type="pct"/>
            <w:tcBorders>
              <w:top w:val="nil"/>
              <w:left w:val="nil"/>
              <w:bottom w:val="nil"/>
              <w:right w:val="nil"/>
            </w:tcBorders>
            <w:shd w:val="clear" w:color="auto" w:fill="auto"/>
            <w:noWrap/>
            <w:vAlign w:val="center"/>
            <w:hideMark/>
          </w:tcPr>
          <w:p w14:paraId="5F9E6FD6"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654" w:type="pct"/>
            <w:tcBorders>
              <w:top w:val="nil"/>
              <w:left w:val="nil"/>
              <w:bottom w:val="nil"/>
              <w:right w:val="nil"/>
            </w:tcBorders>
            <w:shd w:val="clear" w:color="auto" w:fill="auto"/>
            <w:noWrap/>
            <w:vAlign w:val="center"/>
            <w:hideMark/>
          </w:tcPr>
          <w:p w14:paraId="5C353DC1"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433" w:type="pct"/>
            <w:tcBorders>
              <w:top w:val="nil"/>
              <w:left w:val="nil"/>
              <w:bottom w:val="nil"/>
              <w:right w:val="nil"/>
            </w:tcBorders>
            <w:shd w:val="clear" w:color="auto" w:fill="auto"/>
            <w:noWrap/>
            <w:vAlign w:val="center"/>
            <w:hideMark/>
          </w:tcPr>
          <w:p w14:paraId="018F0D3A"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437" w:type="pct"/>
            <w:tcBorders>
              <w:top w:val="nil"/>
              <w:left w:val="nil"/>
              <w:bottom w:val="nil"/>
              <w:right w:val="nil"/>
            </w:tcBorders>
            <w:shd w:val="clear" w:color="auto" w:fill="auto"/>
            <w:noWrap/>
            <w:vAlign w:val="center"/>
            <w:hideMark/>
          </w:tcPr>
          <w:p w14:paraId="67FB2410"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254" w:type="pct"/>
            <w:tcBorders>
              <w:top w:val="nil"/>
              <w:left w:val="nil"/>
              <w:bottom w:val="nil"/>
              <w:right w:val="nil"/>
            </w:tcBorders>
            <w:shd w:val="clear" w:color="auto" w:fill="auto"/>
            <w:noWrap/>
            <w:vAlign w:val="center"/>
            <w:hideMark/>
          </w:tcPr>
          <w:p w14:paraId="28A36A48"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254" w:type="pct"/>
            <w:tcBorders>
              <w:top w:val="nil"/>
              <w:left w:val="nil"/>
              <w:bottom w:val="nil"/>
              <w:right w:val="nil"/>
            </w:tcBorders>
            <w:shd w:val="clear" w:color="auto" w:fill="auto"/>
            <w:noWrap/>
            <w:vAlign w:val="center"/>
            <w:hideMark/>
          </w:tcPr>
          <w:p w14:paraId="203123C0"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504" w:type="pct"/>
            <w:tcBorders>
              <w:top w:val="nil"/>
              <w:left w:val="nil"/>
              <w:bottom w:val="nil"/>
              <w:right w:val="nil"/>
            </w:tcBorders>
            <w:shd w:val="clear" w:color="auto" w:fill="auto"/>
            <w:noWrap/>
            <w:vAlign w:val="center"/>
            <w:hideMark/>
          </w:tcPr>
          <w:p w14:paraId="18353D31"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27,1</w:t>
            </w:r>
          </w:p>
        </w:tc>
      </w:tr>
      <w:tr w:rsidR="0003624C" w:rsidRPr="0062711C" w14:paraId="6E79449E" w14:textId="77777777" w:rsidTr="0003624C">
        <w:trPr>
          <w:trHeight w:val="300"/>
          <w:jc w:val="center"/>
        </w:trPr>
        <w:tc>
          <w:tcPr>
            <w:tcW w:w="1087" w:type="pct"/>
            <w:tcBorders>
              <w:top w:val="nil"/>
              <w:left w:val="nil"/>
              <w:bottom w:val="nil"/>
              <w:right w:val="nil"/>
            </w:tcBorders>
            <w:shd w:val="clear" w:color="auto" w:fill="auto"/>
            <w:noWrap/>
            <w:vAlign w:val="center"/>
            <w:hideMark/>
          </w:tcPr>
          <w:p w14:paraId="3F0DCB7F" w14:textId="77777777" w:rsidR="008C484F" w:rsidRPr="0062711C" w:rsidRDefault="008C484F" w:rsidP="009367BB">
            <w:pPr>
              <w:spacing w:after="0" w:line="240" w:lineRule="auto"/>
              <w:jc w:val="left"/>
              <w:rPr>
                <w:rFonts w:eastAsia="Times New Roman" w:cstheme="minorHAnsi"/>
                <w:color w:val="002060"/>
                <w:sz w:val="16"/>
                <w:szCs w:val="16"/>
                <w:lang w:val="sr-Cyrl-RS"/>
              </w:rPr>
            </w:pPr>
            <w:r w:rsidRPr="0062711C">
              <w:rPr>
                <w:rFonts w:eastAsia="Times New Roman" w:cstheme="minorHAnsi"/>
                <w:color w:val="002060"/>
                <w:sz w:val="16"/>
                <w:szCs w:val="16"/>
                <w:lang w:val="sr-Cyrl-RS"/>
              </w:rPr>
              <w:t>„Србијавоз” ад</w:t>
            </w:r>
          </w:p>
        </w:tc>
        <w:tc>
          <w:tcPr>
            <w:tcW w:w="362" w:type="pct"/>
            <w:tcBorders>
              <w:top w:val="nil"/>
              <w:left w:val="nil"/>
              <w:bottom w:val="nil"/>
              <w:right w:val="nil"/>
            </w:tcBorders>
            <w:shd w:val="clear" w:color="auto" w:fill="auto"/>
            <w:noWrap/>
            <w:vAlign w:val="center"/>
            <w:hideMark/>
          </w:tcPr>
          <w:p w14:paraId="0F44AFD1"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2</w:t>
            </w:r>
          </w:p>
        </w:tc>
        <w:tc>
          <w:tcPr>
            <w:tcW w:w="436" w:type="pct"/>
            <w:tcBorders>
              <w:top w:val="nil"/>
              <w:left w:val="nil"/>
              <w:bottom w:val="nil"/>
              <w:right w:val="nil"/>
            </w:tcBorders>
            <w:shd w:val="clear" w:color="auto" w:fill="auto"/>
            <w:noWrap/>
            <w:vAlign w:val="center"/>
            <w:hideMark/>
          </w:tcPr>
          <w:p w14:paraId="59198EE2"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580" w:type="pct"/>
            <w:tcBorders>
              <w:top w:val="nil"/>
              <w:left w:val="nil"/>
              <w:bottom w:val="nil"/>
              <w:right w:val="nil"/>
            </w:tcBorders>
            <w:shd w:val="clear" w:color="auto" w:fill="auto"/>
            <w:noWrap/>
            <w:vAlign w:val="center"/>
            <w:hideMark/>
          </w:tcPr>
          <w:p w14:paraId="448B6984"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654" w:type="pct"/>
            <w:tcBorders>
              <w:top w:val="nil"/>
              <w:left w:val="nil"/>
              <w:bottom w:val="nil"/>
              <w:right w:val="nil"/>
            </w:tcBorders>
            <w:shd w:val="clear" w:color="auto" w:fill="auto"/>
            <w:noWrap/>
            <w:vAlign w:val="center"/>
            <w:hideMark/>
          </w:tcPr>
          <w:p w14:paraId="335BB8A2"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433" w:type="pct"/>
            <w:tcBorders>
              <w:top w:val="nil"/>
              <w:left w:val="nil"/>
              <w:bottom w:val="nil"/>
              <w:right w:val="nil"/>
            </w:tcBorders>
            <w:shd w:val="clear" w:color="auto" w:fill="auto"/>
            <w:noWrap/>
            <w:vAlign w:val="center"/>
            <w:hideMark/>
          </w:tcPr>
          <w:p w14:paraId="60C6E3DC"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3,0</w:t>
            </w:r>
          </w:p>
        </w:tc>
        <w:tc>
          <w:tcPr>
            <w:tcW w:w="437" w:type="pct"/>
            <w:tcBorders>
              <w:top w:val="nil"/>
              <w:left w:val="nil"/>
              <w:bottom w:val="nil"/>
              <w:right w:val="nil"/>
            </w:tcBorders>
            <w:shd w:val="clear" w:color="auto" w:fill="auto"/>
            <w:noWrap/>
            <w:vAlign w:val="center"/>
            <w:hideMark/>
          </w:tcPr>
          <w:p w14:paraId="492053ED"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10,6</w:t>
            </w:r>
          </w:p>
        </w:tc>
        <w:tc>
          <w:tcPr>
            <w:tcW w:w="254" w:type="pct"/>
            <w:tcBorders>
              <w:top w:val="nil"/>
              <w:left w:val="nil"/>
              <w:bottom w:val="nil"/>
              <w:right w:val="nil"/>
            </w:tcBorders>
            <w:shd w:val="clear" w:color="auto" w:fill="auto"/>
            <w:noWrap/>
            <w:vAlign w:val="center"/>
            <w:hideMark/>
          </w:tcPr>
          <w:p w14:paraId="78407F3D"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254" w:type="pct"/>
            <w:tcBorders>
              <w:top w:val="nil"/>
              <w:left w:val="nil"/>
              <w:bottom w:val="nil"/>
              <w:right w:val="nil"/>
            </w:tcBorders>
            <w:shd w:val="clear" w:color="auto" w:fill="auto"/>
            <w:noWrap/>
            <w:vAlign w:val="center"/>
            <w:hideMark/>
          </w:tcPr>
          <w:p w14:paraId="5D5E46B0"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504" w:type="pct"/>
            <w:tcBorders>
              <w:top w:val="nil"/>
              <w:left w:val="nil"/>
              <w:bottom w:val="nil"/>
              <w:right w:val="nil"/>
            </w:tcBorders>
            <w:shd w:val="clear" w:color="auto" w:fill="auto"/>
            <w:noWrap/>
            <w:vAlign w:val="center"/>
            <w:hideMark/>
          </w:tcPr>
          <w:p w14:paraId="04CAADC6"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13,6</w:t>
            </w:r>
          </w:p>
        </w:tc>
      </w:tr>
      <w:tr w:rsidR="0003624C" w:rsidRPr="0062711C" w14:paraId="4FE88592" w14:textId="77777777" w:rsidTr="0003624C">
        <w:trPr>
          <w:trHeight w:val="300"/>
          <w:jc w:val="center"/>
        </w:trPr>
        <w:tc>
          <w:tcPr>
            <w:tcW w:w="1087" w:type="pct"/>
            <w:tcBorders>
              <w:top w:val="nil"/>
              <w:left w:val="nil"/>
              <w:bottom w:val="nil"/>
              <w:right w:val="nil"/>
            </w:tcBorders>
            <w:shd w:val="clear" w:color="auto" w:fill="auto"/>
            <w:noWrap/>
            <w:vAlign w:val="center"/>
            <w:hideMark/>
          </w:tcPr>
          <w:p w14:paraId="3D4A4A60" w14:textId="77777777" w:rsidR="008C484F" w:rsidRPr="0062711C" w:rsidRDefault="008C484F" w:rsidP="009367BB">
            <w:pPr>
              <w:spacing w:after="0" w:line="240" w:lineRule="auto"/>
              <w:jc w:val="left"/>
              <w:rPr>
                <w:rFonts w:eastAsia="Times New Roman" w:cstheme="minorHAnsi"/>
                <w:color w:val="002060"/>
                <w:sz w:val="16"/>
                <w:szCs w:val="16"/>
                <w:lang w:val="sr-Cyrl-RS"/>
              </w:rPr>
            </w:pPr>
            <w:r w:rsidRPr="0062711C">
              <w:rPr>
                <w:rFonts w:eastAsia="Times New Roman" w:cstheme="minorHAnsi"/>
                <w:color w:val="002060"/>
                <w:sz w:val="16"/>
                <w:szCs w:val="16"/>
                <w:lang w:val="sr-Cyrl-RS"/>
              </w:rPr>
              <w:t>„Електромрежа Србије” ад</w:t>
            </w:r>
          </w:p>
        </w:tc>
        <w:tc>
          <w:tcPr>
            <w:tcW w:w="362" w:type="pct"/>
            <w:tcBorders>
              <w:top w:val="nil"/>
              <w:left w:val="nil"/>
              <w:bottom w:val="nil"/>
              <w:right w:val="nil"/>
            </w:tcBorders>
            <w:shd w:val="clear" w:color="auto" w:fill="auto"/>
            <w:noWrap/>
            <w:vAlign w:val="center"/>
            <w:hideMark/>
          </w:tcPr>
          <w:p w14:paraId="66140AC8"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2</w:t>
            </w:r>
          </w:p>
        </w:tc>
        <w:tc>
          <w:tcPr>
            <w:tcW w:w="436" w:type="pct"/>
            <w:tcBorders>
              <w:top w:val="nil"/>
              <w:left w:val="nil"/>
              <w:bottom w:val="nil"/>
              <w:right w:val="nil"/>
            </w:tcBorders>
            <w:shd w:val="clear" w:color="auto" w:fill="auto"/>
            <w:noWrap/>
            <w:vAlign w:val="center"/>
            <w:hideMark/>
          </w:tcPr>
          <w:p w14:paraId="29EE868E"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580" w:type="pct"/>
            <w:tcBorders>
              <w:top w:val="nil"/>
              <w:left w:val="nil"/>
              <w:bottom w:val="nil"/>
              <w:right w:val="nil"/>
            </w:tcBorders>
            <w:shd w:val="clear" w:color="auto" w:fill="auto"/>
            <w:noWrap/>
            <w:vAlign w:val="center"/>
            <w:hideMark/>
          </w:tcPr>
          <w:p w14:paraId="3EACBEA4"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654" w:type="pct"/>
            <w:tcBorders>
              <w:top w:val="nil"/>
              <w:left w:val="nil"/>
              <w:bottom w:val="nil"/>
              <w:right w:val="nil"/>
            </w:tcBorders>
            <w:shd w:val="clear" w:color="auto" w:fill="auto"/>
            <w:noWrap/>
            <w:vAlign w:val="center"/>
            <w:hideMark/>
          </w:tcPr>
          <w:p w14:paraId="041A773E"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433" w:type="pct"/>
            <w:tcBorders>
              <w:top w:val="nil"/>
              <w:left w:val="nil"/>
              <w:bottom w:val="nil"/>
              <w:right w:val="nil"/>
            </w:tcBorders>
            <w:shd w:val="clear" w:color="auto" w:fill="auto"/>
            <w:noWrap/>
            <w:vAlign w:val="center"/>
            <w:hideMark/>
          </w:tcPr>
          <w:p w14:paraId="065D3AF3"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437" w:type="pct"/>
            <w:tcBorders>
              <w:top w:val="nil"/>
              <w:left w:val="nil"/>
              <w:bottom w:val="nil"/>
              <w:right w:val="nil"/>
            </w:tcBorders>
            <w:shd w:val="clear" w:color="auto" w:fill="auto"/>
            <w:noWrap/>
            <w:vAlign w:val="center"/>
            <w:hideMark/>
          </w:tcPr>
          <w:p w14:paraId="41AB434F" w14:textId="77777777" w:rsidR="008C484F" w:rsidRPr="0062711C" w:rsidRDefault="008C484F" w:rsidP="009367BB">
            <w:pPr>
              <w:spacing w:after="0" w:line="240" w:lineRule="auto"/>
              <w:jc w:val="center"/>
              <w:rPr>
                <w:rFonts w:eastAsia="Times New Roman" w:cstheme="minorHAnsi"/>
                <w:color w:val="auto"/>
                <w:sz w:val="16"/>
                <w:szCs w:val="16"/>
                <w:lang w:val="sr-Cyrl-RS"/>
              </w:rPr>
            </w:pPr>
          </w:p>
        </w:tc>
        <w:tc>
          <w:tcPr>
            <w:tcW w:w="254" w:type="pct"/>
            <w:tcBorders>
              <w:top w:val="nil"/>
              <w:left w:val="nil"/>
              <w:bottom w:val="nil"/>
              <w:right w:val="nil"/>
            </w:tcBorders>
            <w:shd w:val="clear" w:color="auto" w:fill="auto"/>
            <w:noWrap/>
            <w:vAlign w:val="center"/>
            <w:hideMark/>
          </w:tcPr>
          <w:p w14:paraId="62420F08"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4,1</w:t>
            </w:r>
          </w:p>
        </w:tc>
        <w:tc>
          <w:tcPr>
            <w:tcW w:w="254" w:type="pct"/>
            <w:tcBorders>
              <w:top w:val="nil"/>
              <w:left w:val="nil"/>
              <w:bottom w:val="nil"/>
              <w:right w:val="nil"/>
            </w:tcBorders>
            <w:shd w:val="clear" w:color="auto" w:fill="auto"/>
            <w:noWrap/>
            <w:vAlign w:val="center"/>
            <w:hideMark/>
          </w:tcPr>
          <w:p w14:paraId="1B477DE0"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1,4</w:t>
            </w:r>
          </w:p>
        </w:tc>
        <w:tc>
          <w:tcPr>
            <w:tcW w:w="504" w:type="pct"/>
            <w:tcBorders>
              <w:top w:val="nil"/>
              <w:left w:val="nil"/>
              <w:bottom w:val="nil"/>
              <w:right w:val="nil"/>
            </w:tcBorders>
            <w:shd w:val="clear" w:color="auto" w:fill="auto"/>
            <w:noWrap/>
            <w:vAlign w:val="center"/>
            <w:hideMark/>
          </w:tcPr>
          <w:p w14:paraId="20B4B74B"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5,5</w:t>
            </w:r>
          </w:p>
        </w:tc>
      </w:tr>
      <w:tr w:rsidR="0003624C" w:rsidRPr="0062711C" w14:paraId="50F6A974" w14:textId="77777777" w:rsidTr="0003624C">
        <w:trPr>
          <w:trHeight w:val="300"/>
          <w:jc w:val="center"/>
        </w:trPr>
        <w:tc>
          <w:tcPr>
            <w:tcW w:w="1087" w:type="pct"/>
            <w:tcBorders>
              <w:top w:val="nil"/>
              <w:left w:val="nil"/>
              <w:bottom w:val="single" w:sz="4" w:space="0" w:color="002060"/>
              <w:right w:val="nil"/>
            </w:tcBorders>
            <w:shd w:val="clear" w:color="auto" w:fill="auto"/>
            <w:noWrap/>
            <w:vAlign w:val="center"/>
            <w:hideMark/>
          </w:tcPr>
          <w:p w14:paraId="26591D43" w14:textId="77777777" w:rsidR="008C484F" w:rsidRPr="0062711C" w:rsidRDefault="008C484F" w:rsidP="009367BB">
            <w:pPr>
              <w:spacing w:after="0" w:line="240" w:lineRule="auto"/>
              <w:jc w:val="left"/>
              <w:rPr>
                <w:rFonts w:eastAsia="Times New Roman" w:cstheme="minorHAnsi"/>
                <w:color w:val="002060"/>
                <w:sz w:val="16"/>
                <w:szCs w:val="16"/>
                <w:lang w:val="sr-Cyrl-RS"/>
              </w:rPr>
            </w:pPr>
            <w:r w:rsidRPr="0062711C">
              <w:rPr>
                <w:rFonts w:eastAsia="Times New Roman" w:cstheme="minorHAnsi"/>
                <w:color w:val="002060"/>
                <w:sz w:val="16"/>
                <w:szCs w:val="16"/>
                <w:lang w:val="sr-Cyrl-RS"/>
              </w:rPr>
              <w:t>„Србија Карго” ад</w:t>
            </w:r>
          </w:p>
        </w:tc>
        <w:tc>
          <w:tcPr>
            <w:tcW w:w="362" w:type="pct"/>
            <w:tcBorders>
              <w:top w:val="nil"/>
              <w:left w:val="nil"/>
              <w:bottom w:val="single" w:sz="4" w:space="0" w:color="002060"/>
              <w:right w:val="nil"/>
            </w:tcBorders>
            <w:shd w:val="clear" w:color="auto" w:fill="auto"/>
            <w:noWrap/>
            <w:vAlign w:val="center"/>
            <w:hideMark/>
          </w:tcPr>
          <w:p w14:paraId="43C46A68"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w:t>
            </w:r>
          </w:p>
        </w:tc>
        <w:tc>
          <w:tcPr>
            <w:tcW w:w="436" w:type="pct"/>
            <w:tcBorders>
              <w:top w:val="nil"/>
              <w:left w:val="nil"/>
              <w:bottom w:val="single" w:sz="4" w:space="0" w:color="002060"/>
              <w:right w:val="nil"/>
            </w:tcBorders>
            <w:shd w:val="clear" w:color="auto" w:fill="auto"/>
            <w:noWrap/>
            <w:vAlign w:val="center"/>
            <w:hideMark/>
          </w:tcPr>
          <w:p w14:paraId="6132F42B"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1,8</w:t>
            </w:r>
          </w:p>
        </w:tc>
        <w:tc>
          <w:tcPr>
            <w:tcW w:w="580" w:type="pct"/>
            <w:tcBorders>
              <w:top w:val="nil"/>
              <w:left w:val="nil"/>
              <w:bottom w:val="single" w:sz="4" w:space="0" w:color="002060"/>
              <w:right w:val="nil"/>
            </w:tcBorders>
            <w:shd w:val="clear" w:color="auto" w:fill="auto"/>
            <w:noWrap/>
            <w:vAlign w:val="center"/>
            <w:hideMark/>
          </w:tcPr>
          <w:p w14:paraId="7ACDEE09"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654" w:type="pct"/>
            <w:tcBorders>
              <w:top w:val="nil"/>
              <w:left w:val="nil"/>
              <w:bottom w:val="single" w:sz="4" w:space="0" w:color="002060"/>
              <w:right w:val="nil"/>
            </w:tcBorders>
            <w:shd w:val="clear" w:color="auto" w:fill="auto"/>
            <w:noWrap/>
            <w:vAlign w:val="center"/>
            <w:hideMark/>
          </w:tcPr>
          <w:p w14:paraId="4931B5FF"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433" w:type="pct"/>
            <w:tcBorders>
              <w:top w:val="nil"/>
              <w:left w:val="nil"/>
              <w:bottom w:val="single" w:sz="4" w:space="0" w:color="002060"/>
              <w:right w:val="nil"/>
            </w:tcBorders>
            <w:shd w:val="clear" w:color="auto" w:fill="auto"/>
            <w:noWrap/>
            <w:vAlign w:val="center"/>
            <w:hideMark/>
          </w:tcPr>
          <w:p w14:paraId="131FD2AD"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437" w:type="pct"/>
            <w:tcBorders>
              <w:top w:val="nil"/>
              <w:left w:val="nil"/>
              <w:bottom w:val="single" w:sz="4" w:space="0" w:color="002060"/>
              <w:right w:val="nil"/>
            </w:tcBorders>
            <w:shd w:val="clear" w:color="auto" w:fill="auto"/>
            <w:noWrap/>
            <w:vAlign w:val="center"/>
            <w:hideMark/>
          </w:tcPr>
          <w:p w14:paraId="46E204EC"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254" w:type="pct"/>
            <w:tcBorders>
              <w:top w:val="nil"/>
              <w:left w:val="nil"/>
              <w:bottom w:val="single" w:sz="4" w:space="0" w:color="002060"/>
              <w:right w:val="nil"/>
            </w:tcBorders>
            <w:shd w:val="clear" w:color="auto" w:fill="auto"/>
            <w:noWrap/>
            <w:vAlign w:val="center"/>
            <w:hideMark/>
          </w:tcPr>
          <w:p w14:paraId="67E3B5E9"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254" w:type="pct"/>
            <w:tcBorders>
              <w:top w:val="nil"/>
              <w:left w:val="nil"/>
              <w:bottom w:val="single" w:sz="4" w:space="0" w:color="002060"/>
              <w:right w:val="nil"/>
            </w:tcBorders>
            <w:shd w:val="clear" w:color="auto" w:fill="auto"/>
            <w:noWrap/>
            <w:vAlign w:val="center"/>
            <w:hideMark/>
          </w:tcPr>
          <w:p w14:paraId="25C6A63B" w14:textId="77777777" w:rsidR="008C484F" w:rsidRPr="0062711C" w:rsidRDefault="008C484F" w:rsidP="009367BB">
            <w:pPr>
              <w:spacing w:after="0" w:line="240" w:lineRule="auto"/>
              <w:jc w:val="center"/>
              <w:rPr>
                <w:rFonts w:eastAsia="Times New Roman" w:cstheme="minorHAnsi"/>
                <w:color w:val="002060"/>
                <w:sz w:val="16"/>
                <w:szCs w:val="16"/>
                <w:lang w:val="sr-Cyrl-RS"/>
              </w:rPr>
            </w:pPr>
          </w:p>
        </w:tc>
        <w:tc>
          <w:tcPr>
            <w:tcW w:w="504" w:type="pct"/>
            <w:tcBorders>
              <w:top w:val="nil"/>
              <w:left w:val="nil"/>
              <w:bottom w:val="single" w:sz="4" w:space="0" w:color="002060"/>
              <w:right w:val="nil"/>
            </w:tcBorders>
            <w:shd w:val="clear" w:color="auto" w:fill="auto"/>
            <w:noWrap/>
            <w:vAlign w:val="center"/>
            <w:hideMark/>
          </w:tcPr>
          <w:p w14:paraId="50E3DF34" w14:textId="77777777" w:rsidR="008C484F" w:rsidRPr="0062711C" w:rsidRDefault="008C484F" w:rsidP="009367BB">
            <w:pPr>
              <w:spacing w:after="0" w:line="240" w:lineRule="auto"/>
              <w:jc w:val="center"/>
              <w:rPr>
                <w:rFonts w:eastAsia="Times New Roman" w:cstheme="minorHAnsi"/>
                <w:color w:val="002060"/>
                <w:sz w:val="16"/>
                <w:szCs w:val="16"/>
                <w:lang w:val="sr-Cyrl-RS"/>
              </w:rPr>
            </w:pPr>
            <w:r w:rsidRPr="0062711C">
              <w:rPr>
                <w:rFonts w:eastAsia="Times New Roman" w:cstheme="minorHAnsi"/>
                <w:color w:val="002060"/>
                <w:sz w:val="16"/>
                <w:szCs w:val="16"/>
                <w:lang w:val="sr-Cyrl-RS"/>
              </w:rPr>
              <w:t>1,8</w:t>
            </w:r>
          </w:p>
        </w:tc>
      </w:tr>
      <w:tr w:rsidR="0003624C" w:rsidRPr="0062711C" w14:paraId="5636EB42" w14:textId="77777777" w:rsidTr="0003624C">
        <w:trPr>
          <w:trHeight w:val="300"/>
          <w:jc w:val="center"/>
        </w:trPr>
        <w:tc>
          <w:tcPr>
            <w:tcW w:w="1087" w:type="pct"/>
            <w:tcBorders>
              <w:top w:val="nil"/>
              <w:left w:val="nil"/>
              <w:bottom w:val="single" w:sz="4" w:space="0" w:color="002060"/>
              <w:right w:val="nil"/>
            </w:tcBorders>
            <w:shd w:val="clear" w:color="auto" w:fill="auto"/>
            <w:noWrap/>
            <w:vAlign w:val="center"/>
            <w:hideMark/>
          </w:tcPr>
          <w:p w14:paraId="21CF9FA2" w14:textId="77777777" w:rsidR="008C484F" w:rsidRPr="0062711C" w:rsidRDefault="008C484F" w:rsidP="009367BB">
            <w:pPr>
              <w:spacing w:after="0" w:line="240" w:lineRule="auto"/>
              <w:jc w:val="left"/>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Укупно по банкама</w:t>
            </w:r>
          </w:p>
        </w:tc>
        <w:tc>
          <w:tcPr>
            <w:tcW w:w="362" w:type="pct"/>
            <w:tcBorders>
              <w:top w:val="nil"/>
              <w:left w:val="nil"/>
              <w:bottom w:val="single" w:sz="4" w:space="0" w:color="002060"/>
              <w:right w:val="nil"/>
            </w:tcBorders>
            <w:shd w:val="clear" w:color="auto" w:fill="auto"/>
            <w:noWrap/>
            <w:vAlign w:val="center"/>
            <w:hideMark/>
          </w:tcPr>
          <w:p w14:paraId="352BD12F"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17</w:t>
            </w:r>
          </w:p>
        </w:tc>
        <w:tc>
          <w:tcPr>
            <w:tcW w:w="436" w:type="pct"/>
            <w:tcBorders>
              <w:top w:val="nil"/>
              <w:left w:val="nil"/>
              <w:bottom w:val="single" w:sz="4" w:space="0" w:color="002060"/>
              <w:right w:val="nil"/>
            </w:tcBorders>
            <w:shd w:val="clear" w:color="auto" w:fill="auto"/>
            <w:noWrap/>
            <w:vAlign w:val="center"/>
            <w:hideMark/>
          </w:tcPr>
          <w:p w14:paraId="6D04CEEA"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113,3</w:t>
            </w:r>
          </w:p>
        </w:tc>
        <w:tc>
          <w:tcPr>
            <w:tcW w:w="580" w:type="pct"/>
            <w:tcBorders>
              <w:top w:val="nil"/>
              <w:left w:val="nil"/>
              <w:bottom w:val="single" w:sz="4" w:space="0" w:color="002060"/>
              <w:right w:val="nil"/>
            </w:tcBorders>
            <w:shd w:val="clear" w:color="auto" w:fill="auto"/>
            <w:noWrap/>
            <w:vAlign w:val="center"/>
            <w:hideMark/>
          </w:tcPr>
          <w:p w14:paraId="6C82D4DA"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21,2</w:t>
            </w:r>
          </w:p>
        </w:tc>
        <w:tc>
          <w:tcPr>
            <w:tcW w:w="654" w:type="pct"/>
            <w:tcBorders>
              <w:top w:val="nil"/>
              <w:left w:val="nil"/>
              <w:bottom w:val="single" w:sz="4" w:space="0" w:color="002060"/>
              <w:right w:val="nil"/>
            </w:tcBorders>
            <w:shd w:val="clear" w:color="auto" w:fill="auto"/>
            <w:noWrap/>
            <w:vAlign w:val="center"/>
            <w:hideMark/>
          </w:tcPr>
          <w:p w14:paraId="722C941F"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15,9</w:t>
            </w:r>
          </w:p>
        </w:tc>
        <w:tc>
          <w:tcPr>
            <w:tcW w:w="433" w:type="pct"/>
            <w:tcBorders>
              <w:top w:val="nil"/>
              <w:left w:val="nil"/>
              <w:bottom w:val="single" w:sz="4" w:space="0" w:color="002060"/>
              <w:right w:val="nil"/>
            </w:tcBorders>
            <w:shd w:val="clear" w:color="auto" w:fill="auto"/>
            <w:noWrap/>
            <w:vAlign w:val="center"/>
            <w:hideMark/>
          </w:tcPr>
          <w:p w14:paraId="333B5CE1"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10,9</w:t>
            </w:r>
          </w:p>
        </w:tc>
        <w:tc>
          <w:tcPr>
            <w:tcW w:w="437" w:type="pct"/>
            <w:tcBorders>
              <w:top w:val="nil"/>
              <w:left w:val="nil"/>
              <w:bottom w:val="single" w:sz="4" w:space="0" w:color="002060"/>
              <w:right w:val="nil"/>
            </w:tcBorders>
            <w:shd w:val="clear" w:color="auto" w:fill="auto"/>
            <w:noWrap/>
            <w:vAlign w:val="center"/>
            <w:hideMark/>
          </w:tcPr>
          <w:p w14:paraId="0766E1B5"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10,6</w:t>
            </w:r>
          </w:p>
        </w:tc>
        <w:tc>
          <w:tcPr>
            <w:tcW w:w="254" w:type="pct"/>
            <w:tcBorders>
              <w:top w:val="nil"/>
              <w:left w:val="nil"/>
              <w:bottom w:val="single" w:sz="4" w:space="0" w:color="002060"/>
              <w:right w:val="nil"/>
            </w:tcBorders>
            <w:shd w:val="clear" w:color="auto" w:fill="auto"/>
            <w:noWrap/>
            <w:vAlign w:val="center"/>
            <w:hideMark/>
          </w:tcPr>
          <w:p w14:paraId="10ED988D"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7,6</w:t>
            </w:r>
          </w:p>
        </w:tc>
        <w:tc>
          <w:tcPr>
            <w:tcW w:w="254" w:type="pct"/>
            <w:tcBorders>
              <w:top w:val="nil"/>
              <w:left w:val="nil"/>
              <w:bottom w:val="single" w:sz="4" w:space="0" w:color="002060"/>
              <w:right w:val="nil"/>
            </w:tcBorders>
            <w:shd w:val="clear" w:color="auto" w:fill="auto"/>
            <w:noWrap/>
            <w:vAlign w:val="center"/>
            <w:hideMark/>
          </w:tcPr>
          <w:p w14:paraId="06020AC1"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1,4</w:t>
            </w:r>
          </w:p>
        </w:tc>
        <w:tc>
          <w:tcPr>
            <w:tcW w:w="504" w:type="pct"/>
            <w:tcBorders>
              <w:top w:val="nil"/>
              <w:left w:val="nil"/>
              <w:bottom w:val="single" w:sz="4" w:space="0" w:color="002060"/>
              <w:right w:val="nil"/>
            </w:tcBorders>
            <w:shd w:val="clear" w:color="auto" w:fill="auto"/>
            <w:noWrap/>
            <w:vAlign w:val="center"/>
            <w:hideMark/>
          </w:tcPr>
          <w:p w14:paraId="17634411" w14:textId="77777777" w:rsidR="008C484F" w:rsidRPr="0062711C" w:rsidRDefault="008C484F" w:rsidP="009367BB">
            <w:pPr>
              <w:spacing w:after="0" w:line="240" w:lineRule="auto"/>
              <w:jc w:val="center"/>
              <w:rPr>
                <w:rFonts w:eastAsia="Times New Roman" w:cstheme="minorHAnsi"/>
                <w:b/>
                <w:bCs/>
                <w:color w:val="002060"/>
                <w:sz w:val="16"/>
                <w:szCs w:val="16"/>
                <w:lang w:val="sr-Cyrl-RS"/>
              </w:rPr>
            </w:pPr>
            <w:r w:rsidRPr="0062711C">
              <w:rPr>
                <w:rFonts w:eastAsia="Times New Roman" w:cstheme="minorHAnsi"/>
                <w:b/>
                <w:bCs/>
                <w:color w:val="002060"/>
                <w:sz w:val="16"/>
                <w:szCs w:val="16"/>
                <w:lang w:val="sr-Cyrl-RS"/>
              </w:rPr>
              <w:t>181</w:t>
            </w:r>
          </w:p>
        </w:tc>
      </w:tr>
    </w:tbl>
    <w:p w14:paraId="31CA6327" w14:textId="44210950" w:rsidR="00DF0C87" w:rsidRPr="0062711C" w:rsidRDefault="00DF0C87" w:rsidP="00DF0C87">
      <w:pPr>
        <w:spacing w:after="0" w:line="276" w:lineRule="auto"/>
        <w:rPr>
          <w:rFonts w:eastAsia="MS PGothic" w:cstheme="minorHAnsi"/>
          <w:sz w:val="16"/>
          <w:szCs w:val="18"/>
          <w:lang w:val="sr-Cyrl-RS" w:eastAsia="ja-JP"/>
        </w:rPr>
      </w:pPr>
      <w:r w:rsidRPr="0062711C">
        <w:rPr>
          <w:rFonts w:eastAsia="MS PGothic" w:cstheme="minorHAnsi"/>
          <w:sz w:val="16"/>
          <w:szCs w:val="18"/>
          <w:lang w:val="sr-Cyrl-RS" w:eastAsia="ja-JP"/>
        </w:rPr>
        <w:t>Извор: Закон о б</w:t>
      </w:r>
      <w:r w:rsidR="00F45C01" w:rsidRPr="0062711C">
        <w:rPr>
          <w:rFonts w:eastAsia="MS PGothic" w:cstheme="minorHAnsi"/>
          <w:sz w:val="16"/>
          <w:szCs w:val="18"/>
          <w:lang w:val="sr-Cyrl-RS" w:eastAsia="ja-JP"/>
        </w:rPr>
        <w:t xml:space="preserve">уџету Републике Србије за 2024. </w:t>
      </w:r>
      <w:r w:rsidRPr="0062711C">
        <w:rPr>
          <w:rFonts w:eastAsia="MS PGothic" w:cstheme="minorHAnsi"/>
          <w:sz w:val="16"/>
          <w:szCs w:val="18"/>
          <w:lang w:val="sr-Cyrl-RS" w:eastAsia="ja-JP"/>
        </w:rPr>
        <w:t>годину</w:t>
      </w:r>
    </w:p>
    <w:p w14:paraId="3C4A8A49" w14:textId="77777777" w:rsidR="00DF0C87" w:rsidRPr="0062711C" w:rsidRDefault="00DF0C87" w:rsidP="00DF0C87">
      <w:pPr>
        <w:spacing w:after="0" w:line="276" w:lineRule="auto"/>
        <w:rPr>
          <w:lang w:val="sr-Cyrl-RS" w:eastAsia="ja-JP"/>
        </w:rPr>
      </w:pPr>
    </w:p>
    <w:p w14:paraId="12A7F86D" w14:textId="77777777" w:rsidR="00DF0C87" w:rsidRPr="0062711C" w:rsidRDefault="00DF0C87" w:rsidP="00DF0C87">
      <w:pPr>
        <w:spacing w:afterLines="80" w:after="192"/>
        <w:rPr>
          <w:lang w:val="sr-Cyrl-RS" w:eastAsia="ja-JP"/>
        </w:rPr>
        <w:sectPr w:rsidR="00DF0C87" w:rsidRPr="0062711C" w:rsidSect="00F45C01">
          <w:type w:val="continuous"/>
          <w:pgSz w:w="12240" w:h="15840"/>
          <w:pgMar w:top="1440" w:right="1440" w:bottom="1440" w:left="1440" w:header="720" w:footer="720" w:gutter="0"/>
          <w:cols w:space="720"/>
          <w:docGrid w:linePitch="360"/>
        </w:sectPr>
      </w:pPr>
    </w:p>
    <w:p w14:paraId="50F22246" w14:textId="05EC9FBD" w:rsidR="00DF0C87" w:rsidRPr="0062711C" w:rsidRDefault="00DF0C87" w:rsidP="00DF0C87">
      <w:pPr>
        <w:spacing w:afterLines="80" w:after="192"/>
        <w:rPr>
          <w:rFonts w:eastAsia="MS PGothic" w:cstheme="minorHAnsi"/>
          <w:szCs w:val="20"/>
          <w:lang w:val="sr-Cyrl-RS" w:eastAsia="ja-JP"/>
        </w:rPr>
      </w:pPr>
      <w:r w:rsidRPr="0062711C">
        <w:rPr>
          <w:rFonts w:eastAsia="MS PGothic" w:cstheme="minorHAnsi"/>
          <w:szCs w:val="20"/>
          <w:lang w:val="sr-Cyrl-RS" w:eastAsia="ja-JP"/>
        </w:rPr>
        <w:t>Од укупно планираних гаранција за 2024. годину, Законом је предвиђено да се „Електропривреди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обезбедe гаранције у износу до 100,2 млрд динара (55,4% укупно планираних гаранција) за подршку 8 инвестиционих пројеката од којих су најзначајнији ХЕС Горња Дрина – ХЕ Бук Бјела (29,5 млрд динара), Ревитализација хидроелектране Ђердап 2 (25,1 – млрд динара), изградња соларне електране Кленов</w:t>
      </w:r>
      <w:r w:rsidR="00D121C1" w:rsidRPr="0062711C">
        <w:rPr>
          <w:rFonts w:eastAsia="MS PGothic" w:cstheme="minorHAnsi"/>
          <w:szCs w:val="20"/>
          <w:lang w:val="sr-Cyrl-RS" w:eastAsia="ja-JP"/>
        </w:rPr>
        <w:t>ник (15,9 млрд динара) и други.</w:t>
      </w:r>
    </w:p>
    <w:p w14:paraId="7419A581" w14:textId="7C49A366" w:rsidR="00DF0C87" w:rsidRPr="0062711C" w:rsidRDefault="00DF0C87" w:rsidP="00DF0C87">
      <w:pPr>
        <w:spacing w:afterLines="80" w:after="192"/>
        <w:rPr>
          <w:rFonts w:eastAsia="MS PGothic" w:cstheme="minorHAnsi"/>
          <w:szCs w:val="20"/>
          <w:lang w:val="sr-Cyrl-RS" w:eastAsia="ja-JP"/>
        </w:rPr>
      </w:pPr>
      <w:r w:rsidRPr="0062711C">
        <w:rPr>
          <w:rFonts w:eastAsia="MS PGothic" w:cstheme="minorHAnsi"/>
          <w:szCs w:val="20"/>
          <w:lang w:val="sr-Cyrl-RS" w:eastAsia="ja-JP"/>
        </w:rPr>
        <w:t>„Електродистрибуција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доо у 2024. години планира значајна инвестициона улагања, тако је Законом предвиђено издавање гаранција до износа од 32,7 млрд динара (18,1% укупно планираних гаранција) за пројекте Унапређење дистрибутивне мреже 11,8 млрд динара, Пројекат аутоматизације средњенапонске дистрибутивне мреже 11,5 млрд динара и Пројекат паметна бројила 9,4 млрд динара.</w:t>
      </w:r>
    </w:p>
    <w:p w14:paraId="16EF2A0C" w14:textId="5508C0B2" w:rsidR="00DF0C87" w:rsidRPr="0062711C" w:rsidRDefault="00DF0C87" w:rsidP="00DF0C87">
      <w:pPr>
        <w:spacing w:afterLines="80" w:after="192"/>
        <w:rPr>
          <w:rFonts w:eastAsia="MS PGothic" w:cstheme="minorHAnsi"/>
          <w:szCs w:val="20"/>
          <w:lang w:val="sr-Cyrl-RS" w:eastAsia="ja-JP"/>
        </w:rPr>
      </w:pPr>
      <w:r w:rsidRPr="0062711C">
        <w:rPr>
          <w:rFonts w:eastAsia="MS PGothic" w:cstheme="minorHAnsi"/>
          <w:szCs w:val="20"/>
          <w:lang w:val="sr-Cyrl-RS" w:eastAsia="ja-JP"/>
        </w:rPr>
        <w:t>ЈП „Србијагас</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у 2024. години планира да настави са инвестиционим улагањима у дистрибутивну мрежу, тако да је планирано издавање гаранције за капиталне инвестиције за развој дистрибутивне мреже, укључујући мерне станице као и рехабилитацију гасоводног система и јачање транспортних капацитета гасовода у Републици Србији у укупном износу 27,1 млрд динара (15,0% укупно планираних гаранција).</w:t>
      </w:r>
    </w:p>
    <w:p w14:paraId="702CBC4A" w14:textId="77777777" w:rsidR="00DF0C87" w:rsidRPr="0062711C" w:rsidRDefault="00DF0C87" w:rsidP="00DF0C87">
      <w:pPr>
        <w:spacing w:afterLines="80" w:after="192"/>
        <w:rPr>
          <w:rFonts w:eastAsia="MS PGothic" w:cstheme="minorHAnsi"/>
          <w:szCs w:val="20"/>
          <w:lang w:val="sr-Cyrl-RS" w:eastAsia="ja-JP"/>
        </w:rPr>
      </w:pPr>
      <w:r w:rsidRPr="0062711C">
        <w:rPr>
          <w:rFonts w:eastAsia="MS PGothic" w:cstheme="minorHAnsi"/>
          <w:szCs w:val="20"/>
          <w:lang w:val="sr-Cyrl-RS" w:eastAsia="ja-JP"/>
        </w:rPr>
        <w:t xml:space="preserve">Структурне реформе државних предузећа, њихово оспособљавање за тржишну утакмицу и финансијску одрживост, с једне стране, и ограничено и циљано издавање нових гаранција, с </w:t>
      </w:r>
      <w:r w:rsidRPr="0062711C">
        <w:rPr>
          <w:rFonts w:eastAsia="MS PGothic" w:cstheme="minorHAnsi"/>
          <w:szCs w:val="20"/>
          <w:lang w:val="sr-Cyrl-RS" w:eastAsia="ja-JP"/>
        </w:rPr>
        <w:t>друге стране, допринеће умањењу фискалних ризика по овом основу и одржавању расхода у планираним, тј. пројектованим оквирима у наредном средњорочном периоду.</w:t>
      </w:r>
    </w:p>
    <w:p w14:paraId="7F4049FB"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Државна предузећа (ДП)</w:t>
      </w:r>
    </w:p>
    <w:p w14:paraId="60631FFD" w14:textId="77777777" w:rsidR="00DF0C87" w:rsidRPr="0062711C" w:rsidRDefault="00DF0C87" w:rsidP="00DF0C87">
      <w:pPr>
        <w:spacing w:afterLines="80" w:after="192"/>
        <w:rPr>
          <w:rFonts w:eastAsia="MS PGothic" w:cstheme="minorHAnsi"/>
          <w:szCs w:val="20"/>
          <w:lang w:val="sr-Cyrl-RS" w:eastAsia="ja-JP"/>
        </w:rPr>
      </w:pPr>
      <w:r w:rsidRPr="0062711C">
        <w:rPr>
          <w:rFonts w:eastAsia="MS PGothic" w:cstheme="minorHAnsi"/>
          <w:szCs w:val="20"/>
          <w:lang w:val="sr-Cyrl-RS" w:eastAsia="ja-JP"/>
        </w:rPr>
        <w:t>Пословање државних предузећа представља значајан извор фискалних ризика, како на страни буџетских прихода, тако и на страни расхода. Државна предузећа се у пословању суочавају са бројним проблемима, од наплате потраживања, до редовног измиривања обавеза према повериоцима, држави и запосленима и сл. Држава као оснивач и њихов једини власник је одговорна за пословање и њихово је последње уточиште у случају неликвидности. Постоји неколико канала кроз које се могу материјализовати фискални ризици везани за пословање државних предузећа. Највећи, али не и једини ризик, су државне гаранције дате за кредите државних предузећа. Одрживост, ефикасност и профитабилност државних предузећа утичу на приходе буџета, односно на износ добити коју уплаћују у буџет. Квалитет производа и услуга које обезбеђују државна предузећа утичу на ефикасност и профитабилност приватног сектора и у крајњој инстанци на ниво пореза који уплаћују у буџет.</w:t>
      </w:r>
    </w:p>
    <w:p w14:paraId="55CF05D9" w14:textId="77777777" w:rsidR="00DF0C87" w:rsidRPr="0062711C" w:rsidRDefault="00DF0C87" w:rsidP="001A1730">
      <w:pPr>
        <w:spacing w:after="360"/>
        <w:rPr>
          <w:rFonts w:eastAsia="MS PGothic" w:cstheme="minorHAnsi"/>
          <w:szCs w:val="20"/>
          <w:lang w:val="sr-Cyrl-RS" w:eastAsia="ja-JP"/>
        </w:rPr>
      </w:pPr>
      <w:r w:rsidRPr="0062711C">
        <w:rPr>
          <w:rFonts w:eastAsia="MS PGothic" w:cstheme="minorHAnsi"/>
          <w:szCs w:val="20"/>
          <w:lang w:val="sr-Cyrl-RS" w:eastAsia="ja-JP"/>
        </w:rPr>
        <w:t xml:space="preserve">Сектор за праћење фискалних ризика прати рад 36 стратешких предузећа која су у већинском власништву РС и која представљају значајан сегмент српске привреде. Ова предузећа запошљавају око 66,9 хиљада људи. Државна </w:t>
      </w:r>
      <w:r w:rsidRPr="0062711C">
        <w:rPr>
          <w:rFonts w:eastAsia="MS PGothic" w:cstheme="minorHAnsi"/>
          <w:szCs w:val="20"/>
          <w:lang w:val="sr-Cyrl-RS" w:eastAsia="ja-JP"/>
        </w:rPr>
        <w:lastRenderedPageBreak/>
        <w:t xml:space="preserve">предузећа се оснивају као друштва за обављање делатности од општег интереса. Њихов рад уређен је Законом о јавним предузећима, који је усвојен у фебруару 2016. године, Законом о управљању привредним друштвима која су у власништву </w:t>
      </w:r>
      <w:r w:rsidRPr="0062711C">
        <w:rPr>
          <w:rFonts w:eastAsia="MS PGothic" w:cstheme="minorHAnsi"/>
          <w:szCs w:val="20"/>
          <w:lang w:val="sr-Cyrl-RS" w:eastAsia="ja-JP"/>
        </w:rPr>
        <w:t xml:space="preserve">Републике Србије, а који је усвојен у септембру </w:t>
      </w:r>
      <w:r w:rsidRPr="0062711C">
        <w:rPr>
          <w:rFonts w:eastAsia="MS PGothic" w:cstheme="minorHAnsi"/>
          <w:spacing w:val="-4"/>
          <w:szCs w:val="20"/>
          <w:lang w:val="sr-Cyrl-RS" w:eastAsia="ja-JP"/>
        </w:rPr>
        <w:t>2023. године, као и подсекторским законима који дефинишу специфична подручја која нису обухваћена Законом о јавним предузећима (Закон о енергетици, Закон о привредним друштвима и др).</w:t>
      </w:r>
    </w:p>
    <w:p w14:paraId="022046FA" w14:textId="5C0054F1" w:rsidR="00DF0C87" w:rsidRPr="0062711C" w:rsidRDefault="00DF0C87" w:rsidP="00DF0C87">
      <w:pPr>
        <w:spacing w:after="0" w:line="276" w:lineRule="auto"/>
        <w:jc w:val="center"/>
        <w:rPr>
          <w:rFonts w:eastAsia="MS PGothic" w:cstheme="minorHAnsi"/>
          <w:b/>
          <w:bCs/>
          <w:color w:val="002060"/>
          <w:szCs w:val="20"/>
          <w:lang w:val="sr-Cyrl-RS" w:eastAsia="ja-JP"/>
        </w:rPr>
        <w:sectPr w:rsidR="00DF0C87" w:rsidRPr="0062711C" w:rsidSect="00F45C01">
          <w:type w:val="continuous"/>
          <w:pgSz w:w="12240" w:h="15840"/>
          <w:pgMar w:top="1440" w:right="1440" w:bottom="1440" w:left="1440" w:header="720" w:footer="720" w:gutter="0"/>
          <w:cols w:num="2" w:space="720"/>
          <w:docGrid w:linePitch="360"/>
        </w:sectPr>
      </w:pPr>
    </w:p>
    <w:p w14:paraId="2B4FA2F0" w14:textId="2ACB98E0"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1</w:t>
      </w:r>
      <w:r w:rsidR="00BB1E84">
        <w:rPr>
          <w:rFonts w:eastAsia="MS PGothic" w:cstheme="minorHAnsi"/>
          <w:b/>
          <w:color w:val="002060"/>
          <w:szCs w:val="20"/>
          <w:lang w:eastAsia="ja-JP"/>
        </w:rPr>
        <w:t>7</w:t>
      </w:r>
      <w:r w:rsidRPr="0062711C">
        <w:rPr>
          <w:rFonts w:eastAsia="MS PGothic" w:cstheme="minorHAnsi"/>
          <w:b/>
          <w:color w:val="002060"/>
          <w:szCs w:val="20"/>
          <w:lang w:val="sr-Cyrl-RS" w:eastAsia="ja-JP"/>
        </w:rPr>
        <w:t>. Преглед највећих предузећа по основу остварених укупних прихода на крају 2023. године, млрд динара</w:t>
      </w:r>
    </w:p>
    <w:tbl>
      <w:tblPr>
        <w:tblW w:w="5000" w:type="pct"/>
        <w:tblLook w:val="04A0" w:firstRow="1" w:lastRow="0" w:firstColumn="1" w:lastColumn="0" w:noHBand="0" w:noVBand="1"/>
      </w:tblPr>
      <w:tblGrid>
        <w:gridCol w:w="3286"/>
        <w:gridCol w:w="2411"/>
        <w:gridCol w:w="1117"/>
        <w:gridCol w:w="794"/>
        <w:gridCol w:w="862"/>
        <w:gridCol w:w="890"/>
      </w:tblGrid>
      <w:tr w:rsidR="008C484F" w:rsidRPr="0062711C" w14:paraId="284F0018" w14:textId="77777777" w:rsidTr="008C484F">
        <w:trPr>
          <w:trHeight w:val="600"/>
        </w:trPr>
        <w:tc>
          <w:tcPr>
            <w:tcW w:w="1741" w:type="pct"/>
            <w:tcBorders>
              <w:top w:val="single" w:sz="4" w:space="0" w:color="002060"/>
              <w:left w:val="nil"/>
              <w:bottom w:val="single" w:sz="4" w:space="0" w:color="002060"/>
              <w:right w:val="nil"/>
            </w:tcBorders>
            <w:shd w:val="clear" w:color="auto" w:fill="auto"/>
            <w:noWrap/>
            <w:vAlign w:val="center"/>
            <w:hideMark/>
          </w:tcPr>
          <w:p w14:paraId="26965AD5" w14:textId="77777777" w:rsidR="008C484F" w:rsidRPr="0062711C" w:rsidRDefault="008C484F" w:rsidP="009367BB">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Јавна предузећа</w:t>
            </w:r>
          </w:p>
        </w:tc>
        <w:tc>
          <w:tcPr>
            <w:tcW w:w="1329" w:type="pct"/>
            <w:tcBorders>
              <w:top w:val="single" w:sz="4" w:space="0" w:color="002060"/>
              <w:left w:val="nil"/>
              <w:bottom w:val="single" w:sz="4" w:space="0" w:color="002060"/>
              <w:right w:val="nil"/>
            </w:tcBorders>
            <w:shd w:val="clear" w:color="auto" w:fill="auto"/>
            <w:noWrap/>
            <w:vAlign w:val="center"/>
            <w:hideMark/>
          </w:tcPr>
          <w:p w14:paraId="71275ECA" w14:textId="77777777" w:rsidR="008C484F" w:rsidRPr="0062711C" w:rsidRDefault="008C484F" w:rsidP="009367BB">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Сектор</w:t>
            </w:r>
          </w:p>
        </w:tc>
        <w:tc>
          <w:tcPr>
            <w:tcW w:w="543" w:type="pct"/>
            <w:tcBorders>
              <w:top w:val="single" w:sz="4" w:space="0" w:color="002060"/>
              <w:left w:val="nil"/>
              <w:bottom w:val="single" w:sz="4" w:space="0" w:color="002060"/>
              <w:right w:val="nil"/>
            </w:tcBorders>
            <w:shd w:val="clear" w:color="auto" w:fill="auto"/>
            <w:vAlign w:val="center"/>
            <w:hideMark/>
          </w:tcPr>
          <w:p w14:paraId="0E6C5B2E" w14:textId="77777777" w:rsidR="008C484F" w:rsidRPr="0062711C" w:rsidRDefault="008C484F" w:rsidP="009367BB">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Број запослених</w:t>
            </w:r>
          </w:p>
        </w:tc>
        <w:tc>
          <w:tcPr>
            <w:tcW w:w="462" w:type="pct"/>
            <w:tcBorders>
              <w:top w:val="single" w:sz="4" w:space="0" w:color="002060"/>
              <w:left w:val="nil"/>
              <w:bottom w:val="single" w:sz="4" w:space="0" w:color="002060"/>
              <w:right w:val="nil"/>
            </w:tcBorders>
            <w:shd w:val="clear" w:color="auto" w:fill="auto"/>
            <w:vAlign w:val="center"/>
            <w:hideMark/>
          </w:tcPr>
          <w:p w14:paraId="6DF2A77C" w14:textId="77777777" w:rsidR="008C484F" w:rsidRPr="0062711C" w:rsidRDefault="008C484F" w:rsidP="009367BB">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Укупан приход</w:t>
            </w:r>
          </w:p>
        </w:tc>
        <w:tc>
          <w:tcPr>
            <w:tcW w:w="462" w:type="pct"/>
            <w:tcBorders>
              <w:top w:val="single" w:sz="4" w:space="0" w:color="002060"/>
              <w:left w:val="nil"/>
              <w:bottom w:val="single" w:sz="4" w:space="0" w:color="002060"/>
              <w:right w:val="nil"/>
            </w:tcBorders>
            <w:shd w:val="clear" w:color="auto" w:fill="auto"/>
            <w:vAlign w:val="center"/>
            <w:hideMark/>
          </w:tcPr>
          <w:p w14:paraId="11102D98" w14:textId="77777777" w:rsidR="008C484F" w:rsidRPr="0062711C" w:rsidRDefault="008C484F" w:rsidP="009367BB">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Укупни расходи</w:t>
            </w:r>
          </w:p>
        </w:tc>
        <w:tc>
          <w:tcPr>
            <w:tcW w:w="462" w:type="pct"/>
            <w:tcBorders>
              <w:top w:val="single" w:sz="4" w:space="0" w:color="002060"/>
              <w:left w:val="nil"/>
              <w:bottom w:val="single" w:sz="4" w:space="0" w:color="002060"/>
              <w:right w:val="nil"/>
            </w:tcBorders>
            <w:shd w:val="clear" w:color="auto" w:fill="auto"/>
            <w:vAlign w:val="center"/>
            <w:hideMark/>
          </w:tcPr>
          <w:p w14:paraId="34B1E946" w14:textId="77777777" w:rsidR="008C484F" w:rsidRPr="0062711C" w:rsidRDefault="008C484F" w:rsidP="009367BB">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Нето резултат</w:t>
            </w:r>
          </w:p>
        </w:tc>
      </w:tr>
      <w:tr w:rsidR="008C484F" w:rsidRPr="0062711C" w14:paraId="2BE39D25" w14:textId="77777777" w:rsidTr="008C484F">
        <w:trPr>
          <w:trHeight w:val="300"/>
        </w:trPr>
        <w:tc>
          <w:tcPr>
            <w:tcW w:w="1741" w:type="pct"/>
            <w:tcBorders>
              <w:top w:val="nil"/>
              <w:left w:val="nil"/>
              <w:bottom w:val="nil"/>
              <w:right w:val="nil"/>
            </w:tcBorders>
            <w:shd w:val="clear" w:color="auto" w:fill="auto"/>
            <w:noWrap/>
            <w:hideMark/>
          </w:tcPr>
          <w:p w14:paraId="79C34E24"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„Електропривреда Србије” ад</w:t>
            </w:r>
          </w:p>
        </w:tc>
        <w:tc>
          <w:tcPr>
            <w:tcW w:w="1329" w:type="pct"/>
            <w:tcBorders>
              <w:top w:val="nil"/>
              <w:left w:val="nil"/>
              <w:bottom w:val="nil"/>
              <w:right w:val="nil"/>
            </w:tcBorders>
            <w:shd w:val="clear" w:color="auto" w:fill="auto"/>
            <w:hideMark/>
          </w:tcPr>
          <w:p w14:paraId="5499A879"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Енергетика</w:t>
            </w:r>
          </w:p>
        </w:tc>
        <w:tc>
          <w:tcPr>
            <w:tcW w:w="543" w:type="pct"/>
            <w:tcBorders>
              <w:top w:val="nil"/>
              <w:left w:val="nil"/>
              <w:bottom w:val="nil"/>
              <w:right w:val="nil"/>
            </w:tcBorders>
            <w:shd w:val="clear" w:color="auto" w:fill="auto"/>
            <w:noWrap/>
            <w:hideMark/>
          </w:tcPr>
          <w:p w14:paraId="25E10B4A"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19.595</w:t>
            </w:r>
          </w:p>
        </w:tc>
        <w:tc>
          <w:tcPr>
            <w:tcW w:w="462" w:type="pct"/>
            <w:tcBorders>
              <w:top w:val="nil"/>
              <w:left w:val="nil"/>
              <w:bottom w:val="nil"/>
              <w:right w:val="nil"/>
            </w:tcBorders>
            <w:shd w:val="clear" w:color="auto" w:fill="auto"/>
            <w:noWrap/>
            <w:hideMark/>
          </w:tcPr>
          <w:p w14:paraId="457AEDD9"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515,0</w:t>
            </w:r>
          </w:p>
        </w:tc>
        <w:tc>
          <w:tcPr>
            <w:tcW w:w="462" w:type="pct"/>
            <w:tcBorders>
              <w:top w:val="nil"/>
              <w:left w:val="nil"/>
              <w:bottom w:val="nil"/>
              <w:right w:val="nil"/>
            </w:tcBorders>
            <w:shd w:val="clear" w:color="auto" w:fill="auto"/>
            <w:noWrap/>
            <w:hideMark/>
          </w:tcPr>
          <w:p w14:paraId="1803811D"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385,1</w:t>
            </w:r>
          </w:p>
        </w:tc>
        <w:tc>
          <w:tcPr>
            <w:tcW w:w="462" w:type="pct"/>
            <w:tcBorders>
              <w:top w:val="nil"/>
              <w:left w:val="nil"/>
              <w:bottom w:val="nil"/>
              <w:right w:val="nil"/>
            </w:tcBorders>
            <w:shd w:val="clear" w:color="auto" w:fill="auto"/>
            <w:noWrap/>
            <w:hideMark/>
          </w:tcPr>
          <w:p w14:paraId="597D02DC"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114,4</w:t>
            </w:r>
          </w:p>
        </w:tc>
      </w:tr>
      <w:tr w:rsidR="008C484F" w:rsidRPr="0062711C" w14:paraId="4E708790" w14:textId="77777777" w:rsidTr="008C484F">
        <w:trPr>
          <w:trHeight w:val="300"/>
        </w:trPr>
        <w:tc>
          <w:tcPr>
            <w:tcW w:w="1741" w:type="pct"/>
            <w:tcBorders>
              <w:top w:val="nil"/>
              <w:left w:val="nil"/>
              <w:bottom w:val="nil"/>
              <w:right w:val="nil"/>
            </w:tcBorders>
            <w:shd w:val="clear" w:color="auto" w:fill="auto"/>
            <w:noWrap/>
            <w:hideMark/>
          </w:tcPr>
          <w:p w14:paraId="56106B82"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Јавно предузеће „Србијагас”</w:t>
            </w:r>
          </w:p>
        </w:tc>
        <w:tc>
          <w:tcPr>
            <w:tcW w:w="1329" w:type="pct"/>
            <w:tcBorders>
              <w:top w:val="nil"/>
              <w:left w:val="nil"/>
              <w:bottom w:val="nil"/>
              <w:right w:val="nil"/>
            </w:tcBorders>
            <w:shd w:val="clear" w:color="auto" w:fill="auto"/>
            <w:hideMark/>
          </w:tcPr>
          <w:p w14:paraId="4EF9369D"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Енергетика</w:t>
            </w:r>
          </w:p>
        </w:tc>
        <w:tc>
          <w:tcPr>
            <w:tcW w:w="543" w:type="pct"/>
            <w:tcBorders>
              <w:top w:val="nil"/>
              <w:left w:val="nil"/>
              <w:bottom w:val="nil"/>
              <w:right w:val="nil"/>
            </w:tcBorders>
            <w:shd w:val="clear" w:color="auto" w:fill="auto"/>
            <w:noWrap/>
            <w:hideMark/>
          </w:tcPr>
          <w:p w14:paraId="49B0FD73"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910</w:t>
            </w:r>
          </w:p>
        </w:tc>
        <w:tc>
          <w:tcPr>
            <w:tcW w:w="462" w:type="pct"/>
            <w:tcBorders>
              <w:top w:val="nil"/>
              <w:left w:val="nil"/>
              <w:bottom w:val="nil"/>
              <w:right w:val="nil"/>
            </w:tcBorders>
            <w:shd w:val="clear" w:color="auto" w:fill="auto"/>
            <w:noWrap/>
            <w:hideMark/>
          </w:tcPr>
          <w:p w14:paraId="25F80B82"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181,9</w:t>
            </w:r>
          </w:p>
        </w:tc>
        <w:tc>
          <w:tcPr>
            <w:tcW w:w="462" w:type="pct"/>
            <w:tcBorders>
              <w:top w:val="nil"/>
              <w:left w:val="nil"/>
              <w:bottom w:val="nil"/>
              <w:right w:val="nil"/>
            </w:tcBorders>
            <w:shd w:val="clear" w:color="auto" w:fill="auto"/>
            <w:noWrap/>
            <w:hideMark/>
          </w:tcPr>
          <w:p w14:paraId="37DE2ED4"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168,3</w:t>
            </w:r>
          </w:p>
        </w:tc>
        <w:tc>
          <w:tcPr>
            <w:tcW w:w="462" w:type="pct"/>
            <w:tcBorders>
              <w:top w:val="nil"/>
              <w:left w:val="nil"/>
              <w:bottom w:val="nil"/>
              <w:right w:val="nil"/>
            </w:tcBorders>
            <w:shd w:val="clear" w:color="auto" w:fill="auto"/>
            <w:noWrap/>
            <w:hideMark/>
          </w:tcPr>
          <w:p w14:paraId="61B7421F"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12,0</w:t>
            </w:r>
          </w:p>
        </w:tc>
      </w:tr>
      <w:tr w:rsidR="008C484F" w:rsidRPr="0062711C" w14:paraId="4FA6D0E6" w14:textId="77777777" w:rsidTr="008C484F">
        <w:trPr>
          <w:trHeight w:val="300"/>
        </w:trPr>
        <w:tc>
          <w:tcPr>
            <w:tcW w:w="1741" w:type="pct"/>
            <w:tcBorders>
              <w:top w:val="nil"/>
              <w:left w:val="nil"/>
              <w:bottom w:val="nil"/>
              <w:right w:val="nil"/>
            </w:tcBorders>
            <w:shd w:val="clear" w:color="auto" w:fill="auto"/>
            <w:noWrap/>
            <w:hideMark/>
          </w:tcPr>
          <w:p w14:paraId="4E0D7328"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„Електродистрибуција Србије” доо</w:t>
            </w:r>
          </w:p>
        </w:tc>
        <w:tc>
          <w:tcPr>
            <w:tcW w:w="1329" w:type="pct"/>
            <w:tcBorders>
              <w:top w:val="nil"/>
              <w:left w:val="nil"/>
              <w:bottom w:val="nil"/>
              <w:right w:val="nil"/>
            </w:tcBorders>
            <w:shd w:val="clear" w:color="auto" w:fill="auto"/>
            <w:hideMark/>
          </w:tcPr>
          <w:p w14:paraId="7507A92F"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Енергетика</w:t>
            </w:r>
          </w:p>
        </w:tc>
        <w:tc>
          <w:tcPr>
            <w:tcW w:w="543" w:type="pct"/>
            <w:tcBorders>
              <w:top w:val="nil"/>
              <w:left w:val="nil"/>
              <w:bottom w:val="nil"/>
              <w:right w:val="nil"/>
            </w:tcBorders>
            <w:shd w:val="clear" w:color="auto" w:fill="auto"/>
            <w:noWrap/>
            <w:hideMark/>
          </w:tcPr>
          <w:p w14:paraId="41F2603E"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8.686</w:t>
            </w:r>
          </w:p>
        </w:tc>
        <w:tc>
          <w:tcPr>
            <w:tcW w:w="462" w:type="pct"/>
            <w:tcBorders>
              <w:top w:val="nil"/>
              <w:left w:val="nil"/>
              <w:bottom w:val="nil"/>
              <w:right w:val="nil"/>
            </w:tcBorders>
            <w:shd w:val="clear" w:color="auto" w:fill="auto"/>
            <w:noWrap/>
            <w:hideMark/>
          </w:tcPr>
          <w:p w14:paraId="0A630138"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116,9</w:t>
            </w:r>
          </w:p>
        </w:tc>
        <w:tc>
          <w:tcPr>
            <w:tcW w:w="462" w:type="pct"/>
            <w:tcBorders>
              <w:top w:val="nil"/>
              <w:left w:val="nil"/>
              <w:bottom w:val="nil"/>
              <w:right w:val="nil"/>
            </w:tcBorders>
            <w:shd w:val="clear" w:color="auto" w:fill="auto"/>
            <w:noWrap/>
            <w:hideMark/>
          </w:tcPr>
          <w:p w14:paraId="13327AE4"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117,9</w:t>
            </w:r>
          </w:p>
        </w:tc>
        <w:tc>
          <w:tcPr>
            <w:tcW w:w="462" w:type="pct"/>
            <w:tcBorders>
              <w:top w:val="nil"/>
              <w:left w:val="nil"/>
              <w:bottom w:val="nil"/>
              <w:right w:val="nil"/>
            </w:tcBorders>
            <w:shd w:val="clear" w:color="auto" w:fill="auto"/>
            <w:noWrap/>
            <w:hideMark/>
          </w:tcPr>
          <w:p w14:paraId="12A1437D"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w:t>
            </w:r>
          </w:p>
        </w:tc>
      </w:tr>
      <w:tr w:rsidR="008C484F" w:rsidRPr="0062711C" w14:paraId="402FC1B9" w14:textId="77777777" w:rsidTr="008C484F">
        <w:trPr>
          <w:trHeight w:val="300"/>
        </w:trPr>
        <w:tc>
          <w:tcPr>
            <w:tcW w:w="1741" w:type="pct"/>
            <w:tcBorders>
              <w:top w:val="nil"/>
              <w:left w:val="nil"/>
              <w:bottom w:val="nil"/>
              <w:right w:val="nil"/>
            </w:tcBorders>
            <w:shd w:val="clear" w:color="auto" w:fill="auto"/>
            <w:noWrap/>
            <w:hideMark/>
          </w:tcPr>
          <w:p w14:paraId="4DA8F420"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Јавно предузеће „Путеви Србије”</w:t>
            </w:r>
          </w:p>
        </w:tc>
        <w:tc>
          <w:tcPr>
            <w:tcW w:w="1329" w:type="pct"/>
            <w:tcBorders>
              <w:top w:val="nil"/>
              <w:left w:val="nil"/>
              <w:bottom w:val="nil"/>
              <w:right w:val="nil"/>
            </w:tcBorders>
            <w:shd w:val="clear" w:color="auto" w:fill="auto"/>
            <w:hideMark/>
          </w:tcPr>
          <w:p w14:paraId="65AA5108"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Грађевинарство</w:t>
            </w:r>
          </w:p>
        </w:tc>
        <w:tc>
          <w:tcPr>
            <w:tcW w:w="543" w:type="pct"/>
            <w:tcBorders>
              <w:top w:val="nil"/>
              <w:left w:val="nil"/>
              <w:bottom w:val="nil"/>
              <w:right w:val="nil"/>
            </w:tcBorders>
            <w:shd w:val="clear" w:color="auto" w:fill="auto"/>
            <w:noWrap/>
            <w:hideMark/>
          </w:tcPr>
          <w:p w14:paraId="51F37ED7"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2.190</w:t>
            </w:r>
          </w:p>
        </w:tc>
        <w:tc>
          <w:tcPr>
            <w:tcW w:w="462" w:type="pct"/>
            <w:tcBorders>
              <w:top w:val="nil"/>
              <w:left w:val="nil"/>
              <w:bottom w:val="nil"/>
              <w:right w:val="nil"/>
            </w:tcBorders>
            <w:shd w:val="clear" w:color="auto" w:fill="auto"/>
            <w:noWrap/>
            <w:hideMark/>
          </w:tcPr>
          <w:p w14:paraId="0555DD45"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64,2</w:t>
            </w:r>
          </w:p>
        </w:tc>
        <w:tc>
          <w:tcPr>
            <w:tcW w:w="462" w:type="pct"/>
            <w:tcBorders>
              <w:top w:val="nil"/>
              <w:left w:val="nil"/>
              <w:bottom w:val="nil"/>
              <w:right w:val="nil"/>
            </w:tcBorders>
            <w:shd w:val="clear" w:color="auto" w:fill="auto"/>
            <w:noWrap/>
            <w:hideMark/>
          </w:tcPr>
          <w:p w14:paraId="4A164767"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71,0</w:t>
            </w:r>
          </w:p>
        </w:tc>
        <w:tc>
          <w:tcPr>
            <w:tcW w:w="462" w:type="pct"/>
            <w:tcBorders>
              <w:top w:val="nil"/>
              <w:left w:val="nil"/>
              <w:bottom w:val="nil"/>
              <w:right w:val="nil"/>
            </w:tcBorders>
            <w:shd w:val="clear" w:color="auto" w:fill="auto"/>
            <w:noWrap/>
            <w:hideMark/>
          </w:tcPr>
          <w:p w14:paraId="53BE221E"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-6,8</w:t>
            </w:r>
          </w:p>
        </w:tc>
      </w:tr>
      <w:tr w:rsidR="008C484F" w:rsidRPr="0062711C" w14:paraId="124570C8" w14:textId="77777777" w:rsidTr="008C484F">
        <w:trPr>
          <w:trHeight w:val="300"/>
        </w:trPr>
        <w:tc>
          <w:tcPr>
            <w:tcW w:w="1741" w:type="pct"/>
            <w:tcBorders>
              <w:top w:val="nil"/>
              <w:left w:val="nil"/>
              <w:bottom w:val="nil"/>
              <w:right w:val="nil"/>
            </w:tcBorders>
            <w:shd w:val="clear" w:color="auto" w:fill="auto"/>
            <w:noWrap/>
            <w:hideMark/>
          </w:tcPr>
          <w:p w14:paraId="0327B479"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„Електромрежа Србије” ад</w:t>
            </w:r>
          </w:p>
        </w:tc>
        <w:tc>
          <w:tcPr>
            <w:tcW w:w="1329" w:type="pct"/>
            <w:tcBorders>
              <w:top w:val="nil"/>
              <w:left w:val="nil"/>
              <w:bottom w:val="nil"/>
              <w:right w:val="nil"/>
            </w:tcBorders>
            <w:shd w:val="clear" w:color="auto" w:fill="auto"/>
            <w:hideMark/>
          </w:tcPr>
          <w:p w14:paraId="25432667"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Енергетика</w:t>
            </w:r>
          </w:p>
        </w:tc>
        <w:tc>
          <w:tcPr>
            <w:tcW w:w="543" w:type="pct"/>
            <w:tcBorders>
              <w:top w:val="nil"/>
              <w:left w:val="nil"/>
              <w:bottom w:val="nil"/>
              <w:right w:val="nil"/>
            </w:tcBorders>
            <w:shd w:val="clear" w:color="auto" w:fill="auto"/>
            <w:noWrap/>
            <w:hideMark/>
          </w:tcPr>
          <w:p w14:paraId="1C2509DA"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1.391</w:t>
            </w:r>
          </w:p>
        </w:tc>
        <w:tc>
          <w:tcPr>
            <w:tcW w:w="462" w:type="pct"/>
            <w:tcBorders>
              <w:top w:val="nil"/>
              <w:left w:val="nil"/>
              <w:bottom w:val="nil"/>
              <w:right w:val="nil"/>
            </w:tcBorders>
            <w:shd w:val="clear" w:color="auto" w:fill="auto"/>
            <w:noWrap/>
            <w:hideMark/>
          </w:tcPr>
          <w:p w14:paraId="53F79ECD"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43,2</w:t>
            </w:r>
          </w:p>
        </w:tc>
        <w:tc>
          <w:tcPr>
            <w:tcW w:w="462" w:type="pct"/>
            <w:tcBorders>
              <w:top w:val="nil"/>
              <w:left w:val="nil"/>
              <w:bottom w:val="nil"/>
              <w:right w:val="nil"/>
            </w:tcBorders>
            <w:shd w:val="clear" w:color="auto" w:fill="auto"/>
            <w:noWrap/>
            <w:hideMark/>
          </w:tcPr>
          <w:p w14:paraId="5D93F790"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39,5</w:t>
            </w:r>
          </w:p>
        </w:tc>
        <w:tc>
          <w:tcPr>
            <w:tcW w:w="462" w:type="pct"/>
            <w:tcBorders>
              <w:top w:val="nil"/>
              <w:left w:val="nil"/>
              <w:bottom w:val="nil"/>
              <w:right w:val="nil"/>
            </w:tcBorders>
            <w:shd w:val="clear" w:color="auto" w:fill="auto"/>
            <w:noWrap/>
            <w:hideMark/>
          </w:tcPr>
          <w:p w14:paraId="108D2808"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3,0</w:t>
            </w:r>
          </w:p>
        </w:tc>
      </w:tr>
      <w:tr w:rsidR="008C484F" w:rsidRPr="0062711C" w14:paraId="79F160BE" w14:textId="77777777" w:rsidTr="008C484F">
        <w:trPr>
          <w:trHeight w:val="300"/>
        </w:trPr>
        <w:tc>
          <w:tcPr>
            <w:tcW w:w="1741" w:type="pct"/>
            <w:tcBorders>
              <w:top w:val="nil"/>
              <w:left w:val="nil"/>
              <w:bottom w:val="nil"/>
              <w:right w:val="nil"/>
            </w:tcBorders>
            <w:shd w:val="clear" w:color="auto" w:fill="auto"/>
            <w:noWrap/>
            <w:hideMark/>
          </w:tcPr>
          <w:p w14:paraId="0D047323"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Јавно предузеће „Пошта Србије”</w:t>
            </w:r>
          </w:p>
        </w:tc>
        <w:tc>
          <w:tcPr>
            <w:tcW w:w="1329" w:type="pct"/>
            <w:tcBorders>
              <w:top w:val="nil"/>
              <w:left w:val="nil"/>
              <w:bottom w:val="nil"/>
              <w:right w:val="nil"/>
            </w:tcBorders>
            <w:shd w:val="clear" w:color="auto" w:fill="auto"/>
            <w:hideMark/>
          </w:tcPr>
          <w:p w14:paraId="7EC1CE51"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Саобраћај и складиштење</w:t>
            </w:r>
          </w:p>
        </w:tc>
        <w:tc>
          <w:tcPr>
            <w:tcW w:w="543" w:type="pct"/>
            <w:tcBorders>
              <w:top w:val="nil"/>
              <w:left w:val="nil"/>
              <w:bottom w:val="nil"/>
              <w:right w:val="nil"/>
            </w:tcBorders>
            <w:shd w:val="clear" w:color="auto" w:fill="auto"/>
            <w:noWrap/>
            <w:hideMark/>
          </w:tcPr>
          <w:p w14:paraId="6C14FA00"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14.307</w:t>
            </w:r>
          </w:p>
        </w:tc>
        <w:tc>
          <w:tcPr>
            <w:tcW w:w="462" w:type="pct"/>
            <w:tcBorders>
              <w:top w:val="nil"/>
              <w:left w:val="nil"/>
              <w:bottom w:val="nil"/>
              <w:right w:val="nil"/>
            </w:tcBorders>
            <w:shd w:val="clear" w:color="auto" w:fill="auto"/>
            <w:noWrap/>
            <w:hideMark/>
          </w:tcPr>
          <w:p w14:paraId="7BC7C683"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35,3</w:t>
            </w:r>
          </w:p>
        </w:tc>
        <w:tc>
          <w:tcPr>
            <w:tcW w:w="462" w:type="pct"/>
            <w:tcBorders>
              <w:top w:val="nil"/>
              <w:left w:val="nil"/>
              <w:bottom w:val="nil"/>
              <w:right w:val="nil"/>
            </w:tcBorders>
            <w:shd w:val="clear" w:color="auto" w:fill="auto"/>
            <w:noWrap/>
            <w:hideMark/>
          </w:tcPr>
          <w:p w14:paraId="3A177AD0"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31,5</w:t>
            </w:r>
          </w:p>
        </w:tc>
        <w:tc>
          <w:tcPr>
            <w:tcW w:w="462" w:type="pct"/>
            <w:tcBorders>
              <w:top w:val="nil"/>
              <w:left w:val="nil"/>
              <w:bottom w:val="nil"/>
              <w:right w:val="nil"/>
            </w:tcBorders>
            <w:shd w:val="clear" w:color="auto" w:fill="auto"/>
            <w:noWrap/>
            <w:hideMark/>
          </w:tcPr>
          <w:p w14:paraId="31CF54B5"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3,2</w:t>
            </w:r>
          </w:p>
        </w:tc>
      </w:tr>
      <w:tr w:rsidR="008C484F" w:rsidRPr="0062711C" w14:paraId="6A549662" w14:textId="77777777" w:rsidTr="008C484F">
        <w:trPr>
          <w:trHeight w:val="300"/>
        </w:trPr>
        <w:tc>
          <w:tcPr>
            <w:tcW w:w="1741" w:type="pct"/>
            <w:tcBorders>
              <w:top w:val="nil"/>
              <w:left w:val="nil"/>
              <w:bottom w:val="nil"/>
              <w:right w:val="nil"/>
            </w:tcBorders>
            <w:shd w:val="clear" w:color="auto" w:fill="auto"/>
            <w:noWrap/>
            <w:hideMark/>
          </w:tcPr>
          <w:p w14:paraId="3C1953AE"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„Инфраструктура железнице Србије” ад</w:t>
            </w:r>
          </w:p>
        </w:tc>
        <w:tc>
          <w:tcPr>
            <w:tcW w:w="1329" w:type="pct"/>
            <w:tcBorders>
              <w:top w:val="nil"/>
              <w:left w:val="nil"/>
              <w:bottom w:val="nil"/>
              <w:right w:val="nil"/>
            </w:tcBorders>
            <w:shd w:val="clear" w:color="auto" w:fill="auto"/>
            <w:hideMark/>
          </w:tcPr>
          <w:p w14:paraId="32AC2163"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Саобраћај и складиштење</w:t>
            </w:r>
          </w:p>
        </w:tc>
        <w:tc>
          <w:tcPr>
            <w:tcW w:w="543" w:type="pct"/>
            <w:tcBorders>
              <w:top w:val="nil"/>
              <w:left w:val="nil"/>
              <w:bottom w:val="nil"/>
              <w:right w:val="nil"/>
            </w:tcBorders>
            <w:shd w:val="clear" w:color="auto" w:fill="auto"/>
            <w:noWrap/>
            <w:hideMark/>
          </w:tcPr>
          <w:p w14:paraId="1089B161"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5.716</w:t>
            </w:r>
          </w:p>
        </w:tc>
        <w:tc>
          <w:tcPr>
            <w:tcW w:w="462" w:type="pct"/>
            <w:tcBorders>
              <w:top w:val="nil"/>
              <w:left w:val="nil"/>
              <w:bottom w:val="nil"/>
              <w:right w:val="nil"/>
            </w:tcBorders>
            <w:shd w:val="clear" w:color="auto" w:fill="auto"/>
            <w:noWrap/>
            <w:hideMark/>
          </w:tcPr>
          <w:p w14:paraId="0D66849F"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17,9</w:t>
            </w:r>
          </w:p>
        </w:tc>
        <w:tc>
          <w:tcPr>
            <w:tcW w:w="462" w:type="pct"/>
            <w:tcBorders>
              <w:top w:val="nil"/>
              <w:left w:val="nil"/>
              <w:bottom w:val="nil"/>
              <w:right w:val="nil"/>
            </w:tcBorders>
            <w:shd w:val="clear" w:color="auto" w:fill="auto"/>
            <w:noWrap/>
            <w:hideMark/>
          </w:tcPr>
          <w:p w14:paraId="30FA8BF3"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22,9</w:t>
            </w:r>
          </w:p>
        </w:tc>
        <w:tc>
          <w:tcPr>
            <w:tcW w:w="462" w:type="pct"/>
            <w:tcBorders>
              <w:top w:val="nil"/>
              <w:left w:val="nil"/>
              <w:bottom w:val="nil"/>
              <w:right w:val="nil"/>
            </w:tcBorders>
            <w:shd w:val="clear" w:color="auto" w:fill="auto"/>
            <w:noWrap/>
            <w:hideMark/>
          </w:tcPr>
          <w:p w14:paraId="16D7A7FF"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-5,1</w:t>
            </w:r>
          </w:p>
        </w:tc>
      </w:tr>
      <w:tr w:rsidR="008C484F" w:rsidRPr="0062711C" w14:paraId="5C6ED7A0" w14:textId="77777777" w:rsidTr="008C484F">
        <w:trPr>
          <w:trHeight w:val="397"/>
        </w:trPr>
        <w:tc>
          <w:tcPr>
            <w:tcW w:w="1741" w:type="pct"/>
            <w:tcBorders>
              <w:top w:val="nil"/>
              <w:left w:val="nil"/>
              <w:bottom w:val="nil"/>
              <w:right w:val="nil"/>
            </w:tcBorders>
            <w:shd w:val="clear" w:color="auto" w:fill="auto"/>
            <w:noWrap/>
            <w:hideMark/>
          </w:tcPr>
          <w:p w14:paraId="4A1A2902"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Јавно предузеће „Југоимпорт-СДПР”</w:t>
            </w:r>
          </w:p>
        </w:tc>
        <w:tc>
          <w:tcPr>
            <w:tcW w:w="1329" w:type="pct"/>
            <w:tcBorders>
              <w:top w:val="nil"/>
              <w:left w:val="nil"/>
              <w:bottom w:val="nil"/>
              <w:right w:val="nil"/>
            </w:tcBorders>
            <w:shd w:val="clear" w:color="auto" w:fill="auto"/>
            <w:hideMark/>
          </w:tcPr>
          <w:p w14:paraId="68A411C8"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Трговина на велико и трговина на мало</w:t>
            </w:r>
          </w:p>
        </w:tc>
        <w:tc>
          <w:tcPr>
            <w:tcW w:w="543" w:type="pct"/>
            <w:tcBorders>
              <w:top w:val="nil"/>
              <w:left w:val="nil"/>
              <w:bottom w:val="nil"/>
              <w:right w:val="nil"/>
            </w:tcBorders>
            <w:shd w:val="clear" w:color="auto" w:fill="auto"/>
            <w:noWrap/>
            <w:hideMark/>
          </w:tcPr>
          <w:p w14:paraId="794B209C"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355</w:t>
            </w:r>
          </w:p>
        </w:tc>
        <w:tc>
          <w:tcPr>
            <w:tcW w:w="462" w:type="pct"/>
            <w:tcBorders>
              <w:top w:val="nil"/>
              <w:left w:val="nil"/>
              <w:bottom w:val="nil"/>
              <w:right w:val="nil"/>
            </w:tcBorders>
            <w:shd w:val="clear" w:color="auto" w:fill="auto"/>
            <w:noWrap/>
            <w:hideMark/>
          </w:tcPr>
          <w:p w14:paraId="522F03A5"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17,6</w:t>
            </w:r>
          </w:p>
        </w:tc>
        <w:tc>
          <w:tcPr>
            <w:tcW w:w="462" w:type="pct"/>
            <w:tcBorders>
              <w:top w:val="nil"/>
              <w:left w:val="nil"/>
              <w:bottom w:val="nil"/>
              <w:right w:val="nil"/>
            </w:tcBorders>
            <w:shd w:val="clear" w:color="auto" w:fill="auto"/>
            <w:noWrap/>
            <w:hideMark/>
          </w:tcPr>
          <w:p w14:paraId="70ABBE42"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16,9</w:t>
            </w:r>
          </w:p>
        </w:tc>
        <w:tc>
          <w:tcPr>
            <w:tcW w:w="462" w:type="pct"/>
            <w:tcBorders>
              <w:top w:val="nil"/>
              <w:left w:val="nil"/>
              <w:bottom w:val="nil"/>
              <w:right w:val="nil"/>
            </w:tcBorders>
            <w:shd w:val="clear" w:color="auto" w:fill="auto"/>
            <w:noWrap/>
            <w:hideMark/>
          </w:tcPr>
          <w:p w14:paraId="07AEEAB5"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0,6</w:t>
            </w:r>
          </w:p>
        </w:tc>
      </w:tr>
      <w:tr w:rsidR="008C484F" w:rsidRPr="0062711C" w14:paraId="154A7DCA" w14:textId="77777777" w:rsidTr="008C484F">
        <w:trPr>
          <w:trHeight w:val="300"/>
        </w:trPr>
        <w:tc>
          <w:tcPr>
            <w:tcW w:w="1741" w:type="pct"/>
            <w:tcBorders>
              <w:top w:val="nil"/>
              <w:left w:val="nil"/>
              <w:bottom w:val="nil"/>
              <w:right w:val="nil"/>
            </w:tcBorders>
            <w:shd w:val="clear" w:color="auto" w:fill="auto"/>
            <w:noWrap/>
            <w:hideMark/>
          </w:tcPr>
          <w:p w14:paraId="235305F8"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„Србија Карго” ад</w:t>
            </w:r>
          </w:p>
        </w:tc>
        <w:tc>
          <w:tcPr>
            <w:tcW w:w="1329" w:type="pct"/>
            <w:tcBorders>
              <w:top w:val="nil"/>
              <w:left w:val="nil"/>
              <w:bottom w:val="nil"/>
              <w:right w:val="nil"/>
            </w:tcBorders>
            <w:shd w:val="clear" w:color="auto" w:fill="auto"/>
            <w:hideMark/>
          </w:tcPr>
          <w:p w14:paraId="4318C3B3"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Саобраћај и складиштење</w:t>
            </w:r>
          </w:p>
        </w:tc>
        <w:tc>
          <w:tcPr>
            <w:tcW w:w="543" w:type="pct"/>
            <w:tcBorders>
              <w:top w:val="nil"/>
              <w:left w:val="nil"/>
              <w:bottom w:val="nil"/>
              <w:right w:val="nil"/>
            </w:tcBorders>
            <w:shd w:val="clear" w:color="auto" w:fill="auto"/>
            <w:noWrap/>
            <w:hideMark/>
          </w:tcPr>
          <w:p w14:paraId="2818843E"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2.089</w:t>
            </w:r>
          </w:p>
        </w:tc>
        <w:tc>
          <w:tcPr>
            <w:tcW w:w="462" w:type="pct"/>
            <w:tcBorders>
              <w:top w:val="nil"/>
              <w:left w:val="nil"/>
              <w:bottom w:val="nil"/>
              <w:right w:val="nil"/>
            </w:tcBorders>
            <w:shd w:val="clear" w:color="auto" w:fill="auto"/>
            <w:noWrap/>
            <w:hideMark/>
          </w:tcPr>
          <w:p w14:paraId="4F960CAC"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12,7</w:t>
            </w:r>
          </w:p>
        </w:tc>
        <w:tc>
          <w:tcPr>
            <w:tcW w:w="462" w:type="pct"/>
            <w:tcBorders>
              <w:top w:val="nil"/>
              <w:left w:val="nil"/>
              <w:bottom w:val="nil"/>
              <w:right w:val="nil"/>
            </w:tcBorders>
            <w:shd w:val="clear" w:color="auto" w:fill="auto"/>
            <w:noWrap/>
            <w:hideMark/>
          </w:tcPr>
          <w:p w14:paraId="4A710DA2"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14,4</w:t>
            </w:r>
          </w:p>
        </w:tc>
        <w:tc>
          <w:tcPr>
            <w:tcW w:w="462" w:type="pct"/>
            <w:tcBorders>
              <w:top w:val="nil"/>
              <w:left w:val="nil"/>
              <w:bottom w:val="nil"/>
              <w:right w:val="nil"/>
            </w:tcBorders>
            <w:shd w:val="clear" w:color="auto" w:fill="auto"/>
            <w:noWrap/>
            <w:hideMark/>
          </w:tcPr>
          <w:p w14:paraId="6E24CFF3"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w:t>
            </w:r>
          </w:p>
        </w:tc>
      </w:tr>
      <w:tr w:rsidR="008C484F" w:rsidRPr="0062711C" w14:paraId="09415307" w14:textId="77777777" w:rsidTr="008C484F">
        <w:trPr>
          <w:trHeight w:val="397"/>
        </w:trPr>
        <w:tc>
          <w:tcPr>
            <w:tcW w:w="1741" w:type="pct"/>
            <w:tcBorders>
              <w:top w:val="nil"/>
              <w:left w:val="nil"/>
              <w:bottom w:val="nil"/>
              <w:right w:val="nil"/>
            </w:tcBorders>
            <w:shd w:val="clear" w:color="auto" w:fill="auto"/>
            <w:noWrap/>
            <w:hideMark/>
          </w:tcPr>
          <w:p w14:paraId="65C8600F"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Јавно предузеће „Србијашуме”</w:t>
            </w:r>
          </w:p>
        </w:tc>
        <w:tc>
          <w:tcPr>
            <w:tcW w:w="1329" w:type="pct"/>
            <w:tcBorders>
              <w:top w:val="nil"/>
              <w:left w:val="nil"/>
              <w:bottom w:val="nil"/>
              <w:right w:val="nil"/>
            </w:tcBorders>
            <w:shd w:val="clear" w:color="auto" w:fill="auto"/>
            <w:hideMark/>
          </w:tcPr>
          <w:p w14:paraId="531A09B2"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Пољопривреда, шумарство, рибарство</w:t>
            </w:r>
          </w:p>
        </w:tc>
        <w:tc>
          <w:tcPr>
            <w:tcW w:w="543" w:type="pct"/>
            <w:tcBorders>
              <w:top w:val="nil"/>
              <w:left w:val="nil"/>
              <w:bottom w:val="nil"/>
              <w:right w:val="nil"/>
            </w:tcBorders>
            <w:shd w:val="clear" w:color="auto" w:fill="auto"/>
            <w:noWrap/>
            <w:hideMark/>
          </w:tcPr>
          <w:p w14:paraId="28F2E13C"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3.168</w:t>
            </w:r>
          </w:p>
        </w:tc>
        <w:tc>
          <w:tcPr>
            <w:tcW w:w="462" w:type="pct"/>
            <w:tcBorders>
              <w:top w:val="nil"/>
              <w:left w:val="nil"/>
              <w:bottom w:val="nil"/>
              <w:right w:val="nil"/>
            </w:tcBorders>
            <w:shd w:val="clear" w:color="auto" w:fill="auto"/>
            <w:noWrap/>
            <w:hideMark/>
          </w:tcPr>
          <w:p w14:paraId="08B78009"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11,4</w:t>
            </w:r>
          </w:p>
        </w:tc>
        <w:tc>
          <w:tcPr>
            <w:tcW w:w="462" w:type="pct"/>
            <w:tcBorders>
              <w:top w:val="nil"/>
              <w:left w:val="nil"/>
              <w:bottom w:val="nil"/>
              <w:right w:val="nil"/>
            </w:tcBorders>
            <w:shd w:val="clear" w:color="auto" w:fill="auto"/>
            <w:noWrap/>
            <w:hideMark/>
          </w:tcPr>
          <w:p w14:paraId="02B78675"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10,5</w:t>
            </w:r>
          </w:p>
        </w:tc>
        <w:tc>
          <w:tcPr>
            <w:tcW w:w="462" w:type="pct"/>
            <w:tcBorders>
              <w:top w:val="nil"/>
              <w:left w:val="nil"/>
              <w:bottom w:val="nil"/>
              <w:right w:val="nil"/>
            </w:tcBorders>
            <w:shd w:val="clear" w:color="auto" w:fill="auto"/>
            <w:noWrap/>
            <w:hideMark/>
          </w:tcPr>
          <w:p w14:paraId="55ADD7EC"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0,7</w:t>
            </w:r>
          </w:p>
        </w:tc>
      </w:tr>
      <w:tr w:rsidR="008C484F" w:rsidRPr="0062711C" w14:paraId="758AAD5D" w14:textId="77777777" w:rsidTr="008C484F">
        <w:trPr>
          <w:trHeight w:val="300"/>
        </w:trPr>
        <w:tc>
          <w:tcPr>
            <w:tcW w:w="1741" w:type="pct"/>
            <w:tcBorders>
              <w:top w:val="nil"/>
              <w:left w:val="nil"/>
              <w:bottom w:val="single" w:sz="4" w:space="0" w:color="002060"/>
              <w:right w:val="nil"/>
            </w:tcBorders>
            <w:shd w:val="clear" w:color="auto" w:fill="auto"/>
            <w:noWrap/>
            <w:hideMark/>
          </w:tcPr>
          <w:p w14:paraId="2A1AF94E"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Осталих 26 предузећа</w:t>
            </w:r>
          </w:p>
        </w:tc>
        <w:tc>
          <w:tcPr>
            <w:tcW w:w="1329" w:type="pct"/>
            <w:tcBorders>
              <w:top w:val="nil"/>
              <w:left w:val="nil"/>
              <w:bottom w:val="single" w:sz="4" w:space="0" w:color="002060"/>
              <w:right w:val="nil"/>
            </w:tcBorders>
            <w:shd w:val="clear" w:color="auto" w:fill="auto"/>
            <w:hideMark/>
          </w:tcPr>
          <w:p w14:paraId="67DADCEE" w14:textId="77777777" w:rsidR="008C484F" w:rsidRPr="0062711C" w:rsidRDefault="008C484F" w:rsidP="009367BB">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Остало</w:t>
            </w:r>
          </w:p>
        </w:tc>
        <w:tc>
          <w:tcPr>
            <w:tcW w:w="543" w:type="pct"/>
            <w:tcBorders>
              <w:top w:val="nil"/>
              <w:left w:val="nil"/>
              <w:bottom w:val="single" w:sz="4" w:space="0" w:color="002060"/>
              <w:right w:val="nil"/>
            </w:tcBorders>
            <w:shd w:val="clear" w:color="auto" w:fill="auto"/>
            <w:noWrap/>
            <w:hideMark/>
          </w:tcPr>
          <w:p w14:paraId="525A8E1F"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8.526</w:t>
            </w:r>
          </w:p>
        </w:tc>
        <w:tc>
          <w:tcPr>
            <w:tcW w:w="462" w:type="pct"/>
            <w:tcBorders>
              <w:top w:val="nil"/>
              <w:left w:val="nil"/>
              <w:bottom w:val="single" w:sz="4" w:space="0" w:color="002060"/>
              <w:right w:val="nil"/>
            </w:tcBorders>
            <w:shd w:val="clear" w:color="auto" w:fill="auto"/>
            <w:noWrap/>
            <w:hideMark/>
          </w:tcPr>
          <w:p w14:paraId="770B182B"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42,4</w:t>
            </w:r>
          </w:p>
        </w:tc>
        <w:tc>
          <w:tcPr>
            <w:tcW w:w="462" w:type="pct"/>
            <w:tcBorders>
              <w:top w:val="nil"/>
              <w:left w:val="nil"/>
              <w:bottom w:val="single" w:sz="4" w:space="0" w:color="002060"/>
              <w:right w:val="nil"/>
            </w:tcBorders>
            <w:shd w:val="clear" w:color="auto" w:fill="auto"/>
            <w:noWrap/>
            <w:hideMark/>
          </w:tcPr>
          <w:p w14:paraId="7FAB32D0"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43,1</w:t>
            </w:r>
          </w:p>
        </w:tc>
        <w:tc>
          <w:tcPr>
            <w:tcW w:w="462" w:type="pct"/>
            <w:tcBorders>
              <w:top w:val="nil"/>
              <w:left w:val="nil"/>
              <w:bottom w:val="single" w:sz="4" w:space="0" w:color="002060"/>
              <w:right w:val="nil"/>
            </w:tcBorders>
            <w:shd w:val="clear" w:color="auto" w:fill="auto"/>
            <w:noWrap/>
            <w:hideMark/>
          </w:tcPr>
          <w:p w14:paraId="65C945E1" w14:textId="77777777" w:rsidR="008C484F" w:rsidRPr="0062711C" w:rsidRDefault="008C484F" w:rsidP="009367BB">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-0,9</w:t>
            </w:r>
          </w:p>
        </w:tc>
      </w:tr>
    </w:tbl>
    <w:p w14:paraId="62861005" w14:textId="1AB0BD22" w:rsidR="00DF0C87" w:rsidRPr="0062711C" w:rsidRDefault="00DF0C87" w:rsidP="00C03481">
      <w:pPr>
        <w:spacing w:after="200" w:line="276" w:lineRule="auto"/>
        <w:rPr>
          <w:rFonts w:ascii="Calibri" w:eastAsia="MS PGothic" w:hAnsi="Calibri" w:cs="Calibri"/>
          <w:color w:val="44546A"/>
          <w:sz w:val="18"/>
          <w:szCs w:val="18"/>
          <w:lang w:val="sr-Cyrl-RS" w:eastAsia="ja-JP"/>
        </w:rPr>
        <w:sectPr w:rsidR="00DF0C87" w:rsidRPr="0062711C" w:rsidSect="00F45C01">
          <w:type w:val="continuous"/>
          <w:pgSz w:w="12240" w:h="15840"/>
          <w:pgMar w:top="1440" w:right="1440" w:bottom="1440" w:left="1440" w:header="720" w:footer="720" w:gutter="0"/>
          <w:cols w:space="720"/>
          <w:docGrid w:linePitch="360"/>
        </w:sectPr>
      </w:pPr>
      <w:r w:rsidRPr="0062711C">
        <w:rPr>
          <w:rFonts w:ascii="Calibri" w:eastAsia="MS PGothic" w:hAnsi="Calibri" w:cs="Calibri"/>
          <w:color w:val="44546A"/>
          <w:sz w:val="18"/>
          <w:szCs w:val="18"/>
          <w:lang w:val="sr-Cyrl-RS" w:eastAsia="ja-JP"/>
        </w:rPr>
        <w:t xml:space="preserve"> </w:t>
      </w:r>
      <w:r w:rsidRPr="0062711C">
        <w:rPr>
          <w:rFonts w:ascii="Calibri" w:eastAsia="MS PGothic" w:hAnsi="Calibri" w:cs="Calibri"/>
          <w:color w:val="44546A"/>
          <w:sz w:val="16"/>
          <w:szCs w:val="16"/>
          <w:lang w:val="sr-Cyrl-RS" w:eastAsia="ja-JP"/>
        </w:rPr>
        <w:t>Извор: Финансијски извештаји за 2023</w:t>
      </w:r>
      <w:r w:rsidR="00F45C01" w:rsidRPr="0062711C">
        <w:rPr>
          <w:rFonts w:ascii="Calibri" w:eastAsia="MS PGothic" w:hAnsi="Calibri" w:cs="Calibri"/>
          <w:color w:val="44546A"/>
          <w:sz w:val="16"/>
          <w:szCs w:val="16"/>
          <w:lang w:val="sr-Cyrl-RS" w:eastAsia="ja-JP"/>
        </w:rPr>
        <w:t>.</w:t>
      </w:r>
      <w:r w:rsidRPr="0062711C">
        <w:rPr>
          <w:rFonts w:ascii="Calibri" w:eastAsia="MS PGothic" w:hAnsi="Calibri" w:cs="Calibri"/>
          <w:color w:val="44546A"/>
          <w:sz w:val="16"/>
          <w:szCs w:val="16"/>
          <w:lang w:val="sr-Cyrl-RS" w:eastAsia="ja-JP"/>
        </w:rPr>
        <w:t xml:space="preserve"> годину (АПР)</w:t>
      </w:r>
    </w:p>
    <w:p w14:paraId="4C218A2D"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Државна предузећа која се прате од стране Сектора за праћење фискалних ризика послују у различитим секторима. Ако посматрамо по броју, највише државних предузећа послује у области туризма (пре свега због националних паркова) и саобраћаја (железничка предузећа). Акo се посматра са становишта укупно остварених прихода, као и броја запослених, може се закључити да водећу улогу имају државна предузећа из сектора енергетике. У 2023. години предузећа из овог сектора чинила су 81% укупних прихода остварених од свих 36 државних предузећа.</w:t>
      </w:r>
    </w:p>
    <w:p w14:paraId="3DBEAB93" w14:textId="376D4D2D"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Резулта</w:t>
      </w:r>
      <w:r w:rsidR="00D121C1" w:rsidRPr="0062711C">
        <w:rPr>
          <w:rFonts w:cstheme="minorHAnsi"/>
          <w:b/>
          <w:color w:val="2F5496" w:themeColor="accent1" w:themeShade="BF"/>
          <w:sz w:val="22"/>
          <w:lang w:val="sr-Cyrl-RS"/>
        </w:rPr>
        <w:t>ти пословања државних предузећа</w:t>
      </w:r>
    </w:p>
    <w:p w14:paraId="56C90E54" w14:textId="0522BBD4" w:rsidR="00DF0C87" w:rsidRPr="0062711C" w:rsidRDefault="00DF0C87" w:rsidP="009367BB">
      <w:pPr>
        <w:rPr>
          <w:rFonts w:eastAsia="MS PGothic" w:cstheme="minorHAnsi"/>
          <w:szCs w:val="20"/>
          <w:lang w:val="sr-Cyrl-RS" w:eastAsia="ja-JP"/>
        </w:rPr>
      </w:pPr>
      <w:r w:rsidRPr="0062711C">
        <w:rPr>
          <w:rFonts w:eastAsia="MS PGothic" w:cstheme="minorHAnsi"/>
          <w:szCs w:val="20"/>
          <w:lang w:val="sr-Cyrl-RS" w:eastAsia="ja-JP"/>
        </w:rPr>
        <w:t>Укупна имовина државних предузећа на крају 2023. године износила је 3.541 млрд динара, и њу чини углавном стална имовина која учествује са 85,6% с</w:t>
      </w:r>
      <w:r w:rsidR="00C94383" w:rsidRPr="0062711C">
        <w:rPr>
          <w:rFonts w:eastAsia="MS PGothic" w:cstheme="minorHAnsi"/>
          <w:szCs w:val="20"/>
          <w:lang w:val="sr-Cyrl-RS" w:eastAsia="ja-JP"/>
        </w:rPr>
        <w:t xml:space="preserve"> </w:t>
      </w:r>
      <w:r w:rsidRPr="0062711C">
        <w:rPr>
          <w:rFonts w:eastAsia="MS PGothic" w:cstheme="minorHAnsi"/>
          <w:szCs w:val="20"/>
          <w:lang w:val="sr-Cyrl-RS" w:eastAsia="ja-JP"/>
        </w:rPr>
        <w:t xml:space="preserve">обзиром да већина државних предузећа послује у капитално интензивним гранама. Укупне обавезе обухватају кредите, обавезе према добављачима и обавезе по другим основама и оне </w:t>
      </w:r>
      <w:r w:rsidRPr="0062711C">
        <w:rPr>
          <w:rFonts w:eastAsia="MS PGothic" w:cstheme="minorHAnsi"/>
          <w:szCs w:val="20"/>
          <w:lang w:val="sr-Cyrl-RS" w:eastAsia="ja-JP"/>
        </w:rPr>
        <w:t>су значајно порасле у периоду између 2021. и 2022. године, што је у складу са појавом енергетских шокова на тржишту. Кредитне обавезе имају учешће од 38,7% у укупним обавезама предузећа.</w:t>
      </w:r>
    </w:p>
    <w:p w14:paraId="3ECB4700" w14:textId="7CF97E5A" w:rsidR="00DF0C87" w:rsidRPr="0062711C" w:rsidRDefault="00DF0C87" w:rsidP="003900BE">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1</w:t>
      </w:r>
      <w:r w:rsidR="00BB1E84">
        <w:rPr>
          <w:rFonts w:eastAsia="MS PGothic" w:cstheme="minorHAnsi"/>
          <w:b/>
          <w:color w:val="002060"/>
          <w:szCs w:val="20"/>
          <w:lang w:eastAsia="ja-JP"/>
        </w:rPr>
        <w:t>8</w:t>
      </w:r>
      <w:r w:rsidRPr="0062711C">
        <w:rPr>
          <w:rFonts w:eastAsia="MS PGothic" w:cstheme="minorHAnsi"/>
          <w:b/>
          <w:color w:val="002060"/>
          <w:szCs w:val="20"/>
          <w:lang w:val="sr-Cyrl-RS" w:eastAsia="ja-JP"/>
        </w:rPr>
        <w:t>. Главни финансијски показатељи пословања државних предузећа, млрд динара</w:t>
      </w:r>
    </w:p>
    <w:tbl>
      <w:tblPr>
        <w:tblW w:w="4332" w:type="dxa"/>
        <w:tblLook w:val="04A0" w:firstRow="1" w:lastRow="0" w:firstColumn="1" w:lastColumn="0" w:noHBand="0" w:noVBand="1"/>
      </w:tblPr>
      <w:tblGrid>
        <w:gridCol w:w="1620"/>
        <w:gridCol w:w="627"/>
        <w:gridCol w:w="627"/>
        <w:gridCol w:w="627"/>
        <w:gridCol w:w="912"/>
      </w:tblGrid>
      <w:tr w:rsidR="007B60D6" w:rsidRPr="0062711C" w14:paraId="474F3A71" w14:textId="77777777" w:rsidTr="002D5E21">
        <w:trPr>
          <w:trHeight w:val="215"/>
        </w:trPr>
        <w:tc>
          <w:tcPr>
            <w:tcW w:w="1620" w:type="dxa"/>
            <w:tcBorders>
              <w:top w:val="single" w:sz="4" w:space="0" w:color="002060"/>
              <w:left w:val="nil"/>
              <w:bottom w:val="single" w:sz="4" w:space="0" w:color="002060"/>
              <w:right w:val="nil"/>
            </w:tcBorders>
            <w:shd w:val="clear" w:color="auto" w:fill="FFFFFF" w:themeFill="background1"/>
            <w:noWrap/>
            <w:vAlign w:val="center"/>
            <w:hideMark/>
          </w:tcPr>
          <w:p w14:paraId="79B1625B" w14:textId="77777777" w:rsidR="007B60D6" w:rsidRPr="0062711C" w:rsidRDefault="007B60D6" w:rsidP="00276C75">
            <w:pPr>
              <w:spacing w:after="0" w:line="240" w:lineRule="auto"/>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Опис</w:t>
            </w:r>
          </w:p>
        </w:tc>
        <w:tc>
          <w:tcPr>
            <w:tcW w:w="626" w:type="dxa"/>
            <w:tcBorders>
              <w:top w:val="single" w:sz="4" w:space="0" w:color="002060"/>
              <w:left w:val="nil"/>
              <w:bottom w:val="single" w:sz="4" w:space="0" w:color="002060"/>
              <w:right w:val="nil"/>
            </w:tcBorders>
            <w:shd w:val="clear" w:color="auto" w:fill="FFFFFF" w:themeFill="background1"/>
            <w:noWrap/>
            <w:vAlign w:val="center"/>
            <w:hideMark/>
          </w:tcPr>
          <w:p w14:paraId="25172EA7" w14:textId="77777777" w:rsidR="007B60D6" w:rsidRPr="0062711C" w:rsidRDefault="007B60D6" w:rsidP="00276C75">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2021</w:t>
            </w:r>
          </w:p>
        </w:tc>
        <w:tc>
          <w:tcPr>
            <w:tcW w:w="626" w:type="dxa"/>
            <w:tcBorders>
              <w:top w:val="single" w:sz="4" w:space="0" w:color="002060"/>
              <w:left w:val="nil"/>
              <w:bottom w:val="single" w:sz="4" w:space="0" w:color="002060"/>
              <w:right w:val="nil"/>
            </w:tcBorders>
            <w:shd w:val="clear" w:color="auto" w:fill="FFFFFF" w:themeFill="background1"/>
            <w:noWrap/>
            <w:vAlign w:val="center"/>
            <w:hideMark/>
          </w:tcPr>
          <w:p w14:paraId="05657E3C" w14:textId="77777777" w:rsidR="007B60D6" w:rsidRPr="0062711C" w:rsidRDefault="007B60D6" w:rsidP="00276C75">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2022</w:t>
            </w:r>
          </w:p>
        </w:tc>
        <w:tc>
          <w:tcPr>
            <w:tcW w:w="548" w:type="dxa"/>
            <w:tcBorders>
              <w:top w:val="single" w:sz="4" w:space="0" w:color="002060"/>
              <w:left w:val="nil"/>
              <w:bottom w:val="single" w:sz="4" w:space="0" w:color="002060"/>
              <w:right w:val="nil"/>
            </w:tcBorders>
            <w:shd w:val="clear" w:color="auto" w:fill="FFFFFF" w:themeFill="background1"/>
            <w:noWrap/>
            <w:vAlign w:val="center"/>
            <w:hideMark/>
          </w:tcPr>
          <w:p w14:paraId="21A874CD" w14:textId="77777777" w:rsidR="007B60D6" w:rsidRPr="0062711C" w:rsidRDefault="007B60D6" w:rsidP="00276C75">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2023</w:t>
            </w:r>
          </w:p>
        </w:tc>
        <w:tc>
          <w:tcPr>
            <w:tcW w:w="912" w:type="dxa"/>
            <w:tcBorders>
              <w:top w:val="single" w:sz="4" w:space="0" w:color="002060"/>
              <w:left w:val="nil"/>
              <w:bottom w:val="single" w:sz="4" w:space="0" w:color="002060"/>
              <w:right w:val="nil"/>
            </w:tcBorders>
            <w:shd w:val="clear" w:color="auto" w:fill="FFFFFF" w:themeFill="background1"/>
            <w:noWrap/>
            <w:vAlign w:val="center"/>
            <w:hideMark/>
          </w:tcPr>
          <w:p w14:paraId="5695AE5E" w14:textId="77777777" w:rsidR="007B60D6" w:rsidRPr="0062711C" w:rsidRDefault="007B60D6" w:rsidP="00276C75">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Q1 2024</w:t>
            </w:r>
          </w:p>
        </w:tc>
      </w:tr>
      <w:tr w:rsidR="007B60D6" w:rsidRPr="0062711C" w14:paraId="0AFD381F" w14:textId="77777777" w:rsidTr="00924166">
        <w:trPr>
          <w:trHeight w:val="300"/>
        </w:trPr>
        <w:tc>
          <w:tcPr>
            <w:tcW w:w="1620" w:type="dxa"/>
            <w:tcBorders>
              <w:top w:val="nil"/>
              <w:left w:val="nil"/>
              <w:bottom w:val="nil"/>
              <w:right w:val="nil"/>
            </w:tcBorders>
            <w:shd w:val="clear" w:color="000000" w:fill="FFFFFF"/>
            <w:noWrap/>
            <w:vAlign w:val="center"/>
            <w:hideMark/>
          </w:tcPr>
          <w:p w14:paraId="4581E947" w14:textId="77777777" w:rsidR="007B60D6" w:rsidRPr="0062711C" w:rsidRDefault="007B60D6" w:rsidP="00276C75">
            <w:pPr>
              <w:spacing w:after="0" w:line="240" w:lineRule="auto"/>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Укупна имовина</w:t>
            </w:r>
          </w:p>
        </w:tc>
        <w:tc>
          <w:tcPr>
            <w:tcW w:w="626" w:type="dxa"/>
            <w:tcBorders>
              <w:top w:val="nil"/>
              <w:left w:val="nil"/>
              <w:bottom w:val="nil"/>
              <w:right w:val="nil"/>
            </w:tcBorders>
            <w:shd w:val="clear" w:color="000000" w:fill="FFFFFF"/>
            <w:noWrap/>
            <w:vAlign w:val="center"/>
            <w:hideMark/>
          </w:tcPr>
          <w:p w14:paraId="23DF15AC"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3.217</w:t>
            </w:r>
          </w:p>
        </w:tc>
        <w:tc>
          <w:tcPr>
            <w:tcW w:w="626" w:type="dxa"/>
            <w:tcBorders>
              <w:top w:val="nil"/>
              <w:left w:val="nil"/>
              <w:bottom w:val="nil"/>
              <w:right w:val="nil"/>
            </w:tcBorders>
            <w:shd w:val="clear" w:color="000000" w:fill="FFFFFF"/>
            <w:noWrap/>
            <w:vAlign w:val="center"/>
            <w:hideMark/>
          </w:tcPr>
          <w:p w14:paraId="404F28E6" w14:textId="77777777" w:rsidR="007B60D6" w:rsidRPr="0062711C" w:rsidRDefault="007B60D6" w:rsidP="001239A8">
            <w:pPr>
              <w:spacing w:after="0" w:line="240"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3.454</w:t>
            </w:r>
          </w:p>
        </w:tc>
        <w:tc>
          <w:tcPr>
            <w:tcW w:w="548" w:type="dxa"/>
            <w:tcBorders>
              <w:top w:val="nil"/>
              <w:left w:val="nil"/>
              <w:bottom w:val="nil"/>
              <w:right w:val="nil"/>
            </w:tcBorders>
            <w:shd w:val="clear" w:color="000000" w:fill="FFFFFF"/>
            <w:noWrap/>
            <w:vAlign w:val="center"/>
            <w:hideMark/>
          </w:tcPr>
          <w:p w14:paraId="37E0C8FC"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3.541</w:t>
            </w:r>
          </w:p>
        </w:tc>
        <w:tc>
          <w:tcPr>
            <w:tcW w:w="912" w:type="dxa"/>
            <w:tcBorders>
              <w:top w:val="nil"/>
              <w:left w:val="nil"/>
              <w:bottom w:val="nil"/>
              <w:right w:val="nil"/>
            </w:tcBorders>
            <w:shd w:val="clear" w:color="000000" w:fill="FFFFFF"/>
            <w:noWrap/>
            <w:vAlign w:val="center"/>
            <w:hideMark/>
          </w:tcPr>
          <w:p w14:paraId="458B45B0"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3.591</w:t>
            </w:r>
          </w:p>
        </w:tc>
      </w:tr>
      <w:tr w:rsidR="007B60D6" w:rsidRPr="0062711C" w14:paraId="41851F4B" w14:textId="77777777" w:rsidTr="00924166">
        <w:trPr>
          <w:trHeight w:val="300"/>
        </w:trPr>
        <w:tc>
          <w:tcPr>
            <w:tcW w:w="1620" w:type="dxa"/>
            <w:tcBorders>
              <w:top w:val="nil"/>
              <w:left w:val="nil"/>
              <w:bottom w:val="nil"/>
              <w:right w:val="nil"/>
            </w:tcBorders>
            <w:shd w:val="clear" w:color="000000" w:fill="FFFFFF"/>
            <w:noWrap/>
            <w:vAlign w:val="center"/>
            <w:hideMark/>
          </w:tcPr>
          <w:p w14:paraId="2F5EC62B" w14:textId="77777777" w:rsidR="007B60D6" w:rsidRPr="0062711C" w:rsidRDefault="007B60D6" w:rsidP="00276C75">
            <w:pPr>
              <w:spacing w:after="0" w:line="240"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Стална имовина</w:t>
            </w:r>
          </w:p>
        </w:tc>
        <w:tc>
          <w:tcPr>
            <w:tcW w:w="626" w:type="dxa"/>
            <w:tcBorders>
              <w:top w:val="nil"/>
              <w:left w:val="nil"/>
              <w:bottom w:val="nil"/>
              <w:right w:val="nil"/>
            </w:tcBorders>
            <w:shd w:val="clear" w:color="000000" w:fill="FFFFFF"/>
            <w:noWrap/>
            <w:vAlign w:val="center"/>
            <w:hideMark/>
          </w:tcPr>
          <w:p w14:paraId="61E52F58"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2.872</w:t>
            </w:r>
          </w:p>
        </w:tc>
        <w:tc>
          <w:tcPr>
            <w:tcW w:w="626" w:type="dxa"/>
            <w:tcBorders>
              <w:top w:val="nil"/>
              <w:left w:val="nil"/>
              <w:bottom w:val="nil"/>
              <w:right w:val="nil"/>
            </w:tcBorders>
            <w:shd w:val="clear" w:color="000000" w:fill="FFFFFF"/>
            <w:noWrap/>
            <w:vAlign w:val="center"/>
            <w:hideMark/>
          </w:tcPr>
          <w:p w14:paraId="30562700"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2.936</w:t>
            </w:r>
          </w:p>
        </w:tc>
        <w:tc>
          <w:tcPr>
            <w:tcW w:w="548" w:type="dxa"/>
            <w:tcBorders>
              <w:top w:val="nil"/>
              <w:left w:val="nil"/>
              <w:bottom w:val="nil"/>
              <w:right w:val="nil"/>
            </w:tcBorders>
            <w:shd w:val="clear" w:color="000000" w:fill="FFFFFF"/>
            <w:noWrap/>
            <w:vAlign w:val="center"/>
            <w:hideMark/>
          </w:tcPr>
          <w:p w14:paraId="7422F148"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3.031</w:t>
            </w:r>
          </w:p>
        </w:tc>
        <w:tc>
          <w:tcPr>
            <w:tcW w:w="912" w:type="dxa"/>
            <w:tcBorders>
              <w:top w:val="nil"/>
              <w:left w:val="nil"/>
              <w:bottom w:val="nil"/>
              <w:right w:val="nil"/>
            </w:tcBorders>
            <w:shd w:val="clear" w:color="000000" w:fill="FFFFFF"/>
            <w:noWrap/>
            <w:vAlign w:val="center"/>
            <w:hideMark/>
          </w:tcPr>
          <w:p w14:paraId="7B8F3F87"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3.041</w:t>
            </w:r>
          </w:p>
        </w:tc>
      </w:tr>
      <w:tr w:rsidR="007B60D6" w:rsidRPr="0062711C" w14:paraId="28A9F178" w14:textId="77777777" w:rsidTr="00924166">
        <w:trPr>
          <w:trHeight w:val="300"/>
        </w:trPr>
        <w:tc>
          <w:tcPr>
            <w:tcW w:w="1620" w:type="dxa"/>
            <w:tcBorders>
              <w:top w:val="nil"/>
              <w:left w:val="nil"/>
              <w:bottom w:val="nil"/>
              <w:right w:val="nil"/>
            </w:tcBorders>
            <w:shd w:val="clear" w:color="000000" w:fill="FFFFFF"/>
            <w:noWrap/>
            <w:vAlign w:val="center"/>
            <w:hideMark/>
          </w:tcPr>
          <w:p w14:paraId="2B0E66D3" w14:textId="77777777" w:rsidR="007B60D6" w:rsidRPr="0062711C" w:rsidRDefault="007B60D6" w:rsidP="00276C75">
            <w:pPr>
              <w:spacing w:after="0" w:line="240"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Обртна имовина</w:t>
            </w:r>
          </w:p>
        </w:tc>
        <w:tc>
          <w:tcPr>
            <w:tcW w:w="626" w:type="dxa"/>
            <w:tcBorders>
              <w:top w:val="nil"/>
              <w:left w:val="nil"/>
              <w:bottom w:val="nil"/>
              <w:right w:val="nil"/>
            </w:tcBorders>
            <w:shd w:val="clear" w:color="000000" w:fill="FFFFFF"/>
            <w:noWrap/>
            <w:vAlign w:val="center"/>
            <w:hideMark/>
          </w:tcPr>
          <w:p w14:paraId="628B79AD"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340</w:t>
            </w:r>
          </w:p>
        </w:tc>
        <w:tc>
          <w:tcPr>
            <w:tcW w:w="626" w:type="dxa"/>
            <w:tcBorders>
              <w:top w:val="nil"/>
              <w:left w:val="nil"/>
              <w:bottom w:val="nil"/>
              <w:right w:val="nil"/>
            </w:tcBorders>
            <w:shd w:val="clear" w:color="000000" w:fill="FFFFFF"/>
            <w:noWrap/>
            <w:vAlign w:val="center"/>
            <w:hideMark/>
          </w:tcPr>
          <w:p w14:paraId="1BC7D790"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513</w:t>
            </w:r>
          </w:p>
        </w:tc>
        <w:tc>
          <w:tcPr>
            <w:tcW w:w="548" w:type="dxa"/>
            <w:tcBorders>
              <w:top w:val="nil"/>
              <w:left w:val="nil"/>
              <w:bottom w:val="nil"/>
              <w:right w:val="nil"/>
            </w:tcBorders>
            <w:shd w:val="clear" w:color="000000" w:fill="FFFFFF"/>
            <w:noWrap/>
            <w:vAlign w:val="center"/>
            <w:hideMark/>
          </w:tcPr>
          <w:p w14:paraId="5CA57080"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505</w:t>
            </w:r>
          </w:p>
        </w:tc>
        <w:tc>
          <w:tcPr>
            <w:tcW w:w="912" w:type="dxa"/>
            <w:tcBorders>
              <w:top w:val="nil"/>
              <w:left w:val="nil"/>
              <w:bottom w:val="nil"/>
              <w:right w:val="nil"/>
            </w:tcBorders>
            <w:shd w:val="clear" w:color="000000" w:fill="FFFFFF"/>
            <w:noWrap/>
            <w:vAlign w:val="center"/>
            <w:hideMark/>
          </w:tcPr>
          <w:p w14:paraId="51D9B963"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546</w:t>
            </w:r>
          </w:p>
        </w:tc>
      </w:tr>
      <w:tr w:rsidR="007B60D6" w:rsidRPr="0062711C" w14:paraId="760A9A77" w14:textId="77777777" w:rsidTr="00924166">
        <w:trPr>
          <w:trHeight w:val="300"/>
        </w:trPr>
        <w:tc>
          <w:tcPr>
            <w:tcW w:w="1620" w:type="dxa"/>
            <w:tcBorders>
              <w:top w:val="nil"/>
              <w:left w:val="nil"/>
              <w:bottom w:val="nil"/>
              <w:right w:val="nil"/>
            </w:tcBorders>
            <w:shd w:val="clear" w:color="000000" w:fill="FFFFFF"/>
            <w:noWrap/>
            <w:vAlign w:val="center"/>
            <w:hideMark/>
          </w:tcPr>
          <w:p w14:paraId="1AA14EA8" w14:textId="77777777" w:rsidR="007B60D6" w:rsidRPr="0062711C" w:rsidRDefault="007B60D6" w:rsidP="00276C75">
            <w:pPr>
              <w:spacing w:after="0" w:line="240" w:lineRule="auto"/>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Укупни капитал</w:t>
            </w:r>
          </w:p>
        </w:tc>
        <w:tc>
          <w:tcPr>
            <w:tcW w:w="626" w:type="dxa"/>
            <w:tcBorders>
              <w:top w:val="nil"/>
              <w:left w:val="nil"/>
              <w:bottom w:val="nil"/>
              <w:right w:val="nil"/>
            </w:tcBorders>
            <w:shd w:val="clear" w:color="000000" w:fill="FFFFFF"/>
            <w:noWrap/>
            <w:vAlign w:val="center"/>
            <w:hideMark/>
          </w:tcPr>
          <w:p w14:paraId="39533024"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1.963</w:t>
            </w:r>
          </w:p>
        </w:tc>
        <w:tc>
          <w:tcPr>
            <w:tcW w:w="626" w:type="dxa"/>
            <w:tcBorders>
              <w:top w:val="nil"/>
              <w:left w:val="nil"/>
              <w:bottom w:val="nil"/>
              <w:right w:val="nil"/>
            </w:tcBorders>
            <w:shd w:val="clear" w:color="000000" w:fill="FFFFFF"/>
            <w:noWrap/>
            <w:vAlign w:val="center"/>
            <w:hideMark/>
          </w:tcPr>
          <w:p w14:paraId="476A95E4"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1.896</w:t>
            </w:r>
          </w:p>
        </w:tc>
        <w:tc>
          <w:tcPr>
            <w:tcW w:w="548" w:type="dxa"/>
            <w:tcBorders>
              <w:top w:val="nil"/>
              <w:left w:val="nil"/>
              <w:bottom w:val="nil"/>
              <w:right w:val="nil"/>
            </w:tcBorders>
            <w:shd w:val="clear" w:color="000000" w:fill="FFFFFF"/>
            <w:noWrap/>
            <w:vAlign w:val="center"/>
            <w:hideMark/>
          </w:tcPr>
          <w:p w14:paraId="5F052A3C"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2.002</w:t>
            </w:r>
          </w:p>
        </w:tc>
        <w:tc>
          <w:tcPr>
            <w:tcW w:w="912" w:type="dxa"/>
            <w:tcBorders>
              <w:top w:val="nil"/>
              <w:left w:val="nil"/>
              <w:bottom w:val="nil"/>
              <w:right w:val="nil"/>
            </w:tcBorders>
            <w:shd w:val="clear" w:color="000000" w:fill="FFFFFF"/>
            <w:noWrap/>
            <w:vAlign w:val="center"/>
            <w:hideMark/>
          </w:tcPr>
          <w:p w14:paraId="64323AE7"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2.035</w:t>
            </w:r>
          </w:p>
        </w:tc>
      </w:tr>
      <w:tr w:rsidR="007B60D6" w:rsidRPr="0062711C" w14:paraId="2A465601" w14:textId="77777777" w:rsidTr="00924166">
        <w:trPr>
          <w:trHeight w:val="300"/>
        </w:trPr>
        <w:tc>
          <w:tcPr>
            <w:tcW w:w="1620" w:type="dxa"/>
            <w:tcBorders>
              <w:top w:val="nil"/>
              <w:left w:val="nil"/>
              <w:bottom w:val="nil"/>
              <w:right w:val="nil"/>
            </w:tcBorders>
            <w:shd w:val="clear" w:color="000000" w:fill="FFFFFF"/>
            <w:noWrap/>
            <w:vAlign w:val="center"/>
            <w:hideMark/>
          </w:tcPr>
          <w:p w14:paraId="0FD4AC50" w14:textId="77777777" w:rsidR="007B60D6" w:rsidRPr="0062711C" w:rsidRDefault="007B60D6" w:rsidP="00276C75">
            <w:pPr>
              <w:spacing w:after="0" w:line="240" w:lineRule="auto"/>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Укупне обавезе</w:t>
            </w:r>
          </w:p>
        </w:tc>
        <w:tc>
          <w:tcPr>
            <w:tcW w:w="626" w:type="dxa"/>
            <w:tcBorders>
              <w:top w:val="nil"/>
              <w:left w:val="nil"/>
              <w:bottom w:val="nil"/>
              <w:right w:val="nil"/>
            </w:tcBorders>
            <w:shd w:val="clear" w:color="000000" w:fill="FFFFFF"/>
            <w:noWrap/>
            <w:vAlign w:val="center"/>
            <w:hideMark/>
          </w:tcPr>
          <w:p w14:paraId="6CE32DE2"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1.254</w:t>
            </w:r>
          </w:p>
        </w:tc>
        <w:tc>
          <w:tcPr>
            <w:tcW w:w="626" w:type="dxa"/>
            <w:tcBorders>
              <w:top w:val="nil"/>
              <w:left w:val="nil"/>
              <w:bottom w:val="nil"/>
              <w:right w:val="nil"/>
            </w:tcBorders>
            <w:shd w:val="clear" w:color="000000" w:fill="FFFFFF"/>
            <w:noWrap/>
            <w:vAlign w:val="center"/>
            <w:hideMark/>
          </w:tcPr>
          <w:p w14:paraId="6264397A"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1.558</w:t>
            </w:r>
          </w:p>
        </w:tc>
        <w:tc>
          <w:tcPr>
            <w:tcW w:w="548" w:type="dxa"/>
            <w:tcBorders>
              <w:top w:val="nil"/>
              <w:left w:val="nil"/>
              <w:bottom w:val="nil"/>
              <w:right w:val="nil"/>
            </w:tcBorders>
            <w:shd w:val="clear" w:color="000000" w:fill="FFFFFF"/>
            <w:noWrap/>
            <w:vAlign w:val="center"/>
            <w:hideMark/>
          </w:tcPr>
          <w:p w14:paraId="39FDD942"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1.539</w:t>
            </w:r>
          </w:p>
        </w:tc>
        <w:tc>
          <w:tcPr>
            <w:tcW w:w="912" w:type="dxa"/>
            <w:tcBorders>
              <w:top w:val="nil"/>
              <w:left w:val="nil"/>
              <w:bottom w:val="nil"/>
              <w:right w:val="nil"/>
            </w:tcBorders>
            <w:shd w:val="clear" w:color="000000" w:fill="FFFFFF"/>
            <w:noWrap/>
            <w:vAlign w:val="center"/>
            <w:hideMark/>
          </w:tcPr>
          <w:p w14:paraId="5A848DF2"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1.556</w:t>
            </w:r>
          </w:p>
        </w:tc>
      </w:tr>
      <w:tr w:rsidR="007B60D6" w:rsidRPr="0062711C" w14:paraId="02A3CF8D" w14:textId="77777777" w:rsidTr="00924166">
        <w:trPr>
          <w:trHeight w:val="300"/>
        </w:trPr>
        <w:tc>
          <w:tcPr>
            <w:tcW w:w="1620" w:type="dxa"/>
            <w:tcBorders>
              <w:top w:val="nil"/>
              <w:left w:val="nil"/>
              <w:bottom w:val="single" w:sz="4" w:space="0" w:color="002060"/>
              <w:right w:val="nil"/>
            </w:tcBorders>
            <w:shd w:val="clear" w:color="000000" w:fill="FFFFFF"/>
            <w:noWrap/>
            <w:vAlign w:val="center"/>
            <w:hideMark/>
          </w:tcPr>
          <w:p w14:paraId="675E3D14" w14:textId="77777777" w:rsidR="007B60D6" w:rsidRPr="0062711C" w:rsidRDefault="007B60D6" w:rsidP="00276C75">
            <w:pPr>
              <w:spacing w:after="0" w:line="240" w:lineRule="auto"/>
              <w:rPr>
                <w:rFonts w:eastAsia="Times New Roman" w:cstheme="minorHAnsi"/>
                <w:color w:val="002060"/>
                <w:sz w:val="18"/>
                <w:szCs w:val="18"/>
                <w:lang w:val="sr-Cyrl-RS"/>
              </w:rPr>
            </w:pPr>
            <w:r w:rsidRPr="0062711C">
              <w:rPr>
                <w:rFonts w:eastAsia="Times New Roman" w:cstheme="minorHAnsi"/>
                <w:color w:val="002060"/>
                <w:sz w:val="18"/>
                <w:szCs w:val="18"/>
                <w:lang w:val="sr-Cyrl-RS"/>
              </w:rPr>
              <w:t>Кредитне обавезе</w:t>
            </w:r>
          </w:p>
        </w:tc>
        <w:tc>
          <w:tcPr>
            <w:tcW w:w="626" w:type="dxa"/>
            <w:tcBorders>
              <w:top w:val="nil"/>
              <w:left w:val="nil"/>
              <w:bottom w:val="single" w:sz="4" w:space="0" w:color="002060"/>
              <w:right w:val="nil"/>
            </w:tcBorders>
            <w:shd w:val="clear" w:color="000000" w:fill="FFFFFF"/>
            <w:noWrap/>
            <w:vAlign w:val="center"/>
            <w:hideMark/>
          </w:tcPr>
          <w:p w14:paraId="255A0481"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500</w:t>
            </w:r>
          </w:p>
        </w:tc>
        <w:tc>
          <w:tcPr>
            <w:tcW w:w="626" w:type="dxa"/>
            <w:tcBorders>
              <w:top w:val="nil"/>
              <w:left w:val="nil"/>
              <w:bottom w:val="single" w:sz="4" w:space="0" w:color="002060"/>
              <w:right w:val="nil"/>
            </w:tcBorders>
            <w:shd w:val="clear" w:color="000000" w:fill="FFFFFF"/>
            <w:noWrap/>
            <w:vAlign w:val="center"/>
            <w:hideMark/>
          </w:tcPr>
          <w:p w14:paraId="096B9358"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650</w:t>
            </w:r>
          </w:p>
        </w:tc>
        <w:tc>
          <w:tcPr>
            <w:tcW w:w="548" w:type="dxa"/>
            <w:tcBorders>
              <w:top w:val="nil"/>
              <w:left w:val="nil"/>
              <w:bottom w:val="single" w:sz="4" w:space="0" w:color="002060"/>
              <w:right w:val="nil"/>
            </w:tcBorders>
            <w:shd w:val="clear" w:color="000000" w:fill="FFFFFF"/>
            <w:noWrap/>
            <w:vAlign w:val="center"/>
            <w:hideMark/>
          </w:tcPr>
          <w:p w14:paraId="7F005F92"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596</w:t>
            </w:r>
          </w:p>
        </w:tc>
        <w:tc>
          <w:tcPr>
            <w:tcW w:w="912" w:type="dxa"/>
            <w:tcBorders>
              <w:top w:val="nil"/>
              <w:left w:val="nil"/>
              <w:bottom w:val="single" w:sz="4" w:space="0" w:color="002060"/>
              <w:right w:val="nil"/>
            </w:tcBorders>
            <w:shd w:val="clear" w:color="000000" w:fill="FFFFFF"/>
            <w:noWrap/>
            <w:vAlign w:val="center"/>
            <w:hideMark/>
          </w:tcPr>
          <w:p w14:paraId="4C5F649E" w14:textId="77777777" w:rsidR="007B60D6" w:rsidRPr="0062711C" w:rsidRDefault="007B60D6" w:rsidP="00276C75">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600</w:t>
            </w:r>
          </w:p>
        </w:tc>
      </w:tr>
    </w:tbl>
    <w:p w14:paraId="3366CECB" w14:textId="125DECBF" w:rsidR="00DF0C87" w:rsidRPr="0062711C" w:rsidRDefault="00DF0C87" w:rsidP="00276C75">
      <w:pPr>
        <w:spacing w:before="40" w:line="276" w:lineRule="auto"/>
        <w:rPr>
          <w:rFonts w:ascii="Calibri" w:eastAsia="MS PGothic" w:hAnsi="Calibri" w:cs="Calibri"/>
          <w:color w:val="44546A"/>
          <w:sz w:val="16"/>
          <w:szCs w:val="16"/>
          <w:lang w:val="sr-Cyrl-RS" w:eastAsia="ja-JP"/>
        </w:rPr>
      </w:pPr>
      <w:r w:rsidRPr="0062711C">
        <w:rPr>
          <w:rFonts w:ascii="Calibri" w:eastAsia="MS PGothic" w:hAnsi="Calibri" w:cs="Calibri"/>
          <w:color w:val="44546A"/>
          <w:sz w:val="16"/>
          <w:szCs w:val="16"/>
          <w:lang w:val="sr-Cyrl-RS" w:eastAsia="ja-JP"/>
        </w:rPr>
        <w:t>Извор: Финансијски извештаји (АПР) и квартални извештај за 2024. годину</w:t>
      </w:r>
    </w:p>
    <w:p w14:paraId="56EA7D90" w14:textId="77777777" w:rsidR="00DF0C87" w:rsidRPr="0062711C" w:rsidRDefault="00DF0C87" w:rsidP="00DF0C87">
      <w:pPr>
        <w:spacing w:after="0"/>
        <w:rPr>
          <w:rFonts w:eastAsia="MS PGothic" w:cstheme="minorHAnsi"/>
          <w:szCs w:val="20"/>
          <w:lang w:val="sr-Cyrl-RS" w:eastAsia="ja-JP"/>
        </w:rPr>
      </w:pPr>
      <w:r w:rsidRPr="0062711C">
        <w:rPr>
          <w:rFonts w:eastAsia="MS PGothic" w:cstheme="minorHAnsi"/>
          <w:szCs w:val="20"/>
          <w:lang w:val="sr-Cyrl-RS" w:eastAsia="ja-JP"/>
        </w:rPr>
        <w:t xml:space="preserve">Укупан нето резултат утврђен у првом кварталу 2024. године је добитак у износу од 33,0 млрд динара. Резултат текуће године је прецењен за трошкове амортизације ЈП „Путеви Србије”, јер </w:t>
      </w:r>
      <w:r w:rsidRPr="0062711C">
        <w:rPr>
          <w:rFonts w:eastAsia="MS PGothic" w:cstheme="minorHAnsi"/>
          <w:szCs w:val="20"/>
          <w:lang w:val="sr-Cyrl-RS" w:eastAsia="ja-JP"/>
        </w:rPr>
        <w:lastRenderedPageBreak/>
        <w:t xml:space="preserve">предузеће ове трошкове књижи тек на крају године у целокупном износу за дату годину. Пословни приходи и укупни приходи код државних предузећа бележе растући тренд и у последње три године најбоље остварење </w:t>
      </w:r>
      <w:r w:rsidRPr="0062711C">
        <w:rPr>
          <w:rFonts w:eastAsia="MS PGothic" w:cstheme="minorHAnsi"/>
          <w:szCs w:val="20"/>
          <w:lang w:val="sr-Cyrl-RS" w:eastAsia="ja-JP"/>
        </w:rPr>
        <w:t>забележено је на крају 2023. године, док је код пословних расхода и укупних расхода дошло до нешто мањег смањења у односу на 2022. годину што је у складу са рационалнијим пословањем предузећа.</w:t>
      </w:r>
    </w:p>
    <w:p w14:paraId="35899F98" w14:textId="408D9CB7" w:rsidR="00DF0C87" w:rsidRPr="0062711C" w:rsidRDefault="00DF0C87" w:rsidP="00DF0C87">
      <w:pPr>
        <w:jc w:val="left"/>
        <w:rPr>
          <w:rFonts w:eastAsia="MS PGothic" w:cstheme="minorHAnsi"/>
          <w:b/>
          <w:bCs/>
          <w:color w:val="002060"/>
          <w:szCs w:val="20"/>
          <w:lang w:val="sr-Cyrl-RS" w:eastAsia="ja-JP"/>
        </w:rPr>
        <w:sectPr w:rsidR="00DF0C87" w:rsidRPr="0062711C" w:rsidSect="00F45C01">
          <w:type w:val="continuous"/>
          <w:pgSz w:w="12240" w:h="15840"/>
          <w:pgMar w:top="1440" w:right="1440" w:bottom="1440" w:left="1440" w:header="720" w:footer="720" w:gutter="0"/>
          <w:cols w:num="2" w:space="720"/>
          <w:docGrid w:linePitch="360"/>
        </w:sectPr>
      </w:pPr>
    </w:p>
    <w:p w14:paraId="749C961C" w14:textId="77777777" w:rsidR="00924166" w:rsidRPr="0062711C" w:rsidRDefault="00924166" w:rsidP="00DF0C87">
      <w:pPr>
        <w:spacing w:after="120"/>
        <w:jc w:val="center"/>
        <w:rPr>
          <w:rFonts w:eastAsia="MS PGothic" w:cstheme="minorHAnsi"/>
          <w:b/>
          <w:color w:val="002060"/>
          <w:szCs w:val="20"/>
          <w:lang w:val="sr-Cyrl-RS" w:eastAsia="ja-JP"/>
        </w:rPr>
      </w:pPr>
    </w:p>
    <w:p w14:paraId="05A7E181" w14:textId="3B46DF7A"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1</w:t>
      </w:r>
      <w:r w:rsidR="00BB1E84">
        <w:rPr>
          <w:rFonts w:eastAsia="MS PGothic" w:cstheme="minorHAnsi"/>
          <w:b/>
          <w:color w:val="002060"/>
          <w:szCs w:val="20"/>
          <w:lang w:eastAsia="ja-JP"/>
        </w:rPr>
        <w:t>9</w:t>
      </w:r>
      <w:r w:rsidRPr="0062711C">
        <w:rPr>
          <w:rFonts w:eastAsia="MS PGothic" w:cstheme="minorHAnsi"/>
          <w:b/>
          <w:color w:val="002060"/>
          <w:szCs w:val="20"/>
          <w:lang w:val="sr-Cyrl-RS" w:eastAsia="ja-JP"/>
        </w:rPr>
        <w:t>. Основни показатељи пословања државних предузећа на дан 31.03.2024. године,</w:t>
      </w:r>
      <w:r w:rsidR="007666F4" w:rsidRPr="0062711C">
        <w:rPr>
          <w:rFonts w:eastAsia="MS PGothic" w:cstheme="minorHAnsi"/>
          <w:b/>
          <w:color w:val="002060"/>
          <w:szCs w:val="20"/>
          <w:lang w:val="sr-Cyrl-RS" w:eastAsia="ja-JP"/>
        </w:rPr>
        <w:t xml:space="preserve"> </w:t>
      </w:r>
      <w:r w:rsidR="007666F4" w:rsidRPr="0062711C">
        <w:rPr>
          <w:rFonts w:eastAsia="MS PGothic" w:cstheme="minorHAnsi"/>
          <w:b/>
          <w:color w:val="002060"/>
          <w:szCs w:val="20"/>
          <w:lang w:val="sr-Cyrl-RS" w:eastAsia="ja-JP"/>
        </w:rPr>
        <w:br w:type="textWrapping" w:clear="all"/>
      </w:r>
      <w:r w:rsidRPr="0062711C">
        <w:rPr>
          <w:rFonts w:eastAsia="MS PGothic" w:cstheme="minorHAnsi"/>
          <w:b/>
          <w:color w:val="002060"/>
          <w:szCs w:val="20"/>
          <w:lang w:val="sr-Cyrl-RS" w:eastAsia="ja-JP"/>
        </w:rPr>
        <w:t>у млрд динара</w:t>
      </w:r>
    </w:p>
    <w:tbl>
      <w:tblPr>
        <w:tblW w:w="5000" w:type="pct"/>
        <w:jc w:val="center"/>
        <w:tblLook w:val="04A0" w:firstRow="1" w:lastRow="0" w:firstColumn="1" w:lastColumn="0" w:noHBand="0" w:noVBand="1"/>
      </w:tblPr>
      <w:tblGrid>
        <w:gridCol w:w="4458"/>
        <w:gridCol w:w="1164"/>
        <w:gridCol w:w="1164"/>
        <w:gridCol w:w="1164"/>
        <w:gridCol w:w="1410"/>
      </w:tblGrid>
      <w:tr w:rsidR="00DF0C87" w:rsidRPr="0062711C" w14:paraId="4691BD0F" w14:textId="77777777" w:rsidTr="005D40B3">
        <w:trPr>
          <w:trHeight w:val="300"/>
          <w:jc w:val="center"/>
        </w:trPr>
        <w:tc>
          <w:tcPr>
            <w:tcW w:w="2381" w:type="pct"/>
            <w:tcBorders>
              <w:top w:val="single" w:sz="4" w:space="0" w:color="002060"/>
              <w:left w:val="nil"/>
              <w:bottom w:val="single" w:sz="4" w:space="0" w:color="002060"/>
              <w:right w:val="nil"/>
            </w:tcBorders>
            <w:shd w:val="clear" w:color="auto" w:fill="FFFFFF" w:themeFill="background1"/>
            <w:noWrap/>
            <w:vAlign w:val="center"/>
            <w:hideMark/>
          </w:tcPr>
          <w:p w14:paraId="1482C4BE"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Опис</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77C26D4F" w14:textId="77777777" w:rsidR="00DF0C87" w:rsidRPr="0062711C" w:rsidRDefault="00DF0C87" w:rsidP="005D40B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78E86A0E" w14:textId="77777777" w:rsidR="00DF0C87" w:rsidRPr="0062711C" w:rsidRDefault="00DF0C87" w:rsidP="005D40B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07398CC2" w14:textId="77777777" w:rsidR="00DF0C87" w:rsidRPr="0062711C" w:rsidRDefault="00DF0C87" w:rsidP="005D40B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c>
          <w:tcPr>
            <w:tcW w:w="753" w:type="pct"/>
            <w:tcBorders>
              <w:top w:val="single" w:sz="4" w:space="0" w:color="002060"/>
              <w:left w:val="nil"/>
              <w:bottom w:val="single" w:sz="4" w:space="0" w:color="002060"/>
              <w:right w:val="nil"/>
            </w:tcBorders>
            <w:shd w:val="clear" w:color="auto" w:fill="FFFFFF" w:themeFill="background1"/>
            <w:noWrap/>
            <w:vAlign w:val="center"/>
            <w:hideMark/>
          </w:tcPr>
          <w:p w14:paraId="45D990B8" w14:textId="77777777" w:rsidR="00DF0C87" w:rsidRPr="0062711C" w:rsidRDefault="00DF0C87" w:rsidP="005D40B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Q1 2024</w:t>
            </w:r>
          </w:p>
        </w:tc>
      </w:tr>
      <w:tr w:rsidR="00DF0C87" w:rsidRPr="0062711C" w14:paraId="5BAF661B"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600EB699" w14:textId="77777777" w:rsidR="00DF0C87" w:rsidRPr="0062711C" w:rsidRDefault="00DF0C87" w:rsidP="00DF0C87">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Пословни приходи</w:t>
            </w:r>
          </w:p>
        </w:tc>
        <w:tc>
          <w:tcPr>
            <w:tcW w:w="622" w:type="pct"/>
            <w:tcBorders>
              <w:top w:val="nil"/>
              <w:left w:val="nil"/>
              <w:bottom w:val="nil"/>
              <w:right w:val="nil"/>
            </w:tcBorders>
            <w:shd w:val="clear" w:color="000000" w:fill="FFFFFF"/>
            <w:noWrap/>
            <w:vAlign w:val="center"/>
            <w:hideMark/>
          </w:tcPr>
          <w:p w14:paraId="2F7FF6BB" w14:textId="28F02A16"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739,1</w:t>
            </w:r>
          </w:p>
        </w:tc>
        <w:tc>
          <w:tcPr>
            <w:tcW w:w="622" w:type="pct"/>
            <w:tcBorders>
              <w:top w:val="nil"/>
              <w:left w:val="nil"/>
              <w:bottom w:val="nil"/>
              <w:right w:val="nil"/>
            </w:tcBorders>
            <w:shd w:val="clear" w:color="000000" w:fill="FFFFFF"/>
            <w:noWrap/>
            <w:vAlign w:val="center"/>
            <w:hideMark/>
          </w:tcPr>
          <w:p w14:paraId="5B293408" w14:textId="208B448B"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905,2</w:t>
            </w:r>
          </w:p>
        </w:tc>
        <w:tc>
          <w:tcPr>
            <w:tcW w:w="622" w:type="pct"/>
            <w:tcBorders>
              <w:top w:val="nil"/>
              <w:left w:val="nil"/>
              <w:bottom w:val="nil"/>
              <w:right w:val="nil"/>
            </w:tcBorders>
            <w:shd w:val="clear" w:color="000000" w:fill="FFFFFF"/>
            <w:noWrap/>
            <w:vAlign w:val="center"/>
            <w:hideMark/>
          </w:tcPr>
          <w:p w14:paraId="56BDF76A" w14:textId="19D144F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1,019,5</w:t>
            </w:r>
          </w:p>
        </w:tc>
        <w:tc>
          <w:tcPr>
            <w:tcW w:w="753" w:type="pct"/>
            <w:tcBorders>
              <w:top w:val="nil"/>
              <w:left w:val="nil"/>
              <w:bottom w:val="nil"/>
              <w:right w:val="nil"/>
            </w:tcBorders>
            <w:shd w:val="clear" w:color="000000" w:fill="FFFFFF"/>
            <w:noWrap/>
            <w:vAlign w:val="center"/>
            <w:hideMark/>
          </w:tcPr>
          <w:p w14:paraId="50C9758C" w14:textId="0C4F819D"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273,0</w:t>
            </w:r>
          </w:p>
        </w:tc>
      </w:tr>
      <w:tr w:rsidR="00DF0C87" w:rsidRPr="0062711C" w14:paraId="0A58F84C"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72ED0960" w14:textId="77777777" w:rsidR="00DF0C87" w:rsidRPr="0062711C" w:rsidRDefault="00DF0C87" w:rsidP="00DF0C87">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Пословни расходи</w:t>
            </w:r>
          </w:p>
        </w:tc>
        <w:tc>
          <w:tcPr>
            <w:tcW w:w="622" w:type="pct"/>
            <w:tcBorders>
              <w:top w:val="nil"/>
              <w:left w:val="nil"/>
              <w:bottom w:val="nil"/>
              <w:right w:val="nil"/>
            </w:tcBorders>
            <w:shd w:val="clear" w:color="000000" w:fill="FFFFFF"/>
            <w:noWrap/>
            <w:vAlign w:val="center"/>
            <w:hideMark/>
          </w:tcPr>
          <w:p w14:paraId="0A8D937A" w14:textId="612C1B41"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741,0</w:t>
            </w:r>
          </w:p>
        </w:tc>
        <w:tc>
          <w:tcPr>
            <w:tcW w:w="622" w:type="pct"/>
            <w:tcBorders>
              <w:top w:val="nil"/>
              <w:left w:val="nil"/>
              <w:bottom w:val="nil"/>
              <w:right w:val="nil"/>
            </w:tcBorders>
            <w:shd w:val="clear" w:color="000000" w:fill="FFFFFF"/>
            <w:noWrap/>
            <w:vAlign w:val="center"/>
            <w:hideMark/>
          </w:tcPr>
          <w:p w14:paraId="745F5C80" w14:textId="741E87CB"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950,9</w:t>
            </w:r>
          </w:p>
        </w:tc>
        <w:tc>
          <w:tcPr>
            <w:tcW w:w="622" w:type="pct"/>
            <w:tcBorders>
              <w:top w:val="nil"/>
              <w:left w:val="nil"/>
              <w:bottom w:val="nil"/>
              <w:right w:val="nil"/>
            </w:tcBorders>
            <w:shd w:val="clear" w:color="000000" w:fill="FFFFFF"/>
            <w:noWrap/>
            <w:vAlign w:val="center"/>
            <w:hideMark/>
          </w:tcPr>
          <w:p w14:paraId="096C88A6" w14:textId="524C6843"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866,0</w:t>
            </w:r>
          </w:p>
        </w:tc>
        <w:tc>
          <w:tcPr>
            <w:tcW w:w="753" w:type="pct"/>
            <w:tcBorders>
              <w:top w:val="nil"/>
              <w:left w:val="nil"/>
              <w:bottom w:val="nil"/>
              <w:right w:val="nil"/>
            </w:tcBorders>
            <w:shd w:val="clear" w:color="000000" w:fill="FFFFFF"/>
            <w:noWrap/>
            <w:vAlign w:val="center"/>
            <w:hideMark/>
          </w:tcPr>
          <w:p w14:paraId="23C2FC62" w14:textId="5848B35F"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228,8</w:t>
            </w:r>
          </w:p>
        </w:tc>
      </w:tr>
      <w:tr w:rsidR="00DF0C87" w:rsidRPr="0062711C" w14:paraId="391EF433"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123A3409" w14:textId="77777777" w:rsidR="00DF0C87" w:rsidRPr="0062711C" w:rsidRDefault="00DF0C87" w:rsidP="00DF0C87">
            <w:pPr>
              <w:spacing w:after="0" w:line="240" w:lineRule="auto"/>
              <w:ind w:firstLineChars="100" w:firstLine="180"/>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Трошкови зарада*</w:t>
            </w:r>
          </w:p>
        </w:tc>
        <w:tc>
          <w:tcPr>
            <w:tcW w:w="622" w:type="pct"/>
            <w:tcBorders>
              <w:top w:val="nil"/>
              <w:left w:val="nil"/>
              <w:bottom w:val="nil"/>
              <w:right w:val="nil"/>
            </w:tcBorders>
            <w:shd w:val="clear" w:color="000000" w:fill="FFFFFF"/>
            <w:noWrap/>
            <w:vAlign w:val="center"/>
            <w:hideMark/>
          </w:tcPr>
          <w:p w14:paraId="5DEAE821" w14:textId="781625F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115,0</w:t>
            </w:r>
          </w:p>
        </w:tc>
        <w:tc>
          <w:tcPr>
            <w:tcW w:w="622" w:type="pct"/>
            <w:tcBorders>
              <w:top w:val="nil"/>
              <w:left w:val="nil"/>
              <w:bottom w:val="nil"/>
              <w:right w:val="nil"/>
            </w:tcBorders>
            <w:shd w:val="clear" w:color="000000" w:fill="FFFFFF"/>
            <w:noWrap/>
            <w:vAlign w:val="center"/>
            <w:hideMark/>
          </w:tcPr>
          <w:p w14:paraId="17D80FEF" w14:textId="04BB6880"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118,5</w:t>
            </w:r>
          </w:p>
        </w:tc>
        <w:tc>
          <w:tcPr>
            <w:tcW w:w="622" w:type="pct"/>
            <w:tcBorders>
              <w:top w:val="nil"/>
              <w:left w:val="nil"/>
              <w:bottom w:val="nil"/>
              <w:right w:val="nil"/>
            </w:tcBorders>
            <w:shd w:val="clear" w:color="000000" w:fill="FFFFFF"/>
            <w:noWrap/>
            <w:vAlign w:val="center"/>
            <w:hideMark/>
          </w:tcPr>
          <w:p w14:paraId="56E80469" w14:textId="24A49C0B"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127,9</w:t>
            </w:r>
          </w:p>
        </w:tc>
        <w:tc>
          <w:tcPr>
            <w:tcW w:w="753" w:type="pct"/>
            <w:tcBorders>
              <w:top w:val="nil"/>
              <w:left w:val="nil"/>
              <w:bottom w:val="nil"/>
              <w:right w:val="nil"/>
            </w:tcBorders>
            <w:shd w:val="clear" w:color="000000" w:fill="FFFFFF"/>
            <w:noWrap/>
            <w:vAlign w:val="center"/>
            <w:hideMark/>
          </w:tcPr>
          <w:p w14:paraId="1DFE2004" w14:textId="5A03058C"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34,1</w:t>
            </w:r>
          </w:p>
        </w:tc>
      </w:tr>
      <w:tr w:rsidR="00DF0C87" w:rsidRPr="0062711C" w14:paraId="4974FAE0"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738B0B96" w14:textId="77777777" w:rsidR="00DF0C87" w:rsidRPr="0062711C" w:rsidRDefault="00DF0C87" w:rsidP="00DF0C87">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ЕБИТ (пословни резултат)</w:t>
            </w:r>
          </w:p>
        </w:tc>
        <w:tc>
          <w:tcPr>
            <w:tcW w:w="622" w:type="pct"/>
            <w:tcBorders>
              <w:top w:val="nil"/>
              <w:left w:val="nil"/>
              <w:bottom w:val="nil"/>
              <w:right w:val="nil"/>
            </w:tcBorders>
            <w:shd w:val="clear" w:color="000000" w:fill="FFFFFF"/>
            <w:noWrap/>
            <w:vAlign w:val="center"/>
            <w:hideMark/>
          </w:tcPr>
          <w:p w14:paraId="38486923" w14:textId="7777777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(1,9)</w:t>
            </w:r>
          </w:p>
        </w:tc>
        <w:tc>
          <w:tcPr>
            <w:tcW w:w="622" w:type="pct"/>
            <w:tcBorders>
              <w:top w:val="nil"/>
              <w:left w:val="nil"/>
              <w:bottom w:val="nil"/>
              <w:right w:val="nil"/>
            </w:tcBorders>
            <w:shd w:val="clear" w:color="000000" w:fill="FFFFFF"/>
            <w:noWrap/>
            <w:vAlign w:val="center"/>
            <w:hideMark/>
          </w:tcPr>
          <w:p w14:paraId="4CF63011" w14:textId="7777777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(45,7)</w:t>
            </w:r>
          </w:p>
        </w:tc>
        <w:tc>
          <w:tcPr>
            <w:tcW w:w="622" w:type="pct"/>
            <w:tcBorders>
              <w:top w:val="nil"/>
              <w:left w:val="nil"/>
              <w:bottom w:val="nil"/>
              <w:right w:val="nil"/>
            </w:tcBorders>
            <w:shd w:val="clear" w:color="000000" w:fill="FFFFFF"/>
            <w:noWrap/>
            <w:vAlign w:val="center"/>
            <w:hideMark/>
          </w:tcPr>
          <w:p w14:paraId="1B9ED98A" w14:textId="40F8A480"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153,5</w:t>
            </w:r>
          </w:p>
        </w:tc>
        <w:tc>
          <w:tcPr>
            <w:tcW w:w="753" w:type="pct"/>
            <w:tcBorders>
              <w:top w:val="nil"/>
              <w:left w:val="nil"/>
              <w:bottom w:val="nil"/>
              <w:right w:val="nil"/>
            </w:tcBorders>
            <w:shd w:val="clear" w:color="000000" w:fill="FFFFFF"/>
            <w:noWrap/>
            <w:vAlign w:val="center"/>
            <w:hideMark/>
          </w:tcPr>
          <w:p w14:paraId="380C430C" w14:textId="1DCB97C5"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44,3</w:t>
            </w:r>
          </w:p>
        </w:tc>
      </w:tr>
      <w:tr w:rsidR="00DF0C87" w:rsidRPr="0062711C" w14:paraId="1C3B5755"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27C94336" w14:textId="77777777" w:rsidR="00DF0C87" w:rsidRPr="0062711C" w:rsidRDefault="00DF0C87" w:rsidP="00DF0C87">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Укупни приходи</w:t>
            </w:r>
          </w:p>
        </w:tc>
        <w:tc>
          <w:tcPr>
            <w:tcW w:w="622" w:type="pct"/>
            <w:tcBorders>
              <w:top w:val="nil"/>
              <w:left w:val="nil"/>
              <w:bottom w:val="nil"/>
              <w:right w:val="nil"/>
            </w:tcBorders>
            <w:shd w:val="clear" w:color="000000" w:fill="FFFFFF"/>
            <w:noWrap/>
            <w:vAlign w:val="center"/>
            <w:hideMark/>
          </w:tcPr>
          <w:p w14:paraId="6F242E4E" w14:textId="268A2F2B"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775,8</w:t>
            </w:r>
          </w:p>
        </w:tc>
        <w:tc>
          <w:tcPr>
            <w:tcW w:w="622" w:type="pct"/>
            <w:tcBorders>
              <w:top w:val="nil"/>
              <w:left w:val="nil"/>
              <w:bottom w:val="nil"/>
              <w:right w:val="nil"/>
            </w:tcBorders>
            <w:shd w:val="clear" w:color="000000" w:fill="FFFFFF"/>
            <w:noWrap/>
            <w:vAlign w:val="center"/>
            <w:hideMark/>
          </w:tcPr>
          <w:p w14:paraId="5A114F4F" w14:textId="1E404CDB"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937,7</w:t>
            </w:r>
          </w:p>
        </w:tc>
        <w:tc>
          <w:tcPr>
            <w:tcW w:w="622" w:type="pct"/>
            <w:tcBorders>
              <w:top w:val="nil"/>
              <w:left w:val="nil"/>
              <w:bottom w:val="nil"/>
              <w:right w:val="nil"/>
            </w:tcBorders>
            <w:shd w:val="clear" w:color="000000" w:fill="FFFFFF"/>
            <w:noWrap/>
            <w:vAlign w:val="center"/>
            <w:hideMark/>
          </w:tcPr>
          <w:p w14:paraId="651C75F8" w14:textId="23D124EF"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1,058,6</w:t>
            </w:r>
          </w:p>
        </w:tc>
        <w:tc>
          <w:tcPr>
            <w:tcW w:w="753" w:type="pct"/>
            <w:tcBorders>
              <w:top w:val="nil"/>
              <w:left w:val="nil"/>
              <w:bottom w:val="nil"/>
              <w:right w:val="nil"/>
            </w:tcBorders>
            <w:shd w:val="clear" w:color="000000" w:fill="FFFFFF"/>
            <w:noWrap/>
            <w:vAlign w:val="center"/>
            <w:hideMark/>
          </w:tcPr>
          <w:p w14:paraId="0FE696FE" w14:textId="2982A138"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281,1</w:t>
            </w:r>
          </w:p>
        </w:tc>
      </w:tr>
      <w:tr w:rsidR="00DF0C87" w:rsidRPr="0062711C" w14:paraId="3320A07B"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2B920F2D" w14:textId="77777777" w:rsidR="00DF0C87" w:rsidRPr="0062711C" w:rsidRDefault="00DF0C87" w:rsidP="00DF0C87">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Укупни расходи</w:t>
            </w:r>
          </w:p>
        </w:tc>
        <w:tc>
          <w:tcPr>
            <w:tcW w:w="622" w:type="pct"/>
            <w:tcBorders>
              <w:top w:val="nil"/>
              <w:left w:val="nil"/>
              <w:bottom w:val="nil"/>
              <w:right w:val="nil"/>
            </w:tcBorders>
            <w:shd w:val="clear" w:color="000000" w:fill="FFFFFF"/>
            <w:noWrap/>
            <w:vAlign w:val="center"/>
            <w:hideMark/>
          </w:tcPr>
          <w:p w14:paraId="1D5D0D23" w14:textId="136FA442"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787,8</w:t>
            </w:r>
          </w:p>
        </w:tc>
        <w:tc>
          <w:tcPr>
            <w:tcW w:w="622" w:type="pct"/>
            <w:tcBorders>
              <w:top w:val="nil"/>
              <w:left w:val="nil"/>
              <w:bottom w:val="nil"/>
              <w:right w:val="nil"/>
            </w:tcBorders>
            <w:shd w:val="clear" w:color="000000" w:fill="FFFFFF"/>
            <w:noWrap/>
            <w:vAlign w:val="center"/>
            <w:hideMark/>
          </w:tcPr>
          <w:p w14:paraId="15CDBEC0" w14:textId="3CFD3352"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1,006,0</w:t>
            </w:r>
          </w:p>
        </w:tc>
        <w:tc>
          <w:tcPr>
            <w:tcW w:w="622" w:type="pct"/>
            <w:tcBorders>
              <w:top w:val="nil"/>
              <w:left w:val="nil"/>
              <w:bottom w:val="nil"/>
              <w:right w:val="nil"/>
            </w:tcBorders>
            <w:shd w:val="clear" w:color="000000" w:fill="FFFFFF"/>
            <w:noWrap/>
            <w:vAlign w:val="center"/>
            <w:hideMark/>
          </w:tcPr>
          <w:p w14:paraId="111B86B9" w14:textId="58A6A53B"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921,1</w:t>
            </w:r>
          </w:p>
        </w:tc>
        <w:tc>
          <w:tcPr>
            <w:tcW w:w="753" w:type="pct"/>
            <w:tcBorders>
              <w:top w:val="nil"/>
              <w:left w:val="nil"/>
              <w:bottom w:val="nil"/>
              <w:right w:val="nil"/>
            </w:tcBorders>
            <w:shd w:val="clear" w:color="000000" w:fill="FFFFFF"/>
            <w:noWrap/>
            <w:vAlign w:val="center"/>
            <w:hideMark/>
          </w:tcPr>
          <w:p w14:paraId="680C18CF" w14:textId="0C1DBD7A"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241,5</w:t>
            </w:r>
          </w:p>
        </w:tc>
      </w:tr>
      <w:tr w:rsidR="00DF0C87" w:rsidRPr="0062711C" w14:paraId="29227BAF" w14:textId="77777777" w:rsidTr="005D40B3">
        <w:trPr>
          <w:trHeight w:val="300"/>
          <w:jc w:val="center"/>
        </w:trPr>
        <w:tc>
          <w:tcPr>
            <w:tcW w:w="2381" w:type="pct"/>
            <w:tcBorders>
              <w:top w:val="nil"/>
              <w:left w:val="nil"/>
              <w:bottom w:val="nil"/>
              <w:right w:val="nil"/>
            </w:tcBorders>
            <w:shd w:val="clear" w:color="000000" w:fill="FFFFFF"/>
            <w:noWrap/>
            <w:vAlign w:val="center"/>
            <w:hideMark/>
          </w:tcPr>
          <w:p w14:paraId="05B95C03" w14:textId="77777777" w:rsidR="00DF0C87" w:rsidRPr="0062711C" w:rsidRDefault="00DF0C87" w:rsidP="00DF0C87">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Нето резултат</w:t>
            </w:r>
          </w:p>
        </w:tc>
        <w:tc>
          <w:tcPr>
            <w:tcW w:w="622" w:type="pct"/>
            <w:tcBorders>
              <w:top w:val="nil"/>
              <w:left w:val="nil"/>
              <w:bottom w:val="nil"/>
              <w:right w:val="nil"/>
            </w:tcBorders>
            <w:shd w:val="clear" w:color="000000" w:fill="FFFFFF"/>
            <w:noWrap/>
            <w:vAlign w:val="center"/>
            <w:hideMark/>
          </w:tcPr>
          <w:p w14:paraId="330BA3F3" w14:textId="7777777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(13,9)</w:t>
            </w:r>
          </w:p>
        </w:tc>
        <w:tc>
          <w:tcPr>
            <w:tcW w:w="622" w:type="pct"/>
            <w:tcBorders>
              <w:top w:val="nil"/>
              <w:left w:val="nil"/>
              <w:bottom w:val="nil"/>
              <w:right w:val="nil"/>
            </w:tcBorders>
            <w:shd w:val="clear" w:color="000000" w:fill="FFFFFF"/>
            <w:noWrap/>
            <w:vAlign w:val="center"/>
            <w:hideMark/>
          </w:tcPr>
          <w:p w14:paraId="609D7858" w14:textId="7777777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(68,8)</w:t>
            </w:r>
          </w:p>
        </w:tc>
        <w:tc>
          <w:tcPr>
            <w:tcW w:w="622" w:type="pct"/>
            <w:tcBorders>
              <w:top w:val="nil"/>
              <w:left w:val="nil"/>
              <w:bottom w:val="nil"/>
              <w:right w:val="nil"/>
            </w:tcBorders>
            <w:shd w:val="clear" w:color="000000" w:fill="FFFFFF"/>
            <w:noWrap/>
            <w:vAlign w:val="center"/>
            <w:hideMark/>
          </w:tcPr>
          <w:p w14:paraId="141EA45C" w14:textId="6BFA9A27"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118,3</w:t>
            </w:r>
          </w:p>
        </w:tc>
        <w:tc>
          <w:tcPr>
            <w:tcW w:w="753" w:type="pct"/>
            <w:tcBorders>
              <w:top w:val="nil"/>
              <w:left w:val="nil"/>
              <w:bottom w:val="nil"/>
              <w:right w:val="nil"/>
            </w:tcBorders>
            <w:shd w:val="clear" w:color="000000" w:fill="FFFFFF"/>
            <w:noWrap/>
            <w:vAlign w:val="center"/>
            <w:hideMark/>
          </w:tcPr>
          <w:p w14:paraId="76940F79" w14:textId="07F8CA26" w:rsidR="00DF0C87" w:rsidRPr="0062711C" w:rsidRDefault="00DF0C87" w:rsidP="005D40B3">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33,0</w:t>
            </w:r>
          </w:p>
        </w:tc>
      </w:tr>
      <w:tr w:rsidR="00DF0C87" w:rsidRPr="0062711C" w14:paraId="4488F7A4" w14:textId="77777777" w:rsidTr="005D40B3">
        <w:trPr>
          <w:trHeight w:val="300"/>
          <w:jc w:val="center"/>
        </w:trPr>
        <w:tc>
          <w:tcPr>
            <w:tcW w:w="2381" w:type="pct"/>
            <w:tcBorders>
              <w:top w:val="single" w:sz="4" w:space="0" w:color="002060"/>
              <w:left w:val="nil"/>
              <w:bottom w:val="single" w:sz="4" w:space="0" w:color="002060"/>
              <w:right w:val="nil"/>
            </w:tcBorders>
            <w:shd w:val="clear" w:color="auto" w:fill="FFFFFF" w:themeFill="background1"/>
            <w:noWrap/>
            <w:vAlign w:val="center"/>
            <w:hideMark/>
          </w:tcPr>
          <w:p w14:paraId="2AEFC39D" w14:textId="77777777" w:rsidR="00DF0C87" w:rsidRPr="0062711C" w:rsidRDefault="00DF0C87" w:rsidP="00DF0C87">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Број ДП која су остварила добит</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4B302C1C" w14:textId="60D57614" w:rsidR="00DF0C87" w:rsidRPr="0062711C" w:rsidRDefault="001A1730"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26</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1219125B" w14:textId="160BCDFF" w:rsidR="00DF0C87" w:rsidRPr="0062711C" w:rsidRDefault="001A1730"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25</w:t>
            </w:r>
          </w:p>
        </w:tc>
        <w:tc>
          <w:tcPr>
            <w:tcW w:w="622" w:type="pct"/>
            <w:tcBorders>
              <w:top w:val="single" w:sz="4" w:space="0" w:color="002060"/>
              <w:left w:val="nil"/>
              <w:bottom w:val="single" w:sz="4" w:space="0" w:color="002060"/>
              <w:right w:val="nil"/>
            </w:tcBorders>
            <w:shd w:val="clear" w:color="auto" w:fill="FFFFFF" w:themeFill="background1"/>
            <w:noWrap/>
            <w:vAlign w:val="center"/>
            <w:hideMark/>
          </w:tcPr>
          <w:p w14:paraId="66E1DAEA" w14:textId="7D8B7E26" w:rsidR="00DF0C87" w:rsidRPr="0062711C" w:rsidRDefault="001A1730"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28</w:t>
            </w:r>
          </w:p>
        </w:tc>
        <w:tc>
          <w:tcPr>
            <w:tcW w:w="753" w:type="pct"/>
            <w:tcBorders>
              <w:top w:val="single" w:sz="4" w:space="0" w:color="002060"/>
              <w:left w:val="nil"/>
              <w:bottom w:val="single" w:sz="4" w:space="0" w:color="002060"/>
              <w:right w:val="nil"/>
            </w:tcBorders>
            <w:shd w:val="clear" w:color="auto" w:fill="FFFFFF" w:themeFill="background1"/>
            <w:noWrap/>
            <w:vAlign w:val="center"/>
            <w:hideMark/>
          </w:tcPr>
          <w:p w14:paraId="01982325" w14:textId="77777777" w:rsidR="00DF0C87" w:rsidRPr="0062711C" w:rsidRDefault="00DF0C87"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19</w:t>
            </w:r>
          </w:p>
        </w:tc>
      </w:tr>
      <w:tr w:rsidR="00DF0C87" w:rsidRPr="0062711C" w14:paraId="3116F734" w14:textId="77777777" w:rsidTr="005D40B3">
        <w:trPr>
          <w:trHeight w:val="300"/>
          <w:jc w:val="center"/>
        </w:trPr>
        <w:tc>
          <w:tcPr>
            <w:tcW w:w="2381" w:type="pct"/>
            <w:tcBorders>
              <w:top w:val="nil"/>
              <w:left w:val="nil"/>
              <w:bottom w:val="single" w:sz="4" w:space="0" w:color="002060"/>
              <w:right w:val="nil"/>
            </w:tcBorders>
            <w:shd w:val="clear" w:color="auto" w:fill="FFFFFF" w:themeFill="background1"/>
            <w:noWrap/>
            <w:vAlign w:val="center"/>
            <w:hideMark/>
          </w:tcPr>
          <w:p w14:paraId="55912712" w14:textId="77777777" w:rsidR="00DF0C87" w:rsidRPr="0062711C" w:rsidRDefault="00DF0C87" w:rsidP="00DF0C87">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Број ДП која су остварила губитак</w:t>
            </w:r>
          </w:p>
        </w:tc>
        <w:tc>
          <w:tcPr>
            <w:tcW w:w="622" w:type="pct"/>
            <w:tcBorders>
              <w:top w:val="nil"/>
              <w:left w:val="nil"/>
              <w:bottom w:val="single" w:sz="4" w:space="0" w:color="002060"/>
              <w:right w:val="nil"/>
            </w:tcBorders>
            <w:shd w:val="clear" w:color="auto" w:fill="FFFFFF" w:themeFill="background1"/>
            <w:noWrap/>
            <w:vAlign w:val="center"/>
            <w:hideMark/>
          </w:tcPr>
          <w:p w14:paraId="3C94B056" w14:textId="77777777" w:rsidR="00DF0C87" w:rsidRPr="0062711C" w:rsidRDefault="00DF0C87"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10</w:t>
            </w:r>
          </w:p>
        </w:tc>
        <w:tc>
          <w:tcPr>
            <w:tcW w:w="622" w:type="pct"/>
            <w:tcBorders>
              <w:top w:val="nil"/>
              <w:left w:val="nil"/>
              <w:bottom w:val="single" w:sz="4" w:space="0" w:color="002060"/>
              <w:right w:val="nil"/>
            </w:tcBorders>
            <w:shd w:val="clear" w:color="auto" w:fill="FFFFFF" w:themeFill="background1"/>
            <w:noWrap/>
            <w:vAlign w:val="center"/>
            <w:hideMark/>
          </w:tcPr>
          <w:p w14:paraId="2F3DA211" w14:textId="77777777" w:rsidR="00DF0C87" w:rsidRPr="0062711C" w:rsidRDefault="00DF0C87"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11</w:t>
            </w:r>
          </w:p>
        </w:tc>
        <w:tc>
          <w:tcPr>
            <w:tcW w:w="622" w:type="pct"/>
            <w:tcBorders>
              <w:top w:val="nil"/>
              <w:left w:val="nil"/>
              <w:bottom w:val="single" w:sz="4" w:space="0" w:color="002060"/>
              <w:right w:val="nil"/>
            </w:tcBorders>
            <w:shd w:val="clear" w:color="auto" w:fill="FFFFFF" w:themeFill="background1"/>
            <w:noWrap/>
            <w:vAlign w:val="center"/>
            <w:hideMark/>
          </w:tcPr>
          <w:p w14:paraId="6A7F434F" w14:textId="77777777" w:rsidR="00DF0C87" w:rsidRPr="0062711C" w:rsidRDefault="00DF0C87"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8</w:t>
            </w:r>
          </w:p>
        </w:tc>
        <w:tc>
          <w:tcPr>
            <w:tcW w:w="753" w:type="pct"/>
            <w:tcBorders>
              <w:top w:val="nil"/>
              <w:left w:val="nil"/>
              <w:bottom w:val="single" w:sz="4" w:space="0" w:color="002060"/>
              <w:right w:val="nil"/>
            </w:tcBorders>
            <w:shd w:val="clear" w:color="auto" w:fill="FFFFFF" w:themeFill="background1"/>
            <w:noWrap/>
            <w:vAlign w:val="center"/>
            <w:hideMark/>
          </w:tcPr>
          <w:p w14:paraId="2F462570" w14:textId="77777777" w:rsidR="00DF0C87" w:rsidRPr="0062711C" w:rsidRDefault="00DF0C87" w:rsidP="005D40B3">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17</w:t>
            </w:r>
          </w:p>
        </w:tc>
      </w:tr>
    </w:tbl>
    <w:p w14:paraId="59166499" w14:textId="17C88C2C" w:rsidR="00DF0C87" w:rsidRPr="0062711C" w:rsidRDefault="00DF0C87" w:rsidP="00DF0C87">
      <w:pPr>
        <w:spacing w:after="0" w:line="276" w:lineRule="auto"/>
        <w:rPr>
          <w:rFonts w:ascii="Calibri" w:eastAsia="MS PGothic" w:hAnsi="Calibri" w:cs="Calibri"/>
          <w:color w:val="44546A"/>
          <w:sz w:val="16"/>
          <w:szCs w:val="16"/>
          <w:lang w:val="sr-Cyrl-RS" w:eastAsia="ja-JP"/>
        </w:rPr>
      </w:pPr>
      <w:r w:rsidRPr="0062711C">
        <w:rPr>
          <w:rFonts w:ascii="Calibri" w:eastAsia="MS PGothic" w:hAnsi="Calibri" w:cs="Calibri"/>
          <w:color w:val="44546A"/>
          <w:sz w:val="16"/>
          <w:szCs w:val="16"/>
          <w:lang w:val="sr-Cyrl-RS" w:eastAsia="ja-JP"/>
        </w:rPr>
        <w:t>* Трошкови зарада, накнада зарада и остали лични расходи</w:t>
      </w:r>
    </w:p>
    <w:p w14:paraId="4B1E3233" w14:textId="3BA5C21A" w:rsidR="00DF0C87" w:rsidRPr="0062711C" w:rsidRDefault="00DF0C87" w:rsidP="00DF0C87">
      <w:pPr>
        <w:spacing w:after="0" w:line="276" w:lineRule="auto"/>
        <w:rPr>
          <w:rFonts w:ascii="Calibri" w:eastAsia="MS PGothic" w:hAnsi="Calibri" w:cs="Calibri"/>
          <w:color w:val="44546A"/>
          <w:sz w:val="16"/>
          <w:szCs w:val="16"/>
          <w:lang w:val="sr-Cyrl-RS" w:eastAsia="ja-JP"/>
        </w:rPr>
      </w:pPr>
      <w:r w:rsidRPr="0062711C">
        <w:rPr>
          <w:rFonts w:ascii="Calibri" w:eastAsia="MS PGothic" w:hAnsi="Calibri" w:cs="Calibri"/>
          <w:color w:val="44546A"/>
          <w:sz w:val="16"/>
          <w:szCs w:val="16"/>
          <w:lang w:val="sr-Cyrl-RS" w:eastAsia="ja-JP"/>
        </w:rPr>
        <w:t>Извор: Финансијски извештаји (АПР) и квартални извештај за 2024. годину</w:t>
      </w:r>
    </w:p>
    <w:p w14:paraId="6078A897" w14:textId="77777777" w:rsidR="00DF0C87" w:rsidRPr="0062711C" w:rsidRDefault="00DF0C87" w:rsidP="00DF0C87">
      <w:pPr>
        <w:spacing w:after="0" w:line="276" w:lineRule="auto"/>
        <w:rPr>
          <w:rFonts w:ascii="Calibri" w:eastAsia="MS PGothic" w:hAnsi="Calibri" w:cs="Calibri"/>
          <w:color w:val="44546A"/>
          <w:sz w:val="16"/>
          <w:szCs w:val="16"/>
          <w:lang w:val="sr-Cyrl-RS" w:eastAsia="ja-JP"/>
        </w:rPr>
      </w:pPr>
    </w:p>
    <w:p w14:paraId="0FE88F70" w14:textId="77777777" w:rsidR="00DF0C87" w:rsidRPr="0062711C" w:rsidRDefault="00DF0C87" w:rsidP="00DF0C87">
      <w:pPr>
        <w:spacing w:after="0" w:line="276" w:lineRule="auto"/>
        <w:rPr>
          <w:rFonts w:ascii="Calibri" w:eastAsia="MS PGothic" w:hAnsi="Calibri" w:cs="Calibri"/>
          <w:color w:val="44546A"/>
          <w:sz w:val="16"/>
          <w:szCs w:val="16"/>
          <w:lang w:val="sr-Cyrl-RS" w:eastAsia="ja-JP"/>
        </w:rPr>
        <w:sectPr w:rsidR="00DF0C87" w:rsidRPr="0062711C" w:rsidSect="00F45C01">
          <w:type w:val="continuous"/>
          <w:pgSz w:w="12240" w:h="15840"/>
          <w:pgMar w:top="1440" w:right="1440" w:bottom="1440" w:left="1440" w:header="720" w:footer="720" w:gutter="0"/>
          <w:cols w:space="720"/>
          <w:docGrid w:linePitch="360"/>
        </w:sectPr>
      </w:pPr>
    </w:p>
    <w:p w14:paraId="67D36259" w14:textId="60CD0287" w:rsidR="00DF0C87" w:rsidRPr="0062711C" w:rsidRDefault="00DF0C87" w:rsidP="00C03481">
      <w:pPr>
        <w:spacing w:after="360"/>
        <w:rPr>
          <w:rFonts w:eastAsia="MS PGothic" w:cstheme="minorHAnsi"/>
          <w:szCs w:val="20"/>
          <w:lang w:val="sr-Cyrl-RS" w:eastAsia="ja-JP"/>
        </w:rPr>
      </w:pPr>
      <w:r w:rsidRPr="0062711C">
        <w:rPr>
          <w:rFonts w:eastAsia="MS PGothic" w:cstheme="minorHAnsi"/>
          <w:szCs w:val="20"/>
          <w:lang w:val="sr-Cyrl-RS" w:eastAsia="ja-JP"/>
        </w:rPr>
        <w:t xml:space="preserve">Нето резултат на крају 2023. године остварен је у позитивном износу од 118,3 млрд динара, што је значајно боље у односу на претходне године када су државна предузећа бележила негативан нето резултат. </w:t>
      </w:r>
      <w:r w:rsidR="00446503">
        <w:rPr>
          <w:rFonts w:eastAsia="MS PGothic" w:cstheme="minorHAnsi"/>
          <w:szCs w:val="20"/>
          <w:lang w:val="sr-Cyrl-RS" w:eastAsia="ja-JP"/>
        </w:rPr>
        <w:t xml:space="preserve">Највећи допринос </w:t>
      </w:r>
      <w:r w:rsidRPr="0062711C">
        <w:rPr>
          <w:rFonts w:eastAsia="MS PGothic" w:cstheme="minorHAnsi"/>
          <w:szCs w:val="20"/>
          <w:lang w:val="sr-Cyrl-RS" w:eastAsia="ja-JP"/>
        </w:rPr>
        <w:t>укупно</w:t>
      </w:r>
      <w:r w:rsidR="00446503">
        <w:rPr>
          <w:rFonts w:eastAsia="MS PGothic" w:cstheme="minorHAnsi"/>
          <w:szCs w:val="20"/>
          <w:lang w:val="sr-Cyrl-RS" w:eastAsia="ja-JP"/>
        </w:rPr>
        <w:t>м</w:t>
      </w:r>
      <w:r w:rsidRPr="0062711C">
        <w:rPr>
          <w:rFonts w:eastAsia="MS PGothic" w:cstheme="minorHAnsi"/>
          <w:szCs w:val="20"/>
          <w:lang w:val="sr-Cyrl-RS" w:eastAsia="ja-JP"/>
        </w:rPr>
        <w:t xml:space="preserve"> резултат</w:t>
      </w:r>
      <w:r w:rsidR="00446503">
        <w:rPr>
          <w:rFonts w:eastAsia="MS PGothic" w:cstheme="minorHAnsi"/>
          <w:szCs w:val="20"/>
          <w:lang w:val="sr-Cyrl-RS" w:eastAsia="ja-JP"/>
        </w:rPr>
        <w:t xml:space="preserve">у </w:t>
      </w:r>
      <w:r w:rsidR="00446503">
        <w:rPr>
          <w:rFonts w:eastAsia="MS PGothic" w:cstheme="minorHAnsi"/>
          <w:szCs w:val="20"/>
          <w:lang w:val="sr-Cyrl-RS" w:eastAsia="ja-JP"/>
        </w:rPr>
        <w:t>државних предузећа дала је</w:t>
      </w:r>
      <w:r w:rsidRPr="0062711C">
        <w:rPr>
          <w:rFonts w:eastAsia="MS PGothic" w:cstheme="minorHAnsi"/>
          <w:szCs w:val="20"/>
          <w:lang w:val="sr-Cyrl-RS" w:eastAsia="ja-JP"/>
        </w:rPr>
        <w:t xml:space="preserve"> „Електропривреда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ад. При анализирању кварталних остварења финансијских показатеља потребно је узети у обзир да одређе</w:t>
      </w:r>
      <w:r w:rsidR="00633B01" w:rsidRPr="0062711C">
        <w:rPr>
          <w:rFonts w:eastAsia="MS PGothic" w:cstheme="minorHAnsi"/>
          <w:szCs w:val="20"/>
          <w:lang w:val="sr-Cyrl-RS" w:eastAsia="ja-JP"/>
        </w:rPr>
        <w:t>н број предузећа има сезонску компоненту</w:t>
      </w:r>
      <w:r w:rsidRPr="0062711C">
        <w:rPr>
          <w:rFonts w:eastAsia="MS PGothic" w:cstheme="minorHAnsi"/>
          <w:szCs w:val="20"/>
          <w:lang w:val="sr-Cyrl-RS" w:eastAsia="ja-JP"/>
        </w:rPr>
        <w:t xml:space="preserve"> у пословању.</w:t>
      </w:r>
    </w:p>
    <w:p w14:paraId="3370E60C" w14:textId="77777777" w:rsidR="00DF0C87" w:rsidRPr="0062711C" w:rsidRDefault="00DF0C87" w:rsidP="00DF0C87">
      <w:pPr>
        <w:spacing w:after="120" w:line="276" w:lineRule="auto"/>
        <w:rPr>
          <w:rFonts w:eastAsia="MS PGothic" w:cstheme="minorHAnsi"/>
          <w:b/>
          <w:bCs/>
          <w:color w:val="002060"/>
          <w:spacing w:val="-4"/>
          <w:szCs w:val="20"/>
          <w:lang w:val="sr-Cyrl-RS" w:eastAsia="ja-JP"/>
        </w:rPr>
        <w:sectPr w:rsidR="00DF0C87" w:rsidRPr="0062711C" w:rsidSect="00F45C01">
          <w:type w:val="continuous"/>
          <w:pgSz w:w="12240" w:h="15840"/>
          <w:pgMar w:top="1440" w:right="1440" w:bottom="1440" w:left="1440" w:header="720" w:footer="720" w:gutter="0"/>
          <w:cols w:num="2" w:space="720"/>
          <w:docGrid w:linePitch="360"/>
        </w:sectPr>
      </w:pPr>
    </w:p>
    <w:p w14:paraId="0D361B8D" w14:textId="3F4509C4"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 xml:space="preserve">Табела </w:t>
      </w:r>
      <w:r w:rsidR="00BB1E84">
        <w:rPr>
          <w:rFonts w:eastAsia="MS PGothic" w:cstheme="minorHAnsi"/>
          <w:b/>
          <w:color w:val="002060"/>
          <w:szCs w:val="20"/>
          <w:lang w:eastAsia="ja-JP"/>
        </w:rPr>
        <w:t>20</w:t>
      </w:r>
      <w:r w:rsidRPr="0062711C">
        <w:rPr>
          <w:rFonts w:eastAsia="MS PGothic" w:cstheme="minorHAnsi"/>
          <w:b/>
          <w:color w:val="002060"/>
          <w:szCs w:val="20"/>
          <w:lang w:val="sr-Cyrl-RS" w:eastAsia="ja-JP"/>
        </w:rPr>
        <w:t>. Преглед корисника субвенције (36 ДП) и њихово учешће у укупним расходима буџета РС</w:t>
      </w:r>
    </w:p>
    <w:tbl>
      <w:tblPr>
        <w:tblW w:w="5000" w:type="pct"/>
        <w:tblLook w:val="04A0" w:firstRow="1" w:lastRow="0" w:firstColumn="1" w:lastColumn="0" w:noHBand="0" w:noVBand="1"/>
      </w:tblPr>
      <w:tblGrid>
        <w:gridCol w:w="4396"/>
        <w:gridCol w:w="1241"/>
        <w:gridCol w:w="1241"/>
        <w:gridCol w:w="1241"/>
        <w:gridCol w:w="1241"/>
      </w:tblGrid>
      <w:tr w:rsidR="00DF0C87" w:rsidRPr="0062711C" w14:paraId="03A2084E" w14:textId="77777777" w:rsidTr="005354D3">
        <w:trPr>
          <w:trHeight w:val="300"/>
        </w:trPr>
        <w:tc>
          <w:tcPr>
            <w:tcW w:w="2348" w:type="pct"/>
            <w:tcBorders>
              <w:top w:val="single" w:sz="4" w:space="0" w:color="002060"/>
              <w:left w:val="nil"/>
              <w:bottom w:val="single" w:sz="4" w:space="0" w:color="002060"/>
              <w:right w:val="nil"/>
            </w:tcBorders>
            <w:shd w:val="clear" w:color="auto" w:fill="FFFFFF" w:themeFill="background1"/>
            <w:noWrap/>
            <w:vAlign w:val="center"/>
            <w:hideMark/>
          </w:tcPr>
          <w:p w14:paraId="6FCBA4BF"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Године</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727C19E3" w14:textId="77777777" w:rsidR="00DF0C87" w:rsidRPr="0062711C" w:rsidRDefault="00DF0C87" w:rsidP="005354D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2020</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1DFA05E3" w14:textId="77777777" w:rsidR="00DF0C87" w:rsidRPr="0062711C" w:rsidRDefault="00DF0C87" w:rsidP="005354D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1BC0A903" w14:textId="77777777" w:rsidR="00DF0C87" w:rsidRPr="0062711C" w:rsidRDefault="00DF0C87" w:rsidP="005354D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663" w:type="pct"/>
            <w:tcBorders>
              <w:top w:val="single" w:sz="4" w:space="0" w:color="002060"/>
              <w:left w:val="nil"/>
              <w:bottom w:val="single" w:sz="4" w:space="0" w:color="002060"/>
              <w:right w:val="nil"/>
            </w:tcBorders>
            <w:shd w:val="clear" w:color="auto" w:fill="FFFFFF" w:themeFill="background1"/>
            <w:noWrap/>
            <w:vAlign w:val="center"/>
            <w:hideMark/>
          </w:tcPr>
          <w:p w14:paraId="49209FDF" w14:textId="77777777" w:rsidR="00DF0C87" w:rsidRPr="0062711C" w:rsidRDefault="00DF0C87" w:rsidP="005354D3">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r>
      <w:tr w:rsidR="00DF0C87" w:rsidRPr="0062711C" w14:paraId="628435F6" w14:textId="77777777" w:rsidTr="005354D3">
        <w:trPr>
          <w:trHeight w:val="300"/>
        </w:trPr>
        <w:tc>
          <w:tcPr>
            <w:tcW w:w="2348" w:type="pct"/>
            <w:tcBorders>
              <w:top w:val="nil"/>
              <w:left w:val="nil"/>
              <w:bottom w:val="nil"/>
              <w:right w:val="nil"/>
            </w:tcBorders>
            <w:shd w:val="clear" w:color="000000" w:fill="FFFFFF"/>
            <w:noWrap/>
            <w:vAlign w:val="center"/>
            <w:hideMark/>
          </w:tcPr>
          <w:p w14:paraId="7A254717"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Број корисника субвенција (од 36 ДП)</w:t>
            </w:r>
          </w:p>
        </w:tc>
        <w:tc>
          <w:tcPr>
            <w:tcW w:w="663" w:type="pct"/>
            <w:tcBorders>
              <w:top w:val="nil"/>
              <w:left w:val="nil"/>
              <w:bottom w:val="nil"/>
              <w:right w:val="nil"/>
            </w:tcBorders>
            <w:shd w:val="clear" w:color="000000" w:fill="FFFFFF"/>
            <w:noWrap/>
            <w:vAlign w:val="center"/>
            <w:hideMark/>
          </w:tcPr>
          <w:p w14:paraId="03252463"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23</w:t>
            </w:r>
          </w:p>
        </w:tc>
        <w:tc>
          <w:tcPr>
            <w:tcW w:w="663" w:type="pct"/>
            <w:tcBorders>
              <w:top w:val="nil"/>
              <w:left w:val="nil"/>
              <w:bottom w:val="nil"/>
              <w:right w:val="nil"/>
            </w:tcBorders>
            <w:shd w:val="clear" w:color="000000" w:fill="FFFFFF"/>
            <w:noWrap/>
            <w:vAlign w:val="center"/>
            <w:hideMark/>
          </w:tcPr>
          <w:p w14:paraId="42F19426"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25</w:t>
            </w:r>
          </w:p>
        </w:tc>
        <w:tc>
          <w:tcPr>
            <w:tcW w:w="663" w:type="pct"/>
            <w:tcBorders>
              <w:top w:val="nil"/>
              <w:left w:val="nil"/>
              <w:bottom w:val="nil"/>
              <w:right w:val="nil"/>
            </w:tcBorders>
            <w:shd w:val="clear" w:color="000000" w:fill="FFFFFF"/>
            <w:noWrap/>
            <w:vAlign w:val="center"/>
            <w:hideMark/>
          </w:tcPr>
          <w:p w14:paraId="48CD59C3"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25</w:t>
            </w:r>
          </w:p>
        </w:tc>
        <w:tc>
          <w:tcPr>
            <w:tcW w:w="663" w:type="pct"/>
            <w:tcBorders>
              <w:top w:val="nil"/>
              <w:left w:val="nil"/>
              <w:bottom w:val="nil"/>
              <w:right w:val="nil"/>
            </w:tcBorders>
            <w:shd w:val="clear" w:color="000000" w:fill="FFFFFF"/>
            <w:noWrap/>
            <w:vAlign w:val="center"/>
            <w:hideMark/>
          </w:tcPr>
          <w:p w14:paraId="08F96429"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27</w:t>
            </w:r>
          </w:p>
        </w:tc>
      </w:tr>
      <w:tr w:rsidR="00DF0C87" w:rsidRPr="0062711C" w14:paraId="7A83A14A" w14:textId="77777777" w:rsidTr="005354D3">
        <w:trPr>
          <w:trHeight w:val="300"/>
        </w:trPr>
        <w:tc>
          <w:tcPr>
            <w:tcW w:w="2348" w:type="pct"/>
            <w:tcBorders>
              <w:top w:val="nil"/>
              <w:left w:val="nil"/>
              <w:bottom w:val="nil"/>
              <w:right w:val="nil"/>
            </w:tcBorders>
            <w:shd w:val="clear" w:color="000000" w:fill="FFFFFF"/>
            <w:noWrap/>
            <w:vAlign w:val="center"/>
            <w:hideMark/>
          </w:tcPr>
          <w:p w14:paraId="0516F9A2"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Исплаћене субвенције (млрд РСД)</w:t>
            </w:r>
          </w:p>
        </w:tc>
        <w:tc>
          <w:tcPr>
            <w:tcW w:w="663" w:type="pct"/>
            <w:tcBorders>
              <w:top w:val="nil"/>
              <w:left w:val="nil"/>
              <w:bottom w:val="nil"/>
              <w:right w:val="nil"/>
            </w:tcBorders>
            <w:shd w:val="clear" w:color="000000" w:fill="FFFFFF"/>
            <w:noWrap/>
            <w:vAlign w:val="center"/>
            <w:hideMark/>
          </w:tcPr>
          <w:p w14:paraId="5D737878"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66,7</w:t>
            </w:r>
          </w:p>
        </w:tc>
        <w:tc>
          <w:tcPr>
            <w:tcW w:w="663" w:type="pct"/>
            <w:tcBorders>
              <w:top w:val="nil"/>
              <w:left w:val="nil"/>
              <w:bottom w:val="nil"/>
              <w:right w:val="nil"/>
            </w:tcBorders>
            <w:shd w:val="clear" w:color="000000" w:fill="FFFFFF"/>
            <w:noWrap/>
            <w:vAlign w:val="center"/>
            <w:hideMark/>
          </w:tcPr>
          <w:p w14:paraId="31E16B69"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67,3</w:t>
            </w:r>
          </w:p>
        </w:tc>
        <w:tc>
          <w:tcPr>
            <w:tcW w:w="663" w:type="pct"/>
            <w:tcBorders>
              <w:top w:val="nil"/>
              <w:left w:val="nil"/>
              <w:bottom w:val="nil"/>
              <w:right w:val="nil"/>
            </w:tcBorders>
            <w:shd w:val="clear" w:color="000000" w:fill="FFFFFF"/>
            <w:noWrap/>
            <w:vAlign w:val="center"/>
            <w:hideMark/>
          </w:tcPr>
          <w:p w14:paraId="2FE2707D"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56,0</w:t>
            </w:r>
          </w:p>
        </w:tc>
        <w:tc>
          <w:tcPr>
            <w:tcW w:w="663" w:type="pct"/>
            <w:tcBorders>
              <w:top w:val="nil"/>
              <w:left w:val="nil"/>
              <w:bottom w:val="nil"/>
              <w:right w:val="nil"/>
            </w:tcBorders>
            <w:shd w:val="clear" w:color="000000" w:fill="FFFFFF"/>
            <w:noWrap/>
            <w:vAlign w:val="center"/>
            <w:hideMark/>
          </w:tcPr>
          <w:p w14:paraId="1D0240FB"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67,9</w:t>
            </w:r>
          </w:p>
        </w:tc>
      </w:tr>
      <w:tr w:rsidR="00DF0C87" w:rsidRPr="0062711C" w14:paraId="18011B0B" w14:textId="77777777" w:rsidTr="005354D3">
        <w:trPr>
          <w:trHeight w:val="300"/>
        </w:trPr>
        <w:tc>
          <w:tcPr>
            <w:tcW w:w="2348" w:type="pct"/>
            <w:tcBorders>
              <w:top w:val="nil"/>
              <w:left w:val="nil"/>
              <w:bottom w:val="nil"/>
              <w:right w:val="nil"/>
            </w:tcBorders>
            <w:shd w:val="clear" w:color="000000" w:fill="FFFFFF"/>
            <w:noWrap/>
            <w:vAlign w:val="center"/>
            <w:hideMark/>
          </w:tcPr>
          <w:p w14:paraId="26CF985C" w14:textId="77777777" w:rsidR="00DF0C87" w:rsidRPr="0062711C" w:rsidRDefault="00DF0C87" w:rsidP="00DF0C87">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Укупни расходи буџета РС (млрд РСД)</w:t>
            </w:r>
          </w:p>
        </w:tc>
        <w:tc>
          <w:tcPr>
            <w:tcW w:w="663" w:type="pct"/>
            <w:tcBorders>
              <w:top w:val="nil"/>
              <w:left w:val="nil"/>
              <w:bottom w:val="nil"/>
              <w:right w:val="nil"/>
            </w:tcBorders>
            <w:shd w:val="clear" w:color="000000" w:fill="FFFFFF"/>
            <w:noWrap/>
            <w:vAlign w:val="center"/>
            <w:hideMark/>
          </w:tcPr>
          <w:p w14:paraId="0514BA4C"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1.717</w:t>
            </w:r>
          </w:p>
        </w:tc>
        <w:tc>
          <w:tcPr>
            <w:tcW w:w="663" w:type="pct"/>
            <w:tcBorders>
              <w:top w:val="nil"/>
              <w:left w:val="nil"/>
              <w:bottom w:val="nil"/>
              <w:right w:val="nil"/>
            </w:tcBorders>
            <w:shd w:val="clear" w:color="000000" w:fill="FFFFFF"/>
            <w:noWrap/>
            <w:vAlign w:val="center"/>
            <w:hideMark/>
          </w:tcPr>
          <w:p w14:paraId="073BA3EB"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1.751</w:t>
            </w:r>
          </w:p>
        </w:tc>
        <w:tc>
          <w:tcPr>
            <w:tcW w:w="663" w:type="pct"/>
            <w:tcBorders>
              <w:top w:val="nil"/>
              <w:left w:val="nil"/>
              <w:bottom w:val="nil"/>
              <w:right w:val="nil"/>
            </w:tcBorders>
            <w:shd w:val="clear" w:color="000000" w:fill="FFFFFF"/>
            <w:noWrap/>
            <w:vAlign w:val="center"/>
            <w:hideMark/>
          </w:tcPr>
          <w:p w14:paraId="160C2B97"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1.915</w:t>
            </w:r>
          </w:p>
        </w:tc>
        <w:tc>
          <w:tcPr>
            <w:tcW w:w="663" w:type="pct"/>
            <w:tcBorders>
              <w:top w:val="nil"/>
              <w:left w:val="nil"/>
              <w:bottom w:val="nil"/>
              <w:right w:val="nil"/>
            </w:tcBorders>
            <w:shd w:val="clear" w:color="000000" w:fill="FFFFFF"/>
            <w:noWrap/>
            <w:vAlign w:val="center"/>
            <w:hideMark/>
          </w:tcPr>
          <w:p w14:paraId="6BF102B0" w14:textId="77777777" w:rsidR="00DF0C87" w:rsidRPr="0062711C" w:rsidRDefault="00DF0C87" w:rsidP="005354D3">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2.068</w:t>
            </w:r>
          </w:p>
        </w:tc>
      </w:tr>
      <w:tr w:rsidR="00DF0C87" w:rsidRPr="0062711C" w14:paraId="41DD7AAB" w14:textId="77777777" w:rsidTr="005354D3">
        <w:trPr>
          <w:trHeight w:val="300"/>
        </w:trPr>
        <w:tc>
          <w:tcPr>
            <w:tcW w:w="2348" w:type="pct"/>
            <w:tcBorders>
              <w:top w:val="nil"/>
              <w:left w:val="nil"/>
              <w:bottom w:val="single" w:sz="4" w:space="0" w:color="002060"/>
              <w:right w:val="nil"/>
            </w:tcBorders>
            <w:shd w:val="clear" w:color="000000" w:fill="FFFFFF"/>
            <w:noWrap/>
            <w:vAlign w:val="center"/>
            <w:hideMark/>
          </w:tcPr>
          <w:p w14:paraId="7D772745" w14:textId="77777777" w:rsidR="00DF0C87" w:rsidRPr="0062711C" w:rsidRDefault="00DF0C87" w:rsidP="00DF0C87">
            <w:pPr>
              <w:spacing w:after="0" w:line="240" w:lineRule="auto"/>
              <w:jc w:val="left"/>
              <w:rPr>
                <w:rFonts w:ascii="Calibri" w:eastAsia="Times New Roman" w:hAnsi="Calibri" w:cs="Calibri"/>
                <w:b/>
                <w:bCs/>
                <w:i/>
                <w:iCs/>
                <w:color w:val="002060"/>
                <w:sz w:val="18"/>
                <w:szCs w:val="18"/>
                <w:lang w:val="sr-Cyrl-RS"/>
              </w:rPr>
            </w:pPr>
            <w:r w:rsidRPr="0062711C">
              <w:rPr>
                <w:rFonts w:ascii="Calibri" w:eastAsia="Times New Roman" w:hAnsi="Calibri" w:cs="Calibri"/>
                <w:b/>
                <w:bCs/>
                <w:i/>
                <w:iCs/>
                <w:color w:val="002060"/>
                <w:sz w:val="18"/>
                <w:szCs w:val="18"/>
                <w:lang w:val="sr-Cyrl-RS"/>
              </w:rPr>
              <w:t>% исплаћене субвенције/расходи буџета</w:t>
            </w:r>
          </w:p>
        </w:tc>
        <w:tc>
          <w:tcPr>
            <w:tcW w:w="663" w:type="pct"/>
            <w:tcBorders>
              <w:top w:val="nil"/>
              <w:left w:val="nil"/>
              <w:bottom w:val="single" w:sz="4" w:space="0" w:color="002060"/>
              <w:right w:val="nil"/>
            </w:tcBorders>
            <w:shd w:val="clear" w:color="000000" w:fill="FFFFFF"/>
            <w:noWrap/>
            <w:vAlign w:val="center"/>
            <w:hideMark/>
          </w:tcPr>
          <w:p w14:paraId="5F2A7DB2" w14:textId="77777777" w:rsidR="00DF0C87" w:rsidRPr="0062711C" w:rsidRDefault="00DF0C87" w:rsidP="005354D3">
            <w:pPr>
              <w:spacing w:after="0" w:line="240" w:lineRule="auto"/>
              <w:jc w:val="center"/>
              <w:rPr>
                <w:rFonts w:ascii="Calibri" w:eastAsia="Times New Roman" w:hAnsi="Calibri" w:cs="Calibri"/>
                <w:b/>
                <w:bCs/>
                <w:i/>
                <w:iCs/>
                <w:color w:val="002060"/>
                <w:sz w:val="18"/>
                <w:szCs w:val="18"/>
                <w:lang w:val="sr-Cyrl-RS"/>
              </w:rPr>
            </w:pPr>
            <w:r w:rsidRPr="0062711C">
              <w:rPr>
                <w:rFonts w:ascii="Calibri" w:eastAsia="Times New Roman" w:hAnsi="Calibri" w:cs="Calibri"/>
                <w:b/>
                <w:bCs/>
                <w:i/>
                <w:iCs/>
                <w:color w:val="002060"/>
                <w:sz w:val="18"/>
                <w:szCs w:val="18"/>
                <w:lang w:val="sr-Cyrl-RS"/>
              </w:rPr>
              <w:t>3,9%</w:t>
            </w:r>
          </w:p>
        </w:tc>
        <w:tc>
          <w:tcPr>
            <w:tcW w:w="663" w:type="pct"/>
            <w:tcBorders>
              <w:top w:val="nil"/>
              <w:left w:val="nil"/>
              <w:bottom w:val="single" w:sz="4" w:space="0" w:color="002060"/>
              <w:right w:val="nil"/>
            </w:tcBorders>
            <w:shd w:val="clear" w:color="000000" w:fill="FFFFFF"/>
            <w:noWrap/>
            <w:vAlign w:val="center"/>
            <w:hideMark/>
          </w:tcPr>
          <w:p w14:paraId="7C250AC6" w14:textId="77777777" w:rsidR="00DF0C87" w:rsidRPr="0062711C" w:rsidRDefault="00DF0C87" w:rsidP="005354D3">
            <w:pPr>
              <w:spacing w:after="0" w:line="240" w:lineRule="auto"/>
              <w:jc w:val="center"/>
              <w:rPr>
                <w:rFonts w:ascii="Calibri" w:eastAsia="Times New Roman" w:hAnsi="Calibri" w:cs="Calibri"/>
                <w:b/>
                <w:bCs/>
                <w:i/>
                <w:iCs/>
                <w:color w:val="002060"/>
                <w:sz w:val="18"/>
                <w:szCs w:val="18"/>
                <w:lang w:val="sr-Cyrl-RS"/>
              </w:rPr>
            </w:pPr>
            <w:r w:rsidRPr="0062711C">
              <w:rPr>
                <w:rFonts w:ascii="Calibri" w:eastAsia="Times New Roman" w:hAnsi="Calibri" w:cs="Calibri"/>
                <w:b/>
                <w:bCs/>
                <w:i/>
                <w:iCs/>
                <w:color w:val="002060"/>
                <w:sz w:val="18"/>
                <w:szCs w:val="18"/>
                <w:lang w:val="sr-Cyrl-RS"/>
              </w:rPr>
              <w:t>3,8%</w:t>
            </w:r>
          </w:p>
        </w:tc>
        <w:tc>
          <w:tcPr>
            <w:tcW w:w="663" w:type="pct"/>
            <w:tcBorders>
              <w:top w:val="nil"/>
              <w:left w:val="nil"/>
              <w:bottom w:val="single" w:sz="4" w:space="0" w:color="002060"/>
              <w:right w:val="nil"/>
            </w:tcBorders>
            <w:shd w:val="clear" w:color="000000" w:fill="FFFFFF"/>
            <w:noWrap/>
            <w:vAlign w:val="center"/>
            <w:hideMark/>
          </w:tcPr>
          <w:p w14:paraId="341B4A76" w14:textId="77777777" w:rsidR="00DF0C87" w:rsidRPr="0062711C" w:rsidRDefault="00DF0C87" w:rsidP="005354D3">
            <w:pPr>
              <w:spacing w:after="0" w:line="240" w:lineRule="auto"/>
              <w:jc w:val="center"/>
              <w:rPr>
                <w:rFonts w:ascii="Calibri" w:eastAsia="Times New Roman" w:hAnsi="Calibri" w:cs="Calibri"/>
                <w:b/>
                <w:bCs/>
                <w:i/>
                <w:iCs/>
                <w:color w:val="002060"/>
                <w:sz w:val="18"/>
                <w:szCs w:val="18"/>
                <w:lang w:val="sr-Cyrl-RS"/>
              </w:rPr>
            </w:pPr>
            <w:r w:rsidRPr="0062711C">
              <w:rPr>
                <w:rFonts w:ascii="Calibri" w:eastAsia="Times New Roman" w:hAnsi="Calibri" w:cs="Calibri"/>
                <w:b/>
                <w:bCs/>
                <w:i/>
                <w:iCs/>
                <w:color w:val="002060"/>
                <w:sz w:val="18"/>
                <w:szCs w:val="18"/>
                <w:lang w:val="sr-Cyrl-RS"/>
              </w:rPr>
              <w:t>2,9%</w:t>
            </w:r>
          </w:p>
        </w:tc>
        <w:tc>
          <w:tcPr>
            <w:tcW w:w="663" w:type="pct"/>
            <w:tcBorders>
              <w:top w:val="nil"/>
              <w:left w:val="nil"/>
              <w:bottom w:val="single" w:sz="4" w:space="0" w:color="002060"/>
              <w:right w:val="nil"/>
            </w:tcBorders>
            <w:shd w:val="clear" w:color="000000" w:fill="FFFFFF"/>
            <w:noWrap/>
            <w:vAlign w:val="center"/>
            <w:hideMark/>
          </w:tcPr>
          <w:p w14:paraId="16046683" w14:textId="77777777" w:rsidR="00DF0C87" w:rsidRPr="0062711C" w:rsidRDefault="00DF0C87" w:rsidP="005354D3">
            <w:pPr>
              <w:spacing w:after="0" w:line="240" w:lineRule="auto"/>
              <w:jc w:val="center"/>
              <w:rPr>
                <w:rFonts w:ascii="Calibri" w:eastAsia="Times New Roman" w:hAnsi="Calibri" w:cs="Calibri"/>
                <w:b/>
                <w:bCs/>
                <w:i/>
                <w:iCs/>
                <w:color w:val="002060"/>
                <w:sz w:val="18"/>
                <w:szCs w:val="18"/>
                <w:lang w:val="sr-Cyrl-RS"/>
              </w:rPr>
            </w:pPr>
            <w:r w:rsidRPr="0062711C">
              <w:rPr>
                <w:rFonts w:ascii="Calibri" w:eastAsia="Times New Roman" w:hAnsi="Calibri" w:cs="Calibri"/>
                <w:b/>
                <w:bCs/>
                <w:i/>
                <w:iCs/>
                <w:color w:val="002060"/>
                <w:sz w:val="18"/>
                <w:szCs w:val="18"/>
                <w:lang w:val="sr-Cyrl-RS"/>
              </w:rPr>
              <w:t>3,3%</w:t>
            </w:r>
          </w:p>
        </w:tc>
      </w:tr>
    </w:tbl>
    <w:p w14:paraId="68B7CC1C" w14:textId="77777777" w:rsidR="00DF0C87" w:rsidRPr="0062711C" w:rsidRDefault="00DF0C87" w:rsidP="00DF0C87">
      <w:pPr>
        <w:spacing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 xml:space="preserve"> Извор: Министарство финансија</w:t>
      </w:r>
    </w:p>
    <w:p w14:paraId="6E1E2DC7" w14:textId="77777777" w:rsidR="00DF0C87" w:rsidRPr="0062711C" w:rsidRDefault="00DF0C87" w:rsidP="00DF0C87">
      <w:pPr>
        <w:spacing w:after="0" w:line="276" w:lineRule="auto"/>
        <w:rPr>
          <w:rFonts w:eastAsia="MS PGothic" w:cstheme="minorHAnsi"/>
          <w:sz w:val="16"/>
          <w:szCs w:val="16"/>
          <w:lang w:val="sr-Cyrl-RS" w:eastAsia="ja-JP"/>
        </w:rPr>
      </w:pPr>
    </w:p>
    <w:p w14:paraId="16CF22CE" w14:textId="77777777" w:rsidR="00DF0C87" w:rsidRPr="0062711C" w:rsidRDefault="00DF0C87" w:rsidP="00DF0C87">
      <w:pPr>
        <w:spacing w:after="0" w:line="276" w:lineRule="auto"/>
        <w:rPr>
          <w:rFonts w:eastAsia="MS PGothic" w:cstheme="minorHAnsi"/>
          <w:szCs w:val="20"/>
          <w:lang w:val="sr-Cyrl-RS" w:eastAsia="ja-JP"/>
        </w:rPr>
        <w:sectPr w:rsidR="00DF0C87" w:rsidRPr="0062711C" w:rsidSect="00F45C01">
          <w:type w:val="continuous"/>
          <w:pgSz w:w="12240" w:h="15840"/>
          <w:pgMar w:top="1440" w:right="1440" w:bottom="1440" w:left="1440" w:header="720" w:footer="720" w:gutter="0"/>
          <w:cols w:space="720"/>
          <w:docGrid w:linePitch="360"/>
        </w:sectPr>
      </w:pPr>
    </w:p>
    <w:p w14:paraId="237707E3" w14:textId="7586AA64" w:rsidR="00DF0C87" w:rsidRPr="0062711C" w:rsidRDefault="00DF0C87" w:rsidP="00276C75">
      <w:pPr>
        <w:spacing w:after="240" w:line="240" w:lineRule="auto"/>
        <w:rPr>
          <w:rFonts w:eastAsia="MS PGothic" w:cstheme="minorHAnsi"/>
          <w:szCs w:val="20"/>
          <w:lang w:val="sr-Cyrl-RS" w:eastAsia="ja-JP"/>
        </w:rPr>
      </w:pPr>
      <w:r w:rsidRPr="0062711C">
        <w:rPr>
          <w:rFonts w:eastAsia="MS PGothic" w:cstheme="minorHAnsi"/>
          <w:szCs w:val="20"/>
          <w:lang w:val="sr-Cyrl-RS" w:eastAsia="ja-JP"/>
        </w:rPr>
        <w:t xml:space="preserve">Највећи део субвенција предузећа углавном користе за капиталне пројекте, док одређени број предузећа користи и за одржавање текуће </w:t>
      </w:r>
      <w:r w:rsidRPr="0062711C">
        <w:rPr>
          <w:rFonts w:eastAsia="MS PGothic" w:cstheme="minorHAnsi"/>
          <w:szCs w:val="20"/>
          <w:lang w:val="sr-Cyrl-RS" w:eastAsia="ja-JP"/>
        </w:rPr>
        <w:t xml:space="preserve">ликвидности. Учешће исплаћених субвенција у укупним расходима буџета из године у </w:t>
      </w:r>
      <w:r w:rsidR="00D121C1" w:rsidRPr="0062711C">
        <w:rPr>
          <w:rFonts w:eastAsia="MS PGothic" w:cstheme="minorHAnsi"/>
          <w:szCs w:val="20"/>
          <w:lang w:val="sr-Cyrl-RS" w:eastAsia="ja-JP"/>
        </w:rPr>
        <w:t>годину креће се у распону 3-4%.</w:t>
      </w:r>
    </w:p>
    <w:p w14:paraId="3BECE23D" w14:textId="77777777" w:rsidR="00B875C0" w:rsidRPr="0062711C" w:rsidRDefault="00B875C0" w:rsidP="00DF0C87">
      <w:pPr>
        <w:spacing w:line="240" w:lineRule="auto"/>
        <w:rPr>
          <w:rFonts w:eastAsia="MS PGothic" w:cstheme="minorHAnsi"/>
          <w:szCs w:val="20"/>
          <w:lang w:val="sr-Cyrl-RS" w:eastAsia="ja-JP"/>
        </w:rPr>
        <w:sectPr w:rsidR="00B875C0" w:rsidRPr="0062711C" w:rsidSect="00F45C01">
          <w:type w:val="continuous"/>
          <w:pgSz w:w="12240" w:h="15840"/>
          <w:pgMar w:top="1440" w:right="1440" w:bottom="1440" w:left="1440" w:header="720" w:footer="720" w:gutter="0"/>
          <w:cols w:num="2" w:space="720"/>
          <w:docGrid w:linePitch="360"/>
        </w:sectPr>
      </w:pPr>
    </w:p>
    <w:p w14:paraId="147E5D1B" w14:textId="77777777" w:rsidR="00924166" w:rsidRPr="0062711C" w:rsidRDefault="00924166" w:rsidP="00561B66">
      <w:pPr>
        <w:rPr>
          <w:lang w:val="sr-Cyrl-RS" w:eastAsia="ja-JP"/>
        </w:rPr>
      </w:pPr>
    </w:p>
    <w:p w14:paraId="32B182E7" w14:textId="77777777" w:rsidR="00924166" w:rsidRPr="0062711C" w:rsidRDefault="00924166" w:rsidP="00561B66">
      <w:pPr>
        <w:rPr>
          <w:lang w:val="sr-Cyrl-RS" w:eastAsia="ja-JP"/>
        </w:rPr>
      </w:pPr>
    </w:p>
    <w:p w14:paraId="5819A5A9" w14:textId="77777777" w:rsidR="00924166" w:rsidRPr="0062711C" w:rsidRDefault="00924166" w:rsidP="00561B66">
      <w:pPr>
        <w:rPr>
          <w:lang w:val="sr-Cyrl-RS" w:eastAsia="ja-JP"/>
        </w:rPr>
      </w:pPr>
    </w:p>
    <w:p w14:paraId="7C4D1ACC" w14:textId="77777777" w:rsidR="00924166" w:rsidRPr="0062711C" w:rsidRDefault="00924166" w:rsidP="00561B66">
      <w:pPr>
        <w:rPr>
          <w:lang w:val="sr-Cyrl-RS" w:eastAsia="ja-JP"/>
        </w:rPr>
      </w:pPr>
    </w:p>
    <w:p w14:paraId="5F935F73" w14:textId="0D7E29C4" w:rsidR="00DF0C87" w:rsidRPr="0062711C" w:rsidRDefault="007666F4" w:rsidP="00C031A0">
      <w:pPr>
        <w:spacing w:after="8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lastRenderedPageBreak/>
        <w:t xml:space="preserve">Табела </w:t>
      </w:r>
      <w:r w:rsidR="00BB1E84">
        <w:rPr>
          <w:rFonts w:eastAsia="MS PGothic" w:cstheme="minorHAnsi"/>
          <w:b/>
          <w:color w:val="002060"/>
          <w:szCs w:val="20"/>
          <w:lang w:eastAsia="ja-JP"/>
        </w:rPr>
        <w:t>21</w:t>
      </w:r>
      <w:r w:rsidRPr="0062711C">
        <w:rPr>
          <w:rFonts w:eastAsia="MS PGothic" w:cstheme="minorHAnsi"/>
          <w:b/>
          <w:color w:val="002060"/>
          <w:szCs w:val="20"/>
          <w:lang w:val="sr-Cyrl-RS" w:eastAsia="ja-JP"/>
        </w:rPr>
        <w:t xml:space="preserve">. </w:t>
      </w:r>
      <w:r w:rsidR="00DF0C87" w:rsidRPr="0062711C">
        <w:rPr>
          <w:rFonts w:eastAsia="MS PGothic" w:cstheme="minorHAnsi"/>
          <w:b/>
          <w:color w:val="002060"/>
          <w:szCs w:val="20"/>
          <w:lang w:val="sr-Cyrl-RS" w:eastAsia="ja-JP"/>
        </w:rPr>
        <w:t>Преглед 5 највећих корисника субвенција из буџета Републике Србије, млрд динара</w:t>
      </w:r>
    </w:p>
    <w:tbl>
      <w:tblPr>
        <w:tblW w:w="5000" w:type="pct"/>
        <w:jc w:val="center"/>
        <w:tblLook w:val="04A0" w:firstRow="1" w:lastRow="0" w:firstColumn="1" w:lastColumn="0" w:noHBand="0" w:noVBand="1"/>
      </w:tblPr>
      <w:tblGrid>
        <w:gridCol w:w="4336"/>
        <w:gridCol w:w="1256"/>
        <w:gridCol w:w="1256"/>
        <w:gridCol w:w="1256"/>
        <w:gridCol w:w="1256"/>
      </w:tblGrid>
      <w:tr w:rsidR="00DF0C87" w:rsidRPr="0062711C" w14:paraId="70933856" w14:textId="77777777" w:rsidTr="001A1730">
        <w:trPr>
          <w:trHeight w:val="300"/>
          <w:jc w:val="center"/>
        </w:trPr>
        <w:tc>
          <w:tcPr>
            <w:tcW w:w="2316" w:type="pct"/>
            <w:tcBorders>
              <w:top w:val="single" w:sz="4" w:space="0" w:color="002060"/>
              <w:left w:val="nil"/>
              <w:bottom w:val="single" w:sz="4" w:space="0" w:color="002060"/>
              <w:right w:val="nil"/>
            </w:tcBorders>
            <w:shd w:val="clear" w:color="auto" w:fill="FFFFFF" w:themeFill="background1"/>
            <w:noWrap/>
            <w:vAlign w:val="center"/>
            <w:hideMark/>
          </w:tcPr>
          <w:p w14:paraId="33C1A3C8"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Предузећа</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26B503CD"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2020</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095FA8A4"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35D554E6"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5426D3AB"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r>
      <w:tr w:rsidR="00DF0C87" w:rsidRPr="0062711C" w14:paraId="6B52FF32" w14:textId="77777777" w:rsidTr="001A1730">
        <w:trPr>
          <w:trHeight w:val="300"/>
          <w:jc w:val="center"/>
        </w:trPr>
        <w:tc>
          <w:tcPr>
            <w:tcW w:w="2316" w:type="pct"/>
            <w:tcBorders>
              <w:top w:val="nil"/>
              <w:left w:val="nil"/>
              <w:bottom w:val="nil"/>
              <w:right w:val="nil"/>
            </w:tcBorders>
            <w:shd w:val="clear" w:color="000000" w:fill="FFFFFF"/>
            <w:noWrap/>
            <w:vAlign w:val="center"/>
            <w:hideMark/>
          </w:tcPr>
          <w:p w14:paraId="5AE526B0" w14:textId="3BDFB0EE" w:rsidR="00DF0C87" w:rsidRPr="0062711C" w:rsidRDefault="00DF0C87" w:rsidP="001A1730">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Јавно предузеће </w:t>
            </w:r>
            <w:r w:rsidR="008E4C48" w:rsidRPr="0062711C">
              <w:rPr>
                <w:rFonts w:ascii="Calibri" w:eastAsia="Times New Roman" w:hAnsi="Calibri" w:cs="Calibri"/>
                <w:color w:val="002060"/>
                <w:sz w:val="18"/>
                <w:szCs w:val="18"/>
                <w:lang w:val="sr-Cyrl-RS"/>
              </w:rPr>
              <w:t>„</w:t>
            </w:r>
            <w:r w:rsidRPr="0062711C">
              <w:rPr>
                <w:rFonts w:ascii="Calibri" w:eastAsia="Times New Roman" w:hAnsi="Calibri" w:cs="Calibri"/>
                <w:color w:val="002060"/>
                <w:sz w:val="18"/>
                <w:szCs w:val="18"/>
                <w:lang w:val="sr-Cyrl-RS"/>
              </w:rPr>
              <w:t>Путеви Србије</w:t>
            </w:r>
            <w:r w:rsidR="008E4C48" w:rsidRPr="0062711C">
              <w:rPr>
                <w:rFonts w:ascii="Calibri" w:eastAsia="Times New Roman" w:hAnsi="Calibri" w:cs="Calibri"/>
                <w:color w:val="002060"/>
                <w:sz w:val="18"/>
                <w:szCs w:val="18"/>
                <w:lang w:val="sr-Cyrl-RS"/>
              </w:rPr>
              <w:t>”</w:t>
            </w:r>
          </w:p>
        </w:tc>
        <w:tc>
          <w:tcPr>
            <w:tcW w:w="671" w:type="pct"/>
            <w:tcBorders>
              <w:top w:val="nil"/>
              <w:left w:val="nil"/>
              <w:bottom w:val="nil"/>
              <w:right w:val="nil"/>
            </w:tcBorders>
            <w:shd w:val="clear" w:color="000000" w:fill="FFFFFF"/>
            <w:noWrap/>
            <w:vAlign w:val="center"/>
            <w:hideMark/>
          </w:tcPr>
          <w:p w14:paraId="240A1A10"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26,9</w:t>
            </w:r>
          </w:p>
        </w:tc>
        <w:tc>
          <w:tcPr>
            <w:tcW w:w="671" w:type="pct"/>
            <w:tcBorders>
              <w:top w:val="nil"/>
              <w:left w:val="nil"/>
              <w:bottom w:val="nil"/>
              <w:right w:val="nil"/>
            </w:tcBorders>
            <w:shd w:val="clear" w:color="000000" w:fill="FFFFFF"/>
            <w:noWrap/>
            <w:vAlign w:val="center"/>
            <w:hideMark/>
          </w:tcPr>
          <w:p w14:paraId="32968F69"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29,2</w:t>
            </w:r>
          </w:p>
        </w:tc>
        <w:tc>
          <w:tcPr>
            <w:tcW w:w="671" w:type="pct"/>
            <w:tcBorders>
              <w:top w:val="nil"/>
              <w:left w:val="nil"/>
              <w:bottom w:val="nil"/>
              <w:right w:val="nil"/>
            </w:tcBorders>
            <w:shd w:val="clear" w:color="000000" w:fill="FFFFFF"/>
            <w:noWrap/>
            <w:vAlign w:val="center"/>
            <w:hideMark/>
          </w:tcPr>
          <w:p w14:paraId="55088071"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22,6</w:t>
            </w:r>
          </w:p>
        </w:tc>
        <w:tc>
          <w:tcPr>
            <w:tcW w:w="671" w:type="pct"/>
            <w:tcBorders>
              <w:top w:val="nil"/>
              <w:left w:val="nil"/>
              <w:bottom w:val="nil"/>
              <w:right w:val="nil"/>
            </w:tcBorders>
            <w:shd w:val="clear" w:color="000000" w:fill="FFFFFF"/>
            <w:noWrap/>
            <w:vAlign w:val="center"/>
            <w:hideMark/>
          </w:tcPr>
          <w:p w14:paraId="42344BF6"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25,0</w:t>
            </w:r>
          </w:p>
        </w:tc>
      </w:tr>
      <w:tr w:rsidR="00DF0C87" w:rsidRPr="0062711C" w14:paraId="737CE4B1" w14:textId="77777777" w:rsidTr="001A1730">
        <w:trPr>
          <w:trHeight w:val="300"/>
          <w:jc w:val="center"/>
        </w:trPr>
        <w:tc>
          <w:tcPr>
            <w:tcW w:w="2316" w:type="pct"/>
            <w:tcBorders>
              <w:top w:val="nil"/>
              <w:left w:val="nil"/>
              <w:bottom w:val="nil"/>
              <w:right w:val="nil"/>
            </w:tcBorders>
            <w:shd w:val="clear" w:color="000000" w:fill="FFFFFF"/>
            <w:noWrap/>
            <w:vAlign w:val="center"/>
            <w:hideMark/>
          </w:tcPr>
          <w:p w14:paraId="6A151168" w14:textId="3E3F438D" w:rsidR="00DF0C87" w:rsidRPr="0062711C" w:rsidRDefault="008E4C48" w:rsidP="001A1730">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Инфраструктура железнице Србије</w:t>
            </w: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 xml:space="preserve"> ад</w:t>
            </w:r>
          </w:p>
        </w:tc>
        <w:tc>
          <w:tcPr>
            <w:tcW w:w="671" w:type="pct"/>
            <w:tcBorders>
              <w:top w:val="nil"/>
              <w:left w:val="nil"/>
              <w:bottom w:val="nil"/>
              <w:right w:val="nil"/>
            </w:tcBorders>
            <w:shd w:val="clear" w:color="000000" w:fill="FFFFFF"/>
            <w:noWrap/>
            <w:vAlign w:val="center"/>
            <w:hideMark/>
          </w:tcPr>
          <w:p w14:paraId="4549A084"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10,5</w:t>
            </w:r>
          </w:p>
        </w:tc>
        <w:tc>
          <w:tcPr>
            <w:tcW w:w="671" w:type="pct"/>
            <w:tcBorders>
              <w:top w:val="nil"/>
              <w:left w:val="nil"/>
              <w:bottom w:val="nil"/>
              <w:right w:val="nil"/>
            </w:tcBorders>
            <w:shd w:val="clear" w:color="000000" w:fill="FFFFFF"/>
            <w:noWrap/>
            <w:vAlign w:val="center"/>
            <w:hideMark/>
          </w:tcPr>
          <w:p w14:paraId="349FCAB6"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13,8</w:t>
            </w:r>
          </w:p>
        </w:tc>
        <w:tc>
          <w:tcPr>
            <w:tcW w:w="671" w:type="pct"/>
            <w:tcBorders>
              <w:top w:val="nil"/>
              <w:left w:val="nil"/>
              <w:bottom w:val="nil"/>
              <w:right w:val="nil"/>
            </w:tcBorders>
            <w:shd w:val="clear" w:color="000000" w:fill="FFFFFF"/>
            <w:noWrap/>
            <w:vAlign w:val="center"/>
            <w:hideMark/>
          </w:tcPr>
          <w:p w14:paraId="71306B07"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12,8</w:t>
            </w:r>
          </w:p>
        </w:tc>
        <w:tc>
          <w:tcPr>
            <w:tcW w:w="671" w:type="pct"/>
            <w:tcBorders>
              <w:top w:val="nil"/>
              <w:left w:val="nil"/>
              <w:bottom w:val="nil"/>
              <w:right w:val="nil"/>
            </w:tcBorders>
            <w:shd w:val="clear" w:color="000000" w:fill="FFFFFF"/>
            <w:noWrap/>
            <w:vAlign w:val="center"/>
            <w:hideMark/>
          </w:tcPr>
          <w:p w14:paraId="6986CD3F"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17,0</w:t>
            </w:r>
          </w:p>
        </w:tc>
      </w:tr>
      <w:tr w:rsidR="00DF0C87" w:rsidRPr="0062711C" w14:paraId="5297381C" w14:textId="77777777" w:rsidTr="001A1730">
        <w:trPr>
          <w:trHeight w:val="300"/>
          <w:jc w:val="center"/>
        </w:trPr>
        <w:tc>
          <w:tcPr>
            <w:tcW w:w="2316" w:type="pct"/>
            <w:tcBorders>
              <w:top w:val="nil"/>
              <w:left w:val="nil"/>
              <w:bottom w:val="nil"/>
              <w:right w:val="nil"/>
            </w:tcBorders>
            <w:shd w:val="clear" w:color="000000" w:fill="FFFFFF"/>
            <w:noWrap/>
            <w:vAlign w:val="center"/>
            <w:hideMark/>
          </w:tcPr>
          <w:p w14:paraId="195E4F57" w14:textId="4E6B679B" w:rsidR="00DF0C87" w:rsidRPr="0062711C" w:rsidRDefault="008E4C48" w:rsidP="001A1730">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Коридори Србије</w:t>
            </w: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 xml:space="preserve"> доо</w:t>
            </w:r>
          </w:p>
        </w:tc>
        <w:tc>
          <w:tcPr>
            <w:tcW w:w="671" w:type="pct"/>
            <w:tcBorders>
              <w:top w:val="nil"/>
              <w:left w:val="nil"/>
              <w:bottom w:val="nil"/>
              <w:right w:val="nil"/>
            </w:tcBorders>
            <w:shd w:val="clear" w:color="000000" w:fill="FFFFFF"/>
            <w:noWrap/>
            <w:vAlign w:val="center"/>
            <w:hideMark/>
          </w:tcPr>
          <w:p w14:paraId="52168BF4"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17,7</w:t>
            </w:r>
          </w:p>
        </w:tc>
        <w:tc>
          <w:tcPr>
            <w:tcW w:w="671" w:type="pct"/>
            <w:tcBorders>
              <w:top w:val="nil"/>
              <w:left w:val="nil"/>
              <w:bottom w:val="nil"/>
              <w:right w:val="nil"/>
            </w:tcBorders>
            <w:shd w:val="clear" w:color="000000" w:fill="FFFFFF"/>
            <w:noWrap/>
            <w:vAlign w:val="center"/>
            <w:hideMark/>
          </w:tcPr>
          <w:p w14:paraId="4603F731"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8,2</w:t>
            </w:r>
          </w:p>
        </w:tc>
        <w:tc>
          <w:tcPr>
            <w:tcW w:w="671" w:type="pct"/>
            <w:tcBorders>
              <w:top w:val="nil"/>
              <w:left w:val="nil"/>
              <w:bottom w:val="nil"/>
              <w:right w:val="nil"/>
            </w:tcBorders>
            <w:shd w:val="clear" w:color="000000" w:fill="FFFFFF"/>
            <w:noWrap/>
            <w:vAlign w:val="center"/>
            <w:hideMark/>
          </w:tcPr>
          <w:p w14:paraId="212EEDB1"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6,9</w:t>
            </w:r>
          </w:p>
        </w:tc>
        <w:tc>
          <w:tcPr>
            <w:tcW w:w="671" w:type="pct"/>
            <w:tcBorders>
              <w:top w:val="nil"/>
              <w:left w:val="nil"/>
              <w:bottom w:val="nil"/>
              <w:right w:val="nil"/>
            </w:tcBorders>
            <w:shd w:val="clear" w:color="000000" w:fill="FFFFFF"/>
            <w:noWrap/>
            <w:vAlign w:val="center"/>
            <w:hideMark/>
          </w:tcPr>
          <w:p w14:paraId="20615F71"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6,9</w:t>
            </w:r>
          </w:p>
        </w:tc>
      </w:tr>
      <w:tr w:rsidR="00DF0C87" w:rsidRPr="0062711C" w14:paraId="5A53689B" w14:textId="77777777" w:rsidTr="001A1730">
        <w:trPr>
          <w:trHeight w:val="300"/>
          <w:jc w:val="center"/>
        </w:trPr>
        <w:tc>
          <w:tcPr>
            <w:tcW w:w="2316" w:type="pct"/>
            <w:tcBorders>
              <w:top w:val="nil"/>
              <w:left w:val="nil"/>
              <w:bottom w:val="nil"/>
              <w:right w:val="nil"/>
            </w:tcBorders>
            <w:shd w:val="clear" w:color="000000" w:fill="FFFFFF"/>
            <w:noWrap/>
            <w:vAlign w:val="center"/>
            <w:hideMark/>
          </w:tcPr>
          <w:p w14:paraId="0E505DA5" w14:textId="370B5A2C" w:rsidR="00DF0C87" w:rsidRPr="0062711C" w:rsidRDefault="00DF0C87" w:rsidP="001A1730">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 xml:space="preserve">Јавно предузеће ПЕУ </w:t>
            </w:r>
            <w:r w:rsidR="008E4C48" w:rsidRPr="0062711C">
              <w:rPr>
                <w:rFonts w:ascii="Calibri" w:eastAsia="Times New Roman" w:hAnsi="Calibri" w:cs="Calibri"/>
                <w:color w:val="002060"/>
                <w:sz w:val="18"/>
                <w:szCs w:val="18"/>
                <w:lang w:val="sr-Cyrl-RS"/>
              </w:rPr>
              <w:t>„</w:t>
            </w:r>
            <w:r w:rsidRPr="0062711C">
              <w:rPr>
                <w:rFonts w:ascii="Calibri" w:eastAsia="Times New Roman" w:hAnsi="Calibri" w:cs="Calibri"/>
                <w:color w:val="002060"/>
                <w:sz w:val="18"/>
                <w:szCs w:val="18"/>
                <w:lang w:val="sr-Cyrl-RS"/>
              </w:rPr>
              <w:t>Ресавица</w:t>
            </w:r>
            <w:r w:rsidR="008E4C48" w:rsidRPr="0062711C">
              <w:rPr>
                <w:rFonts w:ascii="Calibri" w:eastAsia="Times New Roman" w:hAnsi="Calibri" w:cs="Calibri"/>
                <w:color w:val="002060"/>
                <w:sz w:val="18"/>
                <w:szCs w:val="18"/>
                <w:lang w:val="sr-Cyrl-RS"/>
              </w:rPr>
              <w:t>”</w:t>
            </w:r>
          </w:p>
        </w:tc>
        <w:tc>
          <w:tcPr>
            <w:tcW w:w="671" w:type="pct"/>
            <w:tcBorders>
              <w:top w:val="nil"/>
              <w:left w:val="nil"/>
              <w:bottom w:val="nil"/>
              <w:right w:val="nil"/>
            </w:tcBorders>
            <w:shd w:val="clear" w:color="000000" w:fill="FFFFFF"/>
            <w:noWrap/>
            <w:vAlign w:val="center"/>
            <w:hideMark/>
          </w:tcPr>
          <w:p w14:paraId="3C2543C1"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4,6</w:t>
            </w:r>
          </w:p>
        </w:tc>
        <w:tc>
          <w:tcPr>
            <w:tcW w:w="671" w:type="pct"/>
            <w:tcBorders>
              <w:top w:val="nil"/>
              <w:left w:val="nil"/>
              <w:bottom w:val="nil"/>
              <w:right w:val="nil"/>
            </w:tcBorders>
            <w:shd w:val="clear" w:color="000000" w:fill="FFFFFF"/>
            <w:noWrap/>
            <w:vAlign w:val="center"/>
            <w:hideMark/>
          </w:tcPr>
          <w:p w14:paraId="7CA52185"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8,5</w:t>
            </w:r>
          </w:p>
        </w:tc>
        <w:tc>
          <w:tcPr>
            <w:tcW w:w="671" w:type="pct"/>
            <w:tcBorders>
              <w:top w:val="nil"/>
              <w:left w:val="nil"/>
              <w:bottom w:val="nil"/>
              <w:right w:val="nil"/>
            </w:tcBorders>
            <w:shd w:val="clear" w:color="000000" w:fill="FFFFFF"/>
            <w:noWrap/>
            <w:vAlign w:val="center"/>
            <w:hideMark/>
          </w:tcPr>
          <w:p w14:paraId="6603E66C"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4,8</w:t>
            </w:r>
          </w:p>
        </w:tc>
        <w:tc>
          <w:tcPr>
            <w:tcW w:w="671" w:type="pct"/>
            <w:tcBorders>
              <w:top w:val="nil"/>
              <w:left w:val="nil"/>
              <w:bottom w:val="nil"/>
              <w:right w:val="nil"/>
            </w:tcBorders>
            <w:shd w:val="clear" w:color="000000" w:fill="FFFFFF"/>
            <w:noWrap/>
            <w:vAlign w:val="center"/>
            <w:hideMark/>
          </w:tcPr>
          <w:p w14:paraId="3EABA7DC"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5,5</w:t>
            </w:r>
          </w:p>
        </w:tc>
      </w:tr>
      <w:tr w:rsidR="00DF0C87" w:rsidRPr="0062711C" w14:paraId="33D9BDBE" w14:textId="77777777" w:rsidTr="001A1730">
        <w:trPr>
          <w:trHeight w:val="300"/>
          <w:jc w:val="center"/>
        </w:trPr>
        <w:tc>
          <w:tcPr>
            <w:tcW w:w="2316" w:type="pct"/>
            <w:tcBorders>
              <w:top w:val="nil"/>
              <w:left w:val="nil"/>
              <w:bottom w:val="nil"/>
              <w:right w:val="nil"/>
            </w:tcBorders>
            <w:shd w:val="clear" w:color="000000" w:fill="FFFFFF"/>
            <w:noWrap/>
            <w:vAlign w:val="center"/>
            <w:hideMark/>
          </w:tcPr>
          <w:p w14:paraId="4CE0D94D" w14:textId="57191EA2" w:rsidR="00DF0C87" w:rsidRPr="0062711C" w:rsidRDefault="008E4C48" w:rsidP="001A1730">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Србијавоз</w:t>
            </w:r>
            <w:r w:rsidRPr="0062711C">
              <w:rPr>
                <w:rFonts w:ascii="Calibri" w:eastAsia="Times New Roman" w:hAnsi="Calibri" w:cs="Calibri"/>
                <w:color w:val="002060"/>
                <w:sz w:val="18"/>
                <w:szCs w:val="18"/>
                <w:lang w:val="sr-Cyrl-RS"/>
              </w:rPr>
              <w:t>”</w:t>
            </w:r>
            <w:r w:rsidR="00DF0C87" w:rsidRPr="0062711C">
              <w:rPr>
                <w:rFonts w:ascii="Calibri" w:eastAsia="Times New Roman" w:hAnsi="Calibri" w:cs="Calibri"/>
                <w:color w:val="002060"/>
                <w:sz w:val="18"/>
                <w:szCs w:val="18"/>
                <w:lang w:val="sr-Cyrl-RS"/>
              </w:rPr>
              <w:t xml:space="preserve"> ад</w:t>
            </w:r>
          </w:p>
        </w:tc>
        <w:tc>
          <w:tcPr>
            <w:tcW w:w="671" w:type="pct"/>
            <w:tcBorders>
              <w:top w:val="nil"/>
              <w:left w:val="nil"/>
              <w:bottom w:val="nil"/>
              <w:right w:val="nil"/>
            </w:tcBorders>
            <w:shd w:val="clear" w:color="000000" w:fill="FFFFFF"/>
            <w:noWrap/>
            <w:vAlign w:val="center"/>
            <w:hideMark/>
          </w:tcPr>
          <w:p w14:paraId="68FD3464"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3,9</w:t>
            </w:r>
          </w:p>
        </w:tc>
        <w:tc>
          <w:tcPr>
            <w:tcW w:w="671" w:type="pct"/>
            <w:tcBorders>
              <w:top w:val="nil"/>
              <w:left w:val="nil"/>
              <w:bottom w:val="nil"/>
              <w:right w:val="nil"/>
            </w:tcBorders>
            <w:shd w:val="clear" w:color="000000" w:fill="FFFFFF"/>
            <w:noWrap/>
            <w:vAlign w:val="center"/>
            <w:hideMark/>
          </w:tcPr>
          <w:p w14:paraId="54CFBCDD"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3,8</w:t>
            </w:r>
          </w:p>
        </w:tc>
        <w:tc>
          <w:tcPr>
            <w:tcW w:w="671" w:type="pct"/>
            <w:tcBorders>
              <w:top w:val="nil"/>
              <w:left w:val="nil"/>
              <w:bottom w:val="nil"/>
              <w:right w:val="nil"/>
            </w:tcBorders>
            <w:shd w:val="clear" w:color="000000" w:fill="FFFFFF"/>
            <w:noWrap/>
            <w:vAlign w:val="center"/>
            <w:hideMark/>
          </w:tcPr>
          <w:p w14:paraId="408D50A3"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4,4</w:t>
            </w:r>
          </w:p>
        </w:tc>
        <w:tc>
          <w:tcPr>
            <w:tcW w:w="671" w:type="pct"/>
            <w:tcBorders>
              <w:top w:val="nil"/>
              <w:left w:val="nil"/>
              <w:bottom w:val="nil"/>
              <w:right w:val="nil"/>
            </w:tcBorders>
            <w:shd w:val="clear" w:color="000000" w:fill="FFFFFF"/>
            <w:noWrap/>
            <w:vAlign w:val="center"/>
            <w:hideMark/>
          </w:tcPr>
          <w:p w14:paraId="085B5BB4"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5,1</w:t>
            </w:r>
          </w:p>
        </w:tc>
      </w:tr>
      <w:tr w:rsidR="00DF0C87" w:rsidRPr="0062711C" w14:paraId="2C1784DD" w14:textId="77777777" w:rsidTr="001A1730">
        <w:trPr>
          <w:trHeight w:val="300"/>
          <w:jc w:val="center"/>
        </w:trPr>
        <w:tc>
          <w:tcPr>
            <w:tcW w:w="2316" w:type="pct"/>
            <w:tcBorders>
              <w:top w:val="nil"/>
              <w:left w:val="nil"/>
              <w:bottom w:val="nil"/>
              <w:right w:val="nil"/>
            </w:tcBorders>
            <w:shd w:val="clear" w:color="000000" w:fill="FFFFFF"/>
            <w:noWrap/>
            <w:vAlign w:val="center"/>
            <w:hideMark/>
          </w:tcPr>
          <w:p w14:paraId="4350E216" w14:textId="77777777" w:rsidR="00DF0C87" w:rsidRPr="0062711C" w:rsidRDefault="00DF0C87" w:rsidP="001A1730">
            <w:pPr>
              <w:spacing w:after="0" w:line="240" w:lineRule="auto"/>
              <w:jc w:val="left"/>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Остала ЈП</w:t>
            </w:r>
          </w:p>
        </w:tc>
        <w:tc>
          <w:tcPr>
            <w:tcW w:w="671" w:type="pct"/>
            <w:tcBorders>
              <w:top w:val="nil"/>
              <w:left w:val="nil"/>
              <w:bottom w:val="nil"/>
              <w:right w:val="nil"/>
            </w:tcBorders>
            <w:shd w:val="clear" w:color="000000" w:fill="FFFFFF"/>
            <w:noWrap/>
            <w:vAlign w:val="center"/>
            <w:hideMark/>
          </w:tcPr>
          <w:p w14:paraId="10FE4B73"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3,1</w:t>
            </w:r>
          </w:p>
        </w:tc>
        <w:tc>
          <w:tcPr>
            <w:tcW w:w="671" w:type="pct"/>
            <w:tcBorders>
              <w:top w:val="nil"/>
              <w:left w:val="nil"/>
              <w:bottom w:val="nil"/>
              <w:right w:val="nil"/>
            </w:tcBorders>
            <w:shd w:val="clear" w:color="000000" w:fill="FFFFFF"/>
            <w:noWrap/>
            <w:vAlign w:val="center"/>
            <w:hideMark/>
          </w:tcPr>
          <w:p w14:paraId="06A12C02"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3,8</w:t>
            </w:r>
          </w:p>
        </w:tc>
        <w:tc>
          <w:tcPr>
            <w:tcW w:w="671" w:type="pct"/>
            <w:tcBorders>
              <w:top w:val="nil"/>
              <w:left w:val="nil"/>
              <w:bottom w:val="nil"/>
              <w:right w:val="nil"/>
            </w:tcBorders>
            <w:shd w:val="clear" w:color="000000" w:fill="FFFFFF"/>
            <w:noWrap/>
            <w:vAlign w:val="center"/>
            <w:hideMark/>
          </w:tcPr>
          <w:p w14:paraId="7022092A"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4,5</w:t>
            </w:r>
          </w:p>
        </w:tc>
        <w:tc>
          <w:tcPr>
            <w:tcW w:w="671" w:type="pct"/>
            <w:tcBorders>
              <w:top w:val="nil"/>
              <w:left w:val="nil"/>
              <w:bottom w:val="nil"/>
              <w:right w:val="nil"/>
            </w:tcBorders>
            <w:shd w:val="clear" w:color="000000" w:fill="FFFFFF"/>
            <w:noWrap/>
            <w:vAlign w:val="center"/>
            <w:hideMark/>
          </w:tcPr>
          <w:p w14:paraId="64C67230" w14:textId="77777777" w:rsidR="00DF0C87" w:rsidRPr="0062711C" w:rsidRDefault="00DF0C87" w:rsidP="001A1730">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8,4</w:t>
            </w:r>
          </w:p>
        </w:tc>
      </w:tr>
      <w:tr w:rsidR="00DF0C87" w:rsidRPr="0062711C" w14:paraId="0C264C4F" w14:textId="77777777" w:rsidTr="001A1730">
        <w:trPr>
          <w:trHeight w:val="300"/>
          <w:jc w:val="center"/>
        </w:trPr>
        <w:tc>
          <w:tcPr>
            <w:tcW w:w="2316" w:type="pct"/>
            <w:tcBorders>
              <w:top w:val="single" w:sz="4" w:space="0" w:color="002060"/>
              <w:left w:val="nil"/>
              <w:bottom w:val="single" w:sz="4" w:space="0" w:color="002060"/>
              <w:right w:val="nil"/>
            </w:tcBorders>
            <w:shd w:val="clear" w:color="auto" w:fill="FFFFFF" w:themeFill="background1"/>
            <w:noWrap/>
            <w:vAlign w:val="center"/>
            <w:hideMark/>
          </w:tcPr>
          <w:p w14:paraId="1D50DB91" w14:textId="77777777" w:rsidR="00DF0C87" w:rsidRPr="0062711C" w:rsidRDefault="00DF0C87" w:rsidP="001A1730">
            <w:pPr>
              <w:spacing w:after="0" w:line="240" w:lineRule="auto"/>
              <w:jc w:val="left"/>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Укупно исплаћене субвенције:</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420415E1"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66,7</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31C8282A"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67,3</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66B99B69"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56,0</w:t>
            </w:r>
          </w:p>
        </w:tc>
        <w:tc>
          <w:tcPr>
            <w:tcW w:w="671" w:type="pct"/>
            <w:tcBorders>
              <w:top w:val="single" w:sz="4" w:space="0" w:color="002060"/>
              <w:left w:val="nil"/>
              <w:bottom w:val="single" w:sz="4" w:space="0" w:color="002060"/>
              <w:right w:val="nil"/>
            </w:tcBorders>
            <w:shd w:val="clear" w:color="auto" w:fill="FFFFFF" w:themeFill="background1"/>
            <w:noWrap/>
            <w:vAlign w:val="center"/>
            <w:hideMark/>
          </w:tcPr>
          <w:p w14:paraId="798C0846" w14:textId="77777777" w:rsidR="00DF0C87" w:rsidRPr="0062711C" w:rsidRDefault="00DF0C87" w:rsidP="001A1730">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67,9</w:t>
            </w:r>
          </w:p>
        </w:tc>
      </w:tr>
    </w:tbl>
    <w:p w14:paraId="1DEC03E6" w14:textId="0A77A01B" w:rsidR="00DF0C87" w:rsidRPr="0062711C" w:rsidRDefault="003D058D" w:rsidP="00924166">
      <w:pPr>
        <w:spacing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 xml:space="preserve"> </w:t>
      </w:r>
      <w:r w:rsidR="00DF0C87" w:rsidRPr="0062711C">
        <w:rPr>
          <w:rFonts w:eastAsia="MS PGothic" w:cstheme="minorHAnsi"/>
          <w:sz w:val="16"/>
          <w:szCs w:val="16"/>
          <w:lang w:val="sr-Cyrl-RS" w:eastAsia="ja-JP"/>
        </w:rPr>
        <w:t>Извор: Министарство финансија</w:t>
      </w:r>
    </w:p>
    <w:p w14:paraId="7F078196" w14:textId="7CBC6DC8" w:rsidR="00924166" w:rsidRPr="0062711C" w:rsidRDefault="00924166" w:rsidP="00924166">
      <w:pPr>
        <w:spacing w:after="0" w:line="276" w:lineRule="auto"/>
        <w:rPr>
          <w:rFonts w:eastAsia="MS PGothic" w:cstheme="minorHAnsi"/>
          <w:sz w:val="16"/>
          <w:szCs w:val="16"/>
          <w:lang w:val="sr-Cyrl-RS" w:eastAsia="ja-JP"/>
        </w:rPr>
      </w:pPr>
    </w:p>
    <w:p w14:paraId="63CC8977" w14:textId="77777777" w:rsidR="00924166" w:rsidRPr="0062711C" w:rsidRDefault="00924166" w:rsidP="00924166">
      <w:pPr>
        <w:spacing w:after="0" w:line="276" w:lineRule="auto"/>
        <w:rPr>
          <w:rFonts w:eastAsia="MS PGothic" w:cstheme="minorHAnsi"/>
          <w:sz w:val="16"/>
          <w:szCs w:val="16"/>
          <w:lang w:val="sr-Cyrl-RS" w:eastAsia="ja-JP"/>
        </w:rPr>
        <w:sectPr w:rsidR="00924166" w:rsidRPr="0062711C" w:rsidSect="00F45C01">
          <w:type w:val="continuous"/>
          <w:pgSz w:w="12240" w:h="15840"/>
          <w:pgMar w:top="1440" w:right="1440" w:bottom="1440" w:left="1440" w:header="720" w:footer="720" w:gutter="0"/>
          <w:cols w:space="720"/>
          <w:docGrid w:linePitch="360"/>
        </w:sectPr>
      </w:pPr>
    </w:p>
    <w:p w14:paraId="59486A36" w14:textId="0D3434CD" w:rsidR="00DF0C87" w:rsidRPr="0062711C" w:rsidRDefault="00DF0C87" w:rsidP="00C031A0">
      <w:pPr>
        <w:spacing w:after="280" w:line="276" w:lineRule="auto"/>
        <w:rPr>
          <w:rFonts w:eastAsia="MS PGothic" w:cstheme="minorHAnsi"/>
          <w:szCs w:val="20"/>
          <w:lang w:val="sr-Cyrl-RS" w:eastAsia="ja-JP"/>
        </w:rPr>
      </w:pPr>
      <w:r w:rsidRPr="0062711C">
        <w:rPr>
          <w:rFonts w:eastAsia="MS PGothic" w:cstheme="minorHAnsi"/>
          <w:szCs w:val="20"/>
          <w:lang w:val="sr-Cyrl-RS" w:eastAsia="ja-JP"/>
        </w:rPr>
        <w:t xml:space="preserve">Највећи корисник </w:t>
      </w:r>
      <w:r w:rsidR="00954EB9">
        <w:rPr>
          <w:rFonts w:eastAsia="MS PGothic" w:cstheme="minorHAnsi"/>
          <w:szCs w:val="20"/>
          <w:lang w:val="sr-Cyrl-RS" w:eastAsia="ja-JP"/>
        </w:rPr>
        <w:t>субвенција, у наведеном периоду,</w:t>
      </w:r>
      <w:r w:rsidRPr="0062711C">
        <w:rPr>
          <w:rFonts w:eastAsia="MS PGothic" w:cstheme="minorHAnsi"/>
          <w:szCs w:val="20"/>
          <w:lang w:val="sr-Cyrl-RS" w:eastAsia="ja-JP"/>
        </w:rPr>
        <w:t xml:space="preserve"> је ЈП „Путеви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чије субвенције су капиталног карактера и намењене су за реконструкцију путне инфраструктуре. У 2023. години </w:t>
      </w:r>
      <w:r w:rsidR="00954EB9" w:rsidRPr="0062711C">
        <w:rPr>
          <w:rFonts w:eastAsia="MS PGothic" w:cstheme="minorHAnsi"/>
          <w:szCs w:val="20"/>
          <w:lang w:val="sr-Cyrl-RS" w:eastAsia="ja-JP"/>
        </w:rPr>
        <w:t xml:space="preserve">субвенције </w:t>
      </w:r>
      <w:r w:rsidRPr="0062711C">
        <w:rPr>
          <w:rFonts w:eastAsia="MS PGothic" w:cstheme="minorHAnsi"/>
          <w:szCs w:val="20"/>
          <w:lang w:val="sr-Cyrl-RS" w:eastAsia="ja-JP"/>
        </w:rPr>
        <w:t xml:space="preserve">исплаћене </w:t>
      </w:r>
      <w:r w:rsidR="00954EB9">
        <w:rPr>
          <w:rFonts w:eastAsia="MS PGothic" w:cstheme="minorHAnsi"/>
          <w:szCs w:val="20"/>
          <w:lang w:val="sr-Cyrl-RS" w:eastAsia="ja-JP"/>
        </w:rPr>
        <w:t xml:space="preserve">државним предузећима </w:t>
      </w:r>
      <w:r w:rsidRPr="0062711C">
        <w:rPr>
          <w:rFonts w:eastAsia="MS PGothic" w:cstheme="minorHAnsi"/>
          <w:szCs w:val="20"/>
          <w:lang w:val="sr-Cyrl-RS" w:eastAsia="ja-JP"/>
        </w:rPr>
        <w:t xml:space="preserve">износиле су 67,9 млрд динара и оне </w:t>
      </w:r>
      <w:r w:rsidRPr="0062711C">
        <w:rPr>
          <w:rFonts w:eastAsia="MS PGothic" w:cstheme="minorHAnsi"/>
          <w:szCs w:val="20"/>
          <w:lang w:val="sr-Cyrl-RS" w:eastAsia="ja-JP"/>
        </w:rPr>
        <w:t>су имале укупно учешће од 6,4% у укупно оствареним приходима 36 државних предузећа, што је на вишем нивоу у односу на претходну годину. Исплаћене субвенције за 5 највећих корисника имају учешће 87,6% у укупно исплаћеним субвенцијама.</w:t>
      </w:r>
    </w:p>
    <w:p w14:paraId="54F28DFF" w14:textId="77777777" w:rsidR="009367BB" w:rsidRPr="0062711C" w:rsidRDefault="009367BB" w:rsidP="00DF0C87">
      <w:pPr>
        <w:spacing w:line="276" w:lineRule="auto"/>
        <w:rPr>
          <w:rFonts w:eastAsia="MS PGothic" w:cstheme="minorHAnsi"/>
          <w:szCs w:val="20"/>
          <w:lang w:val="sr-Cyrl-RS" w:eastAsia="ja-JP"/>
        </w:rPr>
        <w:sectPr w:rsidR="009367BB" w:rsidRPr="0062711C" w:rsidSect="00F45C01">
          <w:type w:val="continuous"/>
          <w:pgSz w:w="12240" w:h="15840"/>
          <w:pgMar w:top="1440" w:right="1440" w:bottom="1440" w:left="1440" w:header="720" w:footer="720" w:gutter="0"/>
          <w:cols w:num="2" w:space="720"/>
          <w:docGrid w:linePitch="360"/>
        </w:sectPr>
      </w:pPr>
    </w:p>
    <w:p w14:paraId="494A9F2A" w14:textId="6C0FBD15" w:rsidR="00DF0C87" w:rsidRPr="0062711C" w:rsidRDefault="00DF0C87" w:rsidP="00C031A0">
      <w:pPr>
        <w:spacing w:after="8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2</w:t>
      </w:r>
      <w:r w:rsidR="00BB1E84">
        <w:rPr>
          <w:rFonts w:eastAsia="MS PGothic" w:cstheme="minorHAnsi"/>
          <w:b/>
          <w:color w:val="002060"/>
          <w:szCs w:val="20"/>
          <w:lang w:eastAsia="ja-JP"/>
        </w:rPr>
        <w:t>2</w:t>
      </w:r>
      <w:r w:rsidRPr="0062711C">
        <w:rPr>
          <w:rFonts w:eastAsia="MS PGothic" w:cstheme="minorHAnsi"/>
          <w:b/>
          <w:color w:val="002060"/>
          <w:szCs w:val="20"/>
          <w:lang w:val="sr-Cyrl-RS" w:eastAsia="ja-JP"/>
        </w:rPr>
        <w:t>. Државна предузећа која су остварила нето добит у периоду 01.01–31.03.2024. године,</w:t>
      </w:r>
      <w:r w:rsidR="00276C75" w:rsidRPr="0062711C">
        <w:rPr>
          <w:rFonts w:eastAsia="MS PGothic" w:cstheme="minorHAnsi"/>
          <w:b/>
          <w:color w:val="002060"/>
          <w:szCs w:val="20"/>
          <w:lang w:val="sr-Cyrl-RS" w:eastAsia="ja-JP"/>
        </w:rPr>
        <w:t xml:space="preserve"> </w:t>
      </w:r>
      <w:r w:rsidR="00276C75" w:rsidRPr="0062711C">
        <w:rPr>
          <w:rFonts w:eastAsia="MS PGothic" w:cstheme="minorHAnsi"/>
          <w:b/>
          <w:color w:val="002060"/>
          <w:szCs w:val="20"/>
          <w:lang w:val="sr-Cyrl-RS" w:eastAsia="ja-JP"/>
        </w:rPr>
        <w:br w:type="textWrapping" w:clear="all"/>
      </w:r>
      <w:r w:rsidRPr="0062711C">
        <w:rPr>
          <w:rFonts w:eastAsia="MS PGothic" w:cstheme="minorHAnsi"/>
          <w:b/>
          <w:color w:val="002060"/>
          <w:szCs w:val="20"/>
          <w:lang w:val="sr-Cyrl-RS" w:eastAsia="ja-JP"/>
        </w:rPr>
        <w:t>у млн динара</w:t>
      </w:r>
    </w:p>
    <w:tbl>
      <w:tblPr>
        <w:tblW w:w="5000" w:type="pct"/>
        <w:tblLook w:val="04A0" w:firstRow="1" w:lastRow="0" w:firstColumn="1" w:lastColumn="0" w:noHBand="0" w:noVBand="1"/>
      </w:tblPr>
      <w:tblGrid>
        <w:gridCol w:w="4130"/>
        <w:gridCol w:w="1211"/>
        <w:gridCol w:w="1211"/>
        <w:gridCol w:w="1157"/>
        <w:gridCol w:w="1651"/>
      </w:tblGrid>
      <w:tr w:rsidR="00DF0C87" w:rsidRPr="0062711C" w14:paraId="6CDEC6D1" w14:textId="77777777" w:rsidTr="001A1730">
        <w:trPr>
          <w:trHeight w:val="638"/>
        </w:trPr>
        <w:tc>
          <w:tcPr>
            <w:tcW w:w="2206" w:type="pct"/>
            <w:tcBorders>
              <w:top w:val="single" w:sz="4" w:space="0" w:color="002060"/>
              <w:left w:val="nil"/>
              <w:bottom w:val="single" w:sz="4" w:space="0" w:color="002060"/>
              <w:right w:val="nil"/>
            </w:tcBorders>
            <w:shd w:val="clear" w:color="auto" w:fill="FFFFFF" w:themeFill="background1"/>
            <w:vAlign w:val="center"/>
            <w:hideMark/>
          </w:tcPr>
          <w:p w14:paraId="4EC8F92E" w14:textId="77777777" w:rsidR="00DF0C87" w:rsidRPr="0062711C" w:rsidRDefault="00DF0C87" w:rsidP="001A1730">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Предузећа</w:t>
            </w:r>
          </w:p>
        </w:tc>
        <w:tc>
          <w:tcPr>
            <w:tcW w:w="647" w:type="pct"/>
            <w:tcBorders>
              <w:top w:val="single" w:sz="4" w:space="0" w:color="002060"/>
              <w:left w:val="nil"/>
              <w:bottom w:val="single" w:sz="4" w:space="0" w:color="002060"/>
              <w:right w:val="nil"/>
            </w:tcBorders>
            <w:shd w:val="clear" w:color="auto" w:fill="FFFFFF" w:themeFill="background1"/>
            <w:vAlign w:val="center"/>
            <w:hideMark/>
          </w:tcPr>
          <w:p w14:paraId="0F0C3B45" w14:textId="77777777" w:rsidR="00DF0C87" w:rsidRPr="0062711C" w:rsidRDefault="00DF0C87" w:rsidP="00DF0C8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 xml:space="preserve">Реализација </w:t>
            </w:r>
            <w:r w:rsidRPr="0062711C">
              <w:rPr>
                <w:rFonts w:eastAsia="Times New Roman" w:cstheme="minorHAnsi"/>
                <w:b/>
                <w:bCs/>
                <w:color w:val="203764"/>
                <w:sz w:val="18"/>
                <w:szCs w:val="18"/>
                <w:lang w:val="sr-Cyrl-RS"/>
              </w:rPr>
              <w:br/>
              <w:t>2022</w:t>
            </w:r>
          </w:p>
        </w:tc>
        <w:tc>
          <w:tcPr>
            <w:tcW w:w="647" w:type="pct"/>
            <w:tcBorders>
              <w:top w:val="single" w:sz="4" w:space="0" w:color="002060"/>
              <w:left w:val="nil"/>
              <w:bottom w:val="single" w:sz="4" w:space="0" w:color="002060"/>
              <w:right w:val="nil"/>
            </w:tcBorders>
            <w:shd w:val="clear" w:color="auto" w:fill="FFFFFF" w:themeFill="background1"/>
            <w:vAlign w:val="center"/>
            <w:hideMark/>
          </w:tcPr>
          <w:p w14:paraId="634A8C92" w14:textId="77777777" w:rsidR="00DF0C87" w:rsidRPr="0062711C" w:rsidRDefault="00DF0C87" w:rsidP="00DF0C8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 xml:space="preserve">Реализација </w:t>
            </w:r>
            <w:r w:rsidRPr="0062711C">
              <w:rPr>
                <w:rFonts w:eastAsia="Times New Roman" w:cstheme="minorHAnsi"/>
                <w:b/>
                <w:bCs/>
                <w:color w:val="203764"/>
                <w:sz w:val="18"/>
                <w:szCs w:val="18"/>
                <w:lang w:val="sr-Cyrl-RS"/>
              </w:rPr>
              <w:br/>
              <w:t>2023</w:t>
            </w:r>
          </w:p>
        </w:tc>
        <w:tc>
          <w:tcPr>
            <w:tcW w:w="618" w:type="pct"/>
            <w:tcBorders>
              <w:top w:val="single" w:sz="4" w:space="0" w:color="002060"/>
              <w:left w:val="nil"/>
              <w:bottom w:val="single" w:sz="4" w:space="0" w:color="002060"/>
              <w:right w:val="nil"/>
            </w:tcBorders>
            <w:shd w:val="clear" w:color="auto" w:fill="FFFFFF" w:themeFill="background1"/>
            <w:vAlign w:val="center"/>
            <w:hideMark/>
          </w:tcPr>
          <w:p w14:paraId="3DFFBA52" w14:textId="7E78B456" w:rsidR="00DF0C87" w:rsidRPr="0062711C" w:rsidRDefault="003D058D" w:rsidP="00ED622D">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План</w:t>
            </w:r>
            <w:r w:rsidR="00DF0C87" w:rsidRPr="0062711C">
              <w:rPr>
                <w:rFonts w:eastAsia="Times New Roman" w:cstheme="minorHAnsi"/>
                <w:b/>
                <w:bCs/>
                <w:color w:val="203764"/>
                <w:sz w:val="18"/>
                <w:szCs w:val="18"/>
                <w:lang w:val="sr-Cyrl-RS"/>
              </w:rPr>
              <w:t xml:space="preserve">                                                                                                                                                                                                                                                                                                                                 01.01</w:t>
            </w:r>
            <w:r w:rsidR="00ED622D">
              <w:rPr>
                <w:rFonts w:eastAsia="Times New Roman" w:cstheme="minorHAnsi"/>
                <w:b/>
                <w:bCs/>
                <w:color w:val="203764"/>
                <w:sz w:val="18"/>
                <w:szCs w:val="18"/>
              </w:rPr>
              <w:t>–</w:t>
            </w:r>
            <w:r w:rsidR="00DF0C87" w:rsidRPr="0062711C">
              <w:rPr>
                <w:rFonts w:eastAsia="Times New Roman" w:cstheme="minorHAnsi"/>
                <w:b/>
                <w:bCs/>
                <w:color w:val="203764"/>
                <w:sz w:val="18"/>
                <w:szCs w:val="18"/>
                <w:lang w:val="sr-Cyrl-RS"/>
              </w:rPr>
              <w:t xml:space="preserve"> 31.03.2024.</w:t>
            </w:r>
          </w:p>
        </w:tc>
        <w:tc>
          <w:tcPr>
            <w:tcW w:w="882" w:type="pct"/>
            <w:tcBorders>
              <w:top w:val="single" w:sz="4" w:space="0" w:color="002060"/>
              <w:left w:val="nil"/>
              <w:bottom w:val="single" w:sz="4" w:space="0" w:color="002060"/>
              <w:right w:val="nil"/>
            </w:tcBorders>
            <w:shd w:val="clear" w:color="auto" w:fill="FFFFFF" w:themeFill="background1"/>
            <w:vAlign w:val="center"/>
            <w:hideMark/>
          </w:tcPr>
          <w:p w14:paraId="169BAA3E" w14:textId="56227380" w:rsidR="00DF0C87" w:rsidRPr="0062711C" w:rsidRDefault="00DF0C87" w:rsidP="00ED622D">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Реализација                                                                                                                                                                                                                                                                                                                                              01.01</w:t>
            </w:r>
            <w:r w:rsidR="00ED622D">
              <w:rPr>
                <w:rFonts w:eastAsia="Times New Roman" w:cstheme="minorHAnsi"/>
                <w:b/>
                <w:bCs/>
                <w:color w:val="203764"/>
                <w:sz w:val="18"/>
                <w:szCs w:val="18"/>
              </w:rPr>
              <w:t>–</w:t>
            </w:r>
            <w:r w:rsidRPr="0062711C">
              <w:rPr>
                <w:rFonts w:eastAsia="Times New Roman" w:cstheme="minorHAnsi"/>
                <w:b/>
                <w:bCs/>
                <w:color w:val="203764"/>
                <w:sz w:val="18"/>
                <w:szCs w:val="18"/>
                <w:lang w:val="sr-Cyrl-RS"/>
              </w:rPr>
              <w:t>31.03.2024.</w:t>
            </w:r>
          </w:p>
        </w:tc>
      </w:tr>
      <w:tr w:rsidR="00DF0C87" w:rsidRPr="0062711C" w14:paraId="5094EDD2" w14:textId="77777777" w:rsidTr="001A1730">
        <w:trPr>
          <w:trHeight w:val="300"/>
        </w:trPr>
        <w:tc>
          <w:tcPr>
            <w:tcW w:w="2206" w:type="pct"/>
            <w:tcBorders>
              <w:top w:val="nil"/>
              <w:left w:val="nil"/>
              <w:bottom w:val="nil"/>
              <w:right w:val="nil"/>
            </w:tcBorders>
            <w:shd w:val="clear" w:color="000000" w:fill="FFFFFF"/>
            <w:noWrap/>
            <w:vAlign w:val="center"/>
            <w:hideMark/>
          </w:tcPr>
          <w:p w14:paraId="397E25E7" w14:textId="1F2A7684"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Електропривреда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47" w:type="pct"/>
            <w:tcBorders>
              <w:top w:val="nil"/>
              <w:left w:val="nil"/>
              <w:bottom w:val="nil"/>
              <w:right w:val="nil"/>
            </w:tcBorders>
            <w:shd w:val="clear" w:color="000000" w:fill="FFFFFF"/>
            <w:noWrap/>
            <w:vAlign w:val="center"/>
            <w:hideMark/>
          </w:tcPr>
          <w:p w14:paraId="3780F100"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(72.634,5)</w:t>
            </w:r>
          </w:p>
        </w:tc>
        <w:tc>
          <w:tcPr>
            <w:tcW w:w="647" w:type="pct"/>
            <w:tcBorders>
              <w:top w:val="nil"/>
              <w:left w:val="nil"/>
              <w:bottom w:val="nil"/>
              <w:right w:val="nil"/>
            </w:tcBorders>
            <w:shd w:val="clear" w:color="000000" w:fill="FFFFFF"/>
            <w:noWrap/>
            <w:vAlign w:val="center"/>
            <w:hideMark/>
          </w:tcPr>
          <w:p w14:paraId="68AA5DEC" w14:textId="70B3C09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114.350,2</w:t>
            </w:r>
          </w:p>
        </w:tc>
        <w:tc>
          <w:tcPr>
            <w:tcW w:w="618" w:type="pct"/>
            <w:tcBorders>
              <w:top w:val="nil"/>
              <w:left w:val="nil"/>
              <w:bottom w:val="nil"/>
              <w:right w:val="nil"/>
            </w:tcBorders>
            <w:shd w:val="clear" w:color="000000" w:fill="FFFFFF"/>
            <w:noWrap/>
            <w:vAlign w:val="center"/>
            <w:hideMark/>
          </w:tcPr>
          <w:p w14:paraId="6AE2072A" w14:textId="3AEFF20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13.522,1</w:t>
            </w:r>
          </w:p>
        </w:tc>
        <w:tc>
          <w:tcPr>
            <w:tcW w:w="882" w:type="pct"/>
            <w:tcBorders>
              <w:top w:val="nil"/>
              <w:left w:val="nil"/>
              <w:bottom w:val="nil"/>
              <w:right w:val="nil"/>
            </w:tcBorders>
            <w:shd w:val="clear" w:color="000000" w:fill="FFFFFF"/>
            <w:noWrap/>
            <w:vAlign w:val="center"/>
            <w:hideMark/>
          </w:tcPr>
          <w:p w14:paraId="7C39CDB1" w14:textId="22244DDC"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28.292,5</w:t>
            </w:r>
          </w:p>
        </w:tc>
      </w:tr>
      <w:tr w:rsidR="00DF0C87" w:rsidRPr="0062711C" w14:paraId="7BDB8AB3" w14:textId="77777777" w:rsidTr="001A1730">
        <w:trPr>
          <w:trHeight w:val="300"/>
        </w:trPr>
        <w:tc>
          <w:tcPr>
            <w:tcW w:w="2206" w:type="pct"/>
            <w:tcBorders>
              <w:top w:val="nil"/>
              <w:left w:val="nil"/>
              <w:bottom w:val="nil"/>
              <w:right w:val="nil"/>
            </w:tcBorders>
            <w:shd w:val="clear" w:color="000000" w:fill="FFFFFF"/>
            <w:noWrap/>
            <w:vAlign w:val="center"/>
            <w:hideMark/>
          </w:tcPr>
          <w:p w14:paraId="7C746821" w14:textId="74D6A102"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Србијагас</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18CBA7D6" w14:textId="65CBB28F"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5.488,7</w:t>
            </w:r>
          </w:p>
        </w:tc>
        <w:tc>
          <w:tcPr>
            <w:tcW w:w="647" w:type="pct"/>
            <w:tcBorders>
              <w:top w:val="nil"/>
              <w:left w:val="nil"/>
              <w:bottom w:val="nil"/>
              <w:right w:val="nil"/>
            </w:tcBorders>
            <w:shd w:val="clear" w:color="000000" w:fill="FFFFFF"/>
            <w:noWrap/>
            <w:vAlign w:val="center"/>
            <w:hideMark/>
          </w:tcPr>
          <w:p w14:paraId="57F27B4E" w14:textId="528DF64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12.029,8</w:t>
            </w:r>
          </w:p>
        </w:tc>
        <w:tc>
          <w:tcPr>
            <w:tcW w:w="618" w:type="pct"/>
            <w:tcBorders>
              <w:top w:val="nil"/>
              <w:left w:val="nil"/>
              <w:bottom w:val="nil"/>
              <w:right w:val="nil"/>
            </w:tcBorders>
            <w:shd w:val="clear" w:color="000000" w:fill="FFFFFF"/>
            <w:noWrap/>
            <w:vAlign w:val="center"/>
            <w:hideMark/>
          </w:tcPr>
          <w:p w14:paraId="0C7152E1" w14:textId="2B2E1C4C"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10.945,7</w:t>
            </w:r>
          </w:p>
        </w:tc>
        <w:tc>
          <w:tcPr>
            <w:tcW w:w="882" w:type="pct"/>
            <w:tcBorders>
              <w:top w:val="nil"/>
              <w:left w:val="nil"/>
              <w:bottom w:val="nil"/>
              <w:right w:val="nil"/>
            </w:tcBorders>
            <w:shd w:val="clear" w:color="000000" w:fill="FFFFFF"/>
            <w:noWrap/>
            <w:vAlign w:val="center"/>
            <w:hideMark/>
          </w:tcPr>
          <w:p w14:paraId="728538A8" w14:textId="230057E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9.153,3</w:t>
            </w:r>
          </w:p>
        </w:tc>
      </w:tr>
      <w:tr w:rsidR="00DF0C87" w:rsidRPr="0062711C" w14:paraId="483B6DC0" w14:textId="77777777" w:rsidTr="001A1730">
        <w:trPr>
          <w:trHeight w:val="300"/>
        </w:trPr>
        <w:tc>
          <w:tcPr>
            <w:tcW w:w="2206" w:type="pct"/>
            <w:tcBorders>
              <w:top w:val="nil"/>
              <w:left w:val="nil"/>
              <w:bottom w:val="nil"/>
              <w:right w:val="nil"/>
            </w:tcBorders>
            <w:shd w:val="clear" w:color="000000" w:fill="FFFFFF"/>
            <w:noWrap/>
            <w:vAlign w:val="center"/>
            <w:hideMark/>
          </w:tcPr>
          <w:p w14:paraId="3064F707" w14:textId="6C17B517"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Пошта Србије</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2C65A714" w14:textId="5F3990B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2.967,4</w:t>
            </w:r>
          </w:p>
        </w:tc>
        <w:tc>
          <w:tcPr>
            <w:tcW w:w="647" w:type="pct"/>
            <w:tcBorders>
              <w:top w:val="nil"/>
              <w:left w:val="nil"/>
              <w:bottom w:val="nil"/>
              <w:right w:val="nil"/>
            </w:tcBorders>
            <w:shd w:val="clear" w:color="000000" w:fill="FFFFFF"/>
            <w:noWrap/>
            <w:vAlign w:val="center"/>
            <w:hideMark/>
          </w:tcPr>
          <w:p w14:paraId="52C77472" w14:textId="3E7174C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3.174,4</w:t>
            </w:r>
          </w:p>
        </w:tc>
        <w:tc>
          <w:tcPr>
            <w:tcW w:w="618" w:type="pct"/>
            <w:tcBorders>
              <w:top w:val="nil"/>
              <w:left w:val="nil"/>
              <w:bottom w:val="nil"/>
              <w:right w:val="nil"/>
            </w:tcBorders>
            <w:shd w:val="clear" w:color="000000" w:fill="FFFFFF"/>
            <w:noWrap/>
            <w:vAlign w:val="center"/>
            <w:hideMark/>
          </w:tcPr>
          <w:p w14:paraId="48CB0C82"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(1.123,5)</w:t>
            </w:r>
          </w:p>
        </w:tc>
        <w:tc>
          <w:tcPr>
            <w:tcW w:w="882" w:type="pct"/>
            <w:tcBorders>
              <w:top w:val="nil"/>
              <w:left w:val="nil"/>
              <w:bottom w:val="nil"/>
              <w:right w:val="nil"/>
            </w:tcBorders>
            <w:shd w:val="clear" w:color="000000" w:fill="FFFFFF"/>
            <w:noWrap/>
            <w:vAlign w:val="center"/>
            <w:hideMark/>
          </w:tcPr>
          <w:p w14:paraId="30ABC1ED" w14:textId="2198D36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1.348,3</w:t>
            </w:r>
          </w:p>
        </w:tc>
      </w:tr>
      <w:tr w:rsidR="00DF0C87" w:rsidRPr="0062711C" w14:paraId="0DF0EE81" w14:textId="77777777" w:rsidTr="001A1730">
        <w:trPr>
          <w:trHeight w:val="300"/>
        </w:trPr>
        <w:tc>
          <w:tcPr>
            <w:tcW w:w="2206" w:type="pct"/>
            <w:tcBorders>
              <w:top w:val="nil"/>
              <w:left w:val="nil"/>
              <w:bottom w:val="nil"/>
              <w:right w:val="nil"/>
            </w:tcBorders>
            <w:shd w:val="clear" w:color="000000" w:fill="FFFFFF"/>
            <w:noWrap/>
            <w:vAlign w:val="center"/>
            <w:hideMark/>
          </w:tcPr>
          <w:p w14:paraId="2AEE319F" w14:textId="72CE270C"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Србијавоз</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47" w:type="pct"/>
            <w:tcBorders>
              <w:top w:val="nil"/>
              <w:left w:val="nil"/>
              <w:bottom w:val="nil"/>
              <w:right w:val="nil"/>
            </w:tcBorders>
            <w:shd w:val="clear" w:color="000000" w:fill="FFFFFF"/>
            <w:noWrap/>
            <w:vAlign w:val="center"/>
            <w:hideMark/>
          </w:tcPr>
          <w:p w14:paraId="0EF2768F"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(344,2)</w:t>
            </w:r>
          </w:p>
        </w:tc>
        <w:tc>
          <w:tcPr>
            <w:tcW w:w="647" w:type="pct"/>
            <w:tcBorders>
              <w:top w:val="nil"/>
              <w:left w:val="nil"/>
              <w:bottom w:val="nil"/>
              <w:right w:val="nil"/>
            </w:tcBorders>
            <w:shd w:val="clear" w:color="000000" w:fill="FFFFFF"/>
            <w:noWrap/>
            <w:vAlign w:val="center"/>
            <w:hideMark/>
          </w:tcPr>
          <w:p w14:paraId="06BAFE9B" w14:textId="7EF2CE3C"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176,0</w:t>
            </w:r>
          </w:p>
        </w:tc>
        <w:tc>
          <w:tcPr>
            <w:tcW w:w="618" w:type="pct"/>
            <w:tcBorders>
              <w:top w:val="nil"/>
              <w:left w:val="nil"/>
              <w:bottom w:val="nil"/>
              <w:right w:val="nil"/>
            </w:tcBorders>
            <w:shd w:val="clear" w:color="000000" w:fill="FFFFFF"/>
            <w:noWrap/>
            <w:vAlign w:val="center"/>
            <w:hideMark/>
          </w:tcPr>
          <w:p w14:paraId="4EC62BB1" w14:textId="43DEE05D"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704,4</w:t>
            </w:r>
          </w:p>
        </w:tc>
        <w:tc>
          <w:tcPr>
            <w:tcW w:w="882" w:type="pct"/>
            <w:tcBorders>
              <w:top w:val="nil"/>
              <w:left w:val="nil"/>
              <w:bottom w:val="nil"/>
              <w:right w:val="nil"/>
            </w:tcBorders>
            <w:shd w:val="clear" w:color="000000" w:fill="FFFFFF"/>
            <w:noWrap/>
            <w:vAlign w:val="center"/>
            <w:hideMark/>
          </w:tcPr>
          <w:p w14:paraId="238705A9" w14:textId="5852205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589,4</w:t>
            </w:r>
          </w:p>
        </w:tc>
      </w:tr>
      <w:tr w:rsidR="00DF0C87" w:rsidRPr="0062711C" w14:paraId="485F4BDF" w14:textId="77777777" w:rsidTr="001A1730">
        <w:trPr>
          <w:trHeight w:val="300"/>
        </w:trPr>
        <w:tc>
          <w:tcPr>
            <w:tcW w:w="2206" w:type="pct"/>
            <w:tcBorders>
              <w:top w:val="nil"/>
              <w:left w:val="nil"/>
              <w:bottom w:val="nil"/>
              <w:right w:val="nil"/>
            </w:tcBorders>
            <w:shd w:val="clear" w:color="000000" w:fill="FFFFFF"/>
            <w:noWrap/>
            <w:vAlign w:val="center"/>
            <w:hideMark/>
          </w:tcPr>
          <w:p w14:paraId="6EFA70A0" w14:textId="32AA1A77"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Скијалишта Србије</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18BF98F2" w14:textId="61AF40D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242,3</w:t>
            </w:r>
          </w:p>
        </w:tc>
        <w:tc>
          <w:tcPr>
            <w:tcW w:w="647" w:type="pct"/>
            <w:tcBorders>
              <w:top w:val="nil"/>
              <w:left w:val="nil"/>
              <w:bottom w:val="nil"/>
              <w:right w:val="nil"/>
            </w:tcBorders>
            <w:shd w:val="clear" w:color="000000" w:fill="FFFFFF"/>
            <w:noWrap/>
            <w:vAlign w:val="center"/>
            <w:hideMark/>
          </w:tcPr>
          <w:p w14:paraId="095B4845" w14:textId="1B57110F"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59,6</w:t>
            </w:r>
          </w:p>
        </w:tc>
        <w:tc>
          <w:tcPr>
            <w:tcW w:w="618" w:type="pct"/>
            <w:tcBorders>
              <w:top w:val="nil"/>
              <w:left w:val="nil"/>
              <w:bottom w:val="nil"/>
              <w:right w:val="nil"/>
            </w:tcBorders>
            <w:shd w:val="clear" w:color="000000" w:fill="FFFFFF"/>
            <w:noWrap/>
            <w:vAlign w:val="center"/>
            <w:hideMark/>
          </w:tcPr>
          <w:p w14:paraId="0DF03611" w14:textId="7636329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680,0</w:t>
            </w:r>
          </w:p>
        </w:tc>
        <w:tc>
          <w:tcPr>
            <w:tcW w:w="882" w:type="pct"/>
            <w:tcBorders>
              <w:top w:val="nil"/>
              <w:left w:val="nil"/>
              <w:bottom w:val="nil"/>
              <w:right w:val="nil"/>
            </w:tcBorders>
            <w:shd w:val="clear" w:color="000000" w:fill="FFFFFF"/>
            <w:noWrap/>
            <w:vAlign w:val="center"/>
            <w:hideMark/>
          </w:tcPr>
          <w:p w14:paraId="5356EA17" w14:textId="183F5892"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545,5</w:t>
            </w:r>
          </w:p>
        </w:tc>
      </w:tr>
      <w:tr w:rsidR="00DF0C87" w:rsidRPr="0062711C" w14:paraId="2B67703C" w14:textId="77777777" w:rsidTr="001A1730">
        <w:trPr>
          <w:trHeight w:val="300"/>
        </w:trPr>
        <w:tc>
          <w:tcPr>
            <w:tcW w:w="2206" w:type="pct"/>
            <w:tcBorders>
              <w:top w:val="nil"/>
              <w:left w:val="nil"/>
              <w:bottom w:val="nil"/>
              <w:right w:val="nil"/>
            </w:tcBorders>
            <w:shd w:val="clear" w:color="000000" w:fill="FFFFFF"/>
            <w:noWrap/>
            <w:vAlign w:val="center"/>
            <w:hideMark/>
          </w:tcPr>
          <w:p w14:paraId="0AEE89D9" w14:textId="43A1D765"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Југоимпорт-СДПР</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7C2B0985" w14:textId="513595C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392,5</w:t>
            </w:r>
          </w:p>
        </w:tc>
        <w:tc>
          <w:tcPr>
            <w:tcW w:w="647" w:type="pct"/>
            <w:tcBorders>
              <w:top w:val="nil"/>
              <w:left w:val="nil"/>
              <w:bottom w:val="nil"/>
              <w:right w:val="nil"/>
            </w:tcBorders>
            <w:shd w:val="clear" w:color="000000" w:fill="FFFFFF"/>
            <w:noWrap/>
            <w:vAlign w:val="center"/>
            <w:hideMark/>
          </w:tcPr>
          <w:p w14:paraId="1A191C4B" w14:textId="0FC0E59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601,7</w:t>
            </w:r>
          </w:p>
        </w:tc>
        <w:tc>
          <w:tcPr>
            <w:tcW w:w="618" w:type="pct"/>
            <w:tcBorders>
              <w:top w:val="nil"/>
              <w:left w:val="nil"/>
              <w:bottom w:val="nil"/>
              <w:right w:val="nil"/>
            </w:tcBorders>
            <w:shd w:val="clear" w:color="000000" w:fill="FFFFFF"/>
            <w:noWrap/>
            <w:vAlign w:val="center"/>
            <w:hideMark/>
          </w:tcPr>
          <w:p w14:paraId="505F2F27"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(803,5)</w:t>
            </w:r>
          </w:p>
        </w:tc>
        <w:tc>
          <w:tcPr>
            <w:tcW w:w="882" w:type="pct"/>
            <w:tcBorders>
              <w:top w:val="nil"/>
              <w:left w:val="nil"/>
              <w:bottom w:val="nil"/>
              <w:right w:val="nil"/>
            </w:tcBorders>
            <w:shd w:val="clear" w:color="000000" w:fill="FFFFFF"/>
            <w:noWrap/>
            <w:vAlign w:val="center"/>
            <w:hideMark/>
          </w:tcPr>
          <w:p w14:paraId="6EA0D710" w14:textId="76349EF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482,4</w:t>
            </w:r>
          </w:p>
        </w:tc>
      </w:tr>
      <w:tr w:rsidR="00DF0C87" w:rsidRPr="0062711C" w14:paraId="4F140205" w14:textId="77777777" w:rsidTr="001A1730">
        <w:trPr>
          <w:trHeight w:val="300"/>
        </w:trPr>
        <w:tc>
          <w:tcPr>
            <w:tcW w:w="2206" w:type="pct"/>
            <w:tcBorders>
              <w:top w:val="nil"/>
              <w:left w:val="nil"/>
              <w:bottom w:val="nil"/>
              <w:right w:val="nil"/>
            </w:tcBorders>
            <w:shd w:val="clear" w:color="000000" w:fill="FFFFFF"/>
            <w:noWrap/>
            <w:vAlign w:val="center"/>
            <w:hideMark/>
          </w:tcPr>
          <w:p w14:paraId="3A49652B" w14:textId="3F515D04"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Електромрежа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47" w:type="pct"/>
            <w:tcBorders>
              <w:top w:val="nil"/>
              <w:left w:val="nil"/>
              <w:bottom w:val="nil"/>
              <w:right w:val="nil"/>
            </w:tcBorders>
            <w:shd w:val="clear" w:color="000000" w:fill="FFFFFF"/>
            <w:noWrap/>
            <w:vAlign w:val="center"/>
            <w:hideMark/>
          </w:tcPr>
          <w:p w14:paraId="2CBB0561" w14:textId="5BC2F352"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8.145,6</w:t>
            </w:r>
          </w:p>
        </w:tc>
        <w:tc>
          <w:tcPr>
            <w:tcW w:w="647" w:type="pct"/>
            <w:tcBorders>
              <w:top w:val="nil"/>
              <w:left w:val="nil"/>
              <w:bottom w:val="nil"/>
              <w:right w:val="nil"/>
            </w:tcBorders>
            <w:shd w:val="clear" w:color="000000" w:fill="FFFFFF"/>
            <w:noWrap/>
            <w:vAlign w:val="center"/>
            <w:hideMark/>
          </w:tcPr>
          <w:p w14:paraId="1DCA1D27" w14:textId="60FD743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3.024,9</w:t>
            </w:r>
          </w:p>
        </w:tc>
        <w:tc>
          <w:tcPr>
            <w:tcW w:w="618" w:type="pct"/>
            <w:tcBorders>
              <w:top w:val="nil"/>
              <w:left w:val="nil"/>
              <w:bottom w:val="nil"/>
              <w:right w:val="nil"/>
            </w:tcBorders>
            <w:shd w:val="clear" w:color="000000" w:fill="FFFFFF"/>
            <w:noWrap/>
            <w:vAlign w:val="center"/>
            <w:hideMark/>
          </w:tcPr>
          <w:p w14:paraId="6DCD1C82" w14:textId="7660639A"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867,9</w:t>
            </w:r>
          </w:p>
        </w:tc>
        <w:tc>
          <w:tcPr>
            <w:tcW w:w="882" w:type="pct"/>
            <w:tcBorders>
              <w:top w:val="nil"/>
              <w:left w:val="nil"/>
              <w:bottom w:val="nil"/>
              <w:right w:val="nil"/>
            </w:tcBorders>
            <w:shd w:val="clear" w:color="000000" w:fill="FFFFFF"/>
            <w:noWrap/>
            <w:vAlign w:val="center"/>
            <w:hideMark/>
          </w:tcPr>
          <w:p w14:paraId="70CBA208" w14:textId="6ADA1449"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284,6</w:t>
            </w:r>
          </w:p>
        </w:tc>
      </w:tr>
      <w:tr w:rsidR="00DF0C87" w:rsidRPr="0062711C" w14:paraId="6F623C06" w14:textId="77777777" w:rsidTr="001A1730">
        <w:trPr>
          <w:trHeight w:val="300"/>
        </w:trPr>
        <w:tc>
          <w:tcPr>
            <w:tcW w:w="2206" w:type="pct"/>
            <w:tcBorders>
              <w:top w:val="nil"/>
              <w:left w:val="nil"/>
              <w:bottom w:val="nil"/>
              <w:right w:val="nil"/>
            </w:tcBorders>
            <w:shd w:val="clear" w:color="000000" w:fill="FFFFFF"/>
            <w:noWrap/>
            <w:vAlign w:val="center"/>
            <w:hideMark/>
          </w:tcPr>
          <w:p w14:paraId="4D9E500F" w14:textId="5E196E82"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Дипос</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47" w:type="pct"/>
            <w:tcBorders>
              <w:top w:val="nil"/>
              <w:left w:val="nil"/>
              <w:bottom w:val="nil"/>
              <w:right w:val="nil"/>
            </w:tcBorders>
            <w:shd w:val="clear" w:color="000000" w:fill="FFFFFF"/>
            <w:noWrap/>
            <w:vAlign w:val="center"/>
            <w:hideMark/>
          </w:tcPr>
          <w:p w14:paraId="4D722BE9" w14:textId="4B4932C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143,2</w:t>
            </w:r>
          </w:p>
        </w:tc>
        <w:tc>
          <w:tcPr>
            <w:tcW w:w="647" w:type="pct"/>
            <w:tcBorders>
              <w:top w:val="nil"/>
              <w:left w:val="nil"/>
              <w:bottom w:val="nil"/>
              <w:right w:val="nil"/>
            </w:tcBorders>
            <w:shd w:val="clear" w:color="000000" w:fill="FFFFFF"/>
            <w:noWrap/>
            <w:vAlign w:val="center"/>
            <w:hideMark/>
          </w:tcPr>
          <w:p w14:paraId="300B6908" w14:textId="522DB25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193,4</w:t>
            </w:r>
          </w:p>
        </w:tc>
        <w:tc>
          <w:tcPr>
            <w:tcW w:w="618" w:type="pct"/>
            <w:tcBorders>
              <w:top w:val="nil"/>
              <w:left w:val="nil"/>
              <w:bottom w:val="nil"/>
              <w:right w:val="nil"/>
            </w:tcBorders>
            <w:shd w:val="clear" w:color="000000" w:fill="FFFFFF"/>
            <w:noWrap/>
            <w:vAlign w:val="center"/>
            <w:hideMark/>
          </w:tcPr>
          <w:p w14:paraId="40C91426" w14:textId="3E1EA5D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49,2</w:t>
            </w:r>
          </w:p>
        </w:tc>
        <w:tc>
          <w:tcPr>
            <w:tcW w:w="882" w:type="pct"/>
            <w:tcBorders>
              <w:top w:val="nil"/>
              <w:left w:val="nil"/>
              <w:bottom w:val="nil"/>
              <w:right w:val="nil"/>
            </w:tcBorders>
            <w:shd w:val="clear" w:color="000000" w:fill="FFFFFF"/>
            <w:noWrap/>
            <w:vAlign w:val="center"/>
            <w:hideMark/>
          </w:tcPr>
          <w:p w14:paraId="7D16D124" w14:textId="38CD0FD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84,9</w:t>
            </w:r>
          </w:p>
        </w:tc>
      </w:tr>
      <w:tr w:rsidR="00DF0C87" w:rsidRPr="0062711C" w14:paraId="5B0A0095" w14:textId="77777777" w:rsidTr="001A1730">
        <w:trPr>
          <w:trHeight w:val="300"/>
        </w:trPr>
        <w:tc>
          <w:tcPr>
            <w:tcW w:w="2206" w:type="pct"/>
            <w:tcBorders>
              <w:top w:val="nil"/>
              <w:left w:val="nil"/>
              <w:bottom w:val="nil"/>
              <w:right w:val="nil"/>
            </w:tcBorders>
            <w:shd w:val="clear" w:color="000000" w:fill="FFFFFF"/>
            <w:noWrap/>
            <w:vAlign w:val="center"/>
            <w:hideMark/>
          </w:tcPr>
          <w:p w14:paraId="26A5AC64" w14:textId="75941E14"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Коридори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47" w:type="pct"/>
            <w:tcBorders>
              <w:top w:val="nil"/>
              <w:left w:val="nil"/>
              <w:bottom w:val="nil"/>
              <w:right w:val="nil"/>
            </w:tcBorders>
            <w:shd w:val="clear" w:color="000000" w:fill="FFFFFF"/>
            <w:noWrap/>
            <w:vAlign w:val="center"/>
            <w:hideMark/>
          </w:tcPr>
          <w:p w14:paraId="3CD335B2" w14:textId="2DE5395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647" w:type="pct"/>
            <w:tcBorders>
              <w:top w:val="nil"/>
              <w:left w:val="nil"/>
              <w:bottom w:val="nil"/>
              <w:right w:val="nil"/>
            </w:tcBorders>
            <w:shd w:val="clear" w:color="000000" w:fill="FFFFFF"/>
            <w:noWrap/>
            <w:vAlign w:val="center"/>
            <w:hideMark/>
          </w:tcPr>
          <w:p w14:paraId="0DBFBE71" w14:textId="4DD5AC13"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618" w:type="pct"/>
            <w:tcBorders>
              <w:top w:val="nil"/>
              <w:left w:val="nil"/>
              <w:bottom w:val="nil"/>
              <w:right w:val="nil"/>
            </w:tcBorders>
            <w:shd w:val="clear" w:color="000000" w:fill="FFFFFF"/>
            <w:noWrap/>
            <w:vAlign w:val="center"/>
            <w:hideMark/>
          </w:tcPr>
          <w:p w14:paraId="0FF9A130" w14:textId="19373D3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882" w:type="pct"/>
            <w:tcBorders>
              <w:top w:val="nil"/>
              <w:left w:val="nil"/>
              <w:bottom w:val="nil"/>
              <w:right w:val="nil"/>
            </w:tcBorders>
            <w:shd w:val="clear" w:color="000000" w:fill="FFFFFF"/>
            <w:noWrap/>
            <w:vAlign w:val="center"/>
            <w:hideMark/>
          </w:tcPr>
          <w:p w14:paraId="76A96163" w14:textId="7733C7B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49,2</w:t>
            </w:r>
          </w:p>
        </w:tc>
      </w:tr>
      <w:tr w:rsidR="00DF0C87" w:rsidRPr="0062711C" w14:paraId="0504F40D" w14:textId="77777777" w:rsidTr="001A1730">
        <w:trPr>
          <w:trHeight w:val="300"/>
        </w:trPr>
        <w:tc>
          <w:tcPr>
            <w:tcW w:w="2206" w:type="pct"/>
            <w:tcBorders>
              <w:top w:val="nil"/>
              <w:left w:val="nil"/>
              <w:bottom w:val="nil"/>
              <w:right w:val="nil"/>
            </w:tcBorders>
            <w:shd w:val="clear" w:color="000000" w:fill="FFFFFF"/>
            <w:noWrap/>
            <w:vAlign w:val="center"/>
            <w:hideMark/>
          </w:tcPr>
          <w:p w14:paraId="29C54A71" w14:textId="57A9CC83"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Државна лутрија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47" w:type="pct"/>
            <w:tcBorders>
              <w:top w:val="nil"/>
              <w:left w:val="nil"/>
              <w:bottom w:val="nil"/>
              <w:right w:val="nil"/>
            </w:tcBorders>
            <w:shd w:val="clear" w:color="000000" w:fill="FFFFFF"/>
            <w:noWrap/>
            <w:vAlign w:val="center"/>
            <w:hideMark/>
          </w:tcPr>
          <w:p w14:paraId="10C5A3A0" w14:textId="18825AF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292,5</w:t>
            </w:r>
          </w:p>
        </w:tc>
        <w:tc>
          <w:tcPr>
            <w:tcW w:w="647" w:type="pct"/>
            <w:tcBorders>
              <w:top w:val="nil"/>
              <w:left w:val="nil"/>
              <w:bottom w:val="nil"/>
              <w:right w:val="nil"/>
            </w:tcBorders>
            <w:shd w:val="clear" w:color="000000" w:fill="FFFFFF"/>
            <w:noWrap/>
            <w:vAlign w:val="center"/>
            <w:hideMark/>
          </w:tcPr>
          <w:p w14:paraId="0922EB0C" w14:textId="5BE80C9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273,3</w:t>
            </w:r>
          </w:p>
        </w:tc>
        <w:tc>
          <w:tcPr>
            <w:tcW w:w="618" w:type="pct"/>
            <w:tcBorders>
              <w:top w:val="nil"/>
              <w:left w:val="nil"/>
              <w:bottom w:val="nil"/>
              <w:right w:val="nil"/>
            </w:tcBorders>
            <w:shd w:val="clear" w:color="000000" w:fill="FFFFFF"/>
            <w:noWrap/>
            <w:vAlign w:val="center"/>
            <w:hideMark/>
          </w:tcPr>
          <w:p w14:paraId="1B9FEE7F" w14:textId="703807C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34,0</w:t>
            </w:r>
          </w:p>
        </w:tc>
        <w:tc>
          <w:tcPr>
            <w:tcW w:w="882" w:type="pct"/>
            <w:tcBorders>
              <w:top w:val="nil"/>
              <w:left w:val="nil"/>
              <w:bottom w:val="nil"/>
              <w:right w:val="nil"/>
            </w:tcBorders>
            <w:shd w:val="clear" w:color="000000" w:fill="FFFFFF"/>
            <w:noWrap/>
            <w:vAlign w:val="center"/>
            <w:hideMark/>
          </w:tcPr>
          <w:p w14:paraId="618D4E62" w14:textId="308F07A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39,6</w:t>
            </w:r>
          </w:p>
        </w:tc>
      </w:tr>
      <w:tr w:rsidR="00DF0C87" w:rsidRPr="0062711C" w14:paraId="77D814C1" w14:textId="77777777" w:rsidTr="001A1730">
        <w:trPr>
          <w:trHeight w:val="300"/>
        </w:trPr>
        <w:tc>
          <w:tcPr>
            <w:tcW w:w="2206" w:type="pct"/>
            <w:tcBorders>
              <w:top w:val="nil"/>
              <w:left w:val="nil"/>
              <w:bottom w:val="nil"/>
              <w:right w:val="nil"/>
            </w:tcBorders>
            <w:shd w:val="clear" w:color="000000" w:fill="FFFFFF"/>
            <w:noWrap/>
            <w:vAlign w:val="center"/>
            <w:hideMark/>
          </w:tcPr>
          <w:p w14:paraId="2A134029" w14:textId="28326C22"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Национални парк Копаоник</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3F912987" w14:textId="7A24771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11,1</w:t>
            </w:r>
          </w:p>
        </w:tc>
        <w:tc>
          <w:tcPr>
            <w:tcW w:w="647" w:type="pct"/>
            <w:tcBorders>
              <w:top w:val="nil"/>
              <w:left w:val="nil"/>
              <w:bottom w:val="nil"/>
              <w:right w:val="nil"/>
            </w:tcBorders>
            <w:shd w:val="clear" w:color="000000" w:fill="FFFFFF"/>
            <w:noWrap/>
            <w:vAlign w:val="center"/>
            <w:hideMark/>
          </w:tcPr>
          <w:p w14:paraId="3EF30891" w14:textId="63F991C2"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10,1</w:t>
            </w:r>
          </w:p>
        </w:tc>
        <w:tc>
          <w:tcPr>
            <w:tcW w:w="618" w:type="pct"/>
            <w:tcBorders>
              <w:top w:val="nil"/>
              <w:left w:val="nil"/>
              <w:bottom w:val="nil"/>
              <w:right w:val="nil"/>
            </w:tcBorders>
            <w:shd w:val="clear" w:color="000000" w:fill="FFFFFF"/>
            <w:noWrap/>
            <w:vAlign w:val="center"/>
            <w:hideMark/>
          </w:tcPr>
          <w:p w14:paraId="0C9C8B6E" w14:textId="7859A899"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54,9</w:t>
            </w:r>
          </w:p>
        </w:tc>
        <w:tc>
          <w:tcPr>
            <w:tcW w:w="882" w:type="pct"/>
            <w:tcBorders>
              <w:top w:val="nil"/>
              <w:left w:val="nil"/>
              <w:bottom w:val="nil"/>
              <w:right w:val="nil"/>
            </w:tcBorders>
            <w:shd w:val="clear" w:color="000000" w:fill="FFFFFF"/>
            <w:noWrap/>
            <w:vAlign w:val="center"/>
            <w:hideMark/>
          </w:tcPr>
          <w:p w14:paraId="6C9DABE3" w14:textId="22A5EFB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36,5</w:t>
            </w:r>
          </w:p>
        </w:tc>
      </w:tr>
      <w:tr w:rsidR="00DF0C87" w:rsidRPr="0062711C" w14:paraId="223FEC94" w14:textId="77777777" w:rsidTr="001A1730">
        <w:trPr>
          <w:trHeight w:val="300"/>
        </w:trPr>
        <w:tc>
          <w:tcPr>
            <w:tcW w:w="2206" w:type="pct"/>
            <w:tcBorders>
              <w:top w:val="nil"/>
              <w:left w:val="nil"/>
              <w:bottom w:val="nil"/>
              <w:right w:val="nil"/>
            </w:tcBorders>
            <w:shd w:val="clear" w:color="000000" w:fill="FFFFFF"/>
            <w:noWrap/>
            <w:vAlign w:val="center"/>
            <w:hideMark/>
          </w:tcPr>
          <w:p w14:paraId="37A12288" w14:textId="10C712D5"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Емисиона техника и везе</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3BB67CF8" w14:textId="52EA1C5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45,4</w:t>
            </w:r>
          </w:p>
        </w:tc>
        <w:tc>
          <w:tcPr>
            <w:tcW w:w="647" w:type="pct"/>
            <w:tcBorders>
              <w:top w:val="nil"/>
              <w:left w:val="nil"/>
              <w:bottom w:val="nil"/>
              <w:right w:val="nil"/>
            </w:tcBorders>
            <w:shd w:val="clear" w:color="000000" w:fill="FFFFFF"/>
            <w:noWrap/>
            <w:vAlign w:val="center"/>
            <w:hideMark/>
          </w:tcPr>
          <w:p w14:paraId="62E50D75" w14:textId="7A4D2B49"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48,9</w:t>
            </w:r>
          </w:p>
        </w:tc>
        <w:tc>
          <w:tcPr>
            <w:tcW w:w="618" w:type="pct"/>
            <w:tcBorders>
              <w:top w:val="nil"/>
              <w:left w:val="nil"/>
              <w:bottom w:val="nil"/>
              <w:right w:val="nil"/>
            </w:tcBorders>
            <w:shd w:val="clear" w:color="000000" w:fill="FFFFFF"/>
            <w:noWrap/>
            <w:vAlign w:val="center"/>
            <w:hideMark/>
          </w:tcPr>
          <w:p w14:paraId="084239C4"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(53,5)</w:t>
            </w:r>
          </w:p>
        </w:tc>
        <w:tc>
          <w:tcPr>
            <w:tcW w:w="882" w:type="pct"/>
            <w:tcBorders>
              <w:top w:val="nil"/>
              <w:left w:val="nil"/>
              <w:bottom w:val="nil"/>
              <w:right w:val="nil"/>
            </w:tcBorders>
            <w:shd w:val="clear" w:color="000000" w:fill="FFFFFF"/>
            <w:noWrap/>
            <w:vAlign w:val="center"/>
            <w:hideMark/>
          </w:tcPr>
          <w:p w14:paraId="6FAEDC22" w14:textId="7D8283E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31,6</w:t>
            </w:r>
          </w:p>
        </w:tc>
      </w:tr>
      <w:tr w:rsidR="00DF0C87" w:rsidRPr="0062711C" w14:paraId="7C02EB97" w14:textId="77777777" w:rsidTr="001A1730">
        <w:trPr>
          <w:trHeight w:val="300"/>
        </w:trPr>
        <w:tc>
          <w:tcPr>
            <w:tcW w:w="2206" w:type="pct"/>
            <w:tcBorders>
              <w:top w:val="nil"/>
              <w:left w:val="nil"/>
              <w:bottom w:val="nil"/>
              <w:right w:val="nil"/>
            </w:tcBorders>
            <w:shd w:val="clear" w:color="000000" w:fill="FFFFFF"/>
            <w:noWrap/>
            <w:vAlign w:val="center"/>
            <w:hideMark/>
          </w:tcPr>
          <w:p w14:paraId="0963B6B8" w14:textId="566125A0"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Просветни преглед</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47" w:type="pct"/>
            <w:tcBorders>
              <w:top w:val="nil"/>
              <w:left w:val="nil"/>
              <w:bottom w:val="nil"/>
              <w:right w:val="nil"/>
            </w:tcBorders>
            <w:shd w:val="clear" w:color="000000" w:fill="FFFFFF"/>
            <w:noWrap/>
            <w:vAlign w:val="center"/>
            <w:hideMark/>
          </w:tcPr>
          <w:p w14:paraId="51657939" w14:textId="130A526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23,9</w:t>
            </w:r>
          </w:p>
        </w:tc>
        <w:tc>
          <w:tcPr>
            <w:tcW w:w="647" w:type="pct"/>
            <w:tcBorders>
              <w:top w:val="nil"/>
              <w:left w:val="nil"/>
              <w:bottom w:val="nil"/>
              <w:right w:val="nil"/>
            </w:tcBorders>
            <w:shd w:val="clear" w:color="000000" w:fill="FFFFFF"/>
            <w:noWrap/>
            <w:vAlign w:val="center"/>
            <w:hideMark/>
          </w:tcPr>
          <w:p w14:paraId="3CE86B61" w14:textId="0E077F5A"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27,1</w:t>
            </w:r>
          </w:p>
        </w:tc>
        <w:tc>
          <w:tcPr>
            <w:tcW w:w="618" w:type="pct"/>
            <w:tcBorders>
              <w:top w:val="nil"/>
              <w:left w:val="nil"/>
              <w:bottom w:val="nil"/>
              <w:right w:val="nil"/>
            </w:tcBorders>
            <w:shd w:val="clear" w:color="000000" w:fill="FFFFFF"/>
            <w:noWrap/>
            <w:vAlign w:val="center"/>
            <w:hideMark/>
          </w:tcPr>
          <w:p w14:paraId="3B6C42C1" w14:textId="50AD5BF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4,1</w:t>
            </w:r>
          </w:p>
        </w:tc>
        <w:tc>
          <w:tcPr>
            <w:tcW w:w="882" w:type="pct"/>
            <w:tcBorders>
              <w:top w:val="nil"/>
              <w:left w:val="nil"/>
              <w:bottom w:val="nil"/>
              <w:right w:val="nil"/>
            </w:tcBorders>
            <w:shd w:val="clear" w:color="000000" w:fill="FFFFFF"/>
            <w:noWrap/>
            <w:vAlign w:val="center"/>
            <w:hideMark/>
          </w:tcPr>
          <w:p w14:paraId="4349A9C6" w14:textId="25ACE18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13,1</w:t>
            </w:r>
          </w:p>
        </w:tc>
      </w:tr>
      <w:tr w:rsidR="00DF0C87" w:rsidRPr="0062711C" w14:paraId="6BBA1EB3" w14:textId="77777777" w:rsidTr="001A1730">
        <w:trPr>
          <w:trHeight w:val="300"/>
        </w:trPr>
        <w:tc>
          <w:tcPr>
            <w:tcW w:w="2206" w:type="pct"/>
            <w:tcBorders>
              <w:top w:val="nil"/>
              <w:left w:val="nil"/>
              <w:bottom w:val="nil"/>
              <w:right w:val="nil"/>
            </w:tcBorders>
            <w:shd w:val="clear" w:color="000000" w:fill="FFFFFF"/>
            <w:noWrap/>
            <w:vAlign w:val="center"/>
            <w:hideMark/>
          </w:tcPr>
          <w:p w14:paraId="1714F7D2" w14:textId="0550D98F"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Национални парк Фрушка гора</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1A73DF6D" w14:textId="7454BBA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3,2</w:t>
            </w:r>
          </w:p>
        </w:tc>
        <w:tc>
          <w:tcPr>
            <w:tcW w:w="647" w:type="pct"/>
            <w:tcBorders>
              <w:top w:val="nil"/>
              <w:left w:val="nil"/>
              <w:bottom w:val="nil"/>
              <w:right w:val="nil"/>
            </w:tcBorders>
            <w:shd w:val="clear" w:color="000000" w:fill="FFFFFF"/>
            <w:noWrap/>
            <w:vAlign w:val="center"/>
            <w:hideMark/>
          </w:tcPr>
          <w:p w14:paraId="6A4F0B8C" w14:textId="71AEE32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2,1</w:t>
            </w:r>
          </w:p>
        </w:tc>
        <w:tc>
          <w:tcPr>
            <w:tcW w:w="618" w:type="pct"/>
            <w:tcBorders>
              <w:top w:val="nil"/>
              <w:left w:val="nil"/>
              <w:bottom w:val="nil"/>
              <w:right w:val="nil"/>
            </w:tcBorders>
            <w:shd w:val="clear" w:color="000000" w:fill="FFFFFF"/>
            <w:noWrap/>
            <w:vAlign w:val="center"/>
            <w:hideMark/>
          </w:tcPr>
          <w:p w14:paraId="757AE77A"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w:t>
            </w:r>
          </w:p>
        </w:tc>
        <w:tc>
          <w:tcPr>
            <w:tcW w:w="882" w:type="pct"/>
            <w:tcBorders>
              <w:top w:val="nil"/>
              <w:left w:val="nil"/>
              <w:bottom w:val="nil"/>
              <w:right w:val="nil"/>
            </w:tcBorders>
            <w:shd w:val="clear" w:color="000000" w:fill="FFFFFF"/>
            <w:noWrap/>
            <w:vAlign w:val="center"/>
            <w:hideMark/>
          </w:tcPr>
          <w:p w14:paraId="070F2990" w14:textId="5D4E57D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7,5</w:t>
            </w:r>
          </w:p>
        </w:tc>
      </w:tr>
      <w:tr w:rsidR="00DF0C87" w:rsidRPr="0062711C" w14:paraId="5C5C19AC" w14:textId="77777777" w:rsidTr="001A1730">
        <w:trPr>
          <w:trHeight w:val="300"/>
        </w:trPr>
        <w:tc>
          <w:tcPr>
            <w:tcW w:w="2206" w:type="pct"/>
            <w:tcBorders>
              <w:top w:val="nil"/>
              <w:left w:val="nil"/>
              <w:bottom w:val="nil"/>
              <w:right w:val="nil"/>
            </w:tcBorders>
            <w:shd w:val="clear" w:color="000000" w:fill="FFFFFF"/>
            <w:noWrap/>
            <w:vAlign w:val="center"/>
            <w:hideMark/>
          </w:tcPr>
          <w:p w14:paraId="5E38AB5E" w14:textId="75027921"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Национални парк Тара</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3F13162E" w14:textId="218DB8B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6,9</w:t>
            </w:r>
          </w:p>
        </w:tc>
        <w:tc>
          <w:tcPr>
            <w:tcW w:w="647" w:type="pct"/>
            <w:tcBorders>
              <w:top w:val="nil"/>
              <w:left w:val="nil"/>
              <w:bottom w:val="nil"/>
              <w:right w:val="nil"/>
            </w:tcBorders>
            <w:shd w:val="clear" w:color="000000" w:fill="FFFFFF"/>
            <w:noWrap/>
            <w:vAlign w:val="center"/>
            <w:hideMark/>
          </w:tcPr>
          <w:p w14:paraId="5A46C52A" w14:textId="54F5036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15,8</w:t>
            </w:r>
          </w:p>
        </w:tc>
        <w:tc>
          <w:tcPr>
            <w:tcW w:w="618" w:type="pct"/>
            <w:tcBorders>
              <w:top w:val="nil"/>
              <w:left w:val="nil"/>
              <w:bottom w:val="nil"/>
              <w:right w:val="nil"/>
            </w:tcBorders>
            <w:shd w:val="clear" w:color="000000" w:fill="FFFFFF"/>
            <w:noWrap/>
            <w:vAlign w:val="center"/>
            <w:hideMark/>
          </w:tcPr>
          <w:p w14:paraId="6806D005" w14:textId="568F561C"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0,1</w:t>
            </w:r>
          </w:p>
        </w:tc>
        <w:tc>
          <w:tcPr>
            <w:tcW w:w="882" w:type="pct"/>
            <w:tcBorders>
              <w:top w:val="nil"/>
              <w:left w:val="nil"/>
              <w:bottom w:val="nil"/>
              <w:right w:val="nil"/>
            </w:tcBorders>
            <w:shd w:val="clear" w:color="000000" w:fill="FFFFFF"/>
            <w:noWrap/>
            <w:vAlign w:val="center"/>
            <w:hideMark/>
          </w:tcPr>
          <w:p w14:paraId="68674201" w14:textId="53E76103"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2,8</w:t>
            </w:r>
          </w:p>
        </w:tc>
      </w:tr>
      <w:tr w:rsidR="00DF0C87" w:rsidRPr="0062711C" w14:paraId="4727F832" w14:textId="77777777" w:rsidTr="001A1730">
        <w:trPr>
          <w:trHeight w:val="300"/>
        </w:trPr>
        <w:tc>
          <w:tcPr>
            <w:tcW w:w="2206" w:type="pct"/>
            <w:tcBorders>
              <w:top w:val="nil"/>
              <w:left w:val="nil"/>
              <w:bottom w:val="nil"/>
              <w:right w:val="nil"/>
            </w:tcBorders>
            <w:shd w:val="clear" w:color="000000" w:fill="FFFFFF"/>
            <w:noWrap/>
            <w:vAlign w:val="center"/>
            <w:hideMark/>
          </w:tcPr>
          <w:p w14:paraId="5451B83F" w14:textId="2DC5DE2A"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Метохија</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47" w:type="pct"/>
            <w:tcBorders>
              <w:top w:val="nil"/>
              <w:left w:val="nil"/>
              <w:bottom w:val="nil"/>
              <w:right w:val="nil"/>
            </w:tcBorders>
            <w:shd w:val="clear" w:color="000000" w:fill="FFFFFF"/>
            <w:noWrap/>
            <w:vAlign w:val="center"/>
            <w:hideMark/>
          </w:tcPr>
          <w:p w14:paraId="5E161DC7" w14:textId="6E819F0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w:t>
            </w:r>
          </w:p>
        </w:tc>
        <w:tc>
          <w:tcPr>
            <w:tcW w:w="647" w:type="pct"/>
            <w:tcBorders>
              <w:top w:val="nil"/>
              <w:left w:val="nil"/>
              <w:bottom w:val="nil"/>
              <w:right w:val="nil"/>
            </w:tcBorders>
            <w:shd w:val="clear" w:color="000000" w:fill="FFFFFF"/>
            <w:noWrap/>
            <w:vAlign w:val="center"/>
            <w:hideMark/>
          </w:tcPr>
          <w:p w14:paraId="118153C8" w14:textId="7DBFDCA9"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w:t>
            </w:r>
          </w:p>
        </w:tc>
        <w:tc>
          <w:tcPr>
            <w:tcW w:w="618" w:type="pct"/>
            <w:tcBorders>
              <w:top w:val="nil"/>
              <w:left w:val="nil"/>
              <w:bottom w:val="nil"/>
              <w:right w:val="nil"/>
            </w:tcBorders>
            <w:shd w:val="clear" w:color="000000" w:fill="FFFFFF"/>
            <w:noWrap/>
            <w:vAlign w:val="center"/>
            <w:hideMark/>
          </w:tcPr>
          <w:p w14:paraId="2977D621" w14:textId="448133E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0,5</w:t>
            </w:r>
          </w:p>
        </w:tc>
        <w:tc>
          <w:tcPr>
            <w:tcW w:w="882" w:type="pct"/>
            <w:tcBorders>
              <w:top w:val="nil"/>
              <w:left w:val="nil"/>
              <w:bottom w:val="nil"/>
              <w:right w:val="nil"/>
            </w:tcBorders>
            <w:shd w:val="clear" w:color="000000" w:fill="FFFFFF"/>
            <w:noWrap/>
            <w:vAlign w:val="center"/>
            <w:hideMark/>
          </w:tcPr>
          <w:p w14:paraId="755E8BD9" w14:textId="2BB1368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2,7</w:t>
            </w:r>
          </w:p>
        </w:tc>
      </w:tr>
      <w:tr w:rsidR="00DF0C87" w:rsidRPr="0062711C" w14:paraId="384767A1" w14:textId="77777777" w:rsidTr="001A1730">
        <w:trPr>
          <w:trHeight w:val="300"/>
        </w:trPr>
        <w:tc>
          <w:tcPr>
            <w:tcW w:w="2206" w:type="pct"/>
            <w:tcBorders>
              <w:top w:val="nil"/>
              <w:left w:val="nil"/>
              <w:bottom w:val="nil"/>
              <w:right w:val="nil"/>
            </w:tcBorders>
            <w:shd w:val="clear" w:color="000000" w:fill="FFFFFF"/>
            <w:noWrap/>
            <w:vAlign w:val="center"/>
            <w:hideMark/>
          </w:tcPr>
          <w:p w14:paraId="63697373" w14:textId="312B256A"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Нуклеарни објекти</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5F7EE216" w14:textId="4884C9E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15,0</w:t>
            </w:r>
          </w:p>
        </w:tc>
        <w:tc>
          <w:tcPr>
            <w:tcW w:w="647" w:type="pct"/>
            <w:tcBorders>
              <w:top w:val="nil"/>
              <w:left w:val="nil"/>
              <w:bottom w:val="nil"/>
              <w:right w:val="nil"/>
            </w:tcBorders>
            <w:shd w:val="clear" w:color="000000" w:fill="FFFFFF"/>
            <w:noWrap/>
            <w:vAlign w:val="center"/>
            <w:hideMark/>
          </w:tcPr>
          <w:p w14:paraId="21B441A2" w14:textId="29438BD9"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16,0</w:t>
            </w:r>
          </w:p>
        </w:tc>
        <w:tc>
          <w:tcPr>
            <w:tcW w:w="618" w:type="pct"/>
            <w:tcBorders>
              <w:top w:val="nil"/>
              <w:left w:val="nil"/>
              <w:bottom w:val="nil"/>
              <w:right w:val="nil"/>
            </w:tcBorders>
            <w:shd w:val="clear" w:color="000000" w:fill="FFFFFF"/>
            <w:noWrap/>
            <w:vAlign w:val="center"/>
            <w:hideMark/>
          </w:tcPr>
          <w:p w14:paraId="1B469CF3" w14:textId="1F58DC4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0,5</w:t>
            </w:r>
          </w:p>
        </w:tc>
        <w:tc>
          <w:tcPr>
            <w:tcW w:w="882" w:type="pct"/>
            <w:tcBorders>
              <w:top w:val="nil"/>
              <w:left w:val="nil"/>
              <w:bottom w:val="nil"/>
              <w:right w:val="nil"/>
            </w:tcBorders>
            <w:shd w:val="clear" w:color="000000" w:fill="FFFFFF"/>
            <w:noWrap/>
            <w:vAlign w:val="center"/>
            <w:hideMark/>
          </w:tcPr>
          <w:p w14:paraId="7EFFD97C" w14:textId="2F06439D"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w:t>
            </w:r>
          </w:p>
        </w:tc>
      </w:tr>
      <w:tr w:rsidR="00DF0C87" w:rsidRPr="0062711C" w14:paraId="108A2318" w14:textId="77777777" w:rsidTr="001A1730">
        <w:trPr>
          <w:trHeight w:val="300"/>
        </w:trPr>
        <w:tc>
          <w:tcPr>
            <w:tcW w:w="2206" w:type="pct"/>
            <w:tcBorders>
              <w:top w:val="nil"/>
              <w:left w:val="nil"/>
              <w:bottom w:val="nil"/>
              <w:right w:val="nil"/>
            </w:tcBorders>
            <w:shd w:val="clear" w:color="000000" w:fill="FFFFFF"/>
            <w:noWrap/>
            <w:vAlign w:val="center"/>
            <w:hideMark/>
          </w:tcPr>
          <w:p w14:paraId="265F4F73" w14:textId="3568DC30"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Мрежа-мост</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3177BEF4" w14:textId="1E5CB90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w:t>
            </w:r>
          </w:p>
        </w:tc>
        <w:tc>
          <w:tcPr>
            <w:tcW w:w="647" w:type="pct"/>
            <w:tcBorders>
              <w:top w:val="nil"/>
              <w:left w:val="nil"/>
              <w:bottom w:val="nil"/>
              <w:right w:val="nil"/>
            </w:tcBorders>
            <w:shd w:val="clear" w:color="000000" w:fill="FFFFFF"/>
            <w:noWrap/>
            <w:vAlign w:val="center"/>
            <w:hideMark/>
          </w:tcPr>
          <w:p w14:paraId="59E557C1" w14:textId="6631FC1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4,3</w:t>
            </w:r>
          </w:p>
        </w:tc>
        <w:tc>
          <w:tcPr>
            <w:tcW w:w="618" w:type="pct"/>
            <w:tcBorders>
              <w:top w:val="nil"/>
              <w:left w:val="nil"/>
              <w:bottom w:val="nil"/>
              <w:right w:val="nil"/>
            </w:tcBorders>
            <w:shd w:val="clear" w:color="000000" w:fill="FFFFFF"/>
            <w:noWrap/>
            <w:vAlign w:val="center"/>
            <w:hideMark/>
          </w:tcPr>
          <w:p w14:paraId="4E645B08" w14:textId="26A1801C"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882" w:type="pct"/>
            <w:tcBorders>
              <w:top w:val="nil"/>
              <w:left w:val="nil"/>
              <w:bottom w:val="nil"/>
              <w:right w:val="nil"/>
            </w:tcBorders>
            <w:shd w:val="clear" w:color="000000" w:fill="FFFFFF"/>
            <w:noWrap/>
            <w:vAlign w:val="center"/>
            <w:hideMark/>
          </w:tcPr>
          <w:p w14:paraId="7B052C87" w14:textId="1CBC860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0,9</w:t>
            </w:r>
          </w:p>
        </w:tc>
      </w:tr>
      <w:tr w:rsidR="00DF0C87" w:rsidRPr="0062711C" w14:paraId="2835A38E" w14:textId="77777777" w:rsidTr="001A1730">
        <w:trPr>
          <w:trHeight w:val="300"/>
        </w:trPr>
        <w:tc>
          <w:tcPr>
            <w:tcW w:w="2206" w:type="pct"/>
            <w:tcBorders>
              <w:top w:val="nil"/>
              <w:left w:val="nil"/>
              <w:bottom w:val="nil"/>
              <w:right w:val="nil"/>
            </w:tcBorders>
            <w:shd w:val="clear" w:color="000000" w:fill="FFFFFF"/>
            <w:noWrap/>
            <w:vAlign w:val="center"/>
            <w:hideMark/>
          </w:tcPr>
          <w:p w14:paraId="1E710080" w14:textId="74401F30"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Стара планина</w:t>
            </w:r>
            <w:r w:rsidR="008E4C48" w:rsidRPr="0062711C">
              <w:rPr>
                <w:rFonts w:eastAsia="Times New Roman" w:cstheme="minorHAnsi"/>
                <w:color w:val="002060"/>
                <w:sz w:val="18"/>
                <w:szCs w:val="18"/>
                <w:lang w:val="sr-Cyrl-RS"/>
              </w:rPr>
              <w:t>”</w:t>
            </w:r>
          </w:p>
        </w:tc>
        <w:tc>
          <w:tcPr>
            <w:tcW w:w="647" w:type="pct"/>
            <w:tcBorders>
              <w:top w:val="nil"/>
              <w:left w:val="nil"/>
              <w:bottom w:val="nil"/>
              <w:right w:val="nil"/>
            </w:tcBorders>
            <w:shd w:val="clear" w:color="000000" w:fill="FFFFFF"/>
            <w:noWrap/>
            <w:vAlign w:val="center"/>
            <w:hideMark/>
          </w:tcPr>
          <w:p w14:paraId="702CEB7D" w14:textId="076E2B1D"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3,0</w:t>
            </w:r>
          </w:p>
        </w:tc>
        <w:tc>
          <w:tcPr>
            <w:tcW w:w="647" w:type="pct"/>
            <w:tcBorders>
              <w:top w:val="nil"/>
              <w:left w:val="nil"/>
              <w:bottom w:val="nil"/>
              <w:right w:val="nil"/>
            </w:tcBorders>
            <w:shd w:val="clear" w:color="000000" w:fill="FFFFFF"/>
            <w:noWrap/>
            <w:vAlign w:val="center"/>
            <w:hideMark/>
          </w:tcPr>
          <w:p w14:paraId="06531512" w14:textId="28789AFA"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2,4</w:t>
            </w:r>
          </w:p>
        </w:tc>
        <w:tc>
          <w:tcPr>
            <w:tcW w:w="618" w:type="pct"/>
            <w:tcBorders>
              <w:top w:val="nil"/>
              <w:left w:val="nil"/>
              <w:bottom w:val="nil"/>
              <w:right w:val="nil"/>
            </w:tcBorders>
            <w:shd w:val="clear" w:color="000000" w:fill="FFFFFF"/>
            <w:noWrap/>
            <w:vAlign w:val="center"/>
            <w:hideMark/>
          </w:tcPr>
          <w:p w14:paraId="3C5C145A" w14:textId="35DE3F7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14,3</w:t>
            </w:r>
          </w:p>
        </w:tc>
        <w:tc>
          <w:tcPr>
            <w:tcW w:w="882" w:type="pct"/>
            <w:tcBorders>
              <w:top w:val="nil"/>
              <w:left w:val="nil"/>
              <w:bottom w:val="nil"/>
              <w:right w:val="nil"/>
            </w:tcBorders>
            <w:shd w:val="clear" w:color="000000" w:fill="FFFFFF"/>
            <w:noWrap/>
            <w:vAlign w:val="center"/>
            <w:hideMark/>
          </w:tcPr>
          <w:p w14:paraId="33859F1B" w14:textId="2A3484A1"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0,2</w:t>
            </w:r>
          </w:p>
        </w:tc>
      </w:tr>
      <w:tr w:rsidR="00DF0C87" w:rsidRPr="0062711C" w14:paraId="66D535D2" w14:textId="77777777" w:rsidTr="001A1730">
        <w:trPr>
          <w:trHeight w:val="300"/>
        </w:trPr>
        <w:tc>
          <w:tcPr>
            <w:tcW w:w="2206" w:type="pct"/>
            <w:tcBorders>
              <w:top w:val="single" w:sz="4" w:space="0" w:color="002060"/>
              <w:left w:val="nil"/>
              <w:bottom w:val="single" w:sz="4" w:space="0" w:color="002060"/>
              <w:right w:val="nil"/>
            </w:tcBorders>
            <w:shd w:val="clear" w:color="auto" w:fill="FFFFFF" w:themeFill="background1"/>
            <w:noWrap/>
            <w:vAlign w:val="center"/>
            <w:hideMark/>
          </w:tcPr>
          <w:p w14:paraId="2CD042C6" w14:textId="77777777" w:rsidR="00DF0C87" w:rsidRPr="0062711C" w:rsidRDefault="00DF0C87" w:rsidP="001A1730">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Укупно:</w:t>
            </w:r>
          </w:p>
        </w:tc>
        <w:tc>
          <w:tcPr>
            <w:tcW w:w="647" w:type="pct"/>
            <w:tcBorders>
              <w:top w:val="single" w:sz="4" w:space="0" w:color="002060"/>
              <w:left w:val="nil"/>
              <w:bottom w:val="single" w:sz="4" w:space="0" w:color="002060"/>
              <w:right w:val="nil"/>
            </w:tcBorders>
            <w:shd w:val="clear" w:color="auto" w:fill="FFFFFF" w:themeFill="background1"/>
            <w:noWrap/>
            <w:vAlign w:val="center"/>
            <w:hideMark/>
          </w:tcPr>
          <w:p w14:paraId="4C9E64A5" w14:textId="77777777"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(55.193,0)</w:t>
            </w:r>
          </w:p>
        </w:tc>
        <w:tc>
          <w:tcPr>
            <w:tcW w:w="647" w:type="pct"/>
            <w:tcBorders>
              <w:top w:val="single" w:sz="4" w:space="0" w:color="002060"/>
              <w:left w:val="nil"/>
              <w:bottom w:val="single" w:sz="4" w:space="0" w:color="002060"/>
              <w:right w:val="nil"/>
            </w:tcBorders>
            <w:shd w:val="clear" w:color="auto" w:fill="FFFFFF" w:themeFill="background1"/>
            <w:noWrap/>
            <w:vAlign w:val="center"/>
            <w:hideMark/>
          </w:tcPr>
          <w:p w14:paraId="7387E90D" w14:textId="3BD0DF44"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134.011,0</w:t>
            </w:r>
          </w:p>
        </w:tc>
        <w:tc>
          <w:tcPr>
            <w:tcW w:w="618" w:type="pct"/>
            <w:tcBorders>
              <w:top w:val="single" w:sz="4" w:space="0" w:color="002060"/>
              <w:left w:val="nil"/>
              <w:bottom w:val="single" w:sz="4" w:space="0" w:color="002060"/>
              <w:right w:val="nil"/>
            </w:tcBorders>
            <w:shd w:val="clear" w:color="auto" w:fill="FFFFFF" w:themeFill="background1"/>
            <w:noWrap/>
            <w:vAlign w:val="center"/>
            <w:hideMark/>
          </w:tcPr>
          <w:p w14:paraId="40049321" w14:textId="5712182E"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24.897,0</w:t>
            </w:r>
          </w:p>
        </w:tc>
        <w:tc>
          <w:tcPr>
            <w:tcW w:w="882" w:type="pct"/>
            <w:tcBorders>
              <w:top w:val="single" w:sz="4" w:space="0" w:color="002060"/>
              <w:left w:val="nil"/>
              <w:bottom w:val="single" w:sz="4" w:space="0" w:color="002060"/>
              <w:right w:val="nil"/>
            </w:tcBorders>
            <w:shd w:val="clear" w:color="auto" w:fill="FFFFFF" w:themeFill="background1"/>
            <w:noWrap/>
            <w:vAlign w:val="center"/>
            <w:hideMark/>
          </w:tcPr>
          <w:p w14:paraId="0A8D3920" w14:textId="6C368CCD"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40.966,6</w:t>
            </w:r>
          </w:p>
        </w:tc>
      </w:tr>
    </w:tbl>
    <w:p w14:paraId="1C7EB825" w14:textId="77777777" w:rsidR="00DF0C87" w:rsidRPr="0062711C" w:rsidRDefault="00DF0C87" w:rsidP="00DF0C87">
      <w:pPr>
        <w:spacing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Извор: Финансијски извештаји (АПР) и квартални извештај за 2024. годину</w:t>
      </w:r>
    </w:p>
    <w:p w14:paraId="5E54C4C5" w14:textId="5532813B" w:rsidR="00DF0C87" w:rsidRPr="0062711C" w:rsidRDefault="00DF0C87" w:rsidP="00DF0C87">
      <w:pPr>
        <w:spacing w:after="0" w:line="276" w:lineRule="auto"/>
        <w:rPr>
          <w:rFonts w:eastAsia="MS PGothic" w:cstheme="minorHAnsi"/>
          <w:sz w:val="18"/>
          <w:szCs w:val="18"/>
          <w:lang w:val="sr-Cyrl-RS" w:eastAsia="ja-JP"/>
        </w:rPr>
      </w:pPr>
      <w:r w:rsidRPr="0062711C">
        <w:rPr>
          <w:rFonts w:eastAsia="MS PGothic" w:cstheme="minorHAnsi"/>
          <w:sz w:val="16"/>
          <w:szCs w:val="16"/>
          <w:lang w:val="sr-Cyrl-RS" w:eastAsia="ja-JP"/>
        </w:rPr>
        <w:t>*</w:t>
      </w:r>
      <w:r w:rsidR="009367BB" w:rsidRPr="0062711C">
        <w:rPr>
          <w:rFonts w:eastAsia="MS PGothic" w:cstheme="minorHAnsi"/>
          <w:sz w:val="16"/>
          <w:szCs w:val="16"/>
          <w:lang w:val="sr-Cyrl-RS" w:eastAsia="ja-JP"/>
        </w:rPr>
        <w:t xml:space="preserve"> </w:t>
      </w:r>
      <w:r w:rsidRPr="0062711C">
        <w:rPr>
          <w:rFonts w:eastAsia="MS PGothic" w:cstheme="minorHAnsi"/>
          <w:sz w:val="16"/>
          <w:szCs w:val="16"/>
          <w:lang w:val="sr-Cyrl-RS" w:eastAsia="ja-JP"/>
        </w:rPr>
        <w:t>Програм пословања 2024. године за ЈП „Национални парк Фрушка гора</w:t>
      </w:r>
      <w:r w:rsidR="008E4C48" w:rsidRPr="0062711C">
        <w:rPr>
          <w:rFonts w:eastAsia="MS PGothic" w:cstheme="minorHAnsi"/>
          <w:sz w:val="16"/>
          <w:szCs w:val="16"/>
          <w:lang w:val="sr-Cyrl-RS" w:eastAsia="ja-JP"/>
        </w:rPr>
        <w:t>”</w:t>
      </w:r>
      <w:r w:rsidRPr="0062711C">
        <w:rPr>
          <w:rFonts w:eastAsia="MS PGothic" w:cstheme="minorHAnsi"/>
          <w:sz w:val="16"/>
          <w:szCs w:val="16"/>
          <w:lang w:val="sr-Cyrl-RS" w:eastAsia="ja-JP"/>
        </w:rPr>
        <w:t xml:space="preserve"> није усвојен до истека тромесечја</w:t>
      </w:r>
    </w:p>
    <w:p w14:paraId="750DA769" w14:textId="77777777" w:rsidR="00DF0C87" w:rsidRPr="0062711C" w:rsidRDefault="00DF0C87" w:rsidP="00DF0C87">
      <w:pPr>
        <w:spacing w:after="0" w:line="276" w:lineRule="auto"/>
        <w:rPr>
          <w:rFonts w:eastAsia="MS PGothic" w:cstheme="minorHAnsi"/>
          <w:sz w:val="18"/>
          <w:szCs w:val="18"/>
          <w:lang w:val="sr-Cyrl-RS" w:eastAsia="ja-JP"/>
        </w:rPr>
        <w:sectPr w:rsidR="00DF0C87" w:rsidRPr="0062711C" w:rsidSect="00F45C01">
          <w:type w:val="continuous"/>
          <w:pgSz w:w="12240" w:h="15840"/>
          <w:pgMar w:top="1440" w:right="1440" w:bottom="1440" w:left="1440" w:header="720" w:footer="720" w:gutter="0"/>
          <w:cols w:space="720"/>
          <w:docGrid w:linePitch="360"/>
        </w:sectPr>
      </w:pPr>
    </w:p>
    <w:p w14:paraId="27DC4BED" w14:textId="13D3413E"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lastRenderedPageBreak/>
        <w:t>У првом кварталу текуће године добит је остварило 19 предузећа у укупном износу од 41 млрд динара, што је више у односу на планирану добит од 24,9 млрд динара (64,6%). Највећи утицај на позитиван нето резултат у посматраном периоду имају „Електропривреда Србије” ад и ЈП „Србијагас</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који су остварили нето добит у износу од 28,3 млрд </w:t>
      </w:r>
      <w:r w:rsidR="00D121C1" w:rsidRPr="0062711C">
        <w:rPr>
          <w:rFonts w:eastAsia="MS PGothic" w:cstheme="minorHAnsi"/>
          <w:szCs w:val="20"/>
          <w:lang w:val="sr-Cyrl-RS" w:eastAsia="ja-JP"/>
        </w:rPr>
        <w:t>динара односно 9,2 млрд динара.</w:t>
      </w:r>
    </w:p>
    <w:p w14:paraId="49598269" w14:textId="0A53B12C"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 односу на остварен број добиташа на крају првог квартала, 17 предузећа је остварило негативан нето резултат у износу од 8 млрд динара, што је више од планираног губитка од 519,1 млн динара ( 143%). Највећи утицај на негативан нето резултат у посматраном периоду имају ЈП „Путеви Србије” и „Електродистрибуција Србије</w:t>
      </w:r>
      <w:r w:rsidR="008E4C48" w:rsidRPr="0062711C">
        <w:rPr>
          <w:rFonts w:eastAsia="MS PGothic" w:cstheme="minorHAnsi"/>
          <w:szCs w:val="20"/>
          <w:lang w:val="sr-Cyrl-RS" w:eastAsia="ja-JP"/>
        </w:rPr>
        <w:t>”</w:t>
      </w:r>
      <w:r w:rsidRPr="0062711C">
        <w:rPr>
          <w:rFonts w:eastAsia="MS PGothic" w:cstheme="minorHAnsi"/>
          <w:szCs w:val="20"/>
          <w:lang w:val="sr-Cyrl-RS" w:eastAsia="ja-JP"/>
        </w:rPr>
        <w:t xml:space="preserve"> доо који су остварили нето губитак у износу од 3,7 млрд динара односно 1,8 млрд динара.</w:t>
      </w:r>
    </w:p>
    <w:p w14:paraId="09ECE2A5" w14:textId="77777777" w:rsidR="00DF0C87" w:rsidRPr="0062711C" w:rsidRDefault="00DF0C87" w:rsidP="00DF0C87">
      <w:pPr>
        <w:rPr>
          <w:rFonts w:eastAsia="MS PGothic" w:cstheme="minorHAnsi"/>
          <w:szCs w:val="20"/>
          <w:lang w:val="sr-Cyrl-RS" w:eastAsia="ja-JP"/>
        </w:rPr>
        <w:sectPr w:rsidR="00DF0C87" w:rsidRPr="0062711C" w:rsidSect="00F45C01">
          <w:headerReference w:type="even" r:id="rId179"/>
          <w:footerReference w:type="even" r:id="rId180"/>
          <w:footerReference w:type="default" r:id="rId181"/>
          <w:headerReference w:type="first" r:id="rId182"/>
          <w:type w:val="continuous"/>
          <w:pgSz w:w="12240" w:h="15840"/>
          <w:pgMar w:top="1440" w:right="1440" w:bottom="1440" w:left="1440" w:header="720" w:footer="720" w:gutter="0"/>
          <w:cols w:num="2" w:space="720"/>
          <w:docGrid w:linePitch="360"/>
        </w:sectPr>
      </w:pPr>
    </w:p>
    <w:p w14:paraId="1249FA51" w14:textId="272BA682"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2</w:t>
      </w:r>
      <w:r w:rsidR="00BB1E84">
        <w:rPr>
          <w:rFonts w:eastAsia="MS PGothic" w:cstheme="minorHAnsi"/>
          <w:b/>
          <w:color w:val="002060"/>
          <w:szCs w:val="20"/>
          <w:lang w:eastAsia="ja-JP"/>
        </w:rPr>
        <w:t>3</w:t>
      </w:r>
      <w:r w:rsidRPr="0062711C">
        <w:rPr>
          <w:rFonts w:eastAsia="MS PGothic" w:cstheme="minorHAnsi"/>
          <w:b/>
          <w:color w:val="002060"/>
          <w:szCs w:val="20"/>
          <w:lang w:val="sr-Cyrl-RS" w:eastAsia="ja-JP"/>
        </w:rPr>
        <w:t xml:space="preserve">. Државна предузећа која су остварила нето губитак у периоду 01.01–31.03.2024. године </w:t>
      </w:r>
      <w:r w:rsidR="00276C75" w:rsidRPr="0062711C">
        <w:rPr>
          <w:rFonts w:eastAsia="MS PGothic" w:cstheme="minorHAnsi"/>
          <w:b/>
          <w:color w:val="002060"/>
          <w:szCs w:val="20"/>
          <w:lang w:val="sr-Cyrl-RS" w:eastAsia="ja-JP"/>
        </w:rPr>
        <w:br w:type="textWrapping" w:clear="all"/>
      </w:r>
      <w:r w:rsidRPr="0062711C">
        <w:rPr>
          <w:rFonts w:eastAsia="MS PGothic" w:cstheme="minorHAnsi"/>
          <w:b/>
          <w:color w:val="002060"/>
          <w:szCs w:val="20"/>
          <w:lang w:val="sr-Cyrl-RS" w:eastAsia="ja-JP"/>
        </w:rPr>
        <w:t>у млн динара</w:t>
      </w:r>
    </w:p>
    <w:p w14:paraId="3B14A502" w14:textId="77777777" w:rsidR="00DF0C87" w:rsidRPr="0062711C" w:rsidRDefault="00DF0C87" w:rsidP="00DF0C87">
      <w:pPr>
        <w:spacing w:after="0" w:line="240" w:lineRule="auto"/>
        <w:jc w:val="center"/>
        <w:rPr>
          <w:rFonts w:ascii="Calibri" w:eastAsia="Times New Roman" w:hAnsi="Calibri" w:cs="Calibri"/>
          <w:b/>
          <w:bCs/>
          <w:color w:val="203764"/>
          <w:szCs w:val="20"/>
          <w:lang w:val="sr-Cyrl-RS"/>
        </w:rPr>
        <w:sectPr w:rsidR="00DF0C87" w:rsidRPr="0062711C" w:rsidSect="00F45C01">
          <w:type w:val="continuous"/>
          <w:pgSz w:w="12240" w:h="15840"/>
          <w:pgMar w:top="1440" w:right="1440" w:bottom="1440" w:left="1440" w:header="720" w:footer="720" w:gutter="0"/>
          <w:cols w:space="720"/>
          <w:docGrid w:linePitch="360"/>
        </w:sectPr>
      </w:pPr>
    </w:p>
    <w:tbl>
      <w:tblPr>
        <w:tblW w:w="5000" w:type="pct"/>
        <w:tblLook w:val="04A0" w:firstRow="1" w:lastRow="0" w:firstColumn="1" w:lastColumn="0" w:noHBand="0" w:noVBand="1"/>
      </w:tblPr>
      <w:tblGrid>
        <w:gridCol w:w="3980"/>
        <w:gridCol w:w="1265"/>
        <w:gridCol w:w="1265"/>
        <w:gridCol w:w="1586"/>
        <w:gridCol w:w="1264"/>
      </w:tblGrid>
      <w:tr w:rsidR="00DF0C87" w:rsidRPr="0062711C" w14:paraId="0DDF3A47" w14:textId="77777777" w:rsidTr="001239A8">
        <w:trPr>
          <w:trHeight w:val="570"/>
        </w:trPr>
        <w:tc>
          <w:tcPr>
            <w:tcW w:w="2126" w:type="pct"/>
            <w:tcBorders>
              <w:top w:val="single" w:sz="4" w:space="0" w:color="002060"/>
              <w:left w:val="nil"/>
              <w:bottom w:val="single" w:sz="4" w:space="0" w:color="002060"/>
              <w:right w:val="nil"/>
            </w:tcBorders>
            <w:shd w:val="clear" w:color="auto" w:fill="FFFFFF" w:themeFill="background1"/>
            <w:vAlign w:val="center"/>
            <w:hideMark/>
          </w:tcPr>
          <w:p w14:paraId="220AFE51" w14:textId="77777777" w:rsidR="00DF0C87" w:rsidRPr="0062711C" w:rsidRDefault="00DF0C87" w:rsidP="00DF0C8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Предузећа</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1ACB32EF" w14:textId="77777777" w:rsidR="00DF0C87" w:rsidRPr="0062711C" w:rsidRDefault="00DF0C87" w:rsidP="00DF0C8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 xml:space="preserve">Реализација </w:t>
            </w:r>
            <w:r w:rsidRPr="0062711C">
              <w:rPr>
                <w:rFonts w:eastAsia="Times New Roman" w:cstheme="minorHAnsi"/>
                <w:b/>
                <w:bCs/>
                <w:color w:val="203764"/>
                <w:sz w:val="18"/>
                <w:szCs w:val="18"/>
                <w:lang w:val="sr-Cyrl-RS"/>
              </w:rPr>
              <w:br/>
              <w:t>2022</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006DB592" w14:textId="77777777" w:rsidR="00DF0C87" w:rsidRPr="0062711C" w:rsidRDefault="00DF0C87" w:rsidP="00DF0C8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 xml:space="preserve">Реализација </w:t>
            </w:r>
            <w:r w:rsidRPr="0062711C">
              <w:rPr>
                <w:rFonts w:eastAsia="Times New Roman" w:cstheme="minorHAnsi"/>
                <w:b/>
                <w:bCs/>
                <w:color w:val="203764"/>
                <w:sz w:val="18"/>
                <w:szCs w:val="18"/>
                <w:lang w:val="sr-Cyrl-RS"/>
              </w:rPr>
              <w:br/>
              <w:t>2023</w:t>
            </w:r>
          </w:p>
        </w:tc>
        <w:tc>
          <w:tcPr>
            <w:tcW w:w="847" w:type="pct"/>
            <w:tcBorders>
              <w:top w:val="single" w:sz="4" w:space="0" w:color="002060"/>
              <w:left w:val="nil"/>
              <w:bottom w:val="single" w:sz="4" w:space="0" w:color="002060"/>
              <w:right w:val="nil"/>
            </w:tcBorders>
            <w:shd w:val="clear" w:color="auto" w:fill="FFFFFF" w:themeFill="background1"/>
            <w:vAlign w:val="center"/>
            <w:hideMark/>
          </w:tcPr>
          <w:p w14:paraId="0BDB651A" w14:textId="4BED0267" w:rsidR="00DF0C87" w:rsidRPr="0062711C" w:rsidRDefault="00DF0C87" w:rsidP="00472E7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План                                                                                                                                                                                                                                                                                                                                                   01.01</w:t>
            </w:r>
            <w:r w:rsidR="00472E77">
              <w:rPr>
                <w:rFonts w:eastAsia="Times New Roman" w:cstheme="minorHAnsi"/>
                <w:b/>
                <w:bCs/>
                <w:color w:val="203764"/>
                <w:sz w:val="18"/>
                <w:szCs w:val="18"/>
              </w:rPr>
              <w:t>–</w:t>
            </w:r>
            <w:r w:rsidRPr="0062711C">
              <w:rPr>
                <w:rFonts w:eastAsia="Times New Roman" w:cstheme="minorHAnsi"/>
                <w:b/>
                <w:bCs/>
                <w:color w:val="203764"/>
                <w:sz w:val="18"/>
                <w:szCs w:val="18"/>
                <w:lang w:val="sr-Cyrl-RS"/>
              </w:rPr>
              <w:t xml:space="preserve"> 31.03.2024.</w:t>
            </w:r>
          </w:p>
        </w:tc>
        <w:tc>
          <w:tcPr>
            <w:tcW w:w="676" w:type="pct"/>
            <w:tcBorders>
              <w:top w:val="single" w:sz="4" w:space="0" w:color="002060"/>
              <w:left w:val="nil"/>
              <w:bottom w:val="single" w:sz="4" w:space="0" w:color="002060"/>
              <w:right w:val="nil"/>
            </w:tcBorders>
            <w:shd w:val="clear" w:color="auto" w:fill="FFFFFF" w:themeFill="background1"/>
            <w:vAlign w:val="center"/>
            <w:hideMark/>
          </w:tcPr>
          <w:p w14:paraId="7AC25FB9" w14:textId="72AC7916" w:rsidR="00DF0C87" w:rsidRPr="0062711C" w:rsidRDefault="00DF0C87" w:rsidP="00472E77">
            <w:pPr>
              <w:spacing w:after="0" w:line="240" w:lineRule="auto"/>
              <w:jc w:val="center"/>
              <w:rPr>
                <w:rFonts w:eastAsia="Times New Roman" w:cstheme="minorHAnsi"/>
                <w:b/>
                <w:bCs/>
                <w:color w:val="203764"/>
                <w:sz w:val="18"/>
                <w:szCs w:val="18"/>
                <w:lang w:val="sr-Cyrl-RS"/>
              </w:rPr>
            </w:pPr>
            <w:r w:rsidRPr="0062711C">
              <w:rPr>
                <w:rFonts w:eastAsia="Times New Roman" w:cstheme="minorHAnsi"/>
                <w:b/>
                <w:bCs/>
                <w:color w:val="203764"/>
                <w:sz w:val="18"/>
                <w:szCs w:val="18"/>
                <w:lang w:val="sr-Cyrl-RS"/>
              </w:rPr>
              <w:t>Реализација                                                                                                                                                                                                                                                                                                                                              01.01</w:t>
            </w:r>
            <w:r w:rsidR="00472E77">
              <w:rPr>
                <w:rFonts w:eastAsia="Times New Roman" w:cstheme="minorHAnsi"/>
                <w:b/>
                <w:bCs/>
                <w:color w:val="203764"/>
                <w:sz w:val="18"/>
                <w:szCs w:val="18"/>
              </w:rPr>
              <w:t>–</w:t>
            </w:r>
            <w:r w:rsidRPr="0062711C">
              <w:rPr>
                <w:rFonts w:eastAsia="Times New Roman" w:cstheme="minorHAnsi"/>
                <w:b/>
                <w:bCs/>
                <w:color w:val="203764"/>
                <w:sz w:val="18"/>
                <w:szCs w:val="18"/>
                <w:lang w:val="sr-Cyrl-RS"/>
              </w:rPr>
              <w:t xml:space="preserve"> 31.03.2024.</w:t>
            </w:r>
          </w:p>
        </w:tc>
      </w:tr>
      <w:tr w:rsidR="00DF0C87" w:rsidRPr="0062711C" w14:paraId="2F0C3E75" w14:textId="77777777" w:rsidTr="001A1730">
        <w:trPr>
          <w:trHeight w:val="300"/>
        </w:trPr>
        <w:tc>
          <w:tcPr>
            <w:tcW w:w="2126" w:type="pct"/>
            <w:tcBorders>
              <w:top w:val="nil"/>
              <w:left w:val="nil"/>
              <w:bottom w:val="nil"/>
              <w:right w:val="nil"/>
            </w:tcBorders>
            <w:shd w:val="clear" w:color="000000" w:fill="FFFFFF"/>
            <w:noWrap/>
            <w:vAlign w:val="center"/>
            <w:hideMark/>
          </w:tcPr>
          <w:p w14:paraId="47CB6D9D" w14:textId="2F7C57F9"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Путеви Србије</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6239063C"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(5.121,8)</w:t>
            </w:r>
          </w:p>
        </w:tc>
        <w:tc>
          <w:tcPr>
            <w:tcW w:w="676" w:type="pct"/>
            <w:tcBorders>
              <w:top w:val="nil"/>
              <w:left w:val="nil"/>
              <w:bottom w:val="nil"/>
              <w:right w:val="nil"/>
            </w:tcBorders>
            <w:shd w:val="clear" w:color="000000" w:fill="FFFFFF"/>
            <w:noWrap/>
            <w:vAlign w:val="center"/>
            <w:hideMark/>
          </w:tcPr>
          <w:p w14:paraId="40B122B5"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(6.818,9)</w:t>
            </w:r>
          </w:p>
        </w:tc>
        <w:tc>
          <w:tcPr>
            <w:tcW w:w="847" w:type="pct"/>
            <w:tcBorders>
              <w:top w:val="nil"/>
              <w:left w:val="nil"/>
              <w:bottom w:val="nil"/>
              <w:right w:val="nil"/>
            </w:tcBorders>
            <w:shd w:val="clear" w:color="000000" w:fill="FFFFFF"/>
            <w:noWrap/>
            <w:vAlign w:val="center"/>
            <w:hideMark/>
          </w:tcPr>
          <w:p w14:paraId="668D5DB5" w14:textId="4555B08C"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2.314,5</w:t>
            </w:r>
          </w:p>
        </w:tc>
        <w:tc>
          <w:tcPr>
            <w:tcW w:w="676" w:type="pct"/>
            <w:tcBorders>
              <w:top w:val="nil"/>
              <w:left w:val="nil"/>
              <w:bottom w:val="nil"/>
              <w:right w:val="nil"/>
            </w:tcBorders>
            <w:shd w:val="clear" w:color="000000" w:fill="FFFFFF"/>
            <w:noWrap/>
            <w:vAlign w:val="center"/>
            <w:hideMark/>
          </w:tcPr>
          <w:p w14:paraId="5850CE6E"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(3.655,2)</w:t>
            </w:r>
          </w:p>
        </w:tc>
      </w:tr>
      <w:tr w:rsidR="00DF0C87" w:rsidRPr="0062711C" w14:paraId="7C49C5CC" w14:textId="77777777" w:rsidTr="001A1730">
        <w:trPr>
          <w:trHeight w:val="300"/>
        </w:trPr>
        <w:tc>
          <w:tcPr>
            <w:tcW w:w="2126" w:type="pct"/>
            <w:tcBorders>
              <w:top w:val="nil"/>
              <w:left w:val="nil"/>
              <w:bottom w:val="nil"/>
              <w:right w:val="nil"/>
            </w:tcBorders>
            <w:shd w:val="clear" w:color="000000" w:fill="FFFFFF"/>
            <w:noWrap/>
            <w:vAlign w:val="center"/>
            <w:hideMark/>
          </w:tcPr>
          <w:p w14:paraId="03C4E8F2" w14:textId="5E71324A"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Електродистрибуција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76" w:type="pct"/>
            <w:tcBorders>
              <w:top w:val="nil"/>
              <w:left w:val="nil"/>
              <w:bottom w:val="nil"/>
              <w:right w:val="nil"/>
            </w:tcBorders>
            <w:shd w:val="clear" w:color="000000" w:fill="FFFFFF"/>
            <w:noWrap/>
            <w:vAlign w:val="center"/>
            <w:hideMark/>
          </w:tcPr>
          <w:p w14:paraId="3429489B" w14:textId="0362C155"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249,8</w:t>
            </w:r>
          </w:p>
        </w:tc>
        <w:tc>
          <w:tcPr>
            <w:tcW w:w="676" w:type="pct"/>
            <w:tcBorders>
              <w:top w:val="nil"/>
              <w:left w:val="nil"/>
              <w:bottom w:val="nil"/>
              <w:right w:val="nil"/>
            </w:tcBorders>
            <w:shd w:val="clear" w:color="000000" w:fill="FFFFFF"/>
            <w:noWrap/>
            <w:vAlign w:val="center"/>
            <w:hideMark/>
          </w:tcPr>
          <w:p w14:paraId="2ED34118"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(1.053,2)</w:t>
            </w:r>
          </w:p>
        </w:tc>
        <w:tc>
          <w:tcPr>
            <w:tcW w:w="847" w:type="pct"/>
            <w:tcBorders>
              <w:top w:val="nil"/>
              <w:left w:val="nil"/>
              <w:bottom w:val="nil"/>
              <w:right w:val="nil"/>
            </w:tcBorders>
            <w:shd w:val="clear" w:color="000000" w:fill="FFFFFF"/>
            <w:noWrap/>
            <w:vAlign w:val="center"/>
            <w:hideMark/>
          </w:tcPr>
          <w:p w14:paraId="797506F0"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(877,3)</w:t>
            </w:r>
          </w:p>
        </w:tc>
        <w:tc>
          <w:tcPr>
            <w:tcW w:w="676" w:type="pct"/>
            <w:tcBorders>
              <w:top w:val="nil"/>
              <w:left w:val="nil"/>
              <w:bottom w:val="nil"/>
              <w:right w:val="nil"/>
            </w:tcBorders>
            <w:shd w:val="clear" w:color="000000" w:fill="FFFFFF"/>
            <w:noWrap/>
            <w:vAlign w:val="center"/>
            <w:hideMark/>
          </w:tcPr>
          <w:p w14:paraId="1998217F"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(1.748,9)</w:t>
            </w:r>
          </w:p>
        </w:tc>
      </w:tr>
      <w:tr w:rsidR="00DF0C87" w:rsidRPr="0062711C" w14:paraId="42A93D48" w14:textId="77777777" w:rsidTr="001A1730">
        <w:trPr>
          <w:trHeight w:val="300"/>
        </w:trPr>
        <w:tc>
          <w:tcPr>
            <w:tcW w:w="2126" w:type="pct"/>
            <w:tcBorders>
              <w:top w:val="nil"/>
              <w:left w:val="nil"/>
              <w:bottom w:val="nil"/>
              <w:right w:val="nil"/>
            </w:tcBorders>
            <w:shd w:val="clear" w:color="000000" w:fill="FFFFFF"/>
            <w:noWrap/>
            <w:vAlign w:val="center"/>
            <w:hideMark/>
          </w:tcPr>
          <w:p w14:paraId="353619F2" w14:textId="646241B9"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Инфраструктура железнице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76" w:type="pct"/>
            <w:tcBorders>
              <w:top w:val="nil"/>
              <w:left w:val="nil"/>
              <w:bottom w:val="nil"/>
              <w:right w:val="nil"/>
            </w:tcBorders>
            <w:shd w:val="clear" w:color="000000" w:fill="FFFFFF"/>
            <w:noWrap/>
            <w:vAlign w:val="center"/>
            <w:hideMark/>
          </w:tcPr>
          <w:p w14:paraId="778E360C"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(5.283,7)</w:t>
            </w:r>
          </w:p>
        </w:tc>
        <w:tc>
          <w:tcPr>
            <w:tcW w:w="676" w:type="pct"/>
            <w:tcBorders>
              <w:top w:val="nil"/>
              <w:left w:val="nil"/>
              <w:bottom w:val="nil"/>
              <w:right w:val="nil"/>
            </w:tcBorders>
            <w:shd w:val="clear" w:color="000000" w:fill="FFFFFF"/>
            <w:noWrap/>
            <w:vAlign w:val="center"/>
            <w:hideMark/>
          </w:tcPr>
          <w:p w14:paraId="25BC6219"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(5.110,6)</w:t>
            </w:r>
          </w:p>
        </w:tc>
        <w:tc>
          <w:tcPr>
            <w:tcW w:w="847" w:type="pct"/>
            <w:tcBorders>
              <w:top w:val="nil"/>
              <w:left w:val="nil"/>
              <w:bottom w:val="nil"/>
              <w:right w:val="nil"/>
            </w:tcBorders>
            <w:shd w:val="clear" w:color="000000" w:fill="FFFFFF"/>
            <w:noWrap/>
            <w:vAlign w:val="center"/>
            <w:hideMark/>
          </w:tcPr>
          <w:p w14:paraId="470C16BF"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(1.264,2)</w:t>
            </w:r>
          </w:p>
        </w:tc>
        <w:tc>
          <w:tcPr>
            <w:tcW w:w="676" w:type="pct"/>
            <w:tcBorders>
              <w:top w:val="nil"/>
              <w:left w:val="nil"/>
              <w:bottom w:val="nil"/>
              <w:right w:val="nil"/>
            </w:tcBorders>
            <w:shd w:val="clear" w:color="000000" w:fill="FFFFFF"/>
            <w:noWrap/>
            <w:vAlign w:val="center"/>
            <w:hideMark/>
          </w:tcPr>
          <w:p w14:paraId="35D18A09"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(1.429,7)</w:t>
            </w:r>
          </w:p>
        </w:tc>
      </w:tr>
      <w:tr w:rsidR="00DF0C87" w:rsidRPr="0062711C" w14:paraId="6A94B710" w14:textId="77777777" w:rsidTr="001A1730">
        <w:trPr>
          <w:trHeight w:val="300"/>
        </w:trPr>
        <w:tc>
          <w:tcPr>
            <w:tcW w:w="2126" w:type="pct"/>
            <w:tcBorders>
              <w:top w:val="nil"/>
              <w:left w:val="nil"/>
              <w:bottom w:val="nil"/>
              <w:right w:val="nil"/>
            </w:tcBorders>
            <w:shd w:val="clear" w:color="000000" w:fill="FFFFFF"/>
            <w:noWrap/>
            <w:vAlign w:val="center"/>
            <w:hideMark/>
          </w:tcPr>
          <w:p w14:paraId="71A0CDF7" w14:textId="6E158908"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Србија Карго</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76" w:type="pct"/>
            <w:tcBorders>
              <w:top w:val="nil"/>
              <w:left w:val="nil"/>
              <w:bottom w:val="nil"/>
              <w:right w:val="nil"/>
            </w:tcBorders>
            <w:shd w:val="clear" w:color="000000" w:fill="FFFFFF"/>
            <w:noWrap/>
            <w:vAlign w:val="center"/>
            <w:hideMark/>
          </w:tcPr>
          <w:p w14:paraId="410A82A1"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(1.432,1)</w:t>
            </w:r>
          </w:p>
        </w:tc>
        <w:tc>
          <w:tcPr>
            <w:tcW w:w="676" w:type="pct"/>
            <w:tcBorders>
              <w:top w:val="nil"/>
              <w:left w:val="nil"/>
              <w:bottom w:val="nil"/>
              <w:right w:val="nil"/>
            </w:tcBorders>
            <w:shd w:val="clear" w:color="000000" w:fill="FFFFFF"/>
            <w:noWrap/>
            <w:vAlign w:val="center"/>
            <w:hideMark/>
          </w:tcPr>
          <w:p w14:paraId="4B4224BE"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(1.671,7)</w:t>
            </w:r>
          </w:p>
        </w:tc>
        <w:tc>
          <w:tcPr>
            <w:tcW w:w="847" w:type="pct"/>
            <w:tcBorders>
              <w:top w:val="nil"/>
              <w:left w:val="nil"/>
              <w:bottom w:val="nil"/>
              <w:right w:val="nil"/>
            </w:tcBorders>
            <w:shd w:val="clear" w:color="000000" w:fill="FFFFFF"/>
            <w:noWrap/>
            <w:vAlign w:val="center"/>
            <w:hideMark/>
          </w:tcPr>
          <w:p w14:paraId="43886716"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(205,9)</w:t>
            </w:r>
          </w:p>
        </w:tc>
        <w:tc>
          <w:tcPr>
            <w:tcW w:w="676" w:type="pct"/>
            <w:tcBorders>
              <w:top w:val="nil"/>
              <w:left w:val="nil"/>
              <w:bottom w:val="nil"/>
              <w:right w:val="nil"/>
            </w:tcBorders>
            <w:shd w:val="clear" w:color="000000" w:fill="FFFFFF"/>
            <w:noWrap/>
            <w:vAlign w:val="center"/>
            <w:hideMark/>
          </w:tcPr>
          <w:p w14:paraId="62E79D91"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(369,3)</w:t>
            </w:r>
          </w:p>
        </w:tc>
      </w:tr>
      <w:tr w:rsidR="00DF0C87" w:rsidRPr="0062711C" w14:paraId="4C899ECE" w14:textId="77777777" w:rsidTr="001A1730">
        <w:trPr>
          <w:trHeight w:val="300"/>
        </w:trPr>
        <w:tc>
          <w:tcPr>
            <w:tcW w:w="2126" w:type="pct"/>
            <w:tcBorders>
              <w:top w:val="nil"/>
              <w:left w:val="nil"/>
              <w:bottom w:val="nil"/>
              <w:right w:val="nil"/>
            </w:tcBorders>
            <w:shd w:val="clear" w:color="000000" w:fill="FFFFFF"/>
            <w:noWrap/>
            <w:vAlign w:val="center"/>
            <w:hideMark/>
          </w:tcPr>
          <w:p w14:paraId="663FD686" w14:textId="7B594DA2"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ПЕУ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Ресавица</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3A15BA3B"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(1.621,1)</w:t>
            </w:r>
          </w:p>
        </w:tc>
        <w:tc>
          <w:tcPr>
            <w:tcW w:w="676" w:type="pct"/>
            <w:tcBorders>
              <w:top w:val="nil"/>
              <w:left w:val="nil"/>
              <w:bottom w:val="nil"/>
              <w:right w:val="nil"/>
            </w:tcBorders>
            <w:shd w:val="clear" w:color="000000" w:fill="FFFFFF"/>
            <w:noWrap/>
            <w:vAlign w:val="center"/>
            <w:hideMark/>
          </w:tcPr>
          <w:p w14:paraId="6E964452"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(1.739,4)</w:t>
            </w:r>
          </w:p>
        </w:tc>
        <w:tc>
          <w:tcPr>
            <w:tcW w:w="847" w:type="pct"/>
            <w:tcBorders>
              <w:top w:val="nil"/>
              <w:left w:val="nil"/>
              <w:bottom w:val="nil"/>
              <w:right w:val="nil"/>
            </w:tcBorders>
            <w:shd w:val="clear" w:color="000000" w:fill="FFFFFF"/>
            <w:noWrap/>
            <w:vAlign w:val="center"/>
            <w:hideMark/>
          </w:tcPr>
          <w:p w14:paraId="15C7E44B"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w:t>
            </w:r>
          </w:p>
        </w:tc>
        <w:tc>
          <w:tcPr>
            <w:tcW w:w="676" w:type="pct"/>
            <w:tcBorders>
              <w:top w:val="nil"/>
              <w:left w:val="nil"/>
              <w:bottom w:val="nil"/>
              <w:right w:val="nil"/>
            </w:tcBorders>
            <w:shd w:val="clear" w:color="000000" w:fill="FFFFFF"/>
            <w:noWrap/>
            <w:vAlign w:val="center"/>
            <w:hideMark/>
          </w:tcPr>
          <w:p w14:paraId="308DD74E"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(333,8)</w:t>
            </w:r>
          </w:p>
        </w:tc>
      </w:tr>
      <w:tr w:rsidR="00DF0C87" w:rsidRPr="0062711C" w14:paraId="49F5EC83" w14:textId="77777777" w:rsidTr="001A1730">
        <w:trPr>
          <w:trHeight w:val="300"/>
        </w:trPr>
        <w:tc>
          <w:tcPr>
            <w:tcW w:w="2126" w:type="pct"/>
            <w:tcBorders>
              <w:top w:val="nil"/>
              <w:left w:val="nil"/>
              <w:bottom w:val="nil"/>
              <w:right w:val="nil"/>
            </w:tcBorders>
            <w:shd w:val="clear" w:color="000000" w:fill="FFFFFF"/>
            <w:noWrap/>
            <w:vAlign w:val="center"/>
            <w:hideMark/>
          </w:tcPr>
          <w:p w14:paraId="569E2C03" w14:textId="6360FD01"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Србијашуме</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0D0B4D81" w14:textId="7E9F7E8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737,9</w:t>
            </w:r>
          </w:p>
        </w:tc>
        <w:tc>
          <w:tcPr>
            <w:tcW w:w="676" w:type="pct"/>
            <w:tcBorders>
              <w:top w:val="nil"/>
              <w:left w:val="nil"/>
              <w:bottom w:val="nil"/>
              <w:right w:val="nil"/>
            </w:tcBorders>
            <w:shd w:val="clear" w:color="000000" w:fill="FFFFFF"/>
            <w:noWrap/>
            <w:vAlign w:val="center"/>
            <w:hideMark/>
          </w:tcPr>
          <w:p w14:paraId="05A8FC3F" w14:textId="47C5875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725,7</w:t>
            </w:r>
          </w:p>
        </w:tc>
        <w:tc>
          <w:tcPr>
            <w:tcW w:w="847" w:type="pct"/>
            <w:tcBorders>
              <w:top w:val="nil"/>
              <w:left w:val="nil"/>
              <w:bottom w:val="nil"/>
              <w:right w:val="nil"/>
            </w:tcBorders>
            <w:shd w:val="clear" w:color="000000" w:fill="FFFFFF"/>
            <w:noWrap/>
            <w:vAlign w:val="center"/>
            <w:hideMark/>
          </w:tcPr>
          <w:p w14:paraId="3EE1C112"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(236,7)</w:t>
            </w:r>
          </w:p>
        </w:tc>
        <w:tc>
          <w:tcPr>
            <w:tcW w:w="676" w:type="pct"/>
            <w:tcBorders>
              <w:top w:val="nil"/>
              <w:left w:val="nil"/>
              <w:bottom w:val="nil"/>
              <w:right w:val="nil"/>
            </w:tcBorders>
            <w:shd w:val="clear" w:color="000000" w:fill="FFFFFF"/>
            <w:noWrap/>
            <w:vAlign w:val="center"/>
            <w:hideMark/>
          </w:tcPr>
          <w:p w14:paraId="75B8B49D"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(187,5)</w:t>
            </w:r>
          </w:p>
        </w:tc>
      </w:tr>
      <w:tr w:rsidR="00DF0C87" w:rsidRPr="0062711C" w14:paraId="27E95E20" w14:textId="77777777" w:rsidTr="001A1730">
        <w:trPr>
          <w:trHeight w:val="300"/>
        </w:trPr>
        <w:tc>
          <w:tcPr>
            <w:tcW w:w="2126" w:type="pct"/>
            <w:tcBorders>
              <w:top w:val="nil"/>
              <w:left w:val="nil"/>
              <w:bottom w:val="nil"/>
              <w:right w:val="nil"/>
            </w:tcBorders>
            <w:shd w:val="clear" w:color="000000" w:fill="FFFFFF"/>
            <w:noWrap/>
            <w:vAlign w:val="center"/>
            <w:hideMark/>
          </w:tcPr>
          <w:p w14:paraId="7A7F32A1" w14:textId="0A90A63E"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Завод за уџбенике</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7CC650E8"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(213,6)</w:t>
            </w:r>
          </w:p>
        </w:tc>
        <w:tc>
          <w:tcPr>
            <w:tcW w:w="676" w:type="pct"/>
            <w:tcBorders>
              <w:top w:val="nil"/>
              <w:left w:val="nil"/>
              <w:bottom w:val="nil"/>
              <w:right w:val="nil"/>
            </w:tcBorders>
            <w:shd w:val="clear" w:color="000000" w:fill="FFFFFF"/>
            <w:noWrap/>
            <w:vAlign w:val="center"/>
            <w:hideMark/>
          </w:tcPr>
          <w:p w14:paraId="5F1ACF63"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(96,8)</w:t>
            </w:r>
          </w:p>
        </w:tc>
        <w:tc>
          <w:tcPr>
            <w:tcW w:w="847" w:type="pct"/>
            <w:tcBorders>
              <w:top w:val="nil"/>
              <w:left w:val="nil"/>
              <w:bottom w:val="nil"/>
              <w:right w:val="nil"/>
            </w:tcBorders>
            <w:shd w:val="clear" w:color="000000" w:fill="FFFFFF"/>
            <w:noWrap/>
            <w:vAlign w:val="center"/>
            <w:hideMark/>
          </w:tcPr>
          <w:p w14:paraId="2292F397"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(58,2)</w:t>
            </w:r>
          </w:p>
        </w:tc>
        <w:tc>
          <w:tcPr>
            <w:tcW w:w="676" w:type="pct"/>
            <w:tcBorders>
              <w:top w:val="nil"/>
              <w:left w:val="nil"/>
              <w:bottom w:val="nil"/>
              <w:right w:val="nil"/>
            </w:tcBorders>
            <w:shd w:val="clear" w:color="000000" w:fill="FFFFFF"/>
            <w:noWrap/>
            <w:vAlign w:val="center"/>
            <w:hideMark/>
          </w:tcPr>
          <w:p w14:paraId="7A97AD89"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(78,7)</w:t>
            </w:r>
          </w:p>
        </w:tc>
      </w:tr>
      <w:tr w:rsidR="00DF0C87" w:rsidRPr="0062711C" w14:paraId="011C4D58" w14:textId="77777777" w:rsidTr="001A1730">
        <w:trPr>
          <w:trHeight w:val="300"/>
        </w:trPr>
        <w:tc>
          <w:tcPr>
            <w:tcW w:w="2126" w:type="pct"/>
            <w:tcBorders>
              <w:top w:val="nil"/>
              <w:left w:val="nil"/>
              <w:bottom w:val="nil"/>
              <w:right w:val="nil"/>
            </w:tcBorders>
            <w:shd w:val="clear" w:color="000000" w:fill="FFFFFF"/>
            <w:noWrap/>
            <w:vAlign w:val="center"/>
            <w:hideMark/>
          </w:tcPr>
          <w:p w14:paraId="3ECCC71E" w14:textId="1C00EB1A"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водопривредно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Србијаводе</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50FFAD67" w14:textId="7FE5D1F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37,8</w:t>
            </w:r>
          </w:p>
        </w:tc>
        <w:tc>
          <w:tcPr>
            <w:tcW w:w="676" w:type="pct"/>
            <w:tcBorders>
              <w:top w:val="nil"/>
              <w:left w:val="nil"/>
              <w:bottom w:val="nil"/>
              <w:right w:val="nil"/>
            </w:tcBorders>
            <w:shd w:val="clear" w:color="000000" w:fill="FFFFFF"/>
            <w:noWrap/>
            <w:vAlign w:val="center"/>
            <w:hideMark/>
          </w:tcPr>
          <w:p w14:paraId="7BAC2AA5" w14:textId="2EB50E3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16,1</w:t>
            </w:r>
          </w:p>
        </w:tc>
        <w:tc>
          <w:tcPr>
            <w:tcW w:w="847" w:type="pct"/>
            <w:tcBorders>
              <w:top w:val="nil"/>
              <w:left w:val="nil"/>
              <w:bottom w:val="nil"/>
              <w:right w:val="nil"/>
            </w:tcBorders>
            <w:shd w:val="clear" w:color="000000" w:fill="FFFFFF"/>
            <w:noWrap/>
            <w:vAlign w:val="center"/>
            <w:hideMark/>
          </w:tcPr>
          <w:p w14:paraId="16ED012B"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(121,8)</w:t>
            </w:r>
          </w:p>
        </w:tc>
        <w:tc>
          <w:tcPr>
            <w:tcW w:w="676" w:type="pct"/>
            <w:tcBorders>
              <w:top w:val="nil"/>
              <w:left w:val="nil"/>
              <w:bottom w:val="nil"/>
              <w:right w:val="nil"/>
            </w:tcBorders>
            <w:shd w:val="clear" w:color="000000" w:fill="FFFFFF"/>
            <w:noWrap/>
            <w:vAlign w:val="center"/>
            <w:hideMark/>
          </w:tcPr>
          <w:p w14:paraId="1D52809A"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(35,7)</w:t>
            </w:r>
          </w:p>
        </w:tc>
      </w:tr>
      <w:tr w:rsidR="00DF0C87" w:rsidRPr="0062711C" w14:paraId="642F7550" w14:textId="77777777" w:rsidTr="001A1730">
        <w:trPr>
          <w:trHeight w:val="300"/>
        </w:trPr>
        <w:tc>
          <w:tcPr>
            <w:tcW w:w="2126" w:type="pct"/>
            <w:tcBorders>
              <w:top w:val="nil"/>
              <w:left w:val="nil"/>
              <w:bottom w:val="nil"/>
              <w:right w:val="nil"/>
            </w:tcBorders>
            <w:shd w:val="clear" w:color="000000" w:fill="FFFFFF"/>
            <w:noWrap/>
            <w:vAlign w:val="center"/>
            <w:hideMark/>
          </w:tcPr>
          <w:p w14:paraId="35CFE1B1" w14:textId="6C86A568"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Транснафта</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76" w:type="pct"/>
            <w:tcBorders>
              <w:top w:val="nil"/>
              <w:left w:val="nil"/>
              <w:bottom w:val="nil"/>
              <w:right w:val="nil"/>
            </w:tcBorders>
            <w:shd w:val="clear" w:color="000000" w:fill="FFFFFF"/>
            <w:noWrap/>
            <w:vAlign w:val="center"/>
            <w:hideMark/>
          </w:tcPr>
          <w:p w14:paraId="03120A0A" w14:textId="72EFC01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344,4</w:t>
            </w:r>
          </w:p>
        </w:tc>
        <w:tc>
          <w:tcPr>
            <w:tcW w:w="676" w:type="pct"/>
            <w:tcBorders>
              <w:top w:val="nil"/>
              <w:left w:val="nil"/>
              <w:bottom w:val="nil"/>
              <w:right w:val="nil"/>
            </w:tcBorders>
            <w:shd w:val="clear" w:color="000000" w:fill="FFFFFF"/>
            <w:noWrap/>
            <w:vAlign w:val="center"/>
            <w:hideMark/>
          </w:tcPr>
          <w:p w14:paraId="6617CC31" w14:textId="72A8A68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279,0</w:t>
            </w:r>
          </w:p>
        </w:tc>
        <w:tc>
          <w:tcPr>
            <w:tcW w:w="847" w:type="pct"/>
            <w:tcBorders>
              <w:top w:val="nil"/>
              <w:left w:val="nil"/>
              <w:bottom w:val="nil"/>
              <w:right w:val="nil"/>
            </w:tcBorders>
            <w:shd w:val="clear" w:color="000000" w:fill="FFFFFF"/>
            <w:noWrap/>
            <w:vAlign w:val="center"/>
            <w:hideMark/>
          </w:tcPr>
          <w:p w14:paraId="3A01543D"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(17,4)</w:t>
            </w:r>
          </w:p>
        </w:tc>
        <w:tc>
          <w:tcPr>
            <w:tcW w:w="676" w:type="pct"/>
            <w:tcBorders>
              <w:top w:val="nil"/>
              <w:left w:val="nil"/>
              <w:bottom w:val="nil"/>
              <w:right w:val="nil"/>
            </w:tcBorders>
            <w:shd w:val="clear" w:color="000000" w:fill="FFFFFF"/>
            <w:noWrap/>
            <w:vAlign w:val="center"/>
            <w:hideMark/>
          </w:tcPr>
          <w:p w14:paraId="600969DF"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(34,2)</w:t>
            </w:r>
          </w:p>
        </w:tc>
      </w:tr>
      <w:tr w:rsidR="00DF0C87" w:rsidRPr="0062711C" w14:paraId="401E562B" w14:textId="77777777" w:rsidTr="001A1730">
        <w:trPr>
          <w:trHeight w:val="300"/>
        </w:trPr>
        <w:tc>
          <w:tcPr>
            <w:tcW w:w="2126" w:type="pct"/>
            <w:tcBorders>
              <w:top w:val="nil"/>
              <w:left w:val="nil"/>
              <w:bottom w:val="nil"/>
              <w:right w:val="nil"/>
            </w:tcBorders>
            <w:shd w:val="clear" w:color="000000" w:fill="FFFFFF"/>
            <w:noWrap/>
            <w:vAlign w:val="center"/>
            <w:hideMark/>
          </w:tcPr>
          <w:p w14:paraId="0BB46E15" w14:textId="77777777"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Јавно предузеће за склоништа</w:t>
            </w:r>
          </w:p>
        </w:tc>
        <w:tc>
          <w:tcPr>
            <w:tcW w:w="676" w:type="pct"/>
            <w:tcBorders>
              <w:top w:val="nil"/>
              <w:left w:val="nil"/>
              <w:bottom w:val="nil"/>
              <w:right w:val="nil"/>
            </w:tcBorders>
            <w:shd w:val="clear" w:color="000000" w:fill="FFFFFF"/>
            <w:noWrap/>
            <w:vAlign w:val="center"/>
            <w:hideMark/>
          </w:tcPr>
          <w:p w14:paraId="23EFE450"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(112,9)</w:t>
            </w:r>
          </w:p>
        </w:tc>
        <w:tc>
          <w:tcPr>
            <w:tcW w:w="676" w:type="pct"/>
            <w:tcBorders>
              <w:top w:val="nil"/>
              <w:left w:val="nil"/>
              <w:bottom w:val="nil"/>
              <w:right w:val="nil"/>
            </w:tcBorders>
            <w:shd w:val="clear" w:color="000000" w:fill="FFFFFF"/>
            <w:noWrap/>
            <w:vAlign w:val="center"/>
            <w:hideMark/>
          </w:tcPr>
          <w:p w14:paraId="45168BE2"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(97,0)</w:t>
            </w:r>
          </w:p>
        </w:tc>
        <w:tc>
          <w:tcPr>
            <w:tcW w:w="847" w:type="pct"/>
            <w:tcBorders>
              <w:top w:val="nil"/>
              <w:left w:val="nil"/>
              <w:bottom w:val="nil"/>
              <w:right w:val="nil"/>
            </w:tcBorders>
            <w:shd w:val="clear" w:color="000000" w:fill="FFFFFF"/>
            <w:noWrap/>
            <w:vAlign w:val="center"/>
            <w:hideMark/>
          </w:tcPr>
          <w:p w14:paraId="0D012722"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w:t>
            </w:r>
          </w:p>
        </w:tc>
        <w:tc>
          <w:tcPr>
            <w:tcW w:w="676" w:type="pct"/>
            <w:tcBorders>
              <w:top w:val="nil"/>
              <w:left w:val="nil"/>
              <w:bottom w:val="nil"/>
              <w:right w:val="nil"/>
            </w:tcBorders>
            <w:shd w:val="clear" w:color="000000" w:fill="FFFFFF"/>
            <w:noWrap/>
            <w:vAlign w:val="center"/>
            <w:hideMark/>
          </w:tcPr>
          <w:p w14:paraId="00470884"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(22,0)</w:t>
            </w:r>
          </w:p>
        </w:tc>
      </w:tr>
      <w:tr w:rsidR="00DF0C87" w:rsidRPr="0062711C" w14:paraId="4F02C97F" w14:textId="77777777" w:rsidTr="001A1730">
        <w:trPr>
          <w:trHeight w:val="300"/>
        </w:trPr>
        <w:tc>
          <w:tcPr>
            <w:tcW w:w="2126" w:type="pct"/>
            <w:tcBorders>
              <w:top w:val="nil"/>
              <w:left w:val="nil"/>
              <w:bottom w:val="nil"/>
              <w:right w:val="nil"/>
            </w:tcBorders>
            <w:shd w:val="clear" w:color="000000" w:fill="FFFFFF"/>
            <w:noWrap/>
            <w:vAlign w:val="center"/>
            <w:hideMark/>
          </w:tcPr>
          <w:p w14:paraId="66DC7B86" w14:textId="06E1841C"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Железнице Србије</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ад</w:t>
            </w:r>
          </w:p>
        </w:tc>
        <w:tc>
          <w:tcPr>
            <w:tcW w:w="676" w:type="pct"/>
            <w:tcBorders>
              <w:top w:val="nil"/>
              <w:left w:val="nil"/>
              <w:bottom w:val="nil"/>
              <w:right w:val="nil"/>
            </w:tcBorders>
            <w:shd w:val="clear" w:color="000000" w:fill="FFFFFF"/>
            <w:noWrap/>
            <w:vAlign w:val="center"/>
            <w:hideMark/>
          </w:tcPr>
          <w:p w14:paraId="337BABFB"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(1.237,8)</w:t>
            </w:r>
          </w:p>
        </w:tc>
        <w:tc>
          <w:tcPr>
            <w:tcW w:w="676" w:type="pct"/>
            <w:tcBorders>
              <w:top w:val="nil"/>
              <w:left w:val="nil"/>
              <w:bottom w:val="nil"/>
              <w:right w:val="nil"/>
            </w:tcBorders>
            <w:shd w:val="clear" w:color="000000" w:fill="FFFFFF"/>
            <w:noWrap/>
            <w:vAlign w:val="center"/>
            <w:hideMark/>
          </w:tcPr>
          <w:p w14:paraId="2A819008"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(167,7)</w:t>
            </w:r>
          </w:p>
        </w:tc>
        <w:tc>
          <w:tcPr>
            <w:tcW w:w="847" w:type="pct"/>
            <w:tcBorders>
              <w:top w:val="nil"/>
              <w:left w:val="nil"/>
              <w:bottom w:val="nil"/>
              <w:right w:val="nil"/>
            </w:tcBorders>
            <w:shd w:val="clear" w:color="000000" w:fill="FFFFFF"/>
            <w:noWrap/>
            <w:vAlign w:val="center"/>
            <w:hideMark/>
          </w:tcPr>
          <w:p w14:paraId="477F4033"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(22,5)</w:t>
            </w:r>
          </w:p>
        </w:tc>
        <w:tc>
          <w:tcPr>
            <w:tcW w:w="676" w:type="pct"/>
            <w:tcBorders>
              <w:top w:val="nil"/>
              <w:left w:val="nil"/>
              <w:bottom w:val="nil"/>
              <w:right w:val="nil"/>
            </w:tcBorders>
            <w:shd w:val="clear" w:color="000000" w:fill="FFFFFF"/>
            <w:noWrap/>
            <w:vAlign w:val="center"/>
            <w:hideMark/>
          </w:tcPr>
          <w:p w14:paraId="77CEAE54"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(21,3)</w:t>
            </w:r>
          </w:p>
        </w:tc>
      </w:tr>
      <w:tr w:rsidR="00DF0C87" w:rsidRPr="0062711C" w14:paraId="788A3F92" w14:textId="77777777" w:rsidTr="001A1730">
        <w:trPr>
          <w:trHeight w:val="300"/>
        </w:trPr>
        <w:tc>
          <w:tcPr>
            <w:tcW w:w="2126" w:type="pct"/>
            <w:tcBorders>
              <w:top w:val="nil"/>
              <w:left w:val="nil"/>
              <w:bottom w:val="nil"/>
              <w:right w:val="nil"/>
            </w:tcBorders>
            <w:shd w:val="clear" w:color="000000" w:fill="FFFFFF"/>
            <w:noWrap/>
            <w:vAlign w:val="center"/>
            <w:hideMark/>
          </w:tcPr>
          <w:p w14:paraId="38F8E614" w14:textId="622B0830"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Тврђава Голубачки град</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76" w:type="pct"/>
            <w:tcBorders>
              <w:top w:val="nil"/>
              <w:left w:val="nil"/>
              <w:bottom w:val="nil"/>
              <w:right w:val="nil"/>
            </w:tcBorders>
            <w:shd w:val="clear" w:color="000000" w:fill="FFFFFF"/>
            <w:noWrap/>
            <w:vAlign w:val="center"/>
            <w:hideMark/>
          </w:tcPr>
          <w:p w14:paraId="3F9F580B"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(5,6)</w:t>
            </w:r>
          </w:p>
        </w:tc>
        <w:tc>
          <w:tcPr>
            <w:tcW w:w="676" w:type="pct"/>
            <w:tcBorders>
              <w:top w:val="nil"/>
              <w:left w:val="nil"/>
              <w:bottom w:val="nil"/>
              <w:right w:val="nil"/>
            </w:tcBorders>
            <w:shd w:val="clear" w:color="000000" w:fill="FFFFFF"/>
            <w:noWrap/>
            <w:vAlign w:val="center"/>
            <w:hideMark/>
          </w:tcPr>
          <w:p w14:paraId="5F018279" w14:textId="4B08FB7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9,0</w:t>
            </w:r>
          </w:p>
        </w:tc>
        <w:tc>
          <w:tcPr>
            <w:tcW w:w="847" w:type="pct"/>
            <w:tcBorders>
              <w:top w:val="nil"/>
              <w:left w:val="nil"/>
              <w:bottom w:val="nil"/>
              <w:right w:val="nil"/>
            </w:tcBorders>
            <w:shd w:val="clear" w:color="000000" w:fill="FFFFFF"/>
            <w:noWrap/>
            <w:vAlign w:val="center"/>
            <w:hideMark/>
          </w:tcPr>
          <w:p w14:paraId="57F74C0C"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(14,6)</w:t>
            </w:r>
          </w:p>
        </w:tc>
        <w:tc>
          <w:tcPr>
            <w:tcW w:w="676" w:type="pct"/>
            <w:tcBorders>
              <w:top w:val="nil"/>
              <w:left w:val="nil"/>
              <w:bottom w:val="nil"/>
              <w:right w:val="nil"/>
            </w:tcBorders>
            <w:shd w:val="clear" w:color="000000" w:fill="FFFFFF"/>
            <w:noWrap/>
            <w:vAlign w:val="center"/>
            <w:hideMark/>
          </w:tcPr>
          <w:p w14:paraId="452D5E5F"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(17,9)</w:t>
            </w:r>
          </w:p>
        </w:tc>
      </w:tr>
      <w:tr w:rsidR="00DF0C87" w:rsidRPr="0062711C" w14:paraId="083B2B0D" w14:textId="77777777" w:rsidTr="001A1730">
        <w:trPr>
          <w:trHeight w:val="300"/>
        </w:trPr>
        <w:tc>
          <w:tcPr>
            <w:tcW w:w="2126" w:type="pct"/>
            <w:tcBorders>
              <w:top w:val="nil"/>
              <w:left w:val="nil"/>
              <w:bottom w:val="nil"/>
              <w:right w:val="nil"/>
            </w:tcBorders>
            <w:shd w:val="clear" w:color="000000" w:fill="FFFFFF"/>
            <w:noWrap/>
            <w:vAlign w:val="center"/>
            <w:hideMark/>
          </w:tcPr>
          <w:p w14:paraId="6AB5B4CE" w14:textId="08BAE620"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Национални парк Ђердап</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57E62AE9" w14:textId="32A47C52"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13,6</w:t>
            </w:r>
          </w:p>
        </w:tc>
        <w:tc>
          <w:tcPr>
            <w:tcW w:w="676" w:type="pct"/>
            <w:tcBorders>
              <w:top w:val="nil"/>
              <w:left w:val="nil"/>
              <w:bottom w:val="nil"/>
              <w:right w:val="nil"/>
            </w:tcBorders>
            <w:shd w:val="clear" w:color="000000" w:fill="FFFFFF"/>
            <w:noWrap/>
            <w:vAlign w:val="center"/>
            <w:hideMark/>
          </w:tcPr>
          <w:p w14:paraId="340911F3" w14:textId="6B421913"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15,6</w:t>
            </w:r>
          </w:p>
        </w:tc>
        <w:tc>
          <w:tcPr>
            <w:tcW w:w="847" w:type="pct"/>
            <w:tcBorders>
              <w:top w:val="nil"/>
              <w:left w:val="nil"/>
              <w:bottom w:val="nil"/>
              <w:right w:val="nil"/>
            </w:tcBorders>
            <w:shd w:val="clear" w:color="000000" w:fill="FFFFFF"/>
            <w:noWrap/>
            <w:vAlign w:val="center"/>
            <w:hideMark/>
          </w:tcPr>
          <w:p w14:paraId="5B0260EE" w14:textId="61C8CC1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2,9</w:t>
            </w:r>
          </w:p>
        </w:tc>
        <w:tc>
          <w:tcPr>
            <w:tcW w:w="676" w:type="pct"/>
            <w:tcBorders>
              <w:top w:val="nil"/>
              <w:left w:val="nil"/>
              <w:bottom w:val="nil"/>
              <w:right w:val="nil"/>
            </w:tcBorders>
            <w:shd w:val="clear" w:color="000000" w:fill="FFFFFF"/>
            <w:noWrap/>
            <w:vAlign w:val="center"/>
            <w:hideMark/>
          </w:tcPr>
          <w:p w14:paraId="054D7982"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(8,2)</w:t>
            </w:r>
          </w:p>
        </w:tc>
      </w:tr>
      <w:tr w:rsidR="00DF0C87" w:rsidRPr="0062711C" w14:paraId="211153F6" w14:textId="77777777" w:rsidTr="001A1730">
        <w:trPr>
          <w:trHeight w:val="300"/>
        </w:trPr>
        <w:tc>
          <w:tcPr>
            <w:tcW w:w="2126" w:type="pct"/>
            <w:tcBorders>
              <w:top w:val="nil"/>
              <w:left w:val="nil"/>
              <w:bottom w:val="nil"/>
              <w:right w:val="nil"/>
            </w:tcBorders>
            <w:shd w:val="clear" w:color="000000" w:fill="FFFFFF"/>
            <w:noWrap/>
            <w:vAlign w:val="center"/>
            <w:hideMark/>
          </w:tcPr>
          <w:p w14:paraId="60EF3563" w14:textId="56591A8A"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Парк природе Мокра Гора</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76" w:type="pct"/>
            <w:tcBorders>
              <w:top w:val="nil"/>
              <w:left w:val="nil"/>
              <w:bottom w:val="nil"/>
              <w:right w:val="nil"/>
            </w:tcBorders>
            <w:shd w:val="clear" w:color="000000" w:fill="FFFFFF"/>
            <w:noWrap/>
            <w:vAlign w:val="center"/>
            <w:hideMark/>
          </w:tcPr>
          <w:p w14:paraId="53E0027C" w14:textId="6F4A4E44"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676" w:type="pct"/>
            <w:tcBorders>
              <w:top w:val="nil"/>
              <w:left w:val="nil"/>
              <w:bottom w:val="nil"/>
              <w:right w:val="nil"/>
            </w:tcBorders>
            <w:shd w:val="clear" w:color="000000" w:fill="FFFFFF"/>
            <w:noWrap/>
            <w:vAlign w:val="center"/>
            <w:hideMark/>
          </w:tcPr>
          <w:p w14:paraId="53CC41FC" w14:textId="10A9849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7,7</w:t>
            </w:r>
          </w:p>
        </w:tc>
        <w:tc>
          <w:tcPr>
            <w:tcW w:w="847" w:type="pct"/>
            <w:tcBorders>
              <w:top w:val="nil"/>
              <w:left w:val="nil"/>
              <w:bottom w:val="nil"/>
              <w:right w:val="nil"/>
            </w:tcBorders>
            <w:shd w:val="clear" w:color="000000" w:fill="FFFFFF"/>
            <w:noWrap/>
            <w:vAlign w:val="center"/>
            <w:hideMark/>
          </w:tcPr>
          <w:p w14:paraId="5E0C52D0"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(4,2)</w:t>
            </w:r>
          </w:p>
        </w:tc>
        <w:tc>
          <w:tcPr>
            <w:tcW w:w="676" w:type="pct"/>
            <w:tcBorders>
              <w:top w:val="nil"/>
              <w:left w:val="nil"/>
              <w:bottom w:val="nil"/>
              <w:right w:val="nil"/>
            </w:tcBorders>
            <w:shd w:val="clear" w:color="000000" w:fill="FFFFFF"/>
            <w:noWrap/>
            <w:vAlign w:val="center"/>
            <w:hideMark/>
          </w:tcPr>
          <w:p w14:paraId="19D1CF7B"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(7,9)</w:t>
            </w:r>
          </w:p>
        </w:tc>
      </w:tr>
      <w:tr w:rsidR="00DF0C87" w:rsidRPr="0062711C" w14:paraId="34B986A6" w14:textId="77777777" w:rsidTr="001A1730">
        <w:trPr>
          <w:trHeight w:val="300"/>
        </w:trPr>
        <w:tc>
          <w:tcPr>
            <w:tcW w:w="2126" w:type="pct"/>
            <w:tcBorders>
              <w:top w:val="nil"/>
              <w:left w:val="nil"/>
              <w:bottom w:val="nil"/>
              <w:right w:val="nil"/>
            </w:tcBorders>
            <w:shd w:val="clear" w:color="000000" w:fill="FFFFFF"/>
            <w:noWrap/>
            <w:vAlign w:val="center"/>
            <w:hideMark/>
          </w:tcPr>
          <w:p w14:paraId="30CED9A3" w14:textId="45DF5F33" w:rsidR="00DF0C87" w:rsidRPr="0062711C" w:rsidRDefault="00DF0C87"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Јавно предузеће </w:t>
            </w:r>
            <w:r w:rsidR="008E4C48" w:rsidRPr="0062711C">
              <w:rPr>
                <w:rFonts w:eastAsia="Times New Roman" w:cstheme="minorHAnsi"/>
                <w:color w:val="002060"/>
                <w:sz w:val="18"/>
                <w:szCs w:val="18"/>
                <w:lang w:val="sr-Cyrl-RS"/>
              </w:rPr>
              <w:t>„</w:t>
            </w:r>
            <w:r w:rsidRPr="0062711C">
              <w:rPr>
                <w:rFonts w:eastAsia="Times New Roman" w:cstheme="minorHAnsi"/>
                <w:color w:val="002060"/>
                <w:sz w:val="18"/>
                <w:szCs w:val="18"/>
                <w:lang w:val="sr-Cyrl-RS"/>
              </w:rPr>
              <w:t>Службени гласник</w:t>
            </w:r>
            <w:r w:rsidR="008E4C48" w:rsidRPr="0062711C">
              <w:rPr>
                <w:rFonts w:eastAsia="Times New Roman" w:cstheme="minorHAnsi"/>
                <w:color w:val="002060"/>
                <w:sz w:val="18"/>
                <w:szCs w:val="18"/>
                <w:lang w:val="sr-Cyrl-RS"/>
              </w:rPr>
              <w:t>”</w:t>
            </w:r>
          </w:p>
        </w:tc>
        <w:tc>
          <w:tcPr>
            <w:tcW w:w="676" w:type="pct"/>
            <w:tcBorders>
              <w:top w:val="nil"/>
              <w:left w:val="nil"/>
              <w:bottom w:val="nil"/>
              <w:right w:val="nil"/>
            </w:tcBorders>
            <w:shd w:val="clear" w:color="000000" w:fill="FFFFFF"/>
            <w:noWrap/>
            <w:vAlign w:val="center"/>
            <w:hideMark/>
          </w:tcPr>
          <w:p w14:paraId="0A8010D1" w14:textId="525027F6"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8,4</w:t>
            </w:r>
          </w:p>
        </w:tc>
        <w:tc>
          <w:tcPr>
            <w:tcW w:w="676" w:type="pct"/>
            <w:tcBorders>
              <w:top w:val="nil"/>
              <w:left w:val="nil"/>
              <w:bottom w:val="nil"/>
              <w:right w:val="nil"/>
            </w:tcBorders>
            <w:shd w:val="clear" w:color="000000" w:fill="FFFFFF"/>
            <w:noWrap/>
            <w:vAlign w:val="center"/>
            <w:hideMark/>
          </w:tcPr>
          <w:p w14:paraId="6E11EA27" w14:textId="6819EE6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6,8</w:t>
            </w:r>
          </w:p>
        </w:tc>
        <w:tc>
          <w:tcPr>
            <w:tcW w:w="847" w:type="pct"/>
            <w:tcBorders>
              <w:top w:val="nil"/>
              <w:left w:val="nil"/>
              <w:bottom w:val="nil"/>
              <w:right w:val="nil"/>
            </w:tcBorders>
            <w:shd w:val="clear" w:color="000000" w:fill="FFFFFF"/>
            <w:noWrap/>
            <w:vAlign w:val="center"/>
            <w:hideMark/>
          </w:tcPr>
          <w:p w14:paraId="4050DE44"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(15,7)</w:t>
            </w:r>
          </w:p>
        </w:tc>
        <w:tc>
          <w:tcPr>
            <w:tcW w:w="676" w:type="pct"/>
            <w:tcBorders>
              <w:top w:val="nil"/>
              <w:left w:val="nil"/>
              <w:bottom w:val="nil"/>
              <w:right w:val="nil"/>
            </w:tcBorders>
            <w:shd w:val="clear" w:color="000000" w:fill="FFFFFF"/>
            <w:noWrap/>
            <w:vAlign w:val="center"/>
            <w:hideMark/>
          </w:tcPr>
          <w:p w14:paraId="796BB988"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(5,1)</w:t>
            </w:r>
          </w:p>
        </w:tc>
      </w:tr>
      <w:tr w:rsidR="00DF0C87" w:rsidRPr="0062711C" w14:paraId="53E62264" w14:textId="77777777" w:rsidTr="001A1730">
        <w:trPr>
          <w:trHeight w:val="300"/>
        </w:trPr>
        <w:tc>
          <w:tcPr>
            <w:tcW w:w="2126" w:type="pct"/>
            <w:tcBorders>
              <w:top w:val="nil"/>
              <w:left w:val="nil"/>
              <w:bottom w:val="nil"/>
              <w:right w:val="nil"/>
            </w:tcBorders>
            <w:shd w:val="clear" w:color="000000" w:fill="FFFFFF"/>
            <w:noWrap/>
            <w:vAlign w:val="center"/>
            <w:hideMark/>
          </w:tcPr>
          <w:p w14:paraId="4C6F6C0A" w14:textId="1C39F6A5"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Резерват Увац</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76" w:type="pct"/>
            <w:tcBorders>
              <w:top w:val="nil"/>
              <w:left w:val="nil"/>
              <w:bottom w:val="nil"/>
              <w:right w:val="nil"/>
            </w:tcBorders>
            <w:shd w:val="clear" w:color="000000" w:fill="FFFFFF"/>
            <w:noWrap/>
            <w:vAlign w:val="center"/>
            <w:hideMark/>
          </w:tcPr>
          <w:p w14:paraId="69909E63"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(0,1)</w:t>
            </w:r>
          </w:p>
        </w:tc>
        <w:tc>
          <w:tcPr>
            <w:tcW w:w="676" w:type="pct"/>
            <w:tcBorders>
              <w:top w:val="nil"/>
              <w:left w:val="nil"/>
              <w:bottom w:val="nil"/>
              <w:right w:val="nil"/>
            </w:tcBorders>
            <w:shd w:val="clear" w:color="000000" w:fill="FFFFFF"/>
            <w:noWrap/>
            <w:vAlign w:val="center"/>
            <w:hideMark/>
          </w:tcPr>
          <w:p w14:paraId="6C19253D" w14:textId="45DC67D8"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3,3</w:t>
            </w:r>
          </w:p>
        </w:tc>
        <w:tc>
          <w:tcPr>
            <w:tcW w:w="847" w:type="pct"/>
            <w:tcBorders>
              <w:top w:val="nil"/>
              <w:left w:val="nil"/>
              <w:bottom w:val="nil"/>
              <w:right w:val="nil"/>
            </w:tcBorders>
            <w:shd w:val="clear" w:color="000000" w:fill="FFFFFF"/>
            <w:noWrap/>
            <w:vAlign w:val="center"/>
            <w:hideMark/>
          </w:tcPr>
          <w:p w14:paraId="1BB676DF" w14:textId="3388B5AB"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0,6</w:t>
            </w:r>
          </w:p>
        </w:tc>
        <w:tc>
          <w:tcPr>
            <w:tcW w:w="676" w:type="pct"/>
            <w:tcBorders>
              <w:top w:val="nil"/>
              <w:left w:val="nil"/>
              <w:bottom w:val="nil"/>
              <w:right w:val="nil"/>
            </w:tcBorders>
            <w:shd w:val="clear" w:color="000000" w:fill="FFFFFF"/>
            <w:noWrap/>
            <w:vAlign w:val="center"/>
            <w:hideMark/>
          </w:tcPr>
          <w:p w14:paraId="41FAF718"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(1,5)</w:t>
            </w:r>
          </w:p>
        </w:tc>
      </w:tr>
      <w:tr w:rsidR="00DF0C87" w:rsidRPr="0062711C" w14:paraId="5E88D432" w14:textId="77777777" w:rsidTr="001A1730">
        <w:trPr>
          <w:trHeight w:val="300"/>
        </w:trPr>
        <w:tc>
          <w:tcPr>
            <w:tcW w:w="2126" w:type="pct"/>
            <w:tcBorders>
              <w:top w:val="nil"/>
              <w:left w:val="nil"/>
              <w:bottom w:val="nil"/>
              <w:right w:val="nil"/>
            </w:tcBorders>
            <w:shd w:val="clear" w:color="000000" w:fill="FFFFFF"/>
            <w:noWrap/>
            <w:vAlign w:val="center"/>
            <w:hideMark/>
          </w:tcPr>
          <w:p w14:paraId="3EC24BE4" w14:textId="299A3DB6" w:rsidR="00DF0C87" w:rsidRPr="0062711C" w:rsidRDefault="008E4C48" w:rsidP="001A1730">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Парк Палић</w:t>
            </w:r>
            <w:r w:rsidRPr="0062711C">
              <w:rPr>
                <w:rFonts w:eastAsia="Times New Roman" w:cstheme="minorHAnsi"/>
                <w:color w:val="002060"/>
                <w:sz w:val="18"/>
                <w:szCs w:val="18"/>
                <w:lang w:val="sr-Cyrl-RS"/>
              </w:rPr>
              <w:t>”</w:t>
            </w:r>
            <w:r w:rsidR="00DF0C87" w:rsidRPr="0062711C">
              <w:rPr>
                <w:rFonts w:eastAsia="Times New Roman" w:cstheme="minorHAnsi"/>
                <w:color w:val="002060"/>
                <w:sz w:val="18"/>
                <w:szCs w:val="18"/>
                <w:lang w:val="sr-Cyrl-RS"/>
              </w:rPr>
              <w:t xml:space="preserve"> доо</w:t>
            </w:r>
          </w:p>
        </w:tc>
        <w:tc>
          <w:tcPr>
            <w:tcW w:w="676" w:type="pct"/>
            <w:tcBorders>
              <w:top w:val="nil"/>
              <w:left w:val="nil"/>
              <w:bottom w:val="nil"/>
              <w:right w:val="nil"/>
            </w:tcBorders>
            <w:shd w:val="clear" w:color="000000" w:fill="FFFFFF"/>
            <w:noWrap/>
            <w:vAlign w:val="center"/>
            <w:hideMark/>
          </w:tcPr>
          <w:p w14:paraId="3EE64371" w14:textId="1EAE1FB0"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2,2</w:t>
            </w:r>
          </w:p>
        </w:tc>
        <w:tc>
          <w:tcPr>
            <w:tcW w:w="676" w:type="pct"/>
            <w:tcBorders>
              <w:top w:val="nil"/>
              <w:left w:val="nil"/>
              <w:bottom w:val="nil"/>
              <w:right w:val="nil"/>
            </w:tcBorders>
            <w:shd w:val="clear" w:color="000000" w:fill="FFFFFF"/>
            <w:noWrap/>
            <w:vAlign w:val="center"/>
            <w:hideMark/>
          </w:tcPr>
          <w:p w14:paraId="22B6292F" w14:textId="1902701E"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0,3</w:t>
            </w:r>
          </w:p>
        </w:tc>
        <w:tc>
          <w:tcPr>
            <w:tcW w:w="847" w:type="pct"/>
            <w:tcBorders>
              <w:top w:val="nil"/>
              <w:left w:val="nil"/>
              <w:bottom w:val="nil"/>
              <w:right w:val="nil"/>
            </w:tcBorders>
            <w:shd w:val="clear" w:color="000000" w:fill="FFFFFF"/>
            <w:noWrap/>
            <w:vAlign w:val="center"/>
            <w:hideMark/>
          </w:tcPr>
          <w:p w14:paraId="4156AF77" w14:textId="0D93E5D3"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0,1</w:t>
            </w:r>
          </w:p>
        </w:tc>
        <w:tc>
          <w:tcPr>
            <w:tcW w:w="676" w:type="pct"/>
            <w:tcBorders>
              <w:top w:val="nil"/>
              <w:left w:val="nil"/>
              <w:bottom w:val="nil"/>
              <w:right w:val="nil"/>
            </w:tcBorders>
            <w:shd w:val="clear" w:color="000000" w:fill="FFFFFF"/>
            <w:noWrap/>
            <w:vAlign w:val="center"/>
            <w:hideMark/>
          </w:tcPr>
          <w:p w14:paraId="35963555" w14:textId="77777777" w:rsidR="00DF0C87" w:rsidRPr="0062711C" w:rsidRDefault="00DF0C87" w:rsidP="001A1730">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(0,6)</w:t>
            </w:r>
          </w:p>
        </w:tc>
      </w:tr>
      <w:tr w:rsidR="00DF0C87" w:rsidRPr="0062711C" w14:paraId="303E51F5" w14:textId="77777777" w:rsidTr="001A1730">
        <w:trPr>
          <w:trHeight w:val="300"/>
        </w:trPr>
        <w:tc>
          <w:tcPr>
            <w:tcW w:w="2126" w:type="pct"/>
            <w:tcBorders>
              <w:top w:val="single" w:sz="4" w:space="0" w:color="002060"/>
              <w:left w:val="nil"/>
              <w:bottom w:val="single" w:sz="4" w:space="0" w:color="002060"/>
              <w:right w:val="nil"/>
            </w:tcBorders>
            <w:shd w:val="clear" w:color="auto" w:fill="FFFFFF" w:themeFill="background1"/>
            <w:noWrap/>
            <w:vAlign w:val="center"/>
            <w:hideMark/>
          </w:tcPr>
          <w:p w14:paraId="42416598" w14:textId="77777777" w:rsidR="00DF0C87" w:rsidRPr="0062711C" w:rsidRDefault="00DF0C87" w:rsidP="001A1730">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Укупно:</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61E3537B" w14:textId="77777777"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(13.634,7)</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690678A9" w14:textId="77777777"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(15.691,8)</w:t>
            </w:r>
          </w:p>
        </w:tc>
        <w:tc>
          <w:tcPr>
            <w:tcW w:w="847" w:type="pct"/>
            <w:tcBorders>
              <w:top w:val="single" w:sz="4" w:space="0" w:color="002060"/>
              <w:left w:val="nil"/>
              <w:bottom w:val="single" w:sz="4" w:space="0" w:color="002060"/>
              <w:right w:val="nil"/>
            </w:tcBorders>
            <w:shd w:val="clear" w:color="auto" w:fill="FFFFFF" w:themeFill="background1"/>
            <w:noWrap/>
            <w:vAlign w:val="center"/>
            <w:hideMark/>
          </w:tcPr>
          <w:p w14:paraId="384FE993" w14:textId="77777777"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(520,4)</w:t>
            </w:r>
          </w:p>
        </w:tc>
        <w:tc>
          <w:tcPr>
            <w:tcW w:w="676" w:type="pct"/>
            <w:tcBorders>
              <w:top w:val="single" w:sz="4" w:space="0" w:color="002060"/>
              <w:left w:val="nil"/>
              <w:bottom w:val="single" w:sz="4" w:space="0" w:color="002060"/>
              <w:right w:val="nil"/>
            </w:tcBorders>
            <w:shd w:val="clear" w:color="auto" w:fill="FFFFFF" w:themeFill="background1"/>
            <w:noWrap/>
            <w:vAlign w:val="center"/>
            <w:hideMark/>
          </w:tcPr>
          <w:p w14:paraId="6CC081BE" w14:textId="77777777" w:rsidR="00DF0C87" w:rsidRPr="0062711C" w:rsidRDefault="00DF0C87" w:rsidP="001A1730">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(7.957,6)</w:t>
            </w:r>
          </w:p>
        </w:tc>
      </w:tr>
    </w:tbl>
    <w:p w14:paraId="61DAE843" w14:textId="77777777" w:rsidR="00DF0C87" w:rsidRPr="0062711C" w:rsidRDefault="00DF0C87" w:rsidP="00DF0C87">
      <w:pPr>
        <w:spacing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Извор: Финансијски извештаји (АПР) и квартални извештај за 2024. годину</w:t>
      </w:r>
    </w:p>
    <w:p w14:paraId="260D3E63" w14:textId="1A460BD9" w:rsidR="00DF0C87" w:rsidRPr="0062711C" w:rsidRDefault="00DF0C87" w:rsidP="00DF0C87">
      <w:pPr>
        <w:spacing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*Програми пословања за 2024. годину за ЈП за склоништа и ЈП ПЕУ „Ресавица</w:t>
      </w:r>
      <w:r w:rsidR="008E4C48" w:rsidRPr="0062711C">
        <w:rPr>
          <w:rFonts w:eastAsia="MS PGothic" w:cstheme="minorHAnsi"/>
          <w:sz w:val="16"/>
          <w:szCs w:val="16"/>
          <w:lang w:val="sr-Cyrl-RS" w:eastAsia="ja-JP"/>
        </w:rPr>
        <w:t>”</w:t>
      </w:r>
      <w:r w:rsidRPr="0062711C">
        <w:rPr>
          <w:rFonts w:eastAsia="MS PGothic" w:cstheme="minorHAnsi"/>
          <w:sz w:val="16"/>
          <w:szCs w:val="16"/>
          <w:lang w:val="sr-Cyrl-RS" w:eastAsia="ja-JP"/>
        </w:rPr>
        <w:t xml:space="preserve"> нису усвојени до истека тромесечја</w:t>
      </w:r>
    </w:p>
    <w:p w14:paraId="651F32F4" w14:textId="77777777" w:rsidR="00DF0C87" w:rsidRPr="0062711C" w:rsidRDefault="00DF0C87" w:rsidP="00DF0C87">
      <w:pPr>
        <w:spacing w:after="0" w:line="276" w:lineRule="auto"/>
        <w:rPr>
          <w:rFonts w:eastAsia="MS PGothic" w:cstheme="minorHAnsi"/>
          <w:sz w:val="16"/>
          <w:szCs w:val="16"/>
          <w:lang w:val="sr-Cyrl-RS" w:eastAsia="ja-JP"/>
        </w:rPr>
      </w:pPr>
    </w:p>
    <w:p w14:paraId="78F2B66B" w14:textId="77777777" w:rsidR="00DF0C87" w:rsidRPr="0062711C" w:rsidRDefault="00DF0C87" w:rsidP="00DF0C87">
      <w:pPr>
        <w:rPr>
          <w:rFonts w:eastAsia="MS PGothic" w:cstheme="minorHAnsi"/>
          <w:szCs w:val="20"/>
          <w:lang w:val="sr-Cyrl-RS" w:eastAsia="ja-JP"/>
        </w:rPr>
        <w:sectPr w:rsidR="00DF0C87" w:rsidRPr="0062711C" w:rsidSect="00F45C01">
          <w:headerReference w:type="even" r:id="rId183"/>
          <w:footerReference w:type="even" r:id="rId184"/>
          <w:footerReference w:type="default" r:id="rId185"/>
          <w:headerReference w:type="first" r:id="rId186"/>
          <w:type w:val="continuous"/>
          <w:pgSz w:w="12240" w:h="15840"/>
          <w:pgMar w:top="1440" w:right="1440" w:bottom="1440" w:left="1440" w:header="720" w:footer="720" w:gutter="0"/>
          <w:cols w:space="720"/>
          <w:docGrid w:linePitch="360"/>
        </w:sectPr>
      </w:pPr>
    </w:p>
    <w:p w14:paraId="124D29C6" w14:textId="77777777" w:rsidR="00DF0C87" w:rsidRPr="0062711C" w:rsidRDefault="00DF0C87" w:rsidP="00DF0C87">
      <w:pPr>
        <w:spacing w:line="256" w:lineRule="auto"/>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Нови Закон о управљању привредним друштвима у власништву Републике Србије, чија примена почиње у септембру 2024. године, очекује се да ће допринети смањењу фискалних ризика и унапређењу рада државних предузећа. Овим законом ће се кроз централизовано управљање омогућити боље праћење рада државних предузећа, а промена правне форме јавних предузећа у акционарска друштва или друштва са ограниченом одговорношћу допринеће професионализацији корпоративног управљања, </w:t>
      </w:r>
      <w:r w:rsidRPr="0062711C">
        <w:rPr>
          <w:rFonts w:ascii="Calibri" w:eastAsia="MS PGothic" w:hAnsi="Calibri" w:cs="Calibri"/>
          <w:color w:val="44546A"/>
          <w:szCs w:val="20"/>
          <w:lang w:val="sr-Cyrl-RS" w:eastAsia="ja-JP"/>
        </w:rPr>
        <w:t xml:space="preserve">чиме ће се повећати економска ефикасност и конкурентност привреде. Општи циљ овог закона је да се створи одрживо и ефикасно управљање предузећима у власништву Републике Србије. Процеси који су неопходни да се заврше до почетка примене новог закона, укључујући доношење подзаконских аката и операционализацију закона, спроводе се у сарадњи са водећим светским финансијским институцијама – Међународним монетарним </w:t>
      </w:r>
      <w:r w:rsidRPr="0062711C">
        <w:rPr>
          <w:rFonts w:ascii="Calibri" w:eastAsia="MS PGothic" w:hAnsi="Calibri" w:cs="Calibri"/>
          <w:color w:val="44546A"/>
          <w:szCs w:val="20"/>
          <w:lang w:val="sr-Cyrl-RS" w:eastAsia="ja-JP"/>
        </w:rPr>
        <w:lastRenderedPageBreak/>
        <w:t>фондом (ММФ), Светском банком и Европском банком за обнову и развој (ЕБРД).</w:t>
      </w:r>
    </w:p>
    <w:p w14:paraId="058461FA" w14:textId="7A56EF8B" w:rsidR="00276C75" w:rsidRPr="0062711C" w:rsidRDefault="00DF0C87" w:rsidP="00DF0C87">
      <w:pPr>
        <w:spacing w:line="256" w:lineRule="auto"/>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Сектор за праћење фискалних ризика врши процену фискалних ризика државних предузећа уз помоћ Алтман З-скор модела. Поред основног модела користи</w:t>
      </w:r>
      <w:r w:rsidR="00740755" w:rsidRPr="0062711C">
        <w:rPr>
          <w:rFonts w:ascii="Calibri" w:eastAsia="MS PGothic" w:hAnsi="Calibri" w:cs="Calibri"/>
          <w:color w:val="44546A"/>
          <w:szCs w:val="20"/>
          <w:lang w:val="sr-Cyrl-RS" w:eastAsia="ja-JP"/>
        </w:rPr>
        <w:t xml:space="preserve"> се</w:t>
      </w:r>
      <w:r w:rsidRPr="0062711C">
        <w:rPr>
          <w:rFonts w:ascii="Calibri" w:eastAsia="MS PGothic" w:hAnsi="Calibri" w:cs="Calibri"/>
          <w:color w:val="44546A"/>
          <w:szCs w:val="20"/>
          <w:lang w:val="sr-Cyrl-RS" w:eastAsia="ja-JP"/>
        </w:rPr>
        <w:t xml:space="preserve"> и прилагођени Алтман З</w:t>
      </w:r>
      <w:r w:rsidR="00935559">
        <w:rPr>
          <w:rFonts w:ascii="Calibri" w:eastAsia="MS PGothic" w:hAnsi="Calibri" w:cs="Calibri"/>
          <w:color w:val="44546A"/>
          <w:szCs w:val="20"/>
          <w:lang w:val="sr-Cyrl-RS" w:eastAsia="ja-JP"/>
        </w:rPr>
        <w:t>"</w:t>
      </w:r>
      <w:r w:rsidRPr="0062711C">
        <w:rPr>
          <w:rFonts w:ascii="Calibri" w:eastAsia="MS PGothic" w:hAnsi="Calibri" w:cs="Calibri"/>
          <w:color w:val="44546A"/>
          <w:szCs w:val="20"/>
          <w:lang w:val="sr-Cyrl-RS" w:eastAsia="ja-JP"/>
        </w:rPr>
        <w:t xml:space="preserve"> а који је се примењује углавном за тржишта у развоју, односно примењује се у оним земљама које немају развијено тржиште капитала. Прилагођени Алтман З</w:t>
      </w:r>
      <w:r w:rsidR="00935559">
        <w:rPr>
          <w:rFonts w:ascii="Calibri" w:eastAsia="MS PGothic" w:hAnsi="Calibri" w:cs="Calibri"/>
          <w:color w:val="44546A"/>
          <w:szCs w:val="20"/>
          <w:lang w:val="sr-Cyrl-RS" w:eastAsia="ja-JP"/>
        </w:rPr>
        <w:t>"</w:t>
      </w:r>
      <w:r w:rsidRPr="0062711C">
        <w:rPr>
          <w:rFonts w:ascii="Calibri" w:eastAsia="MS PGothic" w:hAnsi="Calibri" w:cs="Calibri"/>
          <w:color w:val="44546A"/>
          <w:szCs w:val="20"/>
          <w:lang w:val="sr-Cyrl-RS" w:eastAsia="ja-JP"/>
        </w:rPr>
        <w:t>-скор модел представља линеарну комбинацију од 4 финансијска рацио показатеља којима су додељени одговарајући коефицијенти.</w:t>
      </w:r>
    </w:p>
    <w:p w14:paraId="75E08829" w14:textId="073D27B9"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2</w:t>
      </w:r>
      <w:r w:rsidR="00BB1E84">
        <w:rPr>
          <w:rFonts w:eastAsia="MS PGothic" w:cstheme="minorHAnsi"/>
          <w:b/>
          <w:color w:val="002060"/>
          <w:szCs w:val="20"/>
          <w:lang w:eastAsia="ja-JP"/>
        </w:rPr>
        <w:t>4</w:t>
      </w:r>
      <w:r w:rsidRPr="0062711C">
        <w:rPr>
          <w:rFonts w:eastAsia="MS PGothic" w:cstheme="minorHAnsi"/>
          <w:b/>
          <w:color w:val="002060"/>
          <w:szCs w:val="20"/>
          <w:lang w:val="sr-Cyrl-RS" w:eastAsia="ja-JP"/>
        </w:rPr>
        <w:t>. Резултати прилагођеног Алтман З</w:t>
      </w:r>
      <w:r w:rsidR="00935559">
        <w:rPr>
          <w:rFonts w:eastAsia="MS PGothic" w:cstheme="minorHAnsi"/>
          <w:b/>
          <w:color w:val="002060"/>
          <w:szCs w:val="20"/>
          <w:lang w:val="sr-Cyrl-RS" w:eastAsia="ja-JP"/>
        </w:rPr>
        <w:t>"</w:t>
      </w:r>
      <w:r w:rsidRPr="0062711C">
        <w:rPr>
          <w:rFonts w:eastAsia="MS PGothic" w:cstheme="minorHAnsi"/>
          <w:b/>
          <w:color w:val="002060"/>
          <w:szCs w:val="20"/>
          <w:lang w:val="sr-Cyrl-RS" w:eastAsia="ja-JP"/>
        </w:rPr>
        <w:t xml:space="preserve"> скора по годинама за 36 државних предузећа</w:t>
      </w:r>
    </w:p>
    <w:tbl>
      <w:tblPr>
        <w:tblW w:w="4180" w:type="dxa"/>
        <w:tblLook w:val="04A0" w:firstRow="1" w:lastRow="0" w:firstColumn="1" w:lastColumn="0" w:noHBand="0" w:noVBand="1"/>
      </w:tblPr>
      <w:tblGrid>
        <w:gridCol w:w="1300"/>
        <w:gridCol w:w="960"/>
        <w:gridCol w:w="960"/>
        <w:gridCol w:w="960"/>
      </w:tblGrid>
      <w:tr w:rsidR="00F45C01" w:rsidRPr="0062711C" w14:paraId="5841620E" w14:textId="77777777" w:rsidTr="00F45C01">
        <w:trPr>
          <w:trHeight w:val="300"/>
        </w:trPr>
        <w:tc>
          <w:tcPr>
            <w:tcW w:w="1300" w:type="dxa"/>
            <w:tcBorders>
              <w:top w:val="single" w:sz="4" w:space="0" w:color="002060"/>
              <w:left w:val="nil"/>
              <w:bottom w:val="single" w:sz="4" w:space="0" w:color="002060"/>
              <w:right w:val="nil"/>
            </w:tcBorders>
            <w:shd w:val="clear" w:color="auto" w:fill="auto"/>
            <w:noWrap/>
            <w:vAlign w:val="center"/>
            <w:hideMark/>
          </w:tcPr>
          <w:p w14:paraId="47466530"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Врста ризика</w:t>
            </w:r>
          </w:p>
        </w:tc>
        <w:tc>
          <w:tcPr>
            <w:tcW w:w="960" w:type="dxa"/>
            <w:tcBorders>
              <w:top w:val="single" w:sz="4" w:space="0" w:color="002060"/>
              <w:left w:val="nil"/>
              <w:bottom w:val="single" w:sz="4" w:space="0" w:color="002060"/>
              <w:right w:val="nil"/>
            </w:tcBorders>
            <w:shd w:val="clear" w:color="auto" w:fill="auto"/>
            <w:noWrap/>
            <w:vAlign w:val="center"/>
            <w:hideMark/>
          </w:tcPr>
          <w:p w14:paraId="72A4B6CE"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960" w:type="dxa"/>
            <w:tcBorders>
              <w:top w:val="single" w:sz="4" w:space="0" w:color="002060"/>
              <w:left w:val="nil"/>
              <w:bottom w:val="single" w:sz="4" w:space="0" w:color="002060"/>
              <w:right w:val="nil"/>
            </w:tcBorders>
            <w:shd w:val="clear" w:color="auto" w:fill="auto"/>
            <w:noWrap/>
            <w:vAlign w:val="center"/>
            <w:hideMark/>
          </w:tcPr>
          <w:p w14:paraId="3405EAE8"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960" w:type="dxa"/>
            <w:tcBorders>
              <w:top w:val="single" w:sz="4" w:space="0" w:color="002060"/>
              <w:left w:val="nil"/>
              <w:bottom w:val="single" w:sz="4" w:space="0" w:color="002060"/>
              <w:right w:val="nil"/>
            </w:tcBorders>
            <w:shd w:val="clear" w:color="auto" w:fill="auto"/>
            <w:noWrap/>
            <w:vAlign w:val="center"/>
            <w:hideMark/>
          </w:tcPr>
          <w:p w14:paraId="621199AD"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r>
      <w:tr w:rsidR="00F45C01" w:rsidRPr="0062711C" w14:paraId="1CC74DFE" w14:textId="77777777" w:rsidTr="00F45C01">
        <w:trPr>
          <w:trHeight w:val="300"/>
        </w:trPr>
        <w:tc>
          <w:tcPr>
            <w:tcW w:w="1300" w:type="dxa"/>
            <w:tcBorders>
              <w:top w:val="single" w:sz="4" w:space="0" w:color="002060"/>
              <w:left w:val="nil"/>
              <w:bottom w:val="nil"/>
              <w:right w:val="nil"/>
            </w:tcBorders>
            <w:shd w:val="clear" w:color="auto" w:fill="auto"/>
            <w:noWrap/>
            <w:vAlign w:val="center"/>
            <w:hideMark/>
          </w:tcPr>
          <w:p w14:paraId="5F5B959D"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Низак</w:t>
            </w:r>
          </w:p>
        </w:tc>
        <w:tc>
          <w:tcPr>
            <w:tcW w:w="960" w:type="dxa"/>
            <w:tcBorders>
              <w:top w:val="single" w:sz="4" w:space="0" w:color="002060"/>
              <w:left w:val="nil"/>
              <w:bottom w:val="nil"/>
              <w:right w:val="nil"/>
            </w:tcBorders>
            <w:shd w:val="clear" w:color="auto" w:fill="auto"/>
            <w:noWrap/>
            <w:vAlign w:val="center"/>
            <w:hideMark/>
          </w:tcPr>
          <w:p w14:paraId="5787A2C4"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22</w:t>
            </w:r>
          </w:p>
        </w:tc>
        <w:tc>
          <w:tcPr>
            <w:tcW w:w="960" w:type="dxa"/>
            <w:tcBorders>
              <w:top w:val="single" w:sz="4" w:space="0" w:color="002060"/>
              <w:left w:val="nil"/>
              <w:bottom w:val="nil"/>
              <w:right w:val="nil"/>
            </w:tcBorders>
            <w:shd w:val="clear" w:color="auto" w:fill="auto"/>
            <w:noWrap/>
            <w:vAlign w:val="center"/>
            <w:hideMark/>
          </w:tcPr>
          <w:p w14:paraId="097C2747"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23</w:t>
            </w:r>
          </w:p>
        </w:tc>
        <w:tc>
          <w:tcPr>
            <w:tcW w:w="960" w:type="dxa"/>
            <w:tcBorders>
              <w:top w:val="single" w:sz="4" w:space="0" w:color="002060"/>
              <w:left w:val="nil"/>
              <w:bottom w:val="nil"/>
              <w:right w:val="nil"/>
            </w:tcBorders>
            <w:shd w:val="clear" w:color="auto" w:fill="auto"/>
            <w:noWrap/>
            <w:vAlign w:val="center"/>
            <w:hideMark/>
          </w:tcPr>
          <w:p w14:paraId="7AFB7BBF"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23</w:t>
            </w:r>
          </w:p>
        </w:tc>
      </w:tr>
      <w:tr w:rsidR="00F45C01" w:rsidRPr="0062711C" w14:paraId="64A75AEA" w14:textId="77777777" w:rsidTr="00F45C01">
        <w:trPr>
          <w:trHeight w:val="300"/>
        </w:trPr>
        <w:tc>
          <w:tcPr>
            <w:tcW w:w="1300" w:type="dxa"/>
            <w:tcBorders>
              <w:top w:val="nil"/>
              <w:left w:val="nil"/>
              <w:right w:val="nil"/>
            </w:tcBorders>
            <w:shd w:val="clear" w:color="auto" w:fill="auto"/>
            <w:noWrap/>
            <w:vAlign w:val="center"/>
            <w:hideMark/>
          </w:tcPr>
          <w:p w14:paraId="2507C9A4"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Средњи</w:t>
            </w:r>
          </w:p>
        </w:tc>
        <w:tc>
          <w:tcPr>
            <w:tcW w:w="960" w:type="dxa"/>
            <w:tcBorders>
              <w:top w:val="nil"/>
              <w:left w:val="nil"/>
              <w:right w:val="nil"/>
            </w:tcBorders>
            <w:shd w:val="clear" w:color="auto" w:fill="auto"/>
            <w:noWrap/>
            <w:vAlign w:val="center"/>
            <w:hideMark/>
          </w:tcPr>
          <w:p w14:paraId="36CF4D2E"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4</w:t>
            </w:r>
          </w:p>
        </w:tc>
        <w:tc>
          <w:tcPr>
            <w:tcW w:w="960" w:type="dxa"/>
            <w:tcBorders>
              <w:top w:val="nil"/>
              <w:left w:val="nil"/>
              <w:right w:val="nil"/>
            </w:tcBorders>
            <w:shd w:val="clear" w:color="auto" w:fill="auto"/>
            <w:noWrap/>
            <w:vAlign w:val="center"/>
            <w:hideMark/>
          </w:tcPr>
          <w:p w14:paraId="49D0A4D1"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4</w:t>
            </w:r>
          </w:p>
        </w:tc>
        <w:tc>
          <w:tcPr>
            <w:tcW w:w="960" w:type="dxa"/>
            <w:tcBorders>
              <w:top w:val="nil"/>
              <w:left w:val="nil"/>
              <w:right w:val="nil"/>
            </w:tcBorders>
            <w:shd w:val="clear" w:color="auto" w:fill="auto"/>
            <w:noWrap/>
            <w:vAlign w:val="center"/>
            <w:hideMark/>
          </w:tcPr>
          <w:p w14:paraId="644FCE39"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6</w:t>
            </w:r>
          </w:p>
        </w:tc>
      </w:tr>
      <w:tr w:rsidR="00F45C01" w:rsidRPr="0062711C" w14:paraId="5EE4E032" w14:textId="77777777" w:rsidTr="00F45C01">
        <w:trPr>
          <w:trHeight w:val="300"/>
        </w:trPr>
        <w:tc>
          <w:tcPr>
            <w:tcW w:w="1300" w:type="dxa"/>
            <w:tcBorders>
              <w:top w:val="nil"/>
              <w:left w:val="nil"/>
              <w:bottom w:val="single" w:sz="4" w:space="0" w:color="002060"/>
              <w:right w:val="nil"/>
            </w:tcBorders>
            <w:shd w:val="clear" w:color="auto" w:fill="auto"/>
            <w:noWrap/>
            <w:vAlign w:val="center"/>
            <w:hideMark/>
          </w:tcPr>
          <w:p w14:paraId="0357A6AB"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Висок</w:t>
            </w:r>
          </w:p>
        </w:tc>
        <w:tc>
          <w:tcPr>
            <w:tcW w:w="960" w:type="dxa"/>
            <w:tcBorders>
              <w:top w:val="nil"/>
              <w:left w:val="nil"/>
              <w:bottom w:val="single" w:sz="4" w:space="0" w:color="002060"/>
              <w:right w:val="nil"/>
            </w:tcBorders>
            <w:shd w:val="clear" w:color="auto" w:fill="auto"/>
            <w:noWrap/>
            <w:vAlign w:val="center"/>
            <w:hideMark/>
          </w:tcPr>
          <w:p w14:paraId="54A19190"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10</w:t>
            </w:r>
          </w:p>
        </w:tc>
        <w:tc>
          <w:tcPr>
            <w:tcW w:w="960" w:type="dxa"/>
            <w:tcBorders>
              <w:top w:val="nil"/>
              <w:left w:val="nil"/>
              <w:bottom w:val="single" w:sz="4" w:space="0" w:color="002060"/>
              <w:right w:val="nil"/>
            </w:tcBorders>
            <w:shd w:val="clear" w:color="auto" w:fill="auto"/>
            <w:noWrap/>
            <w:vAlign w:val="center"/>
            <w:hideMark/>
          </w:tcPr>
          <w:p w14:paraId="555A17EE"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9</w:t>
            </w:r>
          </w:p>
        </w:tc>
        <w:tc>
          <w:tcPr>
            <w:tcW w:w="960" w:type="dxa"/>
            <w:tcBorders>
              <w:top w:val="nil"/>
              <w:left w:val="nil"/>
              <w:bottom w:val="single" w:sz="4" w:space="0" w:color="002060"/>
              <w:right w:val="nil"/>
            </w:tcBorders>
            <w:shd w:val="clear" w:color="auto" w:fill="auto"/>
            <w:noWrap/>
            <w:vAlign w:val="center"/>
            <w:hideMark/>
          </w:tcPr>
          <w:p w14:paraId="7C54DE66" w14:textId="77777777" w:rsidR="00F45C01" w:rsidRPr="0062711C" w:rsidRDefault="00F45C01" w:rsidP="00F45C01">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7</w:t>
            </w:r>
          </w:p>
        </w:tc>
      </w:tr>
    </w:tbl>
    <w:p w14:paraId="02EB9703" w14:textId="77777777" w:rsidR="00D256C0" w:rsidRPr="0062711C" w:rsidRDefault="00D256C0" w:rsidP="00D256C0">
      <w:pPr>
        <w:spacing w:before="40"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Извор: Министарство финансија</w:t>
      </w:r>
    </w:p>
    <w:p w14:paraId="0E675599" w14:textId="36D37C9D" w:rsidR="00DF0C87" w:rsidRPr="0062711C" w:rsidRDefault="00DF0C87" w:rsidP="00784540">
      <w:pPr>
        <w:spacing w:before="160"/>
        <w:rPr>
          <w:rFonts w:eastAsia="MS PGothic" w:cstheme="minorHAnsi"/>
          <w:szCs w:val="20"/>
          <w:lang w:val="sr-Cyrl-RS" w:eastAsia="ja-JP"/>
        </w:rPr>
      </w:pPr>
      <w:r w:rsidRPr="0062711C">
        <w:rPr>
          <w:rFonts w:eastAsia="MS PGothic" w:cstheme="minorHAnsi"/>
          <w:szCs w:val="20"/>
          <w:lang w:val="sr-Cyrl-RS" w:eastAsia="ja-JP"/>
        </w:rPr>
        <w:t>Према подацима из званичних финансијских извештаја достављених на дан 31. децембра 2023. године, од 36 државних предузећа</w:t>
      </w:r>
      <w:r w:rsidR="00740755" w:rsidRPr="0062711C">
        <w:rPr>
          <w:rFonts w:eastAsia="MS PGothic" w:cstheme="minorHAnsi"/>
          <w:szCs w:val="20"/>
          <w:lang w:val="sr-Cyrl-RS" w:eastAsia="ja-JP"/>
        </w:rPr>
        <w:t xml:space="preserve">, </w:t>
      </w:r>
      <w:r w:rsidRPr="0062711C">
        <w:rPr>
          <w:rFonts w:eastAsia="MS PGothic" w:cstheme="minorHAnsi"/>
          <w:szCs w:val="20"/>
          <w:lang w:val="sr-Cyrl-RS" w:eastAsia="ja-JP"/>
        </w:rPr>
        <w:t>применом овог модела идентификовано је учешће 19,4% државних предузећа која су високоризична, 16,7% државних предузеће имају умерен ризик док преостала државна предузећа (63,9%) имају низак ризик у пословању. Државна предузећа код којих је идентификован висок ризик пословања су из енергетског сектора, железничког саобраћаја и грађевинско-техничке гране. Посматрано кроз годишње периоде, приметан је опадајући тренд код високоризичних предузећа, где је у 2021. години било 10 високоризичних предузећа, док се на крају 2023. године тај број смањио на 7.</w:t>
      </w:r>
    </w:p>
    <w:p w14:paraId="2D4B9192" w14:textId="784DEBB6"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Како прилагођени Алтмана З</w:t>
      </w:r>
      <w:r w:rsidR="00935559">
        <w:rPr>
          <w:rFonts w:eastAsia="MS PGothic" w:cstheme="minorHAnsi"/>
          <w:szCs w:val="20"/>
          <w:lang w:val="sr-Cyrl-RS" w:eastAsia="ja-JP"/>
        </w:rPr>
        <w:t>"</w:t>
      </w:r>
      <w:r w:rsidRPr="0062711C">
        <w:rPr>
          <w:rFonts w:eastAsia="MS PGothic" w:cstheme="minorHAnsi"/>
          <w:szCs w:val="20"/>
          <w:lang w:val="sr-Cyrl-RS" w:eastAsia="ja-JP"/>
        </w:rPr>
        <w:t xml:space="preserve"> модел користи само квантитативне податке, Сектор за праћење фискалних ризика ће наставити да ради на унапређењу овог модела са додатним квалитативним информацијама које могу бити од значаја за процену ризика</w:t>
      </w:r>
      <w:r w:rsidR="007666F4" w:rsidRPr="0062711C">
        <w:rPr>
          <w:rFonts w:eastAsia="MS PGothic" w:cstheme="minorHAnsi"/>
          <w:szCs w:val="20"/>
          <w:lang w:val="sr-Cyrl-RS" w:eastAsia="ja-JP"/>
        </w:rPr>
        <w:t xml:space="preserve"> пословања државних предузећа.</w:t>
      </w:r>
    </w:p>
    <w:p w14:paraId="471C505A"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Уплата добити</w:t>
      </w:r>
    </w:p>
    <w:p w14:paraId="24435D05"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Уплата добити од стране државних предузећа и дивиденди друштава капитала у којима држава има власништво представљају део непореских прихода. Од успешности пословања ових предузећа зависи и висина прихода буџета по овом основу. Уплата редовне добити и дивиденди је редован буџетски непорески приход, док се уплате из нераспоређене добити третирају као приход са једнократним карактером и не представљају трајни извор прихода.</w:t>
      </w:r>
    </w:p>
    <w:p w14:paraId="475457DE"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Привредна друштва чији је оснивач Република Србија или у којима Република Србија има учешће у власништву дужна су да најкасније до 30. новембра текуће буџетске године у буџет Републике Србије уплате најмање 50% сразмерног дела добити по завршном рачуну за претходну годину, који у складу са законом који уређује привредна друштва припада Републици Србији као члану друштва.</w:t>
      </w:r>
    </w:p>
    <w:p w14:paraId="09BBAB54"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Изузетно, уз сагласност Владе, обавезу по основу уплате добити нема субјекат који донесе одлуку да из добити покрије губитак или повећа капитал или средства употреби за финансирање инвестиција.</w:t>
      </w:r>
    </w:p>
    <w:p w14:paraId="7FA87A85"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Од стране 36 државних предузећа која прати Сектор за праћење фискалних ризика, у току 2023. године по овом основу уплаћено је 4,3 млрд динара у буџет Републике.</w:t>
      </w:r>
    </w:p>
    <w:p w14:paraId="7D714BAE" w14:textId="77777777" w:rsidR="00DF0C87" w:rsidRPr="0062711C" w:rsidRDefault="00DF0C87" w:rsidP="00DF0C87">
      <w:pPr>
        <w:rPr>
          <w:rFonts w:eastAsia="MS PGothic" w:cstheme="minorHAnsi"/>
          <w:szCs w:val="20"/>
          <w:lang w:val="sr-Cyrl-RS" w:eastAsia="ja-JP"/>
        </w:rPr>
        <w:sectPr w:rsidR="00DF0C87" w:rsidRPr="0062711C" w:rsidSect="00F45C01">
          <w:type w:val="continuous"/>
          <w:pgSz w:w="12240" w:h="15840"/>
          <w:pgMar w:top="1440" w:right="1440" w:bottom="1440" w:left="1440" w:header="720" w:footer="720" w:gutter="0"/>
          <w:cols w:num="2" w:space="720"/>
          <w:docGrid w:linePitch="360"/>
        </w:sectPr>
      </w:pPr>
    </w:p>
    <w:p w14:paraId="7E714CB7" w14:textId="76ABE2B9"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Табела 2</w:t>
      </w:r>
      <w:r w:rsidR="00BB1E84">
        <w:rPr>
          <w:rFonts w:eastAsia="MS PGothic" w:cstheme="minorHAnsi"/>
          <w:b/>
          <w:color w:val="002060"/>
          <w:szCs w:val="20"/>
          <w:lang w:eastAsia="ja-JP"/>
        </w:rPr>
        <w:t>5</w:t>
      </w:r>
      <w:r w:rsidRPr="0062711C">
        <w:rPr>
          <w:rFonts w:eastAsia="MS PGothic" w:cstheme="minorHAnsi"/>
          <w:b/>
          <w:color w:val="002060"/>
          <w:szCs w:val="20"/>
          <w:lang w:val="sr-Cyrl-RS" w:eastAsia="ja-JP"/>
        </w:rPr>
        <w:t>: Учешће уплаћене добити у укупним приходима буџета Републике Србије</w:t>
      </w:r>
    </w:p>
    <w:tbl>
      <w:tblPr>
        <w:tblW w:w="5000" w:type="pct"/>
        <w:tblLook w:val="04A0" w:firstRow="1" w:lastRow="0" w:firstColumn="1" w:lastColumn="0" w:noHBand="0" w:noVBand="1"/>
      </w:tblPr>
      <w:tblGrid>
        <w:gridCol w:w="5200"/>
        <w:gridCol w:w="1041"/>
        <w:gridCol w:w="1041"/>
        <w:gridCol w:w="1041"/>
        <w:gridCol w:w="1037"/>
      </w:tblGrid>
      <w:tr w:rsidR="00DF0C87" w:rsidRPr="0062711C" w14:paraId="25CA4323" w14:textId="77777777" w:rsidTr="00133EBC">
        <w:trPr>
          <w:trHeight w:val="318"/>
        </w:trPr>
        <w:tc>
          <w:tcPr>
            <w:tcW w:w="2778" w:type="pct"/>
            <w:tcBorders>
              <w:top w:val="single" w:sz="4" w:space="0" w:color="002060"/>
              <w:left w:val="nil"/>
            </w:tcBorders>
            <w:shd w:val="clear" w:color="auto" w:fill="auto"/>
            <w:noWrap/>
            <w:vAlign w:val="bottom"/>
            <w:hideMark/>
          </w:tcPr>
          <w:p w14:paraId="5B990815" w14:textId="77777777" w:rsidR="00DF0C87" w:rsidRPr="0062711C" w:rsidRDefault="00DF0C87" w:rsidP="00DF0C87">
            <w:pPr>
              <w:spacing w:after="0" w:line="240" w:lineRule="auto"/>
              <w:jc w:val="left"/>
              <w:rPr>
                <w:rFonts w:ascii="Times New Roman" w:eastAsia="Times New Roman" w:hAnsi="Times New Roman" w:cs="Times New Roman"/>
                <w:color w:val="auto"/>
                <w:sz w:val="18"/>
                <w:szCs w:val="18"/>
                <w:lang w:val="sr-Cyrl-RS"/>
              </w:rPr>
            </w:pPr>
          </w:p>
        </w:tc>
        <w:tc>
          <w:tcPr>
            <w:tcW w:w="556" w:type="pct"/>
            <w:tcBorders>
              <w:top w:val="single" w:sz="4" w:space="0" w:color="002060"/>
              <w:bottom w:val="single" w:sz="4" w:space="0" w:color="002060"/>
            </w:tcBorders>
            <w:shd w:val="clear" w:color="auto" w:fill="FFFFFF" w:themeFill="background1"/>
            <w:noWrap/>
            <w:vAlign w:val="center"/>
            <w:hideMark/>
          </w:tcPr>
          <w:p w14:paraId="18D7F45C"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2020</w:t>
            </w:r>
          </w:p>
        </w:tc>
        <w:tc>
          <w:tcPr>
            <w:tcW w:w="556" w:type="pct"/>
            <w:tcBorders>
              <w:top w:val="single" w:sz="4" w:space="0" w:color="002060"/>
              <w:bottom w:val="single" w:sz="4" w:space="0" w:color="002060"/>
            </w:tcBorders>
            <w:shd w:val="clear" w:color="auto" w:fill="FFFFFF" w:themeFill="background1"/>
            <w:noWrap/>
            <w:vAlign w:val="center"/>
            <w:hideMark/>
          </w:tcPr>
          <w:p w14:paraId="2FC62206"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2021</w:t>
            </w:r>
          </w:p>
        </w:tc>
        <w:tc>
          <w:tcPr>
            <w:tcW w:w="556" w:type="pct"/>
            <w:tcBorders>
              <w:top w:val="single" w:sz="4" w:space="0" w:color="002060"/>
              <w:bottom w:val="single" w:sz="4" w:space="0" w:color="002060"/>
            </w:tcBorders>
            <w:shd w:val="clear" w:color="auto" w:fill="FFFFFF" w:themeFill="background1"/>
            <w:noWrap/>
            <w:vAlign w:val="center"/>
            <w:hideMark/>
          </w:tcPr>
          <w:p w14:paraId="5F140749"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2022</w:t>
            </w:r>
          </w:p>
        </w:tc>
        <w:tc>
          <w:tcPr>
            <w:tcW w:w="556" w:type="pct"/>
            <w:tcBorders>
              <w:top w:val="single" w:sz="4" w:space="0" w:color="002060"/>
              <w:bottom w:val="single" w:sz="4" w:space="0" w:color="002060"/>
            </w:tcBorders>
            <w:shd w:val="clear" w:color="auto" w:fill="FFFFFF" w:themeFill="background1"/>
            <w:noWrap/>
            <w:vAlign w:val="center"/>
            <w:hideMark/>
          </w:tcPr>
          <w:p w14:paraId="1E6863D2" w14:textId="77777777" w:rsidR="00DF0C87" w:rsidRPr="0062711C" w:rsidRDefault="00DF0C87" w:rsidP="00DF0C87">
            <w:pPr>
              <w:spacing w:after="0" w:line="240" w:lineRule="auto"/>
              <w:jc w:val="center"/>
              <w:rPr>
                <w:rFonts w:ascii="Calibri" w:eastAsia="Times New Roman" w:hAnsi="Calibri" w:cs="Calibri"/>
                <w:b/>
                <w:bCs/>
                <w:color w:val="002060"/>
                <w:sz w:val="18"/>
                <w:szCs w:val="18"/>
                <w:lang w:val="sr-Cyrl-RS"/>
              </w:rPr>
            </w:pPr>
            <w:r w:rsidRPr="0062711C">
              <w:rPr>
                <w:rFonts w:ascii="Calibri" w:eastAsia="Times New Roman" w:hAnsi="Calibri" w:cs="Calibri"/>
                <w:b/>
                <w:bCs/>
                <w:color w:val="002060"/>
                <w:sz w:val="18"/>
                <w:szCs w:val="18"/>
                <w:lang w:val="sr-Cyrl-RS"/>
              </w:rPr>
              <w:t>2023</w:t>
            </w:r>
          </w:p>
        </w:tc>
      </w:tr>
      <w:tr w:rsidR="00DF0C87" w:rsidRPr="0062711C" w14:paraId="0BA7F01D" w14:textId="77777777" w:rsidTr="00136A9D">
        <w:trPr>
          <w:trHeight w:val="283"/>
        </w:trPr>
        <w:tc>
          <w:tcPr>
            <w:tcW w:w="2778" w:type="pct"/>
            <w:shd w:val="clear" w:color="auto" w:fill="FFFFFF" w:themeFill="background1"/>
            <w:noWrap/>
            <w:vAlign w:val="center"/>
            <w:hideMark/>
          </w:tcPr>
          <w:p w14:paraId="5B7E5301" w14:textId="77777777" w:rsidR="00DF0C87" w:rsidRPr="0062711C" w:rsidRDefault="00DF0C87" w:rsidP="00136A9D">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Укупни приходи буџета Републике Србије, у млрд динара</w:t>
            </w:r>
          </w:p>
        </w:tc>
        <w:tc>
          <w:tcPr>
            <w:tcW w:w="556" w:type="pct"/>
            <w:tcBorders>
              <w:top w:val="single" w:sz="4" w:space="0" w:color="002060"/>
              <w:left w:val="nil"/>
            </w:tcBorders>
            <w:shd w:val="clear" w:color="auto" w:fill="FFFFFF" w:themeFill="background1"/>
            <w:noWrap/>
            <w:vAlign w:val="center"/>
            <w:hideMark/>
          </w:tcPr>
          <w:p w14:paraId="18433D89" w14:textId="614BA0DB"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1.257</w:t>
            </w:r>
            <w:r w:rsidR="0033215B" w:rsidRPr="0062711C">
              <w:rPr>
                <w:rFonts w:ascii="Calibri" w:eastAsia="Times New Roman" w:hAnsi="Calibri" w:cs="Calibri"/>
                <w:color w:val="002060"/>
                <w:sz w:val="18"/>
                <w:szCs w:val="18"/>
                <w:lang w:val="sr-Cyrl-RS"/>
              </w:rPr>
              <w:t>,4</w:t>
            </w:r>
          </w:p>
        </w:tc>
        <w:tc>
          <w:tcPr>
            <w:tcW w:w="556" w:type="pct"/>
            <w:tcBorders>
              <w:top w:val="single" w:sz="4" w:space="0" w:color="002060"/>
            </w:tcBorders>
            <w:shd w:val="clear" w:color="auto" w:fill="FFFFFF" w:themeFill="background1"/>
            <w:noWrap/>
            <w:vAlign w:val="center"/>
            <w:hideMark/>
          </w:tcPr>
          <w:p w14:paraId="669C6105" w14:textId="5DD8863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1.465</w:t>
            </w:r>
            <w:r w:rsidR="0033215B" w:rsidRPr="0062711C">
              <w:rPr>
                <w:rFonts w:ascii="Calibri" w:eastAsia="Times New Roman" w:hAnsi="Calibri" w:cs="Calibri"/>
                <w:color w:val="002060"/>
                <w:sz w:val="18"/>
                <w:szCs w:val="18"/>
                <w:lang w:val="sr-Cyrl-RS"/>
              </w:rPr>
              <w:t>,4</w:t>
            </w:r>
          </w:p>
        </w:tc>
        <w:tc>
          <w:tcPr>
            <w:tcW w:w="556" w:type="pct"/>
            <w:tcBorders>
              <w:top w:val="single" w:sz="4" w:space="0" w:color="002060"/>
            </w:tcBorders>
            <w:shd w:val="clear" w:color="auto" w:fill="FFFFFF" w:themeFill="background1"/>
            <w:noWrap/>
            <w:vAlign w:val="center"/>
            <w:hideMark/>
          </w:tcPr>
          <w:p w14:paraId="1842FC1F" w14:textId="49F3BF58"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1.680</w:t>
            </w:r>
            <w:r w:rsidR="0033215B" w:rsidRPr="0062711C">
              <w:rPr>
                <w:rFonts w:ascii="Calibri" w:eastAsia="Times New Roman" w:hAnsi="Calibri" w:cs="Calibri"/>
                <w:color w:val="002060"/>
                <w:sz w:val="18"/>
                <w:szCs w:val="18"/>
                <w:lang w:val="sr-Cyrl-RS"/>
              </w:rPr>
              <w:t>,3</w:t>
            </w:r>
          </w:p>
        </w:tc>
        <w:tc>
          <w:tcPr>
            <w:tcW w:w="556" w:type="pct"/>
            <w:tcBorders>
              <w:top w:val="single" w:sz="4" w:space="0" w:color="002060"/>
            </w:tcBorders>
            <w:shd w:val="clear" w:color="auto" w:fill="FFFFFF" w:themeFill="background1"/>
            <w:noWrap/>
            <w:vAlign w:val="center"/>
            <w:hideMark/>
          </w:tcPr>
          <w:p w14:paraId="5CCEFC0A" w14:textId="4BFCA1E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1.889</w:t>
            </w:r>
            <w:r w:rsidR="0033215B" w:rsidRPr="0062711C">
              <w:rPr>
                <w:rFonts w:ascii="Calibri" w:eastAsia="Times New Roman" w:hAnsi="Calibri" w:cs="Calibri"/>
                <w:color w:val="002060"/>
                <w:sz w:val="18"/>
                <w:szCs w:val="18"/>
                <w:lang w:val="sr-Cyrl-RS"/>
              </w:rPr>
              <w:t>,1</w:t>
            </w:r>
          </w:p>
        </w:tc>
      </w:tr>
      <w:tr w:rsidR="00DF0C87" w:rsidRPr="0062711C" w14:paraId="230A56FF" w14:textId="77777777" w:rsidTr="00136A9D">
        <w:trPr>
          <w:trHeight w:val="283"/>
        </w:trPr>
        <w:tc>
          <w:tcPr>
            <w:tcW w:w="2778" w:type="pct"/>
            <w:tcBorders>
              <w:top w:val="nil"/>
            </w:tcBorders>
            <w:shd w:val="clear" w:color="auto" w:fill="FFFFFF" w:themeFill="background1"/>
            <w:noWrap/>
            <w:vAlign w:val="center"/>
            <w:hideMark/>
          </w:tcPr>
          <w:p w14:paraId="44B35244" w14:textId="77777777" w:rsidR="00DF0C87" w:rsidRPr="0062711C" w:rsidRDefault="00DF0C87" w:rsidP="00136A9D">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Непорески приходи буџета Републике Србије, у млрд динара</w:t>
            </w:r>
          </w:p>
        </w:tc>
        <w:tc>
          <w:tcPr>
            <w:tcW w:w="556" w:type="pct"/>
            <w:tcBorders>
              <w:top w:val="nil"/>
              <w:left w:val="nil"/>
            </w:tcBorders>
            <w:shd w:val="clear" w:color="auto" w:fill="FFFFFF" w:themeFill="background1"/>
            <w:noWrap/>
            <w:vAlign w:val="center"/>
            <w:hideMark/>
          </w:tcPr>
          <w:p w14:paraId="2E67CA5A"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149,8</w:t>
            </w:r>
          </w:p>
        </w:tc>
        <w:tc>
          <w:tcPr>
            <w:tcW w:w="556" w:type="pct"/>
            <w:tcBorders>
              <w:top w:val="nil"/>
            </w:tcBorders>
            <w:shd w:val="clear" w:color="auto" w:fill="FFFFFF" w:themeFill="background1"/>
            <w:noWrap/>
            <w:vAlign w:val="center"/>
            <w:hideMark/>
          </w:tcPr>
          <w:p w14:paraId="5ECABBC1"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156,6</w:t>
            </w:r>
          </w:p>
        </w:tc>
        <w:tc>
          <w:tcPr>
            <w:tcW w:w="556" w:type="pct"/>
            <w:tcBorders>
              <w:top w:val="nil"/>
            </w:tcBorders>
            <w:shd w:val="clear" w:color="auto" w:fill="FFFFFF" w:themeFill="background1"/>
            <w:noWrap/>
            <w:vAlign w:val="center"/>
            <w:hideMark/>
          </w:tcPr>
          <w:p w14:paraId="2291CBE2"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170,8</w:t>
            </w:r>
          </w:p>
        </w:tc>
        <w:tc>
          <w:tcPr>
            <w:tcW w:w="556" w:type="pct"/>
            <w:tcBorders>
              <w:top w:val="nil"/>
            </w:tcBorders>
            <w:shd w:val="clear" w:color="auto" w:fill="FFFFFF" w:themeFill="background1"/>
            <w:noWrap/>
            <w:vAlign w:val="center"/>
            <w:hideMark/>
          </w:tcPr>
          <w:p w14:paraId="4E475EBD"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193,9</w:t>
            </w:r>
          </w:p>
        </w:tc>
      </w:tr>
      <w:tr w:rsidR="00DF0C87" w:rsidRPr="0062711C" w14:paraId="303A2004" w14:textId="77777777" w:rsidTr="00136A9D">
        <w:trPr>
          <w:trHeight w:val="283"/>
        </w:trPr>
        <w:tc>
          <w:tcPr>
            <w:tcW w:w="2778" w:type="pct"/>
            <w:tcBorders>
              <w:top w:val="nil"/>
            </w:tcBorders>
            <w:shd w:val="clear" w:color="auto" w:fill="FFFFFF" w:themeFill="background1"/>
            <w:noWrap/>
            <w:vAlign w:val="center"/>
            <w:hideMark/>
          </w:tcPr>
          <w:p w14:paraId="5EB84269" w14:textId="77777777" w:rsidR="00DF0C87" w:rsidRPr="0062711C" w:rsidRDefault="00DF0C87" w:rsidP="00136A9D">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Уплаћена добит предузећа, у млрд динара</w:t>
            </w:r>
          </w:p>
        </w:tc>
        <w:tc>
          <w:tcPr>
            <w:tcW w:w="556" w:type="pct"/>
            <w:tcBorders>
              <w:top w:val="nil"/>
              <w:left w:val="nil"/>
            </w:tcBorders>
            <w:shd w:val="clear" w:color="auto" w:fill="FFFFFF" w:themeFill="background1"/>
            <w:noWrap/>
            <w:vAlign w:val="center"/>
            <w:hideMark/>
          </w:tcPr>
          <w:p w14:paraId="5DD8A4D0"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3,0</w:t>
            </w:r>
          </w:p>
        </w:tc>
        <w:tc>
          <w:tcPr>
            <w:tcW w:w="556" w:type="pct"/>
            <w:tcBorders>
              <w:top w:val="nil"/>
            </w:tcBorders>
            <w:shd w:val="clear" w:color="auto" w:fill="FFFFFF" w:themeFill="background1"/>
            <w:noWrap/>
            <w:vAlign w:val="center"/>
            <w:hideMark/>
          </w:tcPr>
          <w:p w14:paraId="5B37A444"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4,6</w:t>
            </w:r>
          </w:p>
        </w:tc>
        <w:tc>
          <w:tcPr>
            <w:tcW w:w="556" w:type="pct"/>
            <w:tcBorders>
              <w:top w:val="nil"/>
            </w:tcBorders>
            <w:shd w:val="clear" w:color="auto" w:fill="FFFFFF" w:themeFill="background1"/>
            <w:noWrap/>
            <w:vAlign w:val="center"/>
            <w:hideMark/>
          </w:tcPr>
          <w:p w14:paraId="00A5A357"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1,9</w:t>
            </w:r>
          </w:p>
        </w:tc>
        <w:tc>
          <w:tcPr>
            <w:tcW w:w="556" w:type="pct"/>
            <w:tcBorders>
              <w:top w:val="nil"/>
            </w:tcBorders>
            <w:shd w:val="clear" w:color="auto" w:fill="FFFFFF" w:themeFill="background1"/>
            <w:noWrap/>
            <w:vAlign w:val="center"/>
            <w:hideMark/>
          </w:tcPr>
          <w:p w14:paraId="6D7803E3" w14:textId="77777777" w:rsidR="00DF0C87" w:rsidRPr="0062711C" w:rsidRDefault="00DF0C87" w:rsidP="00DF0C87">
            <w:pPr>
              <w:spacing w:after="0" w:line="240" w:lineRule="auto"/>
              <w:jc w:val="center"/>
              <w:rPr>
                <w:rFonts w:ascii="Calibri" w:eastAsia="Times New Roman" w:hAnsi="Calibri" w:cs="Calibri"/>
                <w:color w:val="002060"/>
                <w:sz w:val="18"/>
                <w:szCs w:val="18"/>
                <w:lang w:val="sr-Cyrl-RS"/>
              </w:rPr>
            </w:pPr>
            <w:r w:rsidRPr="0062711C">
              <w:rPr>
                <w:rFonts w:ascii="Calibri" w:eastAsia="Times New Roman" w:hAnsi="Calibri" w:cs="Calibri"/>
                <w:color w:val="002060"/>
                <w:sz w:val="18"/>
                <w:szCs w:val="18"/>
                <w:lang w:val="sr-Cyrl-RS"/>
              </w:rPr>
              <w:t>4,3</w:t>
            </w:r>
          </w:p>
        </w:tc>
      </w:tr>
      <w:tr w:rsidR="00DF0C87" w:rsidRPr="0062711C" w14:paraId="746FCE67" w14:textId="77777777" w:rsidTr="00136A9D">
        <w:trPr>
          <w:trHeight w:val="283"/>
        </w:trPr>
        <w:tc>
          <w:tcPr>
            <w:tcW w:w="2778" w:type="pct"/>
            <w:tcBorders>
              <w:top w:val="nil"/>
            </w:tcBorders>
            <w:shd w:val="clear" w:color="auto" w:fill="FFFFFF" w:themeFill="background1"/>
            <w:vAlign w:val="center"/>
            <w:hideMark/>
          </w:tcPr>
          <w:p w14:paraId="40EB04E8" w14:textId="77777777" w:rsidR="00DF0C87" w:rsidRPr="0062711C" w:rsidRDefault="00DF0C87" w:rsidP="00136A9D">
            <w:pPr>
              <w:spacing w:after="0" w:line="240" w:lineRule="auto"/>
              <w:jc w:val="left"/>
              <w:rPr>
                <w:rFonts w:eastAsia="Times New Roman" w:cstheme="minorHAnsi"/>
                <w:i/>
                <w:iCs/>
                <w:color w:val="002060"/>
                <w:sz w:val="18"/>
                <w:szCs w:val="18"/>
                <w:lang w:val="sr-Cyrl-RS"/>
              </w:rPr>
            </w:pPr>
            <w:r w:rsidRPr="0062711C">
              <w:rPr>
                <w:rFonts w:eastAsia="Times New Roman" w:cstheme="minorHAnsi"/>
                <w:i/>
                <w:iCs/>
                <w:color w:val="002060"/>
                <w:sz w:val="18"/>
                <w:szCs w:val="18"/>
                <w:lang w:val="sr-Cyrl-RS"/>
              </w:rPr>
              <w:t>% учешће уплаћене добити у укупним приходима буџета РС</w:t>
            </w:r>
          </w:p>
        </w:tc>
        <w:tc>
          <w:tcPr>
            <w:tcW w:w="556" w:type="pct"/>
            <w:tcBorders>
              <w:top w:val="nil"/>
              <w:left w:val="nil"/>
            </w:tcBorders>
            <w:shd w:val="clear" w:color="auto" w:fill="FFFFFF" w:themeFill="background1"/>
            <w:noWrap/>
            <w:vAlign w:val="center"/>
            <w:hideMark/>
          </w:tcPr>
          <w:p w14:paraId="13280EC0" w14:textId="54B26DD3"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0,2</w:t>
            </w:r>
            <w:r w:rsidR="00DF0C87" w:rsidRPr="0062711C">
              <w:rPr>
                <w:rFonts w:ascii="Calibri" w:eastAsia="Times New Roman" w:hAnsi="Calibri" w:cs="Calibri"/>
                <w:i/>
                <w:iCs/>
                <w:color w:val="002060"/>
                <w:sz w:val="18"/>
                <w:szCs w:val="18"/>
                <w:lang w:val="sr-Cyrl-RS"/>
              </w:rPr>
              <w:t>%</w:t>
            </w:r>
          </w:p>
        </w:tc>
        <w:tc>
          <w:tcPr>
            <w:tcW w:w="556" w:type="pct"/>
            <w:tcBorders>
              <w:top w:val="nil"/>
            </w:tcBorders>
            <w:shd w:val="clear" w:color="auto" w:fill="FFFFFF" w:themeFill="background1"/>
            <w:noWrap/>
            <w:vAlign w:val="center"/>
            <w:hideMark/>
          </w:tcPr>
          <w:p w14:paraId="02CAA6C2" w14:textId="3720CCC1"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0,3</w:t>
            </w:r>
            <w:r w:rsidR="00DF0C87" w:rsidRPr="0062711C">
              <w:rPr>
                <w:rFonts w:ascii="Calibri" w:eastAsia="Times New Roman" w:hAnsi="Calibri" w:cs="Calibri"/>
                <w:i/>
                <w:iCs/>
                <w:color w:val="002060"/>
                <w:sz w:val="18"/>
                <w:szCs w:val="18"/>
                <w:lang w:val="sr-Cyrl-RS"/>
              </w:rPr>
              <w:t>%</w:t>
            </w:r>
          </w:p>
        </w:tc>
        <w:tc>
          <w:tcPr>
            <w:tcW w:w="556" w:type="pct"/>
            <w:tcBorders>
              <w:top w:val="nil"/>
            </w:tcBorders>
            <w:shd w:val="clear" w:color="auto" w:fill="FFFFFF" w:themeFill="background1"/>
            <w:noWrap/>
            <w:vAlign w:val="center"/>
            <w:hideMark/>
          </w:tcPr>
          <w:p w14:paraId="336C0D23" w14:textId="62F83853"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0,1</w:t>
            </w:r>
            <w:r w:rsidR="00DF0C87" w:rsidRPr="0062711C">
              <w:rPr>
                <w:rFonts w:ascii="Calibri" w:eastAsia="Times New Roman" w:hAnsi="Calibri" w:cs="Calibri"/>
                <w:i/>
                <w:iCs/>
                <w:color w:val="002060"/>
                <w:sz w:val="18"/>
                <w:szCs w:val="18"/>
                <w:lang w:val="sr-Cyrl-RS"/>
              </w:rPr>
              <w:t>%</w:t>
            </w:r>
          </w:p>
        </w:tc>
        <w:tc>
          <w:tcPr>
            <w:tcW w:w="556" w:type="pct"/>
            <w:tcBorders>
              <w:top w:val="nil"/>
            </w:tcBorders>
            <w:shd w:val="clear" w:color="auto" w:fill="FFFFFF" w:themeFill="background1"/>
            <w:noWrap/>
            <w:vAlign w:val="center"/>
            <w:hideMark/>
          </w:tcPr>
          <w:p w14:paraId="5340B515" w14:textId="33ABF6B3"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0,2</w:t>
            </w:r>
            <w:r w:rsidR="00DF0C87" w:rsidRPr="0062711C">
              <w:rPr>
                <w:rFonts w:ascii="Calibri" w:eastAsia="Times New Roman" w:hAnsi="Calibri" w:cs="Calibri"/>
                <w:i/>
                <w:iCs/>
                <w:color w:val="002060"/>
                <w:sz w:val="18"/>
                <w:szCs w:val="18"/>
                <w:lang w:val="sr-Cyrl-RS"/>
              </w:rPr>
              <w:t>%</w:t>
            </w:r>
          </w:p>
        </w:tc>
      </w:tr>
      <w:tr w:rsidR="00DF0C87" w:rsidRPr="0062711C" w14:paraId="17595BB5" w14:textId="77777777" w:rsidTr="00136A9D">
        <w:trPr>
          <w:trHeight w:val="283"/>
        </w:trPr>
        <w:tc>
          <w:tcPr>
            <w:tcW w:w="2778" w:type="pct"/>
            <w:tcBorders>
              <w:top w:val="nil"/>
              <w:bottom w:val="single" w:sz="4" w:space="0" w:color="auto"/>
            </w:tcBorders>
            <w:shd w:val="clear" w:color="auto" w:fill="FFFFFF" w:themeFill="background1"/>
            <w:vAlign w:val="center"/>
            <w:hideMark/>
          </w:tcPr>
          <w:p w14:paraId="004E3537" w14:textId="77777777" w:rsidR="00DF0C87" w:rsidRPr="0062711C" w:rsidRDefault="00DF0C87" w:rsidP="00136A9D">
            <w:pPr>
              <w:spacing w:after="0" w:line="240" w:lineRule="auto"/>
              <w:jc w:val="left"/>
              <w:rPr>
                <w:rFonts w:eastAsia="Times New Roman" w:cstheme="minorHAnsi"/>
                <w:i/>
                <w:iCs/>
                <w:color w:val="002060"/>
                <w:sz w:val="18"/>
                <w:szCs w:val="18"/>
                <w:lang w:val="sr-Cyrl-RS"/>
              </w:rPr>
            </w:pPr>
            <w:r w:rsidRPr="0062711C">
              <w:rPr>
                <w:rFonts w:eastAsia="Times New Roman" w:cstheme="minorHAnsi"/>
                <w:i/>
                <w:iCs/>
                <w:color w:val="002060"/>
                <w:sz w:val="18"/>
                <w:szCs w:val="18"/>
                <w:lang w:val="sr-Cyrl-RS"/>
              </w:rPr>
              <w:t>% учешће уплаћене добити у непореским приходима буџета РС</w:t>
            </w:r>
          </w:p>
        </w:tc>
        <w:tc>
          <w:tcPr>
            <w:tcW w:w="556" w:type="pct"/>
            <w:tcBorders>
              <w:top w:val="nil"/>
              <w:left w:val="nil"/>
              <w:bottom w:val="single" w:sz="4" w:space="0" w:color="auto"/>
            </w:tcBorders>
            <w:shd w:val="clear" w:color="auto" w:fill="FFFFFF" w:themeFill="background1"/>
            <w:noWrap/>
            <w:vAlign w:val="center"/>
            <w:hideMark/>
          </w:tcPr>
          <w:p w14:paraId="535C32C1" w14:textId="61F729A1"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2,0</w:t>
            </w:r>
            <w:r w:rsidR="00DF0C87" w:rsidRPr="0062711C">
              <w:rPr>
                <w:rFonts w:ascii="Calibri" w:eastAsia="Times New Roman" w:hAnsi="Calibri" w:cs="Calibri"/>
                <w:i/>
                <w:iCs/>
                <w:color w:val="002060"/>
                <w:sz w:val="18"/>
                <w:szCs w:val="18"/>
                <w:lang w:val="sr-Cyrl-RS"/>
              </w:rPr>
              <w:t>%</w:t>
            </w:r>
          </w:p>
        </w:tc>
        <w:tc>
          <w:tcPr>
            <w:tcW w:w="556" w:type="pct"/>
            <w:tcBorders>
              <w:top w:val="nil"/>
              <w:bottom w:val="single" w:sz="4" w:space="0" w:color="auto"/>
            </w:tcBorders>
            <w:shd w:val="clear" w:color="auto" w:fill="FFFFFF" w:themeFill="background1"/>
            <w:noWrap/>
            <w:vAlign w:val="center"/>
            <w:hideMark/>
          </w:tcPr>
          <w:p w14:paraId="131403AA" w14:textId="50A8904F"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2,9</w:t>
            </w:r>
            <w:r w:rsidR="00DF0C87" w:rsidRPr="0062711C">
              <w:rPr>
                <w:rFonts w:ascii="Calibri" w:eastAsia="Times New Roman" w:hAnsi="Calibri" w:cs="Calibri"/>
                <w:i/>
                <w:iCs/>
                <w:color w:val="002060"/>
                <w:sz w:val="18"/>
                <w:szCs w:val="18"/>
                <w:lang w:val="sr-Cyrl-RS"/>
              </w:rPr>
              <w:t>%</w:t>
            </w:r>
          </w:p>
        </w:tc>
        <w:tc>
          <w:tcPr>
            <w:tcW w:w="556" w:type="pct"/>
            <w:tcBorders>
              <w:top w:val="nil"/>
              <w:bottom w:val="single" w:sz="4" w:space="0" w:color="auto"/>
            </w:tcBorders>
            <w:shd w:val="clear" w:color="auto" w:fill="FFFFFF" w:themeFill="background1"/>
            <w:noWrap/>
            <w:vAlign w:val="center"/>
            <w:hideMark/>
          </w:tcPr>
          <w:p w14:paraId="01DD41B1" w14:textId="082705D2"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1,1</w:t>
            </w:r>
            <w:r w:rsidR="00DF0C87" w:rsidRPr="0062711C">
              <w:rPr>
                <w:rFonts w:ascii="Calibri" w:eastAsia="Times New Roman" w:hAnsi="Calibri" w:cs="Calibri"/>
                <w:i/>
                <w:iCs/>
                <w:color w:val="002060"/>
                <w:sz w:val="18"/>
                <w:szCs w:val="18"/>
                <w:lang w:val="sr-Cyrl-RS"/>
              </w:rPr>
              <w:t>%</w:t>
            </w:r>
          </w:p>
        </w:tc>
        <w:tc>
          <w:tcPr>
            <w:tcW w:w="556" w:type="pct"/>
            <w:tcBorders>
              <w:top w:val="nil"/>
              <w:bottom w:val="single" w:sz="4" w:space="0" w:color="auto"/>
            </w:tcBorders>
            <w:shd w:val="clear" w:color="auto" w:fill="FFFFFF" w:themeFill="background1"/>
            <w:noWrap/>
            <w:vAlign w:val="center"/>
            <w:hideMark/>
          </w:tcPr>
          <w:p w14:paraId="202DC7DE" w14:textId="38D7703E" w:rsidR="00DF0C87" w:rsidRPr="0062711C" w:rsidRDefault="00CD2C67" w:rsidP="00DF0C87">
            <w:pPr>
              <w:spacing w:after="0" w:line="240" w:lineRule="auto"/>
              <w:jc w:val="center"/>
              <w:rPr>
                <w:rFonts w:ascii="Calibri" w:eastAsia="Times New Roman" w:hAnsi="Calibri" w:cs="Calibri"/>
                <w:i/>
                <w:iCs/>
                <w:color w:val="002060"/>
                <w:sz w:val="18"/>
                <w:szCs w:val="18"/>
                <w:lang w:val="sr-Cyrl-RS"/>
              </w:rPr>
            </w:pPr>
            <w:r w:rsidRPr="0062711C">
              <w:rPr>
                <w:rFonts w:ascii="Calibri" w:eastAsia="Times New Roman" w:hAnsi="Calibri" w:cs="Calibri"/>
                <w:i/>
                <w:iCs/>
                <w:color w:val="002060"/>
                <w:sz w:val="18"/>
                <w:szCs w:val="18"/>
                <w:lang w:val="sr-Cyrl-RS"/>
              </w:rPr>
              <w:t>2,2</w:t>
            </w:r>
            <w:r w:rsidR="00DF0C87" w:rsidRPr="0062711C">
              <w:rPr>
                <w:rFonts w:ascii="Calibri" w:eastAsia="Times New Roman" w:hAnsi="Calibri" w:cs="Calibri"/>
                <w:i/>
                <w:iCs/>
                <w:color w:val="002060"/>
                <w:sz w:val="18"/>
                <w:szCs w:val="18"/>
                <w:lang w:val="sr-Cyrl-RS"/>
              </w:rPr>
              <w:t>%</w:t>
            </w:r>
          </w:p>
        </w:tc>
      </w:tr>
    </w:tbl>
    <w:p w14:paraId="14030570" w14:textId="5E3879B5" w:rsidR="00DF0C87" w:rsidRPr="0062711C" w:rsidRDefault="00DF0C87" w:rsidP="00DF0C87">
      <w:pPr>
        <w:spacing w:after="0" w:line="276" w:lineRule="auto"/>
        <w:rPr>
          <w:rFonts w:eastAsia="MS PGothic" w:cstheme="minorHAnsi"/>
          <w:sz w:val="16"/>
          <w:szCs w:val="16"/>
          <w:lang w:val="sr-Cyrl-RS" w:eastAsia="ja-JP"/>
        </w:rPr>
      </w:pPr>
      <w:r w:rsidRPr="0062711C">
        <w:rPr>
          <w:rFonts w:eastAsia="MS PGothic" w:cstheme="minorHAnsi"/>
          <w:sz w:val="16"/>
          <w:szCs w:val="16"/>
          <w:lang w:val="sr-Cyrl-RS" w:eastAsia="ja-JP"/>
        </w:rPr>
        <w:t>Извор: Министарство финансија</w:t>
      </w:r>
    </w:p>
    <w:p w14:paraId="52F44A2A" w14:textId="77777777" w:rsidR="00DF0C87" w:rsidRPr="0062711C" w:rsidRDefault="00DF0C87" w:rsidP="00DF0C87">
      <w:pPr>
        <w:spacing w:after="0" w:line="276" w:lineRule="auto"/>
        <w:rPr>
          <w:rFonts w:eastAsia="MS PGothic" w:cstheme="minorHAnsi"/>
          <w:sz w:val="16"/>
          <w:szCs w:val="16"/>
          <w:lang w:val="sr-Cyrl-RS" w:eastAsia="ja-JP"/>
        </w:rPr>
        <w:sectPr w:rsidR="00DF0C87" w:rsidRPr="0062711C" w:rsidSect="00F45C01">
          <w:type w:val="continuous"/>
          <w:pgSz w:w="12240" w:h="15840"/>
          <w:pgMar w:top="1440" w:right="1440" w:bottom="1440" w:left="1440" w:header="720" w:footer="720" w:gutter="0"/>
          <w:cols w:space="720"/>
          <w:docGrid w:linePitch="360"/>
        </w:sectPr>
      </w:pPr>
    </w:p>
    <w:p w14:paraId="62AD1996" w14:textId="4475A0C2" w:rsidR="00276C75"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lastRenderedPageBreak/>
        <w:t xml:space="preserve">Укупна уплаћена добит предузећа у буџет </w:t>
      </w:r>
      <w:r w:rsidR="006653CA" w:rsidRPr="0062711C">
        <w:rPr>
          <w:rFonts w:ascii="Calibri" w:eastAsia="MS PGothic" w:hAnsi="Calibri" w:cs="Calibri"/>
          <w:color w:val="44546A"/>
          <w:szCs w:val="20"/>
          <w:lang w:val="sr-Cyrl-RS" w:eastAsia="ja-JP"/>
        </w:rPr>
        <w:t>Републике</w:t>
      </w:r>
      <w:r w:rsidRPr="0062711C">
        <w:rPr>
          <w:rFonts w:ascii="Calibri" w:eastAsia="MS PGothic" w:hAnsi="Calibri" w:cs="Calibri"/>
          <w:color w:val="44546A"/>
          <w:szCs w:val="20"/>
          <w:lang w:val="sr-Cyrl-RS" w:eastAsia="ja-JP"/>
        </w:rPr>
        <w:t xml:space="preserve"> Србије у 2023. години чинила је 0,23% укупног прихода буџета Републике Србије (2022: 0,12%), односно 2,22% непореског прихода буџета Републике Србије (2022: 1,13%). У структури уплата у 2023. години доминантно учешће имају уплате од ЈП „Србијагас</w:t>
      </w:r>
      <w:r w:rsidR="008E4C48" w:rsidRPr="0062711C">
        <w:rPr>
          <w:rFonts w:ascii="Calibri" w:eastAsia="MS PGothic" w:hAnsi="Calibri" w:cs="Calibri"/>
          <w:color w:val="44546A"/>
          <w:szCs w:val="20"/>
          <w:lang w:val="sr-Cyrl-RS" w:eastAsia="ja-JP"/>
        </w:rPr>
        <w:t>”</w:t>
      </w:r>
      <w:r w:rsidRPr="0062711C">
        <w:rPr>
          <w:rFonts w:ascii="Calibri" w:eastAsia="MS PGothic" w:hAnsi="Calibri" w:cs="Calibri"/>
          <w:color w:val="44546A"/>
          <w:szCs w:val="20"/>
          <w:lang w:val="sr-Cyrl-RS" w:eastAsia="ja-JP"/>
        </w:rPr>
        <w:t xml:space="preserve"> 2,2 млрд динара и ЈП „Пошта</w:t>
      </w:r>
      <w:r w:rsidR="008E4C48" w:rsidRPr="0062711C">
        <w:rPr>
          <w:rFonts w:ascii="Calibri" w:eastAsia="MS PGothic" w:hAnsi="Calibri" w:cs="Calibri"/>
          <w:color w:val="44546A"/>
          <w:szCs w:val="20"/>
          <w:lang w:val="sr-Cyrl-RS" w:eastAsia="ja-JP"/>
        </w:rPr>
        <w:t>”</w:t>
      </w:r>
      <w:r w:rsidRPr="0062711C">
        <w:rPr>
          <w:rFonts w:ascii="Calibri" w:eastAsia="MS PGothic" w:hAnsi="Calibri" w:cs="Calibri"/>
          <w:color w:val="44546A"/>
          <w:szCs w:val="20"/>
          <w:lang w:val="sr-Cyrl-RS" w:eastAsia="ja-JP"/>
        </w:rPr>
        <w:t xml:space="preserve"> Србије 1,2 млрд динара.</w:t>
      </w:r>
    </w:p>
    <w:p w14:paraId="5EED054F" w14:textId="7520FCC7" w:rsidR="00DF0C87" w:rsidRPr="0062711C" w:rsidRDefault="00DF0C87" w:rsidP="00DF0C87">
      <w:pPr>
        <w:spacing w:after="120"/>
        <w:jc w:val="center"/>
        <w:rPr>
          <w:rFonts w:eastAsia="MS PGothic" w:cstheme="minorHAnsi"/>
          <w:b/>
          <w:color w:val="002060"/>
          <w:spacing w:val="-4"/>
          <w:szCs w:val="20"/>
          <w:lang w:val="sr-Cyrl-RS" w:eastAsia="ja-JP"/>
        </w:rPr>
      </w:pPr>
      <w:r w:rsidRPr="0062711C">
        <w:rPr>
          <w:rFonts w:eastAsia="MS PGothic" w:cstheme="minorHAnsi"/>
          <w:b/>
          <w:color w:val="002060"/>
          <w:spacing w:val="-4"/>
          <w:szCs w:val="20"/>
          <w:lang w:val="sr-Cyrl-RS" w:eastAsia="ja-JP"/>
        </w:rPr>
        <w:t>Табела 2</w:t>
      </w:r>
      <w:r w:rsidR="00BB1E84">
        <w:rPr>
          <w:rFonts w:eastAsia="MS PGothic" w:cstheme="minorHAnsi"/>
          <w:b/>
          <w:color w:val="002060"/>
          <w:spacing w:val="-4"/>
          <w:szCs w:val="20"/>
          <w:lang w:eastAsia="ja-JP"/>
        </w:rPr>
        <w:t>6</w:t>
      </w:r>
      <w:r w:rsidRPr="0062711C">
        <w:rPr>
          <w:rFonts w:eastAsia="MS PGothic" w:cstheme="minorHAnsi"/>
          <w:b/>
          <w:color w:val="002060"/>
          <w:spacing w:val="-4"/>
          <w:szCs w:val="20"/>
          <w:lang w:val="sr-Cyrl-RS" w:eastAsia="ja-JP"/>
        </w:rPr>
        <w:t>: Уплате добити у буџет РС по предузећимa за 2022. и 2023. годину, млрд динара</w:t>
      </w:r>
    </w:p>
    <w:tbl>
      <w:tblPr>
        <w:tblW w:w="4500" w:type="dxa"/>
        <w:tblLook w:val="04A0" w:firstRow="1" w:lastRow="0" w:firstColumn="1" w:lastColumn="0" w:noHBand="0" w:noVBand="1"/>
      </w:tblPr>
      <w:tblGrid>
        <w:gridCol w:w="2160"/>
        <w:gridCol w:w="1371"/>
        <w:gridCol w:w="969"/>
      </w:tblGrid>
      <w:tr w:rsidR="00DF0C87" w:rsidRPr="0062711C" w14:paraId="1C3FB228" w14:textId="77777777" w:rsidTr="00324199">
        <w:trPr>
          <w:trHeight w:val="388"/>
        </w:trPr>
        <w:tc>
          <w:tcPr>
            <w:tcW w:w="2160" w:type="dxa"/>
            <w:tcBorders>
              <w:top w:val="single" w:sz="4" w:space="0" w:color="002060"/>
              <w:left w:val="nil"/>
              <w:bottom w:val="single" w:sz="4" w:space="0" w:color="002060"/>
              <w:right w:val="nil"/>
            </w:tcBorders>
            <w:shd w:val="clear" w:color="auto" w:fill="FFFFFF" w:themeFill="background1"/>
            <w:vAlign w:val="center"/>
            <w:hideMark/>
          </w:tcPr>
          <w:p w14:paraId="45F198C4" w14:textId="77777777" w:rsidR="00DF0C87" w:rsidRPr="0062711C" w:rsidRDefault="00DF0C87" w:rsidP="00324199">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Уплатиоци добити</w:t>
            </w:r>
          </w:p>
        </w:tc>
        <w:tc>
          <w:tcPr>
            <w:tcW w:w="1371" w:type="dxa"/>
            <w:tcBorders>
              <w:top w:val="single" w:sz="4" w:space="0" w:color="002060"/>
              <w:left w:val="nil"/>
              <w:bottom w:val="single" w:sz="4" w:space="0" w:color="002060"/>
              <w:right w:val="nil"/>
            </w:tcBorders>
            <w:shd w:val="clear" w:color="auto" w:fill="FFFFFF" w:themeFill="background1"/>
            <w:vAlign w:val="center"/>
            <w:hideMark/>
          </w:tcPr>
          <w:p w14:paraId="607E74B6" w14:textId="77777777" w:rsidR="00DF0C87" w:rsidRPr="0062711C" w:rsidRDefault="00DF0C87" w:rsidP="00324199">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2022</w:t>
            </w:r>
          </w:p>
        </w:tc>
        <w:tc>
          <w:tcPr>
            <w:tcW w:w="969" w:type="dxa"/>
            <w:tcBorders>
              <w:top w:val="single" w:sz="4" w:space="0" w:color="002060"/>
              <w:left w:val="nil"/>
              <w:bottom w:val="single" w:sz="4" w:space="0" w:color="002060"/>
              <w:right w:val="nil"/>
            </w:tcBorders>
            <w:shd w:val="clear" w:color="auto" w:fill="FFFFFF" w:themeFill="background1"/>
            <w:vAlign w:val="center"/>
            <w:hideMark/>
          </w:tcPr>
          <w:p w14:paraId="6E505E54" w14:textId="77777777" w:rsidR="00DF0C87" w:rsidRPr="0062711C" w:rsidRDefault="00DF0C87" w:rsidP="00324199">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2023</w:t>
            </w:r>
          </w:p>
        </w:tc>
      </w:tr>
      <w:tr w:rsidR="00DF0C87" w:rsidRPr="0062711C" w14:paraId="684D6A4B" w14:textId="77777777" w:rsidTr="00324199">
        <w:trPr>
          <w:trHeight w:val="240"/>
        </w:trPr>
        <w:tc>
          <w:tcPr>
            <w:tcW w:w="2160" w:type="dxa"/>
            <w:tcBorders>
              <w:top w:val="nil"/>
              <w:left w:val="nil"/>
              <w:bottom w:val="nil"/>
              <w:right w:val="nil"/>
            </w:tcBorders>
            <w:shd w:val="clear" w:color="auto" w:fill="auto"/>
            <w:noWrap/>
            <w:vAlign w:val="center"/>
            <w:hideMark/>
          </w:tcPr>
          <w:p w14:paraId="52A262E6" w14:textId="77777777" w:rsidR="00DF0C87" w:rsidRPr="0062711C" w:rsidRDefault="00DF0C87" w:rsidP="00324199">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 ЈП Србијагас</w:t>
            </w:r>
          </w:p>
        </w:tc>
        <w:tc>
          <w:tcPr>
            <w:tcW w:w="1371" w:type="dxa"/>
            <w:tcBorders>
              <w:top w:val="nil"/>
              <w:left w:val="nil"/>
              <w:bottom w:val="nil"/>
              <w:right w:val="nil"/>
            </w:tcBorders>
            <w:shd w:val="clear" w:color="auto" w:fill="auto"/>
            <w:noWrap/>
            <w:vAlign w:val="center"/>
            <w:hideMark/>
          </w:tcPr>
          <w:p w14:paraId="3AB8FE80"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969" w:type="dxa"/>
            <w:tcBorders>
              <w:top w:val="nil"/>
              <w:left w:val="nil"/>
              <w:bottom w:val="nil"/>
              <w:right w:val="nil"/>
            </w:tcBorders>
            <w:shd w:val="clear" w:color="000000" w:fill="FFFFFF"/>
            <w:noWrap/>
            <w:vAlign w:val="center"/>
            <w:hideMark/>
          </w:tcPr>
          <w:p w14:paraId="66085262"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2,2</w:t>
            </w:r>
          </w:p>
        </w:tc>
      </w:tr>
      <w:tr w:rsidR="00DF0C87" w:rsidRPr="0062711C" w14:paraId="084E3C3E" w14:textId="77777777" w:rsidTr="00324199">
        <w:trPr>
          <w:trHeight w:val="240"/>
        </w:trPr>
        <w:tc>
          <w:tcPr>
            <w:tcW w:w="2160" w:type="dxa"/>
            <w:tcBorders>
              <w:top w:val="nil"/>
              <w:left w:val="nil"/>
              <w:bottom w:val="nil"/>
              <w:right w:val="nil"/>
            </w:tcBorders>
            <w:shd w:val="clear" w:color="auto" w:fill="auto"/>
            <w:noWrap/>
            <w:vAlign w:val="center"/>
            <w:hideMark/>
          </w:tcPr>
          <w:p w14:paraId="7CF3A046" w14:textId="77777777" w:rsidR="00DF0C87" w:rsidRPr="0062711C" w:rsidRDefault="00DF0C87" w:rsidP="00324199">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 ЈП Пошта Србије</w:t>
            </w:r>
          </w:p>
        </w:tc>
        <w:tc>
          <w:tcPr>
            <w:tcW w:w="1371" w:type="dxa"/>
            <w:tcBorders>
              <w:top w:val="nil"/>
              <w:left w:val="nil"/>
              <w:bottom w:val="nil"/>
              <w:right w:val="nil"/>
            </w:tcBorders>
            <w:shd w:val="clear" w:color="auto" w:fill="auto"/>
            <w:noWrap/>
            <w:vAlign w:val="center"/>
            <w:hideMark/>
          </w:tcPr>
          <w:p w14:paraId="2958A640"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1,1</w:t>
            </w:r>
          </w:p>
        </w:tc>
        <w:tc>
          <w:tcPr>
            <w:tcW w:w="969" w:type="dxa"/>
            <w:tcBorders>
              <w:top w:val="nil"/>
              <w:left w:val="nil"/>
              <w:bottom w:val="nil"/>
              <w:right w:val="nil"/>
            </w:tcBorders>
            <w:shd w:val="clear" w:color="000000" w:fill="FFFFFF"/>
            <w:noWrap/>
            <w:vAlign w:val="center"/>
            <w:hideMark/>
          </w:tcPr>
          <w:p w14:paraId="48EEB2CD"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1,2</w:t>
            </w:r>
          </w:p>
        </w:tc>
      </w:tr>
      <w:tr w:rsidR="00DF0C87" w:rsidRPr="0062711C" w14:paraId="0DD6E4A5" w14:textId="77777777" w:rsidTr="00324199">
        <w:trPr>
          <w:trHeight w:val="240"/>
        </w:trPr>
        <w:tc>
          <w:tcPr>
            <w:tcW w:w="2160" w:type="dxa"/>
            <w:tcBorders>
              <w:top w:val="nil"/>
              <w:left w:val="nil"/>
              <w:bottom w:val="nil"/>
              <w:right w:val="nil"/>
            </w:tcBorders>
            <w:shd w:val="clear" w:color="auto" w:fill="auto"/>
            <w:noWrap/>
            <w:vAlign w:val="center"/>
            <w:hideMark/>
          </w:tcPr>
          <w:p w14:paraId="3C69BADD" w14:textId="77777777" w:rsidR="00DF0C87" w:rsidRPr="0062711C" w:rsidRDefault="00DF0C87" w:rsidP="00324199">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 ЈП Србијашуме</w:t>
            </w:r>
          </w:p>
        </w:tc>
        <w:tc>
          <w:tcPr>
            <w:tcW w:w="1371" w:type="dxa"/>
            <w:tcBorders>
              <w:top w:val="nil"/>
              <w:left w:val="nil"/>
              <w:bottom w:val="nil"/>
              <w:right w:val="nil"/>
            </w:tcBorders>
            <w:shd w:val="clear" w:color="auto" w:fill="auto"/>
            <w:noWrap/>
            <w:vAlign w:val="center"/>
            <w:hideMark/>
          </w:tcPr>
          <w:p w14:paraId="3F328DCC"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0,4</w:t>
            </w:r>
          </w:p>
        </w:tc>
        <w:tc>
          <w:tcPr>
            <w:tcW w:w="969" w:type="dxa"/>
            <w:tcBorders>
              <w:top w:val="nil"/>
              <w:left w:val="nil"/>
              <w:bottom w:val="nil"/>
              <w:right w:val="nil"/>
            </w:tcBorders>
            <w:shd w:val="clear" w:color="000000" w:fill="FFFFFF"/>
            <w:noWrap/>
            <w:vAlign w:val="center"/>
            <w:hideMark/>
          </w:tcPr>
          <w:p w14:paraId="117698F7"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0,4</w:t>
            </w:r>
          </w:p>
        </w:tc>
      </w:tr>
      <w:tr w:rsidR="00DF0C87" w:rsidRPr="0062711C" w14:paraId="39954CF1" w14:textId="77777777" w:rsidTr="00324199">
        <w:trPr>
          <w:trHeight w:val="240"/>
        </w:trPr>
        <w:tc>
          <w:tcPr>
            <w:tcW w:w="2160" w:type="dxa"/>
            <w:tcBorders>
              <w:top w:val="nil"/>
              <w:left w:val="nil"/>
              <w:bottom w:val="nil"/>
              <w:right w:val="nil"/>
            </w:tcBorders>
            <w:shd w:val="clear" w:color="auto" w:fill="auto"/>
            <w:noWrap/>
            <w:vAlign w:val="center"/>
            <w:hideMark/>
          </w:tcPr>
          <w:p w14:paraId="080E482A" w14:textId="77777777" w:rsidR="00DF0C87" w:rsidRPr="0062711C" w:rsidRDefault="00DF0C87" w:rsidP="00324199">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 Југоимпорт</w:t>
            </w:r>
          </w:p>
        </w:tc>
        <w:tc>
          <w:tcPr>
            <w:tcW w:w="1371" w:type="dxa"/>
            <w:tcBorders>
              <w:top w:val="nil"/>
              <w:left w:val="nil"/>
              <w:bottom w:val="nil"/>
              <w:right w:val="nil"/>
            </w:tcBorders>
            <w:shd w:val="clear" w:color="auto" w:fill="auto"/>
            <w:noWrap/>
            <w:vAlign w:val="center"/>
            <w:hideMark/>
          </w:tcPr>
          <w:p w14:paraId="26F32BE8"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0,0</w:t>
            </w:r>
          </w:p>
        </w:tc>
        <w:tc>
          <w:tcPr>
            <w:tcW w:w="969" w:type="dxa"/>
            <w:tcBorders>
              <w:top w:val="nil"/>
              <w:left w:val="nil"/>
              <w:bottom w:val="nil"/>
              <w:right w:val="nil"/>
            </w:tcBorders>
            <w:shd w:val="clear" w:color="000000" w:fill="FFFFFF"/>
            <w:noWrap/>
            <w:vAlign w:val="center"/>
            <w:hideMark/>
          </w:tcPr>
          <w:p w14:paraId="59E8230B"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0,2</w:t>
            </w:r>
          </w:p>
        </w:tc>
      </w:tr>
      <w:tr w:rsidR="00DF0C87" w:rsidRPr="0062711C" w14:paraId="254E5B44" w14:textId="77777777" w:rsidTr="00324199">
        <w:trPr>
          <w:trHeight w:val="240"/>
        </w:trPr>
        <w:tc>
          <w:tcPr>
            <w:tcW w:w="2160" w:type="dxa"/>
            <w:tcBorders>
              <w:top w:val="nil"/>
              <w:left w:val="nil"/>
              <w:bottom w:val="nil"/>
              <w:right w:val="nil"/>
            </w:tcBorders>
            <w:shd w:val="clear" w:color="auto" w:fill="auto"/>
            <w:noWrap/>
            <w:vAlign w:val="center"/>
            <w:hideMark/>
          </w:tcPr>
          <w:p w14:paraId="2FB57B44" w14:textId="77777777" w:rsidR="00DF0C87" w:rsidRPr="0062711C" w:rsidRDefault="00DF0C87" w:rsidP="00324199">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 xml:space="preserve"> Државна лутрија Србије</w:t>
            </w:r>
          </w:p>
        </w:tc>
        <w:tc>
          <w:tcPr>
            <w:tcW w:w="1371" w:type="dxa"/>
            <w:tcBorders>
              <w:top w:val="nil"/>
              <w:left w:val="nil"/>
              <w:bottom w:val="nil"/>
              <w:right w:val="nil"/>
            </w:tcBorders>
            <w:shd w:val="clear" w:color="auto" w:fill="auto"/>
            <w:noWrap/>
            <w:vAlign w:val="center"/>
            <w:hideMark/>
          </w:tcPr>
          <w:p w14:paraId="60469EA4"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0,1</w:t>
            </w:r>
          </w:p>
        </w:tc>
        <w:tc>
          <w:tcPr>
            <w:tcW w:w="969" w:type="dxa"/>
            <w:tcBorders>
              <w:top w:val="nil"/>
              <w:left w:val="nil"/>
              <w:bottom w:val="nil"/>
              <w:right w:val="nil"/>
            </w:tcBorders>
            <w:shd w:val="clear" w:color="000000" w:fill="FFFFFF"/>
            <w:noWrap/>
            <w:vAlign w:val="center"/>
            <w:hideMark/>
          </w:tcPr>
          <w:p w14:paraId="1040E999"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0,1</w:t>
            </w:r>
          </w:p>
        </w:tc>
      </w:tr>
      <w:tr w:rsidR="00DF0C87" w:rsidRPr="0062711C" w14:paraId="18999F5F" w14:textId="77777777" w:rsidTr="00324199">
        <w:trPr>
          <w:trHeight w:val="240"/>
        </w:trPr>
        <w:tc>
          <w:tcPr>
            <w:tcW w:w="2160" w:type="dxa"/>
            <w:tcBorders>
              <w:top w:val="nil"/>
              <w:left w:val="nil"/>
              <w:bottom w:val="nil"/>
              <w:right w:val="nil"/>
            </w:tcBorders>
            <w:shd w:val="clear" w:color="auto" w:fill="auto"/>
            <w:noWrap/>
            <w:vAlign w:val="center"/>
            <w:hideMark/>
          </w:tcPr>
          <w:p w14:paraId="4A0FFA86" w14:textId="77777777" w:rsidR="00DF0C87" w:rsidRPr="0062711C" w:rsidRDefault="00DF0C87" w:rsidP="00324199">
            <w:pPr>
              <w:spacing w:after="0" w:line="240" w:lineRule="auto"/>
              <w:jc w:val="left"/>
              <w:rPr>
                <w:rFonts w:eastAsia="Times New Roman" w:cstheme="minorHAnsi"/>
                <w:color w:val="002060"/>
                <w:sz w:val="18"/>
                <w:szCs w:val="18"/>
                <w:lang w:val="sr-Cyrl-RS"/>
              </w:rPr>
            </w:pPr>
            <w:r w:rsidRPr="0062711C">
              <w:rPr>
                <w:rFonts w:eastAsia="Times New Roman" w:cstheme="minorHAnsi"/>
                <w:color w:val="002060"/>
                <w:sz w:val="18"/>
                <w:szCs w:val="18"/>
                <w:lang w:val="sr-Cyrl-RS"/>
              </w:rPr>
              <w:t>Остала предузећа</w:t>
            </w:r>
          </w:p>
        </w:tc>
        <w:tc>
          <w:tcPr>
            <w:tcW w:w="1371" w:type="dxa"/>
            <w:tcBorders>
              <w:top w:val="nil"/>
              <w:left w:val="nil"/>
              <w:bottom w:val="nil"/>
              <w:right w:val="nil"/>
            </w:tcBorders>
            <w:shd w:val="clear" w:color="auto" w:fill="auto"/>
            <w:noWrap/>
            <w:vAlign w:val="center"/>
            <w:hideMark/>
          </w:tcPr>
          <w:p w14:paraId="620AB0B5"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0,3</w:t>
            </w:r>
          </w:p>
        </w:tc>
        <w:tc>
          <w:tcPr>
            <w:tcW w:w="969" w:type="dxa"/>
            <w:tcBorders>
              <w:top w:val="nil"/>
              <w:left w:val="nil"/>
              <w:bottom w:val="nil"/>
              <w:right w:val="nil"/>
            </w:tcBorders>
            <w:shd w:val="clear" w:color="000000" w:fill="FFFFFF"/>
            <w:noWrap/>
            <w:vAlign w:val="center"/>
            <w:hideMark/>
          </w:tcPr>
          <w:p w14:paraId="4F29FB47" w14:textId="77777777" w:rsidR="00DF0C87" w:rsidRPr="0062711C" w:rsidRDefault="00DF0C87" w:rsidP="00324199">
            <w:pPr>
              <w:spacing w:after="0" w:line="240" w:lineRule="auto"/>
              <w:jc w:val="center"/>
              <w:rPr>
                <w:rFonts w:eastAsia="Times New Roman" w:cstheme="minorHAnsi"/>
                <w:color w:val="002060"/>
                <w:sz w:val="18"/>
                <w:szCs w:val="18"/>
                <w:lang w:val="sr-Cyrl-RS"/>
              </w:rPr>
            </w:pPr>
            <w:r w:rsidRPr="0062711C">
              <w:rPr>
                <w:rFonts w:eastAsia="Times New Roman" w:cstheme="minorHAnsi"/>
                <w:color w:val="002060"/>
                <w:sz w:val="18"/>
                <w:szCs w:val="18"/>
                <w:lang w:val="sr-Cyrl-RS"/>
              </w:rPr>
              <w:t>0,2</w:t>
            </w:r>
          </w:p>
        </w:tc>
      </w:tr>
      <w:tr w:rsidR="00DF0C87" w:rsidRPr="0062711C" w14:paraId="0A4A84A6" w14:textId="77777777" w:rsidTr="00324199">
        <w:trPr>
          <w:trHeight w:val="240"/>
        </w:trPr>
        <w:tc>
          <w:tcPr>
            <w:tcW w:w="2160" w:type="dxa"/>
            <w:tcBorders>
              <w:top w:val="single" w:sz="4" w:space="0" w:color="002060"/>
              <w:left w:val="nil"/>
              <w:bottom w:val="single" w:sz="4" w:space="0" w:color="002060"/>
              <w:right w:val="nil"/>
            </w:tcBorders>
            <w:shd w:val="clear" w:color="auto" w:fill="FFFFFF" w:themeFill="background1"/>
            <w:vAlign w:val="center"/>
            <w:hideMark/>
          </w:tcPr>
          <w:p w14:paraId="5883CB6A" w14:textId="77777777" w:rsidR="00DF0C87" w:rsidRPr="0062711C" w:rsidRDefault="00DF0C87" w:rsidP="00324199">
            <w:pPr>
              <w:spacing w:after="0" w:line="240" w:lineRule="auto"/>
              <w:jc w:val="left"/>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Укупно</w:t>
            </w:r>
          </w:p>
        </w:tc>
        <w:tc>
          <w:tcPr>
            <w:tcW w:w="1371" w:type="dxa"/>
            <w:tcBorders>
              <w:top w:val="single" w:sz="4" w:space="0" w:color="002060"/>
              <w:left w:val="nil"/>
              <w:bottom w:val="single" w:sz="4" w:space="0" w:color="002060"/>
              <w:right w:val="nil"/>
            </w:tcBorders>
            <w:shd w:val="clear" w:color="auto" w:fill="FFFFFF" w:themeFill="background1"/>
            <w:vAlign w:val="center"/>
            <w:hideMark/>
          </w:tcPr>
          <w:p w14:paraId="531F7B6C" w14:textId="77777777" w:rsidR="00DF0C87" w:rsidRPr="0062711C" w:rsidRDefault="00DF0C87" w:rsidP="00324199">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1,9</w:t>
            </w:r>
          </w:p>
        </w:tc>
        <w:tc>
          <w:tcPr>
            <w:tcW w:w="969" w:type="dxa"/>
            <w:tcBorders>
              <w:top w:val="single" w:sz="4" w:space="0" w:color="002060"/>
              <w:left w:val="nil"/>
              <w:bottom w:val="single" w:sz="4" w:space="0" w:color="002060"/>
              <w:right w:val="nil"/>
            </w:tcBorders>
            <w:shd w:val="clear" w:color="auto" w:fill="FFFFFF" w:themeFill="background1"/>
            <w:vAlign w:val="center"/>
            <w:hideMark/>
          </w:tcPr>
          <w:p w14:paraId="79CEB6DF" w14:textId="77777777" w:rsidR="00DF0C87" w:rsidRPr="0062711C" w:rsidRDefault="00DF0C87" w:rsidP="00324199">
            <w:pPr>
              <w:spacing w:after="0" w:line="240" w:lineRule="auto"/>
              <w:jc w:val="center"/>
              <w:rPr>
                <w:rFonts w:eastAsia="Times New Roman" w:cstheme="minorHAnsi"/>
                <w:b/>
                <w:bCs/>
                <w:color w:val="002060"/>
                <w:sz w:val="18"/>
                <w:szCs w:val="18"/>
                <w:lang w:val="sr-Cyrl-RS"/>
              </w:rPr>
            </w:pPr>
            <w:r w:rsidRPr="0062711C">
              <w:rPr>
                <w:rFonts w:eastAsia="Times New Roman" w:cstheme="minorHAnsi"/>
                <w:b/>
                <w:bCs/>
                <w:color w:val="002060"/>
                <w:sz w:val="18"/>
                <w:szCs w:val="18"/>
                <w:lang w:val="sr-Cyrl-RS"/>
              </w:rPr>
              <w:t>4,3</w:t>
            </w:r>
          </w:p>
        </w:tc>
      </w:tr>
    </w:tbl>
    <w:p w14:paraId="67CF7CB0" w14:textId="77777777" w:rsidR="00DF0C87" w:rsidRPr="0062711C" w:rsidRDefault="00DF0C87" w:rsidP="00DF0C87">
      <w:pPr>
        <w:spacing w:after="0" w:line="276" w:lineRule="auto"/>
        <w:rPr>
          <w:rFonts w:ascii="Calibri" w:eastAsia="MS PGothic" w:hAnsi="Calibri" w:cs="Calibri"/>
          <w:color w:val="44546A"/>
          <w:szCs w:val="20"/>
          <w:lang w:val="sr-Cyrl-RS" w:eastAsia="ja-JP"/>
        </w:rPr>
      </w:pPr>
      <w:r w:rsidRPr="0062711C">
        <w:rPr>
          <w:rFonts w:ascii="Calibri" w:eastAsia="MS PGothic" w:hAnsi="Calibri" w:cs="Calibri"/>
          <w:color w:val="44546A"/>
          <w:sz w:val="16"/>
          <w:szCs w:val="16"/>
          <w:lang w:val="sr-Cyrl-RS" w:eastAsia="ja-JP"/>
        </w:rPr>
        <w:t>Извор: Министарство финансија</w:t>
      </w:r>
    </w:p>
    <w:p w14:paraId="1DEF6879" w14:textId="77777777" w:rsidR="00DF0C87" w:rsidRPr="0062711C" w:rsidRDefault="00DF0C87" w:rsidP="00DF0C87">
      <w:pPr>
        <w:spacing w:after="0"/>
        <w:rPr>
          <w:rFonts w:ascii="Calibri" w:eastAsia="MS PGothic" w:hAnsi="Calibri" w:cs="Calibri"/>
          <w:color w:val="44546A"/>
          <w:szCs w:val="20"/>
          <w:lang w:val="sr-Cyrl-RS" w:eastAsia="ja-JP"/>
        </w:rPr>
      </w:pPr>
    </w:p>
    <w:p w14:paraId="04879917" w14:textId="1B1BD99E" w:rsidR="00DF0C87" w:rsidRPr="0062711C" w:rsidRDefault="00DF0C87" w:rsidP="00DF0C87">
      <w:pPr>
        <w:rPr>
          <w:rFonts w:ascii="Calibri" w:eastAsia="MS PGothic" w:hAnsi="Calibri" w:cs="Calibri"/>
          <w:bCs/>
          <w:color w:val="44546A"/>
          <w:szCs w:val="20"/>
          <w:lang w:val="sr-Cyrl-RS" w:eastAsia="ja-JP"/>
        </w:rPr>
      </w:pPr>
      <w:r w:rsidRPr="0062711C">
        <w:rPr>
          <w:rFonts w:ascii="Calibri" w:eastAsia="MS PGothic" w:hAnsi="Calibri" w:cs="Calibri"/>
          <w:color w:val="44546A"/>
          <w:szCs w:val="20"/>
          <w:lang w:val="sr-Cyrl-RS" w:eastAsia="ja-JP"/>
        </w:rPr>
        <w:t>Ублажавање потенцијалних ризика, који настају као последица пословања државних предузећа, обухвата низ мера везаних за одговорност, профитабилност и транспарентност у пословању ових предузећа. Процеси реструктурирања</w:t>
      </w:r>
      <w:r w:rsidRPr="0062711C">
        <w:rPr>
          <w:rFonts w:ascii="Calibri" w:eastAsia="MS PGothic" w:hAnsi="Calibri" w:cs="Calibri"/>
          <w:bCs/>
          <w:color w:val="44546A"/>
          <w:szCs w:val="20"/>
          <w:lang w:val="sr-Cyrl-RS" w:eastAsia="ja-JP"/>
        </w:rPr>
        <w:t xml:space="preserve"> покренути су у „Електропривреди Србије</w:t>
      </w:r>
      <w:r w:rsidR="008E4C48" w:rsidRPr="0062711C">
        <w:rPr>
          <w:rFonts w:ascii="Calibri" w:eastAsia="MS PGothic" w:hAnsi="Calibri" w:cs="Calibri"/>
          <w:bCs/>
          <w:color w:val="44546A"/>
          <w:szCs w:val="20"/>
          <w:lang w:val="sr-Cyrl-RS" w:eastAsia="ja-JP"/>
        </w:rPr>
        <w:t>”</w:t>
      </w:r>
      <w:r w:rsidRPr="0062711C">
        <w:rPr>
          <w:rFonts w:ascii="Calibri" w:eastAsia="MS PGothic" w:hAnsi="Calibri" w:cs="Calibri"/>
          <w:bCs/>
          <w:color w:val="44546A"/>
          <w:szCs w:val="20"/>
          <w:lang w:val="sr-Cyrl-RS" w:eastAsia="ja-JP"/>
        </w:rPr>
        <w:t xml:space="preserve"> ад, ЈП „Србијагас</w:t>
      </w:r>
      <w:r w:rsidRPr="0062711C">
        <w:rPr>
          <w:rFonts w:ascii="Calibri" w:eastAsia="MS PGothic" w:hAnsi="Calibri" w:cs="Calibri"/>
          <w:color w:val="44546A"/>
          <w:szCs w:val="20"/>
          <w:lang w:val="sr-Cyrl-RS" w:eastAsia="ja-JP"/>
        </w:rPr>
        <w:t>”</w:t>
      </w:r>
      <w:r w:rsidRPr="0062711C">
        <w:rPr>
          <w:rFonts w:ascii="Calibri" w:eastAsia="MS PGothic" w:hAnsi="Calibri" w:cs="Calibri"/>
          <w:bCs/>
          <w:color w:val="44546A"/>
          <w:szCs w:val="20"/>
          <w:lang w:val="sr-Cyrl-RS" w:eastAsia="ja-JP"/>
        </w:rPr>
        <w:t xml:space="preserve"> и „Железнице Србије” ад, при чему ће од успешности самог процеса реструктурирања и брзине спровођења усвојених мера зависити ефикасност пословања у будућности.</w:t>
      </w:r>
    </w:p>
    <w:p w14:paraId="6108C47F" w14:textId="77777777" w:rsidR="00DF0C87" w:rsidRPr="0062711C" w:rsidRDefault="00DF0C87" w:rsidP="00DF0C87">
      <w:pPr>
        <w:jc w:val="left"/>
        <w:rPr>
          <w:rFonts w:ascii="Calibri" w:eastAsia="Calibri" w:hAnsi="Calibri" w:cs="Calibri"/>
          <w:b/>
          <w:bCs/>
          <w:color w:val="2F5496" w:themeColor="accent1" w:themeShade="BF"/>
          <w:sz w:val="22"/>
          <w:szCs w:val="20"/>
          <w:lang w:val="sr-Cyrl-RS"/>
        </w:rPr>
      </w:pPr>
      <w:r w:rsidRPr="0062711C">
        <w:rPr>
          <w:rFonts w:ascii="Calibri" w:eastAsia="Calibri" w:hAnsi="Calibri" w:cs="Calibri"/>
          <w:b/>
          <w:bCs/>
          <w:color w:val="2F5496" w:themeColor="accent1" w:themeShade="BF"/>
          <w:sz w:val="22"/>
          <w:szCs w:val="20"/>
          <w:lang w:val="sr-Cyrl-RS"/>
        </w:rPr>
        <w:t>Државне финансијске институције, банкарски систем и осигурање депозита</w:t>
      </w:r>
    </w:p>
    <w:p w14:paraId="28671E5F"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Пре периода фискалне консолидације Република Србија имала је значајне фискалне трошкове спашавања државних банака. Укупни трошкови државних интервенција у банкарском сектору у периоду 2012–2015. године износили су око 900 милиона евра. То је износ издвојен за докапитализацију банака, различите финансијске трансакције приликом припајања неуспешних банака успешнијим, укључујући и исплату осигураних и неосигураних депозита (за шта су коришћена и средства Фонда за осигурање депозита).</w:t>
      </w:r>
    </w:p>
    <w:p w14:paraId="1704DB03"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Република Србија данас у банкарском сектору земље има директан удео у капиталу:</w:t>
      </w:r>
    </w:p>
    <w:p w14:paraId="3052B3EB"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Банке Поштанска штедионица а.д. Београд (78,54%), Српске банке а.д. Београд (76,69%).</w:t>
      </w:r>
    </w:p>
    <w:p w14:paraId="6FCD1031"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 циљу доследног спровођења излазне стратегије и смањења фискалних ризика по овом основу настављају се реформске активности у области државних финансијских институција започете 2012. године, односно 2015. године.</w:t>
      </w:r>
    </w:p>
    <w:p w14:paraId="28F30F21" w14:textId="77777777" w:rsidR="00DF0C87" w:rsidRPr="0062711C" w:rsidRDefault="00DF0C87" w:rsidP="00DF0C87">
      <w:pPr>
        <w:rPr>
          <w:rFonts w:ascii="Calibri" w:eastAsia="MS PGothic" w:hAnsi="Calibri" w:cs="Calibri"/>
          <w:b/>
          <w:color w:val="2F5496" w:themeColor="accent1" w:themeShade="BF"/>
          <w:szCs w:val="20"/>
          <w:lang w:val="sr-Cyrl-RS" w:eastAsia="ja-JP"/>
        </w:rPr>
      </w:pPr>
      <w:r w:rsidRPr="0062711C">
        <w:rPr>
          <w:rFonts w:ascii="Calibri" w:eastAsia="MS PGothic" w:hAnsi="Calibri" w:cs="Calibri"/>
          <w:b/>
          <w:color w:val="2F5496" w:themeColor="accent1" w:themeShade="BF"/>
          <w:szCs w:val="20"/>
          <w:lang w:val="sr-Cyrl-RS" w:eastAsia="ja-JP"/>
        </w:rPr>
        <w:t>Банка Поштанска штедионица (БПШ)</w:t>
      </w:r>
    </w:p>
    <w:p w14:paraId="0F982B0D" w14:textId="05B18AC2"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Пословну стратегију за период 2024-2026. година усвојила је Скупштина БПШ у децембру 2023. године. Према пословној стратегији, БПШ ће наставити са реализацијом активности са акцентом на даље унапређење и развој у следећим областима: пословање са физичким лицима, предузетницима, микро, малим и средњим правним лицима, јединицама локалне самоуправе, јавним предузећима чији је оснивач Република Србија или аутономна покрајина или јединица локалне самоуправе и привредним друштвима у којима Република Србија или аутономна покрајина или јединица локалне самоуправе има власништво; побољшање интерне организације банке, корпоративног управљања и управљања ризиком; јачање ИТ инфраструктуре.</w:t>
      </w:r>
    </w:p>
    <w:p w14:paraId="5BB83ED4"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Како би се омогућило ублажавање економских и финансијских последица, насталих услед пандемије COVID-19, Банка поступа у складу са Законом о утврђивању гарантне шеме као мере подршке привреди за ублажавање последица пандемије болести COVID-19 изазване вирусом SARS-CoV-2 („Службени гласник РС”, бр. 153/20 и 40/21) и Законом о утврђивању друге гарантне шеме као мера додатне подршке привреди услед продуженог негативног утицаја пандемије болести COVID-19 изазване вирусом SARS-CoV-2 („Службени гласник РС”, бр. 40/21 и 129/21).</w:t>
      </w:r>
    </w:p>
    <w:p w14:paraId="464F3231" w14:textId="77777777" w:rsidR="00DF0C87" w:rsidRPr="0062711C" w:rsidRDefault="00DF0C87" w:rsidP="00DF0C87">
      <w:pPr>
        <w:rPr>
          <w:rFonts w:ascii="Calibri" w:eastAsia="MS PGothic" w:hAnsi="Calibri" w:cs="Calibri"/>
          <w:color w:val="2F5496" w:themeColor="accent1" w:themeShade="BF"/>
          <w:szCs w:val="20"/>
          <w:lang w:val="sr-Cyrl-RS" w:eastAsia="ja-JP"/>
        </w:rPr>
      </w:pPr>
      <w:r w:rsidRPr="0062711C">
        <w:rPr>
          <w:rFonts w:ascii="Calibri" w:eastAsia="MS PGothic" w:hAnsi="Calibri" w:cs="Calibri"/>
          <w:b/>
          <w:color w:val="2F5496" w:themeColor="accent1" w:themeShade="BF"/>
          <w:szCs w:val="20"/>
          <w:lang w:val="sr-Cyrl-RS" w:eastAsia="ja-JP"/>
        </w:rPr>
        <w:t>Српска банка</w:t>
      </w:r>
    </w:p>
    <w:p w14:paraId="67456035" w14:textId="3D4D4C1C"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У складу са Владином стратегијом за државне банке, формирана је Стручна радна група за трансформацију Српске банке у специјализовану финансијску институцију за пружање свих врста финансијских услуга и подршке наменској индустрији Републике Србије дана 21. јануара 2019. године и почела је са формалним радом у </w:t>
      </w:r>
      <w:r w:rsidRPr="0062711C">
        <w:rPr>
          <w:rFonts w:ascii="Calibri" w:eastAsia="MS PGothic" w:hAnsi="Calibri" w:cs="Calibri"/>
          <w:color w:val="44546A"/>
          <w:szCs w:val="20"/>
          <w:lang w:val="sr-Cyrl-RS" w:eastAsia="ja-JP"/>
        </w:rPr>
        <w:lastRenderedPageBreak/>
        <w:t>марту 2019. године када је одржана конститутивна седница. Због наставка пандемије COVID-19, као и кризе изазване ратом у Украјини и текућих активности у оквиру Министарства финансија, очекује се да ће активности усмерене на трансформацију Српске банке бити настављене током 2024. године.</w:t>
      </w:r>
    </w:p>
    <w:p w14:paraId="6B88CC5C"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Реформа прописа који уређују српски финансијски систем спроведена је фебруара 2015. године. Једна од карактеристика те реформе јесте и пренос надлежности праћења резултата пословања и рада органа управљања у банкама, друштвима за осигурање и другим финансијским институцијама чији је акционар Република Србија, као и организовање и спровођење поступка продаје акција у њима, са АОД на Министарство финансија, почев од 1. априла 2015. године. Реформом прописа је у домаћу регулативу транспонована и Директива о реструктурирању банака (</w:t>
      </w:r>
      <w:r w:rsidRPr="0062711C">
        <w:rPr>
          <w:rFonts w:ascii="Calibri" w:eastAsia="MS PGothic" w:hAnsi="Calibri" w:cs="Calibri"/>
          <w:i/>
          <w:color w:val="44546A"/>
          <w:szCs w:val="20"/>
          <w:lang w:val="sr-Cyrl-RS" w:eastAsia="ja-JP"/>
        </w:rPr>
        <w:t>Bank Recovery and Resolution Directive – BRRD</w:t>
      </w:r>
      <w:r w:rsidRPr="0062711C">
        <w:rPr>
          <w:rFonts w:ascii="Calibri" w:eastAsia="MS PGothic" w:hAnsi="Calibri" w:cs="Calibri"/>
          <w:color w:val="44546A"/>
          <w:szCs w:val="20"/>
          <w:lang w:val="sr-Cyrl-RS" w:eastAsia="ja-JP"/>
        </w:rPr>
        <w:t>) и функција реструктурирања банака поверена је НБС. У децембру 2016. године усвојен је сет прописа којима се у домаћи регулаторни оквир имплементирају Базел III стандарди, чиме је постигнут значајан степен усклађености домаћих прописа са релевантним прописима ЕУ у овој области, а током 2017. године се наставило са активностима на унапређењу домаћих прописа којима се уређује пословање банака, а у циљу њиховог даљег усклађивања са прописима ЕУ. Основни циљеви усвајања ових прописа су повећање отпорности банкарског сектора повећањем квалитета капитала и увођењем заштитних слојева капитала, боље праћење и контрола изложености банке ризику ликвидности, даље јачање тржишне дисциплине и транспарентности пословања банака у Републици Србији објављивањем свих релевантних информација о пословању банке, као и прилагођавање извештајног система новим регулаторним решењима.</w:t>
      </w:r>
    </w:p>
    <w:p w14:paraId="7A14CFF7"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Један од ограничавајућих фактора за раст кредитне активности представљао је релативно висок ниво проблематичних кредита. У августу 2015. године усвојена је Стратегија за решавање проблематичних кредита која се спроводи имплементацијом два трогодишња акциона плана, један припремљен од стране Владе и други </w:t>
      </w:r>
      <w:r w:rsidRPr="0062711C">
        <w:rPr>
          <w:rFonts w:ascii="Calibri" w:eastAsia="MS PGothic" w:hAnsi="Calibri" w:cs="Calibri"/>
          <w:color w:val="44546A"/>
          <w:szCs w:val="20"/>
          <w:lang w:val="sr-Cyrl-RS" w:eastAsia="ja-JP"/>
        </w:rPr>
        <w:t>припремљен од стране НБС, у циљу спуштања нивоа проблематичних кредита. Кључне области имплементације подразумевале су јачање капацитета банака за решавање проблематичних кредита, унапређење регулативе за процену вредности средстава обезбеђења, развој тржишта проблематичних кредита и др.</w:t>
      </w:r>
    </w:p>
    <w:p w14:paraId="0B7B4253"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На иницијативу Народне банке Србије, 2014. године усвојен је нови Закон о осигурању на основу кога је током 2014. и 2015. године извршена регулаторна реформа у сектору осигурања, које представља други најважнији сегмент на домаћем финансијском тржишту. Регулаторном реформом створени су предуслови за даљи развој тржишта осигурања кроз имплементацију модерних стандарда прилагођених потребама домаћег тржишта. Нови регулаторни оквир омогућио је, између осталог, позитивне резултате који се огледају у расту укупне премије осигурања на тржишту Републике Србије и даљем развоју финансијског тржишта. Исто тако, реформа прописа у овој области је омогућила увођење квалитетнијих услуга друштава за осигурање и бољу заштиту грађана и привредних субјеката који те услуге користе. У току 2021. усвојене су измене и допуна Закона о осигурању, којима је уређена промена власничких права на друштвеном капиталу у друштвима за осигурање. Постојећим прописима којима се уређује делатност осигурања у Републици Србији створени су предуслови за даљу конвергенцију сектора осигурања у Републици Србији на ниво развијености тог сектора у ЕУ. Значајне промене регулаторног оквира у области надзора делатности осигурања тек се очекују с пуним усклађивањем прописа с Директивом о дистрибуцији осигурања (</w:t>
      </w:r>
      <w:r w:rsidRPr="0062711C">
        <w:rPr>
          <w:rFonts w:ascii="Calibri" w:eastAsia="MS PGothic" w:hAnsi="Calibri" w:cs="Calibri"/>
          <w:i/>
          <w:color w:val="44546A"/>
          <w:szCs w:val="20"/>
          <w:lang w:val="sr-Cyrl-RS" w:eastAsia="ja-JP"/>
        </w:rPr>
        <w:t>Directive (EU) 2016/97 — the Insurance Distribution Directive - IDD</w:t>
      </w:r>
      <w:r w:rsidRPr="0062711C">
        <w:rPr>
          <w:rFonts w:ascii="Calibri" w:eastAsia="MS PGothic" w:hAnsi="Calibri" w:cs="Calibri"/>
          <w:color w:val="44546A"/>
          <w:szCs w:val="20"/>
          <w:lang w:val="sr-Cyrl-RS" w:eastAsia="ja-JP"/>
        </w:rPr>
        <w:t>) и применом Солвентности II (</w:t>
      </w:r>
      <w:r w:rsidRPr="0062711C">
        <w:rPr>
          <w:rFonts w:ascii="Calibri" w:eastAsia="MS PGothic" w:hAnsi="Calibri" w:cs="Calibri"/>
          <w:i/>
          <w:color w:val="44546A"/>
          <w:szCs w:val="20"/>
          <w:lang w:val="sr-Cyrl-RS" w:eastAsia="ja-JP"/>
        </w:rPr>
        <w:t>Directive 2009/138/EC of the European Parliament and of the Council on taking-up and pursuit of the business of Insurance and Reinsurance</w:t>
      </w:r>
      <w:r w:rsidRPr="0062711C">
        <w:rPr>
          <w:rFonts w:ascii="Calibri" w:eastAsia="MS PGothic" w:hAnsi="Calibri" w:cs="Calibri"/>
          <w:color w:val="44546A"/>
          <w:szCs w:val="20"/>
          <w:lang w:val="sr-Cyrl-RS" w:eastAsia="ja-JP"/>
        </w:rPr>
        <w:t>).</w:t>
      </w:r>
    </w:p>
    <w:p w14:paraId="12AC2CEB"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Од доношења поменуте стратегије, усвојен је и измењен већи број законских и подзаконских аката, унапређен је институционални капацитет и спроведене су бројне мере за лакши отпис и пренос ненаплативих потраживања и то: усвајањем Закона о изменама и допунама Закона </w:t>
      </w:r>
      <w:r w:rsidRPr="0062711C">
        <w:rPr>
          <w:rFonts w:ascii="Calibri" w:eastAsia="MS PGothic" w:hAnsi="Calibri" w:cs="Calibri"/>
          <w:color w:val="44546A"/>
          <w:szCs w:val="20"/>
          <w:lang w:val="sr-Cyrl-RS" w:eastAsia="ja-JP"/>
        </w:rPr>
        <w:lastRenderedPageBreak/>
        <w:t xml:space="preserve">о хипотеци (2015. године) чија решења су омогућила реафирмацију вансудског поступка намирења из вредности добијене продајом хипотековане непокретности, али и довела до вишег степена правне и економске сигурности учесника у пословима који подразумевају успостављање хипотеке, као средства обезбеђења потраживања; кроз доношење Закона о проценитељима вредности непокретности (почетак примене закона – јун 2017. године) који је, између осталог, увео нову професију – лиценциране проценитеље вредности непокретности и прописао обавезну процену која се спроводи у случајевима који се односе на Закон о хипотеци и Закон о стечају, као и приликом вршења процена за потребе кредитних послова који су обезбеђени хипотеком; образовање Стручног одбора (стручно тело које треба да допринесе уређењу и унапређењу професије проценитеља вредности непокретности) и доношење Националних стандарда, кодекса етике и правила професионалног понашања лиценцираног проценитеља (првобитни у јулу 2017. године, а ажурирани у априлу 2023. године) који, између осталог, дефинишу основе процене вредности непокретности, поступак вршења процене, претпоставке и чињенице од значаја које се морају узети у обзир приликом израде извештаја процене, минимални садржај извештаја o процени и правила професионалног понашања лиценцираног проценитеља; усвајање измена и допуна Закона о порезу на добит правних лица и Закона о порезу на доходак грађана што је омогућило релаксиранију пореску политику за одобравање и отпис банкарских потраживања (крај 2017. године); усвајање амандмана на Закон о стечају којима је скраћен стечајни поступак и побољшан положај осигураних поверилаца (децембра 2017. године); припрему студије о могућностима увођења банкрота приватних појединаца и предузетника у Републици Србији, усвојен је Закон о изменама Закона о парничном поступку и друго. На основу Закона о проценитељима вредности непокретности и Одлуке о садржају, роковима и начину достављања извештаја о проценама вредности непокретности које су предмет хипотеке и кредитима обезбеђеним хипотеком, НБС од 2015. године води базу података о проценама </w:t>
      </w:r>
      <w:r w:rsidRPr="0062711C">
        <w:rPr>
          <w:rFonts w:ascii="Calibri" w:eastAsia="MS PGothic" w:hAnsi="Calibri" w:cs="Calibri"/>
          <w:color w:val="44546A"/>
          <w:szCs w:val="20"/>
          <w:lang w:val="sr-Cyrl-RS" w:eastAsia="ja-JP"/>
        </w:rPr>
        <w:t>вредности непокретности које су предмет хипотеке. У складу с поменутим законом и одлуком, банке и лиценцирани проценитељи могу остварити увид у одређене податке о проценама вредности непокретности које су предмет хипотеке. Крајем 2018. године НБС је усвојила сет подзаконских аката реагујући проактивно на све учесталију појаву ненаменског кредитирања становништва по неоправдано дугим роковима. Ови прописи имају за циљ да допринесу спречавању настанка проблематичних кредита у банкарском сектору и подстакну опрезно преузимање ризика од стране банака њиховим усмеравањем на одрживо кредитирање и избегавање прекомерне изложености одређеним врстама кредитних производа, не нарушавајући тренд раста кредитне активности и водећи рачуна о правима и интересима корисника услуга које пружају банке, а све ради очувања и јачања финансијске стабилности у Републици Србији.</w:t>
      </w:r>
    </w:p>
    <w:p w14:paraId="4332812F" w14:textId="396FA65D"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 циљу унапређења и даљег развоја тржишта капитала, у периоду од 2019. до 2021. године, на предлог Министарства финансија донети су нови следећи закони: Закон о алтернативним инвестиционим фондовима („Сл. гласник РС”, број 73/19) – усвојен у Народној скупштини 10. октобра 2019. године, почео са применом у априлу 2020. године; Закон о отвореним инвестиционим фондовима са јавном понудом („Сл. гласник РС”, број 73/19) - усвојен у Народној скупштини 10. октобра 2019. године, почео са применом у априлу 2020. године; и Закон o тржишту капитала („Сл. гласник РС”, број 129/21) - усвојен у Народној скупштини 23. децембра 2021. године, почео са применом 5. јануара 2023. године.</w:t>
      </w:r>
      <w:r w:rsidR="00784540" w:rsidRPr="0062711C">
        <w:rPr>
          <w:rFonts w:ascii="Calibri" w:eastAsia="MS PGothic" w:hAnsi="Calibri" w:cs="Calibri"/>
          <w:color w:val="44546A"/>
          <w:szCs w:val="20"/>
          <w:lang w:val="sr-Cyrl-RS" w:eastAsia="ja-JP"/>
        </w:rPr>
        <w:t xml:space="preserve"> </w:t>
      </w:r>
      <w:r w:rsidRPr="0062711C">
        <w:rPr>
          <w:rFonts w:ascii="Calibri" w:eastAsia="MS PGothic" w:hAnsi="Calibri" w:cs="Calibri"/>
          <w:color w:val="44546A"/>
          <w:szCs w:val="20"/>
          <w:lang w:val="sr-Cyrl-RS" w:eastAsia="ja-JP"/>
        </w:rPr>
        <w:t>Влада је 27. децембра 2018. године донела Програм за решавање проблематичних кредита за период 2018–2020. године (у даљем тексту: Програм) заједно са Акционим планом за спровођење тог програма чиме је успешно испуњен и реформски циљ унутар програма сарадње са ММФ и зацртан пут за даљи успешан рад на решавању питања проблематичних потраживања.</w:t>
      </w:r>
    </w:p>
    <w:p w14:paraId="0392C54A"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Главни фокус поменутог документа јавне политике представља решавање питања проблематичних пласмана банака у стечају и пласмана у име и за рачун Републике Србије, којима управља АОД. У складу са тим, усвојени су стратешки и годишњи </w:t>
      </w:r>
      <w:r w:rsidRPr="0062711C">
        <w:rPr>
          <w:rFonts w:ascii="Calibri" w:eastAsia="MS PGothic" w:hAnsi="Calibri" w:cs="Calibri"/>
          <w:color w:val="44546A"/>
          <w:szCs w:val="20"/>
          <w:lang w:val="sr-Cyrl-RS" w:eastAsia="ja-JP"/>
        </w:rPr>
        <w:lastRenderedPageBreak/>
        <w:t>оперативни планови за АОД, Резолуција портфеља проблематичних пласмана, и развијени су унутрашњи капацитети за њихово решавање. У јуну 2019. године, АОД успешно је окончала продају првог, „пилот портфеља”, номиналне вредности од око 242 милиона евра, док је дана 30. септембра 2019. године објавила оглас за уступање другог, „великог портфеља”, номиналне вредности од 1,82 милијарде евра. У складу са Закључком Владе 05 Број: 401-1646/2021 од 25. фебруара 2021. године, Закључком Покрајинске владе 127 Број 422-6/2021 од 3. марта 2021. године и одлукама Одбора поверилаца свих финансијских институција у стечају, чија потраживања су предмет уступања, изабрана је најбоља понуда у поступку уступања портфеља потраживања уз накнаду, методом јавног прикупљања понуда тендером и поступак уступања „великог” портфеља је успешно окончан дана 19. априла 2021. године, потписивањем Оквирних уговора о уступању портфеља потраживања и исплатом накнаде за уступање.</w:t>
      </w:r>
    </w:p>
    <w:p w14:paraId="30A759DC"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Након успешно спроведена два поступка уступања потраживања, започете су активности на решавању преосталог портфолија, у складу са тачком 2.3.3. Програма и Акционог плана, а којом је дефинисано да је, након спровођења продаје пилот и великог портфеља, потребно предузети низ активности у погледу реализације преосталог потраживања државних поверилаца.</w:t>
      </w:r>
    </w:p>
    <w:p w14:paraId="1F2F2CAF"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У складу са одлукама Одбора директора и Управног одбора Агенције за осигурање депозита, закључцима Владе и Покрајинске владе, као и одлукама Одбора поверилаца свих финансијских институција чија потраживања су предмет уступања, дана 20. децембра 2022. године објављен је Оглас за уступање портфеља потраживања уз накнаду, методом јавног прикупљања понуда (шифра Јавног позива: ЈПП-1/22). Портфељ који је предмет уступања, са стањем на дан 30. април 2022. године, укупно износи 317.805.038,18 евра и чине га потраживања Агенције у име и за рачун државе и седам финансијских институција од укупно 497 дужника (653 партије). Поступак уступања портфеља потраживања се спроводи кроз двофазни процес – поступак прелиминарне анализе Портфеља и поступак подношења обавезујућих понуда. </w:t>
      </w:r>
      <w:r w:rsidRPr="0062711C">
        <w:rPr>
          <w:rFonts w:ascii="Calibri" w:eastAsia="MS PGothic" w:hAnsi="Calibri" w:cs="Calibri"/>
          <w:color w:val="44546A"/>
          <w:szCs w:val="20"/>
          <w:lang w:val="sr-Cyrl-RS" w:eastAsia="ja-JP"/>
        </w:rPr>
        <w:t>Отварање обавезујућих понуда извршено је 27. априла 2023. године. Примљене су четири обавезујуће понуде, након чега су започети преговори са прворангираним понуђачем. У току преговора, прворангирани понуђач одустао је од даљег поступка јер се у међувремену преусмерио на друге пројекте, те је другорангирном понуђачу упућен позив за отпочињање преговора. Након свих обављених консултација и другорангирани понуђач је одустао од даљег учествовања у поступку. Одбор директора Агенције је дана 3. октобра 2023. године донео Одлуку којом је поступак уступања портфеља проглашен неуспелим. Агенција за осигурање наставила је са поступцима наплате потраживања предметних банака кроз појединачне портфеље у складу са Законом.</w:t>
      </w:r>
    </w:p>
    <w:p w14:paraId="6FD1EE4B" w14:textId="698A8960"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Имплементација других мера за решавање проблематичних кредита, како из Стратегије за решавање проблематичних кредита, тако и из горепоменутог Програма, наставља да даје резултате. Захваљујући примени Стратегије за решавање проблематичних кредита, као и другим регулаторним активностима Народне банке Србије, учешће проблематичних кредита у укупним кредитима банкарског сектора у протеклом периоду знатно је смањено, а затим и задржано на рекордно ниском нивоу упркос вишедимензионалној кризи с којом се Република Србија суочава у протекле три године. На крају </w:t>
      </w:r>
      <w:r w:rsidR="00CE3449" w:rsidRPr="00CE3449">
        <w:rPr>
          <w:rFonts w:ascii="Calibri" w:eastAsia="MS PGothic" w:hAnsi="Calibri" w:cs="Calibri"/>
          <w:color w:val="44546A"/>
          <w:szCs w:val="20"/>
          <w:lang w:val="sr-Cyrl-RS" w:eastAsia="ja-JP"/>
        </w:rPr>
        <w:t>априла 2024. године</w:t>
      </w:r>
      <w:r w:rsidRPr="0062711C">
        <w:rPr>
          <w:rFonts w:ascii="Calibri" w:eastAsia="MS PGothic" w:hAnsi="Calibri" w:cs="Calibri"/>
          <w:color w:val="44546A"/>
          <w:szCs w:val="20"/>
          <w:lang w:val="sr-Cyrl-RS" w:eastAsia="ja-JP"/>
        </w:rPr>
        <w:t>, учешће проблематичних кредита износило је 3,1%, чак 19,2 процентна поена мање него у августу 2015. године, када је усвојена поменута стратегија. То је конкретна потврда да су мере добро дефинисане и да су дале одличне ефекте.</w:t>
      </w:r>
    </w:p>
    <w:p w14:paraId="63AFA057" w14:textId="1F3E369D" w:rsidR="00DF0C87" w:rsidRPr="0062711C" w:rsidRDefault="00DF0C87" w:rsidP="00DF0C87">
      <w:pPr>
        <w:rPr>
          <w:rFonts w:ascii="Calibri" w:eastAsia="MS PGothic" w:hAnsi="Calibri" w:cs="Calibri"/>
          <w:color w:val="44546A"/>
          <w:szCs w:val="20"/>
          <w:highlight w:val="yellow"/>
          <w:lang w:val="sr-Cyrl-RS" w:eastAsia="ja-JP"/>
        </w:rPr>
      </w:pPr>
      <w:r w:rsidRPr="0062711C">
        <w:rPr>
          <w:rFonts w:ascii="Calibri" w:eastAsia="MS PGothic" w:hAnsi="Calibri" w:cs="Calibri"/>
          <w:color w:val="44546A"/>
          <w:szCs w:val="20"/>
          <w:lang w:val="sr-Cyrl-RS" w:eastAsia="ja-JP"/>
        </w:rPr>
        <w:t xml:space="preserve">НБС је деловала и изван оквира Стратегије, попут доношења Одлуке о рачуноводственом отпису билансне активе банке, што је употпунило регулаторне активности. Покривеност проблематичних кредита и даље је на високом нивоу – исправке вредности укупних кредита у </w:t>
      </w:r>
      <w:r w:rsidR="00CE3449" w:rsidRPr="00CE3449">
        <w:rPr>
          <w:rFonts w:ascii="Calibri" w:eastAsia="MS PGothic" w:hAnsi="Calibri" w:cs="Calibri"/>
          <w:color w:val="44546A"/>
          <w:szCs w:val="20"/>
          <w:lang w:val="sr-Cyrl-RS" w:eastAsia="ja-JP"/>
        </w:rPr>
        <w:t>априлу</w:t>
      </w:r>
      <w:r w:rsidR="00CE3449" w:rsidRPr="00CE3449" w:rsidDel="00CE3449">
        <w:rPr>
          <w:rFonts w:ascii="Calibri" w:eastAsia="MS PGothic" w:hAnsi="Calibri" w:cs="Calibri"/>
          <w:color w:val="44546A"/>
          <w:szCs w:val="20"/>
          <w:lang w:val="sr-Cyrl-RS" w:eastAsia="ja-JP"/>
        </w:rPr>
        <w:t xml:space="preserve"> </w:t>
      </w:r>
      <w:r w:rsidRPr="0062711C">
        <w:rPr>
          <w:rFonts w:ascii="Calibri" w:eastAsia="MS PGothic" w:hAnsi="Calibri" w:cs="Calibri"/>
          <w:color w:val="44546A"/>
          <w:szCs w:val="20"/>
          <w:lang w:val="sr-Cyrl-RS" w:eastAsia="ja-JP"/>
        </w:rPr>
        <w:t xml:space="preserve">2024. године износиле су </w:t>
      </w:r>
      <w:r w:rsidR="00CE3449" w:rsidRPr="00CE3449">
        <w:rPr>
          <w:rFonts w:ascii="Calibri" w:eastAsia="MS PGothic" w:hAnsi="Calibri" w:cs="Calibri"/>
          <w:color w:val="44546A"/>
          <w:szCs w:val="20"/>
          <w:lang w:val="sr-Cyrl-RS" w:eastAsia="ja-JP"/>
        </w:rPr>
        <w:t>100,5</w:t>
      </w:r>
      <w:r w:rsidRPr="0062711C">
        <w:rPr>
          <w:rFonts w:ascii="Calibri" w:eastAsia="MS PGothic" w:hAnsi="Calibri" w:cs="Calibri"/>
          <w:color w:val="44546A"/>
          <w:szCs w:val="20"/>
          <w:lang w:val="sr-Cyrl-RS" w:eastAsia="ja-JP"/>
        </w:rPr>
        <w:t>% бруто проблематичних кредита, док су исправке</w:t>
      </w:r>
      <w:r w:rsidRPr="0062711C">
        <w:rPr>
          <w:rFonts w:ascii="Calibri" w:eastAsia="MS PGothic" w:hAnsi="Calibri" w:cs="Calibri"/>
          <w:color w:val="44546A"/>
          <w:szCs w:val="20"/>
          <w:highlight w:val="yellow"/>
          <w:lang w:val="sr-Cyrl-RS" w:eastAsia="ja-JP"/>
        </w:rPr>
        <w:t xml:space="preserve"> </w:t>
      </w:r>
      <w:r w:rsidRPr="0062711C">
        <w:rPr>
          <w:rFonts w:ascii="Calibri" w:eastAsia="MS PGothic" w:hAnsi="Calibri" w:cs="Calibri"/>
          <w:color w:val="44546A"/>
          <w:szCs w:val="20"/>
          <w:lang w:val="sr-Cyrl-RS" w:eastAsia="ja-JP"/>
        </w:rPr>
        <w:t>вредности проблематичних кредита биле на нивоу од 59,</w:t>
      </w:r>
      <w:r w:rsidR="00CE3449">
        <w:rPr>
          <w:rFonts w:ascii="Calibri" w:eastAsia="MS PGothic" w:hAnsi="Calibri" w:cs="Calibri"/>
          <w:color w:val="44546A"/>
          <w:szCs w:val="20"/>
          <w:lang w:val="sr-Cyrl-RS" w:eastAsia="ja-JP"/>
        </w:rPr>
        <w:t>9</w:t>
      </w:r>
      <w:r w:rsidRPr="0062711C">
        <w:rPr>
          <w:rFonts w:ascii="Calibri" w:eastAsia="MS PGothic" w:hAnsi="Calibri" w:cs="Calibri"/>
          <w:color w:val="44546A"/>
          <w:szCs w:val="20"/>
          <w:lang w:val="sr-Cyrl-RS" w:eastAsia="ja-JP"/>
        </w:rPr>
        <w:t xml:space="preserve">% бруто проблематичних кредита, што, недвосмислено, уз све друге показатеље здравља </w:t>
      </w:r>
      <w:r w:rsidRPr="0062711C">
        <w:rPr>
          <w:rFonts w:ascii="Calibri" w:eastAsia="MS PGothic" w:hAnsi="Calibri" w:cs="Calibri"/>
          <w:color w:val="44546A"/>
          <w:szCs w:val="20"/>
          <w:lang w:val="sr-Cyrl-RS" w:eastAsia="ja-JP"/>
        </w:rPr>
        <w:lastRenderedPageBreak/>
        <w:t>финансијског система, потврђује стабилност нашег банкарског сектора.</w:t>
      </w:r>
    </w:p>
    <w:p w14:paraId="63A7156D"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Стварањем стабилних услова пословања, наша економија је ушла у инвестициони циклус 2015. године, и од тада инвестиције по обиму представљају добар део раста економије. Профитабилност привреде расте у условима релативно стабилног курса. Све су то били кључни фактори за одрживо решавање питања проблематичних кредита. То се јасно види и из чињенице да је у гранама које су и носиоци нашег раста, забележен и највећи пад проблематичних кредита – што је евидентно у прерађивачкој индустрији и грађевинарству.</w:t>
      </w:r>
    </w:p>
    <w:p w14:paraId="1BEDDF0D"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Осигурање депозита је механизам који доприноси очувању финансијске стабилности и обезбеђује заштиту депонената. Систем осигурања депозита обезбеђује да се сваком заштићеном депоненту исплати целокупан износ улога у свакој банци до осигураног износа од 50.000 евра у случају стечаја или ликвидације банке. Осигурање депозита регулисано је Законом о осигурању депозита.</w:t>
      </w:r>
    </w:p>
    <w:p w14:paraId="0F92B125"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 октобру 2019. године, усвојен је Закон о изменама и допунама Закона о осигурању депозита из 2019. године, којим се настојало да се систем осигурања депозита додатно усклади са најбољом међународном праксом и стандардима, као и правним тековинама ЕУ и то у погледу: метода обрачуна премије (увођење могућности обрачуна премије на основу нивоа ризика у пословању банака), основице за обрачун премије, висине ванредне премије, заштите депонената спојених или припојених банака, циљног износа фонда за осигурање депозита и др, све са циљем доприноса финансијској стабилности кроз подстицај смањењу ризика у пословању банака, јачање поверења јавности у финансијски систем и повећање ефикасности система осигурања депозита.</w:t>
      </w:r>
    </w:p>
    <w:p w14:paraId="09A28D7F"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Уважавајући одредбе Закона о изменама и допунама Закона о осигурању депозита, премија осигурања депозита се почев од наплате премије за први квартал 2020. године обрачунава на измењену основицу, односно на основу просечног стања укупних осигураних износа до 50.000 евра (осигурањем покривени износ депозита) у банци у </w:t>
      </w:r>
      <w:r w:rsidRPr="0062711C">
        <w:rPr>
          <w:rFonts w:ascii="Calibri" w:eastAsia="MS PGothic" w:hAnsi="Calibri" w:cs="Calibri"/>
          <w:color w:val="44546A"/>
          <w:szCs w:val="20"/>
          <w:lang w:val="sr-Cyrl-RS" w:eastAsia="ja-JP"/>
        </w:rPr>
        <w:t>претходном тромесечју, уместо на основу просечног стања укупних осигураних депозита. Овом изменом, смањене су обавезе банака по основу плаћања премије осигурања депозита у просеку за око 30%, чиме се посредно омогућила већа инвестициона активност банака.</w:t>
      </w:r>
    </w:p>
    <w:p w14:paraId="3C1AE554"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Како је законом уведена и могућност обрачуна премије на основу нивоа ризика у пословању банака, прописана је обавеза Агенцији да донесе Методологију за обрачун премије осигурања депозита на основу нивоа ризика у пословању банака у року од годину дана од дана ступања на снагу овог закона. Управни одбор Агенције усвојио је текст Методологије 15. октобра 2020. године уз претходну сагласност НБС, чиме је испуњена законска обавеза у прописаном року, а посебном одлуком Управног одбора Агенције ће се одлучити о почетку примене Методологије.</w:t>
      </w:r>
    </w:p>
    <w:p w14:paraId="6EDC9716"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 систему осигурања депозита Република Србија је ултимативни гарант исплате осигураних депозита. У сврху обезбеђивања средстава за осигурање депозита АОД наплаћује премију осигурања депозита од банака за рачун Фонда за осигурање депозита, управља имовином фонда и исплаћује депозите до осигураног износа у случају стечаја или ликвидације банке. Додатно, средства фонда се могу користити и за финансирање поступка реструктурирања банака у обиму и под условима утврђеним законом којим се уређују банке. У случају недостајућих средстава у фонду за осигурање депозита, Република Србија обезбеђује исплату било средствима из буџета, било давањем гаранције за задуживање АОД.</w:t>
      </w:r>
    </w:p>
    <w:p w14:paraId="1F9D2373"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Влада је дана 24. марта 2020. године донела Уредбу о улагању за време ванредног стања девизних средстава којима управља Агенција за осигурање депозита, којом је прописано да за време ванредног стања насталог услед болести COVID-19 изазване вирусом SARS-CoV-2 Агенција може улагати више од четвртине девизних средстава Фонда у девизне дужничке хартије од вредности које издаје Република Србија. У складу с Уредбом, Агенција је у року од годину дана од дана престанка ванредног стања (до 6. маја 2021. године) износ девизних средстава Фонда уложених у девизне дужничке хартије од вредности које издаје Република Србија, </w:t>
      </w:r>
      <w:r w:rsidRPr="0062711C">
        <w:rPr>
          <w:rFonts w:ascii="Calibri" w:eastAsia="MS PGothic" w:hAnsi="Calibri" w:cs="Calibri"/>
          <w:color w:val="44546A"/>
          <w:szCs w:val="20"/>
          <w:lang w:val="sr-Cyrl-RS" w:eastAsia="ja-JP"/>
        </w:rPr>
        <w:lastRenderedPageBreak/>
        <w:t>ускладила на ниво законског лимита од 1/4 укупних девизних средстава Фонда.</w:t>
      </w:r>
    </w:p>
    <w:p w14:paraId="6A65C160"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Гаранција исплате осигураних депозита од стране државе, било директно средствима из буџета, или индиректно издавањем гаранција за задуживање АОД, извор је фискалних ризика и могућих фискалних трошкова. Међутим, захваљујући постигнутој стабилности банкарског сектора, од 2015. године није било потребе за коришћењем средстава фонда за осигурање депозита, нити државе по основу исплата осигураних износа депозита.</w:t>
      </w:r>
    </w:p>
    <w:p w14:paraId="5CB86E78"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Умањење фискалних ризика по овом основу зависи од стабилности и одрживости банкарског система. Надзор над банкарским системом, обазривост у пласирању средстава и унапређење квалитета имовине банака су основни стубови стабилног банкарског система.</w:t>
      </w:r>
    </w:p>
    <w:p w14:paraId="2A72CF55" w14:textId="782BAB0E"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Остварени резултати банкарског сектора Републике Србије у 2021. години приказују растућу профитабилност банака. Банкарски сектор Републике Србије је у 2021. години пословао профитабилно, са нето добитком пре опорезивања у износу од 53,9 милијарди динара, што је за 17% више од позитивног резултата оствареног у 2020. години када је нето добитак пре опорезивања износио 46,1 милијарди динара. Банкарски сектор Србије остварио је позитиван финансијски резултат у 2022. години. Нето добитак пре опорезивања на нивоу банкарског сектора у 2022. износио је 99,6 млрд динара, што је за 45,8 млрд динара (или 84,9%) више него претходне године. </w:t>
      </w:r>
      <w:r w:rsidR="007D1393" w:rsidRPr="007D1393">
        <w:rPr>
          <w:rFonts w:ascii="Calibri" w:eastAsia="MS PGothic" w:hAnsi="Calibri" w:cs="Calibri"/>
          <w:color w:val="44546A"/>
          <w:szCs w:val="20"/>
          <w:lang w:val="sr-Cyrl-RS" w:eastAsia="ja-JP"/>
        </w:rPr>
        <w:t xml:space="preserve">Нето добитак пре опорезивања на нивоу банкарског сектора у 2023. </w:t>
      </w:r>
      <w:r w:rsidR="002A0B31">
        <w:rPr>
          <w:rFonts w:ascii="Calibri" w:eastAsia="MS PGothic" w:hAnsi="Calibri" w:cs="Calibri"/>
          <w:color w:val="44546A"/>
          <w:szCs w:val="20"/>
          <w:lang w:val="sr-Cyrl-RS" w:eastAsia="ja-JP"/>
        </w:rPr>
        <w:t xml:space="preserve">години </w:t>
      </w:r>
      <w:r w:rsidR="007D1393" w:rsidRPr="007D1393">
        <w:rPr>
          <w:rFonts w:ascii="Calibri" w:eastAsia="MS PGothic" w:hAnsi="Calibri" w:cs="Calibri"/>
          <w:color w:val="44546A"/>
          <w:szCs w:val="20"/>
          <w:lang w:val="sr-Cyrl-RS" w:eastAsia="ja-JP"/>
        </w:rPr>
        <w:t xml:space="preserve">износио </w:t>
      </w:r>
      <w:r w:rsidR="004F3F63">
        <w:rPr>
          <w:rFonts w:ascii="Calibri" w:eastAsia="MS PGothic" w:hAnsi="Calibri" w:cs="Calibri"/>
          <w:color w:val="44546A"/>
          <w:szCs w:val="20"/>
          <w:lang w:val="sr-Cyrl-RS" w:eastAsia="ja-JP"/>
        </w:rPr>
        <w:t xml:space="preserve">је </w:t>
      </w:r>
      <w:r w:rsidR="007D1393" w:rsidRPr="007D1393">
        <w:rPr>
          <w:rFonts w:ascii="Calibri" w:eastAsia="MS PGothic" w:hAnsi="Calibri" w:cs="Calibri"/>
          <w:color w:val="44546A"/>
          <w:szCs w:val="20"/>
          <w:lang w:val="sr-Cyrl-RS" w:eastAsia="ja-JP"/>
        </w:rPr>
        <w:t>138,2 млрд динара</w:t>
      </w:r>
      <w:r w:rsidR="007D1393">
        <w:rPr>
          <w:rFonts w:ascii="Calibri" w:eastAsia="MS PGothic" w:hAnsi="Calibri" w:cs="Calibri"/>
          <w:color w:val="44546A"/>
          <w:szCs w:val="20"/>
          <w:lang w:val="sr-Cyrl-RS" w:eastAsia="ja-JP"/>
        </w:rPr>
        <w:t>.</w:t>
      </w:r>
      <w:r w:rsidR="007D1393" w:rsidRPr="007D1393">
        <w:rPr>
          <w:rFonts w:ascii="Calibri" w:eastAsia="MS PGothic" w:hAnsi="Calibri" w:cs="Calibri"/>
          <w:color w:val="44546A"/>
          <w:szCs w:val="20"/>
          <w:lang w:val="sr-Cyrl-RS" w:eastAsia="ja-JP"/>
        </w:rPr>
        <w:t xml:space="preserve"> </w:t>
      </w:r>
      <w:r w:rsidRPr="0062711C">
        <w:rPr>
          <w:rFonts w:ascii="Calibri" w:eastAsia="MS PGothic" w:hAnsi="Calibri" w:cs="Calibri"/>
          <w:color w:val="44546A"/>
          <w:szCs w:val="20"/>
          <w:lang w:val="sr-Cyrl-RS" w:eastAsia="ja-JP"/>
        </w:rPr>
        <w:t xml:space="preserve">Банкарски сектор Републике Србије адекватно је капитализован како са становишта оствареног нивоа показатеља адекватности капитала тако и са становишта структуре регулаторног капитала. На крају 2020. и 2021. године, просечна вредност показатеља адекватности капитала на нивоу банкарског сектора Републике Србије износила је 22,42%, односно 20,8%. Током 2022. </w:t>
      </w:r>
      <w:r w:rsidR="007D1393" w:rsidRPr="007D1393">
        <w:rPr>
          <w:rFonts w:ascii="Calibri" w:eastAsia="MS PGothic" w:hAnsi="Calibri" w:cs="Calibri"/>
          <w:color w:val="44546A"/>
          <w:szCs w:val="20"/>
          <w:lang w:val="sr-Cyrl-RS" w:eastAsia="ja-JP"/>
        </w:rPr>
        <w:t xml:space="preserve">и 2023. </w:t>
      </w:r>
      <w:r w:rsidRPr="0062711C">
        <w:rPr>
          <w:rFonts w:ascii="Calibri" w:eastAsia="MS PGothic" w:hAnsi="Calibri" w:cs="Calibri"/>
          <w:color w:val="44546A"/>
          <w:szCs w:val="20"/>
          <w:lang w:val="sr-Cyrl-RS" w:eastAsia="ja-JP"/>
        </w:rPr>
        <w:t>године очувана је висока адекватност капитала банкарског сектора (показатељ адекватности капитала износи 20,2%</w:t>
      </w:r>
      <w:r w:rsidR="007D1393" w:rsidRPr="007D1393">
        <w:t xml:space="preserve"> </w:t>
      </w:r>
      <w:r w:rsidR="007D1393" w:rsidRPr="007D1393">
        <w:rPr>
          <w:rFonts w:ascii="Calibri" w:eastAsia="MS PGothic" w:hAnsi="Calibri" w:cs="Calibri"/>
          <w:color w:val="44546A"/>
          <w:szCs w:val="20"/>
          <w:lang w:val="sr-Cyrl-RS" w:eastAsia="ja-JP"/>
        </w:rPr>
        <w:t>на крају 2022</w:t>
      </w:r>
      <w:r w:rsidR="0017465F">
        <w:rPr>
          <w:rFonts w:ascii="Calibri" w:eastAsia="MS PGothic" w:hAnsi="Calibri" w:cs="Calibri"/>
          <w:color w:val="44546A"/>
          <w:szCs w:val="20"/>
          <w:lang w:val="sr-Cyrl-RS" w:eastAsia="ja-JP"/>
        </w:rPr>
        <w:t>.</w:t>
      </w:r>
      <w:r w:rsidR="007D1393" w:rsidRPr="007D1393">
        <w:rPr>
          <w:rFonts w:ascii="Calibri" w:eastAsia="MS PGothic" w:hAnsi="Calibri" w:cs="Calibri"/>
          <w:color w:val="44546A"/>
          <w:szCs w:val="20"/>
          <w:lang w:val="sr-Cyrl-RS" w:eastAsia="ja-JP"/>
        </w:rPr>
        <w:t>, односно 21,4% на крају 2023</w:t>
      </w:r>
      <w:r w:rsidR="0017465F">
        <w:rPr>
          <w:rFonts w:ascii="Calibri" w:eastAsia="MS PGothic" w:hAnsi="Calibri" w:cs="Calibri"/>
          <w:color w:val="44546A"/>
          <w:szCs w:val="20"/>
          <w:lang w:val="sr-Cyrl-RS" w:eastAsia="ja-JP"/>
        </w:rPr>
        <w:t>.</w:t>
      </w:r>
      <w:r w:rsidRPr="0062711C">
        <w:rPr>
          <w:rFonts w:ascii="Calibri" w:eastAsia="MS PGothic" w:hAnsi="Calibri" w:cs="Calibri"/>
          <w:color w:val="44546A"/>
          <w:szCs w:val="20"/>
          <w:lang w:val="sr-Cyrl-RS" w:eastAsia="ja-JP"/>
        </w:rPr>
        <w:t>).</w:t>
      </w:r>
    </w:p>
    <w:p w14:paraId="1188AC46"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Показатељ адекватности капитала</w:t>
      </w:r>
      <w:r w:rsidRPr="0062711C">
        <w:rPr>
          <w:lang w:val="sr-Cyrl-RS"/>
        </w:rPr>
        <w:t xml:space="preserve"> </w:t>
      </w:r>
      <w:r w:rsidRPr="0062711C">
        <w:rPr>
          <w:rFonts w:ascii="Calibri" w:eastAsia="MS PGothic" w:hAnsi="Calibri" w:cs="Calibri"/>
          <w:color w:val="44546A"/>
          <w:szCs w:val="20"/>
          <w:lang w:val="sr-Cyrl-RS" w:eastAsia="ja-JP"/>
        </w:rPr>
        <w:t>на нивоу банкарског сектора на крају првог тромесечја 2024. године износио је 21,2% (за 0,2 п.п. ниже него крајем 2023) што је значајно изнад прописаног регулаторног минимума од 8%, што указује на високу капитализованост и отпорност банкарског сектора на екстерне и домаће ризике. Имајући у виду ситуацију насталу проглашењем ванредног стања у Републици Србији, како би се омогућило ублажавање економских и финансијских последица насталих услед пандемије COVID-19 предузете су мере подршке привреди које су имале за циљ повећање ликвидности привредних субјеката. Једна од мера јесте била и доношење Уредбе о утврђивању гарантне шеме као мера подршке привреди за ублажавање последица пандемије болести COVID-19 изазване вирусом SARS-CоV-2. Овом уредбом је конституисано утврђивање националне гарантне шеме. Повећање ликвидности привредних субјеката кроз механизам гарантовања Републике Србије за кредите које банке одобравају привредним субјектима за финансирање ликвидности и обртних средстава, а које се омогућава закључењем Уговора о гаранцији Републике Србије за кредитирање привреде с циљем ублажавања негативних последица пандемије болести COVID-19 изазване вирусом SARS-CoV-2, јесте мера која у себи сублимира изузетно важан и нужан механизам ефеката за сва лица са седиштем у Републици Србији укључујући и пољопривредна газдинства, која су регистрована у АПР и класификована као предузетник, или микро, мало и средње привредно друштво у складу са законом којим се уређује рачуноводство, а чија је ликвидност предуслов функционисања привреде Републике Србије.</w:t>
      </w:r>
    </w:p>
    <w:p w14:paraId="4345BC57"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Банке могу да за реализацију кредита пласирају износ до две милијарде евра, при чему је износ од једне милијарде евра, односно износ иницијалног максималног осигураног портфолија по банкама утврђен сходно тржишном учешћу банке према извештају НБС на дан 29. фебруар 2020. године.</w:t>
      </w:r>
    </w:p>
    <w:p w14:paraId="6557374F"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С обзиром на чињеницу да је преко пословних банака, до краја новембра 2020. године, привреди пласирано око 1,5 милијарди евра, од укупно расположиве две милијарде евра, а да је Уредбом </w:t>
      </w:r>
      <w:r w:rsidRPr="0062711C">
        <w:rPr>
          <w:rFonts w:ascii="Calibri" w:eastAsia="MS PGothic" w:hAnsi="Calibri" w:cs="Calibri"/>
          <w:color w:val="44546A"/>
          <w:szCs w:val="20"/>
          <w:lang w:val="sr-Cyrl-RS" w:eastAsia="ja-JP"/>
        </w:rPr>
        <w:lastRenderedPageBreak/>
        <w:t>било прописано да уговор о кредиту мора бити закључен најкасније до 31. децембра 2020. године, као и да уговор o кредиту мора бити пуштен у течај најкасније до 31. јануара 2021. године, јавила се потреба за продужењем рока до када уговор о кредиту мора бити закључен, односно до када уговор o кредиту мора бити пуштен у течај.</w:t>
      </w:r>
    </w:p>
    <w:p w14:paraId="5DF1CC81"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 складу са тим, Народној скупштини предложено је доношење Закона о утврђивању гарантне шеме као мере подршке привреди за ублажавање последица пандемије болести COVID-19 изазване вирусом SARS-CoV-2, који је донет на седници одржаној дана 17. децембра 2020. године и исти је објављен у „Службеном гласнику Републике Србије” број 153/20 од 21. децембра 2020. године. Република Србија је препознала потребу за одобравањем додатних 500 милиона евра помоћи, у циљу одржавања ликвидности чиме ће укупан износ средстава пласираних путем I гарантне шеме достићи износ од 2,5 милијарде евра. С тим у вези, донет је Закон о изменама Закона о утврђивању гарантне шеме као мера подршке привреди за ублажавање последица пандемије болести COVID-19 изазване вирусом SARS-CoV-2 („Службени гласник РС”, број 40/21), којим је, између осталог, продужен рок за пуштање кредита у течај најкасније до 31. јула 2022. године.</w:t>
      </w:r>
    </w:p>
    <w:p w14:paraId="203F65E7"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Уговор о гаранцији Републике Србије за кредитирање привреде с циљем ублажавања негативних последица пандемије болести COVID-19 изазване вирусом SARS-CoV-2 са Републиком Србијом и НБС до сада су потписале 24 банке. Република Србија је пласирала Банкама предвиђених 2,5 милијарди евра, док су Банке, до 31. јула 2022. године, пласирале клијентима око 2,49 милијарди евра. Истовремено, Република Србија је препознала потребу за додатну помоћ најугроженијим предузећима која имају пад пословних прихода већи од 20% у 2020. години, у односу на исти период у 2019. години, те је 22. априла 2021. године донет Закон о утврђивању друге гарантне шеме као мере додатне подршке привреди услед продуженог негативног утицаја пандемије болести COVID-19 изазване вирусом SARS-CoV-2 („Службени гласник РС”, број 40/21) чиме је одобрено додатних 500 милиона евра </w:t>
      </w:r>
      <w:r w:rsidRPr="0062711C">
        <w:rPr>
          <w:rFonts w:ascii="Calibri" w:eastAsia="MS PGothic" w:hAnsi="Calibri" w:cs="Calibri"/>
          <w:color w:val="44546A"/>
          <w:szCs w:val="20"/>
          <w:lang w:val="sr-Cyrl-RS" w:eastAsia="ja-JP"/>
        </w:rPr>
        <w:t>помоћи. У децембру 2021. године донет је Закон о измени и допуни Закона о утврђивању друге гарантне шеме као мера додатне подршке привреди услед продуженог негативног утицаја пандемије болести COVID-19 изазване вирусом SARS-CоV-2 („Службени гласник РС”, број 129/21), којим је предвиђен изузетак да кориснику кредита који спада у предузетнике, микро, мала и средња предузећа која послују у секторима путничког транспорта, угоститељства, туристичких агенција и хотелијерства у градовима, може бити одобрен кредит обезбеђен гаранцијом, у складу са овим законом, и када је укупан износ кредита који је одобрен на основу Закона о утврђивању прве гарантне шеме и кредита одобреног на основу овог закона већи од прописаних прагова и ако су испуњени услови да је корисник превремено и у целости измирио обавезе по кредиту обезбеђеном гаранцијом у складу са Законом о утврђивању прве гарантне шеме, као и да је максимални износ кредита обезбеђеног гаранцијом износ који је једнак мањем од два износа утврђених овим законом.</w:t>
      </w:r>
    </w:p>
    <w:p w14:paraId="3B351E1E"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Услед смањеног одобравања кредита у оквиру друге гарантне шеме, као и евидентно продуженог негативног утицаја пандемије COVID-19, те да је, услед ратних дешавања у Украјини, дошло до промене околности које се нису могле предвидети избијањем пандемије COVID-19, а које паралелно негативно утичу на привредну активност, предвиђена је могућност рефинансирања кредита из прве гаранте шеме кредитима из друге гарантне шеме, привредним субјектима код којих је дошло до смањења или обуставе пословних активности везаних за извоз и увоз роба и услуга на тржишта Украјине, Русије или Белорусије. Рок за пуштање средстава у оквиру друге гарантне шеме истекао је 31. јула 2022. године, а евентуално продужавање прописаних законских рокова условљено је покретањем поступка измене Закона о утврђивању друге гарантне шеме као мера додатне подршке привреди услед продуженог негативног утицаја пандемије болести COVID-19. У оквиру друге гарантне шеме банке су пласирале клијентима до краја јула 2022. године ЕУР 52,4 милиона.</w:t>
      </w:r>
    </w:p>
    <w:p w14:paraId="7FD13E82" w14:textId="0B65C60B"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У складу са изнетим, пројекције фискалних бруто одлива буџета Републике Србије, а на основу </w:t>
      </w:r>
      <w:r w:rsidRPr="0062711C">
        <w:rPr>
          <w:rFonts w:ascii="Calibri" w:eastAsia="MS PGothic" w:hAnsi="Calibri" w:cs="Calibri"/>
          <w:color w:val="44546A"/>
          <w:szCs w:val="20"/>
          <w:lang w:val="sr-Cyrl-RS" w:eastAsia="ja-JP"/>
        </w:rPr>
        <w:lastRenderedPageBreak/>
        <w:t>модела развијеног у сарадњи са ММФ-ом, по основу предметне националне Гарантне шеме износе 14 милион евра за 2024. годину, 3 милиона евра за 2025. годину. Пројекција фискалног бруто одлива буџета Републике Србије по основу друге Гарантне шеме износи 1,8 милиона евра за 2024. годину, 1,4 милиона евра за 2025. годину и 1 милион евра за 2026. годину. По основу обе гарантне шеме реализовано је 2,54 милијарде евра кредита, док је на име активираних гаранција на дан 31</w:t>
      </w:r>
      <w:r w:rsidR="007666F4" w:rsidRPr="0062711C">
        <w:rPr>
          <w:rFonts w:ascii="Calibri" w:eastAsia="MS PGothic" w:hAnsi="Calibri" w:cs="Calibri"/>
          <w:color w:val="44546A"/>
          <w:szCs w:val="20"/>
          <w:lang w:val="sr-Cyrl-RS" w:eastAsia="ja-JP"/>
        </w:rPr>
        <w:t xml:space="preserve">. мај </w:t>
      </w:r>
      <w:r w:rsidRPr="0062711C">
        <w:rPr>
          <w:rFonts w:ascii="Calibri" w:eastAsia="MS PGothic" w:hAnsi="Calibri" w:cs="Calibri"/>
          <w:color w:val="44546A"/>
          <w:szCs w:val="20"/>
          <w:lang w:val="sr-Cyrl-RS" w:eastAsia="ja-JP"/>
        </w:rPr>
        <w:t>2024. године исплаћено 64,98 милиона евра. На исти пресечни датум на име протестованих гаранција, по обе гарантне шеме, наплаћено је ЕУР 4,65 милиона.</w:t>
      </w:r>
    </w:p>
    <w:p w14:paraId="19580AB9"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Што се тиче других финансијских институција, Република Србија има директан удео у капиталу Компаније Дунав осигурање а.д.о. Београд (у даљем тексту: Дунав осигурање) и Дунав Ре а.д.о. Београд (у даљем тексту. Дунав Ре, као и у Националној корпорацији за осигурање стамбених кредита (у даљем тексту: Корпорација).</w:t>
      </w:r>
    </w:p>
    <w:p w14:paraId="61A01AAB"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Успешним и ефикасним спровођењем одредаба закона који је усвојен крајем априла 2021. године – Закона о измени и допунама Закона о осигурању („Службени гласник РС”, број 44/21), а који је био основ за промену власничких права на друштвеном капиталу у друштвима за осигурање, директно учешће Републике Србије у капиталу Дунав је порасло на 76,70%. Такође, како је и у укупном капиталу Дунав Ре постојало мање учешће друштвеног капитала, након промене власничких права у складу са наведеним законом Република Србија је стекла директно учешће од око 4,76% у Дунав Ре.</w:t>
      </w:r>
    </w:p>
    <w:p w14:paraId="562C0C8E"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Иначе, до краја 2014. године учешће друштвеног капитала у укупном капиталу Дунав осигурања је износило 94,61%, што је имало неповољан утицај на пословање Дунав осигурања (пре свега кроз компликовану управљачку структуру), на шта су указивали и ревизорски извештаји за 2012. и 2013. годину у којима је изражено мишљење ревизора са резервом. Имајући у виду значај Дунав осигурања на тржишту осигурања (највећа осигуравајућа компанија), Република Србија је у децембру 2014. године извршила докапитализацију Дунав осигурања са 4,8 милијарди динара, чиме је учешће друштвеног </w:t>
      </w:r>
      <w:r w:rsidRPr="0062711C">
        <w:rPr>
          <w:rFonts w:ascii="Calibri" w:eastAsia="MS PGothic" w:hAnsi="Calibri" w:cs="Calibri"/>
          <w:color w:val="44546A"/>
          <w:szCs w:val="20"/>
          <w:lang w:val="sr-Cyrl-RS" w:eastAsia="ja-JP"/>
        </w:rPr>
        <w:t>капитала сведено на 51,86%. Последњих година пословање Дунав осигурања је стабилно, уз константно побољшање већине показатеља. Приметан је тренд раста добити из године у годину (и редовна исплата дивиденди). Дунав осигурање није имало негативних последица у пословању (гледајући кроз најзначајније показатеље) због болести COVID-19. Као највећи изазов у предстојећем периоду истиче се усклађивање (организационо, управљачки, капитално итд.) са новим регулаторним стандардом Солвентност 2 које очекује све учеснике на тржишту осигурања у Републици Србији.</w:t>
      </w:r>
    </w:p>
    <w:p w14:paraId="72EA75C8"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Законом о Националној корпорацији за осигурање стамбених кредита („Службени гласник РС”, број 55/04) основана је Корпорација, као правно лице специјализовано за осигурање потраживања по основу стамбених кредита које одобравају банке и друге финансијске организације, која су обезбеђена хипотеком, као и за обављање других послова у вези са тим осигурањем. Оснивач Корпорације је Република Србија која има директно учешће од 100% у капиталу Корпорације (законом је остављена могућност да се Корпорација организује као акционарско друштво, с тим да вредност државног капитала у укупном капиталу Корпорације не може да буде мање од 51%). Законом је, такође, утврђено да укупан номинални износ обавеза Корпорације које произилазе из обављања делатности Корпорације може бити највише до 16 пута већи од износа капитала Корпорације, али и да Влада може да, на образложен захтев Корпорације, да сагласност за повећање обима обавеза Корпорације које произилазе из обављања делатности Корпорације и за преко 16 пута од капитала Корпорације, за одређени временски период.</w:t>
      </w:r>
    </w:p>
    <w:p w14:paraId="27B55D76"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 xml:space="preserve">Од самог оснивања, Корпорација је имала значајан утицај у креирању тржишних услова и стандарда кредитирања, што је било нужно да би се хипотекарно тржиште уопште развило. То је довело до смањења ризика и обезбеђења интереса, како кредитора, тако и зајмотражилаца, кроз снижавање каматних стопа, што је довело да раста тражње за стамбеним непокретностима (са позитивним ефектом на грађевинску индустрију) и </w:t>
      </w:r>
      <w:r w:rsidRPr="0062711C">
        <w:rPr>
          <w:rFonts w:ascii="Calibri" w:eastAsia="MS PGothic" w:hAnsi="Calibri" w:cs="Calibri"/>
          <w:color w:val="44546A"/>
          <w:szCs w:val="20"/>
          <w:lang w:val="sr-Cyrl-RS" w:eastAsia="ja-JP"/>
        </w:rPr>
        <w:lastRenderedPageBreak/>
        <w:t>тиме допринело повећању броја станова купљених на кредит.</w:t>
      </w:r>
    </w:p>
    <w:p w14:paraId="73CF4F9B" w14:textId="43D9A4C1"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У протеклом периоду, није вршена докапитализација Корпорације из средстава буџета Републике Србије, већ је повећање капитала вршено из остварене добити Корпорације. Међутим, како повећање капитала није пратило раст осигураних кредита, Влада је, у складу са законом, сваке године давала сагласност за повећање обима обавеза Корпорације које произилазе из обављања делатности Корпорације и за преко 16 пута од капитала Корпорације. Ово повећање се из године у годину смањивало (нпр. за 2015. годину обим обавеза Корпорације које произилазе из обављања делатности Корпорације је могао да буде до 30 пута већи од капитала Корпорације, док је за 2023. годину могао да износи до 18 пута</w:t>
      </w:r>
      <w:r w:rsidR="007666F4" w:rsidRPr="0062711C">
        <w:rPr>
          <w:rFonts w:ascii="Calibri" w:eastAsia="MS PGothic" w:hAnsi="Calibri" w:cs="Calibri"/>
          <w:color w:val="44546A"/>
          <w:szCs w:val="20"/>
          <w:lang w:val="sr-Cyrl-RS" w:eastAsia="ja-JP"/>
        </w:rPr>
        <w:t xml:space="preserve"> више од капитала Корпорације) </w:t>
      </w:r>
      <w:r w:rsidRPr="0062711C">
        <w:rPr>
          <w:rFonts w:ascii="Calibri" w:eastAsia="MS PGothic" w:hAnsi="Calibri" w:cs="Calibri"/>
          <w:color w:val="44546A"/>
          <w:szCs w:val="20"/>
          <w:lang w:val="sr-Cyrl-RS" w:eastAsia="ja-JP"/>
        </w:rPr>
        <w:t>да би у 2024. години укупан номинални износ обавеза Корпорације које произилазе из обављања делатности Корпорације, п</w:t>
      </w:r>
      <w:r w:rsidR="007666F4" w:rsidRPr="0062711C">
        <w:rPr>
          <w:rFonts w:ascii="Calibri" w:eastAsia="MS PGothic" w:hAnsi="Calibri" w:cs="Calibri"/>
          <w:color w:val="44546A"/>
          <w:szCs w:val="20"/>
          <w:lang w:val="sr-Cyrl-RS" w:eastAsia="ja-JP"/>
        </w:rPr>
        <w:t xml:space="preserve">осле дужег временског периода, </w:t>
      </w:r>
      <w:r w:rsidRPr="0062711C">
        <w:rPr>
          <w:rFonts w:ascii="Calibri" w:eastAsia="MS PGothic" w:hAnsi="Calibri" w:cs="Calibri"/>
          <w:color w:val="44546A"/>
          <w:szCs w:val="20"/>
          <w:lang w:val="sr-Cyrl-RS" w:eastAsia="ja-JP"/>
        </w:rPr>
        <w:t>био у законским оквирима (до 16 пута већи од износа капитала Корпорације), тако да није било потребе да Влада даје предметну сагласност.</w:t>
      </w:r>
    </w:p>
    <w:p w14:paraId="732DE20B" w14:textId="77777777" w:rsidR="00DF0C87" w:rsidRPr="0062711C" w:rsidRDefault="00DF0C87" w:rsidP="00DF0C87">
      <w:pPr>
        <w:rPr>
          <w:rFonts w:ascii="Calibri" w:eastAsia="MS PGothic" w:hAnsi="Calibri" w:cs="Calibri"/>
          <w:color w:val="44546A"/>
          <w:szCs w:val="20"/>
          <w:lang w:val="sr-Cyrl-RS" w:eastAsia="ja-JP"/>
        </w:rPr>
      </w:pPr>
      <w:r w:rsidRPr="0062711C">
        <w:rPr>
          <w:rFonts w:ascii="Calibri" w:eastAsia="MS PGothic" w:hAnsi="Calibri" w:cs="Calibri"/>
          <w:color w:val="44546A"/>
          <w:szCs w:val="20"/>
          <w:lang w:val="sr-Cyrl-RS" w:eastAsia="ja-JP"/>
        </w:rPr>
        <w:t>Као потенцијални ризик се појављује велики број тужби клијената против банака у вези са плаћањем премије осигурања Корпорацији. Иако Корпорација није тужена страна, нити Република Србија гарантује за обавезе Корпорације (Корпорација гарантује за своје обавезе до висине свог капитала), потенцијално негативан исход ових спорова може да утиче на евентуалну потребу одређених издатака из буџета. Такође, услед промењених тржишних услова дошло је до спорова са одређеним бројем банака (отказ уговора са Корпорацијом од стране банака), што доводи до значајног смањења осигураних кредита, а тиме и до смањења прихода Корпорације. Имајући у виду дугорочност потенцијалних обавеза које Корпорација преузима (осигурање потраживања по основу стамбених кредита који се одобравају на период и од 30 година), наставак тренда значајног смањења осигураних кредита исто може да утиче на евентуалну потребу одређених издатака из буџета у будућности.</w:t>
      </w:r>
    </w:p>
    <w:p w14:paraId="08EB3647"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Судски поступци</w:t>
      </w:r>
    </w:p>
    <w:p w14:paraId="428DFBCA"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Услед бројних судских поступака, пред домаћим и међународним судовима, где је терет плаћања на Републици Србији као туженој страни, идентификовани су различити фискални ризици који постоје услед неизвесности у вези са исходом ових процеса.</w:t>
      </w:r>
    </w:p>
    <w:p w14:paraId="5C013E7C" w14:textId="3A933124"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Република Србија је по основу новчаних казни и пенала по решењу судова (економска класификација 483), као и накнаде штете за повреде или штету нанету од стране државних органа (економска класификација 485) у периоду 2009 - 2020. године укупно платила 121 млрд динара. У 2021. години је из буџета Републике Србије по том основу плаћено 16,9 млрд динара, у 2022. години је плаћено 26,8 млрд динара, док је извршење </w:t>
      </w:r>
      <w:r w:rsidR="008556C5">
        <w:rPr>
          <w:rFonts w:eastAsia="MS PGothic" w:cstheme="minorHAnsi"/>
          <w:szCs w:val="20"/>
          <w:lang w:val="sr-Cyrl-RS" w:eastAsia="ja-JP"/>
        </w:rPr>
        <w:t>у 2023. години</w:t>
      </w:r>
      <w:r w:rsidRPr="0062711C">
        <w:rPr>
          <w:rFonts w:eastAsia="MS PGothic" w:cstheme="minorHAnsi"/>
          <w:szCs w:val="20"/>
          <w:lang w:val="sr-Cyrl-RS" w:eastAsia="ja-JP"/>
        </w:rPr>
        <w:t xml:space="preserve"> износило 25,4 млрд динара.</w:t>
      </w:r>
    </w:p>
    <w:p w14:paraId="36C70D8A" w14:textId="2891A169" w:rsidR="00DF0C87" w:rsidRPr="0062711C" w:rsidRDefault="00DF0C87" w:rsidP="00DF0C87">
      <w:pPr>
        <w:spacing w:after="12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План, апропријације и извршење буџета Републике Србије по ек. класификацијама 483 и 485 у периоду од 2018</w:t>
      </w:r>
      <w:r w:rsidR="002E2376" w:rsidRPr="0062711C">
        <w:rPr>
          <w:rFonts w:eastAsia="MS PGothic" w:cstheme="minorHAnsi"/>
          <w:b/>
          <w:color w:val="002060"/>
          <w:szCs w:val="20"/>
          <w:lang w:val="sr-Cyrl-RS" w:eastAsia="ja-JP"/>
        </w:rPr>
        <w:t>.</w:t>
      </w:r>
      <w:r w:rsidRPr="0062711C">
        <w:rPr>
          <w:rFonts w:eastAsia="MS PGothic" w:cstheme="minorHAnsi"/>
          <w:b/>
          <w:color w:val="002060"/>
          <w:szCs w:val="20"/>
          <w:lang w:val="sr-Cyrl-RS" w:eastAsia="ja-JP"/>
        </w:rPr>
        <w:t xml:space="preserve"> до 2023. године</w:t>
      </w:r>
    </w:p>
    <w:p w14:paraId="0D5F2F98" w14:textId="77777777" w:rsidR="00DF0C87" w:rsidRPr="0062711C" w:rsidRDefault="00DF0C87" w:rsidP="00C01E82">
      <w:pPr>
        <w:spacing w:after="40"/>
        <w:rPr>
          <w:rFonts w:eastAsia="MS PGothic" w:cstheme="minorHAnsi"/>
          <w:szCs w:val="20"/>
          <w:lang w:val="sr-Cyrl-RS" w:eastAsia="ja-JP"/>
        </w:rPr>
      </w:pPr>
      <w:r w:rsidRPr="0062711C">
        <w:rPr>
          <w:noProof/>
          <w:lang w:val="en-GB" w:eastAsia="en-GB"/>
        </w:rPr>
        <w:drawing>
          <wp:inline distT="0" distB="0" distL="0" distR="0" wp14:anchorId="2DC1977D" wp14:editId="117C5DC6">
            <wp:extent cx="2751455" cy="2465070"/>
            <wp:effectExtent l="0" t="0" r="0" b="0"/>
            <wp:docPr id="2060529902"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p w14:paraId="17B18023" w14:textId="77777777" w:rsidR="00DF0C87" w:rsidRPr="0062711C" w:rsidRDefault="00DF0C87" w:rsidP="00DF0C87">
      <w:pPr>
        <w:rPr>
          <w:rFonts w:eastAsia="MS PGothic" w:cstheme="minorHAnsi"/>
          <w:sz w:val="16"/>
          <w:szCs w:val="18"/>
          <w:lang w:val="sr-Cyrl-RS" w:eastAsia="ja-JP"/>
        </w:rPr>
      </w:pPr>
      <w:r w:rsidRPr="0062711C">
        <w:rPr>
          <w:rFonts w:eastAsia="MS PGothic" w:cstheme="minorHAnsi"/>
          <w:sz w:val="16"/>
          <w:szCs w:val="18"/>
          <w:lang w:val="sr-Cyrl-RS" w:eastAsia="ja-JP"/>
        </w:rPr>
        <w:t>Извор: Министарство финансија, Управа за трезор</w:t>
      </w:r>
    </w:p>
    <w:p w14:paraId="0F8D6EBF" w14:textId="102D0FCC"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 2024. години су по овом основу у републичком буџету иницијално планирана буџетска средства у износу од 32,8 млрд динара. При томе, извршење буџета по основу казни и пенала по решењу судова и накнаде штете за повреде или штету нанету од ст</w:t>
      </w:r>
      <w:r w:rsidR="00AB17F3">
        <w:rPr>
          <w:rFonts w:eastAsia="MS PGothic" w:cstheme="minorHAnsi"/>
          <w:szCs w:val="20"/>
          <w:lang w:val="sr-Cyrl-RS" w:eastAsia="ja-JP"/>
        </w:rPr>
        <w:t xml:space="preserve">ране државних органа на крају првог </w:t>
      </w:r>
      <w:r w:rsidRPr="0062711C">
        <w:rPr>
          <w:rFonts w:eastAsia="MS PGothic" w:cstheme="minorHAnsi"/>
          <w:szCs w:val="20"/>
          <w:lang w:val="sr-Cyrl-RS" w:eastAsia="ja-JP"/>
        </w:rPr>
        <w:t>квартала 2024. године износи 10,8 млрд динара,</w:t>
      </w:r>
      <w:r w:rsidR="00D121C1" w:rsidRPr="0062711C">
        <w:rPr>
          <w:rFonts w:eastAsia="MS PGothic" w:cstheme="minorHAnsi"/>
          <w:szCs w:val="20"/>
          <w:lang w:val="sr-Cyrl-RS" w:eastAsia="ja-JP"/>
        </w:rPr>
        <w:t xml:space="preserve"> односно 33% иницијалног плана.</w:t>
      </w:r>
    </w:p>
    <w:p w14:paraId="3FDE596C" w14:textId="3A16924A"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lastRenderedPageBreak/>
        <w:t>Према подац</w:t>
      </w:r>
      <w:r w:rsidR="007666F4" w:rsidRPr="0062711C">
        <w:rPr>
          <w:rFonts w:eastAsia="MS PGothic" w:cstheme="minorHAnsi"/>
          <w:szCs w:val="20"/>
          <w:lang w:val="sr-Cyrl-RS" w:eastAsia="ja-JP"/>
        </w:rPr>
        <w:t xml:space="preserve">има Државног правобранилаштва, </w:t>
      </w:r>
      <w:r w:rsidRPr="0062711C">
        <w:rPr>
          <w:rFonts w:eastAsia="MS PGothic" w:cstheme="minorHAnsi"/>
          <w:szCs w:val="20"/>
          <w:lang w:val="sr-Cyrl-RS" w:eastAsia="ja-JP"/>
        </w:rPr>
        <w:t>31.12.2020. године било је укупно 324.253 активних судских спорова. На исти дан 2021. године било је 267.502 активних предмета, а 31.12.2022. године број предмета у раду био је 306.727. Дана 31.12.2023. године број судских поступака који се воде пред Државним правобранилаштвом износио је 320.860, а 31.03.2024. године овај број износи 315.609 предмета. Тренд броја судских поступака – активних предмета у раду, у периоду од 2018. – 2023. године се може представити графичким приказом:</w:t>
      </w:r>
    </w:p>
    <w:p w14:paraId="01798CBB" w14:textId="77777777" w:rsidR="00DF0C87" w:rsidRPr="0062711C" w:rsidRDefault="00DF0C87" w:rsidP="00784540">
      <w:pPr>
        <w:spacing w:after="4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Укупан број активних спорова у Државном правобранилаштву Републике Србије</w:t>
      </w:r>
    </w:p>
    <w:p w14:paraId="2F18A2BF" w14:textId="77777777" w:rsidR="00DF0C87" w:rsidRPr="0062711C" w:rsidRDefault="00DF0C87" w:rsidP="00784540">
      <w:pPr>
        <w:spacing w:after="0"/>
        <w:jc w:val="left"/>
        <w:rPr>
          <w:lang w:val="sr-Cyrl-RS" w:eastAsia="ja-JP"/>
        </w:rPr>
      </w:pPr>
      <w:r w:rsidRPr="0062711C">
        <w:rPr>
          <w:noProof/>
          <w:lang w:val="en-GB" w:eastAsia="en-GB"/>
        </w:rPr>
        <w:drawing>
          <wp:inline distT="0" distB="0" distL="0" distR="0" wp14:anchorId="240088C6" wp14:editId="1F0D7ABD">
            <wp:extent cx="2510476" cy="1569492"/>
            <wp:effectExtent l="0" t="0" r="444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2587804" cy="1617836"/>
                    </a:xfrm>
                    <a:prstGeom prst="rect">
                      <a:avLst/>
                    </a:prstGeom>
                    <a:noFill/>
                  </pic:spPr>
                </pic:pic>
              </a:graphicData>
            </a:graphic>
          </wp:inline>
        </w:drawing>
      </w:r>
    </w:p>
    <w:p w14:paraId="5F2857CC" w14:textId="77777777" w:rsidR="00DF0C87" w:rsidRPr="0062711C" w:rsidRDefault="00DF0C87" w:rsidP="00DF0C87">
      <w:pPr>
        <w:spacing w:line="254" w:lineRule="auto"/>
        <w:rPr>
          <w:rFonts w:ascii="Calibri" w:eastAsia="MS PGothic" w:hAnsi="Calibri" w:cs="Calibri"/>
          <w:sz w:val="16"/>
          <w:szCs w:val="18"/>
          <w:lang w:val="sr-Cyrl-RS" w:eastAsia="ja-JP"/>
        </w:rPr>
      </w:pPr>
      <w:r w:rsidRPr="0062711C">
        <w:rPr>
          <w:rFonts w:ascii="Calibri" w:eastAsia="MS PGothic" w:hAnsi="Calibri" w:cs="Calibri"/>
          <w:sz w:val="16"/>
          <w:szCs w:val="18"/>
          <w:lang w:val="sr-Cyrl-RS" w:eastAsia="ja-JP"/>
        </w:rPr>
        <w:t>Извор: Државно правобранилаштво Републике Србије</w:t>
      </w:r>
    </w:p>
    <w:p w14:paraId="29BD0D5B"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Број примљених предмета у 2019. години био је 165.061, док је овај број у 2023. години износио 80.712. Са друге стране, број архивираних предмета је у 2019. години износио 165.440, док је у 2023. години број архивираних предмета износио 69.487 предмета</w:t>
      </w:r>
    </w:p>
    <w:p w14:paraId="54B62EEE"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Наведена кретања се могу представити следећим графичким приказом:</w:t>
      </w:r>
    </w:p>
    <w:p w14:paraId="6C333640" w14:textId="0C633871" w:rsidR="00DF0C87" w:rsidRPr="0062711C" w:rsidRDefault="00DF0C87" w:rsidP="00784540">
      <w:pPr>
        <w:spacing w:after="4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Динамика судских спорова у Државном правобранилаштву Републике Србије у периоду 201</w:t>
      </w:r>
      <w:r w:rsidR="00E831EA">
        <w:rPr>
          <w:rFonts w:eastAsia="MS PGothic" w:cstheme="minorHAnsi"/>
          <w:b/>
          <w:color w:val="002060"/>
          <w:szCs w:val="20"/>
          <w:lang w:val="sr-Cyrl-RS" w:eastAsia="ja-JP"/>
        </w:rPr>
        <w:t>8–</w:t>
      </w:r>
      <w:r w:rsidRPr="0062711C">
        <w:rPr>
          <w:rFonts w:eastAsia="MS PGothic" w:cstheme="minorHAnsi"/>
          <w:b/>
          <w:color w:val="002060"/>
          <w:szCs w:val="20"/>
          <w:lang w:val="sr-Cyrl-RS" w:eastAsia="ja-JP"/>
        </w:rPr>
        <w:t>2023. године</w:t>
      </w:r>
    </w:p>
    <w:p w14:paraId="03B534A2" w14:textId="77777777" w:rsidR="00DF0C87" w:rsidRPr="0062711C" w:rsidRDefault="00DF0C87" w:rsidP="00DF0C87">
      <w:pPr>
        <w:spacing w:after="0" w:line="240" w:lineRule="auto"/>
        <w:rPr>
          <w:rFonts w:eastAsia="MS PGothic" w:cstheme="minorHAnsi"/>
          <w:szCs w:val="20"/>
          <w:lang w:val="sr-Cyrl-RS" w:eastAsia="ja-JP"/>
        </w:rPr>
      </w:pPr>
      <w:r w:rsidRPr="0062711C">
        <w:rPr>
          <w:rFonts w:eastAsia="MS PGothic" w:cstheme="minorHAnsi"/>
          <w:noProof/>
          <w:szCs w:val="20"/>
          <w:lang w:val="en-GB" w:eastAsia="en-GB"/>
        </w:rPr>
        <w:drawing>
          <wp:inline distT="0" distB="0" distL="0" distR="0" wp14:anchorId="68A681D3" wp14:editId="08678FD3">
            <wp:extent cx="2572603" cy="1575642"/>
            <wp:effectExtent l="0" t="0" r="0" b="5715"/>
            <wp:docPr id="207924109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588606" cy="1585443"/>
                    </a:xfrm>
                    <a:prstGeom prst="rect">
                      <a:avLst/>
                    </a:prstGeom>
                    <a:noFill/>
                    <a:ln>
                      <a:noFill/>
                    </a:ln>
                  </pic:spPr>
                </pic:pic>
              </a:graphicData>
            </a:graphic>
          </wp:inline>
        </w:drawing>
      </w:r>
    </w:p>
    <w:p w14:paraId="59B0D63C" w14:textId="77777777" w:rsidR="00DF0C87" w:rsidRPr="0062711C" w:rsidRDefault="00DF0C87" w:rsidP="00784540">
      <w:pPr>
        <w:spacing w:after="0"/>
        <w:rPr>
          <w:rFonts w:eastAsia="MS PGothic" w:cstheme="minorHAnsi"/>
          <w:szCs w:val="20"/>
          <w:lang w:val="sr-Cyrl-RS" w:eastAsia="ja-JP"/>
        </w:rPr>
      </w:pPr>
      <w:r w:rsidRPr="0062711C">
        <w:rPr>
          <w:rFonts w:ascii="Calibri" w:eastAsia="MS PGothic" w:hAnsi="Calibri" w:cs="Calibri"/>
          <w:sz w:val="16"/>
          <w:szCs w:val="18"/>
          <w:lang w:val="sr-Cyrl-RS" w:eastAsia="ja-JP"/>
        </w:rPr>
        <w:t>Извор: Државно правобранилаштво Републике Србије</w:t>
      </w:r>
    </w:p>
    <w:p w14:paraId="70179C27" w14:textId="41072C46"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 циљу смањења трошкова у тзв. „буџетским” поступцима, у току 2019. године дошло је до измена Закона о извршењу и обезбеђењу („Службени гласник РС”, бр. 106/15, 106/15 – аутентично тумачење, 113/17 – аутентично тумачење и 54/19), који је ступио на снагу 1. јануара 2020. године. Чланом 300. наведеног закона, између осталог је прописано да је извршни поверилац дужан да о намери подношења предлога за извршење писменим путем обавести министарство надлежно за финансије најкасније 30 дана пре подношења предлога за извршење, уколико се као извршни дужник појављује Република Србија, аутономна покрајина, јединица локалне самоуправе, директни или индиректн</w:t>
      </w:r>
      <w:r w:rsidR="00D121C1" w:rsidRPr="0062711C">
        <w:rPr>
          <w:rFonts w:eastAsia="MS PGothic" w:cstheme="minorHAnsi"/>
          <w:szCs w:val="20"/>
          <w:lang w:val="sr-Cyrl-RS" w:eastAsia="ja-JP"/>
        </w:rPr>
        <w:t>и корисник буџетских средстава.</w:t>
      </w:r>
    </w:p>
    <w:p w14:paraId="54CE74A2" w14:textId="3507FDCD"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Намера је била да се наведеном мером подстакне добровољно плаћање обавезе од стране надлежног органа, како би се избегли трошкови принудне наплате. Министарству финансија – Управи за трезор је у 2020. години поднето 51.757 обавештења о намери подношења предлога за извршење, у 2021. години је поднето 54.270 ових обавештења, у 2022. години 49.080, а у </w:t>
      </w:r>
      <w:r w:rsidR="00AB17F3">
        <w:rPr>
          <w:rFonts w:eastAsia="MS PGothic" w:cstheme="minorHAnsi"/>
          <w:szCs w:val="20"/>
          <w:lang w:val="sr-Cyrl-RS" w:eastAsia="ja-JP"/>
        </w:rPr>
        <w:t>2023. години</w:t>
      </w:r>
      <w:r w:rsidRPr="0062711C">
        <w:rPr>
          <w:rFonts w:eastAsia="MS PGothic" w:cstheme="minorHAnsi"/>
          <w:szCs w:val="20"/>
          <w:lang w:val="sr-Cyrl-RS" w:eastAsia="ja-JP"/>
        </w:rPr>
        <w:t>, 48.327 ових обавештења.</w:t>
      </w:r>
    </w:p>
    <w:p w14:paraId="0F5D5D6C" w14:textId="0BDB63C9"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У складу са постојећим трендом кретања извршења републичког буџета у 2022. и 2023. години, као и у </w:t>
      </w:r>
      <w:r w:rsidR="00AB17F3">
        <w:rPr>
          <w:rFonts w:eastAsia="MS PGothic" w:cstheme="minorHAnsi"/>
          <w:szCs w:val="20"/>
          <w:lang w:val="sr-Cyrl-RS" w:eastAsia="ja-JP"/>
        </w:rPr>
        <w:t>првом</w:t>
      </w:r>
      <w:r w:rsidRPr="0062711C">
        <w:rPr>
          <w:rFonts w:eastAsia="MS PGothic" w:cstheme="minorHAnsi"/>
          <w:szCs w:val="20"/>
          <w:lang w:val="sr-Cyrl-RS" w:eastAsia="ja-JP"/>
        </w:rPr>
        <w:t xml:space="preserve"> кварталу 2024. године (26,8 и 25,4 и 10,8 млрд динара, респективно), можемо очекивати да ће се у периоду од наредне 3 године расходи републичког буџета по основу судских поступака кретати на нивоу од оквирно 30,0 млрд динара просечно годишње, са могућом тенденцијо</w:t>
      </w:r>
      <w:r w:rsidR="00D121C1" w:rsidRPr="0062711C">
        <w:rPr>
          <w:rFonts w:eastAsia="MS PGothic" w:cstheme="minorHAnsi"/>
          <w:szCs w:val="20"/>
          <w:lang w:val="sr-Cyrl-RS" w:eastAsia="ja-JP"/>
        </w:rPr>
        <w:t>м благог раста у датом периоду.</w:t>
      </w:r>
    </w:p>
    <w:p w14:paraId="0BD5A14C"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У 2024. години и даље се ради на унапређењу система за праћење фискалних ризика по основу судских поступака са циљем идентификације и оцене ризика.</w:t>
      </w:r>
    </w:p>
    <w:p w14:paraId="1D99A8C5" w14:textId="77777777"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t>Елементарне непогоде</w:t>
      </w:r>
    </w:p>
    <w:p w14:paraId="2AEC3DF9"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Стално присутан ризик од елементарних непогода и природних катастрофа налаже улагања у програме превенције, како би се умањили потенцијални фискални трошкови за отклањање штета насталих по том основу. Превенција обухвата укључивање ширег спектра финансијских инструмената, као што су резервни фондови, </w:t>
      </w:r>
      <w:r w:rsidRPr="0062711C">
        <w:rPr>
          <w:rFonts w:eastAsia="MS PGothic" w:cstheme="minorHAnsi"/>
          <w:szCs w:val="20"/>
          <w:lang w:val="sr-Cyrl-RS" w:eastAsia="ja-JP"/>
        </w:rPr>
        <w:lastRenderedPageBreak/>
        <w:t>потенцијалне кредитне линије и осигурање имовине. Република Србија се у 2014. години суочила са катастрофалним последицама поплава, чија је укупна штета (са губицима) процењена на више од 1,7 млрд евра. Влада је у децембру 2014. године усвојила Национални програм за управљање ризицима од елементарних непогода, који се спроводи у сарадњи са Светском банком, Уједињеним нацијама и Европском унијом. У складу са наведеним програмом, новембра 2018. године донет је Закон о смањењу ризика од катастрофа и управљању ванредним ситуацијама („Службени гласник РС”, број 87/18). У току 2022. године посебна радна група отпочела је процес ревидирања Стратегије смањења ризика од катастрофа и управљања ванредним ситуацијама у Републици Србији (2023-2030), са циљем израде новог Акционог плана за период 2023–2030. године.</w:t>
      </w:r>
    </w:p>
    <w:p w14:paraId="441239F8" w14:textId="692FD7E3" w:rsidR="00DF0C87" w:rsidRPr="0062711C" w:rsidRDefault="00DF0C87" w:rsidP="00D121C1">
      <w:pPr>
        <w:rPr>
          <w:lang w:val="sr-Cyrl-RS" w:eastAsia="ja-JP"/>
        </w:rPr>
      </w:pPr>
      <w:r w:rsidRPr="0062711C">
        <w:rPr>
          <w:lang w:val="sr-Cyrl-RS" w:eastAsia="ja-JP"/>
        </w:rPr>
        <w:t xml:space="preserve">Република Србија је у 2018. години платила из буџета 2,0 млрд динара, а у 2019. години 4,2 млрд динара на име накнаде штете за повреде или штете настале услед елементарних непогода или других природних узрока. У току 2020. године за ову намену, по економској класификацији 484 (без интервенцијских средстава за ублажавање последица болести COVID-19) издвојено је 2,9 млрд динара, док је за 2021. годину износ потрошен на ове намене смањен и износио је 520,3 милиона динара. Издвојена средства за ову намену током 2022. године износила су 263,9 милиона динара. У току 2023. године дошло је до повећања расхода републичког буџета по овом основу на 824,8 милиона динара, због појаве екстремних временских прилика и поплава у мају и јуну месецу 2023. године, као и олујног ветра, града и кише који је проузроковао неочекиване штете у јулу 2023. године. Све већа учесталост и јачи </w:t>
      </w:r>
      <w:r w:rsidR="00131B29" w:rsidRPr="0062711C">
        <w:rPr>
          <w:lang w:val="sr-Cyrl-RS" w:eastAsia="ja-JP"/>
        </w:rPr>
        <w:t>интензитет</w:t>
      </w:r>
      <w:r w:rsidRPr="0062711C">
        <w:rPr>
          <w:lang w:val="sr-Cyrl-RS" w:eastAsia="ja-JP"/>
        </w:rPr>
        <w:t xml:space="preserve"> манифестовања елементарних и других непогода као и повећање расхода за санирање последица истих наглашава потребу за константним опрезом када је ова в</w:t>
      </w:r>
      <w:r w:rsidR="00D121C1" w:rsidRPr="0062711C">
        <w:rPr>
          <w:lang w:val="sr-Cyrl-RS" w:eastAsia="ja-JP"/>
        </w:rPr>
        <w:t>рста фискалних ризика у питању.</w:t>
      </w:r>
    </w:p>
    <w:p w14:paraId="50EA0519" w14:textId="08CD09F3" w:rsidR="00276C75" w:rsidRPr="0062711C" w:rsidRDefault="00276C75" w:rsidP="00D121C1">
      <w:pPr>
        <w:rPr>
          <w:lang w:val="sr-Cyrl-RS" w:eastAsia="ja-JP"/>
        </w:rPr>
      </w:pPr>
    </w:p>
    <w:p w14:paraId="3D03715D" w14:textId="77777777" w:rsidR="00276C75" w:rsidRPr="0062711C" w:rsidRDefault="00276C75" w:rsidP="00D121C1">
      <w:pPr>
        <w:rPr>
          <w:lang w:val="sr-Cyrl-RS"/>
        </w:rPr>
      </w:pPr>
    </w:p>
    <w:p w14:paraId="0A46C7FF" w14:textId="77777777" w:rsidR="00DF0C87" w:rsidRPr="0062711C" w:rsidRDefault="00DF0C87" w:rsidP="001F46AD">
      <w:pPr>
        <w:spacing w:after="40"/>
        <w:jc w:val="center"/>
        <w:rPr>
          <w:rFonts w:eastAsia="MS PGothic" w:cstheme="minorHAnsi"/>
          <w:b/>
          <w:color w:val="002060"/>
          <w:szCs w:val="20"/>
          <w:lang w:val="sr-Cyrl-RS" w:eastAsia="ja-JP"/>
        </w:rPr>
      </w:pPr>
      <w:r w:rsidRPr="0062711C">
        <w:rPr>
          <w:rFonts w:eastAsia="MS PGothic" w:cstheme="minorHAnsi"/>
          <w:b/>
          <w:color w:val="002060"/>
          <w:szCs w:val="20"/>
          <w:lang w:val="sr-Cyrl-RS" w:eastAsia="ja-JP"/>
        </w:rPr>
        <w:t>Расходи буџета Републике Србије по основу елементарних непогода и других прир. узрока</w:t>
      </w:r>
    </w:p>
    <w:p w14:paraId="58734080" w14:textId="77777777" w:rsidR="00DF0C87" w:rsidRPr="0062711C" w:rsidRDefault="00DF0C87" w:rsidP="00DF0C87">
      <w:pPr>
        <w:spacing w:after="0" w:line="240" w:lineRule="auto"/>
        <w:rPr>
          <w:lang w:val="sr-Cyrl-RS"/>
        </w:rPr>
      </w:pPr>
      <w:r w:rsidRPr="0062711C">
        <w:rPr>
          <w:noProof/>
          <w:lang w:val="en-GB" w:eastAsia="en-GB"/>
        </w:rPr>
        <w:drawing>
          <wp:inline distT="0" distB="0" distL="0" distR="0" wp14:anchorId="6E7F2CDE" wp14:editId="13A050FF">
            <wp:extent cx="2759075" cy="1885950"/>
            <wp:effectExtent l="0" t="0" r="3175" b="0"/>
            <wp:docPr id="114824032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p w14:paraId="587E578C" w14:textId="77777777" w:rsidR="00DF0C87" w:rsidRPr="0062711C" w:rsidRDefault="00DF0C87" w:rsidP="00DF0C87">
      <w:pPr>
        <w:rPr>
          <w:rFonts w:eastAsia="MS PGothic" w:cstheme="minorHAnsi"/>
          <w:sz w:val="16"/>
          <w:szCs w:val="18"/>
          <w:lang w:val="sr-Cyrl-RS" w:eastAsia="ja-JP"/>
        </w:rPr>
      </w:pPr>
      <w:r w:rsidRPr="0062711C">
        <w:rPr>
          <w:rFonts w:eastAsia="MS PGothic" w:cstheme="minorHAnsi"/>
          <w:sz w:val="16"/>
          <w:szCs w:val="18"/>
          <w:lang w:val="sr-Cyrl-RS" w:eastAsia="ja-JP"/>
        </w:rPr>
        <w:t>Извор: Министарство финансија, Управа за трезор</w:t>
      </w:r>
    </w:p>
    <w:p w14:paraId="01F18907" w14:textId="04F377EC"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Закључком Владе 05 Број: 40-9575/2021 од 21. октобра 2021. године усвојена је Јединствена методологија за праћење фискалних ризика у Републици Србији која, између осталог, обухвата и Методологију за праћење фискалних ризика који се јављају као последица елементарних непогода. На крају 2022. године је, у сарадњи са Светском банком, развијен модел за процену фискалних ризика од елементарних непогода.</w:t>
      </w:r>
    </w:p>
    <w:p w14:paraId="2A228BFD" w14:textId="5CB09029"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 xml:space="preserve">Модел за праћење фискалних ризика од елементарних непогода даје квантификовану процену негативног ефекта елементарне непогоде на бруто домаћи производ земље, фискални дефицит и последично јавни дуг. Елементарне непогоде </w:t>
      </w:r>
      <w:r w:rsidR="00F10F3B" w:rsidRPr="0062711C">
        <w:rPr>
          <w:rFonts w:eastAsia="MS PGothic" w:cstheme="minorHAnsi"/>
          <w:szCs w:val="20"/>
          <w:lang w:val="sr-Cyrl-RS" w:eastAsia="ja-JP"/>
        </w:rPr>
        <w:t>проузрокују</w:t>
      </w:r>
      <w:r w:rsidRPr="0062711C">
        <w:rPr>
          <w:rFonts w:eastAsia="MS PGothic" w:cstheme="minorHAnsi"/>
          <w:szCs w:val="20"/>
          <w:lang w:val="sr-Cyrl-RS" w:eastAsia="ja-JP"/>
        </w:rPr>
        <w:t xml:space="preserve"> штету на продуктивном капиталу и критичној инфраструктури што последично доводи до контракције друштвеног бруто производа и мањег раста БДП у односу на раст који би иначе био остварен. Овај ефекат је карактеристичан за годину у којој се елементарна непогода десила. Додатно, због умањених јавних прихода и повећаних јавних расхода, шок проузрокован елементарном непогодом утиче и на повећање фискалног дефицита, што у крајњој линији доводи до потребе за додатним финансирањем, односно за последицу има повећање јавног дуга.</w:t>
      </w:r>
    </w:p>
    <w:p w14:paraId="18349FE5" w14:textId="77777777" w:rsidR="00276C75" w:rsidRPr="0062711C" w:rsidRDefault="00276C75" w:rsidP="00276C75">
      <w:pPr>
        <w:rPr>
          <w:lang w:val="sr-Cyrl-RS"/>
        </w:rPr>
      </w:pPr>
      <w:r w:rsidRPr="0062711C">
        <w:rPr>
          <w:lang w:val="sr-Cyrl-RS"/>
        </w:rPr>
        <w:br w:type="page"/>
      </w:r>
    </w:p>
    <w:p w14:paraId="0A613678" w14:textId="575CA50C" w:rsidR="00DF0C87" w:rsidRPr="0062711C" w:rsidRDefault="00DF0C87" w:rsidP="00DF0C87">
      <w:pPr>
        <w:jc w:val="left"/>
        <w:rPr>
          <w:rFonts w:cstheme="minorHAnsi"/>
          <w:b/>
          <w:color w:val="2F5496" w:themeColor="accent1" w:themeShade="BF"/>
          <w:sz w:val="22"/>
          <w:lang w:val="sr-Cyrl-RS"/>
        </w:rPr>
      </w:pPr>
      <w:r w:rsidRPr="0062711C">
        <w:rPr>
          <w:rFonts w:cstheme="minorHAnsi"/>
          <w:b/>
          <w:color w:val="2F5496" w:themeColor="accent1" w:themeShade="BF"/>
          <w:sz w:val="22"/>
          <w:lang w:val="sr-Cyrl-RS"/>
        </w:rPr>
        <w:lastRenderedPageBreak/>
        <w:t>Функционисање локалних самоуправа</w:t>
      </w:r>
    </w:p>
    <w:p w14:paraId="4E733DA2"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Поред наведених фискалних ризика постоје и друге околности које, уколико се реализују, могу довести до фискалних трошкова. Њихово идентификовање помаже сагледавању могућих утицаја на фискалну позицију земље у одређеном периоду.</w:t>
      </w:r>
    </w:p>
    <w:p w14:paraId="361057DA" w14:textId="77777777" w:rsidR="00DF0C87" w:rsidRPr="0062711C" w:rsidRDefault="00DF0C87" w:rsidP="00DF0C87">
      <w:pPr>
        <w:rPr>
          <w:lang w:val="sr-Cyrl-RS" w:eastAsia="ja-JP"/>
        </w:rPr>
      </w:pPr>
      <w:r w:rsidRPr="0062711C">
        <w:rPr>
          <w:lang w:val="sr-Cyrl-RS" w:eastAsia="ja-JP"/>
        </w:rPr>
        <w:t xml:space="preserve">Пословање јединица локалне самоуправе може имати фискалне импликације на буџет сектора државе. Посебним фискалним правилима за локалне самоуправе постављено је тзв. „златно правило” да је дефицит могућ само за реализацију капиталних инвестиција. Постоје и правила о висини задужености јединица локалне самоуправе чија доследна примена одржава стабилност јавних финансија на локалном нивоу. У пракси се дешавало да нереалним планирањем </w:t>
      </w:r>
      <w:r w:rsidRPr="0062711C">
        <w:rPr>
          <w:lang w:val="sr-Cyrl-RS" w:eastAsia="ja-JP"/>
        </w:rPr>
        <w:t>како прихода, тако и расхода дође до кумулације доспелих, а неизмирених обавеза које угрожавају функционисање појединих градова и општина.</w:t>
      </w:r>
    </w:p>
    <w:p w14:paraId="2C072488"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Како би се избегла реализација фискалних ризика по овом основу, Министарство финансија унапређује систем контроле јавних финансија локалних самоуправа у циљу поштовања постављених правила – од планирања до реализације буџета на локалном нивоу.</w:t>
      </w:r>
    </w:p>
    <w:p w14:paraId="2911432F" w14:textId="77777777" w:rsidR="00DF0C87" w:rsidRPr="0062711C" w:rsidRDefault="00DF0C87" w:rsidP="00DF0C87">
      <w:pPr>
        <w:rPr>
          <w:rFonts w:eastAsia="MS PGothic" w:cstheme="minorHAnsi"/>
          <w:szCs w:val="20"/>
          <w:lang w:val="sr-Cyrl-RS" w:eastAsia="ja-JP"/>
        </w:rPr>
      </w:pPr>
      <w:r w:rsidRPr="0062711C">
        <w:rPr>
          <w:rFonts w:eastAsia="MS PGothic" w:cstheme="minorHAnsi"/>
          <w:szCs w:val="20"/>
          <w:lang w:val="sr-Cyrl-RS" w:eastAsia="ja-JP"/>
        </w:rPr>
        <w:t>На основу Методологије за праћење фискалних ризика по буџет Републике Србије који произилазе из вршења надлежности јединица локалне самоуправе, Сектор за праћење фискалних ризика министарства финансија је израдио радни модел за анализу, оцену и праћење фискалних ризика, чија се примена очекује у наредном периоду.</w:t>
      </w:r>
    </w:p>
    <w:p w14:paraId="12129EB1" w14:textId="577D84F4" w:rsidR="00DF0C87" w:rsidRPr="0062711C" w:rsidRDefault="00DF0C87" w:rsidP="00740755">
      <w:pPr>
        <w:jc w:val="left"/>
        <w:rPr>
          <w:rFonts w:cstheme="minorHAnsi"/>
          <w:b/>
          <w:color w:val="2F5496" w:themeColor="accent1" w:themeShade="BF"/>
          <w:sz w:val="22"/>
          <w:lang w:val="sr-Cyrl-RS"/>
        </w:rPr>
        <w:sectPr w:rsidR="00DF0C87" w:rsidRPr="0062711C" w:rsidSect="00F45C01">
          <w:type w:val="continuous"/>
          <w:pgSz w:w="12240" w:h="15840"/>
          <w:pgMar w:top="1440" w:right="1440" w:bottom="1440" w:left="1440" w:header="720" w:footer="720" w:gutter="0"/>
          <w:cols w:num="2" w:space="720"/>
          <w:docGrid w:linePitch="360"/>
        </w:sectPr>
      </w:pPr>
    </w:p>
    <w:p w14:paraId="024C9873" w14:textId="77777777" w:rsidR="00405574" w:rsidRPr="0062711C" w:rsidRDefault="00405574">
      <w:pPr>
        <w:jc w:val="left"/>
        <w:rPr>
          <w:lang w:val="sr-Cyrl-RS"/>
        </w:rPr>
      </w:pPr>
      <w:bookmarkStart w:id="78" w:name="_Toc135994507"/>
      <w:bookmarkStart w:id="79" w:name="_Toc146277921"/>
      <w:bookmarkStart w:id="80" w:name="_Toc148431274"/>
      <w:bookmarkEnd w:id="26"/>
      <w:bookmarkEnd w:id="27"/>
      <w:bookmarkEnd w:id="28"/>
      <w:bookmarkEnd w:id="29"/>
      <w:bookmarkEnd w:id="30"/>
      <w:r w:rsidRPr="0062711C">
        <w:rPr>
          <w:lang w:val="sr-Cyrl-RS"/>
        </w:rPr>
        <w:br w:type="page"/>
      </w:r>
    </w:p>
    <w:p w14:paraId="0DC3AC9D" w14:textId="66E538A5" w:rsidR="004C4C0F" w:rsidRPr="0062711C" w:rsidRDefault="000E3193" w:rsidP="00D500A7">
      <w:pPr>
        <w:pStyle w:val="Heading2"/>
        <w:spacing w:before="0" w:after="240"/>
        <w:jc w:val="center"/>
        <w:rPr>
          <w:rFonts w:asciiTheme="minorHAnsi" w:eastAsia="MS PGothic" w:hAnsiTheme="minorHAnsi" w:cstheme="minorHAnsi"/>
          <w:b/>
          <w:sz w:val="24"/>
          <w:lang w:val="sr-Cyrl-RS" w:eastAsia="ja-JP"/>
        </w:rPr>
        <w:sectPr w:rsidR="004C4C0F" w:rsidRPr="0062711C" w:rsidSect="00D500A7">
          <w:headerReference w:type="even" r:id="rId191"/>
          <w:footerReference w:type="even" r:id="rId192"/>
          <w:footerReference w:type="default" r:id="rId193"/>
          <w:headerReference w:type="first" r:id="rId194"/>
          <w:type w:val="continuous"/>
          <w:pgSz w:w="12240" w:h="15840" w:code="1"/>
          <w:pgMar w:top="1440" w:right="1440" w:bottom="1440" w:left="1440" w:header="720" w:footer="720" w:gutter="0"/>
          <w:cols w:space="720"/>
          <w:docGrid w:linePitch="360"/>
          <w15:footnoteColumns w:val="1"/>
        </w:sectPr>
      </w:pPr>
      <w:bookmarkStart w:id="81" w:name="_Toc146277919"/>
      <w:bookmarkStart w:id="82" w:name="_Toc148431272"/>
      <w:bookmarkStart w:id="83" w:name="_Toc170722309"/>
      <w:r w:rsidRPr="0062711C">
        <w:rPr>
          <w:rFonts w:asciiTheme="minorHAnsi" w:eastAsia="Times New Roman" w:hAnsiTheme="minorHAnsi" w:cstheme="minorHAnsi"/>
          <w:b/>
          <w:sz w:val="24"/>
          <w:lang w:val="sr-Cyrl-RS"/>
        </w:rPr>
        <w:lastRenderedPageBreak/>
        <w:t>6</w:t>
      </w:r>
      <w:r w:rsidR="004C4C0F" w:rsidRPr="0062711C">
        <w:rPr>
          <w:rFonts w:asciiTheme="minorHAnsi" w:eastAsia="Times New Roman" w:hAnsiTheme="minorHAnsi" w:cstheme="minorHAnsi"/>
          <w:b/>
          <w:sz w:val="24"/>
          <w:lang w:val="sr-Cyrl-RS"/>
        </w:rPr>
        <w:t xml:space="preserve">. </w:t>
      </w:r>
      <w:r w:rsidR="004C4C0F" w:rsidRPr="0062711C">
        <w:rPr>
          <w:rFonts w:asciiTheme="minorHAnsi" w:eastAsia="MS PGothic" w:hAnsiTheme="minorHAnsi" w:cstheme="minorHAnsi"/>
          <w:b/>
          <w:sz w:val="24"/>
          <w:lang w:val="sr-Cyrl-RS" w:eastAsia="ja-JP"/>
        </w:rPr>
        <w:t>Циклично прилагођени и структурни фискални биланс</w:t>
      </w:r>
      <w:bookmarkEnd w:id="81"/>
      <w:bookmarkEnd w:id="82"/>
      <w:bookmarkEnd w:id="83"/>
    </w:p>
    <w:p w14:paraId="26C1BCBB" w14:textId="77777777" w:rsidR="004C4C0F" w:rsidRPr="0062711C" w:rsidRDefault="004C4C0F" w:rsidP="00E124CF">
      <w:pPr>
        <w:spacing w:after="120"/>
        <w:rPr>
          <w:rFonts w:ascii="Calibri" w:eastAsia="MS PGothic" w:hAnsi="Calibri" w:cs="Calibri"/>
          <w:szCs w:val="20"/>
          <w:lang w:val="sr-Cyrl-RS" w:eastAsia="ja-JP"/>
        </w:rPr>
      </w:pPr>
      <w:bookmarkStart w:id="84" w:name="_Toc499650054"/>
      <w:bookmarkStart w:id="85" w:name="_Toc530635110"/>
      <w:bookmarkStart w:id="86" w:name="_Toc11155996"/>
      <w:r w:rsidRPr="0062711C">
        <w:rPr>
          <w:rFonts w:eastAsia="MS PGothic" w:cstheme="minorHAnsi"/>
          <w:szCs w:val="20"/>
          <w:lang w:val="sr-Cyrl-RS" w:eastAsia="ja-JP"/>
        </w:rPr>
        <w:t>Циклично прилагођени фискални биланс је фискални биланс из кога је искључен изоловани утицај привредног циклуса, а</w:t>
      </w:r>
      <w:r w:rsidRPr="0062711C">
        <w:rPr>
          <w:rFonts w:ascii="Calibri" w:eastAsia="MS PGothic" w:hAnsi="Calibri" w:cs="Calibri"/>
          <w:szCs w:val="20"/>
          <w:lang w:val="sr-Cyrl-RS" w:eastAsia="ja-JP"/>
        </w:rPr>
        <w:t xml:space="preserve"> идентитет од кога се полази је следећи</w:t>
      </w:r>
      <w:r w:rsidRPr="0062711C">
        <w:rPr>
          <w:rFonts w:ascii="Calibri" w:eastAsia="MS PGothic" w:hAnsi="Calibri" w:cs="Calibri"/>
          <w:szCs w:val="20"/>
          <w:vertAlign w:val="superscript"/>
          <w:lang w:val="sr-Cyrl-RS" w:eastAsia="ja-JP"/>
        </w:rPr>
        <w:footnoteReference w:id="7"/>
      </w:r>
      <w:r w:rsidRPr="0062711C">
        <w:rPr>
          <w:rFonts w:ascii="Calibri" w:eastAsia="MS PGothic" w:hAnsi="Calibri" w:cs="Calibri"/>
          <w:szCs w:val="20"/>
          <w:lang w:val="sr-Cyrl-RS" w:eastAsia="ja-JP"/>
        </w:rPr>
        <w:t>:</w:t>
      </w:r>
    </w:p>
    <w:p w14:paraId="71722686" w14:textId="77777777" w:rsidR="004C4C0F" w:rsidRPr="0062711C" w:rsidRDefault="004C4C0F" w:rsidP="00E124CF">
      <w:pPr>
        <w:spacing w:after="120"/>
        <w:jc w:val="center"/>
        <w:rPr>
          <w:rFonts w:ascii="Calibri" w:eastAsia="MS PGothic" w:hAnsi="Calibri" w:cs="Calibri"/>
          <w:szCs w:val="20"/>
          <w:lang w:val="sr-Cyrl-RS" w:eastAsia="ja-JP"/>
        </w:rPr>
      </w:pPr>
      <w:r w:rsidRPr="0062711C">
        <w:rPr>
          <w:rFonts w:ascii="Calibri" w:eastAsia="MS PGothic" w:hAnsi="Calibri" w:cs="Calibri"/>
          <w:szCs w:val="20"/>
          <w:lang w:val="sr-Cyrl-RS" w:eastAsia="ja-JP"/>
        </w:rPr>
        <w:t>FB = CB + CAB</w:t>
      </w:r>
    </w:p>
    <w:p w14:paraId="433CE5A8" w14:textId="77777777" w:rsidR="004C4C0F" w:rsidRPr="0062711C" w:rsidRDefault="004C4C0F" w:rsidP="00E124CF">
      <w:pPr>
        <w:spacing w:after="120"/>
        <w:rPr>
          <w:rFonts w:eastAsia="MS PGothic" w:cstheme="minorHAnsi"/>
          <w:szCs w:val="20"/>
          <w:lang w:val="sr-Cyrl-RS" w:eastAsia="ja-JP"/>
        </w:rPr>
      </w:pPr>
      <w:r w:rsidRPr="0062711C">
        <w:rPr>
          <w:rFonts w:ascii="Calibri" w:eastAsia="MS PGothic" w:hAnsi="Calibri" w:cs="Calibri"/>
          <w:szCs w:val="20"/>
          <w:lang w:val="sr-Cyrl-RS" w:eastAsia="ja-JP"/>
        </w:rPr>
        <w:t>Део фискалног биланса (FB)</w:t>
      </w:r>
      <w:r w:rsidRPr="0062711C">
        <w:rPr>
          <w:rFonts w:ascii="Calibri" w:eastAsia="MS PGothic" w:hAnsi="Calibri" w:cs="Calibri"/>
          <w:i/>
          <w:szCs w:val="20"/>
          <w:lang w:val="sr-Cyrl-RS" w:eastAsia="ja-JP"/>
        </w:rPr>
        <w:t xml:space="preserve"> </w:t>
      </w:r>
      <w:r w:rsidRPr="0062711C">
        <w:rPr>
          <w:rFonts w:ascii="Calibri" w:eastAsia="MS PGothic" w:hAnsi="Calibri" w:cs="Calibri"/>
          <w:szCs w:val="20"/>
          <w:lang w:val="sr-Cyrl-RS" w:eastAsia="ja-JP"/>
        </w:rPr>
        <w:t>који није под утицајем цикличних флуктуација назива се циклично прилагођени фискални биланс (CAB),</w:t>
      </w:r>
      <w:r w:rsidRPr="0062711C">
        <w:rPr>
          <w:rFonts w:ascii="Calibri" w:eastAsia="MS PGothic" w:hAnsi="Calibri" w:cs="Calibri"/>
          <w:i/>
          <w:szCs w:val="20"/>
          <w:lang w:val="sr-Cyrl-RS" w:eastAsia="ja-JP"/>
        </w:rPr>
        <w:t xml:space="preserve"> </w:t>
      </w:r>
      <w:r w:rsidRPr="0062711C">
        <w:rPr>
          <w:rFonts w:ascii="Calibri" w:eastAsia="MS PGothic" w:hAnsi="Calibri" w:cs="Calibri"/>
          <w:szCs w:val="20"/>
          <w:lang w:val="sr-Cyrl-RS" w:eastAsia="ja-JP"/>
        </w:rPr>
        <w:t xml:space="preserve">а циљ ове процедуре је изоловање цикличне компоненте </w:t>
      </w:r>
      <w:r w:rsidRPr="0062711C">
        <w:rPr>
          <w:rFonts w:eastAsia="MS PGothic" w:cstheme="minorHAnsi"/>
          <w:szCs w:val="20"/>
          <w:lang w:val="sr-Cyrl-RS" w:eastAsia="ja-JP"/>
        </w:rPr>
        <w:t>фискалног биланса (CB) која је резултат дејства производног јаза. Стварни фискални биланс биће једнак циклично прилагођеном у случају да је производни јаз једнак нули, тј. ако је стопа раста реалног БДП једнака потенцијалној. Структурни фискални биланс се даље рачунски добија елиминацијом једнократних ефеката на приходној и расходној страни, и тако показује структурну (трајну) фискалну позицију.</w:t>
      </w:r>
    </w:p>
    <w:p w14:paraId="124324FE" w14:textId="77777777" w:rsidR="004C4C0F" w:rsidRPr="0062711C" w:rsidRDefault="004C4C0F" w:rsidP="00E124CF">
      <w:pPr>
        <w:spacing w:after="120"/>
        <w:rPr>
          <w:rFonts w:eastAsia="MS PGothic" w:cstheme="minorHAnsi"/>
          <w:szCs w:val="20"/>
          <w:lang w:val="sr-Cyrl-RS" w:eastAsia="ja-JP"/>
        </w:rPr>
      </w:pPr>
      <w:r w:rsidRPr="0062711C">
        <w:rPr>
          <w:rFonts w:ascii="Calibri" w:eastAsia="MS PGothic" w:hAnsi="Calibri" w:cs="Calibri"/>
          <w:szCs w:val="20"/>
          <w:lang w:val="sr-Cyrl-RS" w:eastAsia="ja-JP"/>
        </w:rPr>
        <w:t>Ф</w:t>
      </w:r>
      <w:r w:rsidRPr="0062711C">
        <w:rPr>
          <w:rFonts w:eastAsia="MS PGothic" w:cstheme="minorHAnsi"/>
          <w:szCs w:val="20"/>
          <w:lang w:val="sr-Cyrl-RS" w:eastAsia="ja-JP"/>
        </w:rPr>
        <w:t>искални простор креиран у претходном периоду и значајно структурно унапређена фискална позиција земље, омогућили су простор за релаксацију фискалне политике у кризним временима.</w:t>
      </w:r>
    </w:p>
    <w:p w14:paraId="34EED846" w14:textId="77777777" w:rsidR="004C4C0F" w:rsidRPr="0062711C" w:rsidRDefault="004C4C0F" w:rsidP="00D500A7">
      <w:pPr>
        <w:spacing w:after="120"/>
        <w:rPr>
          <w:rFonts w:ascii="Calibri" w:eastAsia="Calibri" w:hAnsi="Calibri" w:cs="Calibri"/>
          <w:szCs w:val="20"/>
          <w:lang w:val="sr-Cyrl-RS"/>
        </w:rPr>
      </w:pPr>
      <w:r w:rsidRPr="0062711C">
        <w:rPr>
          <w:rFonts w:ascii="Calibri" w:eastAsia="MS PGothic" w:hAnsi="Calibri" w:cs="Calibri"/>
          <w:spacing w:val="-2"/>
          <w:szCs w:val="20"/>
          <w:lang w:val="sr-Cyrl-RS" w:eastAsia="ja-JP"/>
        </w:rPr>
        <w:t xml:space="preserve">Избијањем пандемије COVID-19 почетком 2020. године и увођењем мера за здравствену заштиту становништва, глобална економија је ушла у кризу без преседана. </w:t>
      </w:r>
      <w:r w:rsidRPr="0062711C">
        <w:rPr>
          <w:rFonts w:ascii="Calibri" w:eastAsia="Calibri" w:hAnsi="Calibri" w:cs="Calibri"/>
          <w:szCs w:val="20"/>
          <w:lang w:val="sr-Cyrl-RS"/>
        </w:rPr>
        <w:t>Утицај на фискалну позицију је био видљив кроз смањене прихода буџета, који су последица успоравања економске активности услед пандемије, и драматично већих расхода условљених већим трошковима здравствене заштите и доношењем обимног пакета помоћи привреди и грађанима. У таквој ситуацији, уобичајена анализа привредног циклуса, квантификација фискалних мултипликатора и оцена еластичности фискалног баланса у односу на производни јаз не даје сасвим коректне оцене фискалне позиције земље.</w:t>
      </w:r>
      <w:r w:rsidRPr="0062711C">
        <w:rPr>
          <w:rFonts w:ascii="Calibri" w:eastAsia="Calibri" w:hAnsi="Calibri" w:cs="Calibri"/>
          <w:spacing w:val="-2"/>
          <w:szCs w:val="20"/>
          <w:lang w:val="sr-Cyrl-RS"/>
        </w:rPr>
        <w:t xml:space="preserve"> </w:t>
      </w:r>
      <w:r w:rsidRPr="0062711C">
        <w:rPr>
          <w:rFonts w:ascii="Calibri" w:eastAsia="Calibri" w:hAnsi="Calibri" w:cs="Calibri"/>
          <w:szCs w:val="20"/>
          <w:lang w:val="sr-Cyrl-RS"/>
        </w:rPr>
        <w:t>Одговор фискалне политике на сложену економску ситуацију узроковану пандемијом коронавируса у 2020. и 2021. години, представљен је опсежним пакетом мера помоћи привреди. У случају одсуства мера подршке привреди и становништву благ пад БДП у 2020. години и снажан опоравак током 2021. године би изостао, а већа контракција привреде би утицала на знатно спорији опоравак у наредном средњорочном периоду.</w:t>
      </w:r>
    </w:p>
    <w:p w14:paraId="49EBD184" w14:textId="77777777" w:rsidR="004C4C0F" w:rsidRPr="0062711C" w:rsidRDefault="004C4C0F" w:rsidP="00E124CF">
      <w:pPr>
        <w:spacing w:after="120"/>
        <w:rPr>
          <w:rFonts w:ascii="Calibri" w:eastAsia="Calibri" w:hAnsi="Calibri" w:cs="Calibri"/>
          <w:szCs w:val="20"/>
          <w:lang w:val="sr-Cyrl-RS"/>
        </w:rPr>
        <w:sectPr w:rsidR="004C4C0F" w:rsidRPr="0062711C" w:rsidSect="00D500A7">
          <w:type w:val="continuous"/>
          <w:pgSz w:w="12240" w:h="15840" w:code="1"/>
          <w:pgMar w:top="1417" w:right="1417" w:bottom="1417" w:left="1417" w:header="720" w:footer="720" w:gutter="0"/>
          <w:cols w:num="2" w:space="720"/>
          <w15:footnoteColumns w:val="1"/>
        </w:sectPr>
      </w:pPr>
    </w:p>
    <w:p w14:paraId="76D197DB" w14:textId="77777777" w:rsidR="004C4C0F" w:rsidRPr="0062711C" w:rsidRDefault="004C4C0F" w:rsidP="00E124CF">
      <w:pPr>
        <w:jc w:val="left"/>
        <w:rPr>
          <w:rFonts w:ascii="Calibri" w:eastAsia="MS PGothic" w:hAnsi="Calibri" w:cs="Calibri"/>
          <w:b/>
          <w:bCs/>
          <w:lang w:val="sr-Cyrl-RS"/>
        </w:rPr>
      </w:pPr>
    </w:p>
    <w:p w14:paraId="61BBA3C5" w14:textId="77777777" w:rsidR="004C4C0F" w:rsidRPr="0062711C" w:rsidRDefault="004C4C0F" w:rsidP="00D500A7">
      <w:pPr>
        <w:rPr>
          <w:lang w:val="sr-Cyrl-RS"/>
        </w:rPr>
      </w:pPr>
      <w:r w:rsidRPr="0062711C">
        <w:rPr>
          <w:lang w:val="sr-Cyrl-RS"/>
        </w:rPr>
        <w:br w:type="page"/>
      </w:r>
    </w:p>
    <w:p w14:paraId="7686961A" w14:textId="0A5E3EEB" w:rsidR="004C4C0F" w:rsidRPr="0062711C" w:rsidRDefault="004C4C0F" w:rsidP="00E124CF">
      <w:pPr>
        <w:jc w:val="center"/>
        <w:rPr>
          <w:rFonts w:ascii="Calibri" w:eastAsia="MS PGothic" w:hAnsi="Calibri" w:cs="Calibri"/>
          <w:b/>
          <w:bCs/>
          <w:color w:val="002060"/>
          <w:lang w:val="sr-Cyrl-RS"/>
        </w:rPr>
      </w:pPr>
      <w:r w:rsidRPr="0062711C">
        <w:rPr>
          <w:rFonts w:ascii="Calibri" w:eastAsia="MS PGothic" w:hAnsi="Calibri" w:cs="Calibri"/>
          <w:b/>
          <w:bCs/>
          <w:color w:val="002060"/>
          <w:lang w:val="sr-Cyrl-RS"/>
        </w:rPr>
        <w:lastRenderedPageBreak/>
        <w:t xml:space="preserve">Табела </w:t>
      </w:r>
      <w:r w:rsidR="004710A1" w:rsidRPr="0062711C">
        <w:rPr>
          <w:rFonts w:ascii="Calibri" w:eastAsia="MS PGothic" w:hAnsi="Calibri" w:cs="Calibri"/>
          <w:b/>
          <w:bCs/>
          <w:color w:val="002060"/>
          <w:lang w:val="sr-Cyrl-RS"/>
        </w:rPr>
        <w:t>2</w:t>
      </w:r>
      <w:r w:rsidR="00BB1E84">
        <w:rPr>
          <w:rFonts w:ascii="Calibri" w:eastAsia="MS PGothic" w:hAnsi="Calibri" w:cs="Calibri"/>
          <w:b/>
          <w:bCs/>
          <w:color w:val="002060"/>
        </w:rPr>
        <w:t>7</w:t>
      </w:r>
      <w:r w:rsidRPr="0062711C">
        <w:rPr>
          <w:rFonts w:ascii="Calibri" w:eastAsia="MS PGothic" w:hAnsi="Calibri" w:cs="Calibri"/>
          <w:b/>
          <w:bCs/>
          <w:color w:val="002060"/>
          <w:lang w:val="sr-Cyrl-RS"/>
        </w:rPr>
        <w:t xml:space="preserve">. Фискални биланс и компоненте за обрачун циклично прилагођеног биланса </w:t>
      </w:r>
      <w:r w:rsidRPr="0062711C">
        <w:rPr>
          <w:rFonts w:ascii="Calibri" w:eastAsia="MS PGothic" w:hAnsi="Calibri" w:cs="Calibri"/>
          <w:b/>
          <w:bCs/>
          <w:color w:val="002060"/>
          <w:lang w:val="sr-Cyrl-RS"/>
        </w:rPr>
        <w:br w:type="textWrapping" w:clear="all"/>
        <w:t>у периоду 2005–2027. године, % БДП*</w:t>
      </w:r>
    </w:p>
    <w:tbl>
      <w:tblPr>
        <w:tblStyle w:val="LightShading-Accent337"/>
        <w:tblpPr w:leftFromText="180" w:rightFromText="180" w:vertAnchor="text" w:horzAnchor="margin" w:tblpXSpec="center" w:tblpY="28"/>
        <w:tblW w:w="5000" w:type="pct"/>
        <w:tblLook w:val="04A0" w:firstRow="1" w:lastRow="0" w:firstColumn="1" w:lastColumn="0" w:noHBand="0" w:noVBand="1"/>
      </w:tblPr>
      <w:tblGrid>
        <w:gridCol w:w="695"/>
        <w:gridCol w:w="1081"/>
        <w:gridCol w:w="1075"/>
        <w:gridCol w:w="1077"/>
        <w:gridCol w:w="1125"/>
        <w:gridCol w:w="1125"/>
        <w:gridCol w:w="1076"/>
        <w:gridCol w:w="1076"/>
        <w:gridCol w:w="1076"/>
      </w:tblGrid>
      <w:tr w:rsidR="004C4C0F" w:rsidRPr="0062711C" w14:paraId="77946B57" w14:textId="77777777" w:rsidTr="004C4C0F">
        <w:trPr>
          <w:cnfStyle w:val="100000000000" w:firstRow="1" w:lastRow="0" w:firstColumn="0" w:lastColumn="0" w:oddVBand="0" w:evenVBand="0" w:oddHBand="0" w:evenHBand="0" w:firstRowFirstColumn="0" w:firstRowLastColumn="0" w:lastRowFirstColumn="0" w:lastRowLastColumn="0"/>
          <w:trHeight w:val="731"/>
        </w:trPr>
        <w:tc>
          <w:tcPr>
            <w:cnfStyle w:val="001000000000" w:firstRow="0" w:lastRow="0" w:firstColumn="1" w:lastColumn="0" w:oddVBand="0" w:evenVBand="0" w:oddHBand="0" w:evenHBand="0" w:firstRowFirstColumn="0" w:firstRowLastColumn="0" w:lastRowFirstColumn="0" w:lastRowLastColumn="0"/>
            <w:tcW w:w="369" w:type="pct"/>
            <w:tcBorders>
              <w:top w:val="single" w:sz="4" w:space="0" w:color="002060"/>
              <w:bottom w:val="single" w:sz="4" w:space="0" w:color="002060"/>
            </w:tcBorders>
            <w:noWrap/>
            <w:hideMark/>
          </w:tcPr>
          <w:p w14:paraId="243965F9" w14:textId="77777777" w:rsidR="004C4C0F" w:rsidRPr="0062711C" w:rsidRDefault="004C4C0F" w:rsidP="00E124CF">
            <w:pPr>
              <w:spacing w:line="256" w:lineRule="auto"/>
              <w:rPr>
                <w:rFonts w:ascii="Calibri" w:eastAsia="MS PGothic" w:hAnsi="Calibri" w:cs="Calibri"/>
                <w:color w:val="002060"/>
                <w:sz w:val="18"/>
                <w:szCs w:val="18"/>
                <w:lang w:val="sr-Cyrl-RS" w:eastAsia="ja-JP"/>
              </w:rPr>
            </w:pPr>
          </w:p>
        </w:tc>
        <w:tc>
          <w:tcPr>
            <w:tcW w:w="574" w:type="pct"/>
            <w:tcBorders>
              <w:top w:val="single" w:sz="4" w:space="0" w:color="002060"/>
              <w:bottom w:val="single" w:sz="4" w:space="0" w:color="002060"/>
            </w:tcBorders>
          </w:tcPr>
          <w:p w14:paraId="4909C51E"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Производни јаз</w:t>
            </w:r>
          </w:p>
        </w:tc>
        <w:tc>
          <w:tcPr>
            <w:tcW w:w="571" w:type="pct"/>
            <w:tcBorders>
              <w:top w:val="single" w:sz="4" w:space="0" w:color="002060"/>
              <w:bottom w:val="single" w:sz="4" w:space="0" w:color="002060"/>
            </w:tcBorders>
            <w:hideMark/>
          </w:tcPr>
          <w:p w14:paraId="16DBEA91"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 xml:space="preserve">Фискални </w:t>
            </w:r>
            <w:r w:rsidRPr="0062711C">
              <w:rPr>
                <w:rFonts w:ascii="Calibri" w:hAnsi="Calibri" w:cs="Calibri"/>
                <w:b w:val="0"/>
                <w:color w:val="002060"/>
                <w:sz w:val="16"/>
                <w:szCs w:val="16"/>
                <w:lang w:val="sr-Cyrl-RS"/>
              </w:rPr>
              <w:br/>
              <w:t>биланс</w:t>
            </w:r>
          </w:p>
        </w:tc>
        <w:tc>
          <w:tcPr>
            <w:tcW w:w="572" w:type="pct"/>
            <w:tcBorders>
              <w:top w:val="single" w:sz="4" w:space="0" w:color="002060"/>
              <w:bottom w:val="single" w:sz="4" w:space="0" w:color="002060"/>
            </w:tcBorders>
            <w:hideMark/>
          </w:tcPr>
          <w:p w14:paraId="0DC267EA"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Примарни фискални биланс</w:t>
            </w:r>
          </w:p>
        </w:tc>
        <w:tc>
          <w:tcPr>
            <w:tcW w:w="598" w:type="pct"/>
            <w:tcBorders>
              <w:top w:val="single" w:sz="4" w:space="0" w:color="002060"/>
              <w:bottom w:val="single" w:sz="4" w:space="0" w:color="002060"/>
            </w:tcBorders>
            <w:hideMark/>
          </w:tcPr>
          <w:p w14:paraId="76192810"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 xml:space="preserve">Циклично </w:t>
            </w:r>
            <w:r w:rsidRPr="0062711C">
              <w:rPr>
                <w:rFonts w:ascii="Calibri" w:hAnsi="Calibri" w:cs="Calibri"/>
                <w:b w:val="0"/>
                <w:color w:val="002060"/>
                <w:sz w:val="16"/>
                <w:szCs w:val="16"/>
                <w:lang w:val="sr-Cyrl-RS"/>
              </w:rPr>
              <w:br/>
              <w:t>прилагођени фискални биланс</w:t>
            </w:r>
          </w:p>
        </w:tc>
        <w:tc>
          <w:tcPr>
            <w:tcW w:w="598" w:type="pct"/>
            <w:tcBorders>
              <w:top w:val="single" w:sz="4" w:space="0" w:color="002060"/>
              <w:bottom w:val="single" w:sz="4" w:space="0" w:color="002060"/>
            </w:tcBorders>
            <w:hideMark/>
          </w:tcPr>
          <w:p w14:paraId="3E22E686"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 xml:space="preserve">Циклично </w:t>
            </w:r>
            <w:r w:rsidRPr="0062711C">
              <w:rPr>
                <w:rFonts w:ascii="Calibri" w:hAnsi="Calibri" w:cs="Calibri"/>
                <w:b w:val="0"/>
                <w:color w:val="002060"/>
                <w:sz w:val="16"/>
                <w:szCs w:val="16"/>
                <w:lang w:val="sr-Cyrl-RS"/>
              </w:rPr>
              <w:br/>
              <w:t>прилагођени примарни фискални биланс</w:t>
            </w:r>
          </w:p>
        </w:tc>
        <w:tc>
          <w:tcPr>
            <w:tcW w:w="572" w:type="pct"/>
            <w:tcBorders>
              <w:top w:val="single" w:sz="4" w:space="0" w:color="002060"/>
              <w:bottom w:val="single" w:sz="4" w:space="0" w:color="002060"/>
            </w:tcBorders>
          </w:tcPr>
          <w:p w14:paraId="5BF26E22"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Структурни фискални биланс</w:t>
            </w:r>
          </w:p>
        </w:tc>
        <w:tc>
          <w:tcPr>
            <w:tcW w:w="572" w:type="pct"/>
            <w:tcBorders>
              <w:top w:val="single" w:sz="4" w:space="0" w:color="002060"/>
              <w:bottom w:val="single" w:sz="4" w:space="0" w:color="002060"/>
            </w:tcBorders>
            <w:hideMark/>
          </w:tcPr>
          <w:p w14:paraId="7E77E4D1"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Структурни примарни фискални биланс**</w:t>
            </w:r>
          </w:p>
        </w:tc>
        <w:tc>
          <w:tcPr>
            <w:tcW w:w="572" w:type="pct"/>
            <w:tcBorders>
              <w:top w:val="single" w:sz="4" w:space="0" w:color="002060"/>
              <w:bottom w:val="single" w:sz="4" w:space="0" w:color="002060"/>
            </w:tcBorders>
            <w:hideMark/>
          </w:tcPr>
          <w:p w14:paraId="5892174B" w14:textId="77777777" w:rsidR="004C4C0F" w:rsidRPr="0062711C" w:rsidRDefault="004C4C0F" w:rsidP="00E124CF">
            <w:pPr>
              <w:shd w:val="clear" w:color="auto" w:fill="FFFFFF" w:themeFill="background1"/>
              <w:spacing w:line="276" w:lineRule="auto"/>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Фискални импулс</w:t>
            </w:r>
          </w:p>
        </w:tc>
      </w:tr>
      <w:tr w:rsidR="001F1B9F" w:rsidRPr="0062711C" w14:paraId="5C608116"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single" w:sz="4" w:space="0" w:color="002060"/>
              <w:bottom w:val="nil"/>
            </w:tcBorders>
            <w:shd w:val="clear" w:color="auto" w:fill="FFFFFF" w:themeFill="background1"/>
            <w:noWrap/>
            <w:hideMark/>
          </w:tcPr>
          <w:p w14:paraId="13E6D34E"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2005</w:t>
            </w:r>
          </w:p>
        </w:tc>
        <w:tc>
          <w:tcPr>
            <w:tcW w:w="574" w:type="pct"/>
            <w:tcBorders>
              <w:top w:val="single" w:sz="4" w:space="0" w:color="002060"/>
              <w:bottom w:val="nil"/>
            </w:tcBorders>
            <w:shd w:val="clear" w:color="auto" w:fill="FFFFFF" w:themeFill="background1"/>
          </w:tcPr>
          <w:p w14:paraId="194523FE"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1" w:type="pct"/>
            <w:tcBorders>
              <w:top w:val="single" w:sz="4" w:space="0" w:color="002060"/>
              <w:bottom w:val="nil"/>
            </w:tcBorders>
            <w:shd w:val="clear" w:color="auto" w:fill="FFFFFF" w:themeFill="background1"/>
            <w:hideMark/>
          </w:tcPr>
          <w:p w14:paraId="0C8273C9"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c>
          <w:tcPr>
            <w:tcW w:w="572" w:type="pct"/>
            <w:tcBorders>
              <w:top w:val="single" w:sz="4" w:space="0" w:color="002060"/>
              <w:bottom w:val="nil"/>
            </w:tcBorders>
            <w:shd w:val="clear" w:color="auto" w:fill="FFFFFF" w:themeFill="background1"/>
            <w:hideMark/>
          </w:tcPr>
          <w:p w14:paraId="03A0957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2,0</w:t>
            </w:r>
          </w:p>
        </w:tc>
        <w:tc>
          <w:tcPr>
            <w:tcW w:w="598" w:type="pct"/>
            <w:tcBorders>
              <w:top w:val="single" w:sz="4" w:space="0" w:color="002060"/>
              <w:bottom w:val="nil"/>
            </w:tcBorders>
            <w:shd w:val="clear" w:color="auto" w:fill="FFFFFF" w:themeFill="background1"/>
            <w:noWrap/>
            <w:hideMark/>
          </w:tcPr>
          <w:p w14:paraId="429235C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c>
          <w:tcPr>
            <w:tcW w:w="598" w:type="pct"/>
            <w:tcBorders>
              <w:top w:val="single" w:sz="4" w:space="0" w:color="002060"/>
              <w:bottom w:val="nil"/>
            </w:tcBorders>
            <w:shd w:val="clear" w:color="auto" w:fill="FFFFFF" w:themeFill="background1"/>
            <w:noWrap/>
            <w:hideMark/>
          </w:tcPr>
          <w:p w14:paraId="7E267E7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2,0</w:t>
            </w:r>
          </w:p>
        </w:tc>
        <w:tc>
          <w:tcPr>
            <w:tcW w:w="572" w:type="pct"/>
            <w:tcBorders>
              <w:top w:val="single" w:sz="4" w:space="0" w:color="002060"/>
              <w:bottom w:val="nil"/>
            </w:tcBorders>
            <w:shd w:val="clear" w:color="auto" w:fill="FFFFFF" w:themeFill="background1"/>
          </w:tcPr>
          <w:p w14:paraId="25CF882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1,3</w:t>
            </w:r>
          </w:p>
        </w:tc>
        <w:tc>
          <w:tcPr>
            <w:tcW w:w="572" w:type="pct"/>
            <w:tcBorders>
              <w:top w:val="single" w:sz="4" w:space="0" w:color="002060"/>
              <w:bottom w:val="nil"/>
            </w:tcBorders>
            <w:shd w:val="clear" w:color="auto" w:fill="FFFFFF" w:themeFill="background1"/>
            <w:noWrap/>
            <w:hideMark/>
          </w:tcPr>
          <w:p w14:paraId="25A64A9C"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2,2</w:t>
            </w:r>
          </w:p>
        </w:tc>
        <w:tc>
          <w:tcPr>
            <w:tcW w:w="572" w:type="pct"/>
            <w:tcBorders>
              <w:top w:val="single" w:sz="4" w:space="0" w:color="002060"/>
              <w:bottom w:val="nil"/>
            </w:tcBorders>
            <w:shd w:val="clear" w:color="auto" w:fill="FFFFFF" w:themeFill="background1"/>
            <w:noWrap/>
            <w:hideMark/>
          </w:tcPr>
          <w:p w14:paraId="7788F65F"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p>
        </w:tc>
      </w:tr>
      <w:tr w:rsidR="004C4C0F" w:rsidRPr="0062711C" w14:paraId="6CAA30A3"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hideMark/>
          </w:tcPr>
          <w:p w14:paraId="7D451C74"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2006</w:t>
            </w:r>
          </w:p>
        </w:tc>
        <w:tc>
          <w:tcPr>
            <w:tcW w:w="574" w:type="pct"/>
            <w:tcBorders>
              <w:top w:val="nil"/>
              <w:left w:val="nil"/>
              <w:bottom w:val="nil"/>
              <w:right w:val="nil"/>
            </w:tcBorders>
            <w:shd w:val="clear" w:color="auto" w:fill="FFFFFF" w:themeFill="background1"/>
          </w:tcPr>
          <w:p w14:paraId="5F618AD2"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-2,7</w:t>
            </w:r>
          </w:p>
        </w:tc>
        <w:tc>
          <w:tcPr>
            <w:tcW w:w="571" w:type="pct"/>
            <w:tcBorders>
              <w:top w:val="nil"/>
              <w:left w:val="nil"/>
              <w:bottom w:val="nil"/>
              <w:right w:val="nil"/>
            </w:tcBorders>
            <w:shd w:val="clear" w:color="auto" w:fill="FFFFFF" w:themeFill="background1"/>
            <w:hideMark/>
          </w:tcPr>
          <w:p w14:paraId="3C177DB8"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-1,4</w:t>
            </w:r>
          </w:p>
        </w:tc>
        <w:tc>
          <w:tcPr>
            <w:tcW w:w="572" w:type="pct"/>
            <w:tcBorders>
              <w:top w:val="nil"/>
              <w:left w:val="nil"/>
              <w:bottom w:val="nil"/>
              <w:right w:val="nil"/>
            </w:tcBorders>
            <w:shd w:val="clear" w:color="auto" w:fill="FFFFFF" w:themeFill="background1"/>
            <w:hideMark/>
          </w:tcPr>
          <w:p w14:paraId="6C3ED71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98" w:type="pct"/>
            <w:tcBorders>
              <w:top w:val="nil"/>
              <w:left w:val="nil"/>
              <w:bottom w:val="nil"/>
              <w:right w:val="nil"/>
            </w:tcBorders>
            <w:shd w:val="clear" w:color="auto" w:fill="FFFFFF" w:themeFill="background1"/>
            <w:noWrap/>
            <w:hideMark/>
          </w:tcPr>
          <w:p w14:paraId="41CF09CA"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c>
          <w:tcPr>
            <w:tcW w:w="598" w:type="pct"/>
            <w:tcBorders>
              <w:top w:val="nil"/>
              <w:left w:val="nil"/>
              <w:bottom w:val="nil"/>
              <w:right w:val="nil"/>
            </w:tcBorders>
            <w:shd w:val="clear" w:color="auto" w:fill="FFFFFF" w:themeFill="background1"/>
            <w:noWrap/>
            <w:hideMark/>
          </w:tcPr>
          <w:p w14:paraId="3EB76246"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0,8</w:t>
            </w:r>
          </w:p>
        </w:tc>
        <w:tc>
          <w:tcPr>
            <w:tcW w:w="572" w:type="pct"/>
            <w:tcBorders>
              <w:top w:val="nil"/>
              <w:left w:val="nil"/>
              <w:bottom w:val="nil"/>
              <w:right w:val="nil"/>
            </w:tcBorders>
            <w:shd w:val="clear" w:color="auto" w:fill="FFFFFF" w:themeFill="background1"/>
          </w:tcPr>
          <w:p w14:paraId="1C41F3B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0,2</w:t>
            </w:r>
          </w:p>
        </w:tc>
        <w:tc>
          <w:tcPr>
            <w:tcW w:w="572" w:type="pct"/>
            <w:tcBorders>
              <w:top w:val="nil"/>
              <w:left w:val="nil"/>
              <w:bottom w:val="nil"/>
              <w:right w:val="nil"/>
            </w:tcBorders>
            <w:shd w:val="clear" w:color="auto" w:fill="FFFFFF" w:themeFill="background1"/>
            <w:noWrap/>
            <w:hideMark/>
          </w:tcPr>
          <w:p w14:paraId="2930917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1,5</w:t>
            </w:r>
          </w:p>
        </w:tc>
        <w:tc>
          <w:tcPr>
            <w:tcW w:w="572" w:type="pct"/>
            <w:tcBorders>
              <w:top w:val="nil"/>
              <w:left w:val="nil"/>
              <w:bottom w:val="nil"/>
              <w:right w:val="nil"/>
            </w:tcBorders>
            <w:shd w:val="clear" w:color="auto" w:fill="FFFFFF" w:themeFill="background1"/>
            <w:noWrap/>
            <w:hideMark/>
          </w:tcPr>
          <w:p w14:paraId="47499371"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r>
      <w:tr w:rsidR="004C4C0F" w:rsidRPr="0062711C" w14:paraId="49D4A932"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5818CE35"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2007</w:t>
            </w:r>
          </w:p>
        </w:tc>
        <w:tc>
          <w:tcPr>
            <w:tcW w:w="574" w:type="pct"/>
            <w:tcBorders>
              <w:top w:val="nil"/>
              <w:bottom w:val="nil"/>
            </w:tcBorders>
            <w:shd w:val="clear" w:color="auto" w:fill="FFFFFF" w:themeFill="background1"/>
          </w:tcPr>
          <w:p w14:paraId="4AAB9DCC"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0,8</w:t>
            </w:r>
          </w:p>
        </w:tc>
        <w:tc>
          <w:tcPr>
            <w:tcW w:w="571" w:type="pct"/>
            <w:tcBorders>
              <w:top w:val="nil"/>
              <w:bottom w:val="nil"/>
            </w:tcBorders>
            <w:shd w:val="clear" w:color="auto" w:fill="FFFFFF" w:themeFill="background1"/>
            <w:hideMark/>
          </w:tcPr>
          <w:p w14:paraId="34D16D15"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-1,8</w:t>
            </w:r>
          </w:p>
        </w:tc>
        <w:tc>
          <w:tcPr>
            <w:tcW w:w="572" w:type="pct"/>
            <w:tcBorders>
              <w:top w:val="nil"/>
              <w:bottom w:val="nil"/>
            </w:tcBorders>
            <w:shd w:val="clear" w:color="auto" w:fill="FFFFFF" w:themeFill="background1"/>
            <w:hideMark/>
          </w:tcPr>
          <w:p w14:paraId="61528D87"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98" w:type="pct"/>
            <w:tcBorders>
              <w:top w:val="nil"/>
              <w:bottom w:val="nil"/>
            </w:tcBorders>
            <w:shd w:val="clear" w:color="auto" w:fill="FFFFFF" w:themeFill="background1"/>
            <w:hideMark/>
          </w:tcPr>
          <w:p w14:paraId="370C5826"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-2,1</w:t>
            </w:r>
          </w:p>
        </w:tc>
        <w:tc>
          <w:tcPr>
            <w:tcW w:w="598" w:type="pct"/>
            <w:tcBorders>
              <w:top w:val="nil"/>
              <w:bottom w:val="nil"/>
            </w:tcBorders>
            <w:shd w:val="clear" w:color="auto" w:fill="FFFFFF" w:themeFill="background1"/>
            <w:noWrap/>
            <w:hideMark/>
          </w:tcPr>
          <w:p w14:paraId="6F9E770E"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-1,5</w:t>
            </w:r>
          </w:p>
        </w:tc>
        <w:tc>
          <w:tcPr>
            <w:tcW w:w="572" w:type="pct"/>
            <w:tcBorders>
              <w:top w:val="nil"/>
              <w:bottom w:val="nil"/>
            </w:tcBorders>
            <w:shd w:val="clear" w:color="auto" w:fill="FFFFFF" w:themeFill="background1"/>
          </w:tcPr>
          <w:p w14:paraId="2D4A3857"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-1,7</w:t>
            </w:r>
          </w:p>
        </w:tc>
        <w:tc>
          <w:tcPr>
            <w:tcW w:w="572" w:type="pct"/>
            <w:tcBorders>
              <w:top w:val="nil"/>
              <w:bottom w:val="nil"/>
            </w:tcBorders>
            <w:shd w:val="clear" w:color="auto" w:fill="FFFFFF" w:themeFill="background1"/>
            <w:noWrap/>
            <w:hideMark/>
          </w:tcPr>
          <w:p w14:paraId="13603CF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72" w:type="pct"/>
            <w:tcBorders>
              <w:top w:val="nil"/>
              <w:bottom w:val="nil"/>
            </w:tcBorders>
            <w:shd w:val="clear" w:color="auto" w:fill="FFFFFF" w:themeFill="background1"/>
            <w:noWrap/>
            <w:hideMark/>
          </w:tcPr>
          <w:p w14:paraId="6E0ED37F"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r>
      <w:tr w:rsidR="004C4C0F" w:rsidRPr="0062711C" w14:paraId="27D110ED"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hideMark/>
          </w:tcPr>
          <w:p w14:paraId="7E6BB8F4"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2008</w:t>
            </w:r>
          </w:p>
        </w:tc>
        <w:tc>
          <w:tcPr>
            <w:tcW w:w="574" w:type="pct"/>
            <w:tcBorders>
              <w:top w:val="nil"/>
              <w:left w:val="nil"/>
              <w:bottom w:val="nil"/>
              <w:right w:val="nil"/>
            </w:tcBorders>
            <w:shd w:val="clear" w:color="auto" w:fill="FFFFFF" w:themeFill="background1"/>
          </w:tcPr>
          <w:p w14:paraId="05A36806"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4,1</w:t>
            </w:r>
          </w:p>
        </w:tc>
        <w:tc>
          <w:tcPr>
            <w:tcW w:w="571" w:type="pct"/>
            <w:tcBorders>
              <w:top w:val="nil"/>
              <w:left w:val="nil"/>
              <w:bottom w:val="nil"/>
              <w:right w:val="nil"/>
            </w:tcBorders>
            <w:shd w:val="clear" w:color="auto" w:fill="FFFFFF" w:themeFill="background1"/>
            <w:hideMark/>
          </w:tcPr>
          <w:p w14:paraId="68DA5990"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-2,5</w:t>
            </w:r>
          </w:p>
        </w:tc>
        <w:tc>
          <w:tcPr>
            <w:tcW w:w="572" w:type="pct"/>
            <w:tcBorders>
              <w:top w:val="nil"/>
              <w:left w:val="nil"/>
              <w:bottom w:val="nil"/>
              <w:right w:val="nil"/>
            </w:tcBorders>
            <w:shd w:val="clear" w:color="auto" w:fill="FFFFFF" w:themeFill="background1"/>
            <w:hideMark/>
          </w:tcPr>
          <w:p w14:paraId="1BAAC9AC"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-1,9</w:t>
            </w:r>
          </w:p>
        </w:tc>
        <w:tc>
          <w:tcPr>
            <w:tcW w:w="598" w:type="pct"/>
            <w:tcBorders>
              <w:top w:val="nil"/>
              <w:left w:val="nil"/>
              <w:bottom w:val="nil"/>
              <w:right w:val="nil"/>
            </w:tcBorders>
            <w:shd w:val="clear" w:color="auto" w:fill="FFFFFF" w:themeFill="background1"/>
            <w:hideMark/>
          </w:tcPr>
          <w:p w14:paraId="02079598"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-3,9</w:t>
            </w:r>
          </w:p>
        </w:tc>
        <w:tc>
          <w:tcPr>
            <w:tcW w:w="598" w:type="pct"/>
            <w:tcBorders>
              <w:top w:val="nil"/>
              <w:left w:val="nil"/>
              <w:bottom w:val="nil"/>
              <w:right w:val="nil"/>
            </w:tcBorders>
            <w:shd w:val="clear" w:color="auto" w:fill="FFFFFF" w:themeFill="background1"/>
            <w:noWrap/>
            <w:hideMark/>
          </w:tcPr>
          <w:p w14:paraId="78028DF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72" w:type="pct"/>
            <w:tcBorders>
              <w:top w:val="nil"/>
              <w:left w:val="nil"/>
              <w:bottom w:val="nil"/>
              <w:right w:val="nil"/>
            </w:tcBorders>
            <w:shd w:val="clear" w:color="auto" w:fill="FFFFFF" w:themeFill="background1"/>
          </w:tcPr>
          <w:p w14:paraId="150DC502"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-4,0</w:t>
            </w:r>
          </w:p>
        </w:tc>
        <w:tc>
          <w:tcPr>
            <w:tcW w:w="572" w:type="pct"/>
            <w:tcBorders>
              <w:top w:val="nil"/>
              <w:left w:val="nil"/>
              <w:bottom w:val="nil"/>
              <w:right w:val="nil"/>
            </w:tcBorders>
            <w:shd w:val="clear" w:color="auto" w:fill="FFFFFF" w:themeFill="background1"/>
            <w:noWrap/>
            <w:hideMark/>
          </w:tcPr>
          <w:p w14:paraId="4C4B9AA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72" w:type="pct"/>
            <w:tcBorders>
              <w:top w:val="nil"/>
              <w:left w:val="nil"/>
              <w:bottom w:val="nil"/>
              <w:right w:val="nil"/>
            </w:tcBorders>
            <w:shd w:val="clear" w:color="auto" w:fill="FFFFFF" w:themeFill="background1"/>
            <w:noWrap/>
            <w:hideMark/>
          </w:tcPr>
          <w:p w14:paraId="0B78794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1,9</w:t>
            </w:r>
          </w:p>
        </w:tc>
      </w:tr>
      <w:tr w:rsidR="004C4C0F" w:rsidRPr="0062711C" w14:paraId="1BCC37F2"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1A832B2B"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2009</w:t>
            </w:r>
          </w:p>
        </w:tc>
        <w:tc>
          <w:tcPr>
            <w:tcW w:w="574" w:type="pct"/>
            <w:tcBorders>
              <w:top w:val="nil"/>
              <w:bottom w:val="nil"/>
            </w:tcBorders>
            <w:shd w:val="clear" w:color="auto" w:fill="FFFFFF" w:themeFill="background1"/>
          </w:tcPr>
          <w:p w14:paraId="351BC6A5"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c>
          <w:tcPr>
            <w:tcW w:w="571" w:type="pct"/>
            <w:tcBorders>
              <w:top w:val="nil"/>
              <w:bottom w:val="nil"/>
            </w:tcBorders>
            <w:shd w:val="clear" w:color="auto" w:fill="FFFFFF" w:themeFill="background1"/>
            <w:hideMark/>
          </w:tcPr>
          <w:p w14:paraId="05A0805C"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-4,2</w:t>
            </w:r>
          </w:p>
        </w:tc>
        <w:tc>
          <w:tcPr>
            <w:tcW w:w="572" w:type="pct"/>
            <w:tcBorders>
              <w:top w:val="nil"/>
              <w:bottom w:val="nil"/>
            </w:tcBorders>
            <w:shd w:val="clear" w:color="auto" w:fill="FFFFFF" w:themeFill="background1"/>
            <w:hideMark/>
          </w:tcPr>
          <w:p w14:paraId="796909C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-3,6</w:t>
            </w:r>
          </w:p>
        </w:tc>
        <w:tc>
          <w:tcPr>
            <w:tcW w:w="598" w:type="pct"/>
            <w:tcBorders>
              <w:top w:val="nil"/>
              <w:bottom w:val="nil"/>
            </w:tcBorders>
            <w:shd w:val="clear" w:color="auto" w:fill="FFFFFF" w:themeFill="background1"/>
            <w:hideMark/>
          </w:tcPr>
          <w:p w14:paraId="4DA93EF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-4,0</w:t>
            </w:r>
          </w:p>
        </w:tc>
        <w:tc>
          <w:tcPr>
            <w:tcW w:w="598" w:type="pct"/>
            <w:tcBorders>
              <w:top w:val="nil"/>
              <w:bottom w:val="nil"/>
            </w:tcBorders>
            <w:shd w:val="clear" w:color="auto" w:fill="FFFFFF" w:themeFill="background1"/>
            <w:hideMark/>
          </w:tcPr>
          <w:p w14:paraId="70E210C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72" w:type="pct"/>
            <w:tcBorders>
              <w:top w:val="nil"/>
              <w:bottom w:val="nil"/>
            </w:tcBorders>
            <w:shd w:val="clear" w:color="auto" w:fill="FFFFFF" w:themeFill="background1"/>
          </w:tcPr>
          <w:p w14:paraId="2BAB7EB6"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-4,1</w:t>
            </w:r>
          </w:p>
        </w:tc>
        <w:tc>
          <w:tcPr>
            <w:tcW w:w="572" w:type="pct"/>
            <w:tcBorders>
              <w:top w:val="nil"/>
              <w:bottom w:val="nil"/>
            </w:tcBorders>
            <w:shd w:val="clear" w:color="auto" w:fill="FFFFFF" w:themeFill="background1"/>
            <w:noWrap/>
            <w:hideMark/>
          </w:tcPr>
          <w:p w14:paraId="6D28D7DE"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-3,5</w:t>
            </w:r>
          </w:p>
        </w:tc>
        <w:tc>
          <w:tcPr>
            <w:tcW w:w="572" w:type="pct"/>
            <w:tcBorders>
              <w:top w:val="nil"/>
              <w:bottom w:val="nil"/>
            </w:tcBorders>
            <w:shd w:val="clear" w:color="auto" w:fill="FFFFFF" w:themeFill="background1"/>
            <w:noWrap/>
            <w:hideMark/>
          </w:tcPr>
          <w:p w14:paraId="52EE51F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r>
      <w:tr w:rsidR="004C4C0F" w:rsidRPr="0062711C" w14:paraId="31F3235F"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left w:val="nil"/>
              <w:bottom w:val="nil"/>
              <w:right w:val="nil"/>
            </w:tcBorders>
            <w:shd w:val="clear" w:color="auto" w:fill="FFFFFF" w:themeFill="background1"/>
            <w:noWrap/>
          </w:tcPr>
          <w:p w14:paraId="048AFB03"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2010</w:t>
            </w:r>
          </w:p>
          <w:p w14:paraId="62CC4920"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left w:val="nil"/>
              <w:bottom w:val="nil"/>
              <w:right w:val="nil"/>
            </w:tcBorders>
            <w:shd w:val="clear" w:color="auto" w:fill="FFFFFF" w:themeFill="background1"/>
          </w:tcPr>
          <w:p w14:paraId="521E42D1"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-0,7</w:t>
            </w:r>
          </w:p>
        </w:tc>
        <w:tc>
          <w:tcPr>
            <w:tcW w:w="571" w:type="pct"/>
            <w:tcBorders>
              <w:top w:val="nil"/>
              <w:left w:val="nil"/>
              <w:bottom w:val="nil"/>
              <w:right w:val="nil"/>
            </w:tcBorders>
            <w:shd w:val="clear" w:color="auto" w:fill="FFFFFF" w:themeFill="background1"/>
            <w:hideMark/>
          </w:tcPr>
          <w:p w14:paraId="6DF61ED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-4,3</w:t>
            </w:r>
          </w:p>
        </w:tc>
        <w:tc>
          <w:tcPr>
            <w:tcW w:w="572" w:type="pct"/>
            <w:tcBorders>
              <w:top w:val="nil"/>
              <w:left w:val="nil"/>
              <w:bottom w:val="nil"/>
              <w:right w:val="nil"/>
            </w:tcBorders>
            <w:shd w:val="clear" w:color="auto" w:fill="FFFFFF" w:themeFill="background1"/>
            <w:hideMark/>
          </w:tcPr>
          <w:p w14:paraId="160B2DC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98" w:type="pct"/>
            <w:tcBorders>
              <w:top w:val="nil"/>
              <w:left w:val="nil"/>
              <w:bottom w:val="nil"/>
              <w:right w:val="nil"/>
            </w:tcBorders>
            <w:shd w:val="clear" w:color="auto" w:fill="FFFFFF" w:themeFill="background1"/>
            <w:hideMark/>
          </w:tcPr>
          <w:p w14:paraId="45E7D9F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-4,1</w:t>
            </w:r>
          </w:p>
        </w:tc>
        <w:tc>
          <w:tcPr>
            <w:tcW w:w="598" w:type="pct"/>
            <w:tcBorders>
              <w:top w:val="nil"/>
              <w:left w:val="nil"/>
              <w:bottom w:val="nil"/>
              <w:right w:val="nil"/>
            </w:tcBorders>
            <w:shd w:val="clear" w:color="auto" w:fill="FFFFFF" w:themeFill="background1"/>
            <w:hideMark/>
          </w:tcPr>
          <w:p w14:paraId="6AA20583"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-3,1</w:t>
            </w:r>
          </w:p>
        </w:tc>
        <w:tc>
          <w:tcPr>
            <w:tcW w:w="572" w:type="pct"/>
            <w:tcBorders>
              <w:top w:val="nil"/>
              <w:left w:val="nil"/>
              <w:bottom w:val="nil"/>
              <w:right w:val="nil"/>
            </w:tcBorders>
            <w:shd w:val="clear" w:color="auto" w:fill="FFFFFF" w:themeFill="background1"/>
          </w:tcPr>
          <w:p w14:paraId="64BA6D8C"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-4,2</w:t>
            </w:r>
          </w:p>
        </w:tc>
        <w:tc>
          <w:tcPr>
            <w:tcW w:w="572" w:type="pct"/>
            <w:tcBorders>
              <w:top w:val="nil"/>
              <w:left w:val="nil"/>
              <w:bottom w:val="nil"/>
              <w:right w:val="nil"/>
            </w:tcBorders>
            <w:shd w:val="clear" w:color="auto" w:fill="FFFFFF" w:themeFill="background1"/>
            <w:noWrap/>
            <w:hideMark/>
          </w:tcPr>
          <w:p w14:paraId="5F097078"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-3,2</w:t>
            </w:r>
          </w:p>
        </w:tc>
        <w:tc>
          <w:tcPr>
            <w:tcW w:w="572" w:type="pct"/>
            <w:tcBorders>
              <w:top w:val="nil"/>
              <w:left w:val="nil"/>
              <w:bottom w:val="nil"/>
              <w:right w:val="nil"/>
            </w:tcBorders>
            <w:shd w:val="clear" w:color="auto" w:fill="FFFFFF" w:themeFill="background1"/>
            <w:noWrap/>
            <w:hideMark/>
          </w:tcPr>
          <w:p w14:paraId="082C98E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-0,3</w:t>
            </w:r>
          </w:p>
        </w:tc>
      </w:tr>
      <w:tr w:rsidR="004C4C0F" w:rsidRPr="0062711C" w14:paraId="73F669C5"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hideMark/>
          </w:tcPr>
          <w:p w14:paraId="57A0CF99"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2011</w:t>
            </w:r>
          </w:p>
        </w:tc>
        <w:tc>
          <w:tcPr>
            <w:tcW w:w="574" w:type="pct"/>
            <w:tcBorders>
              <w:top w:val="nil"/>
              <w:bottom w:val="nil"/>
            </w:tcBorders>
            <w:shd w:val="clear" w:color="auto" w:fill="FFFFFF" w:themeFill="background1"/>
          </w:tcPr>
          <w:p w14:paraId="4F49037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0,5</w:t>
            </w:r>
          </w:p>
        </w:tc>
        <w:tc>
          <w:tcPr>
            <w:tcW w:w="571" w:type="pct"/>
            <w:tcBorders>
              <w:top w:val="nil"/>
              <w:bottom w:val="nil"/>
            </w:tcBorders>
            <w:shd w:val="clear" w:color="auto" w:fill="FFFFFF" w:themeFill="background1"/>
            <w:hideMark/>
          </w:tcPr>
          <w:p w14:paraId="3F17A34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-4,5</w:t>
            </w:r>
          </w:p>
        </w:tc>
        <w:tc>
          <w:tcPr>
            <w:tcW w:w="572" w:type="pct"/>
            <w:tcBorders>
              <w:top w:val="nil"/>
              <w:bottom w:val="nil"/>
            </w:tcBorders>
            <w:shd w:val="clear" w:color="auto" w:fill="FFFFFF" w:themeFill="background1"/>
            <w:hideMark/>
          </w:tcPr>
          <w:p w14:paraId="08DEF47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98" w:type="pct"/>
            <w:tcBorders>
              <w:top w:val="nil"/>
              <w:bottom w:val="nil"/>
            </w:tcBorders>
            <w:shd w:val="clear" w:color="auto" w:fill="FFFFFF" w:themeFill="background1"/>
            <w:hideMark/>
          </w:tcPr>
          <w:p w14:paraId="6C54683E"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-4,7</w:t>
            </w:r>
          </w:p>
        </w:tc>
        <w:tc>
          <w:tcPr>
            <w:tcW w:w="598" w:type="pct"/>
            <w:tcBorders>
              <w:top w:val="nil"/>
              <w:bottom w:val="nil"/>
            </w:tcBorders>
            <w:shd w:val="clear" w:color="auto" w:fill="FFFFFF" w:themeFill="background1"/>
            <w:hideMark/>
          </w:tcPr>
          <w:p w14:paraId="7D30008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-3,6</w:t>
            </w:r>
          </w:p>
        </w:tc>
        <w:tc>
          <w:tcPr>
            <w:tcW w:w="572" w:type="pct"/>
            <w:tcBorders>
              <w:top w:val="nil"/>
              <w:bottom w:val="nil"/>
            </w:tcBorders>
            <w:shd w:val="clear" w:color="auto" w:fill="FFFFFF" w:themeFill="background1"/>
          </w:tcPr>
          <w:p w14:paraId="3590BAA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-4,9</w:t>
            </w:r>
          </w:p>
        </w:tc>
        <w:tc>
          <w:tcPr>
            <w:tcW w:w="572" w:type="pct"/>
            <w:tcBorders>
              <w:top w:val="nil"/>
              <w:bottom w:val="nil"/>
            </w:tcBorders>
            <w:shd w:val="clear" w:color="auto" w:fill="FFFFFF" w:themeFill="background1"/>
            <w:noWrap/>
            <w:hideMark/>
          </w:tcPr>
          <w:p w14:paraId="0C560F8F"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-3,8</w:t>
            </w:r>
          </w:p>
        </w:tc>
        <w:tc>
          <w:tcPr>
            <w:tcW w:w="572" w:type="pct"/>
            <w:tcBorders>
              <w:top w:val="nil"/>
              <w:bottom w:val="nil"/>
            </w:tcBorders>
            <w:shd w:val="clear" w:color="auto" w:fill="FFFFFF" w:themeFill="background1"/>
            <w:noWrap/>
            <w:hideMark/>
          </w:tcPr>
          <w:p w14:paraId="5C9FA7D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r>
      <w:tr w:rsidR="004C4C0F" w:rsidRPr="0062711C" w14:paraId="49EAE229"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F44B123"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2012</w:t>
            </w:r>
          </w:p>
          <w:p w14:paraId="194C6E40"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bottom w:val="nil"/>
            </w:tcBorders>
            <w:shd w:val="clear" w:color="auto" w:fill="FFFFFF" w:themeFill="background1"/>
          </w:tcPr>
          <w:p w14:paraId="242E3B42"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-0,8</w:t>
            </w:r>
          </w:p>
        </w:tc>
        <w:tc>
          <w:tcPr>
            <w:tcW w:w="571" w:type="pct"/>
            <w:tcBorders>
              <w:top w:val="nil"/>
              <w:bottom w:val="nil"/>
            </w:tcBorders>
            <w:shd w:val="clear" w:color="auto" w:fill="FFFFFF" w:themeFill="background1"/>
          </w:tcPr>
          <w:p w14:paraId="1CA41AAF"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-6,4</w:t>
            </w:r>
          </w:p>
        </w:tc>
        <w:tc>
          <w:tcPr>
            <w:tcW w:w="572" w:type="pct"/>
            <w:tcBorders>
              <w:top w:val="nil"/>
              <w:bottom w:val="nil"/>
            </w:tcBorders>
            <w:shd w:val="clear" w:color="auto" w:fill="FFFFFF" w:themeFill="background1"/>
          </w:tcPr>
          <w:p w14:paraId="5EA07EE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-4,7</w:t>
            </w:r>
          </w:p>
        </w:tc>
        <w:tc>
          <w:tcPr>
            <w:tcW w:w="598" w:type="pct"/>
            <w:tcBorders>
              <w:top w:val="nil"/>
              <w:bottom w:val="nil"/>
            </w:tcBorders>
            <w:shd w:val="clear" w:color="auto" w:fill="FFFFFF" w:themeFill="background1"/>
          </w:tcPr>
          <w:p w14:paraId="4E30F06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-6,1</w:t>
            </w:r>
          </w:p>
        </w:tc>
        <w:tc>
          <w:tcPr>
            <w:tcW w:w="598" w:type="pct"/>
            <w:tcBorders>
              <w:top w:val="nil"/>
              <w:bottom w:val="nil"/>
            </w:tcBorders>
            <w:shd w:val="clear" w:color="auto" w:fill="FFFFFF" w:themeFill="background1"/>
          </w:tcPr>
          <w:p w14:paraId="4684929D"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-4,4</w:t>
            </w:r>
          </w:p>
        </w:tc>
        <w:tc>
          <w:tcPr>
            <w:tcW w:w="572" w:type="pct"/>
            <w:tcBorders>
              <w:top w:val="nil"/>
              <w:bottom w:val="nil"/>
            </w:tcBorders>
            <w:shd w:val="clear" w:color="auto" w:fill="FFFFFF" w:themeFill="background1"/>
          </w:tcPr>
          <w:p w14:paraId="66F9650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-6,1</w:t>
            </w:r>
          </w:p>
        </w:tc>
        <w:tc>
          <w:tcPr>
            <w:tcW w:w="572" w:type="pct"/>
            <w:tcBorders>
              <w:top w:val="nil"/>
              <w:bottom w:val="nil"/>
            </w:tcBorders>
            <w:shd w:val="clear" w:color="auto" w:fill="FFFFFF" w:themeFill="background1"/>
            <w:noWrap/>
          </w:tcPr>
          <w:p w14:paraId="08A5AF23"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-4,4</w:t>
            </w:r>
          </w:p>
        </w:tc>
        <w:tc>
          <w:tcPr>
            <w:tcW w:w="572" w:type="pct"/>
            <w:tcBorders>
              <w:top w:val="nil"/>
              <w:bottom w:val="nil"/>
            </w:tcBorders>
            <w:shd w:val="clear" w:color="auto" w:fill="FFFFFF" w:themeFill="background1"/>
            <w:noWrap/>
          </w:tcPr>
          <w:p w14:paraId="573C934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0,9</w:t>
            </w:r>
          </w:p>
        </w:tc>
      </w:tr>
      <w:tr w:rsidR="004C4C0F" w:rsidRPr="0062711C" w14:paraId="25981DD3"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2F310CA"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2013</w:t>
            </w:r>
          </w:p>
        </w:tc>
        <w:tc>
          <w:tcPr>
            <w:tcW w:w="574" w:type="pct"/>
            <w:tcBorders>
              <w:top w:val="nil"/>
              <w:bottom w:val="nil"/>
            </w:tcBorders>
            <w:shd w:val="clear" w:color="auto" w:fill="FFFFFF" w:themeFill="background1"/>
          </w:tcPr>
          <w:p w14:paraId="51D803A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71" w:type="pct"/>
            <w:tcBorders>
              <w:top w:val="nil"/>
              <w:bottom w:val="nil"/>
            </w:tcBorders>
            <w:shd w:val="clear" w:color="auto" w:fill="FFFFFF" w:themeFill="background1"/>
          </w:tcPr>
          <w:p w14:paraId="6711EC1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-5,1</w:t>
            </w:r>
          </w:p>
        </w:tc>
        <w:tc>
          <w:tcPr>
            <w:tcW w:w="572" w:type="pct"/>
            <w:tcBorders>
              <w:top w:val="nil"/>
              <w:bottom w:val="nil"/>
            </w:tcBorders>
            <w:shd w:val="clear" w:color="auto" w:fill="FFFFFF" w:themeFill="background1"/>
          </w:tcPr>
          <w:p w14:paraId="359A61C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-3,0</w:t>
            </w:r>
          </w:p>
        </w:tc>
        <w:tc>
          <w:tcPr>
            <w:tcW w:w="598" w:type="pct"/>
            <w:tcBorders>
              <w:top w:val="nil"/>
              <w:bottom w:val="nil"/>
            </w:tcBorders>
            <w:shd w:val="clear" w:color="auto" w:fill="FFFFFF" w:themeFill="background1"/>
          </w:tcPr>
          <w:p w14:paraId="7EA5F711"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-5,6</w:t>
            </w:r>
          </w:p>
        </w:tc>
        <w:tc>
          <w:tcPr>
            <w:tcW w:w="598" w:type="pct"/>
            <w:tcBorders>
              <w:top w:val="nil"/>
              <w:bottom w:val="nil"/>
            </w:tcBorders>
            <w:shd w:val="clear" w:color="auto" w:fill="FFFFFF" w:themeFill="background1"/>
          </w:tcPr>
          <w:p w14:paraId="400436F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72" w:type="pct"/>
            <w:tcBorders>
              <w:top w:val="nil"/>
              <w:bottom w:val="nil"/>
            </w:tcBorders>
            <w:shd w:val="clear" w:color="auto" w:fill="FFFFFF" w:themeFill="background1"/>
          </w:tcPr>
          <w:p w14:paraId="7CBDA23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-5,3</w:t>
            </w:r>
          </w:p>
        </w:tc>
        <w:tc>
          <w:tcPr>
            <w:tcW w:w="572" w:type="pct"/>
            <w:tcBorders>
              <w:top w:val="nil"/>
              <w:bottom w:val="nil"/>
            </w:tcBorders>
            <w:shd w:val="clear" w:color="auto" w:fill="FFFFFF" w:themeFill="background1"/>
            <w:noWrap/>
          </w:tcPr>
          <w:p w14:paraId="12059EF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-3,1</w:t>
            </w:r>
          </w:p>
        </w:tc>
        <w:tc>
          <w:tcPr>
            <w:tcW w:w="572" w:type="pct"/>
            <w:tcBorders>
              <w:top w:val="nil"/>
              <w:bottom w:val="nil"/>
            </w:tcBorders>
            <w:shd w:val="clear" w:color="auto" w:fill="FFFFFF" w:themeFill="background1"/>
            <w:noWrap/>
          </w:tcPr>
          <w:p w14:paraId="7CB0CC3C"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-1,0</w:t>
            </w:r>
          </w:p>
        </w:tc>
      </w:tr>
      <w:tr w:rsidR="004C4C0F" w:rsidRPr="0062711C" w14:paraId="2FA6491A"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57BCDD3A"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2014</w:t>
            </w:r>
          </w:p>
        </w:tc>
        <w:tc>
          <w:tcPr>
            <w:tcW w:w="574" w:type="pct"/>
            <w:tcBorders>
              <w:top w:val="nil"/>
              <w:bottom w:val="nil"/>
            </w:tcBorders>
            <w:shd w:val="clear" w:color="auto" w:fill="FFFFFF" w:themeFill="background1"/>
          </w:tcPr>
          <w:p w14:paraId="037FCF0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-1,4</w:t>
            </w:r>
          </w:p>
        </w:tc>
        <w:tc>
          <w:tcPr>
            <w:tcW w:w="571" w:type="pct"/>
            <w:tcBorders>
              <w:top w:val="nil"/>
              <w:bottom w:val="nil"/>
            </w:tcBorders>
            <w:shd w:val="clear" w:color="auto" w:fill="FFFFFF" w:themeFill="background1"/>
          </w:tcPr>
          <w:p w14:paraId="59368BB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-6,2</w:t>
            </w:r>
          </w:p>
        </w:tc>
        <w:tc>
          <w:tcPr>
            <w:tcW w:w="572" w:type="pct"/>
            <w:tcBorders>
              <w:top w:val="nil"/>
              <w:bottom w:val="nil"/>
            </w:tcBorders>
            <w:shd w:val="clear" w:color="auto" w:fill="FFFFFF" w:themeFill="background1"/>
          </w:tcPr>
          <w:p w14:paraId="1C9B10ED"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-3,5</w:t>
            </w:r>
          </w:p>
        </w:tc>
        <w:tc>
          <w:tcPr>
            <w:tcW w:w="598" w:type="pct"/>
            <w:tcBorders>
              <w:top w:val="nil"/>
              <w:bottom w:val="nil"/>
            </w:tcBorders>
            <w:shd w:val="clear" w:color="auto" w:fill="FFFFFF" w:themeFill="background1"/>
          </w:tcPr>
          <w:p w14:paraId="03E509FA"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-5,7</w:t>
            </w:r>
          </w:p>
        </w:tc>
        <w:tc>
          <w:tcPr>
            <w:tcW w:w="598" w:type="pct"/>
            <w:tcBorders>
              <w:top w:val="nil"/>
              <w:bottom w:val="nil"/>
            </w:tcBorders>
            <w:shd w:val="clear" w:color="auto" w:fill="FFFFFF" w:themeFill="background1"/>
          </w:tcPr>
          <w:p w14:paraId="04BC5FF1"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-3,0</w:t>
            </w:r>
          </w:p>
        </w:tc>
        <w:tc>
          <w:tcPr>
            <w:tcW w:w="572" w:type="pct"/>
            <w:tcBorders>
              <w:top w:val="nil"/>
              <w:bottom w:val="nil"/>
            </w:tcBorders>
            <w:shd w:val="clear" w:color="auto" w:fill="FFFFFF" w:themeFill="background1"/>
          </w:tcPr>
          <w:p w14:paraId="49B942C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-4,8</w:t>
            </w:r>
          </w:p>
        </w:tc>
        <w:tc>
          <w:tcPr>
            <w:tcW w:w="572" w:type="pct"/>
            <w:tcBorders>
              <w:top w:val="nil"/>
              <w:bottom w:val="nil"/>
            </w:tcBorders>
            <w:shd w:val="clear" w:color="auto" w:fill="FFFFFF" w:themeFill="background1"/>
            <w:noWrap/>
          </w:tcPr>
          <w:p w14:paraId="63443FF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-2,2</w:t>
            </w:r>
          </w:p>
        </w:tc>
        <w:tc>
          <w:tcPr>
            <w:tcW w:w="572" w:type="pct"/>
            <w:tcBorders>
              <w:top w:val="nil"/>
              <w:bottom w:val="nil"/>
            </w:tcBorders>
            <w:shd w:val="clear" w:color="auto" w:fill="FFFFFF" w:themeFill="background1"/>
            <w:noWrap/>
          </w:tcPr>
          <w:p w14:paraId="4C568E84"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r>
      <w:tr w:rsidR="004C4C0F" w:rsidRPr="0062711C" w14:paraId="4BA32E84"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194F3A8C"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2015</w:t>
            </w:r>
          </w:p>
        </w:tc>
        <w:tc>
          <w:tcPr>
            <w:tcW w:w="574" w:type="pct"/>
            <w:tcBorders>
              <w:top w:val="nil"/>
              <w:bottom w:val="nil"/>
            </w:tcBorders>
            <w:shd w:val="clear" w:color="auto" w:fill="FFFFFF" w:themeFill="background1"/>
          </w:tcPr>
          <w:p w14:paraId="0F85C70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71" w:type="pct"/>
            <w:tcBorders>
              <w:top w:val="nil"/>
              <w:bottom w:val="nil"/>
            </w:tcBorders>
            <w:shd w:val="clear" w:color="auto" w:fill="FFFFFF" w:themeFill="background1"/>
          </w:tcPr>
          <w:p w14:paraId="1A30496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-3,5</w:t>
            </w:r>
          </w:p>
        </w:tc>
        <w:tc>
          <w:tcPr>
            <w:tcW w:w="572" w:type="pct"/>
            <w:tcBorders>
              <w:top w:val="nil"/>
              <w:bottom w:val="nil"/>
            </w:tcBorders>
            <w:shd w:val="clear" w:color="auto" w:fill="FFFFFF" w:themeFill="background1"/>
          </w:tcPr>
          <w:p w14:paraId="497CDEA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-0,5</w:t>
            </w:r>
          </w:p>
        </w:tc>
        <w:tc>
          <w:tcPr>
            <w:tcW w:w="598" w:type="pct"/>
            <w:tcBorders>
              <w:top w:val="nil"/>
              <w:bottom w:val="nil"/>
            </w:tcBorders>
            <w:shd w:val="clear" w:color="auto" w:fill="FFFFFF" w:themeFill="background1"/>
          </w:tcPr>
          <w:p w14:paraId="56770F53"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-3,0</w:t>
            </w:r>
          </w:p>
        </w:tc>
        <w:tc>
          <w:tcPr>
            <w:tcW w:w="598" w:type="pct"/>
            <w:tcBorders>
              <w:top w:val="nil"/>
              <w:bottom w:val="nil"/>
            </w:tcBorders>
            <w:shd w:val="clear" w:color="auto" w:fill="FFFFFF" w:themeFill="background1"/>
          </w:tcPr>
          <w:p w14:paraId="3093CEC0"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2" w:type="pct"/>
            <w:tcBorders>
              <w:top w:val="nil"/>
              <w:bottom w:val="nil"/>
            </w:tcBorders>
            <w:shd w:val="clear" w:color="auto" w:fill="FFFFFF" w:themeFill="background1"/>
          </w:tcPr>
          <w:p w14:paraId="316F6F4C"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-2,2</w:t>
            </w:r>
          </w:p>
        </w:tc>
        <w:tc>
          <w:tcPr>
            <w:tcW w:w="572" w:type="pct"/>
            <w:tcBorders>
              <w:top w:val="nil"/>
              <w:bottom w:val="nil"/>
            </w:tcBorders>
            <w:shd w:val="clear" w:color="auto" w:fill="FFFFFF" w:themeFill="background1"/>
            <w:noWrap/>
          </w:tcPr>
          <w:p w14:paraId="1B0D7E65"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0,8</w:t>
            </w:r>
          </w:p>
        </w:tc>
        <w:tc>
          <w:tcPr>
            <w:tcW w:w="572" w:type="pct"/>
            <w:tcBorders>
              <w:top w:val="nil"/>
              <w:bottom w:val="nil"/>
            </w:tcBorders>
            <w:shd w:val="clear" w:color="auto" w:fill="FFFFFF" w:themeFill="background1"/>
            <w:noWrap/>
          </w:tcPr>
          <w:p w14:paraId="6FB69C9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-3,0</w:t>
            </w:r>
          </w:p>
        </w:tc>
      </w:tr>
      <w:tr w:rsidR="004C4C0F" w:rsidRPr="0062711C" w14:paraId="28E00EA0"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E3C64FB"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2016</w:t>
            </w:r>
          </w:p>
        </w:tc>
        <w:tc>
          <w:tcPr>
            <w:tcW w:w="574" w:type="pct"/>
            <w:tcBorders>
              <w:top w:val="nil"/>
              <w:bottom w:val="nil"/>
            </w:tcBorders>
            <w:shd w:val="clear" w:color="auto" w:fill="FFFFFF" w:themeFill="background1"/>
          </w:tcPr>
          <w:p w14:paraId="7DFAC1A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1" w:type="pct"/>
            <w:tcBorders>
              <w:top w:val="nil"/>
              <w:bottom w:val="nil"/>
            </w:tcBorders>
            <w:shd w:val="clear" w:color="auto" w:fill="FFFFFF" w:themeFill="background1"/>
          </w:tcPr>
          <w:p w14:paraId="17E4270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72" w:type="pct"/>
            <w:tcBorders>
              <w:top w:val="nil"/>
              <w:bottom w:val="nil"/>
            </w:tcBorders>
            <w:shd w:val="clear" w:color="auto" w:fill="FFFFFF" w:themeFill="background1"/>
          </w:tcPr>
          <w:p w14:paraId="26B9AE54"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1,7</w:t>
            </w:r>
          </w:p>
        </w:tc>
        <w:tc>
          <w:tcPr>
            <w:tcW w:w="598" w:type="pct"/>
            <w:tcBorders>
              <w:top w:val="nil"/>
              <w:bottom w:val="nil"/>
            </w:tcBorders>
            <w:shd w:val="clear" w:color="auto" w:fill="FFFFFF" w:themeFill="background1"/>
          </w:tcPr>
          <w:p w14:paraId="3C61993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98" w:type="pct"/>
            <w:tcBorders>
              <w:top w:val="nil"/>
              <w:bottom w:val="nil"/>
            </w:tcBorders>
            <w:shd w:val="clear" w:color="auto" w:fill="FFFFFF" w:themeFill="background1"/>
          </w:tcPr>
          <w:p w14:paraId="0740B95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1,7</w:t>
            </w:r>
          </w:p>
        </w:tc>
        <w:tc>
          <w:tcPr>
            <w:tcW w:w="572" w:type="pct"/>
            <w:tcBorders>
              <w:top w:val="nil"/>
              <w:bottom w:val="nil"/>
            </w:tcBorders>
            <w:shd w:val="clear" w:color="auto" w:fill="FFFFFF" w:themeFill="background1"/>
          </w:tcPr>
          <w:p w14:paraId="5913F67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c>
          <w:tcPr>
            <w:tcW w:w="572" w:type="pct"/>
            <w:tcBorders>
              <w:top w:val="nil"/>
              <w:bottom w:val="nil"/>
            </w:tcBorders>
            <w:shd w:val="clear" w:color="auto" w:fill="FFFFFF" w:themeFill="background1"/>
            <w:noWrap/>
          </w:tcPr>
          <w:p w14:paraId="6DE2BFE4"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1,8</w:t>
            </w:r>
          </w:p>
        </w:tc>
        <w:tc>
          <w:tcPr>
            <w:tcW w:w="572" w:type="pct"/>
            <w:tcBorders>
              <w:top w:val="nil"/>
              <w:bottom w:val="nil"/>
            </w:tcBorders>
            <w:shd w:val="clear" w:color="auto" w:fill="FFFFFF" w:themeFill="background1"/>
            <w:noWrap/>
          </w:tcPr>
          <w:p w14:paraId="2EE8826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-1,8</w:t>
            </w:r>
          </w:p>
        </w:tc>
      </w:tr>
      <w:tr w:rsidR="004C4C0F" w:rsidRPr="0062711C" w14:paraId="0090B93E"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69DDC1A"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2017</w:t>
            </w:r>
          </w:p>
        </w:tc>
        <w:tc>
          <w:tcPr>
            <w:tcW w:w="574" w:type="pct"/>
            <w:tcBorders>
              <w:top w:val="nil"/>
              <w:bottom w:val="nil"/>
            </w:tcBorders>
            <w:shd w:val="clear" w:color="auto" w:fill="FFFFFF" w:themeFill="background1"/>
          </w:tcPr>
          <w:p w14:paraId="6111B253"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-0,6</w:t>
            </w:r>
          </w:p>
        </w:tc>
        <w:tc>
          <w:tcPr>
            <w:tcW w:w="571" w:type="pct"/>
            <w:tcBorders>
              <w:top w:val="nil"/>
              <w:bottom w:val="nil"/>
            </w:tcBorders>
            <w:shd w:val="clear" w:color="auto" w:fill="FFFFFF" w:themeFill="background1"/>
          </w:tcPr>
          <w:p w14:paraId="7EF3150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c>
          <w:tcPr>
            <w:tcW w:w="572" w:type="pct"/>
            <w:tcBorders>
              <w:top w:val="nil"/>
              <w:bottom w:val="nil"/>
            </w:tcBorders>
            <w:shd w:val="clear" w:color="auto" w:fill="FFFFFF" w:themeFill="background1"/>
          </w:tcPr>
          <w:p w14:paraId="4E7ACFE9"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3,6</w:t>
            </w:r>
          </w:p>
        </w:tc>
        <w:tc>
          <w:tcPr>
            <w:tcW w:w="598" w:type="pct"/>
            <w:tcBorders>
              <w:top w:val="nil"/>
              <w:bottom w:val="nil"/>
            </w:tcBorders>
            <w:shd w:val="clear" w:color="auto" w:fill="FFFFFF" w:themeFill="background1"/>
          </w:tcPr>
          <w:p w14:paraId="58870F29"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1,3</w:t>
            </w:r>
          </w:p>
        </w:tc>
        <w:tc>
          <w:tcPr>
            <w:tcW w:w="598" w:type="pct"/>
            <w:tcBorders>
              <w:top w:val="nil"/>
              <w:bottom w:val="nil"/>
            </w:tcBorders>
            <w:shd w:val="clear" w:color="auto" w:fill="FFFFFF" w:themeFill="background1"/>
          </w:tcPr>
          <w:p w14:paraId="505D78DA"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3,9</w:t>
            </w:r>
          </w:p>
        </w:tc>
        <w:tc>
          <w:tcPr>
            <w:tcW w:w="572" w:type="pct"/>
            <w:tcBorders>
              <w:top w:val="nil"/>
              <w:bottom w:val="nil"/>
            </w:tcBorders>
            <w:shd w:val="clear" w:color="auto" w:fill="FFFFFF" w:themeFill="background1"/>
          </w:tcPr>
          <w:p w14:paraId="2CF21EAF"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1,2</w:t>
            </w:r>
          </w:p>
        </w:tc>
        <w:tc>
          <w:tcPr>
            <w:tcW w:w="572" w:type="pct"/>
            <w:tcBorders>
              <w:top w:val="nil"/>
              <w:bottom w:val="nil"/>
            </w:tcBorders>
            <w:shd w:val="clear" w:color="auto" w:fill="FFFFFF" w:themeFill="background1"/>
            <w:noWrap/>
          </w:tcPr>
          <w:p w14:paraId="5F8FF11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3,7</w:t>
            </w:r>
          </w:p>
        </w:tc>
        <w:tc>
          <w:tcPr>
            <w:tcW w:w="572" w:type="pct"/>
            <w:tcBorders>
              <w:top w:val="nil"/>
              <w:bottom w:val="nil"/>
            </w:tcBorders>
            <w:shd w:val="clear" w:color="auto" w:fill="FFFFFF" w:themeFill="background1"/>
            <w:noWrap/>
          </w:tcPr>
          <w:p w14:paraId="30211789"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-2,1</w:t>
            </w:r>
          </w:p>
        </w:tc>
      </w:tr>
      <w:tr w:rsidR="004C4C0F" w:rsidRPr="0062711C" w14:paraId="74006EC7"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B1F242A"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2018</w:t>
            </w:r>
          </w:p>
        </w:tc>
        <w:tc>
          <w:tcPr>
            <w:tcW w:w="574" w:type="pct"/>
            <w:tcBorders>
              <w:top w:val="nil"/>
              <w:bottom w:val="nil"/>
            </w:tcBorders>
            <w:shd w:val="clear" w:color="auto" w:fill="FFFFFF" w:themeFill="background1"/>
          </w:tcPr>
          <w:p w14:paraId="04BB324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0,8</w:t>
            </w:r>
          </w:p>
        </w:tc>
        <w:tc>
          <w:tcPr>
            <w:tcW w:w="571" w:type="pct"/>
            <w:tcBorders>
              <w:top w:val="nil"/>
              <w:bottom w:val="nil"/>
            </w:tcBorders>
            <w:shd w:val="clear" w:color="auto" w:fill="FFFFFF" w:themeFill="background1"/>
          </w:tcPr>
          <w:p w14:paraId="1C84BCFD"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0,6</w:t>
            </w:r>
          </w:p>
        </w:tc>
        <w:tc>
          <w:tcPr>
            <w:tcW w:w="572" w:type="pct"/>
            <w:tcBorders>
              <w:top w:val="nil"/>
              <w:bottom w:val="nil"/>
            </w:tcBorders>
            <w:shd w:val="clear" w:color="auto" w:fill="FFFFFF" w:themeFill="background1"/>
          </w:tcPr>
          <w:p w14:paraId="2B52FEAB"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2,7</w:t>
            </w:r>
          </w:p>
        </w:tc>
        <w:tc>
          <w:tcPr>
            <w:tcW w:w="598" w:type="pct"/>
            <w:tcBorders>
              <w:top w:val="nil"/>
              <w:bottom w:val="nil"/>
            </w:tcBorders>
            <w:shd w:val="clear" w:color="auto" w:fill="FFFFFF" w:themeFill="background1"/>
          </w:tcPr>
          <w:p w14:paraId="2A00A7E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c>
          <w:tcPr>
            <w:tcW w:w="598" w:type="pct"/>
            <w:tcBorders>
              <w:top w:val="nil"/>
              <w:bottom w:val="nil"/>
            </w:tcBorders>
            <w:shd w:val="clear" w:color="auto" w:fill="FFFFFF" w:themeFill="background1"/>
          </w:tcPr>
          <w:p w14:paraId="76365B8D"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2,5</w:t>
            </w:r>
          </w:p>
        </w:tc>
        <w:tc>
          <w:tcPr>
            <w:tcW w:w="572" w:type="pct"/>
            <w:tcBorders>
              <w:top w:val="nil"/>
              <w:bottom w:val="nil"/>
            </w:tcBorders>
            <w:shd w:val="clear" w:color="auto" w:fill="FFFFFF" w:themeFill="background1"/>
          </w:tcPr>
          <w:p w14:paraId="1E631C1F"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0,2</w:t>
            </w:r>
          </w:p>
        </w:tc>
        <w:tc>
          <w:tcPr>
            <w:tcW w:w="572" w:type="pct"/>
            <w:tcBorders>
              <w:top w:val="nil"/>
              <w:bottom w:val="nil"/>
            </w:tcBorders>
            <w:shd w:val="clear" w:color="auto" w:fill="FFFFFF" w:themeFill="background1"/>
            <w:noWrap/>
          </w:tcPr>
          <w:p w14:paraId="5B3A9A51"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72" w:type="pct"/>
            <w:tcBorders>
              <w:top w:val="nil"/>
              <w:bottom w:val="nil"/>
            </w:tcBorders>
            <w:shd w:val="clear" w:color="auto" w:fill="FFFFFF" w:themeFill="background1"/>
            <w:noWrap/>
          </w:tcPr>
          <w:p w14:paraId="723EF31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1,4</w:t>
            </w:r>
          </w:p>
        </w:tc>
      </w:tr>
      <w:tr w:rsidR="004C4C0F" w:rsidRPr="0062711C" w14:paraId="087AF4DF"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FA6B5C3"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2019</w:t>
            </w:r>
          </w:p>
          <w:p w14:paraId="4997E237"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bottom w:val="nil"/>
            </w:tcBorders>
            <w:shd w:val="clear" w:color="auto" w:fill="FFFFFF" w:themeFill="background1"/>
          </w:tcPr>
          <w:p w14:paraId="62CE32C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1,8</w:t>
            </w:r>
          </w:p>
        </w:tc>
        <w:tc>
          <w:tcPr>
            <w:tcW w:w="571" w:type="pct"/>
            <w:tcBorders>
              <w:top w:val="nil"/>
              <w:bottom w:val="nil"/>
            </w:tcBorders>
            <w:shd w:val="clear" w:color="auto" w:fill="FFFFFF" w:themeFill="background1"/>
          </w:tcPr>
          <w:p w14:paraId="1B7F754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-0,2</w:t>
            </w:r>
          </w:p>
        </w:tc>
        <w:tc>
          <w:tcPr>
            <w:tcW w:w="572" w:type="pct"/>
            <w:tcBorders>
              <w:top w:val="nil"/>
              <w:bottom w:val="nil"/>
            </w:tcBorders>
            <w:shd w:val="clear" w:color="auto" w:fill="FFFFFF" w:themeFill="background1"/>
          </w:tcPr>
          <w:p w14:paraId="03C31557"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1,8</w:t>
            </w:r>
          </w:p>
        </w:tc>
        <w:tc>
          <w:tcPr>
            <w:tcW w:w="598" w:type="pct"/>
            <w:tcBorders>
              <w:top w:val="nil"/>
              <w:bottom w:val="nil"/>
            </w:tcBorders>
            <w:shd w:val="clear" w:color="auto" w:fill="FFFFFF" w:themeFill="background1"/>
          </w:tcPr>
          <w:p w14:paraId="6E165756"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-0,9</w:t>
            </w:r>
          </w:p>
        </w:tc>
        <w:tc>
          <w:tcPr>
            <w:tcW w:w="598" w:type="pct"/>
            <w:tcBorders>
              <w:top w:val="nil"/>
              <w:bottom w:val="nil"/>
            </w:tcBorders>
            <w:shd w:val="clear" w:color="auto" w:fill="FFFFFF" w:themeFill="background1"/>
          </w:tcPr>
          <w:p w14:paraId="6A2168F0"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c>
          <w:tcPr>
            <w:tcW w:w="572" w:type="pct"/>
            <w:tcBorders>
              <w:top w:val="nil"/>
              <w:bottom w:val="nil"/>
            </w:tcBorders>
            <w:shd w:val="clear" w:color="auto" w:fill="FFFFFF" w:themeFill="background1"/>
          </w:tcPr>
          <w:p w14:paraId="1EC3B23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-1,0</w:t>
            </w:r>
          </w:p>
        </w:tc>
        <w:tc>
          <w:tcPr>
            <w:tcW w:w="572" w:type="pct"/>
            <w:tcBorders>
              <w:top w:val="nil"/>
              <w:bottom w:val="nil"/>
            </w:tcBorders>
            <w:shd w:val="clear" w:color="auto" w:fill="FFFFFF" w:themeFill="background1"/>
            <w:noWrap/>
          </w:tcPr>
          <w:p w14:paraId="549847C3"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1,0</w:t>
            </w:r>
          </w:p>
        </w:tc>
        <w:tc>
          <w:tcPr>
            <w:tcW w:w="572" w:type="pct"/>
            <w:tcBorders>
              <w:top w:val="nil"/>
              <w:bottom w:val="nil"/>
            </w:tcBorders>
            <w:shd w:val="clear" w:color="auto" w:fill="FFFFFF" w:themeFill="background1"/>
            <w:noWrap/>
          </w:tcPr>
          <w:p w14:paraId="7105D9A1"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1,3</w:t>
            </w:r>
          </w:p>
        </w:tc>
      </w:tr>
      <w:tr w:rsidR="004C4C0F" w:rsidRPr="0062711C" w14:paraId="069FB1C4"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7010BA65"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2020</w:t>
            </w:r>
          </w:p>
          <w:p w14:paraId="4CCB950C"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2021</w:t>
            </w:r>
          </w:p>
          <w:p w14:paraId="3921DDFA"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2021</w:t>
            </w:r>
          </w:p>
          <w:p w14:paraId="634D99E2"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w:t>
            </w:r>
          </w:p>
        </w:tc>
        <w:tc>
          <w:tcPr>
            <w:tcW w:w="574" w:type="pct"/>
            <w:tcBorders>
              <w:top w:val="nil"/>
              <w:bottom w:val="nil"/>
            </w:tcBorders>
            <w:shd w:val="clear" w:color="auto" w:fill="FFFFFF" w:themeFill="background1"/>
          </w:tcPr>
          <w:p w14:paraId="331559A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-2,4</w:t>
            </w:r>
          </w:p>
        </w:tc>
        <w:tc>
          <w:tcPr>
            <w:tcW w:w="571" w:type="pct"/>
            <w:tcBorders>
              <w:top w:val="nil"/>
              <w:bottom w:val="nil"/>
            </w:tcBorders>
            <w:shd w:val="clear" w:color="auto" w:fill="FFFFFF" w:themeFill="background1"/>
          </w:tcPr>
          <w:p w14:paraId="551E353C"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-8,0</w:t>
            </w:r>
          </w:p>
        </w:tc>
        <w:tc>
          <w:tcPr>
            <w:tcW w:w="572" w:type="pct"/>
            <w:tcBorders>
              <w:top w:val="nil"/>
              <w:bottom w:val="nil"/>
            </w:tcBorders>
            <w:shd w:val="clear" w:color="auto" w:fill="FFFFFF" w:themeFill="background1"/>
          </w:tcPr>
          <w:p w14:paraId="02ED3483"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-6,0</w:t>
            </w:r>
          </w:p>
        </w:tc>
        <w:tc>
          <w:tcPr>
            <w:tcW w:w="598" w:type="pct"/>
            <w:tcBorders>
              <w:top w:val="nil"/>
              <w:bottom w:val="nil"/>
            </w:tcBorders>
            <w:shd w:val="clear" w:color="auto" w:fill="FFFFFF" w:themeFill="background1"/>
          </w:tcPr>
          <w:p w14:paraId="610446C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-7,2</w:t>
            </w:r>
          </w:p>
        </w:tc>
        <w:tc>
          <w:tcPr>
            <w:tcW w:w="598" w:type="pct"/>
            <w:tcBorders>
              <w:top w:val="nil"/>
              <w:bottom w:val="nil"/>
            </w:tcBorders>
            <w:shd w:val="clear" w:color="auto" w:fill="FFFFFF" w:themeFill="background1"/>
          </w:tcPr>
          <w:p w14:paraId="7C1C1B2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-5,2</w:t>
            </w:r>
          </w:p>
        </w:tc>
        <w:tc>
          <w:tcPr>
            <w:tcW w:w="572" w:type="pct"/>
            <w:tcBorders>
              <w:top w:val="nil"/>
              <w:bottom w:val="nil"/>
            </w:tcBorders>
            <w:shd w:val="clear" w:color="auto" w:fill="FFFFFF" w:themeFill="background1"/>
          </w:tcPr>
          <w:p w14:paraId="5D4BB13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2" w:type="pct"/>
            <w:tcBorders>
              <w:top w:val="nil"/>
              <w:bottom w:val="nil"/>
            </w:tcBorders>
            <w:shd w:val="clear" w:color="auto" w:fill="FFFFFF" w:themeFill="background1"/>
            <w:noWrap/>
          </w:tcPr>
          <w:p w14:paraId="3BDA6E6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1,9</w:t>
            </w:r>
          </w:p>
        </w:tc>
        <w:tc>
          <w:tcPr>
            <w:tcW w:w="572" w:type="pct"/>
            <w:tcBorders>
              <w:top w:val="nil"/>
              <w:bottom w:val="nil"/>
            </w:tcBorders>
            <w:shd w:val="clear" w:color="auto" w:fill="FFFFFF" w:themeFill="background1"/>
            <w:noWrap/>
          </w:tcPr>
          <w:p w14:paraId="45CA8D68"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6,3</w:t>
            </w:r>
          </w:p>
        </w:tc>
      </w:tr>
      <w:tr w:rsidR="004C4C0F" w:rsidRPr="0062711C" w14:paraId="18C69804"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37735DA8"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2021</w:t>
            </w:r>
          </w:p>
        </w:tc>
        <w:tc>
          <w:tcPr>
            <w:tcW w:w="574" w:type="pct"/>
            <w:tcBorders>
              <w:top w:val="nil"/>
              <w:bottom w:val="nil"/>
            </w:tcBorders>
            <w:shd w:val="clear" w:color="auto" w:fill="FFFFFF" w:themeFill="background1"/>
          </w:tcPr>
          <w:p w14:paraId="5FDCCB5F"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1,6</w:t>
            </w:r>
          </w:p>
        </w:tc>
        <w:tc>
          <w:tcPr>
            <w:tcW w:w="571" w:type="pct"/>
            <w:tcBorders>
              <w:top w:val="nil"/>
              <w:bottom w:val="nil"/>
            </w:tcBorders>
            <w:shd w:val="clear" w:color="auto" w:fill="FFFFFF" w:themeFill="background1"/>
          </w:tcPr>
          <w:p w14:paraId="3472F77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-4,1</w:t>
            </w:r>
          </w:p>
        </w:tc>
        <w:tc>
          <w:tcPr>
            <w:tcW w:w="572" w:type="pct"/>
            <w:tcBorders>
              <w:top w:val="nil"/>
              <w:bottom w:val="nil"/>
            </w:tcBorders>
            <w:shd w:val="clear" w:color="auto" w:fill="FFFFFF" w:themeFill="background1"/>
          </w:tcPr>
          <w:p w14:paraId="398B9486"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-2,4</w:t>
            </w:r>
          </w:p>
        </w:tc>
        <w:tc>
          <w:tcPr>
            <w:tcW w:w="598" w:type="pct"/>
            <w:tcBorders>
              <w:top w:val="nil"/>
              <w:bottom w:val="nil"/>
            </w:tcBorders>
            <w:shd w:val="clear" w:color="auto" w:fill="FFFFFF" w:themeFill="background1"/>
          </w:tcPr>
          <w:p w14:paraId="3ACDB6CA"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-4,7</w:t>
            </w:r>
          </w:p>
        </w:tc>
        <w:tc>
          <w:tcPr>
            <w:tcW w:w="598" w:type="pct"/>
            <w:tcBorders>
              <w:top w:val="nil"/>
              <w:bottom w:val="nil"/>
            </w:tcBorders>
            <w:shd w:val="clear" w:color="auto" w:fill="FFFFFF" w:themeFill="background1"/>
          </w:tcPr>
          <w:p w14:paraId="00EA429F"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-3,0</w:t>
            </w:r>
          </w:p>
        </w:tc>
        <w:tc>
          <w:tcPr>
            <w:tcW w:w="572" w:type="pct"/>
            <w:tcBorders>
              <w:top w:val="nil"/>
              <w:bottom w:val="nil"/>
            </w:tcBorders>
            <w:shd w:val="clear" w:color="auto" w:fill="FFFFFF" w:themeFill="background1"/>
          </w:tcPr>
          <w:p w14:paraId="360A7C11"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-0,6</w:t>
            </w:r>
          </w:p>
        </w:tc>
        <w:tc>
          <w:tcPr>
            <w:tcW w:w="572" w:type="pct"/>
            <w:tcBorders>
              <w:top w:val="nil"/>
              <w:bottom w:val="nil"/>
            </w:tcBorders>
            <w:shd w:val="clear" w:color="auto" w:fill="FFFFFF" w:themeFill="background1"/>
            <w:noWrap/>
          </w:tcPr>
          <w:p w14:paraId="4B467BC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c>
          <w:tcPr>
            <w:tcW w:w="572" w:type="pct"/>
            <w:tcBorders>
              <w:top w:val="nil"/>
              <w:bottom w:val="nil"/>
            </w:tcBorders>
            <w:shd w:val="clear" w:color="auto" w:fill="FFFFFF" w:themeFill="background1"/>
            <w:noWrap/>
          </w:tcPr>
          <w:p w14:paraId="6A068FC6"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-2,2</w:t>
            </w:r>
          </w:p>
        </w:tc>
      </w:tr>
      <w:tr w:rsidR="004C4C0F" w:rsidRPr="0062711C" w14:paraId="53EAA591"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15C29950"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2022</w:t>
            </w:r>
          </w:p>
        </w:tc>
        <w:tc>
          <w:tcPr>
            <w:tcW w:w="574" w:type="pct"/>
            <w:tcBorders>
              <w:top w:val="nil"/>
              <w:bottom w:val="nil"/>
            </w:tcBorders>
            <w:shd w:val="clear" w:color="auto" w:fill="FFFFFF" w:themeFill="background1"/>
          </w:tcPr>
          <w:p w14:paraId="65804CF4"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0,6</w:t>
            </w:r>
          </w:p>
        </w:tc>
        <w:tc>
          <w:tcPr>
            <w:tcW w:w="571" w:type="pct"/>
            <w:tcBorders>
              <w:top w:val="nil"/>
              <w:bottom w:val="nil"/>
            </w:tcBorders>
            <w:shd w:val="clear" w:color="auto" w:fill="FFFFFF" w:themeFill="background1"/>
          </w:tcPr>
          <w:p w14:paraId="06152401"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-3,2</w:t>
            </w:r>
          </w:p>
        </w:tc>
        <w:tc>
          <w:tcPr>
            <w:tcW w:w="572" w:type="pct"/>
            <w:tcBorders>
              <w:top w:val="nil"/>
              <w:bottom w:val="nil"/>
            </w:tcBorders>
            <w:shd w:val="clear" w:color="auto" w:fill="FFFFFF" w:themeFill="background1"/>
          </w:tcPr>
          <w:p w14:paraId="7412FB66"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-1,7</w:t>
            </w:r>
          </w:p>
        </w:tc>
        <w:tc>
          <w:tcPr>
            <w:tcW w:w="598" w:type="pct"/>
            <w:tcBorders>
              <w:top w:val="nil"/>
              <w:bottom w:val="nil"/>
            </w:tcBorders>
            <w:shd w:val="clear" w:color="auto" w:fill="FFFFFF" w:themeFill="background1"/>
          </w:tcPr>
          <w:p w14:paraId="17436B5F"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-3,4</w:t>
            </w:r>
          </w:p>
        </w:tc>
        <w:tc>
          <w:tcPr>
            <w:tcW w:w="598" w:type="pct"/>
            <w:tcBorders>
              <w:top w:val="nil"/>
              <w:bottom w:val="nil"/>
            </w:tcBorders>
            <w:shd w:val="clear" w:color="auto" w:fill="FFFFFF" w:themeFill="background1"/>
          </w:tcPr>
          <w:p w14:paraId="107AE3F8"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-1,9</w:t>
            </w:r>
          </w:p>
        </w:tc>
        <w:tc>
          <w:tcPr>
            <w:tcW w:w="572" w:type="pct"/>
            <w:tcBorders>
              <w:top w:val="nil"/>
              <w:bottom w:val="nil"/>
            </w:tcBorders>
            <w:shd w:val="clear" w:color="auto" w:fill="FFFFFF" w:themeFill="background1"/>
          </w:tcPr>
          <w:p w14:paraId="55886D5F"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2" w:type="pct"/>
            <w:tcBorders>
              <w:top w:val="nil"/>
              <w:bottom w:val="nil"/>
            </w:tcBorders>
            <w:shd w:val="clear" w:color="auto" w:fill="FFFFFF" w:themeFill="background1"/>
            <w:noWrap/>
          </w:tcPr>
          <w:p w14:paraId="6DD8ABE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1,5</w:t>
            </w:r>
          </w:p>
        </w:tc>
        <w:tc>
          <w:tcPr>
            <w:tcW w:w="572" w:type="pct"/>
            <w:tcBorders>
              <w:top w:val="nil"/>
              <w:bottom w:val="nil"/>
            </w:tcBorders>
            <w:shd w:val="clear" w:color="auto" w:fill="FFFFFF" w:themeFill="background1"/>
            <w:noWrap/>
          </w:tcPr>
          <w:p w14:paraId="2C47A751"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-1,1</w:t>
            </w:r>
          </w:p>
        </w:tc>
      </w:tr>
      <w:tr w:rsidR="004C4C0F" w:rsidRPr="0062711C" w14:paraId="51D2036E"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6BDE8F07"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2023</w:t>
            </w:r>
          </w:p>
        </w:tc>
        <w:tc>
          <w:tcPr>
            <w:tcW w:w="574" w:type="pct"/>
            <w:tcBorders>
              <w:top w:val="nil"/>
              <w:bottom w:val="nil"/>
            </w:tcBorders>
            <w:shd w:val="clear" w:color="auto" w:fill="FFFFFF" w:themeFill="background1"/>
          </w:tcPr>
          <w:p w14:paraId="5421FA33"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c>
          <w:tcPr>
            <w:tcW w:w="571" w:type="pct"/>
            <w:tcBorders>
              <w:top w:val="nil"/>
              <w:bottom w:val="nil"/>
            </w:tcBorders>
            <w:shd w:val="clear" w:color="auto" w:fill="FFFFFF" w:themeFill="background1"/>
          </w:tcPr>
          <w:p w14:paraId="36885DB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-2,2</w:t>
            </w:r>
          </w:p>
        </w:tc>
        <w:tc>
          <w:tcPr>
            <w:tcW w:w="572" w:type="pct"/>
            <w:tcBorders>
              <w:top w:val="nil"/>
              <w:bottom w:val="nil"/>
            </w:tcBorders>
            <w:shd w:val="clear" w:color="auto" w:fill="FFFFFF" w:themeFill="background1"/>
          </w:tcPr>
          <w:p w14:paraId="287FA0CD"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-0,5</w:t>
            </w:r>
          </w:p>
        </w:tc>
        <w:tc>
          <w:tcPr>
            <w:tcW w:w="598" w:type="pct"/>
            <w:tcBorders>
              <w:top w:val="nil"/>
              <w:bottom w:val="nil"/>
            </w:tcBorders>
            <w:shd w:val="clear" w:color="auto" w:fill="FFFFFF" w:themeFill="background1"/>
          </w:tcPr>
          <w:p w14:paraId="4348AD37"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-2,1</w:t>
            </w:r>
          </w:p>
        </w:tc>
        <w:tc>
          <w:tcPr>
            <w:tcW w:w="598" w:type="pct"/>
            <w:tcBorders>
              <w:top w:val="nil"/>
              <w:bottom w:val="nil"/>
            </w:tcBorders>
            <w:shd w:val="clear" w:color="auto" w:fill="FFFFFF" w:themeFill="background1"/>
          </w:tcPr>
          <w:p w14:paraId="562A0187"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c>
          <w:tcPr>
            <w:tcW w:w="572" w:type="pct"/>
            <w:tcBorders>
              <w:top w:val="nil"/>
              <w:bottom w:val="nil"/>
            </w:tcBorders>
            <w:shd w:val="clear" w:color="auto" w:fill="FFFFFF" w:themeFill="background1"/>
          </w:tcPr>
          <w:p w14:paraId="24897D20"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-1,4</w:t>
            </w:r>
          </w:p>
        </w:tc>
        <w:tc>
          <w:tcPr>
            <w:tcW w:w="572" w:type="pct"/>
            <w:tcBorders>
              <w:top w:val="nil"/>
              <w:bottom w:val="nil"/>
            </w:tcBorders>
            <w:shd w:val="clear" w:color="auto" w:fill="FFFFFF" w:themeFill="background1"/>
            <w:noWrap/>
          </w:tcPr>
          <w:p w14:paraId="4991E960"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0,3</w:t>
            </w:r>
          </w:p>
        </w:tc>
        <w:tc>
          <w:tcPr>
            <w:tcW w:w="572" w:type="pct"/>
            <w:tcBorders>
              <w:top w:val="nil"/>
              <w:bottom w:val="nil"/>
            </w:tcBorders>
            <w:shd w:val="clear" w:color="auto" w:fill="FFFFFF" w:themeFill="background1"/>
            <w:noWrap/>
          </w:tcPr>
          <w:p w14:paraId="7DB2DCEA"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-1,5</w:t>
            </w:r>
          </w:p>
        </w:tc>
      </w:tr>
      <w:tr w:rsidR="004C4C0F" w:rsidRPr="0062711C" w14:paraId="3DF2B414"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00DA67B6" w14:textId="77777777" w:rsidR="004C4C0F" w:rsidRPr="0062711C" w:rsidRDefault="004C4C0F" w:rsidP="00D500A7">
            <w:pPr>
              <w:shd w:val="clear" w:color="auto" w:fill="FFFFFF" w:themeFill="background1"/>
              <w:spacing w:line="276" w:lineRule="auto"/>
              <w:jc w:val="left"/>
              <w:rPr>
                <w:rFonts w:ascii="Calibri" w:hAnsi="Calibri" w:cs="Calibri"/>
                <w:color w:val="002060"/>
                <w:sz w:val="16"/>
                <w:szCs w:val="16"/>
                <w:lang w:val="sr-Cyrl-RS"/>
              </w:rPr>
            </w:pPr>
            <w:r w:rsidRPr="0062711C">
              <w:rPr>
                <w:rFonts w:ascii="Calibri" w:hAnsi="Calibri" w:cs="Calibri"/>
                <w:b w:val="0"/>
                <w:color w:val="002060"/>
                <w:sz w:val="16"/>
                <w:szCs w:val="16"/>
                <w:lang w:val="sr-Cyrl-RS"/>
              </w:rPr>
              <w:t>2024</w:t>
            </w:r>
          </w:p>
        </w:tc>
        <w:tc>
          <w:tcPr>
            <w:tcW w:w="574" w:type="pct"/>
            <w:tcBorders>
              <w:top w:val="nil"/>
              <w:bottom w:val="nil"/>
            </w:tcBorders>
            <w:shd w:val="clear" w:color="auto" w:fill="FFFFFF" w:themeFill="background1"/>
          </w:tcPr>
          <w:p w14:paraId="55C94EF0"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-0,6</w:t>
            </w:r>
          </w:p>
        </w:tc>
        <w:tc>
          <w:tcPr>
            <w:tcW w:w="571" w:type="pct"/>
            <w:tcBorders>
              <w:top w:val="nil"/>
              <w:bottom w:val="nil"/>
            </w:tcBorders>
            <w:shd w:val="clear" w:color="auto" w:fill="FFFFFF" w:themeFill="background1"/>
          </w:tcPr>
          <w:p w14:paraId="26E6324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-2,2</w:t>
            </w:r>
          </w:p>
        </w:tc>
        <w:tc>
          <w:tcPr>
            <w:tcW w:w="572" w:type="pct"/>
            <w:tcBorders>
              <w:top w:val="nil"/>
              <w:bottom w:val="nil"/>
            </w:tcBorders>
            <w:shd w:val="clear" w:color="auto" w:fill="FFFFFF" w:themeFill="background1"/>
          </w:tcPr>
          <w:p w14:paraId="6823414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-0,2</w:t>
            </w:r>
          </w:p>
        </w:tc>
        <w:tc>
          <w:tcPr>
            <w:tcW w:w="598" w:type="pct"/>
            <w:tcBorders>
              <w:top w:val="nil"/>
              <w:bottom w:val="nil"/>
            </w:tcBorders>
            <w:shd w:val="clear" w:color="auto" w:fill="FFFFFF" w:themeFill="background1"/>
          </w:tcPr>
          <w:p w14:paraId="2B8C342F"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-2,0</w:t>
            </w:r>
          </w:p>
        </w:tc>
        <w:tc>
          <w:tcPr>
            <w:tcW w:w="598" w:type="pct"/>
            <w:tcBorders>
              <w:top w:val="nil"/>
              <w:bottom w:val="nil"/>
            </w:tcBorders>
            <w:shd w:val="clear" w:color="auto" w:fill="FFFFFF" w:themeFill="background1"/>
          </w:tcPr>
          <w:p w14:paraId="3CBABE6C"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2" w:type="pct"/>
            <w:tcBorders>
              <w:top w:val="nil"/>
              <w:bottom w:val="nil"/>
            </w:tcBorders>
            <w:shd w:val="clear" w:color="auto" w:fill="FFFFFF" w:themeFill="background1"/>
          </w:tcPr>
          <w:p w14:paraId="63281CC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-1,8</w:t>
            </w:r>
          </w:p>
        </w:tc>
        <w:tc>
          <w:tcPr>
            <w:tcW w:w="572" w:type="pct"/>
            <w:tcBorders>
              <w:top w:val="nil"/>
              <w:bottom w:val="nil"/>
            </w:tcBorders>
            <w:shd w:val="clear" w:color="auto" w:fill="FFFFFF" w:themeFill="background1"/>
            <w:noWrap/>
          </w:tcPr>
          <w:p w14:paraId="14E525E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0,2</w:t>
            </w:r>
          </w:p>
        </w:tc>
        <w:tc>
          <w:tcPr>
            <w:tcW w:w="572" w:type="pct"/>
            <w:tcBorders>
              <w:top w:val="nil"/>
              <w:bottom w:val="nil"/>
            </w:tcBorders>
            <w:shd w:val="clear" w:color="auto" w:fill="FFFFFF" w:themeFill="background1"/>
            <w:noWrap/>
          </w:tcPr>
          <w:p w14:paraId="35EC1BC9"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-0,4</w:t>
            </w:r>
          </w:p>
        </w:tc>
      </w:tr>
      <w:tr w:rsidR="004C4C0F" w:rsidRPr="0062711C" w14:paraId="26636E64"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22F336BD"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2025</w:t>
            </w:r>
          </w:p>
          <w:p w14:paraId="6787B179" w14:textId="77777777" w:rsidR="004C4C0F" w:rsidRPr="0062711C" w:rsidRDefault="004C4C0F" w:rsidP="00D500A7">
            <w:pPr>
              <w:shd w:val="clear" w:color="auto" w:fill="FFFFFF" w:themeFill="background1"/>
              <w:spacing w:line="276" w:lineRule="auto"/>
              <w:jc w:val="left"/>
              <w:rPr>
                <w:rFonts w:ascii="Calibri" w:hAnsi="Calibri" w:cs="Calibri"/>
                <w:color w:val="002060"/>
                <w:sz w:val="16"/>
                <w:szCs w:val="16"/>
                <w:lang w:val="sr-Cyrl-RS"/>
              </w:rPr>
            </w:pPr>
          </w:p>
        </w:tc>
        <w:tc>
          <w:tcPr>
            <w:tcW w:w="574" w:type="pct"/>
            <w:tcBorders>
              <w:top w:val="nil"/>
              <w:bottom w:val="nil"/>
            </w:tcBorders>
            <w:shd w:val="clear" w:color="auto" w:fill="FFFFFF" w:themeFill="background1"/>
          </w:tcPr>
          <w:p w14:paraId="5BB04D5E"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1" w:type="pct"/>
            <w:tcBorders>
              <w:top w:val="nil"/>
              <w:bottom w:val="nil"/>
            </w:tcBorders>
            <w:shd w:val="clear" w:color="auto" w:fill="FFFFFF" w:themeFill="background1"/>
          </w:tcPr>
          <w:p w14:paraId="1594E3E5"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-2,5</w:t>
            </w:r>
          </w:p>
        </w:tc>
        <w:tc>
          <w:tcPr>
            <w:tcW w:w="572" w:type="pct"/>
            <w:tcBorders>
              <w:top w:val="nil"/>
              <w:bottom w:val="nil"/>
            </w:tcBorders>
            <w:shd w:val="clear" w:color="auto" w:fill="FFFFFF" w:themeFill="background1"/>
          </w:tcPr>
          <w:p w14:paraId="0BF78C61"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98" w:type="pct"/>
            <w:tcBorders>
              <w:top w:val="nil"/>
              <w:bottom w:val="nil"/>
            </w:tcBorders>
            <w:shd w:val="clear" w:color="auto" w:fill="FFFFFF" w:themeFill="background1"/>
          </w:tcPr>
          <w:p w14:paraId="32D123F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-2,5</w:t>
            </w:r>
          </w:p>
        </w:tc>
        <w:tc>
          <w:tcPr>
            <w:tcW w:w="598" w:type="pct"/>
            <w:tcBorders>
              <w:top w:val="nil"/>
              <w:bottom w:val="nil"/>
            </w:tcBorders>
            <w:shd w:val="clear" w:color="auto" w:fill="FFFFFF" w:themeFill="background1"/>
          </w:tcPr>
          <w:p w14:paraId="1C5D22C2"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2" w:type="pct"/>
            <w:tcBorders>
              <w:top w:val="nil"/>
              <w:bottom w:val="nil"/>
            </w:tcBorders>
            <w:shd w:val="clear" w:color="auto" w:fill="FFFFFF" w:themeFill="background1"/>
          </w:tcPr>
          <w:p w14:paraId="3C0B1B2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-2,5</w:t>
            </w:r>
          </w:p>
        </w:tc>
        <w:tc>
          <w:tcPr>
            <w:tcW w:w="572" w:type="pct"/>
            <w:tcBorders>
              <w:top w:val="nil"/>
              <w:bottom w:val="nil"/>
            </w:tcBorders>
            <w:shd w:val="clear" w:color="auto" w:fill="FFFFFF" w:themeFill="background1"/>
            <w:noWrap/>
          </w:tcPr>
          <w:p w14:paraId="111DAD98"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2" w:type="pct"/>
            <w:tcBorders>
              <w:top w:val="nil"/>
              <w:bottom w:val="nil"/>
            </w:tcBorders>
            <w:shd w:val="clear" w:color="auto" w:fill="FFFFFF" w:themeFill="background1"/>
            <w:noWrap/>
          </w:tcPr>
          <w:p w14:paraId="3A994E73"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r>
      <w:tr w:rsidR="004C4C0F" w:rsidRPr="0062711C" w14:paraId="32647ED5" w14:textId="77777777" w:rsidTr="004C4C0F">
        <w:trPr>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nil"/>
            </w:tcBorders>
            <w:shd w:val="clear" w:color="auto" w:fill="FFFFFF" w:themeFill="background1"/>
            <w:noWrap/>
          </w:tcPr>
          <w:p w14:paraId="4F8EB949"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2026</w:t>
            </w:r>
          </w:p>
          <w:p w14:paraId="3166FFE2"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p>
        </w:tc>
        <w:tc>
          <w:tcPr>
            <w:tcW w:w="574" w:type="pct"/>
            <w:tcBorders>
              <w:top w:val="nil"/>
              <w:bottom w:val="nil"/>
            </w:tcBorders>
            <w:shd w:val="clear" w:color="auto" w:fill="FFFFFF" w:themeFill="background1"/>
          </w:tcPr>
          <w:p w14:paraId="57735D30"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1" w:type="pct"/>
            <w:tcBorders>
              <w:top w:val="nil"/>
              <w:bottom w:val="nil"/>
            </w:tcBorders>
            <w:shd w:val="clear" w:color="auto" w:fill="FFFFFF" w:themeFill="background1"/>
          </w:tcPr>
          <w:p w14:paraId="7FCADD5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72" w:type="pct"/>
            <w:tcBorders>
              <w:top w:val="nil"/>
              <w:bottom w:val="nil"/>
            </w:tcBorders>
            <w:shd w:val="clear" w:color="auto" w:fill="FFFFFF" w:themeFill="background1"/>
          </w:tcPr>
          <w:p w14:paraId="249A49D2"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98" w:type="pct"/>
            <w:tcBorders>
              <w:top w:val="nil"/>
              <w:bottom w:val="nil"/>
            </w:tcBorders>
            <w:shd w:val="clear" w:color="auto" w:fill="FFFFFF" w:themeFill="background1"/>
          </w:tcPr>
          <w:p w14:paraId="4E0EB077"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98" w:type="pct"/>
            <w:tcBorders>
              <w:top w:val="nil"/>
              <w:bottom w:val="nil"/>
            </w:tcBorders>
            <w:shd w:val="clear" w:color="auto" w:fill="FFFFFF" w:themeFill="background1"/>
          </w:tcPr>
          <w:p w14:paraId="2494A165"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2" w:type="pct"/>
            <w:tcBorders>
              <w:top w:val="nil"/>
              <w:bottom w:val="nil"/>
            </w:tcBorders>
            <w:shd w:val="clear" w:color="auto" w:fill="FFFFFF" w:themeFill="background1"/>
          </w:tcPr>
          <w:p w14:paraId="75006333"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72" w:type="pct"/>
            <w:tcBorders>
              <w:top w:val="nil"/>
              <w:bottom w:val="nil"/>
            </w:tcBorders>
            <w:shd w:val="clear" w:color="auto" w:fill="FFFFFF" w:themeFill="background1"/>
            <w:noWrap/>
          </w:tcPr>
          <w:p w14:paraId="2AEA8E9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0,0</w:t>
            </w:r>
          </w:p>
        </w:tc>
        <w:tc>
          <w:tcPr>
            <w:tcW w:w="572" w:type="pct"/>
            <w:tcBorders>
              <w:top w:val="nil"/>
              <w:bottom w:val="nil"/>
            </w:tcBorders>
            <w:shd w:val="clear" w:color="auto" w:fill="FFFFFF" w:themeFill="background1"/>
            <w:noWrap/>
          </w:tcPr>
          <w:p w14:paraId="036E1D3E" w14:textId="77777777" w:rsidR="004C4C0F" w:rsidRPr="0062711C" w:rsidRDefault="004C4C0F" w:rsidP="00D500A7">
            <w:pPr>
              <w:shd w:val="clear" w:color="auto" w:fill="FFFFFF" w:themeFill="background1"/>
              <w:spacing w:line="276"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r>
      <w:tr w:rsidR="004C4C0F" w:rsidRPr="0062711C" w14:paraId="6CE00050" w14:textId="77777777" w:rsidTr="004C4C0F">
        <w:trPr>
          <w:cnfStyle w:val="000000100000" w:firstRow="0" w:lastRow="0" w:firstColumn="0" w:lastColumn="0" w:oddVBand="0" w:evenVBand="0" w:oddHBand="1" w:evenHBand="0" w:firstRowFirstColumn="0" w:firstRowLastColumn="0" w:lastRowFirstColumn="0" w:lastRowLastColumn="0"/>
          <w:trHeight w:hRule="exact" w:val="230"/>
        </w:trPr>
        <w:tc>
          <w:tcPr>
            <w:cnfStyle w:val="001000000000" w:firstRow="0" w:lastRow="0" w:firstColumn="1" w:lastColumn="0" w:oddVBand="0" w:evenVBand="0" w:oddHBand="0" w:evenHBand="0" w:firstRowFirstColumn="0" w:firstRowLastColumn="0" w:lastRowFirstColumn="0" w:lastRowLastColumn="0"/>
            <w:tcW w:w="369" w:type="pct"/>
            <w:tcBorders>
              <w:top w:val="nil"/>
              <w:bottom w:val="single" w:sz="4" w:space="0" w:color="002060"/>
            </w:tcBorders>
            <w:shd w:val="clear" w:color="auto" w:fill="FFFFFF" w:themeFill="background1"/>
            <w:noWrap/>
          </w:tcPr>
          <w:p w14:paraId="54628AC4" w14:textId="77777777" w:rsidR="004C4C0F" w:rsidRPr="0062711C" w:rsidRDefault="004C4C0F" w:rsidP="00D500A7">
            <w:pPr>
              <w:shd w:val="clear" w:color="auto" w:fill="FFFFFF" w:themeFill="background1"/>
              <w:spacing w:line="276" w:lineRule="auto"/>
              <w:jc w:val="left"/>
              <w:rPr>
                <w:rFonts w:ascii="Calibri" w:hAnsi="Calibri" w:cs="Calibri"/>
                <w:b w:val="0"/>
                <w:color w:val="002060"/>
                <w:sz w:val="16"/>
                <w:szCs w:val="16"/>
                <w:lang w:val="sr-Cyrl-RS"/>
              </w:rPr>
            </w:pPr>
            <w:r w:rsidRPr="0062711C">
              <w:rPr>
                <w:rFonts w:ascii="Calibri" w:hAnsi="Calibri" w:cs="Calibri"/>
                <w:b w:val="0"/>
                <w:color w:val="002060"/>
                <w:sz w:val="16"/>
                <w:szCs w:val="16"/>
                <w:lang w:val="sr-Cyrl-RS"/>
              </w:rPr>
              <w:t>2027</w:t>
            </w:r>
          </w:p>
        </w:tc>
        <w:tc>
          <w:tcPr>
            <w:tcW w:w="574" w:type="pct"/>
            <w:tcBorders>
              <w:top w:val="nil"/>
              <w:bottom w:val="single" w:sz="4" w:space="0" w:color="002060"/>
            </w:tcBorders>
            <w:shd w:val="clear" w:color="auto" w:fill="FFFFFF" w:themeFill="background1"/>
          </w:tcPr>
          <w:p w14:paraId="637275CA"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1" w:type="pct"/>
            <w:tcBorders>
              <w:top w:val="nil"/>
              <w:bottom w:val="single" w:sz="4" w:space="0" w:color="002060"/>
            </w:tcBorders>
            <w:shd w:val="clear" w:color="auto" w:fill="FFFFFF" w:themeFill="background1"/>
          </w:tcPr>
          <w:p w14:paraId="391DB880"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72" w:type="pct"/>
            <w:tcBorders>
              <w:top w:val="nil"/>
              <w:bottom w:val="single" w:sz="4" w:space="0" w:color="002060"/>
            </w:tcBorders>
            <w:shd w:val="clear" w:color="auto" w:fill="FFFFFF" w:themeFill="background1"/>
          </w:tcPr>
          <w:p w14:paraId="443BD27A"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98" w:type="pct"/>
            <w:tcBorders>
              <w:top w:val="nil"/>
              <w:bottom w:val="single" w:sz="4" w:space="0" w:color="002060"/>
            </w:tcBorders>
            <w:shd w:val="clear" w:color="auto" w:fill="FFFFFF" w:themeFill="background1"/>
          </w:tcPr>
          <w:p w14:paraId="46067334"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98" w:type="pct"/>
            <w:tcBorders>
              <w:top w:val="nil"/>
              <w:bottom w:val="single" w:sz="4" w:space="0" w:color="002060"/>
            </w:tcBorders>
            <w:shd w:val="clear" w:color="auto" w:fill="FFFFFF" w:themeFill="background1"/>
          </w:tcPr>
          <w:p w14:paraId="007E666A"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2" w:type="pct"/>
            <w:tcBorders>
              <w:top w:val="nil"/>
              <w:bottom w:val="single" w:sz="4" w:space="0" w:color="002060"/>
            </w:tcBorders>
            <w:shd w:val="clear" w:color="auto" w:fill="FFFFFF" w:themeFill="background1"/>
          </w:tcPr>
          <w:p w14:paraId="0C2B9FCB"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-2,3</w:t>
            </w:r>
          </w:p>
        </w:tc>
        <w:tc>
          <w:tcPr>
            <w:tcW w:w="572" w:type="pct"/>
            <w:tcBorders>
              <w:top w:val="nil"/>
              <w:bottom w:val="single" w:sz="4" w:space="0" w:color="002060"/>
            </w:tcBorders>
            <w:shd w:val="clear" w:color="auto" w:fill="FFFFFF" w:themeFill="background1"/>
            <w:noWrap/>
          </w:tcPr>
          <w:p w14:paraId="009DD377"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c>
          <w:tcPr>
            <w:tcW w:w="572" w:type="pct"/>
            <w:tcBorders>
              <w:top w:val="nil"/>
              <w:bottom w:val="single" w:sz="4" w:space="0" w:color="002060"/>
            </w:tcBorders>
            <w:shd w:val="clear" w:color="auto" w:fill="FFFFFF" w:themeFill="background1"/>
            <w:noWrap/>
          </w:tcPr>
          <w:p w14:paraId="41C63B5C" w14:textId="77777777" w:rsidR="004C4C0F" w:rsidRPr="0062711C" w:rsidRDefault="004C4C0F" w:rsidP="00D500A7">
            <w:pPr>
              <w:shd w:val="clear" w:color="auto" w:fill="FFFFFF" w:themeFill="background1"/>
              <w:spacing w:line="276"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6"/>
                <w:szCs w:val="16"/>
                <w:lang w:val="sr-Cyrl-RS"/>
              </w:rPr>
            </w:pPr>
            <w:r w:rsidRPr="0062711C">
              <w:rPr>
                <w:rFonts w:ascii="Calibri" w:hAnsi="Calibri" w:cs="Calibri"/>
                <w:color w:val="002060"/>
                <w:sz w:val="16"/>
                <w:szCs w:val="16"/>
                <w:lang w:val="sr-Cyrl-RS"/>
              </w:rPr>
              <w:t>-0,1</w:t>
            </w:r>
          </w:p>
        </w:tc>
      </w:tr>
    </w:tbl>
    <w:p w14:paraId="6879007C" w14:textId="77777777" w:rsidR="004C4C0F" w:rsidRPr="0062711C" w:rsidRDefault="004C4C0F" w:rsidP="00E124CF">
      <w:pPr>
        <w:shd w:val="clear" w:color="auto" w:fill="FFFFFF" w:themeFill="background1"/>
        <w:spacing w:before="40" w:after="0" w:line="276" w:lineRule="auto"/>
        <w:rPr>
          <w:rFonts w:ascii="Calibri" w:eastAsia="MS PGothic" w:hAnsi="Calibri" w:cs="Calibri"/>
          <w:sz w:val="16"/>
          <w:szCs w:val="16"/>
          <w:lang w:val="sr-Cyrl-RS" w:eastAsia="ja-JP"/>
        </w:rPr>
      </w:pPr>
      <w:r w:rsidRPr="0062711C">
        <w:rPr>
          <w:rFonts w:ascii="Calibri" w:eastAsia="MS PGothic" w:hAnsi="Calibri" w:cs="Calibri"/>
          <w:bCs/>
          <w:sz w:val="16"/>
          <w:szCs w:val="16"/>
          <w:lang w:val="sr-Cyrl-RS" w:eastAsia="ja-JP"/>
        </w:rPr>
        <w:t xml:space="preserve">* </w:t>
      </w:r>
      <w:r w:rsidRPr="0062711C">
        <w:rPr>
          <w:rFonts w:ascii="Calibri" w:eastAsia="MS PGothic" w:hAnsi="Calibri" w:cs="Calibri"/>
          <w:sz w:val="16"/>
          <w:szCs w:val="16"/>
          <w:lang w:val="sr-Cyrl-RS" w:eastAsia="ja-JP"/>
        </w:rPr>
        <w:t>За период 2024–2027. године приказане су пројектоване вредности.</w:t>
      </w:r>
    </w:p>
    <w:p w14:paraId="051485F8" w14:textId="77777777" w:rsidR="004C4C0F" w:rsidRPr="0062711C" w:rsidRDefault="004C4C0F" w:rsidP="00D500A7">
      <w:pPr>
        <w:shd w:val="clear" w:color="auto" w:fill="FFFFFF" w:themeFill="background1"/>
        <w:spacing w:after="0" w:line="276" w:lineRule="auto"/>
        <w:rPr>
          <w:rFonts w:ascii="Calibri" w:eastAsia="MS PGothic" w:hAnsi="Calibri" w:cs="Calibri"/>
          <w:sz w:val="16"/>
          <w:szCs w:val="16"/>
          <w:lang w:val="sr-Cyrl-RS" w:eastAsia="ja-JP"/>
        </w:rPr>
      </w:pPr>
      <w:r w:rsidRPr="0062711C">
        <w:rPr>
          <w:rFonts w:ascii="Calibri" w:eastAsia="MS PGothic" w:hAnsi="Calibri" w:cs="Calibri"/>
          <w:bCs/>
          <w:sz w:val="16"/>
          <w:szCs w:val="16"/>
          <w:lang w:val="sr-Cyrl-RS" w:eastAsia="ja-JP"/>
        </w:rPr>
        <w:t>** Структурни примарни биланс добијен је искључивањем процењених једнократних прихода и расхода</w:t>
      </w:r>
      <w:r w:rsidRPr="0062711C">
        <w:rPr>
          <w:rFonts w:ascii="Calibri" w:eastAsia="MS PGothic" w:hAnsi="Calibri" w:cs="Calibri"/>
          <w:sz w:val="16"/>
          <w:szCs w:val="16"/>
          <w:lang w:val="sr-Cyrl-RS" w:eastAsia="ja-JP"/>
        </w:rPr>
        <w:t>. Резултати који приказују промену структурног примарног дефицита не искључују експлицитно ефекте повећања ефикасности наплате приход.</w:t>
      </w:r>
    </w:p>
    <w:p w14:paraId="7F64244D" w14:textId="77777777" w:rsidR="004C4C0F" w:rsidRPr="0062711C" w:rsidRDefault="004C4C0F" w:rsidP="00D500A7">
      <w:pPr>
        <w:spacing w:line="276" w:lineRule="auto"/>
        <w:rPr>
          <w:rFonts w:ascii="Calibri" w:eastAsia="Calibri" w:hAnsi="Calibri" w:cs="Calibri"/>
          <w:sz w:val="16"/>
          <w:szCs w:val="20"/>
          <w:lang w:val="sr-Cyrl-RS"/>
        </w:rPr>
      </w:pPr>
      <w:r w:rsidRPr="0062711C">
        <w:rPr>
          <w:rFonts w:ascii="Calibri" w:eastAsia="Calibri" w:hAnsi="Calibri" w:cs="Calibri"/>
          <w:sz w:val="16"/>
          <w:szCs w:val="16"/>
          <w:lang w:val="sr-Cyrl-RS"/>
        </w:rPr>
        <w:t xml:space="preserve">Извор: </w:t>
      </w:r>
      <w:r w:rsidRPr="0062711C">
        <w:rPr>
          <w:rFonts w:ascii="Calibri" w:eastAsia="Calibri" w:hAnsi="Calibri" w:cs="Calibri"/>
          <w:sz w:val="16"/>
          <w:szCs w:val="20"/>
          <w:lang w:val="sr-Cyrl-RS"/>
        </w:rPr>
        <w:t>Министарство финансија</w:t>
      </w:r>
    </w:p>
    <w:p w14:paraId="3FD19A6E" w14:textId="77777777" w:rsidR="004C4C0F" w:rsidRPr="0062711C" w:rsidRDefault="004C4C0F" w:rsidP="00D500A7">
      <w:pPr>
        <w:spacing w:line="276" w:lineRule="auto"/>
        <w:rPr>
          <w:rFonts w:ascii="Calibri" w:eastAsia="Calibri" w:hAnsi="Calibri" w:cs="Calibri"/>
          <w:sz w:val="16"/>
          <w:szCs w:val="16"/>
          <w:lang w:val="sr-Cyrl-RS"/>
        </w:rPr>
        <w:sectPr w:rsidR="004C4C0F" w:rsidRPr="0062711C" w:rsidSect="00D500A7">
          <w:type w:val="continuous"/>
          <w:pgSz w:w="12240" w:h="15840" w:code="1"/>
          <w:pgMar w:top="1417" w:right="1417" w:bottom="1417" w:left="1417" w:header="720" w:footer="720" w:gutter="0"/>
          <w:cols w:space="720"/>
        </w:sectPr>
      </w:pPr>
    </w:p>
    <w:p w14:paraId="671E3C8F" w14:textId="77777777" w:rsidR="004C4C0F" w:rsidRPr="0062711C" w:rsidRDefault="004C4C0F" w:rsidP="00D500A7">
      <w:pPr>
        <w:spacing w:after="0"/>
        <w:jc w:val="center"/>
        <w:rPr>
          <w:color w:val="002060"/>
          <w:lang w:val="sr-Cyrl-RS" w:eastAsia="sr-Cyrl-RS"/>
        </w:rPr>
      </w:pPr>
      <w:r w:rsidRPr="0062711C">
        <w:rPr>
          <w:rFonts w:cstheme="minorHAnsi"/>
          <w:b/>
          <w:color w:val="002060"/>
          <w:lang w:val="sr-Cyrl-RS"/>
        </w:rPr>
        <w:t>Производни јаз, циклично прилаг. и структурни фиск. биланс у периоду 2005–2027. год, % БДП*</w:t>
      </w:r>
    </w:p>
    <w:p w14:paraId="0E06288C" w14:textId="77777777" w:rsidR="004C4C0F" w:rsidRPr="0062711C" w:rsidRDefault="004C4C0F" w:rsidP="00E124CF">
      <w:pPr>
        <w:spacing w:after="0"/>
        <w:jc w:val="left"/>
        <w:rPr>
          <w:lang w:val="sr-Cyrl-RS" w:eastAsia="sr-Cyrl-RS"/>
        </w:rPr>
      </w:pPr>
      <w:r w:rsidRPr="0062711C">
        <w:rPr>
          <w:noProof/>
          <w:lang w:val="en-GB" w:eastAsia="en-GB"/>
        </w:rPr>
        <w:drawing>
          <wp:inline distT="0" distB="0" distL="0" distR="0" wp14:anchorId="42BF8AA1" wp14:editId="169A1BF2">
            <wp:extent cx="2757805" cy="2390775"/>
            <wp:effectExtent l="0" t="0" r="4445" b="0"/>
            <wp:docPr id="75" name="Chart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5"/>
              </a:graphicData>
            </a:graphic>
          </wp:inline>
        </w:drawing>
      </w:r>
    </w:p>
    <w:p w14:paraId="1D4E3A3C" w14:textId="0616F06B" w:rsidR="004C4C0F" w:rsidRPr="0062711C" w:rsidRDefault="004C4C0F" w:rsidP="004C4C0F">
      <w:pPr>
        <w:spacing w:after="0"/>
        <w:jc w:val="left"/>
        <w:rPr>
          <w:lang w:val="sr-Cyrl-RS" w:eastAsia="sr-Cyrl-RS"/>
        </w:rPr>
      </w:pPr>
      <w:r w:rsidRPr="0062711C">
        <w:rPr>
          <w:rFonts w:ascii="Calibri" w:eastAsia="MS PGothic" w:hAnsi="Calibri" w:cs="Calibri"/>
          <w:sz w:val="16"/>
          <w:szCs w:val="20"/>
          <w:lang w:val="sr-Cyrl-RS" w:eastAsia="ja-JP"/>
        </w:rPr>
        <w:t>* За период 2024–2027. године приказане су пројектоване вредности.</w:t>
      </w:r>
    </w:p>
    <w:p w14:paraId="5D1CCC30" w14:textId="77777777" w:rsidR="004C4C0F" w:rsidRPr="0062711C" w:rsidRDefault="004C4C0F" w:rsidP="00730036">
      <w:pPr>
        <w:spacing w:after="0"/>
        <w:jc w:val="center"/>
        <w:rPr>
          <w:rFonts w:cstheme="minorHAnsi"/>
          <w:b/>
          <w:color w:val="002060"/>
          <w:lang w:val="sr-Cyrl-RS"/>
        </w:rPr>
      </w:pPr>
      <w:r w:rsidRPr="0062711C">
        <w:rPr>
          <w:rFonts w:cstheme="minorHAnsi"/>
          <w:b/>
          <w:color w:val="002060"/>
          <w:lang w:val="sr-Cyrl-RS"/>
        </w:rPr>
        <w:t>Карактер и ефекти фискалне политике у периоду 2006–2027. године, % БДП*</w:t>
      </w:r>
    </w:p>
    <w:p w14:paraId="34D236B6" w14:textId="77777777" w:rsidR="004C4C0F" w:rsidRPr="0062711C" w:rsidRDefault="004C4C0F" w:rsidP="00730036">
      <w:pPr>
        <w:spacing w:after="0"/>
        <w:jc w:val="center"/>
        <w:rPr>
          <w:color w:val="002060"/>
          <w:lang w:val="sr-Cyrl-RS" w:eastAsia="sr-Cyrl-RS"/>
        </w:rPr>
      </w:pPr>
      <w:r w:rsidRPr="0062711C">
        <w:rPr>
          <w:noProof/>
          <w:lang w:val="en-GB" w:eastAsia="en-GB"/>
        </w:rPr>
        <w:drawing>
          <wp:inline distT="0" distB="0" distL="0" distR="0" wp14:anchorId="39519210" wp14:editId="3B4836DB">
            <wp:extent cx="2757805" cy="2390775"/>
            <wp:effectExtent l="0" t="0" r="4445" b="0"/>
            <wp:docPr id="76" name="Chart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6"/>
              </a:graphicData>
            </a:graphic>
          </wp:inline>
        </w:drawing>
      </w:r>
    </w:p>
    <w:p w14:paraId="7F89C5D2" w14:textId="77777777" w:rsidR="004C4C0F" w:rsidRPr="0062711C" w:rsidRDefault="004C4C0F" w:rsidP="004C4C0F">
      <w:pPr>
        <w:jc w:val="left"/>
        <w:rPr>
          <w:rFonts w:ascii="Calibri" w:eastAsia="MS PGothic" w:hAnsi="Calibri" w:cs="Calibri"/>
          <w:sz w:val="16"/>
          <w:szCs w:val="20"/>
          <w:lang w:val="sr-Cyrl-RS" w:eastAsia="ja-JP"/>
        </w:rPr>
      </w:pPr>
      <w:r w:rsidRPr="0062711C">
        <w:rPr>
          <w:rFonts w:ascii="Calibri" w:eastAsia="MS PGothic" w:hAnsi="Calibri" w:cs="Calibri"/>
          <w:sz w:val="16"/>
          <w:szCs w:val="20"/>
          <w:lang w:val="sr-Cyrl-RS" w:eastAsia="ja-JP"/>
        </w:rPr>
        <w:t>* За период 2024–2027. године приказане су пројектоване вредности.</w:t>
      </w:r>
    </w:p>
    <w:p w14:paraId="63770418" w14:textId="77777777" w:rsidR="004C4C0F" w:rsidRPr="0062711C" w:rsidRDefault="004C4C0F" w:rsidP="002F6B52">
      <w:pPr>
        <w:jc w:val="left"/>
        <w:rPr>
          <w:rFonts w:ascii="Calibri" w:eastAsia="MS PGothic" w:hAnsi="Calibri" w:cs="Calibri"/>
          <w:sz w:val="16"/>
          <w:szCs w:val="20"/>
          <w:lang w:val="sr-Cyrl-RS" w:eastAsia="ja-JP"/>
        </w:rPr>
        <w:sectPr w:rsidR="004C4C0F" w:rsidRPr="0062711C" w:rsidSect="00D500A7">
          <w:type w:val="continuous"/>
          <w:pgSz w:w="12240" w:h="15840" w:code="1"/>
          <w:pgMar w:top="1417" w:right="1417" w:bottom="1417" w:left="1417" w:header="720" w:footer="720" w:gutter="0"/>
          <w:cols w:num="2" w:space="720"/>
        </w:sectPr>
      </w:pPr>
    </w:p>
    <w:p w14:paraId="67E501D4" w14:textId="77777777" w:rsidR="004C4C0F" w:rsidRPr="0062711C" w:rsidRDefault="004C4C0F" w:rsidP="00E124CF">
      <w:pPr>
        <w:spacing w:after="120"/>
        <w:rPr>
          <w:lang w:val="sr-Cyrl-RS" w:eastAsia="ja-JP"/>
        </w:rPr>
      </w:pPr>
      <w:r w:rsidRPr="0062711C">
        <w:rPr>
          <w:rFonts w:ascii="Calibri" w:eastAsia="Calibri" w:hAnsi="Calibri" w:cs="Calibri"/>
          <w:bCs/>
          <w:szCs w:val="20"/>
          <w:lang w:val="sr-Cyrl-RS"/>
        </w:rPr>
        <w:lastRenderedPageBreak/>
        <w:t>Структурна фискална позиција земље није нарушена у периоду између 2020. и 2022. године, због тога што су спроведене мере помоћи привреди и становништву из домена фискалне политике биле временски ограниченог карактера.</w:t>
      </w:r>
      <w:r w:rsidRPr="0062711C">
        <w:rPr>
          <w:rFonts w:ascii="Calibri" w:eastAsia="Calibri" w:hAnsi="Calibri" w:cs="Calibri"/>
          <w:szCs w:val="20"/>
          <w:lang w:val="sr-Cyrl-RS"/>
        </w:rPr>
        <w:t xml:space="preserve"> Осим тога, енергетска криза условила је значајне интервенције државе у домену обезбеђивања енергетске стабилности у 2022. години. На ове потребе, утрошено је 2,8% БДП. Током 2022. годинe реализован је и одређени износ средстава као вид помоћи становништву у висини од 0,9% БДП. Осим повећаних издатака за енергенте, помоћ становништву и привреди, обезбеђена је и смањењем акциза на </w:t>
      </w:r>
      <w:r w:rsidRPr="0062711C">
        <w:rPr>
          <w:lang w:val="sr-Cyrl-RS" w:eastAsia="ja-JP"/>
        </w:rPr>
        <w:t>нафтне деривате.</w:t>
      </w:r>
    </w:p>
    <w:p w14:paraId="57841E8C" w14:textId="77777777" w:rsidR="004C4C0F" w:rsidRPr="0062711C" w:rsidRDefault="004C4C0F" w:rsidP="00E124CF">
      <w:pPr>
        <w:spacing w:after="120"/>
        <w:rPr>
          <w:lang w:val="sr-Cyrl-RS" w:eastAsia="ja-JP"/>
        </w:rPr>
      </w:pPr>
      <w:r w:rsidRPr="0062711C">
        <w:rPr>
          <w:bCs/>
          <w:lang w:val="sr-Cyrl-RS" w:eastAsia="ja-JP"/>
        </w:rPr>
        <w:t>Током 2023. године</w:t>
      </w:r>
      <w:r w:rsidRPr="0062711C">
        <w:rPr>
          <w:lang w:val="sr-Cyrl-RS" w:eastAsia="ja-JP"/>
        </w:rPr>
        <w:t>, промена у структурној позицији сектора државе делом је условљена изменом формуле за усклађивање пензија у складу са посебним фискалним правилима као и ванредним повећањем висине пензија у 2022. и 2023. години. Посебно фискално правило уводи директну везу између начина усклађивања пензија и учешћа овог облика расхода у БДП. Овакво системско решење обезбеђује да се не угрози одрживост јавних финансија, а да примања и стандард пензионера у већој мери рефлектују економску снагу земље. Остатак благог погоршања структурне фискалне позиције последица је и раста учешћа расхода за камате у БДП. Увећани трошкови задуживања, као последица мера за сузбијање инфлаторних тенденција на домаћем и међународном тржишту, свакако ће и у наредном периоду имати негативан ефекат сличног интензитета.</w:t>
      </w:r>
    </w:p>
    <w:p w14:paraId="0294B65B" w14:textId="5D0F712C" w:rsidR="004C4C0F" w:rsidRPr="0062711C" w:rsidRDefault="004C4C0F" w:rsidP="00E124CF">
      <w:pPr>
        <w:spacing w:after="120"/>
        <w:rPr>
          <w:lang w:val="sr-Cyrl-RS" w:eastAsia="ja-JP"/>
        </w:rPr>
      </w:pPr>
      <w:r w:rsidRPr="0062711C">
        <w:rPr>
          <w:lang w:val="sr-Cyrl-RS" w:eastAsia="ja-JP"/>
        </w:rPr>
        <w:t>Ванредно повећање пензија крајем 2023. године, има пренети ефекат на кретање струткурног резултата и током 2024. године, што са растом расхода за камате у одређеној мери повећава ниво структурног деф</w:t>
      </w:r>
      <w:r w:rsidR="00CD2E31" w:rsidRPr="0062711C">
        <w:rPr>
          <w:lang w:val="sr-Cyrl-RS" w:eastAsia="ja-JP"/>
        </w:rPr>
        <w:t>и</w:t>
      </w:r>
      <w:r w:rsidRPr="0062711C">
        <w:rPr>
          <w:lang w:val="sr-Cyrl-RS" w:eastAsia="ja-JP"/>
        </w:rPr>
        <w:t>ци</w:t>
      </w:r>
      <w:r w:rsidR="00CD2E31" w:rsidRPr="0062711C">
        <w:rPr>
          <w:lang w:val="sr-Cyrl-RS" w:eastAsia="ja-JP"/>
        </w:rPr>
        <w:t>та. Међутим, овим фискалним окви</w:t>
      </w:r>
      <w:r w:rsidRPr="0062711C">
        <w:rPr>
          <w:lang w:val="sr-Cyrl-RS" w:eastAsia="ja-JP"/>
        </w:rPr>
        <w:t>ром, одређена је путања и горња граница структурног фискалног резултата, са основним циљем да се обезбеди одржив ниво јавног дуга.</w:t>
      </w:r>
    </w:p>
    <w:p w14:paraId="1E247E34" w14:textId="77777777" w:rsidR="004C4C0F" w:rsidRPr="0062711C" w:rsidRDefault="004C4C0F" w:rsidP="00D500A7">
      <w:pPr>
        <w:spacing w:after="120"/>
        <w:rPr>
          <w:rFonts w:eastAsia="MS PGothic" w:cs="Calibri"/>
          <w:szCs w:val="20"/>
          <w:lang w:val="sr-Cyrl-RS" w:eastAsia="ja-JP"/>
        </w:rPr>
      </w:pPr>
      <w:r w:rsidRPr="0062711C">
        <w:rPr>
          <w:lang w:val="sr-Cyrl-RS" w:eastAsia="ja-JP"/>
        </w:rPr>
        <w:t>Како је фискални импулс дефинисан као разлика два узастопна циклично прилагођена (примарна) резултата, оцењује се да је фискална политика током 2020. године била изразито експанзивно-контрациклична, усмерена на ублажавање негативног економског циклуса. Услед нешто мањег обима пакета мера економске подршке у 2021. години, фискална политика је рестриктивнија него претходне године, а по карактеру такође контрациклична. За период од 2022. до 2024. године, оцењено је да је фискална политика благо рестриктивна, и поред значајних издвајања за ублажавање енергетске кризе. Делом је то и последица раста расхода за камате који се искључују из обрачуна примарног резултата. Сличан рестриктиван карактер политике, у складу са предвиђеним фискалним оквиром, очекује се и у периоду од 2025. до 2027. године.</w:t>
      </w:r>
    </w:p>
    <w:p w14:paraId="790A4CC2" w14:textId="77777777" w:rsidR="004C4C0F" w:rsidRPr="0062711C" w:rsidRDefault="004C4C0F" w:rsidP="00D500A7">
      <w:pPr>
        <w:spacing w:after="120"/>
        <w:jc w:val="center"/>
        <w:rPr>
          <w:color w:val="002060"/>
          <w:lang w:val="sr-Cyrl-RS"/>
        </w:rPr>
      </w:pPr>
      <w:r w:rsidRPr="0062711C">
        <w:rPr>
          <w:rFonts w:cstheme="minorHAnsi"/>
          <w:b/>
          <w:color w:val="002060"/>
          <w:lang w:val="sr-Cyrl-RS"/>
        </w:rPr>
        <w:t>Карактер и ефекти фискалне политике у периоду 2006–2024. године, % БДП</w:t>
      </w:r>
    </w:p>
    <w:p w14:paraId="2A1AF474" w14:textId="7EDD8100" w:rsidR="004C4C0F" w:rsidRPr="0062711C" w:rsidRDefault="004C4C0F" w:rsidP="00D500A7">
      <w:pPr>
        <w:rPr>
          <w:lang w:val="sr-Cyrl-RS"/>
        </w:rPr>
      </w:pPr>
      <w:r w:rsidRPr="0062711C">
        <w:rPr>
          <w:noProof/>
          <w:lang w:val="en-GB" w:eastAsia="en-GB"/>
        </w:rPr>
        <w:drawing>
          <wp:inline distT="0" distB="0" distL="0" distR="0" wp14:anchorId="59BD0A67" wp14:editId="012E6033">
            <wp:extent cx="2843530" cy="3371850"/>
            <wp:effectExtent l="0" t="0" r="0" b="0"/>
            <wp:docPr id="78" name="Chart 7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7"/>
              </a:graphicData>
            </a:graphic>
          </wp:inline>
        </w:drawing>
      </w:r>
    </w:p>
    <w:p w14:paraId="6720C2E8" w14:textId="77777777" w:rsidR="004C4C0F" w:rsidRPr="0062711C" w:rsidRDefault="004C4C0F" w:rsidP="00E124CF">
      <w:pPr>
        <w:spacing w:after="120"/>
        <w:rPr>
          <w:rFonts w:ascii="Calibri" w:eastAsia="MS PGothic" w:hAnsi="Calibri" w:cs="Calibri"/>
          <w:color w:val="2F5496" w:themeColor="accent1" w:themeShade="BF"/>
          <w:szCs w:val="20"/>
          <w:lang w:val="sr-Cyrl-RS" w:eastAsia="ja-JP"/>
        </w:rPr>
        <w:sectPr w:rsidR="004C4C0F" w:rsidRPr="0062711C" w:rsidSect="00D500A7">
          <w:type w:val="continuous"/>
          <w:pgSz w:w="12240" w:h="15840" w:code="1"/>
          <w:pgMar w:top="1417" w:right="1417" w:bottom="1417" w:left="1417" w:header="720" w:footer="720" w:gutter="0"/>
          <w:cols w:num="2" w:space="720"/>
        </w:sectPr>
      </w:pPr>
    </w:p>
    <w:p w14:paraId="7A98A00B" w14:textId="77777777" w:rsidR="004C4C0F" w:rsidRPr="0062711C" w:rsidRDefault="004C4C0F" w:rsidP="004C4C0F">
      <w:pPr>
        <w:rPr>
          <w:szCs w:val="26"/>
          <w:lang w:val="sr-Cyrl-RS"/>
        </w:rPr>
      </w:pPr>
      <w:bookmarkStart w:id="87" w:name="_Toc135994506"/>
      <w:bookmarkStart w:id="88" w:name="_Toc146277920"/>
      <w:bookmarkStart w:id="89" w:name="_Toc148431273"/>
      <w:bookmarkEnd w:id="84"/>
      <w:bookmarkEnd w:id="85"/>
      <w:bookmarkEnd w:id="86"/>
      <w:r w:rsidRPr="0062711C">
        <w:rPr>
          <w:lang w:val="sr-Cyrl-RS"/>
        </w:rPr>
        <w:br w:type="page"/>
      </w:r>
    </w:p>
    <w:p w14:paraId="690524E7" w14:textId="1524D27D" w:rsidR="004C4C0F" w:rsidRPr="0062711C" w:rsidRDefault="000E3193" w:rsidP="00D500A7">
      <w:pPr>
        <w:pStyle w:val="Heading2"/>
        <w:spacing w:before="0" w:after="160"/>
        <w:jc w:val="center"/>
        <w:rPr>
          <w:rFonts w:asciiTheme="minorHAnsi" w:eastAsia="Times New Roman" w:hAnsiTheme="minorHAnsi" w:cstheme="minorHAnsi"/>
          <w:b/>
          <w:sz w:val="24"/>
          <w:lang w:val="sr-Cyrl-RS"/>
        </w:rPr>
      </w:pPr>
      <w:bookmarkStart w:id="90" w:name="_Toc170722310"/>
      <w:r w:rsidRPr="0062711C">
        <w:rPr>
          <w:rFonts w:asciiTheme="minorHAnsi" w:eastAsia="Times New Roman" w:hAnsiTheme="minorHAnsi" w:cstheme="minorHAnsi"/>
          <w:b/>
          <w:sz w:val="24"/>
          <w:lang w:val="sr-Cyrl-RS"/>
        </w:rPr>
        <w:lastRenderedPageBreak/>
        <w:t>7</w:t>
      </w:r>
      <w:r w:rsidR="004C4C0F" w:rsidRPr="0062711C">
        <w:rPr>
          <w:rFonts w:asciiTheme="minorHAnsi" w:eastAsia="Times New Roman" w:hAnsiTheme="minorHAnsi" w:cstheme="minorHAnsi"/>
          <w:b/>
          <w:sz w:val="24"/>
          <w:lang w:val="sr-Cyrl-RS"/>
        </w:rPr>
        <w:t>. Симулација путање јавног дуга</w:t>
      </w:r>
      <w:bookmarkEnd w:id="87"/>
      <w:bookmarkEnd w:id="88"/>
      <w:bookmarkEnd w:id="89"/>
      <w:bookmarkEnd w:id="90"/>
    </w:p>
    <w:p w14:paraId="1EDF35D2" w14:textId="77777777" w:rsidR="004C4C0F" w:rsidRPr="0062711C" w:rsidRDefault="004C4C0F" w:rsidP="004C4C0F">
      <w:pPr>
        <w:rPr>
          <w:lang w:val="sr-Cyrl-RS"/>
        </w:rPr>
        <w:sectPr w:rsidR="004C4C0F" w:rsidRPr="0062711C" w:rsidSect="00D500A7">
          <w:headerReference w:type="even" r:id="rId198"/>
          <w:footerReference w:type="even" r:id="rId199"/>
          <w:footerReference w:type="default" r:id="rId200"/>
          <w:headerReference w:type="first" r:id="rId201"/>
          <w:type w:val="continuous"/>
          <w:pgSz w:w="12240" w:h="15840" w:code="1"/>
          <w:pgMar w:top="1417" w:right="1417" w:bottom="1417" w:left="1417" w:header="720" w:footer="720" w:gutter="0"/>
          <w:cols w:space="720"/>
        </w:sectPr>
      </w:pPr>
    </w:p>
    <w:p w14:paraId="05659C65" w14:textId="77777777" w:rsidR="004C4C0F" w:rsidRPr="0062711C" w:rsidRDefault="004C4C0F" w:rsidP="00D500A7">
      <w:pPr>
        <w:spacing w:after="120"/>
        <w:rPr>
          <w:rFonts w:ascii="Calibri" w:eastAsia="MS PGothic" w:hAnsi="Calibri" w:cs="Calibri"/>
          <w:szCs w:val="20"/>
          <w:lang w:val="sr-Cyrl-RS" w:eastAsia="ja-JP"/>
        </w:rPr>
      </w:pPr>
      <w:r w:rsidRPr="0062711C">
        <w:rPr>
          <w:rFonts w:ascii="Calibri" w:eastAsia="MS PGothic" w:hAnsi="Calibri" w:cs="Calibri"/>
          <w:bCs/>
          <w:szCs w:val="20"/>
          <w:lang w:val="sr-Cyrl-RS" w:eastAsia="ja-JP"/>
        </w:rPr>
        <w:t xml:space="preserve">У овом делу презентоваћемо краћу ретроспективу кретања јавног дуга у периоду од 2008. до 2024. године и пројекције за наредни трогодишњи период од 2025. до 2027. године, у складу са предвиђеним фискалним оквиром. Након тога </w:t>
      </w:r>
      <w:r w:rsidRPr="0062711C">
        <w:rPr>
          <w:rFonts w:ascii="Calibri" w:eastAsia="MS PGothic" w:hAnsi="Calibri" w:cs="Calibri"/>
          <w:szCs w:val="20"/>
          <w:lang w:val="sr-Cyrl-RS" w:eastAsia="ja-JP"/>
        </w:rPr>
        <w:t>приказана је и симулација различитих сценарија кретања дуга у периоду од 2028. до 2033. године.</w:t>
      </w:r>
    </w:p>
    <w:p w14:paraId="262D8671" w14:textId="77777777" w:rsidR="004C4C0F" w:rsidRPr="0062711C" w:rsidRDefault="004C4C0F" w:rsidP="00D500A7">
      <w:pPr>
        <w:spacing w:after="120"/>
        <w:rPr>
          <w:rFonts w:ascii="Calibri" w:eastAsia="Calibri" w:hAnsi="Calibri" w:cs="Calibri"/>
          <w:szCs w:val="20"/>
          <w:lang w:val="sr-Cyrl-RS"/>
        </w:rPr>
      </w:pPr>
      <w:r w:rsidRPr="0062711C">
        <w:rPr>
          <w:rFonts w:ascii="Calibri" w:eastAsia="Calibri" w:hAnsi="Calibri" w:cs="Calibri"/>
          <w:bCs/>
          <w:szCs w:val="20"/>
          <w:lang w:val="sr-Cyrl-RS"/>
        </w:rPr>
        <w:t>У периоду од 2008. до 2014. године дефицит сектора државе је значајно повећан уз истовремено експлозивну путању раста јавног дуга, при чему је однос дуга и БДП више него удвостручен.</w:t>
      </w:r>
      <w:r w:rsidRPr="0062711C">
        <w:rPr>
          <w:rFonts w:ascii="Calibri" w:eastAsia="Calibri" w:hAnsi="Calibri" w:cs="Calibri"/>
          <w:szCs w:val="20"/>
          <w:lang w:val="sr-Cyrl-RS"/>
        </w:rPr>
        <w:t xml:space="preserve"> Мере фискалне консолидације усвојене крајем 2012. и током 2013. године делимично су ублажиле овај тренд, али је ниво јавног дуга и даље значајно растао. Смањивање примарног дефицита у периоду 2012–2014. године није било довољно да стабилизује учешће нивоа јавног дуга у БДП. Ефекти првог таласа фискалне консолидације, која се односила углавном на приходну страну, изостали су, услед повећаног обима сиве економије, карактеристичног у периоду након подизања пореских стопа. На расходној страни, високе камате и одређени једнократни расходи су додатно погоршавали фискалну позицију.</w:t>
      </w:r>
    </w:p>
    <w:p w14:paraId="3B8B55EC" w14:textId="77777777" w:rsidR="004C4C0F" w:rsidRPr="0062711C" w:rsidRDefault="004C4C0F" w:rsidP="00D500A7">
      <w:pPr>
        <w:spacing w:after="0"/>
        <w:jc w:val="center"/>
        <w:rPr>
          <w:rFonts w:ascii="Calibri" w:eastAsia="Calibri" w:hAnsi="Calibri" w:cs="Calibri"/>
          <w:color w:val="002060"/>
          <w:szCs w:val="20"/>
          <w:lang w:val="sr-Cyrl-RS"/>
        </w:rPr>
      </w:pPr>
      <w:r w:rsidRPr="0062711C">
        <w:rPr>
          <w:rFonts w:cstheme="minorHAnsi"/>
          <w:b/>
          <w:color w:val="002060"/>
          <w:lang w:val="sr-Cyrl-RS"/>
        </w:rPr>
        <w:t xml:space="preserve">Јавни дуг сектора државе у периоду </w:t>
      </w:r>
      <w:r w:rsidRPr="0062711C">
        <w:rPr>
          <w:rFonts w:cstheme="minorHAnsi"/>
          <w:b/>
          <w:color w:val="002060"/>
          <w:lang w:val="sr-Cyrl-RS"/>
        </w:rPr>
        <w:br w:type="textWrapping" w:clear="all"/>
        <w:t>2008–2024. године, % БДП</w:t>
      </w:r>
    </w:p>
    <w:p w14:paraId="6B6C1367" w14:textId="77777777" w:rsidR="004C4C0F" w:rsidRPr="0062711C" w:rsidRDefault="004C4C0F" w:rsidP="00D500A7">
      <w:pPr>
        <w:spacing w:after="0"/>
        <w:jc w:val="center"/>
        <w:rPr>
          <w:rFonts w:cstheme="minorHAnsi"/>
          <w:b/>
          <w:lang w:val="sr-Cyrl-RS"/>
        </w:rPr>
      </w:pPr>
      <w:r w:rsidRPr="0062711C">
        <w:rPr>
          <w:noProof/>
          <w:lang w:val="en-GB" w:eastAsia="en-GB"/>
        </w:rPr>
        <w:drawing>
          <wp:inline distT="0" distB="0" distL="0" distR="0" wp14:anchorId="22137F62" wp14:editId="7B6766B3">
            <wp:extent cx="2757805" cy="2088000"/>
            <wp:effectExtent l="0" t="0" r="4445" b="7620"/>
            <wp:docPr id="79" name="Chart 79">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p w14:paraId="2C313A00" w14:textId="77777777" w:rsidR="004C4C0F" w:rsidRPr="0062711C" w:rsidRDefault="004C4C0F" w:rsidP="004C4C0F">
      <w:pPr>
        <w:spacing w:after="0" w:line="240" w:lineRule="auto"/>
        <w:rPr>
          <w:rFonts w:cstheme="minorHAnsi"/>
          <w:bCs/>
          <w:sz w:val="16"/>
          <w:szCs w:val="72"/>
          <w:lang w:val="sr-Cyrl-RS"/>
        </w:rPr>
      </w:pPr>
      <w:r w:rsidRPr="0062711C">
        <w:rPr>
          <w:rFonts w:ascii="Calibri" w:eastAsia="Calibri" w:hAnsi="Calibri" w:cs="Calibri"/>
          <w:sz w:val="16"/>
          <w:szCs w:val="16"/>
          <w:lang w:val="sr-Cyrl-RS"/>
        </w:rPr>
        <w:t xml:space="preserve">* </w:t>
      </w:r>
      <w:r w:rsidRPr="0062711C">
        <w:rPr>
          <w:rFonts w:cstheme="minorHAnsi"/>
          <w:bCs/>
          <w:sz w:val="16"/>
          <w:szCs w:val="72"/>
          <w:lang w:val="sr-Cyrl-RS"/>
        </w:rPr>
        <w:t>апроксимација локалног дуга</w:t>
      </w:r>
    </w:p>
    <w:p w14:paraId="778AD4E8" w14:textId="77777777" w:rsidR="004C4C0F" w:rsidRPr="0062711C" w:rsidRDefault="004C4C0F" w:rsidP="00D500A7">
      <w:pPr>
        <w:spacing w:after="120" w:line="276" w:lineRule="auto"/>
        <w:rPr>
          <w:rFonts w:cstheme="minorHAnsi"/>
          <w:bCs/>
          <w:sz w:val="16"/>
          <w:szCs w:val="72"/>
          <w:lang w:val="sr-Cyrl-RS"/>
        </w:rPr>
      </w:pPr>
      <w:r w:rsidRPr="0062711C">
        <w:rPr>
          <w:rFonts w:cstheme="minorHAnsi"/>
          <w:bCs/>
          <w:sz w:val="16"/>
          <w:szCs w:val="72"/>
          <w:lang w:val="sr-Cyrl-RS"/>
        </w:rPr>
        <w:t>** процена за 2024. годину</w:t>
      </w:r>
    </w:p>
    <w:p w14:paraId="2416D05A" w14:textId="77777777" w:rsidR="004C4C0F" w:rsidRPr="0062711C" w:rsidRDefault="004C4C0F" w:rsidP="00D500A7">
      <w:pPr>
        <w:spacing w:after="120"/>
        <w:rPr>
          <w:rFonts w:ascii="Calibri" w:eastAsia="Calibri" w:hAnsi="Calibri" w:cs="Calibri"/>
          <w:szCs w:val="20"/>
          <w:lang w:val="sr-Cyrl-RS"/>
        </w:rPr>
      </w:pPr>
      <w:r w:rsidRPr="0062711C">
        <w:rPr>
          <w:rFonts w:ascii="Calibri" w:eastAsia="Calibri" w:hAnsi="Calibri" w:cs="Calibri"/>
          <w:bCs/>
          <w:szCs w:val="20"/>
          <w:lang w:val="sr-Cyrl-RS"/>
        </w:rPr>
        <w:t xml:space="preserve">Мере фискалне консолидације донете крајем 2014. године спустиле су примарни дефицит и успориле раст јавног дуга већ током 2015. године, а до смањења јавног дуга у БДП дошло је у 2016. години, годину дана раније него што је било </w:t>
      </w:r>
      <w:r w:rsidRPr="0062711C">
        <w:rPr>
          <w:rFonts w:ascii="Calibri" w:eastAsia="Calibri" w:hAnsi="Calibri" w:cs="Calibri"/>
          <w:bCs/>
          <w:szCs w:val="20"/>
          <w:lang w:val="sr-Cyrl-RS"/>
        </w:rPr>
        <w:t>предвиђено аранжманом са ММФ.</w:t>
      </w:r>
      <w:r w:rsidRPr="0062711C">
        <w:rPr>
          <w:rFonts w:ascii="Calibri" w:eastAsia="Calibri" w:hAnsi="Calibri" w:cs="Calibri"/>
          <w:szCs w:val="20"/>
          <w:lang w:val="sr-Cyrl-RS"/>
        </w:rPr>
        <w:t xml:space="preserve"> У 2016. години остварен је примарни суфицит од 1,7% БДП, чиме су се коначно стекли услови за пад учешћа јавног дуга у БДП. Након тога, у 2017. години, уз остварени примарни фискални суфицит од 3,6% БДП долази до још значајнијег пада учешћа дуга, за више од 10 п.п., на 58,6% БДП.</w:t>
      </w:r>
      <w:r w:rsidRPr="0062711C">
        <w:rPr>
          <w:lang w:val="sr-Cyrl-RS"/>
        </w:rPr>
        <w:t xml:space="preserve"> </w:t>
      </w:r>
      <w:r w:rsidRPr="0062711C">
        <w:rPr>
          <w:rFonts w:ascii="Calibri" w:eastAsia="Calibri" w:hAnsi="Calibri" w:cs="Calibri"/>
          <w:szCs w:val="20"/>
          <w:lang w:val="sr-Cyrl-RS"/>
        </w:rPr>
        <w:t>Током 2018. године настављен је тренд смањења учешћа јавног дуга у БДП на 54,4% БДП. Фискална релаксација током 2019. године није угрозила опадајућу путању јавног дуга. Позитиван примарни фискални резултат у 2019. години од 1,8% БДП утицао је на даље смањење јавног дуга за још 1,6 п.п. БДП.</w:t>
      </w:r>
    </w:p>
    <w:p w14:paraId="1A43E124" w14:textId="77777777" w:rsidR="004C4C0F" w:rsidRPr="0062711C" w:rsidRDefault="004C4C0F" w:rsidP="00D500A7">
      <w:pPr>
        <w:spacing w:after="120"/>
        <w:rPr>
          <w:rFonts w:ascii="Calibri" w:eastAsia="Calibri" w:hAnsi="Calibri" w:cs="Calibri"/>
          <w:szCs w:val="20"/>
          <w:lang w:val="sr-Cyrl-RS"/>
        </w:rPr>
      </w:pPr>
      <w:r w:rsidRPr="0062711C">
        <w:rPr>
          <w:rFonts w:ascii="Calibri" w:eastAsia="Calibri" w:hAnsi="Calibri" w:cs="Calibri"/>
          <w:bCs/>
          <w:spacing w:val="-2"/>
          <w:szCs w:val="20"/>
          <w:lang w:val="sr-Cyrl-RS"/>
        </w:rPr>
        <w:t>Период од 2020. године обележила је једна од највећих здравствених и последично економских криза у последњих неколико деценија, изазвана пандемијом COVID-19.</w:t>
      </w:r>
      <w:r w:rsidRPr="0062711C">
        <w:rPr>
          <w:rFonts w:ascii="Calibri" w:eastAsia="Calibri" w:hAnsi="Calibri" w:cs="Calibri"/>
          <w:spacing w:val="-2"/>
          <w:szCs w:val="20"/>
          <w:lang w:val="sr-Cyrl-RS"/>
        </w:rPr>
        <w:t xml:space="preserve"> Најважнији фактори који су утицали на кретања дуга током поменутог периода су ниво укупног и примарног фискалног дефицита, додатне потребе за финансирањем и отплата доспелог дела дуга. Остварени фискални дефицит од 8% БДП (примарни дефицит од 6% БДП) у 2020. години и дефицит од 4,1% БДП у 2021. години, утицали су на то да се, до тада, опадајућа путања учешћа јавног дуга привремено преокрене. И поред тога, учешће јавног дуга сектора државе у БДП у 2021. години благо опада на 57,1% БДП. </w:t>
      </w:r>
      <w:r w:rsidRPr="0062711C">
        <w:rPr>
          <w:rFonts w:ascii="Calibri" w:eastAsia="Calibri" w:hAnsi="Calibri" w:cs="Calibri"/>
          <w:szCs w:val="20"/>
          <w:lang w:val="sr-Cyrl-RS"/>
        </w:rPr>
        <w:t>Успех претходног програма структурног фискалног прилагођавања омогућио је да Република Србија без тешкоћа обезбеди неопходно финансирање фискалног дефицита током трајања пандемије COVID-19, као и несметану отплату доспелог дуга.</w:t>
      </w:r>
    </w:p>
    <w:p w14:paraId="3920F0C1" w14:textId="77777777" w:rsidR="004C4C0F" w:rsidRPr="0062711C" w:rsidRDefault="004C4C0F" w:rsidP="00D500A7">
      <w:pPr>
        <w:spacing w:after="120"/>
        <w:rPr>
          <w:rFonts w:ascii="Calibri" w:eastAsia="Calibri" w:hAnsi="Calibri" w:cs="Calibri"/>
          <w:szCs w:val="20"/>
          <w:lang w:val="sr-Cyrl-RS"/>
        </w:rPr>
      </w:pPr>
      <w:r w:rsidRPr="0062711C">
        <w:rPr>
          <w:rFonts w:ascii="Calibri" w:eastAsia="Calibri" w:hAnsi="Calibri" w:cs="Calibri"/>
          <w:szCs w:val="20"/>
          <w:lang w:val="sr-Cyrl-RS"/>
        </w:rPr>
        <w:t>Након здравствене кризе наступила је енергетска криза, током 2022. и 2023. године, период који су обележили ниске реалне стопе раста, удружене са високом стопом инфлације.</w:t>
      </w:r>
      <w:r w:rsidRPr="0062711C">
        <w:rPr>
          <w:rFonts w:ascii="Calibri" w:eastAsia="Calibri" w:hAnsi="Calibri" w:cs="Calibri"/>
          <w:bCs/>
          <w:szCs w:val="20"/>
          <w:lang w:val="sr-Cyrl-RS"/>
        </w:rPr>
        <w:t xml:space="preserve"> </w:t>
      </w:r>
      <w:r w:rsidRPr="0062711C">
        <w:rPr>
          <w:rFonts w:ascii="Calibri" w:eastAsia="Calibri" w:hAnsi="Calibri" w:cs="Calibri"/>
          <w:szCs w:val="20"/>
          <w:lang w:val="sr-Cyrl-RS"/>
        </w:rPr>
        <w:t xml:space="preserve">Неизвесност у погледу тока и трајања кризе, у овом периоду, захтевала је опрезно вођење фискалне политике, и поред значајних издвајања од стране државе како би се обезбедило несметано снабдевање енергентима. </w:t>
      </w:r>
      <w:r w:rsidRPr="0062711C">
        <w:rPr>
          <w:rFonts w:ascii="Calibri" w:eastAsia="Calibri" w:hAnsi="Calibri" w:cs="Calibri"/>
          <w:spacing w:val="-2"/>
          <w:szCs w:val="20"/>
          <w:lang w:val="sr-Cyrl-RS"/>
        </w:rPr>
        <w:t>У 2022. и 2023. години, остварени нивои примарног фискалног резултата (примарни дефицити 1,7% и 0,5% БДП респективно), омогућили су даљи пад учешћа јавног дуга. На крају 2024. године пројектовани примарни фискални дефицит од 0,2%, спушта учешће јавног дуга на ниво 52% БДП.</w:t>
      </w:r>
    </w:p>
    <w:p w14:paraId="3FC0EB50" w14:textId="77777777" w:rsidR="004C4C0F" w:rsidRPr="0062711C" w:rsidRDefault="004C4C0F" w:rsidP="00D500A7">
      <w:pPr>
        <w:spacing w:after="120"/>
        <w:jc w:val="center"/>
        <w:rPr>
          <w:rFonts w:cstheme="minorHAnsi"/>
          <w:b/>
          <w:color w:val="002060"/>
          <w:spacing w:val="-2"/>
          <w:lang w:val="sr-Cyrl-RS"/>
        </w:rPr>
      </w:pPr>
      <w:r w:rsidRPr="0062711C">
        <w:rPr>
          <w:rFonts w:cstheme="minorHAnsi"/>
          <w:b/>
          <w:color w:val="002060"/>
          <w:spacing w:val="-2"/>
          <w:lang w:val="sr-Cyrl-RS"/>
        </w:rPr>
        <w:lastRenderedPageBreak/>
        <w:t>Примарни резултат који стабилизује учешће дуга у БДП и остварени/пројектовани резултат*, % БДП</w:t>
      </w:r>
    </w:p>
    <w:p w14:paraId="671035AD" w14:textId="77777777" w:rsidR="004C4C0F" w:rsidRPr="0062711C" w:rsidRDefault="004C4C0F" w:rsidP="004C4C0F">
      <w:pPr>
        <w:spacing w:after="40"/>
        <w:rPr>
          <w:lang w:val="sr-Cyrl-RS"/>
        </w:rPr>
      </w:pPr>
      <w:r w:rsidRPr="0062711C">
        <w:rPr>
          <w:noProof/>
          <w:lang w:val="en-GB" w:eastAsia="en-GB"/>
        </w:rPr>
        <w:drawing>
          <wp:inline distT="0" distB="0" distL="0" distR="0" wp14:anchorId="70F9630F" wp14:editId="35C2C4CE">
            <wp:extent cx="2757805" cy="2190750"/>
            <wp:effectExtent l="0" t="0" r="4445" b="0"/>
            <wp:docPr id="80" name="Chart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p w14:paraId="73E810FA" w14:textId="77777777" w:rsidR="004C4C0F" w:rsidRPr="0062711C" w:rsidRDefault="004C4C0F" w:rsidP="004C4C0F">
      <w:pPr>
        <w:spacing w:after="0"/>
        <w:rPr>
          <w:rFonts w:cstheme="minorHAnsi"/>
          <w:bCs/>
          <w:sz w:val="16"/>
          <w:szCs w:val="72"/>
          <w:lang w:val="sr-Cyrl-RS"/>
        </w:rPr>
      </w:pPr>
      <w:r w:rsidRPr="0062711C">
        <w:rPr>
          <w:rFonts w:ascii="Calibri" w:eastAsia="Calibri" w:hAnsi="Calibri" w:cs="Calibri"/>
          <w:sz w:val="16"/>
          <w:szCs w:val="16"/>
          <w:lang w:val="sr-Cyrl-RS"/>
        </w:rPr>
        <w:t xml:space="preserve">* </w:t>
      </w:r>
      <w:r w:rsidRPr="0062711C">
        <w:rPr>
          <w:rFonts w:cstheme="minorHAnsi"/>
          <w:bCs/>
          <w:sz w:val="16"/>
          <w:szCs w:val="72"/>
          <w:lang w:val="sr-Cyrl-RS"/>
        </w:rPr>
        <w:t>За период 2024. до 2027. дате су пројектоване вредности.</w:t>
      </w:r>
    </w:p>
    <w:p w14:paraId="28E02C93" w14:textId="77777777" w:rsidR="004C4C0F" w:rsidRPr="0062711C" w:rsidRDefault="004C4C0F" w:rsidP="004C4C0F">
      <w:pPr>
        <w:rPr>
          <w:rFonts w:ascii="Calibri" w:eastAsia="MS PGothic" w:hAnsi="Calibri" w:cs="Calibri"/>
          <w:b/>
          <w:szCs w:val="20"/>
          <w:lang w:val="sr-Cyrl-RS" w:eastAsia="ja-JP"/>
        </w:rPr>
      </w:pPr>
      <w:r w:rsidRPr="0062711C">
        <w:rPr>
          <w:rFonts w:cstheme="minorHAnsi"/>
          <w:bCs/>
          <w:sz w:val="16"/>
          <w:szCs w:val="72"/>
          <w:lang w:val="sr-Cyrl-RS"/>
        </w:rPr>
        <w:t>Извор: Министарство финансија</w:t>
      </w:r>
    </w:p>
    <w:p w14:paraId="3B1AD0A7" w14:textId="77777777" w:rsidR="004C4C0F" w:rsidRPr="0062711C" w:rsidRDefault="004C4C0F" w:rsidP="00D500A7">
      <w:pPr>
        <w:spacing w:after="120"/>
        <w:rPr>
          <w:rFonts w:ascii="Calibri" w:eastAsia="Calibri" w:hAnsi="Calibri" w:cs="Calibri"/>
          <w:spacing w:val="-2"/>
          <w:szCs w:val="20"/>
          <w:lang w:val="sr-Cyrl-RS"/>
        </w:rPr>
      </w:pPr>
      <w:r w:rsidRPr="0062711C">
        <w:rPr>
          <w:rFonts w:ascii="Calibri" w:eastAsia="Calibri" w:hAnsi="Calibri" w:cs="Calibri"/>
          <w:bCs/>
          <w:spacing w:val="-2"/>
          <w:szCs w:val="20"/>
          <w:lang w:val="sr-Cyrl-RS"/>
        </w:rPr>
        <w:t>Анализом примарног стабилизационог јаза, који је дефинисан као разлика између оствареног примарног резултата и примарног резултата који је неопходан да би се стабилизовало учешће јавног дуга у текућој години, могуће је оценити постављене квантитативне фискалне лимите.</w:t>
      </w:r>
      <w:r w:rsidRPr="0062711C">
        <w:rPr>
          <w:rFonts w:ascii="Calibri" w:eastAsia="Calibri" w:hAnsi="Calibri" w:cs="Calibri"/>
          <w:spacing w:val="-2"/>
          <w:szCs w:val="20"/>
          <w:lang w:val="sr-Cyrl-RS"/>
        </w:rPr>
        <w:t xml:space="preserve"> Од 2016. године присутан је позитиван примарни стабилизациони јаз, а путања дуга преокренута. Током 2017. и 2018. године позитиван јаз се повећава и у том периоду је остварено највеће смањење учешћа дуга у БДП. Супротан тренд бележи се током 2020. године кад се достиже највећа негативна вредност овог показатеља. Након тога у периоду од 2021–2024. године примарни стабилизациони јаз постаје позитиван, чиме се омогућава постепено смањење нивоа јавног дуга. У периоду од 2025–2027. године, у складу са фискалним оквиром датим у овом документу, пројектоване су позитивне вредности овог параметра.</w:t>
      </w:r>
    </w:p>
    <w:p w14:paraId="0EC37AED" w14:textId="77777777" w:rsidR="004C4C0F" w:rsidRPr="0062711C" w:rsidRDefault="004C4C0F" w:rsidP="00D500A7">
      <w:pPr>
        <w:widowControl w:val="0"/>
        <w:spacing w:after="120"/>
        <w:rPr>
          <w:rFonts w:ascii="Calibri" w:eastAsia="Calibri" w:hAnsi="Calibri" w:cs="Calibri"/>
          <w:bCs/>
          <w:szCs w:val="20"/>
          <w:lang w:val="sr-Cyrl-RS"/>
        </w:rPr>
      </w:pPr>
      <w:r w:rsidRPr="0062711C">
        <w:rPr>
          <w:rFonts w:ascii="Calibri" w:eastAsia="Calibri" w:hAnsi="Calibri" w:cs="Calibri"/>
          <w:bCs/>
          <w:szCs w:val="20"/>
          <w:lang w:val="sr-Cyrl-RS"/>
        </w:rPr>
        <w:t xml:space="preserve">Основни сценарио у овом документу предвиђа повећање дефицита са 2,2% у 2024. години на 2,5 БДП у 2025. и 2,25% до 2027. године. Оваквом путањом дефицита, учешће јавног дуга у БДП се смањује на 50,5% на крају 2027. године. За период од 2028. до 2033. године дата је симулација три сценарија кретања јавног дуга, при чему се у сваком подразумева одговарајућа реакција државе у погледу нивоа фискалног дефицита. Два алтернативна сценарија симулирају ефекте екстерних фискалних и/или макроекономских </w:t>
      </w:r>
      <w:r w:rsidRPr="0062711C">
        <w:rPr>
          <w:rFonts w:ascii="Calibri" w:eastAsia="Calibri" w:hAnsi="Calibri" w:cs="Calibri"/>
          <w:bCs/>
          <w:szCs w:val="20"/>
          <w:lang w:val="sr-Cyrl-RS"/>
        </w:rPr>
        <w:t>шокова и неопходно прилагођавање фискалне политике.</w:t>
      </w:r>
    </w:p>
    <w:p w14:paraId="7C4F8AEB" w14:textId="77777777" w:rsidR="004C4C0F" w:rsidRPr="0062711C" w:rsidRDefault="004C4C0F" w:rsidP="00D500A7">
      <w:pPr>
        <w:widowControl w:val="0"/>
        <w:spacing w:after="120"/>
        <w:rPr>
          <w:rFonts w:ascii="Calibri" w:eastAsia="Calibri" w:hAnsi="Calibri" w:cs="Calibri"/>
          <w:bCs/>
          <w:szCs w:val="20"/>
          <w:lang w:val="sr-Cyrl-RS"/>
        </w:rPr>
      </w:pPr>
      <w:r w:rsidRPr="0062711C">
        <w:rPr>
          <w:rFonts w:ascii="Calibri" w:eastAsia="Calibri" w:hAnsi="Calibri" w:cs="Calibri"/>
          <w:szCs w:val="20"/>
          <w:lang w:val="sr-Cyrl-RS"/>
        </w:rPr>
        <w:t>Претпоставке у основном сценарију су:</w:t>
      </w:r>
    </w:p>
    <w:p w14:paraId="12915BC0" w14:textId="77777777" w:rsidR="004C4C0F" w:rsidRPr="0062711C" w:rsidRDefault="004C4C0F" w:rsidP="00D500A7">
      <w:pPr>
        <w:widowControl w:val="0"/>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у периоду од 2025. до 2027. године фискални дефицит се планира на нивоу датим овим фискалним оквиром. Након тога, до 2028. године планира се фискални дефицит на максималном нивоу од 2,25%, уз спуштање на ниво од 1,5% од 2029. до 2033. године. На овај начин, уз остале претпоставке долази до константног смањење учешћа јавног дуга у БДП на ниво од 44,4% БДП у 2033. години.</w:t>
      </w:r>
    </w:p>
    <w:p w14:paraId="6D798A52" w14:textId="77777777" w:rsidR="004C4C0F" w:rsidRPr="0062711C" w:rsidRDefault="004C4C0F" w:rsidP="00D500A7">
      <w:pPr>
        <w:numPr>
          <w:ilvl w:val="0"/>
          <w:numId w:val="3"/>
        </w:numPr>
        <w:spacing w:after="120"/>
        <w:ind w:left="181" w:hanging="181"/>
        <w:rPr>
          <w:rFonts w:ascii="Calibri" w:eastAsia="Calibri" w:hAnsi="Calibri" w:cs="Calibri"/>
          <w:spacing w:val="-2"/>
          <w:szCs w:val="20"/>
          <w:lang w:val="sr-Cyrl-RS"/>
        </w:rPr>
      </w:pPr>
      <w:r w:rsidRPr="0062711C">
        <w:rPr>
          <w:rFonts w:ascii="Calibri" w:eastAsia="Calibri" w:hAnsi="Calibri" w:cs="Calibri"/>
          <w:spacing w:val="-2"/>
          <w:szCs w:val="20"/>
          <w:lang w:val="sr-Cyrl-RS"/>
        </w:rPr>
        <w:t>претпостављена просечна стопа реалног раста БДП од 4% у дугом року. Овакве макроекономске перформансе омогућавају да се и у случају релативно релаксиране фискалне политике обезбеди пожељно кретање нивоа дуга;</w:t>
      </w:r>
    </w:p>
    <w:p w14:paraId="6ABC671E" w14:textId="77777777" w:rsidR="004C4C0F" w:rsidRPr="0062711C" w:rsidRDefault="004C4C0F" w:rsidP="00D500A7">
      <w:pPr>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успоравање инфлације и након тога задржавање на нивоу од 3% просечно у дугом року;</w:t>
      </w:r>
    </w:p>
    <w:p w14:paraId="58CCE980" w14:textId="77777777" w:rsidR="004C4C0F" w:rsidRPr="0062711C" w:rsidRDefault="004C4C0F" w:rsidP="00D500A7">
      <w:pPr>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спорији раст фискалних прихода у односу на номинални раст БДП услед промене структуре привреде, јачања инвестиционе активности и раста извоза. Не предвиђају се значајније промене у пореској политици, уз задржавање високог нивоа капиталних расхода;</w:t>
      </w:r>
    </w:p>
    <w:p w14:paraId="4826BA27" w14:textId="77777777" w:rsidR="004C4C0F" w:rsidRPr="0062711C" w:rsidRDefault="004C4C0F" w:rsidP="00D500A7">
      <w:pPr>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изостанак нето прираста издатих гаранција након 2027. године;</w:t>
      </w:r>
    </w:p>
    <w:p w14:paraId="10C03E2A" w14:textId="77777777" w:rsidR="004C4C0F" w:rsidRPr="0062711C" w:rsidRDefault="004C4C0F" w:rsidP="00D500A7">
      <w:pPr>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изостанак значајних прилива од приватизације у посматраном периоду. Евентуални већи приватизациони приходи смањују потребу за финансирањем и додатно смањују учешће јавног дуга.</w:t>
      </w:r>
    </w:p>
    <w:p w14:paraId="3A1D9C7D" w14:textId="77777777" w:rsidR="004C4C0F" w:rsidRPr="0062711C" w:rsidRDefault="004C4C0F" w:rsidP="00D500A7">
      <w:pPr>
        <w:spacing w:after="120"/>
        <w:ind w:left="-90"/>
        <w:rPr>
          <w:rFonts w:ascii="Calibri" w:eastAsia="Calibri" w:hAnsi="Calibri" w:cs="Calibri"/>
          <w:szCs w:val="20"/>
          <w:lang w:val="sr-Cyrl-RS"/>
        </w:rPr>
      </w:pPr>
      <w:r w:rsidRPr="0062711C">
        <w:rPr>
          <w:rFonts w:ascii="Calibri" w:eastAsia="Calibri" w:hAnsi="Calibri" w:cs="Calibri"/>
          <w:szCs w:val="20"/>
          <w:lang w:val="sr-Cyrl-RS"/>
        </w:rPr>
        <w:t>Управљање и одрживост јавног дуга ће се додатно обезбедити:</w:t>
      </w:r>
    </w:p>
    <w:p w14:paraId="1D0928FA" w14:textId="77777777" w:rsidR="004C4C0F" w:rsidRPr="0062711C" w:rsidRDefault="004C4C0F" w:rsidP="00D500A7">
      <w:pPr>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ограничењем закључивања нових пројектних зајмова у случајевима да претходно одобрени зајмови нису ефикасно коришћени;</w:t>
      </w:r>
    </w:p>
    <w:p w14:paraId="0375AFD4" w14:textId="77777777" w:rsidR="004C4C0F" w:rsidRPr="0062711C" w:rsidRDefault="004C4C0F" w:rsidP="00D500A7">
      <w:pPr>
        <w:numPr>
          <w:ilvl w:val="0"/>
          <w:numId w:val="3"/>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откупом једног дела скупог дуга коришћењем средстава из повољнијих зајмова или приватизационих прихода уколико за то постоје могућности;</w:t>
      </w:r>
    </w:p>
    <w:p w14:paraId="54E7038C" w14:textId="77777777" w:rsidR="004C4C0F" w:rsidRPr="0062711C" w:rsidRDefault="004C4C0F" w:rsidP="00D500A7">
      <w:pPr>
        <w:numPr>
          <w:ilvl w:val="0"/>
          <w:numId w:val="2"/>
        </w:numPr>
        <w:spacing w:after="120"/>
        <w:ind w:left="181" w:hanging="181"/>
        <w:rPr>
          <w:rFonts w:ascii="Calibri" w:eastAsia="Calibri" w:hAnsi="Calibri" w:cs="Calibri"/>
          <w:szCs w:val="20"/>
          <w:lang w:val="sr-Cyrl-RS"/>
        </w:rPr>
      </w:pPr>
      <w:r w:rsidRPr="0062711C">
        <w:rPr>
          <w:rFonts w:ascii="Calibri" w:eastAsia="Calibri" w:hAnsi="Calibri" w:cs="Calibri"/>
          <w:szCs w:val="20"/>
          <w:lang w:val="sr-Cyrl-RS"/>
        </w:rPr>
        <w:t>идентификацијом и бољим управљањем фискалним ризицима.</w:t>
      </w:r>
    </w:p>
    <w:p w14:paraId="3D800028" w14:textId="77777777" w:rsidR="004C4C0F" w:rsidRPr="0062711C" w:rsidRDefault="004C4C0F" w:rsidP="00D500A7">
      <w:pPr>
        <w:numPr>
          <w:ilvl w:val="0"/>
          <w:numId w:val="3"/>
        </w:numPr>
        <w:ind w:left="90" w:hanging="181"/>
        <w:rPr>
          <w:rFonts w:cs="Calibri"/>
          <w:szCs w:val="20"/>
          <w:lang w:val="sr-Cyrl-RS" w:eastAsia="ja-JP"/>
        </w:rPr>
        <w:sectPr w:rsidR="004C4C0F" w:rsidRPr="0062711C" w:rsidSect="00D500A7">
          <w:type w:val="continuous"/>
          <w:pgSz w:w="12240" w:h="15840" w:code="1"/>
          <w:pgMar w:top="1417" w:right="1417" w:bottom="1417" w:left="1417" w:header="720" w:footer="720" w:gutter="0"/>
          <w:cols w:num="2" w:space="720"/>
        </w:sectPr>
      </w:pPr>
    </w:p>
    <w:p w14:paraId="7292C064" w14:textId="39D936BA" w:rsidR="004C4C0F" w:rsidRPr="0062711C" w:rsidRDefault="004C4C0F" w:rsidP="00591CA5">
      <w:pPr>
        <w:spacing w:after="40"/>
        <w:jc w:val="center"/>
        <w:rPr>
          <w:rFonts w:cstheme="minorHAnsi"/>
          <w:b/>
          <w:color w:val="002060"/>
          <w:lang w:val="sr-Cyrl-RS"/>
        </w:rPr>
      </w:pPr>
      <w:r w:rsidRPr="0062711C">
        <w:rPr>
          <w:rFonts w:cstheme="minorHAnsi"/>
          <w:b/>
          <w:color w:val="002060"/>
          <w:lang w:val="sr-Cyrl-RS"/>
        </w:rPr>
        <w:lastRenderedPageBreak/>
        <w:t>Табела 2</w:t>
      </w:r>
      <w:r w:rsidR="00BB1E84">
        <w:rPr>
          <w:rFonts w:cstheme="minorHAnsi"/>
          <w:b/>
          <w:color w:val="002060"/>
        </w:rPr>
        <w:t>8</w:t>
      </w:r>
      <w:r w:rsidRPr="0062711C">
        <w:rPr>
          <w:rFonts w:cstheme="minorHAnsi"/>
          <w:b/>
          <w:color w:val="002060"/>
          <w:lang w:val="sr-Cyrl-RS"/>
        </w:rPr>
        <w:t>. Симулација нивоа укупног дуга у основном сценарију до 2032. године, % БДП</w:t>
      </w:r>
    </w:p>
    <w:tbl>
      <w:tblPr>
        <w:tblStyle w:val="LightShading-Accent3382"/>
        <w:tblW w:w="5000" w:type="pct"/>
        <w:jc w:val="center"/>
        <w:tblLook w:val="04A0" w:firstRow="1" w:lastRow="0" w:firstColumn="1" w:lastColumn="0" w:noHBand="0" w:noVBand="1"/>
      </w:tblPr>
      <w:tblGrid>
        <w:gridCol w:w="2172"/>
        <w:gridCol w:w="659"/>
        <w:gridCol w:w="659"/>
        <w:gridCol w:w="661"/>
        <w:gridCol w:w="661"/>
        <w:gridCol w:w="661"/>
        <w:gridCol w:w="661"/>
        <w:gridCol w:w="661"/>
        <w:gridCol w:w="657"/>
        <w:gridCol w:w="658"/>
        <w:gridCol w:w="658"/>
        <w:gridCol w:w="638"/>
      </w:tblGrid>
      <w:tr w:rsidR="004C4C0F" w:rsidRPr="0062711C" w14:paraId="6E75F89B" w14:textId="77777777" w:rsidTr="00D500A7">
        <w:trPr>
          <w:cnfStyle w:val="100000000000" w:firstRow="1" w:lastRow="0" w:firstColumn="0" w:lastColumn="0" w:oddVBand="0" w:evenVBand="0" w:oddHBand="0" w:evenHBand="0" w:firstRowFirstColumn="0" w:firstRowLastColumn="0" w:lastRowFirstColumn="0" w:lastRowLastColumn="0"/>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single" w:sz="4" w:space="0" w:color="002060"/>
              <w:bottom w:val="single" w:sz="4" w:space="0" w:color="002060"/>
            </w:tcBorders>
            <w:shd w:val="clear" w:color="auto" w:fill="auto"/>
            <w:vAlign w:val="center"/>
            <w:hideMark/>
          </w:tcPr>
          <w:p w14:paraId="02EBAF92" w14:textId="77777777" w:rsidR="004C4C0F" w:rsidRPr="0062711C" w:rsidRDefault="004C4C0F" w:rsidP="00D500A7">
            <w:pPr>
              <w:ind w:right="-427"/>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Основни сценарио</w:t>
            </w:r>
          </w:p>
        </w:tc>
        <w:tc>
          <w:tcPr>
            <w:tcW w:w="359" w:type="pct"/>
            <w:tcBorders>
              <w:top w:val="single" w:sz="4" w:space="0" w:color="002060"/>
              <w:bottom w:val="single" w:sz="4" w:space="0" w:color="002060"/>
            </w:tcBorders>
            <w:shd w:val="clear" w:color="auto" w:fill="auto"/>
            <w:noWrap/>
            <w:vAlign w:val="center"/>
            <w:hideMark/>
          </w:tcPr>
          <w:p w14:paraId="26BB359A"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2023</w:t>
            </w:r>
          </w:p>
        </w:tc>
        <w:tc>
          <w:tcPr>
            <w:tcW w:w="359" w:type="pct"/>
            <w:tcBorders>
              <w:top w:val="single" w:sz="4" w:space="0" w:color="002060"/>
              <w:bottom w:val="single" w:sz="4" w:space="0" w:color="002060"/>
            </w:tcBorders>
            <w:shd w:val="clear" w:color="auto" w:fill="auto"/>
            <w:noWrap/>
            <w:vAlign w:val="center"/>
            <w:hideMark/>
          </w:tcPr>
          <w:p w14:paraId="77042C50"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2024</w:t>
            </w:r>
          </w:p>
        </w:tc>
        <w:tc>
          <w:tcPr>
            <w:tcW w:w="360" w:type="pct"/>
            <w:tcBorders>
              <w:top w:val="single" w:sz="4" w:space="0" w:color="002060"/>
              <w:bottom w:val="single" w:sz="4" w:space="0" w:color="002060"/>
            </w:tcBorders>
            <w:shd w:val="clear" w:color="auto" w:fill="auto"/>
            <w:noWrap/>
            <w:vAlign w:val="center"/>
            <w:hideMark/>
          </w:tcPr>
          <w:p w14:paraId="7624E1F6"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2025</w:t>
            </w:r>
          </w:p>
        </w:tc>
        <w:tc>
          <w:tcPr>
            <w:tcW w:w="360" w:type="pct"/>
            <w:tcBorders>
              <w:top w:val="single" w:sz="4" w:space="0" w:color="002060"/>
              <w:bottom w:val="single" w:sz="4" w:space="0" w:color="002060"/>
            </w:tcBorders>
            <w:shd w:val="clear" w:color="auto" w:fill="auto"/>
            <w:noWrap/>
            <w:vAlign w:val="center"/>
            <w:hideMark/>
          </w:tcPr>
          <w:p w14:paraId="7FFD7F97"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2026</w:t>
            </w:r>
          </w:p>
        </w:tc>
        <w:tc>
          <w:tcPr>
            <w:tcW w:w="360" w:type="pct"/>
            <w:tcBorders>
              <w:top w:val="single" w:sz="4" w:space="0" w:color="002060"/>
              <w:bottom w:val="single" w:sz="4" w:space="0" w:color="002060"/>
            </w:tcBorders>
            <w:shd w:val="clear" w:color="auto" w:fill="auto"/>
            <w:noWrap/>
            <w:vAlign w:val="center"/>
            <w:hideMark/>
          </w:tcPr>
          <w:p w14:paraId="3B14D358"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2027</w:t>
            </w:r>
          </w:p>
        </w:tc>
        <w:tc>
          <w:tcPr>
            <w:tcW w:w="360" w:type="pct"/>
            <w:tcBorders>
              <w:top w:val="single" w:sz="4" w:space="0" w:color="002060"/>
              <w:bottom w:val="single" w:sz="4" w:space="0" w:color="002060"/>
            </w:tcBorders>
            <w:shd w:val="clear" w:color="auto" w:fill="auto"/>
            <w:noWrap/>
            <w:vAlign w:val="center"/>
            <w:hideMark/>
          </w:tcPr>
          <w:p w14:paraId="28FCAAD1"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2028</w:t>
            </w:r>
          </w:p>
        </w:tc>
        <w:tc>
          <w:tcPr>
            <w:tcW w:w="360" w:type="pct"/>
            <w:tcBorders>
              <w:top w:val="single" w:sz="4" w:space="0" w:color="002060"/>
              <w:bottom w:val="single" w:sz="4" w:space="0" w:color="002060"/>
            </w:tcBorders>
            <w:shd w:val="clear" w:color="auto" w:fill="auto"/>
            <w:noWrap/>
            <w:vAlign w:val="center"/>
            <w:hideMark/>
          </w:tcPr>
          <w:p w14:paraId="0031D139"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2029</w:t>
            </w:r>
          </w:p>
        </w:tc>
        <w:tc>
          <w:tcPr>
            <w:tcW w:w="358" w:type="pct"/>
            <w:tcBorders>
              <w:top w:val="single" w:sz="4" w:space="0" w:color="002060"/>
              <w:bottom w:val="single" w:sz="4" w:space="0" w:color="002060"/>
            </w:tcBorders>
            <w:shd w:val="clear" w:color="auto" w:fill="auto"/>
            <w:noWrap/>
            <w:vAlign w:val="center"/>
            <w:hideMark/>
          </w:tcPr>
          <w:p w14:paraId="12341B27"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002060"/>
                <w:sz w:val="18"/>
                <w:szCs w:val="18"/>
                <w:lang w:val="sr-Cyrl-RS"/>
              </w:rPr>
            </w:pPr>
            <w:r w:rsidRPr="0062711C">
              <w:rPr>
                <w:rFonts w:asciiTheme="minorHAnsi" w:hAnsiTheme="minorHAnsi" w:cstheme="minorHAnsi"/>
                <w:b w:val="0"/>
                <w:bCs w:val="0"/>
                <w:color w:val="002060"/>
                <w:sz w:val="18"/>
                <w:szCs w:val="18"/>
                <w:lang w:val="sr-Cyrl-RS"/>
              </w:rPr>
              <w:t>2030</w:t>
            </w:r>
          </w:p>
        </w:tc>
        <w:tc>
          <w:tcPr>
            <w:tcW w:w="358" w:type="pct"/>
            <w:tcBorders>
              <w:top w:val="single" w:sz="4" w:space="0" w:color="002060"/>
              <w:bottom w:val="single" w:sz="4" w:space="0" w:color="002060"/>
            </w:tcBorders>
            <w:shd w:val="clear" w:color="auto" w:fill="auto"/>
            <w:vAlign w:val="center"/>
          </w:tcPr>
          <w:p w14:paraId="7402576C"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62711C">
              <w:rPr>
                <w:rFonts w:asciiTheme="minorHAnsi" w:hAnsiTheme="minorHAnsi" w:cstheme="minorHAnsi"/>
                <w:b w:val="0"/>
                <w:bCs w:val="0"/>
                <w:color w:val="002060"/>
                <w:sz w:val="18"/>
                <w:szCs w:val="18"/>
                <w:lang w:val="sr-Cyrl-RS"/>
              </w:rPr>
              <w:t>2031</w:t>
            </w:r>
          </w:p>
        </w:tc>
        <w:tc>
          <w:tcPr>
            <w:tcW w:w="358" w:type="pct"/>
            <w:tcBorders>
              <w:top w:val="single" w:sz="4" w:space="0" w:color="002060"/>
              <w:bottom w:val="single" w:sz="4" w:space="0" w:color="002060"/>
            </w:tcBorders>
            <w:vAlign w:val="center"/>
          </w:tcPr>
          <w:p w14:paraId="18E0B18B"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62711C">
              <w:rPr>
                <w:rFonts w:asciiTheme="minorHAnsi" w:hAnsiTheme="minorHAnsi" w:cstheme="minorHAnsi"/>
                <w:b w:val="0"/>
                <w:bCs w:val="0"/>
                <w:color w:val="002060"/>
                <w:sz w:val="18"/>
                <w:szCs w:val="18"/>
                <w:lang w:val="sr-Cyrl-RS"/>
              </w:rPr>
              <w:t>2032</w:t>
            </w:r>
          </w:p>
        </w:tc>
        <w:tc>
          <w:tcPr>
            <w:tcW w:w="347" w:type="pct"/>
            <w:tcBorders>
              <w:top w:val="single" w:sz="4" w:space="0" w:color="002060"/>
              <w:bottom w:val="single" w:sz="4" w:space="0" w:color="002060"/>
            </w:tcBorders>
            <w:vAlign w:val="center"/>
          </w:tcPr>
          <w:p w14:paraId="7F07EF58" w14:textId="77777777" w:rsidR="004C4C0F" w:rsidRPr="0062711C" w:rsidRDefault="004C4C0F" w:rsidP="00D500A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002060"/>
                <w:sz w:val="18"/>
                <w:szCs w:val="18"/>
                <w:lang w:val="sr-Cyrl-RS"/>
              </w:rPr>
            </w:pPr>
            <w:r w:rsidRPr="0062711C">
              <w:rPr>
                <w:rFonts w:asciiTheme="minorHAnsi" w:hAnsiTheme="minorHAnsi" w:cstheme="minorHAnsi"/>
                <w:b w:val="0"/>
                <w:bCs w:val="0"/>
                <w:color w:val="002060"/>
                <w:sz w:val="18"/>
                <w:szCs w:val="18"/>
                <w:lang w:val="sr-Cyrl-RS"/>
              </w:rPr>
              <w:t>2033</w:t>
            </w:r>
          </w:p>
        </w:tc>
      </w:tr>
      <w:tr w:rsidR="004C4C0F" w:rsidRPr="0062711C" w14:paraId="7B09010E" w14:textId="77777777" w:rsidTr="00D500A7">
        <w:trPr>
          <w:cnfStyle w:val="000000100000" w:firstRow="0" w:lastRow="0" w:firstColumn="0" w:lastColumn="0" w:oddVBand="0" w:evenVBand="0" w:oddHBand="1" w:evenHBand="0" w:firstRowFirstColumn="0" w:firstRowLastColumn="0" w:lastRowFirstColumn="0" w:lastRowLastColumn="0"/>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single" w:sz="4" w:space="0" w:color="002060"/>
              <w:bottom w:val="nil"/>
            </w:tcBorders>
            <w:shd w:val="clear" w:color="auto" w:fill="auto"/>
            <w:noWrap/>
            <w:vAlign w:val="center"/>
            <w:hideMark/>
          </w:tcPr>
          <w:p w14:paraId="3ECF330B" w14:textId="77777777" w:rsidR="004C4C0F" w:rsidRPr="0062711C" w:rsidRDefault="004C4C0F" w:rsidP="00D500A7">
            <w:pPr>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Приходи</w:t>
            </w:r>
          </w:p>
        </w:tc>
        <w:tc>
          <w:tcPr>
            <w:tcW w:w="359" w:type="pct"/>
            <w:tcBorders>
              <w:top w:val="nil"/>
              <w:bottom w:val="nil"/>
            </w:tcBorders>
            <w:shd w:val="clear" w:color="auto" w:fill="auto"/>
            <w:noWrap/>
            <w:vAlign w:val="center"/>
            <w:hideMark/>
          </w:tcPr>
          <w:p w14:paraId="2DE5F3A8" w14:textId="7A55D4FE"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6</w:t>
            </w:r>
          </w:p>
        </w:tc>
        <w:tc>
          <w:tcPr>
            <w:tcW w:w="359" w:type="pct"/>
            <w:tcBorders>
              <w:top w:val="nil"/>
              <w:bottom w:val="nil"/>
            </w:tcBorders>
            <w:shd w:val="clear" w:color="auto" w:fill="auto"/>
            <w:noWrap/>
            <w:vAlign w:val="center"/>
            <w:hideMark/>
          </w:tcPr>
          <w:p w14:paraId="69C13285" w14:textId="2897369F"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7</w:t>
            </w:r>
          </w:p>
        </w:tc>
        <w:tc>
          <w:tcPr>
            <w:tcW w:w="360" w:type="pct"/>
            <w:tcBorders>
              <w:top w:val="nil"/>
              <w:bottom w:val="nil"/>
            </w:tcBorders>
            <w:shd w:val="clear" w:color="auto" w:fill="auto"/>
            <w:noWrap/>
            <w:vAlign w:val="center"/>
            <w:hideMark/>
          </w:tcPr>
          <w:p w14:paraId="33BC04E3" w14:textId="33F5CD8B"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6</w:t>
            </w:r>
          </w:p>
        </w:tc>
        <w:tc>
          <w:tcPr>
            <w:tcW w:w="360" w:type="pct"/>
            <w:tcBorders>
              <w:top w:val="nil"/>
              <w:bottom w:val="nil"/>
            </w:tcBorders>
            <w:shd w:val="clear" w:color="auto" w:fill="auto"/>
            <w:noWrap/>
            <w:vAlign w:val="center"/>
            <w:hideMark/>
          </w:tcPr>
          <w:p w14:paraId="4F1459DF" w14:textId="2A0E679E"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4</w:t>
            </w:r>
          </w:p>
        </w:tc>
        <w:tc>
          <w:tcPr>
            <w:tcW w:w="360" w:type="pct"/>
            <w:tcBorders>
              <w:top w:val="nil"/>
              <w:bottom w:val="nil"/>
            </w:tcBorders>
            <w:shd w:val="clear" w:color="auto" w:fill="auto"/>
            <w:noWrap/>
            <w:vAlign w:val="center"/>
            <w:hideMark/>
          </w:tcPr>
          <w:p w14:paraId="5AC89EF2" w14:textId="6390E1E6"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1</w:t>
            </w:r>
          </w:p>
        </w:tc>
        <w:tc>
          <w:tcPr>
            <w:tcW w:w="360" w:type="pct"/>
            <w:tcBorders>
              <w:top w:val="nil"/>
              <w:bottom w:val="nil"/>
            </w:tcBorders>
            <w:shd w:val="clear" w:color="auto" w:fill="auto"/>
            <w:noWrap/>
            <w:vAlign w:val="center"/>
            <w:hideMark/>
          </w:tcPr>
          <w:p w14:paraId="5D868912" w14:textId="07409B8D"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9</w:t>
            </w:r>
          </w:p>
        </w:tc>
        <w:tc>
          <w:tcPr>
            <w:tcW w:w="360" w:type="pct"/>
            <w:tcBorders>
              <w:top w:val="nil"/>
              <w:bottom w:val="nil"/>
            </w:tcBorders>
            <w:shd w:val="clear" w:color="auto" w:fill="auto"/>
            <w:noWrap/>
            <w:vAlign w:val="center"/>
            <w:hideMark/>
          </w:tcPr>
          <w:p w14:paraId="0D456B9B" w14:textId="05A7D4FA"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7</w:t>
            </w:r>
          </w:p>
        </w:tc>
        <w:tc>
          <w:tcPr>
            <w:tcW w:w="358" w:type="pct"/>
            <w:tcBorders>
              <w:top w:val="nil"/>
              <w:bottom w:val="nil"/>
            </w:tcBorders>
            <w:shd w:val="clear" w:color="auto" w:fill="auto"/>
            <w:noWrap/>
            <w:vAlign w:val="center"/>
            <w:hideMark/>
          </w:tcPr>
          <w:p w14:paraId="3B3DDAA6" w14:textId="752710A3"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8" w:type="pct"/>
            <w:tcBorders>
              <w:top w:val="single" w:sz="4" w:space="0" w:color="002060"/>
              <w:bottom w:val="nil"/>
            </w:tcBorders>
            <w:shd w:val="clear" w:color="auto" w:fill="auto"/>
            <w:vAlign w:val="center"/>
          </w:tcPr>
          <w:p w14:paraId="4EF9D4C4" w14:textId="47900CEE"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58" w:type="pct"/>
            <w:tcBorders>
              <w:top w:val="single" w:sz="4" w:space="0" w:color="002060"/>
              <w:bottom w:val="nil"/>
            </w:tcBorders>
            <w:shd w:val="clear" w:color="auto" w:fill="auto"/>
            <w:vAlign w:val="center"/>
          </w:tcPr>
          <w:p w14:paraId="61644176" w14:textId="2BBBC1DB"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47" w:type="pct"/>
            <w:tcBorders>
              <w:top w:val="single" w:sz="4" w:space="0" w:color="002060"/>
              <w:bottom w:val="nil"/>
            </w:tcBorders>
            <w:shd w:val="clear" w:color="auto" w:fill="auto"/>
            <w:vAlign w:val="center"/>
          </w:tcPr>
          <w:p w14:paraId="5E303909" w14:textId="30177B1D"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8</w:t>
            </w:r>
          </w:p>
        </w:tc>
      </w:tr>
      <w:tr w:rsidR="004C4C0F" w:rsidRPr="0062711C" w14:paraId="081CB39E" w14:textId="77777777" w:rsidTr="00D500A7">
        <w:trPr>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nil"/>
              <w:left w:val="nil"/>
              <w:bottom w:val="nil"/>
              <w:right w:val="nil"/>
            </w:tcBorders>
            <w:shd w:val="clear" w:color="auto" w:fill="auto"/>
            <w:noWrap/>
            <w:vAlign w:val="center"/>
            <w:hideMark/>
          </w:tcPr>
          <w:p w14:paraId="237A80C8" w14:textId="77777777" w:rsidR="004C4C0F" w:rsidRPr="0062711C" w:rsidRDefault="004C4C0F" w:rsidP="00D500A7">
            <w:pPr>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Расходи</w:t>
            </w:r>
          </w:p>
        </w:tc>
        <w:tc>
          <w:tcPr>
            <w:tcW w:w="359" w:type="pct"/>
            <w:tcBorders>
              <w:top w:val="nil"/>
              <w:left w:val="nil"/>
              <w:bottom w:val="nil"/>
              <w:right w:val="nil"/>
            </w:tcBorders>
            <w:shd w:val="clear" w:color="auto" w:fill="auto"/>
            <w:noWrap/>
            <w:vAlign w:val="center"/>
            <w:hideMark/>
          </w:tcPr>
          <w:p w14:paraId="2DAB3487" w14:textId="5A023D2F"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8</w:t>
            </w:r>
          </w:p>
        </w:tc>
        <w:tc>
          <w:tcPr>
            <w:tcW w:w="359" w:type="pct"/>
            <w:tcBorders>
              <w:top w:val="nil"/>
              <w:left w:val="nil"/>
              <w:bottom w:val="nil"/>
              <w:right w:val="nil"/>
            </w:tcBorders>
            <w:shd w:val="clear" w:color="auto" w:fill="auto"/>
            <w:noWrap/>
            <w:vAlign w:val="center"/>
            <w:hideMark/>
          </w:tcPr>
          <w:p w14:paraId="1C0AD78B" w14:textId="3ED2703A"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9</w:t>
            </w:r>
          </w:p>
        </w:tc>
        <w:tc>
          <w:tcPr>
            <w:tcW w:w="360" w:type="pct"/>
            <w:tcBorders>
              <w:top w:val="nil"/>
              <w:left w:val="nil"/>
              <w:bottom w:val="nil"/>
              <w:right w:val="nil"/>
            </w:tcBorders>
            <w:shd w:val="clear" w:color="auto" w:fill="auto"/>
            <w:noWrap/>
            <w:vAlign w:val="center"/>
            <w:hideMark/>
          </w:tcPr>
          <w:p w14:paraId="66FBA152" w14:textId="63CD954C"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45</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1</w:t>
            </w:r>
          </w:p>
        </w:tc>
        <w:tc>
          <w:tcPr>
            <w:tcW w:w="360" w:type="pct"/>
            <w:tcBorders>
              <w:top w:val="nil"/>
              <w:left w:val="nil"/>
              <w:bottom w:val="nil"/>
              <w:right w:val="nil"/>
            </w:tcBorders>
            <w:shd w:val="clear" w:color="auto" w:fill="auto"/>
            <w:noWrap/>
            <w:vAlign w:val="center"/>
            <w:hideMark/>
          </w:tcPr>
          <w:p w14:paraId="5E68BEF9" w14:textId="5EEE7F33"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6</w:t>
            </w:r>
          </w:p>
        </w:tc>
        <w:tc>
          <w:tcPr>
            <w:tcW w:w="360" w:type="pct"/>
            <w:tcBorders>
              <w:top w:val="nil"/>
              <w:left w:val="nil"/>
              <w:bottom w:val="nil"/>
              <w:right w:val="nil"/>
            </w:tcBorders>
            <w:shd w:val="clear" w:color="auto" w:fill="auto"/>
            <w:noWrap/>
            <w:vAlign w:val="center"/>
            <w:hideMark/>
          </w:tcPr>
          <w:p w14:paraId="73733DC8" w14:textId="5DA97DC3"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4</w:t>
            </w:r>
          </w:p>
        </w:tc>
        <w:tc>
          <w:tcPr>
            <w:tcW w:w="360" w:type="pct"/>
            <w:tcBorders>
              <w:top w:val="nil"/>
              <w:left w:val="nil"/>
              <w:bottom w:val="nil"/>
              <w:right w:val="nil"/>
            </w:tcBorders>
            <w:shd w:val="clear" w:color="auto" w:fill="auto"/>
            <w:noWrap/>
            <w:vAlign w:val="center"/>
            <w:hideMark/>
          </w:tcPr>
          <w:p w14:paraId="27160E01" w14:textId="299C6FAC"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left w:val="nil"/>
              <w:bottom w:val="nil"/>
              <w:right w:val="nil"/>
            </w:tcBorders>
            <w:shd w:val="clear" w:color="auto" w:fill="auto"/>
            <w:noWrap/>
            <w:vAlign w:val="center"/>
            <w:hideMark/>
          </w:tcPr>
          <w:p w14:paraId="14240905" w14:textId="2E234EC6"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43</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58" w:type="pct"/>
            <w:tcBorders>
              <w:top w:val="nil"/>
              <w:left w:val="nil"/>
              <w:bottom w:val="nil"/>
              <w:right w:val="nil"/>
            </w:tcBorders>
            <w:shd w:val="clear" w:color="auto" w:fill="auto"/>
            <w:noWrap/>
            <w:vAlign w:val="center"/>
            <w:hideMark/>
          </w:tcPr>
          <w:p w14:paraId="457AB153" w14:textId="45416AE5"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43</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58" w:type="pct"/>
            <w:tcBorders>
              <w:top w:val="nil"/>
              <w:left w:val="nil"/>
              <w:bottom w:val="nil"/>
              <w:right w:val="nil"/>
            </w:tcBorders>
            <w:shd w:val="clear" w:color="auto" w:fill="auto"/>
            <w:vAlign w:val="center"/>
          </w:tcPr>
          <w:p w14:paraId="0EF192F3" w14:textId="3C5C2726"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7</w:t>
            </w:r>
          </w:p>
        </w:tc>
        <w:tc>
          <w:tcPr>
            <w:tcW w:w="358" w:type="pct"/>
            <w:tcBorders>
              <w:top w:val="nil"/>
              <w:left w:val="nil"/>
              <w:bottom w:val="nil"/>
              <w:right w:val="nil"/>
            </w:tcBorders>
            <w:shd w:val="clear" w:color="auto" w:fill="auto"/>
            <w:vAlign w:val="center"/>
          </w:tcPr>
          <w:p w14:paraId="649F26ED" w14:textId="374DADC1"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47" w:type="pct"/>
            <w:tcBorders>
              <w:top w:val="nil"/>
              <w:left w:val="nil"/>
              <w:bottom w:val="nil"/>
              <w:right w:val="nil"/>
            </w:tcBorders>
            <w:shd w:val="clear" w:color="auto" w:fill="auto"/>
            <w:vAlign w:val="center"/>
          </w:tcPr>
          <w:p w14:paraId="48A54A35" w14:textId="0104AE57"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3</w:t>
            </w:r>
          </w:p>
        </w:tc>
      </w:tr>
      <w:tr w:rsidR="004C4C0F" w:rsidRPr="0062711C" w14:paraId="4622C994" w14:textId="77777777" w:rsidTr="00D500A7">
        <w:trPr>
          <w:cnfStyle w:val="000000100000" w:firstRow="0" w:lastRow="0" w:firstColumn="0" w:lastColumn="0" w:oddVBand="0" w:evenVBand="0" w:oddHBand="1" w:evenHBand="0" w:firstRowFirstColumn="0" w:firstRowLastColumn="0" w:lastRowFirstColumn="0" w:lastRowLastColumn="0"/>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nil"/>
              <w:bottom w:val="nil"/>
            </w:tcBorders>
            <w:shd w:val="clear" w:color="auto" w:fill="auto"/>
            <w:noWrap/>
            <w:vAlign w:val="center"/>
            <w:hideMark/>
          </w:tcPr>
          <w:p w14:paraId="50235823" w14:textId="77777777" w:rsidR="004C4C0F" w:rsidRPr="0062711C" w:rsidRDefault="004C4C0F" w:rsidP="00D500A7">
            <w:pPr>
              <w:jc w:val="left"/>
              <w:rPr>
                <w:rFonts w:asciiTheme="minorHAnsi" w:eastAsia="Times New Roman" w:hAnsiTheme="minorHAnsi" w:cstheme="minorHAnsi"/>
                <w:bCs w:val="0"/>
                <w:iCs/>
                <w:color w:val="002060"/>
                <w:sz w:val="18"/>
                <w:szCs w:val="18"/>
                <w:lang w:val="sr-Cyrl-RS"/>
              </w:rPr>
            </w:pPr>
            <w:r w:rsidRPr="0062711C">
              <w:rPr>
                <w:rFonts w:asciiTheme="minorHAnsi" w:eastAsia="Times New Roman" w:hAnsiTheme="minorHAnsi" w:cstheme="minorHAnsi"/>
                <w:b w:val="0"/>
                <w:bCs w:val="0"/>
                <w:iCs/>
                <w:sz w:val="18"/>
                <w:szCs w:val="18"/>
                <w:lang w:val="sr-Cyrl-RS"/>
              </w:rPr>
              <w:t>Пад учешћа расхода</w:t>
            </w:r>
          </w:p>
        </w:tc>
        <w:tc>
          <w:tcPr>
            <w:tcW w:w="359" w:type="pct"/>
            <w:tcBorders>
              <w:top w:val="nil"/>
              <w:bottom w:val="nil"/>
            </w:tcBorders>
            <w:shd w:val="clear" w:color="auto" w:fill="auto"/>
            <w:noWrap/>
            <w:vAlign w:val="center"/>
            <w:hideMark/>
          </w:tcPr>
          <w:p w14:paraId="76F92934" w14:textId="61D52806" w:rsidR="004C4C0F" w:rsidRPr="0062711C" w:rsidRDefault="001808BA"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-2,1</w:t>
            </w:r>
          </w:p>
        </w:tc>
        <w:tc>
          <w:tcPr>
            <w:tcW w:w="359" w:type="pct"/>
            <w:tcBorders>
              <w:top w:val="nil"/>
              <w:bottom w:val="nil"/>
            </w:tcBorders>
            <w:shd w:val="clear" w:color="auto" w:fill="auto"/>
            <w:noWrap/>
            <w:vAlign w:val="center"/>
            <w:hideMark/>
          </w:tcPr>
          <w:p w14:paraId="4FAE9EB5" w14:textId="5621DAC1"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1</w:t>
            </w:r>
          </w:p>
        </w:tc>
        <w:tc>
          <w:tcPr>
            <w:tcW w:w="360" w:type="pct"/>
            <w:tcBorders>
              <w:top w:val="nil"/>
              <w:bottom w:val="nil"/>
            </w:tcBorders>
            <w:shd w:val="clear" w:color="auto" w:fill="auto"/>
            <w:noWrap/>
            <w:vAlign w:val="center"/>
            <w:hideMark/>
          </w:tcPr>
          <w:p w14:paraId="790B7877" w14:textId="70ADB296"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bottom w:val="nil"/>
            </w:tcBorders>
            <w:shd w:val="clear" w:color="auto" w:fill="auto"/>
            <w:noWrap/>
            <w:vAlign w:val="center"/>
            <w:hideMark/>
          </w:tcPr>
          <w:p w14:paraId="481970F4" w14:textId="3AAA382D"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60" w:type="pct"/>
            <w:tcBorders>
              <w:top w:val="nil"/>
              <w:bottom w:val="nil"/>
            </w:tcBorders>
            <w:shd w:val="clear" w:color="auto" w:fill="auto"/>
            <w:noWrap/>
            <w:vAlign w:val="center"/>
            <w:hideMark/>
          </w:tcPr>
          <w:p w14:paraId="130F2712" w14:textId="5A16F1C2"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bottom w:val="nil"/>
            </w:tcBorders>
            <w:shd w:val="clear" w:color="auto" w:fill="auto"/>
            <w:noWrap/>
            <w:vAlign w:val="center"/>
            <w:hideMark/>
          </w:tcPr>
          <w:p w14:paraId="475A9CA1" w14:textId="2FDE2C7C"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bottom w:val="nil"/>
            </w:tcBorders>
            <w:shd w:val="clear" w:color="auto" w:fill="auto"/>
            <w:noWrap/>
            <w:vAlign w:val="center"/>
            <w:hideMark/>
          </w:tcPr>
          <w:p w14:paraId="7A37A414" w14:textId="0C56A09F"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58" w:type="pct"/>
            <w:tcBorders>
              <w:top w:val="nil"/>
              <w:bottom w:val="nil"/>
            </w:tcBorders>
            <w:shd w:val="clear" w:color="auto" w:fill="auto"/>
            <w:noWrap/>
            <w:vAlign w:val="center"/>
            <w:hideMark/>
          </w:tcPr>
          <w:p w14:paraId="439E7A11" w14:textId="654F7A70"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58" w:type="pct"/>
            <w:tcBorders>
              <w:top w:val="nil"/>
              <w:bottom w:val="nil"/>
            </w:tcBorders>
            <w:shd w:val="clear" w:color="auto" w:fill="auto"/>
            <w:vAlign w:val="center"/>
          </w:tcPr>
          <w:p w14:paraId="31BDC01C" w14:textId="1AE51FA5"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58" w:type="pct"/>
            <w:tcBorders>
              <w:top w:val="nil"/>
              <w:bottom w:val="nil"/>
            </w:tcBorders>
            <w:shd w:val="clear" w:color="auto" w:fill="auto"/>
            <w:vAlign w:val="center"/>
          </w:tcPr>
          <w:p w14:paraId="577FB528" w14:textId="7151D500"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47" w:type="pct"/>
            <w:tcBorders>
              <w:top w:val="nil"/>
              <w:bottom w:val="nil"/>
            </w:tcBorders>
            <w:shd w:val="clear" w:color="auto" w:fill="auto"/>
            <w:vAlign w:val="center"/>
          </w:tcPr>
          <w:p w14:paraId="5955A834" w14:textId="2885F9B6"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r>
      <w:tr w:rsidR="004C4C0F" w:rsidRPr="0062711C" w14:paraId="10D621C7" w14:textId="77777777" w:rsidTr="00D500A7">
        <w:trPr>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nil"/>
              <w:left w:val="nil"/>
              <w:bottom w:val="nil"/>
              <w:right w:val="nil"/>
            </w:tcBorders>
            <w:shd w:val="clear" w:color="auto" w:fill="auto"/>
            <w:noWrap/>
            <w:vAlign w:val="center"/>
            <w:hideMark/>
          </w:tcPr>
          <w:p w14:paraId="3F9C01D1" w14:textId="77777777" w:rsidR="004C4C0F" w:rsidRPr="0062711C" w:rsidRDefault="004C4C0F" w:rsidP="00D500A7">
            <w:pPr>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 xml:space="preserve">Фискални резултат </w:t>
            </w:r>
          </w:p>
        </w:tc>
        <w:tc>
          <w:tcPr>
            <w:tcW w:w="359" w:type="pct"/>
            <w:tcBorders>
              <w:top w:val="nil"/>
              <w:left w:val="nil"/>
              <w:bottom w:val="nil"/>
              <w:right w:val="nil"/>
            </w:tcBorders>
            <w:shd w:val="clear" w:color="auto" w:fill="auto"/>
            <w:noWrap/>
            <w:vAlign w:val="center"/>
            <w:hideMark/>
          </w:tcPr>
          <w:p w14:paraId="5EFE7A9A" w14:textId="6D505917"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59" w:type="pct"/>
            <w:tcBorders>
              <w:top w:val="nil"/>
              <w:left w:val="nil"/>
              <w:bottom w:val="nil"/>
              <w:right w:val="nil"/>
            </w:tcBorders>
            <w:shd w:val="clear" w:color="auto" w:fill="auto"/>
            <w:noWrap/>
            <w:vAlign w:val="center"/>
            <w:hideMark/>
          </w:tcPr>
          <w:p w14:paraId="63B25151" w14:textId="69CD78FE"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left w:val="nil"/>
              <w:bottom w:val="nil"/>
              <w:right w:val="nil"/>
            </w:tcBorders>
            <w:shd w:val="clear" w:color="auto" w:fill="auto"/>
            <w:noWrap/>
            <w:vAlign w:val="center"/>
            <w:hideMark/>
          </w:tcPr>
          <w:p w14:paraId="4AE6756E" w14:textId="5AD21AB1"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60" w:type="pct"/>
            <w:tcBorders>
              <w:top w:val="nil"/>
              <w:left w:val="nil"/>
              <w:bottom w:val="nil"/>
              <w:right w:val="nil"/>
            </w:tcBorders>
            <w:shd w:val="clear" w:color="auto" w:fill="auto"/>
            <w:noWrap/>
            <w:vAlign w:val="center"/>
            <w:hideMark/>
          </w:tcPr>
          <w:p w14:paraId="0633D11C" w14:textId="25B0FF42"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3</w:t>
            </w:r>
          </w:p>
        </w:tc>
        <w:tc>
          <w:tcPr>
            <w:tcW w:w="360" w:type="pct"/>
            <w:tcBorders>
              <w:top w:val="nil"/>
              <w:left w:val="nil"/>
              <w:bottom w:val="nil"/>
              <w:right w:val="nil"/>
            </w:tcBorders>
            <w:shd w:val="clear" w:color="auto" w:fill="auto"/>
            <w:noWrap/>
            <w:vAlign w:val="center"/>
            <w:hideMark/>
          </w:tcPr>
          <w:p w14:paraId="0CE9D1FA" w14:textId="52EC9AD2"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3</w:t>
            </w:r>
          </w:p>
        </w:tc>
        <w:tc>
          <w:tcPr>
            <w:tcW w:w="360" w:type="pct"/>
            <w:tcBorders>
              <w:top w:val="nil"/>
              <w:left w:val="nil"/>
              <w:bottom w:val="nil"/>
              <w:right w:val="nil"/>
            </w:tcBorders>
            <w:shd w:val="clear" w:color="auto" w:fill="auto"/>
            <w:noWrap/>
            <w:vAlign w:val="center"/>
            <w:hideMark/>
          </w:tcPr>
          <w:p w14:paraId="01291D25" w14:textId="3CFCA11A"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3</w:t>
            </w:r>
          </w:p>
        </w:tc>
        <w:tc>
          <w:tcPr>
            <w:tcW w:w="360" w:type="pct"/>
            <w:tcBorders>
              <w:top w:val="nil"/>
              <w:left w:val="nil"/>
              <w:bottom w:val="nil"/>
              <w:right w:val="nil"/>
            </w:tcBorders>
            <w:shd w:val="clear" w:color="auto" w:fill="auto"/>
            <w:noWrap/>
            <w:vAlign w:val="center"/>
            <w:hideMark/>
          </w:tcPr>
          <w:p w14:paraId="214FC632" w14:textId="6FC47971"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8" w:type="pct"/>
            <w:tcBorders>
              <w:top w:val="nil"/>
              <w:left w:val="nil"/>
              <w:bottom w:val="nil"/>
              <w:right w:val="nil"/>
            </w:tcBorders>
            <w:shd w:val="clear" w:color="auto" w:fill="auto"/>
            <w:noWrap/>
            <w:vAlign w:val="center"/>
            <w:hideMark/>
          </w:tcPr>
          <w:p w14:paraId="0C733706" w14:textId="78342F88"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8" w:type="pct"/>
            <w:tcBorders>
              <w:top w:val="nil"/>
              <w:left w:val="nil"/>
              <w:bottom w:val="nil"/>
              <w:right w:val="nil"/>
            </w:tcBorders>
            <w:shd w:val="clear" w:color="auto" w:fill="auto"/>
            <w:vAlign w:val="center"/>
          </w:tcPr>
          <w:p w14:paraId="3B128B67" w14:textId="633C77A8"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8" w:type="pct"/>
            <w:tcBorders>
              <w:top w:val="nil"/>
              <w:left w:val="nil"/>
              <w:bottom w:val="nil"/>
              <w:right w:val="nil"/>
            </w:tcBorders>
            <w:shd w:val="clear" w:color="auto" w:fill="auto"/>
            <w:vAlign w:val="center"/>
          </w:tcPr>
          <w:p w14:paraId="517AC2AD" w14:textId="760B649A"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47" w:type="pct"/>
            <w:tcBorders>
              <w:top w:val="nil"/>
              <w:left w:val="nil"/>
              <w:bottom w:val="nil"/>
              <w:right w:val="nil"/>
            </w:tcBorders>
            <w:shd w:val="clear" w:color="auto" w:fill="auto"/>
            <w:vAlign w:val="center"/>
          </w:tcPr>
          <w:p w14:paraId="6D8B3751" w14:textId="02EBCE03"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r>
      <w:tr w:rsidR="004C4C0F" w:rsidRPr="0062711C" w14:paraId="3F88268C" w14:textId="77777777" w:rsidTr="00D500A7">
        <w:trPr>
          <w:cnfStyle w:val="000000100000" w:firstRow="0" w:lastRow="0" w:firstColumn="0" w:lastColumn="0" w:oddVBand="0" w:evenVBand="0" w:oddHBand="1" w:evenHBand="0" w:firstRowFirstColumn="0" w:firstRowLastColumn="0" w:lastRowFirstColumn="0" w:lastRowLastColumn="0"/>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nil"/>
              <w:bottom w:val="nil"/>
            </w:tcBorders>
            <w:shd w:val="clear" w:color="auto" w:fill="auto"/>
            <w:noWrap/>
            <w:vAlign w:val="center"/>
            <w:hideMark/>
          </w:tcPr>
          <w:p w14:paraId="01DA92CF" w14:textId="77777777" w:rsidR="004C4C0F" w:rsidRPr="0062711C" w:rsidRDefault="004C4C0F" w:rsidP="00D500A7">
            <w:pPr>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Примарни фиск. резултат</w:t>
            </w:r>
          </w:p>
        </w:tc>
        <w:tc>
          <w:tcPr>
            <w:tcW w:w="359" w:type="pct"/>
            <w:tcBorders>
              <w:top w:val="nil"/>
              <w:bottom w:val="nil"/>
            </w:tcBorders>
            <w:shd w:val="clear" w:color="auto" w:fill="auto"/>
            <w:noWrap/>
            <w:vAlign w:val="center"/>
            <w:hideMark/>
          </w:tcPr>
          <w:p w14:paraId="393EB590" w14:textId="74E24E34"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9" w:type="pct"/>
            <w:tcBorders>
              <w:top w:val="nil"/>
              <w:bottom w:val="nil"/>
            </w:tcBorders>
            <w:shd w:val="clear" w:color="auto" w:fill="auto"/>
            <w:noWrap/>
            <w:vAlign w:val="center"/>
            <w:hideMark/>
          </w:tcPr>
          <w:p w14:paraId="35C82F28" w14:textId="1189F88A"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bottom w:val="nil"/>
            </w:tcBorders>
            <w:shd w:val="clear" w:color="auto" w:fill="auto"/>
            <w:noWrap/>
            <w:vAlign w:val="center"/>
            <w:hideMark/>
          </w:tcPr>
          <w:p w14:paraId="5BC5D3D7" w14:textId="1618B033"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1</w:t>
            </w:r>
          </w:p>
        </w:tc>
        <w:tc>
          <w:tcPr>
            <w:tcW w:w="360" w:type="pct"/>
            <w:tcBorders>
              <w:top w:val="nil"/>
              <w:bottom w:val="nil"/>
            </w:tcBorders>
            <w:shd w:val="clear" w:color="auto" w:fill="auto"/>
            <w:noWrap/>
            <w:vAlign w:val="center"/>
            <w:hideMark/>
          </w:tcPr>
          <w:p w14:paraId="4F5CD5CB" w14:textId="58746FD0"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bottom w:val="nil"/>
            </w:tcBorders>
            <w:shd w:val="clear" w:color="auto" w:fill="auto"/>
            <w:noWrap/>
            <w:vAlign w:val="center"/>
            <w:hideMark/>
          </w:tcPr>
          <w:p w14:paraId="37829BCC" w14:textId="3DC032E2"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1</w:t>
            </w:r>
          </w:p>
        </w:tc>
        <w:tc>
          <w:tcPr>
            <w:tcW w:w="360" w:type="pct"/>
            <w:tcBorders>
              <w:top w:val="nil"/>
              <w:bottom w:val="nil"/>
            </w:tcBorders>
            <w:shd w:val="clear" w:color="auto" w:fill="auto"/>
            <w:noWrap/>
            <w:vAlign w:val="center"/>
            <w:hideMark/>
          </w:tcPr>
          <w:p w14:paraId="289FACCA" w14:textId="182D7759"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3</w:t>
            </w:r>
          </w:p>
        </w:tc>
        <w:tc>
          <w:tcPr>
            <w:tcW w:w="360" w:type="pct"/>
            <w:tcBorders>
              <w:top w:val="nil"/>
              <w:bottom w:val="nil"/>
            </w:tcBorders>
            <w:shd w:val="clear" w:color="auto" w:fill="auto"/>
            <w:noWrap/>
            <w:vAlign w:val="center"/>
            <w:hideMark/>
          </w:tcPr>
          <w:p w14:paraId="10B48665" w14:textId="27D1FBDF"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7</w:t>
            </w:r>
          </w:p>
        </w:tc>
        <w:tc>
          <w:tcPr>
            <w:tcW w:w="358" w:type="pct"/>
            <w:tcBorders>
              <w:top w:val="nil"/>
              <w:bottom w:val="nil"/>
            </w:tcBorders>
            <w:shd w:val="clear" w:color="auto" w:fill="auto"/>
            <w:noWrap/>
            <w:vAlign w:val="center"/>
            <w:hideMark/>
          </w:tcPr>
          <w:p w14:paraId="78948F54" w14:textId="6589A329"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8" w:type="pct"/>
            <w:tcBorders>
              <w:top w:val="nil"/>
              <w:bottom w:val="nil"/>
            </w:tcBorders>
            <w:shd w:val="clear" w:color="auto" w:fill="auto"/>
            <w:vAlign w:val="center"/>
          </w:tcPr>
          <w:p w14:paraId="764B8405" w14:textId="3BD3FDCA"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58" w:type="pct"/>
            <w:tcBorders>
              <w:top w:val="nil"/>
              <w:bottom w:val="nil"/>
            </w:tcBorders>
            <w:shd w:val="clear" w:color="auto" w:fill="auto"/>
            <w:vAlign w:val="center"/>
          </w:tcPr>
          <w:p w14:paraId="4A14B36B" w14:textId="1DB9CE36"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47" w:type="pct"/>
            <w:tcBorders>
              <w:top w:val="nil"/>
              <w:bottom w:val="nil"/>
            </w:tcBorders>
            <w:shd w:val="clear" w:color="auto" w:fill="auto"/>
            <w:vAlign w:val="center"/>
          </w:tcPr>
          <w:p w14:paraId="1733F69A" w14:textId="3E991D4E"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r>
      <w:tr w:rsidR="004C4C0F" w:rsidRPr="0062711C" w14:paraId="2CE0EB6D" w14:textId="77777777" w:rsidTr="00D500A7">
        <w:trPr>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nil"/>
              <w:left w:val="nil"/>
              <w:bottom w:val="nil"/>
              <w:right w:val="nil"/>
            </w:tcBorders>
            <w:shd w:val="clear" w:color="auto" w:fill="auto"/>
            <w:noWrap/>
            <w:vAlign w:val="center"/>
            <w:hideMark/>
          </w:tcPr>
          <w:p w14:paraId="653B8FF7" w14:textId="77777777" w:rsidR="004C4C0F" w:rsidRPr="0062711C" w:rsidRDefault="004C4C0F" w:rsidP="00D500A7">
            <w:pPr>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Јавни дуг у БДП</w:t>
            </w:r>
          </w:p>
        </w:tc>
        <w:tc>
          <w:tcPr>
            <w:tcW w:w="359" w:type="pct"/>
            <w:tcBorders>
              <w:top w:val="nil"/>
              <w:left w:val="nil"/>
              <w:bottom w:val="nil"/>
              <w:right w:val="nil"/>
            </w:tcBorders>
            <w:shd w:val="clear" w:color="auto" w:fill="auto"/>
            <w:noWrap/>
            <w:vAlign w:val="center"/>
            <w:hideMark/>
          </w:tcPr>
          <w:p w14:paraId="390EDF08" w14:textId="68DB90E2"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52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3</w:t>
            </w:r>
          </w:p>
        </w:tc>
        <w:tc>
          <w:tcPr>
            <w:tcW w:w="359" w:type="pct"/>
            <w:tcBorders>
              <w:top w:val="nil"/>
              <w:left w:val="nil"/>
              <w:bottom w:val="nil"/>
              <w:right w:val="nil"/>
            </w:tcBorders>
            <w:shd w:val="clear" w:color="auto" w:fill="auto"/>
            <w:noWrap/>
            <w:vAlign w:val="center"/>
            <w:hideMark/>
          </w:tcPr>
          <w:p w14:paraId="0A8F09C1" w14:textId="4ABF1AED"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52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left w:val="nil"/>
              <w:bottom w:val="nil"/>
              <w:right w:val="nil"/>
            </w:tcBorders>
            <w:shd w:val="clear" w:color="auto" w:fill="auto"/>
            <w:noWrap/>
            <w:vAlign w:val="center"/>
            <w:hideMark/>
          </w:tcPr>
          <w:p w14:paraId="2C75EE68" w14:textId="55C27C60"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51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6</w:t>
            </w:r>
          </w:p>
        </w:tc>
        <w:tc>
          <w:tcPr>
            <w:tcW w:w="360" w:type="pct"/>
            <w:tcBorders>
              <w:top w:val="nil"/>
              <w:left w:val="nil"/>
              <w:bottom w:val="nil"/>
              <w:right w:val="nil"/>
            </w:tcBorders>
            <w:shd w:val="clear" w:color="auto" w:fill="auto"/>
            <w:noWrap/>
            <w:vAlign w:val="center"/>
            <w:hideMark/>
          </w:tcPr>
          <w:p w14:paraId="4347D596" w14:textId="709B8A79"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51</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left w:val="nil"/>
              <w:bottom w:val="nil"/>
              <w:right w:val="nil"/>
            </w:tcBorders>
            <w:shd w:val="clear" w:color="auto" w:fill="auto"/>
            <w:noWrap/>
            <w:vAlign w:val="center"/>
            <w:hideMark/>
          </w:tcPr>
          <w:p w14:paraId="35D9B21C" w14:textId="496FAAA4"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50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60" w:type="pct"/>
            <w:tcBorders>
              <w:top w:val="nil"/>
              <w:left w:val="nil"/>
              <w:bottom w:val="nil"/>
              <w:right w:val="nil"/>
            </w:tcBorders>
            <w:shd w:val="clear" w:color="auto" w:fill="auto"/>
            <w:noWrap/>
            <w:vAlign w:val="center"/>
            <w:hideMark/>
          </w:tcPr>
          <w:p w14:paraId="7B92B51C" w14:textId="760C024A"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50</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left w:val="nil"/>
              <w:bottom w:val="nil"/>
              <w:right w:val="nil"/>
            </w:tcBorders>
            <w:shd w:val="clear" w:color="auto" w:fill="auto"/>
            <w:noWrap/>
            <w:vAlign w:val="center"/>
            <w:hideMark/>
          </w:tcPr>
          <w:p w14:paraId="463AE450" w14:textId="0F140255"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48</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7</w:t>
            </w:r>
          </w:p>
        </w:tc>
        <w:tc>
          <w:tcPr>
            <w:tcW w:w="358" w:type="pct"/>
            <w:tcBorders>
              <w:top w:val="nil"/>
              <w:left w:val="nil"/>
              <w:bottom w:val="nil"/>
              <w:right w:val="nil"/>
            </w:tcBorders>
            <w:shd w:val="clear" w:color="auto" w:fill="auto"/>
            <w:noWrap/>
            <w:vAlign w:val="center"/>
            <w:hideMark/>
          </w:tcPr>
          <w:p w14:paraId="5C55B5B1" w14:textId="57DF2BEC"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47</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6</w:t>
            </w:r>
          </w:p>
        </w:tc>
        <w:tc>
          <w:tcPr>
            <w:tcW w:w="358" w:type="pct"/>
            <w:tcBorders>
              <w:top w:val="nil"/>
              <w:left w:val="nil"/>
              <w:bottom w:val="nil"/>
              <w:right w:val="nil"/>
            </w:tcBorders>
            <w:shd w:val="clear" w:color="auto" w:fill="auto"/>
            <w:vAlign w:val="center"/>
          </w:tcPr>
          <w:p w14:paraId="5F281EF7" w14:textId="7C43DA7D"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46</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8" w:type="pct"/>
            <w:tcBorders>
              <w:top w:val="nil"/>
              <w:left w:val="nil"/>
              <w:bottom w:val="nil"/>
              <w:right w:val="nil"/>
            </w:tcBorders>
            <w:shd w:val="clear" w:color="auto" w:fill="auto"/>
            <w:vAlign w:val="center"/>
          </w:tcPr>
          <w:p w14:paraId="2138D781" w14:textId="7C12816E"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45</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4</w:t>
            </w:r>
          </w:p>
        </w:tc>
        <w:tc>
          <w:tcPr>
            <w:tcW w:w="347" w:type="pct"/>
            <w:tcBorders>
              <w:top w:val="nil"/>
              <w:left w:val="nil"/>
              <w:bottom w:val="nil"/>
              <w:right w:val="nil"/>
            </w:tcBorders>
            <w:shd w:val="clear" w:color="auto" w:fill="auto"/>
            <w:vAlign w:val="center"/>
          </w:tcPr>
          <w:p w14:paraId="1CB02750" w14:textId="2649255A" w:rsidR="004C4C0F" w:rsidRPr="0062711C" w:rsidRDefault="004C4C0F" w:rsidP="00D500A7">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4</w:t>
            </w:r>
          </w:p>
        </w:tc>
      </w:tr>
      <w:tr w:rsidR="004C4C0F" w:rsidRPr="0062711C" w14:paraId="5E08B164" w14:textId="77777777" w:rsidTr="00D500A7">
        <w:trPr>
          <w:cnfStyle w:val="000000100000" w:firstRow="0" w:lastRow="0" w:firstColumn="0" w:lastColumn="0" w:oddVBand="0" w:evenVBand="0" w:oddHBand="1" w:evenHBand="0" w:firstRowFirstColumn="0" w:firstRowLastColumn="0" w:lastRowFirstColumn="0" w:lastRowLastColumn="0"/>
          <w:trHeight w:hRule="exact" w:val="342"/>
          <w:jc w:val="center"/>
        </w:trPr>
        <w:tc>
          <w:tcPr>
            <w:cnfStyle w:val="001000000000" w:firstRow="0" w:lastRow="0" w:firstColumn="1" w:lastColumn="0" w:oddVBand="0" w:evenVBand="0" w:oddHBand="0" w:evenHBand="0" w:firstRowFirstColumn="0" w:firstRowLastColumn="0" w:lastRowFirstColumn="0" w:lastRowLastColumn="0"/>
            <w:tcW w:w="1060" w:type="pct"/>
            <w:tcBorders>
              <w:top w:val="nil"/>
              <w:bottom w:val="single" w:sz="4" w:space="0" w:color="auto"/>
            </w:tcBorders>
            <w:shd w:val="clear" w:color="auto" w:fill="auto"/>
            <w:noWrap/>
            <w:vAlign w:val="center"/>
            <w:hideMark/>
          </w:tcPr>
          <w:p w14:paraId="4BB47363" w14:textId="77777777" w:rsidR="004C4C0F" w:rsidRPr="0062711C" w:rsidRDefault="004C4C0F" w:rsidP="00D500A7">
            <w:pPr>
              <w:jc w:val="left"/>
              <w:rPr>
                <w:rFonts w:asciiTheme="minorHAnsi" w:eastAsia="Times New Roman" w:hAnsiTheme="minorHAnsi" w:cstheme="minorHAnsi"/>
                <w:bCs w:val="0"/>
                <w:color w:val="002060"/>
                <w:sz w:val="18"/>
                <w:szCs w:val="18"/>
                <w:lang w:val="sr-Cyrl-RS"/>
              </w:rPr>
            </w:pPr>
            <w:r w:rsidRPr="0062711C">
              <w:rPr>
                <w:rFonts w:asciiTheme="minorHAnsi" w:eastAsia="Times New Roman" w:hAnsiTheme="minorHAnsi" w:cstheme="minorHAnsi"/>
                <w:b w:val="0"/>
                <w:bCs w:val="0"/>
                <w:color w:val="002060"/>
                <w:sz w:val="18"/>
                <w:szCs w:val="18"/>
                <w:lang w:val="sr-Cyrl-RS"/>
              </w:rPr>
              <w:t>БДП реални раст, %</w:t>
            </w:r>
          </w:p>
        </w:tc>
        <w:tc>
          <w:tcPr>
            <w:tcW w:w="359" w:type="pct"/>
            <w:tcBorders>
              <w:top w:val="nil"/>
              <w:bottom w:val="single" w:sz="4" w:space="0" w:color="auto"/>
            </w:tcBorders>
            <w:shd w:val="clear" w:color="auto" w:fill="auto"/>
            <w:noWrap/>
            <w:vAlign w:val="center"/>
            <w:hideMark/>
          </w:tcPr>
          <w:p w14:paraId="64BB7F0B" w14:textId="0386CEDD"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2</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5</w:t>
            </w:r>
          </w:p>
        </w:tc>
        <w:tc>
          <w:tcPr>
            <w:tcW w:w="359" w:type="pct"/>
            <w:tcBorders>
              <w:top w:val="nil"/>
              <w:bottom w:val="single" w:sz="4" w:space="0" w:color="auto"/>
            </w:tcBorders>
            <w:shd w:val="clear" w:color="auto" w:fill="auto"/>
            <w:noWrap/>
            <w:vAlign w:val="center"/>
            <w:hideMark/>
          </w:tcPr>
          <w:p w14:paraId="0805C049" w14:textId="460A66C5"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3</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8</w:t>
            </w:r>
          </w:p>
        </w:tc>
        <w:tc>
          <w:tcPr>
            <w:tcW w:w="360" w:type="pct"/>
            <w:tcBorders>
              <w:top w:val="nil"/>
              <w:bottom w:val="single" w:sz="4" w:space="0" w:color="auto"/>
            </w:tcBorders>
            <w:shd w:val="clear" w:color="auto" w:fill="auto"/>
            <w:noWrap/>
            <w:vAlign w:val="center"/>
            <w:hideMark/>
          </w:tcPr>
          <w:p w14:paraId="5FAE6A96" w14:textId="07979187"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2</w:t>
            </w:r>
          </w:p>
        </w:tc>
        <w:tc>
          <w:tcPr>
            <w:tcW w:w="360" w:type="pct"/>
            <w:tcBorders>
              <w:top w:val="nil"/>
              <w:bottom w:val="single" w:sz="4" w:space="0" w:color="auto"/>
            </w:tcBorders>
            <w:shd w:val="clear" w:color="auto" w:fill="auto"/>
            <w:noWrap/>
            <w:vAlign w:val="center"/>
            <w:hideMark/>
          </w:tcPr>
          <w:p w14:paraId="413BF3EE" w14:textId="657043DD"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bottom w:val="single" w:sz="4" w:space="0" w:color="auto"/>
            </w:tcBorders>
            <w:shd w:val="clear" w:color="auto" w:fill="auto"/>
            <w:noWrap/>
            <w:vAlign w:val="center"/>
            <w:hideMark/>
          </w:tcPr>
          <w:p w14:paraId="3409B978" w14:textId="55801EA2"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bottom w:val="single" w:sz="4" w:space="0" w:color="auto"/>
            </w:tcBorders>
            <w:shd w:val="clear" w:color="auto" w:fill="auto"/>
            <w:noWrap/>
            <w:vAlign w:val="center"/>
            <w:hideMark/>
          </w:tcPr>
          <w:p w14:paraId="741CF96C" w14:textId="18601517"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60" w:type="pct"/>
            <w:tcBorders>
              <w:top w:val="nil"/>
              <w:bottom w:val="single" w:sz="4" w:space="0" w:color="auto"/>
            </w:tcBorders>
            <w:shd w:val="clear" w:color="auto" w:fill="auto"/>
            <w:noWrap/>
            <w:vAlign w:val="center"/>
            <w:hideMark/>
          </w:tcPr>
          <w:p w14:paraId="1699935B" w14:textId="15AD11B5"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58" w:type="pct"/>
            <w:tcBorders>
              <w:top w:val="nil"/>
              <w:bottom w:val="single" w:sz="4" w:space="0" w:color="auto"/>
            </w:tcBorders>
            <w:shd w:val="clear" w:color="auto" w:fill="auto"/>
            <w:noWrap/>
            <w:vAlign w:val="center"/>
            <w:hideMark/>
          </w:tcPr>
          <w:p w14:paraId="1CB6CBEC" w14:textId="5AECED80"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58" w:type="pct"/>
            <w:tcBorders>
              <w:top w:val="nil"/>
              <w:bottom w:val="single" w:sz="4" w:space="0" w:color="auto"/>
            </w:tcBorders>
            <w:shd w:val="clear" w:color="auto" w:fill="auto"/>
            <w:vAlign w:val="center"/>
          </w:tcPr>
          <w:p w14:paraId="2BB9E99D" w14:textId="5C9AADDB"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58" w:type="pct"/>
            <w:tcBorders>
              <w:top w:val="nil"/>
              <w:bottom w:val="single" w:sz="4" w:space="0" w:color="auto"/>
            </w:tcBorders>
            <w:shd w:val="clear" w:color="auto" w:fill="auto"/>
            <w:vAlign w:val="center"/>
          </w:tcPr>
          <w:p w14:paraId="1643ED73" w14:textId="40959CCF"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c>
          <w:tcPr>
            <w:tcW w:w="347" w:type="pct"/>
            <w:tcBorders>
              <w:top w:val="nil"/>
              <w:bottom w:val="single" w:sz="4" w:space="0" w:color="auto"/>
            </w:tcBorders>
            <w:shd w:val="clear" w:color="auto" w:fill="auto"/>
            <w:vAlign w:val="center"/>
          </w:tcPr>
          <w:p w14:paraId="46F91E35" w14:textId="07FE6FDD" w:rsidR="004C4C0F" w:rsidRPr="0062711C" w:rsidRDefault="004C4C0F" w:rsidP="00D500A7">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bCs/>
                <w:color w:val="002060"/>
                <w:sz w:val="18"/>
                <w:szCs w:val="18"/>
                <w:lang w:val="sr-Cyrl-RS"/>
              </w:rPr>
            </w:pPr>
            <w:r w:rsidRPr="0062711C">
              <w:rPr>
                <w:rFonts w:asciiTheme="minorHAnsi" w:eastAsia="Times New Roman" w:hAnsiTheme="minorHAnsi" w:cstheme="minorHAnsi"/>
                <w:bCs/>
                <w:color w:val="002060"/>
                <w:sz w:val="18"/>
                <w:szCs w:val="18"/>
                <w:lang w:val="sr-Cyrl-RS"/>
              </w:rPr>
              <w:t>4</w:t>
            </w:r>
            <w:r w:rsidR="00ED0237">
              <w:rPr>
                <w:rFonts w:asciiTheme="minorHAnsi" w:eastAsia="Times New Roman" w:hAnsiTheme="minorHAnsi" w:cstheme="minorHAnsi"/>
                <w:bCs/>
                <w:color w:val="002060"/>
                <w:sz w:val="18"/>
                <w:szCs w:val="18"/>
                <w:lang w:val="sr-Cyrl-RS"/>
              </w:rPr>
              <w:t>,</w:t>
            </w:r>
            <w:r w:rsidRPr="0062711C">
              <w:rPr>
                <w:rFonts w:asciiTheme="minorHAnsi" w:eastAsia="Times New Roman" w:hAnsiTheme="minorHAnsi" w:cstheme="minorHAnsi"/>
                <w:bCs/>
                <w:color w:val="002060"/>
                <w:sz w:val="18"/>
                <w:szCs w:val="18"/>
                <w:lang w:val="sr-Cyrl-RS"/>
              </w:rPr>
              <w:t>0</w:t>
            </w:r>
          </w:p>
        </w:tc>
      </w:tr>
    </w:tbl>
    <w:p w14:paraId="0E8A36E0" w14:textId="77777777" w:rsidR="004C4C0F" w:rsidRPr="0062711C" w:rsidRDefault="004C4C0F" w:rsidP="00D500A7">
      <w:pPr>
        <w:spacing w:after="120"/>
        <w:jc w:val="left"/>
        <w:rPr>
          <w:rFonts w:ascii="Calibri" w:eastAsia="MS PGothic" w:hAnsi="Calibri" w:cs="Calibri"/>
          <w:sz w:val="16"/>
          <w:szCs w:val="16"/>
          <w:lang w:val="sr-Cyrl-RS" w:eastAsia="ja-JP"/>
        </w:rPr>
      </w:pPr>
      <w:r w:rsidRPr="0062711C">
        <w:rPr>
          <w:rFonts w:ascii="Calibri" w:eastAsia="MS PGothic" w:hAnsi="Calibri" w:cs="Calibri"/>
          <w:sz w:val="16"/>
          <w:szCs w:val="16"/>
          <w:lang w:val="sr-Cyrl-RS" w:eastAsia="ja-JP"/>
        </w:rPr>
        <w:t xml:space="preserve">Извор: </w:t>
      </w:r>
      <w:r w:rsidRPr="0062711C">
        <w:rPr>
          <w:rFonts w:ascii="Calibri" w:eastAsia="Calibri" w:hAnsi="Calibri" w:cs="Calibri"/>
          <w:sz w:val="16"/>
          <w:szCs w:val="20"/>
          <w:lang w:val="sr-Cyrl-RS"/>
        </w:rPr>
        <w:t>Министарство финансија</w:t>
      </w:r>
    </w:p>
    <w:p w14:paraId="6767F847" w14:textId="77777777" w:rsidR="004C4C0F" w:rsidRPr="0062711C" w:rsidRDefault="004C4C0F" w:rsidP="00D500A7">
      <w:pPr>
        <w:spacing w:after="120"/>
        <w:rPr>
          <w:rFonts w:ascii="Calibri" w:eastAsia="Calibri" w:hAnsi="Calibri" w:cs="Calibri"/>
          <w:szCs w:val="20"/>
          <w:lang w:val="sr-Cyrl-RS" w:eastAsia="ja-JP"/>
        </w:rPr>
        <w:sectPr w:rsidR="004C4C0F" w:rsidRPr="0062711C" w:rsidSect="00D500A7">
          <w:type w:val="continuous"/>
          <w:pgSz w:w="12240" w:h="15840" w:code="1"/>
          <w:pgMar w:top="1417" w:right="1417" w:bottom="1417" w:left="1417" w:header="720" w:footer="720" w:gutter="0"/>
          <w:cols w:space="720"/>
        </w:sectPr>
      </w:pPr>
    </w:p>
    <w:p w14:paraId="1AACB1E2" w14:textId="77777777" w:rsidR="004C4C0F" w:rsidRPr="0062711C" w:rsidRDefault="004C4C0F" w:rsidP="00D500A7">
      <w:pPr>
        <w:widowControl w:val="0"/>
        <w:spacing w:after="120"/>
        <w:rPr>
          <w:rFonts w:ascii="Calibri" w:eastAsia="Calibri" w:hAnsi="Calibri" w:cs="Calibri"/>
          <w:szCs w:val="20"/>
          <w:lang w:val="sr-Cyrl-RS"/>
        </w:rPr>
      </w:pPr>
      <w:r w:rsidRPr="0062711C">
        <w:rPr>
          <w:rFonts w:ascii="Calibri" w:eastAsia="Calibri" w:hAnsi="Calibri" w:cs="Calibri"/>
          <w:spacing w:val="-2"/>
          <w:szCs w:val="20"/>
          <w:lang w:val="sr-Cyrl-RS"/>
        </w:rPr>
        <w:t xml:space="preserve">На наредном графикону су приказане симулације два алтернативна сценарија кретања јавног дуга, у зависности од промена одређених претпоставки у основном сценарију. У оба случаја </w:t>
      </w:r>
      <w:r w:rsidRPr="0062711C">
        <w:rPr>
          <w:rFonts w:ascii="Calibri" w:eastAsia="Calibri" w:hAnsi="Calibri" w:cs="Calibri"/>
          <w:szCs w:val="20"/>
          <w:lang w:val="sr-Cyrl-RS"/>
        </w:rPr>
        <w:t>предвиђана је одговарајућа реакцију фискалне политике како би се ниво јавног дуг задржао под контролом.</w:t>
      </w:r>
    </w:p>
    <w:p w14:paraId="32ED0573" w14:textId="77777777" w:rsidR="00591CA5" w:rsidRPr="0062711C" w:rsidRDefault="00591CA5" w:rsidP="00591CA5">
      <w:pPr>
        <w:spacing w:after="120"/>
        <w:jc w:val="center"/>
        <w:rPr>
          <w:rFonts w:cstheme="minorHAnsi"/>
          <w:b/>
          <w:color w:val="002060"/>
          <w:lang w:val="sr-Cyrl-RS"/>
        </w:rPr>
      </w:pPr>
      <w:r w:rsidRPr="0062711C">
        <w:rPr>
          <w:rFonts w:cstheme="minorHAnsi"/>
          <w:b/>
          <w:color w:val="002060"/>
          <w:lang w:val="sr-Cyrl-RS"/>
        </w:rPr>
        <w:t>Поређење различитих сценарија и утицај на висину јавног дуга, % БДП</w:t>
      </w:r>
    </w:p>
    <w:p w14:paraId="6A406272" w14:textId="60797524" w:rsidR="00591CA5" w:rsidRPr="0062711C" w:rsidRDefault="00591CA5" w:rsidP="00D500A7">
      <w:pPr>
        <w:widowControl w:val="0"/>
        <w:spacing w:after="120"/>
        <w:rPr>
          <w:rFonts w:ascii="Calibri" w:eastAsia="Calibri" w:hAnsi="Calibri" w:cs="Calibri"/>
          <w:szCs w:val="20"/>
          <w:lang w:val="sr-Cyrl-RS"/>
        </w:rPr>
      </w:pPr>
      <w:r w:rsidRPr="0062711C">
        <w:rPr>
          <w:noProof/>
          <w:lang w:val="en-GB" w:eastAsia="en-GB"/>
        </w:rPr>
        <w:drawing>
          <wp:inline distT="0" distB="0" distL="0" distR="0" wp14:anchorId="2E8FD6B2" wp14:editId="5C3E8E02">
            <wp:extent cx="2645925" cy="2152800"/>
            <wp:effectExtent l="0" t="0" r="2540" b="0"/>
            <wp:docPr id="81" name="Chart 81">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4"/>
              </a:graphicData>
            </a:graphic>
          </wp:inline>
        </w:drawing>
      </w:r>
    </w:p>
    <w:p w14:paraId="6E30E8C4" w14:textId="1D0F66A9" w:rsidR="004C4C0F" w:rsidRPr="0062711C" w:rsidRDefault="004C4C0F" w:rsidP="00D500A7">
      <w:pPr>
        <w:widowControl w:val="0"/>
        <w:spacing w:after="120"/>
        <w:rPr>
          <w:rFonts w:ascii="Calibri" w:eastAsia="Calibri" w:hAnsi="Calibri" w:cs="Calibri"/>
          <w:szCs w:val="20"/>
          <w:lang w:val="sr-Cyrl-RS"/>
        </w:rPr>
      </w:pPr>
      <w:r w:rsidRPr="0062711C">
        <w:rPr>
          <w:rFonts w:ascii="Calibri" w:eastAsia="Calibri" w:hAnsi="Calibri" w:cs="Calibri"/>
          <w:szCs w:val="20"/>
          <w:lang w:val="sr-Cyrl-RS"/>
        </w:rPr>
        <w:t>Сценарио „успорени раст након 2027</w:t>
      </w:r>
      <w:r w:rsidR="00ED0237">
        <w:rPr>
          <w:rFonts w:ascii="Calibri" w:eastAsia="Calibri" w:hAnsi="Calibri" w:cs="Calibri"/>
          <w:szCs w:val="20"/>
        </w:rPr>
        <w:t>.</w:t>
      </w:r>
      <w:r w:rsidRPr="0062711C">
        <w:rPr>
          <w:rFonts w:ascii="Calibri" w:eastAsia="Calibri" w:hAnsi="Calibri" w:cs="Calibri"/>
          <w:szCs w:val="20"/>
          <w:lang w:val="sr-Cyrl-RS"/>
        </w:rPr>
        <w:t>” подразумева просечан реални раст БДП од око 1% у посматраном периоду, уз исти ниво фискалног дефицита у односу на основни сценарио. Јавни дуг према овом сценарију бележи континуиран умерени раст и на крају 2032. године достиже ниво од 52,7% БДП. Предвиђена путање фискалног деф</w:t>
      </w:r>
      <w:r w:rsidR="00864726">
        <w:rPr>
          <w:rFonts w:ascii="Calibri" w:eastAsia="Calibri" w:hAnsi="Calibri" w:cs="Calibri"/>
          <w:szCs w:val="20"/>
          <w:lang w:val="sr-Cyrl-RS"/>
        </w:rPr>
        <w:t>иц</w:t>
      </w:r>
      <w:r w:rsidRPr="0062711C">
        <w:rPr>
          <w:rFonts w:ascii="Calibri" w:eastAsia="Calibri" w:hAnsi="Calibri" w:cs="Calibri"/>
          <w:szCs w:val="20"/>
          <w:lang w:val="sr-Cyrl-RS"/>
        </w:rPr>
        <w:t xml:space="preserve">ита обезбеђује да, и поред дужег периода ниских стопа реалног раста, не долази до прекомерне акумулације јавног дуга. Међутим ово не подразумева аутоматски и исти ниво фискалног прилагођавања као у основном сценарију, јер је потребна већа акомодација на расходној страни у ситуацијама када се бележи </w:t>
      </w:r>
      <w:r w:rsidRPr="0062711C">
        <w:rPr>
          <w:rFonts w:ascii="Calibri" w:eastAsia="Calibri" w:hAnsi="Calibri" w:cs="Calibri"/>
          <w:szCs w:val="20"/>
          <w:lang w:val="sr-Cyrl-RS"/>
        </w:rPr>
        <w:t>нижи привредни раст. Иако не подразумева снажан једнократни шок, овај сценарио показује дугорочну неодрживост ниских стопа реалног раста по економски развој земље, упркос томе што се ниво јавног дуга држи под контролом.</w:t>
      </w:r>
    </w:p>
    <w:p w14:paraId="272F7A43" w14:textId="77777777" w:rsidR="004C4C0F" w:rsidRPr="0062711C" w:rsidRDefault="004C4C0F" w:rsidP="00D500A7">
      <w:pPr>
        <w:spacing w:after="120"/>
        <w:rPr>
          <w:rFonts w:ascii="Calibri" w:eastAsia="Calibri" w:hAnsi="Calibri" w:cs="Calibri"/>
          <w:szCs w:val="20"/>
          <w:lang w:val="sr-Cyrl-RS"/>
        </w:rPr>
      </w:pPr>
      <w:r w:rsidRPr="0062711C">
        <w:rPr>
          <w:rFonts w:ascii="Calibri" w:eastAsia="Calibri" w:hAnsi="Calibri" w:cs="Calibri"/>
          <w:spacing w:val="-4"/>
          <w:szCs w:val="20"/>
          <w:lang w:val="sr-Cyrl-RS"/>
        </w:rPr>
        <w:t>С</w:t>
      </w:r>
      <w:r w:rsidRPr="0062711C">
        <w:rPr>
          <w:rFonts w:ascii="Calibri" w:eastAsia="Calibri" w:hAnsi="Calibri" w:cs="Calibri"/>
          <w:szCs w:val="20"/>
          <w:lang w:val="sr-Cyrl-RS"/>
        </w:rPr>
        <w:t>ценарио „фискални шок након 2027. године” подразумева реализацију ванредног догађаја (природна, здравствена, економска и др. ванредна околност) са дуалним дејством и на фискални и реални сектор. Како би се ублажиле последице такве кризе (шока) држава је приморана да реагује већим издвајањима на расходној страни или привременим смањењем пореза, што једнострано погоршава фискалне перформансе. Дејство кризе на реални сектор, у зависности од врсте шока, може да буде веома различито по интензитету, начину и дужини деловања, али извесно има за последицу пад или успорени раст БДП као и негативно дејство на приходну страну буџета. Ови вишеструки негативни фактори доводе до снажне негативне промене фискалне позиције земље у виду повећања фискалног дефицита, и у апсолутном износу и израженог као удео у БДП.</w:t>
      </w:r>
    </w:p>
    <w:p w14:paraId="63721E93" w14:textId="518061BB" w:rsidR="004C4C0F" w:rsidRPr="0062711C" w:rsidRDefault="004C4C0F" w:rsidP="00D500A7">
      <w:pPr>
        <w:widowControl w:val="0"/>
        <w:spacing w:after="120"/>
        <w:rPr>
          <w:rFonts w:ascii="Calibri" w:eastAsia="Calibri" w:hAnsi="Calibri" w:cs="Calibri"/>
          <w:szCs w:val="20"/>
          <w:lang w:val="sr-Cyrl-RS"/>
        </w:rPr>
      </w:pPr>
      <w:r w:rsidRPr="0062711C">
        <w:rPr>
          <w:rFonts w:ascii="Calibri" w:eastAsia="Calibri" w:hAnsi="Calibri" w:cs="Calibri"/>
          <w:szCs w:val="20"/>
          <w:lang w:val="sr-Cyrl-RS"/>
        </w:rPr>
        <w:t>Представљени сценарио, услед ванредних насталих околности, подразумева нагло повећање фискалног дефицита на 9% БДП уз истовремени реални пад БДП од 3,5%. Као последица тога, учешће јавног дуга се рапидно повећава на ниво од 61,5% БДП. Иако би било могуће спровести мере којима би се прекомеран ниво фискалног дефицита нагло елиминисао, такво екстремно фискално прилагођавање у једној години произвело би додатне негативне ефекте по становништ</w:t>
      </w:r>
      <w:r w:rsidR="008E3631" w:rsidRPr="0062711C">
        <w:rPr>
          <w:rFonts w:ascii="Calibri" w:eastAsia="Calibri" w:hAnsi="Calibri" w:cs="Calibri"/>
          <w:szCs w:val="20"/>
          <w:lang w:val="sr-Cyrl-RS"/>
        </w:rPr>
        <w:t>во, као и даље</w:t>
      </w:r>
      <w:r w:rsidRPr="0062711C">
        <w:rPr>
          <w:rFonts w:ascii="Calibri" w:eastAsia="Calibri" w:hAnsi="Calibri" w:cs="Calibri"/>
          <w:szCs w:val="20"/>
          <w:lang w:val="sr-Cyrl-RS"/>
        </w:rPr>
        <w:t xml:space="preserve"> </w:t>
      </w:r>
      <w:r w:rsidR="008E3631" w:rsidRPr="0062711C">
        <w:rPr>
          <w:rFonts w:ascii="Calibri" w:eastAsia="Calibri" w:hAnsi="Calibri" w:cs="Calibri"/>
          <w:szCs w:val="20"/>
          <w:lang w:val="sr-Cyrl-RS"/>
        </w:rPr>
        <w:t>погоршање</w:t>
      </w:r>
      <w:r w:rsidRPr="0062711C">
        <w:rPr>
          <w:rFonts w:ascii="Calibri" w:eastAsia="Calibri" w:hAnsi="Calibri" w:cs="Calibri"/>
          <w:szCs w:val="20"/>
          <w:lang w:val="sr-Cyrl-RS"/>
        </w:rPr>
        <w:t xml:space="preserve"> ослабљених </w:t>
      </w:r>
      <w:r w:rsidRPr="0062711C">
        <w:rPr>
          <w:rFonts w:ascii="Calibri" w:eastAsia="Calibri" w:hAnsi="Calibri" w:cs="Calibri"/>
          <w:szCs w:val="20"/>
          <w:lang w:val="sr-Cyrl-RS"/>
        </w:rPr>
        <w:lastRenderedPageBreak/>
        <w:t xml:space="preserve">економских перформанси привреде. У овом случају било би сврсисходно и очекивано да Влада предвиди постепено фискално прилагођавање у наредне две године. Тако би се у 2029. години, према овом сценарију планирао фискални дефицит од 2%, што би уз симулирано одсуство реалног раста БДП у тој години, произвело даље минимално повећање учешћа јавног дуга. Након тога у 2030. години планиран је избалансирани фискални резултат, који доводи до преокретања путање дуга. На крају овог кризног периода, уз очекивани опоравак привредног раста од 3%, у </w:t>
      </w:r>
      <w:r w:rsidRPr="0062711C">
        <w:rPr>
          <w:rFonts w:ascii="Calibri" w:eastAsia="Calibri" w:hAnsi="Calibri" w:cs="Calibri"/>
          <w:szCs w:val="20"/>
          <w:lang w:val="sr-Cyrl-RS"/>
        </w:rPr>
        <w:t>2030. години, учешће јавног дуга пада испод границе од 60%, чиме се омогућава постепена релаксација фискалне политике.</w:t>
      </w:r>
    </w:p>
    <w:p w14:paraId="2C0BDD1F" w14:textId="77777777" w:rsidR="004C4C0F" w:rsidRPr="0062711C" w:rsidRDefault="004C4C0F" w:rsidP="00D500A7">
      <w:pPr>
        <w:widowControl w:val="0"/>
        <w:spacing w:after="120"/>
        <w:rPr>
          <w:lang w:val="sr-Cyrl-RS"/>
        </w:rPr>
      </w:pPr>
      <w:r w:rsidRPr="0062711C">
        <w:rPr>
          <w:rFonts w:ascii="Calibri" w:eastAsia="Calibri" w:hAnsi="Calibri" w:cs="Calibri"/>
          <w:szCs w:val="20"/>
          <w:lang w:val="sr-Cyrl-RS"/>
        </w:rPr>
        <w:t>Ове симулације поред осталог показују могуће правце деловања фискалне политике у различитим сценаријима. Истовремено оне дају и потврду о томе да је основни сценарио дат овим фискалним оквиром операбилан и спроводљив и да испуњава своју сврху, а то је дугорочна одрживост фискалне позиције земље</w:t>
      </w:r>
      <w:r w:rsidRPr="0062711C">
        <w:rPr>
          <w:lang w:val="sr-Cyrl-RS"/>
        </w:rPr>
        <w:t>.</w:t>
      </w:r>
    </w:p>
    <w:p w14:paraId="2637387A" w14:textId="77777777" w:rsidR="00591CA5" w:rsidRPr="0062711C" w:rsidRDefault="00591CA5" w:rsidP="00D500A7">
      <w:pPr>
        <w:tabs>
          <w:tab w:val="left" w:pos="1590"/>
        </w:tabs>
        <w:rPr>
          <w:lang w:val="sr-Cyrl-RS"/>
        </w:rPr>
        <w:sectPr w:rsidR="00591CA5" w:rsidRPr="0062711C" w:rsidSect="00591CA5">
          <w:headerReference w:type="even" r:id="rId205"/>
          <w:headerReference w:type="default" r:id="rId206"/>
          <w:footerReference w:type="even" r:id="rId207"/>
          <w:footerReference w:type="default" r:id="rId208"/>
          <w:headerReference w:type="first" r:id="rId209"/>
          <w:type w:val="continuous"/>
          <w:pgSz w:w="12240" w:h="15840" w:code="1"/>
          <w:pgMar w:top="1440" w:right="1440" w:bottom="1440" w:left="1440" w:header="720" w:footer="720" w:gutter="0"/>
          <w:cols w:num="2" w:space="720"/>
          <w:docGrid w:linePitch="360"/>
          <w15:footnoteColumns w:val="1"/>
        </w:sectPr>
      </w:pPr>
    </w:p>
    <w:p w14:paraId="5E2EC16E" w14:textId="3032C188" w:rsidR="004C4C0F" w:rsidRPr="0062711C" w:rsidRDefault="004C4C0F" w:rsidP="00D500A7">
      <w:pPr>
        <w:tabs>
          <w:tab w:val="left" w:pos="1590"/>
        </w:tabs>
        <w:rPr>
          <w:lang w:val="sr-Cyrl-RS"/>
        </w:rPr>
      </w:pPr>
    </w:p>
    <w:p w14:paraId="33DA930A" w14:textId="275EFE40" w:rsidR="00276C75" w:rsidRPr="0062711C" w:rsidRDefault="00276C75" w:rsidP="00276C75">
      <w:pPr>
        <w:rPr>
          <w:rFonts w:eastAsiaTheme="majorEastAsia"/>
          <w:lang w:val="sr-Cyrl-RS"/>
        </w:rPr>
      </w:pPr>
      <w:r w:rsidRPr="0062711C">
        <w:rPr>
          <w:lang w:val="sr-Cyrl-RS"/>
        </w:rPr>
        <w:br w:type="page"/>
      </w:r>
    </w:p>
    <w:p w14:paraId="678784F3" w14:textId="36D8BD15" w:rsidR="00D96A25" w:rsidRPr="0062711C" w:rsidRDefault="00D96A25" w:rsidP="00D96A25">
      <w:pPr>
        <w:pStyle w:val="Heading1"/>
        <w:spacing w:before="0" w:after="240"/>
        <w:jc w:val="center"/>
        <w:rPr>
          <w:rFonts w:ascii="Calibri" w:eastAsia="Calibri" w:hAnsi="Calibri" w:cs="Calibri"/>
          <w:bCs/>
          <w:szCs w:val="72"/>
          <w:lang w:val="sr-Cyrl-RS"/>
        </w:rPr>
      </w:pPr>
      <w:bookmarkStart w:id="91" w:name="_Toc170722311"/>
      <w:r w:rsidRPr="0062711C">
        <w:rPr>
          <w:rFonts w:asciiTheme="minorHAnsi" w:hAnsiTheme="minorHAnsi" w:cstheme="minorHAnsi"/>
          <w:b/>
          <w:sz w:val="26"/>
          <w:szCs w:val="26"/>
          <w:lang w:val="sr-Cyrl-RS"/>
        </w:rPr>
        <w:lastRenderedPageBreak/>
        <w:t>III. СТРАТЕГИЈА УПРАВЉАЊА ЈАВНИМ ДУГОМ ОД 2025. ДО 2027. ГОДИНЕ</w:t>
      </w:r>
      <w:bookmarkEnd w:id="78"/>
      <w:bookmarkEnd w:id="79"/>
      <w:bookmarkEnd w:id="80"/>
      <w:bookmarkEnd w:id="91"/>
    </w:p>
    <w:p w14:paraId="184C3D7D" w14:textId="77777777" w:rsidR="00D96A25" w:rsidRPr="0062711C" w:rsidRDefault="00D96A25" w:rsidP="00C91F83">
      <w:pPr>
        <w:rPr>
          <w:rFonts w:ascii="Calibri" w:eastAsia="Calibri" w:hAnsi="Calibri" w:cs="Calibri"/>
          <w:bCs/>
          <w:szCs w:val="72"/>
          <w:lang w:val="sr-Cyrl-RS"/>
        </w:rPr>
        <w:sectPr w:rsidR="00D96A25" w:rsidRPr="0062711C" w:rsidSect="00F45C01">
          <w:type w:val="continuous"/>
          <w:pgSz w:w="12240" w:h="15840" w:code="1"/>
          <w:pgMar w:top="1440" w:right="1440" w:bottom="1440" w:left="1440" w:header="720" w:footer="720" w:gutter="0"/>
          <w:cols w:space="720"/>
          <w:docGrid w:linePitch="360"/>
          <w15:footnoteColumns w:val="1"/>
        </w:sectPr>
      </w:pPr>
    </w:p>
    <w:p w14:paraId="55044AD9" w14:textId="5619ED5C"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Према Закону о јавном дугу, као правном основу задуживања Републике Србије, јавни дуг чине све директне обавезе Републике по основу задуживања, као и гаранције издате од Републике за задуживање јавних предузећа и јединица локалне самоуправе, као и других правних лица. </w:t>
      </w:r>
      <w:r w:rsidRPr="0062711C">
        <w:rPr>
          <w:rFonts w:ascii="Calibri" w:eastAsia="Calibri" w:hAnsi="Calibri" w:cs="Calibri"/>
          <w:bCs/>
          <w:spacing w:val="-2"/>
          <w:szCs w:val="72"/>
          <w:lang w:val="sr-Cyrl-RS"/>
        </w:rPr>
        <w:t>Република се може задуживати у домаћој и страној валути, ради финансирања буџетског дефицита, дефицита текуће ликвидности, рефинансирања неизмиреног дуга, за финансирање инвестиционих пројеката, као и за извршавање обавеза по датим гаранцијама.</w:t>
      </w:r>
      <w:r w:rsidRPr="0062711C">
        <w:rPr>
          <w:rFonts w:ascii="Calibri" w:eastAsia="Calibri" w:hAnsi="Calibri" w:cs="Calibri"/>
          <w:bCs/>
          <w:szCs w:val="72"/>
          <w:lang w:val="sr-Cyrl-RS"/>
        </w:rPr>
        <w:t xml:space="preserve"> Одредбама Закона о јавном дугу назначено је да јавни дуг представља безусловну и неопозиву обавезу Републике Србије у односу на отплату главнице, камате и осталих припадајућих трошкова.</w:t>
      </w:r>
    </w:p>
    <w:p w14:paraId="20B8483E" w14:textId="35146883"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За формулисање Стратегије за управљање јавним дугом коришћен је квантитативни приступ, идентификују</w:t>
      </w:r>
      <w:r w:rsidR="002F175A" w:rsidRPr="0062711C">
        <w:rPr>
          <w:rFonts w:ascii="Calibri" w:eastAsia="Calibri" w:hAnsi="Calibri" w:cs="Calibri"/>
          <w:bCs/>
          <w:szCs w:val="72"/>
          <w:lang w:val="sr-Cyrl-RS"/>
        </w:rPr>
        <w:t>ћи могућа ограничења кроз макро</w:t>
      </w:r>
      <w:r w:rsidRPr="0062711C">
        <w:rPr>
          <w:rFonts w:ascii="Calibri" w:eastAsia="Calibri" w:hAnsi="Calibri" w:cs="Calibri"/>
          <w:bCs/>
          <w:szCs w:val="72"/>
          <w:lang w:val="sr-Cyrl-RS"/>
        </w:rPr>
        <w:t>економске показатеље, анализу трошкова и ризика и тржишних услова који утичу на управљање јавним дугом. У сврху анализе коришћени су инструменти финансирања доступни на домаћем и међународном финансијском тржишту. Стратегија управљања јавним дугом заснива се на принципима који дефинишу потребу за транспарентним и предвидивим процесом задуживања, уз перманентан развој тржишта државних хартија од вредности и прихватљив ниво изложености финансијским ризицима.</w:t>
      </w:r>
    </w:p>
    <w:p w14:paraId="58B82B18" w14:textId="75498610"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Ситуација на међународном и домаћем финансијском тржишту, успешна примена мера фискалне консолидације уз добру координацију фискалне и монетарне политике довела је до значајног пада трошкова задуживања на динарским и евро деноминованим хартијама од вредности у периоду од 2012. до 2021. године и смањивања ризико премије за српске државне хартије од вредности. Међутим, почетком 2022. године долази до значајног раста каматних стопа изазваног екстерним утицајем, који је настављен и у 2023. и 2024. години.</w:t>
      </w:r>
    </w:p>
    <w:p w14:paraId="2C5A16E1"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Фискална стратегија предвиђа смањење јавног дуга сектора државе до краја 2027. године на ниво </w:t>
      </w:r>
      <w:r w:rsidRPr="0062711C">
        <w:rPr>
          <w:rFonts w:ascii="Calibri" w:eastAsia="Calibri" w:hAnsi="Calibri" w:cs="Calibri"/>
          <w:bCs/>
          <w:szCs w:val="72"/>
          <w:lang w:val="sr-Cyrl-RS"/>
        </w:rPr>
        <w:t>од 50,5% БДП, при чему се у складу са смерницама управљања јавним дугом дефинисаним од стране Светске банке и ММФ, у оквиру Стратегије управљања јавним дугом врши стрес-сценарио анализа утицаја промене девизног курса домаће валуте у односу на валуте у којима је деноминован јавни дуг Републике Србије.</w:t>
      </w:r>
    </w:p>
    <w:p w14:paraId="172C8371"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У последњих десет година учињен је значајан напредак у погледу повећања просечне рочности динарских државних хартија од вредности и смањења трошкова финансирања по основу овог вида задуживања, чиме је смањена изложеност ризику рефинансирања. Битно је напоменути да је у наведеном периоду просечна пондерисана купонска стопа на динарске државне хартије од вредности смањена са 13,68%, колико је износила на крају 2012. године, на 5,10% на крају марта 2024. године.</w:t>
      </w:r>
    </w:p>
    <w:p w14:paraId="21BB4764"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Стратегијом управљања јавним дугом се дефинишу основне мере за даљи наставак развоја динарског тржишта државних хартија од вредности. Развојем овог тржишта очекује се да ће доћи до даљег раста унутрашњег дуга и повећања његовог учешћа у укупном дугу, као и смањења изложености јавног дуга према девизном ризику, што ће позитивно утицати на повећање кредитног рејтинга Републике Србије.</w:t>
      </w:r>
    </w:p>
    <w:p w14:paraId="28AE89CB" w14:textId="22AB343E"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Након успешно спроведених мера фискалне консолидације у 2016. години је преокренута растућа путања кретања јавног дуга и учешће јавног дуга у БДП, те долази до пада учешћа са 70,0% БДП колико је износило на централном нивоу власти на крају 2015. године на 67,7% на крају 2016. године. Током 2017. године дошло је до још значајнијег пада на 57,8% БДП. Тренд је настављен и током 2018. године када удео јавног дуга у БДП пада на 53,6%, као</w:t>
      </w:r>
      <w:r w:rsidR="00E30F96" w:rsidRPr="0062711C">
        <w:rPr>
          <w:rFonts w:ascii="Calibri" w:eastAsia="Calibri" w:hAnsi="Calibri" w:cs="Calibri"/>
          <w:bCs/>
          <w:szCs w:val="72"/>
          <w:lang w:val="sr-Cyrl-RS"/>
        </w:rPr>
        <w:t xml:space="preserve"> и</w:t>
      </w:r>
      <w:r w:rsidRPr="0062711C">
        <w:rPr>
          <w:rFonts w:ascii="Calibri" w:eastAsia="Calibri" w:hAnsi="Calibri" w:cs="Calibri"/>
          <w:bCs/>
          <w:szCs w:val="72"/>
          <w:lang w:val="sr-Cyrl-RS"/>
        </w:rPr>
        <w:t xml:space="preserve"> </w:t>
      </w:r>
      <w:r w:rsidR="00E30F96" w:rsidRPr="0062711C">
        <w:rPr>
          <w:rFonts w:ascii="Calibri" w:eastAsia="Calibri" w:hAnsi="Calibri" w:cs="Calibri"/>
          <w:bCs/>
          <w:szCs w:val="72"/>
          <w:lang w:val="sr-Cyrl-RS"/>
        </w:rPr>
        <w:t>током</w:t>
      </w:r>
      <w:r w:rsidRPr="0062711C">
        <w:rPr>
          <w:rFonts w:ascii="Calibri" w:eastAsia="Calibri" w:hAnsi="Calibri" w:cs="Calibri"/>
          <w:bCs/>
          <w:szCs w:val="72"/>
          <w:lang w:val="sr-Cyrl-RS"/>
        </w:rPr>
        <w:t xml:space="preserve"> 2019. године када је учешће јавног дуга у БДП смањено на ниво од 51,9% БДП. Како би се смањио утицај кризе изазване пандемијом вируса COVID-19, јавила се потреба за финансирањем мера подршке привреди и грађанима, што је резултирало растом учешћа дуга у БДП на 57,0% на крају 2020. године. Током 2021. године долази до благог пада наведеног показатеља, тако да је учешће јавног </w:t>
      </w:r>
      <w:r w:rsidRPr="0062711C">
        <w:rPr>
          <w:rFonts w:ascii="Calibri" w:eastAsia="Calibri" w:hAnsi="Calibri" w:cs="Calibri"/>
          <w:bCs/>
          <w:szCs w:val="72"/>
          <w:lang w:val="sr-Cyrl-RS"/>
        </w:rPr>
        <w:lastRenderedPageBreak/>
        <w:t>дуга у БДП на крају 2021. године износило 56,5%. Позитивни тренд је настављен и у наредним годинама, тако да је на крају 2022.</w:t>
      </w:r>
      <w:r w:rsidR="00B454EA" w:rsidRPr="0062711C">
        <w:rPr>
          <w:rFonts w:ascii="Calibri" w:eastAsia="Calibri" w:hAnsi="Calibri" w:cs="Calibri"/>
          <w:bCs/>
          <w:szCs w:val="72"/>
          <w:lang w:val="sr-Cyrl-RS"/>
        </w:rPr>
        <w:t xml:space="preserve"> године</w:t>
      </w:r>
      <w:r w:rsidRPr="0062711C">
        <w:rPr>
          <w:rFonts w:ascii="Calibri" w:eastAsia="Calibri" w:hAnsi="Calibri" w:cs="Calibri"/>
          <w:bCs/>
          <w:szCs w:val="72"/>
          <w:lang w:val="sr-Cyrl-RS"/>
        </w:rPr>
        <w:t xml:space="preserve"> учешће износило 55,1%, а на крају 2023. године 52,0%. На крају марта 2024. године учешће јавног дуга у БДП је износило 47,7%.</w:t>
      </w:r>
    </w:p>
    <w:p w14:paraId="4AE8E8A4" w14:textId="250F6BB4"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Услед појачане контроле издавања гаранција у последњих десет година гарантовани јавни дуг је значајно смањен и бележи пад са 2,8 милијарде EUR колико је износио на крају 2013. године на 1,8 милијарди EUR на крају марта 2024. године, док је његово учешће у БДП у истом периоду пало са 7,9% на само 2,4%.</w:t>
      </w:r>
    </w:p>
    <w:p w14:paraId="6431C8BF" w14:textId="74F3AB31"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Позитивни фискални резултати које остварује Република Србија потврђени су и преко кретања кредитног рејтинга Србије последњих неколико година. Рејтинг агенције Fitch Ratings и Standard and Poor’s у 2019. години повећале су рејтинг Србије на ББ+ са ББ. Рејтинг агенција Moody’s је у марту 2021. године повећала кредитни рејтинг Републике Србије на Ба2 са Ба3 као резултат веома успешног одговора на кризу изазвану пандемијом вируса COVID-19 и очувања макроекономске стабилности током јако тешке и изазовне 2020. године. Рејтинг агенција Standard and Poor’s је у извештају који је објављен 5. априла 2024. године потврдила оцену кредитног рејтинга Републике Србије на нивоу ББ+ и поправила изгледе за његово даље повећање на позитивне са стабилних. Fitch Ratings је у најновијем извештају од 9. фебруара 2024. године потврдио кредитни рејтинг Републике Србије на нивоу ББ+, уз стабилне изгледе за његово даље повећање, а рејтинг агенција Moody’s је у последњем извештају 8. септембра 2023. године потврдила кредитни рејтинг Републике Србије на нивоу Ба2 и задржала стабилне изгледе за његово даље повећање.</w:t>
      </w:r>
    </w:p>
    <w:p w14:paraId="64EF3A2D"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Република Србија је током 2020. године у два наврата емитовала еврообвезнице како би финансирала пакет мера помоћи привреди и грађанима у циљу минимизирања утицаја кризе изазване пандемијом вируса COVID-19 и превремено отплатиле раније емитоване скупе еврообвезнице. Прва емисија еврообвезница је била 15. маја 2020. године, у еврима, у најделикатнијем тренутку у првом таласу </w:t>
      </w:r>
      <w:r w:rsidRPr="0062711C">
        <w:rPr>
          <w:rFonts w:ascii="Calibri" w:eastAsia="Calibri" w:hAnsi="Calibri" w:cs="Calibri"/>
          <w:bCs/>
          <w:szCs w:val="72"/>
          <w:lang w:val="sr-Cyrl-RS"/>
        </w:rPr>
        <w:t>пандемије, у укупном износу од 2,0 милијарде EUR. Купонска стопа је износила 3,125%, доспева 2027. године и листирана је на Лондонској берзи, једном од највећих и најрепрезентативнијих тржишта на свету. Друга емисија еврообвезница је била 1. децембра 2020. године, у укупном износу од 1,2 милијарде америчких долара са доспећем 2030. године. Купонска стопа је износила 2,125%, а финална каматна стопа у еврима, након реализације хеџинг трансакције 1,066%. Повратак на доларско тржиште хартија и нова емисија деноминована у доларима, омогућиле су Србији да остане присутна у индексу обвезница тржишта у развоју – EMBI Index, чиме је осигурана њена видљивост на америчком тржишту капитала, као и на широј међународној инвестиционој мапи. Средствима емисије еврообвезница из децембра 2020. године извршeна je превремена отплата 900 милиона долара еврообвезница емитованих 2011. године, од укупно 1,6 милијарде долара колико је доспевало у септембру 2021. године. Превремено су откупљене обвезнице које су биле емитоване по купонској стопи од чак 7,25%.</w:t>
      </w:r>
    </w:p>
    <w:p w14:paraId="4897B4AD" w14:textId="77777777" w:rsidR="00D96A25" w:rsidRPr="0062711C" w:rsidRDefault="00D96A25" w:rsidP="00C91F83">
      <w:pPr>
        <w:rPr>
          <w:lang w:val="sr-Cyrl-RS"/>
        </w:rPr>
      </w:pPr>
      <w:r w:rsidRPr="0062711C">
        <w:rPr>
          <w:rFonts w:ascii="Calibri" w:eastAsia="Calibri" w:hAnsi="Calibri" w:cs="Calibri"/>
          <w:bCs/>
          <w:spacing w:val="-2"/>
          <w:szCs w:val="72"/>
          <w:lang w:val="sr-Cyrl-RS"/>
        </w:rPr>
        <w:t xml:space="preserve">Како би снизила трошкове финансирања и продужила рочност дуга Република Србија је 3. марта 2021. године успешно искористила још увек повољне услове на међународном финансијском тржишту и по први пут емитовала дванаестогодишње еврообвезнице деноминоване у еврима у износу од једне милијарде евра </w:t>
      </w:r>
      <w:r w:rsidRPr="0062711C">
        <w:rPr>
          <w:rFonts w:ascii="Calibri" w:eastAsia="Calibri" w:hAnsi="Calibri" w:cs="Times New Roman"/>
          <w:spacing w:val="-2"/>
          <w:lang w:val="sr-Cyrl-RS"/>
        </w:rPr>
        <w:t xml:space="preserve">по купонској стопи од 1,65%. Република </w:t>
      </w:r>
      <w:r w:rsidRPr="0062711C">
        <w:rPr>
          <w:rFonts w:ascii="Calibri" w:hAnsi="Calibri"/>
          <w:spacing w:val="-2"/>
          <w:lang w:val="sr-Cyrl-RS"/>
        </w:rPr>
        <w:t xml:space="preserve">Србија је </w:t>
      </w:r>
      <w:r w:rsidRPr="0062711C">
        <w:rPr>
          <w:rFonts w:ascii="Calibri" w:eastAsia="Calibri" w:hAnsi="Calibri" w:cs="Times New Roman"/>
          <w:spacing w:val="-2"/>
          <w:lang w:val="sr-Cyrl-RS"/>
        </w:rPr>
        <w:t xml:space="preserve">23. септембра 2021. године </w:t>
      </w:r>
      <w:r w:rsidRPr="0062711C">
        <w:rPr>
          <w:rFonts w:ascii="Calibri" w:hAnsi="Calibri"/>
          <w:spacing w:val="-2"/>
          <w:lang w:val="sr-Cyrl-RS"/>
        </w:rPr>
        <w:t>поново померила границе у избору финансирања својих инвестиција изласком на међународно тржиште зелених обвезница. Зелена</w:t>
      </w:r>
      <w:r w:rsidRPr="0062711C">
        <w:rPr>
          <w:lang w:val="sr-Cyrl-RS"/>
        </w:rPr>
        <w:t xml:space="preserve"> еврообвезница емитована је у износу од 1,0 милијарде евра са роком доспећа од седам година и купонском стопом од 1,00%, најнижом до сада постигнутом на међународном тржишту. Република Србија се сврстала у ред ретких европских земаља које су на међународном финансијском тржишту емитовале зелене еврообвезнице намењене искључиво за финансирање еколошки прихватљивих пројеката. Истовремено, са емисијом зелене еврообвезнице, емитована је и петнаестогодишња еврообвезница најдуже рочности до сада у износу од 750 милиона евра, са годишњом купонском стопом од 2,05%, </w:t>
      </w:r>
      <w:r w:rsidRPr="0062711C">
        <w:rPr>
          <w:lang w:val="sr-Cyrl-RS"/>
        </w:rPr>
        <w:lastRenderedPageBreak/>
        <w:t>чијом емисијом је додатно повећана рочност јавног дуга.</w:t>
      </w:r>
    </w:p>
    <w:p w14:paraId="7EFB3300" w14:textId="77777777" w:rsidR="00D96A25" w:rsidRPr="0062711C" w:rsidRDefault="00D96A25" w:rsidP="00C91F83">
      <w:pPr>
        <w:rPr>
          <w:lang w:val="sr-Cyrl-RS"/>
        </w:rPr>
      </w:pPr>
      <w:r w:rsidRPr="0062711C">
        <w:rPr>
          <w:lang w:val="sr-Cyrl-RS"/>
        </w:rPr>
        <w:t>У јануару 2023. године су издате еврообвезнице рочности пет и десет година у укупном износу од 1,75 милијарди долара (750 милиона долара на пет година и 1 милијарда долара на десет година). Еврообвезница рочности пет година емитована је уз купонску стопу од 6,25%, док је еврообвезница рочности десет година емитована уз купонску стопу од 6,50%. У циљу ефикасног управљања јавним дугом истовремено су закључене и хеџинг трансакције, тј. обавезе по основу емисије доларских еврообвезница одмах су конвертоване у обавезе у еврима.</w:t>
      </w:r>
    </w:p>
    <w:p w14:paraId="05E08542" w14:textId="47312294"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Водећи се најбољом међународном праксом активног управљања јавним дугом, Република Србија је у децембру 2020. године по први пут реализовала хеџинг трансакцију, тј. коришћење финансијских деривата у сврху заштите од девизног и каматног ризика, у складу са међународним ISDA стандардима (</w:t>
      </w:r>
      <w:r w:rsidRPr="0062711C">
        <w:rPr>
          <w:rFonts w:ascii="Calibri" w:eastAsia="Calibri" w:hAnsi="Calibri" w:cs="Calibri"/>
          <w:bCs/>
          <w:i/>
          <w:szCs w:val="72"/>
          <w:lang w:val="sr-Cyrl-RS"/>
        </w:rPr>
        <w:t>International Swaps and Derivatives Association</w:t>
      </w:r>
      <w:r w:rsidRPr="0062711C">
        <w:rPr>
          <w:rFonts w:ascii="Calibri" w:eastAsia="Calibri" w:hAnsi="Calibri" w:cs="Calibri"/>
          <w:bCs/>
          <w:szCs w:val="72"/>
          <w:lang w:val="sr-Cyrl-RS"/>
        </w:rPr>
        <w:t xml:space="preserve">), односно унакрсна валутна своп трансакција којом су обавезе по основу емитоване обвезнице конвертоване из америчких долара у евре по значајно нижој финалној каматној стопи. Своје обавезе по основу емисије деноминоване у доларима, у износу од 1,2 милијарди USD, Република Србија ће исплаћивати у еврима по купонској стопи од 1,066% на номиналну вредност емисије након конверзије од 1,016 милијарди евра. Искоришћен је повољан однос курса евра и америчког долара у датом тренутку, као и дивергенције између доларских и </w:t>
      </w:r>
      <w:r w:rsidR="00F23200" w:rsidRPr="0062711C">
        <w:rPr>
          <w:rFonts w:ascii="Calibri" w:eastAsia="Calibri" w:hAnsi="Calibri" w:cs="Calibri"/>
          <w:bCs/>
          <w:szCs w:val="72"/>
          <w:lang w:val="sr-Cyrl-RS"/>
        </w:rPr>
        <w:t xml:space="preserve">еварских </w:t>
      </w:r>
      <w:r w:rsidRPr="0062711C">
        <w:rPr>
          <w:rFonts w:ascii="Calibri" w:eastAsia="Calibri" w:hAnsi="Calibri" w:cs="Calibri"/>
          <w:bCs/>
          <w:szCs w:val="72"/>
          <w:lang w:val="sr-Cyrl-RS"/>
        </w:rPr>
        <w:t xml:space="preserve">каматних стопа на међународном тржишту капитала и постигнута је најповољнија цена задуживања, уз оптимизацију валутне структуре јавног дуга, а све у циљу заштите од ризика промене девизног курса. Током јануара 2021. године реализована је друга своп трансакција, којом је обавеза по основу Споразума о репрограму дуга између Републике Србије и Kuwait Investment Authority конвертована из америчких долара у евре, по значајно нижој каматној стопи. Обавезе по основу наведеног репрограмираног зајма, уговорене у доларима по каматној стопи од 1,5%, Република Србија ће исплаћивати у еврима по каматној стопи од </w:t>
      </w:r>
      <w:r w:rsidRPr="0062711C">
        <w:rPr>
          <w:rFonts w:ascii="Calibri" w:eastAsia="Calibri" w:hAnsi="Calibri" w:cs="Calibri"/>
          <w:bCs/>
          <w:szCs w:val="72"/>
          <w:lang w:val="sr-Cyrl-RS"/>
        </w:rPr>
        <w:t xml:space="preserve">0,393%. У марту 2021. године је закључена нова своп трансакција којом је кредит код Export - Import Bank of China за пројекат изградње обилазнице око Београда на аутопуту Е70/Е75, који је 2018. године иницијално уговорен у кинеским јуанима конвертован у евре са негативном каматном стопом. Наведени зајам, на који је плаћана фиксна каматна стопа од 2,50% годишње у кинеским јуанима, конвертован је у евре по фиксној негативној каматној стопи од </w:t>
      </w:r>
      <w:r w:rsidRPr="0062711C">
        <w:rPr>
          <w:rFonts w:ascii="Calibri" w:eastAsia="Calibri" w:hAnsi="Calibri" w:cs="Calibri"/>
          <w:bCs/>
          <w:szCs w:val="72"/>
          <w:lang w:val="sr-Cyrl-RS"/>
        </w:rPr>
        <w:br w:type="textWrapping" w:clear="all"/>
        <w:t xml:space="preserve">-0,07%. Како је уговорена негативна каматна стопа, Република Србија неће имати никакве трошкове по основу камата у првих пет година своп аранжмана, који важи до 2030. године, већ ће остваривати додатна примања од банака са којима је трансакција закључена. </w:t>
      </w:r>
      <w:r w:rsidR="00071191" w:rsidRPr="0062711C">
        <w:rPr>
          <w:rFonts w:ascii="Calibri" w:eastAsia="Calibri" w:hAnsi="Calibri" w:cs="Calibri"/>
          <w:bCs/>
          <w:szCs w:val="72"/>
          <w:lang w:val="sr-Cyrl-RS"/>
        </w:rPr>
        <w:t>24. новембра 2021. године</w:t>
      </w:r>
      <w:r w:rsidR="00071191" w:rsidRPr="0062711C">
        <w:rPr>
          <w:lang w:val="sr-Cyrl-RS"/>
        </w:rPr>
        <w:t xml:space="preserve"> реализована је</w:t>
      </w:r>
      <w:r w:rsidRPr="0062711C">
        <w:rPr>
          <w:rFonts w:ascii="Calibri" w:eastAsia="Calibri" w:hAnsi="Calibri" w:cs="Calibri"/>
          <w:bCs/>
          <w:szCs w:val="72"/>
          <w:lang w:val="sr-Cyrl-RS"/>
        </w:rPr>
        <w:t xml:space="preserve"> </w:t>
      </w:r>
      <w:r w:rsidRPr="0062711C">
        <w:rPr>
          <w:lang w:val="sr-Cyrl-RS"/>
        </w:rPr>
        <w:t>још једна, четврта по реду, своп трансакција којом су обавезе по основу зајма узетог од Фонда за развој Абу Дабија, 2016. године, иницијално уговорене у дирхамима, са плаћањем у америчким доларима, конвертоване у евре. Дуг и обавезе по основу наведеног зајма на који је плаћана фиксна каматна стопа од 2,25% годишње, замењени су у евре по годишњој каматној стопи од 0,96%. У 2023. години су одмах након емитовања еврообвезница закључене хеџинг трансакције, тј. обавезе по основу емисије доларских еврообвезница су конвертоване у обавезе у еврима, тако да након извршеног cross currency swap-а, варијабилна каматна стопа за петогодишњу обвезницу износи шестомесечни еuribor + 2,908%, а за десетогодишњу обвезницу шестомесечни еuribor + 3,073%.</w:t>
      </w:r>
    </w:p>
    <w:p w14:paraId="1164EB01" w14:textId="071B7E1D"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Током 2020. године настављено је са емитовањем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обвезница на домаћем тржишту. Емитоване су обвезнице рочности 5,5 и 12,5 година у RSD номиналнe вредности од по 100 милијарди динара, чији обими су повећани на по 150 милијарди </w:t>
      </w:r>
      <w:r w:rsidR="00071191" w:rsidRPr="0062711C">
        <w:rPr>
          <w:rFonts w:ascii="Calibri" w:eastAsia="Calibri" w:hAnsi="Calibri" w:cs="Calibri"/>
          <w:bCs/>
          <w:szCs w:val="72"/>
          <w:lang w:val="sr-Cyrl-RS"/>
        </w:rPr>
        <w:t xml:space="preserve">динара </w:t>
      </w:r>
      <w:r w:rsidRPr="0062711C">
        <w:rPr>
          <w:rFonts w:ascii="Calibri" w:eastAsia="Calibri" w:hAnsi="Calibri" w:cs="Calibri"/>
          <w:bCs/>
          <w:szCs w:val="72"/>
          <w:lang w:val="sr-Cyrl-RS"/>
        </w:rPr>
        <w:t xml:space="preserve">током 2021. године. 30. јуна 2021. године динарске бенчмарк обвезнице Републике Србије рочности 7, 10 и 12,5 година укључене су у J.P. Morgan GBI-EM Index. Укључивањем у наведени индекс начињен је значајан напредак у јачању ликвидности секундарног тржишта државних обвезница и обезбеђен долазак нових међународних инвестиционих фондова, што ће резултирати већом конкуренцијом и даљим падом трошкова </w:t>
      </w:r>
      <w:r w:rsidRPr="0062711C">
        <w:rPr>
          <w:rFonts w:ascii="Calibri" w:eastAsia="Calibri" w:hAnsi="Calibri" w:cs="Calibri"/>
          <w:bCs/>
          <w:szCs w:val="72"/>
          <w:lang w:val="sr-Cyrl-RS"/>
        </w:rPr>
        <w:lastRenderedPageBreak/>
        <w:t>задуживања.</w:t>
      </w:r>
      <w:r w:rsidRPr="0062711C">
        <w:rPr>
          <w:lang w:val="sr-Cyrl-RS"/>
        </w:rPr>
        <w:t xml:space="preserve"> </w:t>
      </w:r>
      <w:r w:rsidRPr="0062711C">
        <w:rPr>
          <w:rFonts w:ascii="Calibri" w:eastAsia="Calibri" w:hAnsi="Calibri" w:cs="Calibri"/>
          <w:bCs/>
          <w:szCs w:val="72"/>
          <w:lang w:val="sr-Cyrl-RS"/>
        </w:rPr>
        <w:t>У марту 2024. године, у J.P. Morgan GBI-EM Index укључена је и бенчмарк обвезница Републике Србије рочности 8 година номиналне вредности 150 милијарди динара емитована 2023. године. У октобру 2021. године, Clearstream, међународни централни регистар хартија од вредности, који обавља послове клиринга и салдирања (ICSD), отворио је рачун хартија од вредности у домаћем регистру и путем посредника – овлашћеног учесника на локалном тржишту,</w:t>
      </w:r>
      <w:r w:rsidRPr="0062711C">
        <w:rPr>
          <w:lang w:val="sr-Cyrl-RS"/>
        </w:rPr>
        <w:t xml:space="preserve"> </w:t>
      </w:r>
      <w:r w:rsidRPr="0062711C">
        <w:rPr>
          <w:rFonts w:ascii="Calibri" w:eastAsia="Calibri" w:hAnsi="Calibri" w:cs="Calibri"/>
          <w:bCs/>
          <w:szCs w:val="72"/>
          <w:lang w:val="sr-Cyrl-RS"/>
        </w:rPr>
        <w:t>омогућио страним инвеститорима салдирање српских обвезница у динарима.</w:t>
      </w:r>
    </w:p>
    <w:p w14:paraId="6798376A" w14:textId="2C0023CD"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Валутни ризик је смањен током претходних година, иако је током последње три године дошло до извесног погоршања овог показатеља услед специфичних околности на тржишту, те неопходности интензивнијег коришћења међународног финансијског тржишта, како би се минимизирали трошкови задуживања. Удео јавног дуга у домаћој валути у укупном јавном дугу централног нивоа власти је на крају 2008. године износио само 2,6%, а до краја 2020. године је порастао на 30,5%, али је након тога услед задуживања у већој мери на иностраном тржишту због повољнијих услова, дошло до пада учешћа на 21,7% на крају 2023. године, да би дошло до извесног побољшања током 2024. године, те је на крају марта учешће износило 22,4%. Расту динарског дуга претходних година су пре свега допринеле емисије динарских државних хартија од вредности на домаћем тржишту хартија од вредности. Током 2019. и 2020. године је извршен превремени откуп скупих еврообвезница </w:t>
      </w:r>
      <w:r w:rsidRPr="0062711C">
        <w:rPr>
          <w:rFonts w:ascii="Calibri" w:eastAsia="Calibri" w:hAnsi="Calibri" w:cs="Calibri"/>
          <w:bCs/>
          <w:szCs w:val="72"/>
          <w:lang w:val="sr-Cyrl-RS"/>
        </w:rPr>
        <w:t>емитованих у 2011. и 2013. години у америчким доларима, а током фебруара 2020. године редовна отплата доларске обвезнице емитоване у 2013. години. У децембру 2020. године је закључена и прва хеџинг трансакција којом је емитована еврообвезница у америчким доларима, одмах конвертована у евре. У јануару 2021. године је закључена још једна хеџинг трансакција којом су обавезе у америчким доларима конвертоване у евре. У јануару 2023. године су закључене нове хеџинг трансакције којим су емитоване еврообвезнице у америчким доларима, одмах конвертован</w:t>
      </w:r>
      <w:r w:rsidR="00643705" w:rsidRPr="0062711C">
        <w:rPr>
          <w:rFonts w:ascii="Calibri" w:eastAsia="Calibri" w:hAnsi="Calibri" w:cs="Calibri"/>
          <w:bCs/>
          <w:szCs w:val="72"/>
          <w:lang w:val="sr-Cyrl-RS"/>
        </w:rPr>
        <w:t>е</w:t>
      </w:r>
      <w:r w:rsidRPr="0062711C">
        <w:rPr>
          <w:rFonts w:ascii="Calibri" w:eastAsia="Calibri" w:hAnsi="Calibri" w:cs="Calibri"/>
          <w:bCs/>
          <w:szCs w:val="72"/>
          <w:lang w:val="sr-Cyrl-RS"/>
        </w:rPr>
        <w:t xml:space="preserve"> у евре. Захваљујући свим овим трансакцијама, дошло је до пада његовог учешћа у укупном јавном дугу са 33,9% колико је износило на крају 2016. године на 13,6% на крају марта 2024. године.</w:t>
      </w:r>
    </w:p>
    <w:p w14:paraId="5592C43C"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Трошкови задуживања су такође значајно снижени током претходних година. Учешће трошкова камата у БДП је пало са 2,9% (централни ниво власти) колико је износило 2015. године на 1,8% у 2023. години.</w:t>
      </w:r>
    </w:p>
    <w:p w14:paraId="7A7F0CC2" w14:textId="77777777" w:rsidR="00D96A25" w:rsidRPr="0062711C" w:rsidRDefault="00D96A25" w:rsidP="00B51BEB">
      <w:pPr>
        <w:spacing w:after="240"/>
        <w:rPr>
          <w:rFonts w:ascii="Calibri" w:eastAsia="Calibri" w:hAnsi="Calibri" w:cs="Calibri"/>
          <w:bCs/>
          <w:szCs w:val="72"/>
          <w:lang w:val="sr-Cyrl-RS"/>
        </w:rPr>
      </w:pPr>
      <w:r w:rsidRPr="0062711C">
        <w:rPr>
          <w:rFonts w:ascii="Calibri" w:eastAsia="Calibri" w:hAnsi="Calibri" w:cs="Calibri"/>
          <w:bCs/>
          <w:szCs w:val="72"/>
          <w:lang w:val="sr-Cyrl-RS"/>
        </w:rPr>
        <w:t>На крају марта 2024. године укупно стање јавног дуга сектора државе износило је 4.286,2 млрд динара, односно 48,0% БДП. Од тога се на директне обавезе односило 4.045,2 млрд динара, на индиректне обавезе 212,0 млрд динара, док се 28,0 млрд динара односи на негарантовани дуг јединица локалне самоуправе и 1,0 млрд динара на негарантовани дуг ЈП „Путеви Србије” и предузећа „Коридори Србије” д.о.о.</w:t>
      </w:r>
    </w:p>
    <w:p w14:paraId="77195BF2" w14:textId="77777777" w:rsidR="00D96A25" w:rsidRPr="0062711C" w:rsidRDefault="00D96A25" w:rsidP="00B51BEB">
      <w:pPr>
        <w:rPr>
          <w:lang w:val="sr-Cyrl-RS"/>
        </w:rPr>
        <w:sectPr w:rsidR="00D96A25" w:rsidRPr="0062711C" w:rsidSect="00F45C01">
          <w:type w:val="continuous"/>
          <w:pgSz w:w="12240" w:h="15840"/>
          <w:pgMar w:top="1440" w:right="1440" w:bottom="1440" w:left="1440" w:header="720" w:footer="720" w:gutter="0"/>
          <w:cols w:num="2" w:space="720"/>
          <w15:footnoteColumns w:val="1"/>
        </w:sectPr>
      </w:pPr>
    </w:p>
    <w:p w14:paraId="22E93B4B" w14:textId="77777777" w:rsidR="00D96A25" w:rsidRPr="0062711C" w:rsidRDefault="00D96A25" w:rsidP="00B51BEB">
      <w:pPr>
        <w:rPr>
          <w:lang w:val="sr-Cyrl-RS"/>
        </w:rPr>
      </w:pPr>
    </w:p>
    <w:p w14:paraId="689460C5" w14:textId="77777777" w:rsidR="00D96A25" w:rsidRPr="0062711C" w:rsidRDefault="00D96A25" w:rsidP="00C91F83">
      <w:pPr>
        <w:spacing w:after="0" w:line="257"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Учешће јавног дуга сектора државе у БДП,%</w:t>
      </w:r>
    </w:p>
    <w:p w14:paraId="1F514C12" w14:textId="77777777" w:rsidR="00D96A25" w:rsidRPr="0062711C" w:rsidRDefault="00D96A25" w:rsidP="00C91F83">
      <w:pPr>
        <w:spacing w:line="256" w:lineRule="auto"/>
        <w:jc w:val="center"/>
        <w:rPr>
          <w:lang w:val="sr-Cyrl-RS"/>
        </w:rPr>
      </w:pPr>
      <w:r w:rsidRPr="0062711C">
        <w:rPr>
          <w:rFonts w:ascii="Calibri" w:eastAsia="Calibri" w:hAnsi="Calibri" w:cs="Times New Roman"/>
          <w:noProof/>
          <w:lang w:val="en-GB" w:eastAsia="en-GB"/>
        </w:rPr>
        <w:drawing>
          <wp:inline distT="0" distB="0" distL="0" distR="0" wp14:anchorId="147084C7" wp14:editId="3BA28BFA">
            <wp:extent cx="4472305" cy="1822862"/>
            <wp:effectExtent l="0" t="0" r="4445" b="6350"/>
            <wp:docPr id="70"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0"/>
              </a:graphicData>
            </a:graphic>
          </wp:inline>
        </w:drawing>
      </w:r>
    </w:p>
    <w:p w14:paraId="0CE0149A" w14:textId="77777777" w:rsidR="00D96A25" w:rsidRPr="0062711C" w:rsidRDefault="00D96A25" w:rsidP="00D96A25">
      <w:pPr>
        <w:rPr>
          <w:lang w:val="sr-Cyrl-RS"/>
        </w:rPr>
      </w:pPr>
      <w:r w:rsidRPr="0062711C">
        <w:rPr>
          <w:lang w:val="sr-Cyrl-RS"/>
        </w:rPr>
        <w:br w:type="page"/>
      </w:r>
    </w:p>
    <w:p w14:paraId="0B83050E" w14:textId="3F8871C2" w:rsidR="00D96A25" w:rsidRPr="0062711C" w:rsidRDefault="00D96A25" w:rsidP="00C91F83">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lastRenderedPageBreak/>
        <w:t>Табела 2</w:t>
      </w:r>
      <w:r w:rsidR="00BB1E84">
        <w:rPr>
          <w:rFonts w:ascii="Calibri" w:eastAsia="Calibri" w:hAnsi="Calibri" w:cs="Times New Roman"/>
          <w:b/>
          <w:color w:val="002060"/>
        </w:rPr>
        <w:t>9</w:t>
      </w:r>
      <w:r w:rsidRPr="0062711C">
        <w:rPr>
          <w:rFonts w:ascii="Calibri" w:eastAsia="Calibri" w:hAnsi="Calibri" w:cs="Times New Roman"/>
          <w:b/>
          <w:color w:val="002060"/>
          <w:lang w:val="sr-Cyrl-RS"/>
        </w:rPr>
        <w:t xml:space="preserve">. </w:t>
      </w:r>
      <w:r w:rsidRPr="0062711C">
        <w:rPr>
          <w:rFonts w:ascii="Calibri" w:eastAsia="Calibri" w:hAnsi="Calibri" w:cs="Times New Roman"/>
          <w:b/>
          <w:bCs/>
          <w:color w:val="002060"/>
          <w:lang w:val="sr-Cyrl-RS"/>
        </w:rPr>
        <w:t xml:space="preserve">Јавни дуг сектора државе Републике Србије у периоду </w:t>
      </w:r>
      <w:r w:rsidRPr="0062711C">
        <w:rPr>
          <w:rFonts w:ascii="Calibri" w:eastAsia="Calibri" w:hAnsi="Calibri" w:cs="Times New Roman"/>
          <w:b/>
          <w:bCs/>
          <w:color w:val="002060"/>
          <w:lang w:val="sr-Cyrl-RS"/>
        </w:rPr>
        <w:br w:type="textWrapping" w:clear="all"/>
      </w:r>
      <w:r w:rsidR="00216CA0">
        <w:rPr>
          <w:rFonts w:ascii="Calibri" w:eastAsia="Calibri" w:hAnsi="Calibri" w:cs="Times New Roman"/>
          <w:b/>
          <w:bCs/>
          <w:color w:val="002060"/>
          <w:lang w:val="sr-Cyrl-RS"/>
        </w:rPr>
        <w:t>крај 2021–</w:t>
      </w:r>
      <w:r w:rsidRPr="0062711C">
        <w:rPr>
          <w:rFonts w:ascii="Calibri" w:eastAsia="Calibri" w:hAnsi="Calibri" w:cs="Times New Roman"/>
          <w:b/>
          <w:bCs/>
          <w:color w:val="002060"/>
          <w:lang w:val="sr-Cyrl-RS"/>
        </w:rPr>
        <w:t>31. март 2024. године</w:t>
      </w:r>
    </w:p>
    <w:tbl>
      <w:tblPr>
        <w:tblStyle w:val="LightShading-Accent12121"/>
        <w:tblW w:w="5000" w:type="pct"/>
        <w:tblInd w:w="0" w:type="dxa"/>
        <w:tblLook w:val="04A0" w:firstRow="1" w:lastRow="0" w:firstColumn="1" w:lastColumn="0" w:noHBand="0" w:noVBand="1"/>
      </w:tblPr>
      <w:tblGrid>
        <w:gridCol w:w="4046"/>
        <w:gridCol w:w="1328"/>
        <w:gridCol w:w="1330"/>
        <w:gridCol w:w="1327"/>
        <w:gridCol w:w="1329"/>
      </w:tblGrid>
      <w:tr w:rsidR="00D96A25" w:rsidRPr="0062711C" w14:paraId="661F18A9" w14:textId="77777777" w:rsidTr="00482D55">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002060"/>
              <w:bottom w:val="single" w:sz="4" w:space="0" w:color="FFFFFF" w:themeColor="background1"/>
            </w:tcBorders>
            <w:noWrap/>
            <w:hideMark/>
          </w:tcPr>
          <w:p w14:paraId="3C65AAE6"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 </w:t>
            </w:r>
          </w:p>
        </w:tc>
        <w:tc>
          <w:tcPr>
            <w:tcW w:w="709" w:type="pct"/>
            <w:tcBorders>
              <w:top w:val="single" w:sz="4" w:space="0" w:color="002060"/>
              <w:bottom w:val="single" w:sz="4" w:space="0" w:color="002060"/>
            </w:tcBorders>
            <w:vAlign w:val="center"/>
            <w:hideMark/>
          </w:tcPr>
          <w:p w14:paraId="235A17F7"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2021</w:t>
            </w:r>
          </w:p>
        </w:tc>
        <w:tc>
          <w:tcPr>
            <w:tcW w:w="710" w:type="pct"/>
            <w:tcBorders>
              <w:top w:val="single" w:sz="4" w:space="0" w:color="002060"/>
              <w:bottom w:val="single" w:sz="4" w:space="0" w:color="002060"/>
            </w:tcBorders>
            <w:vAlign w:val="center"/>
            <w:hideMark/>
          </w:tcPr>
          <w:p w14:paraId="52563379"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2022</w:t>
            </w:r>
          </w:p>
        </w:tc>
        <w:tc>
          <w:tcPr>
            <w:tcW w:w="709" w:type="pct"/>
            <w:tcBorders>
              <w:top w:val="single" w:sz="4" w:space="0" w:color="002060"/>
              <w:bottom w:val="single" w:sz="4" w:space="0" w:color="002060"/>
            </w:tcBorders>
            <w:noWrap/>
            <w:vAlign w:val="center"/>
            <w:hideMark/>
          </w:tcPr>
          <w:p w14:paraId="50019381"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2023</w:t>
            </w:r>
          </w:p>
        </w:tc>
        <w:tc>
          <w:tcPr>
            <w:tcW w:w="710" w:type="pct"/>
            <w:tcBorders>
              <w:top w:val="single" w:sz="4" w:space="0" w:color="002060"/>
              <w:bottom w:val="single" w:sz="4" w:space="0" w:color="002060"/>
            </w:tcBorders>
            <w:noWrap/>
            <w:vAlign w:val="center"/>
            <w:hideMark/>
          </w:tcPr>
          <w:p w14:paraId="6784A0F1"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2024/III</w:t>
            </w:r>
          </w:p>
        </w:tc>
      </w:tr>
      <w:tr w:rsidR="00D96A25" w:rsidRPr="0062711C" w14:paraId="6B3253B6" w14:textId="77777777" w:rsidTr="00482D55">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single" w:sz="4" w:space="0" w:color="FFFFFF" w:themeColor="background1"/>
              <w:bottom w:val="nil"/>
            </w:tcBorders>
            <w:shd w:val="clear" w:color="auto" w:fill="E7E6E6" w:themeFill="background2"/>
            <w:noWrap/>
            <w:vAlign w:val="center"/>
            <w:hideMark/>
          </w:tcPr>
          <w:p w14:paraId="520206CD"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Јавни дуг (у млрд динара)</w:t>
            </w:r>
          </w:p>
        </w:tc>
        <w:tc>
          <w:tcPr>
            <w:tcW w:w="709" w:type="pct"/>
            <w:tcBorders>
              <w:top w:val="single" w:sz="4" w:space="0" w:color="002060"/>
              <w:bottom w:val="nil"/>
            </w:tcBorders>
            <w:shd w:val="clear" w:color="auto" w:fill="E7E6E6" w:themeFill="background2"/>
            <w:vAlign w:val="center"/>
            <w:hideMark/>
          </w:tcPr>
          <w:p w14:paraId="32CBC688"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3.581,8</w:t>
            </w:r>
          </w:p>
        </w:tc>
        <w:tc>
          <w:tcPr>
            <w:tcW w:w="710" w:type="pct"/>
            <w:tcBorders>
              <w:top w:val="single" w:sz="4" w:space="0" w:color="002060"/>
              <w:bottom w:val="nil"/>
            </w:tcBorders>
            <w:shd w:val="clear" w:color="auto" w:fill="E7E6E6" w:themeFill="background2"/>
            <w:vAlign w:val="center"/>
            <w:hideMark/>
          </w:tcPr>
          <w:p w14:paraId="4E8C240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3.945,8</w:t>
            </w:r>
          </w:p>
        </w:tc>
        <w:tc>
          <w:tcPr>
            <w:tcW w:w="709" w:type="pct"/>
            <w:tcBorders>
              <w:top w:val="single" w:sz="4" w:space="0" w:color="002060"/>
              <w:bottom w:val="nil"/>
            </w:tcBorders>
            <w:shd w:val="clear" w:color="auto" w:fill="E7E6E6" w:themeFill="background2"/>
            <w:noWrap/>
            <w:vAlign w:val="center"/>
            <w:hideMark/>
          </w:tcPr>
          <w:p w14:paraId="714DF09C"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4.266,6</w:t>
            </w:r>
          </w:p>
        </w:tc>
        <w:tc>
          <w:tcPr>
            <w:tcW w:w="710" w:type="pct"/>
            <w:tcBorders>
              <w:top w:val="single" w:sz="4" w:space="0" w:color="002060"/>
              <w:bottom w:val="nil"/>
            </w:tcBorders>
            <w:shd w:val="clear" w:color="auto" w:fill="E7E6E6" w:themeFill="background2"/>
            <w:noWrap/>
            <w:vAlign w:val="center"/>
            <w:hideMark/>
          </w:tcPr>
          <w:p w14:paraId="56147DFE"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4.286,2</w:t>
            </w:r>
          </w:p>
        </w:tc>
      </w:tr>
      <w:tr w:rsidR="00D96A25" w:rsidRPr="0062711C" w14:paraId="373D660D" w14:textId="77777777" w:rsidTr="00482D55">
        <w:trPr>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left w:val="nil"/>
              <w:bottom w:val="nil"/>
              <w:right w:val="nil"/>
            </w:tcBorders>
            <w:noWrap/>
            <w:vAlign w:val="center"/>
            <w:hideMark/>
          </w:tcPr>
          <w:p w14:paraId="04C2502D"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Јавни дуг (у мил. евра)</w:t>
            </w:r>
          </w:p>
        </w:tc>
        <w:tc>
          <w:tcPr>
            <w:tcW w:w="709" w:type="pct"/>
            <w:tcBorders>
              <w:top w:val="nil"/>
              <w:left w:val="nil"/>
              <w:bottom w:val="nil"/>
              <w:right w:val="nil"/>
            </w:tcBorders>
            <w:vAlign w:val="center"/>
            <w:hideMark/>
          </w:tcPr>
          <w:p w14:paraId="2D8A86EC"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30.461,8</w:t>
            </w:r>
          </w:p>
        </w:tc>
        <w:tc>
          <w:tcPr>
            <w:tcW w:w="710" w:type="pct"/>
            <w:tcBorders>
              <w:top w:val="nil"/>
              <w:left w:val="nil"/>
              <w:bottom w:val="nil"/>
              <w:right w:val="nil"/>
            </w:tcBorders>
            <w:vAlign w:val="center"/>
            <w:hideMark/>
          </w:tcPr>
          <w:p w14:paraId="3666C488"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33.632,2</w:t>
            </w:r>
          </w:p>
        </w:tc>
        <w:tc>
          <w:tcPr>
            <w:tcW w:w="709" w:type="pct"/>
            <w:tcBorders>
              <w:top w:val="nil"/>
              <w:left w:val="nil"/>
              <w:bottom w:val="nil"/>
              <w:right w:val="nil"/>
            </w:tcBorders>
            <w:noWrap/>
            <w:vAlign w:val="center"/>
            <w:hideMark/>
          </w:tcPr>
          <w:p w14:paraId="1F8E631C"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36.412,3</w:t>
            </w:r>
          </w:p>
        </w:tc>
        <w:tc>
          <w:tcPr>
            <w:tcW w:w="710" w:type="pct"/>
            <w:tcBorders>
              <w:top w:val="nil"/>
              <w:left w:val="nil"/>
              <w:bottom w:val="nil"/>
              <w:right w:val="nil"/>
            </w:tcBorders>
            <w:noWrap/>
            <w:vAlign w:val="center"/>
            <w:hideMark/>
          </w:tcPr>
          <w:p w14:paraId="347CEA83"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36.589,8</w:t>
            </w:r>
          </w:p>
        </w:tc>
      </w:tr>
      <w:tr w:rsidR="00D96A25" w:rsidRPr="0062711C" w14:paraId="579C57AB" w14:textId="77777777" w:rsidTr="00482D55">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2161" w:type="pct"/>
            <w:tcBorders>
              <w:top w:val="nil"/>
              <w:bottom w:val="single" w:sz="4" w:space="0" w:color="002060"/>
            </w:tcBorders>
            <w:shd w:val="clear" w:color="auto" w:fill="E7E6E6" w:themeFill="background2"/>
            <w:noWrap/>
            <w:vAlign w:val="center"/>
            <w:hideMark/>
          </w:tcPr>
          <w:p w14:paraId="4980DEFB"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Јавни дуг (у мил. долара)</w:t>
            </w:r>
          </w:p>
        </w:tc>
        <w:tc>
          <w:tcPr>
            <w:tcW w:w="709" w:type="pct"/>
            <w:tcBorders>
              <w:top w:val="nil"/>
              <w:bottom w:val="single" w:sz="4" w:space="0" w:color="002060"/>
            </w:tcBorders>
            <w:shd w:val="clear" w:color="auto" w:fill="E7E6E6" w:themeFill="background2"/>
            <w:vAlign w:val="center"/>
            <w:hideMark/>
          </w:tcPr>
          <w:p w14:paraId="6FF7305A"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34.464,5</w:t>
            </w:r>
          </w:p>
        </w:tc>
        <w:tc>
          <w:tcPr>
            <w:tcW w:w="710" w:type="pct"/>
            <w:tcBorders>
              <w:top w:val="nil"/>
              <w:bottom w:val="single" w:sz="4" w:space="0" w:color="002060"/>
            </w:tcBorders>
            <w:shd w:val="clear" w:color="auto" w:fill="E7E6E6" w:themeFill="background2"/>
            <w:vAlign w:val="center"/>
            <w:hideMark/>
          </w:tcPr>
          <w:p w14:paraId="7906DF7B"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35.821,6</w:t>
            </w:r>
          </w:p>
        </w:tc>
        <w:tc>
          <w:tcPr>
            <w:tcW w:w="709" w:type="pct"/>
            <w:tcBorders>
              <w:top w:val="nil"/>
              <w:bottom w:val="single" w:sz="4" w:space="0" w:color="002060"/>
            </w:tcBorders>
            <w:shd w:val="clear" w:color="auto" w:fill="E7E6E6" w:themeFill="background2"/>
            <w:noWrap/>
            <w:vAlign w:val="center"/>
            <w:hideMark/>
          </w:tcPr>
          <w:p w14:paraId="17B87C6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40.301,1</w:t>
            </w:r>
          </w:p>
        </w:tc>
        <w:tc>
          <w:tcPr>
            <w:tcW w:w="710" w:type="pct"/>
            <w:tcBorders>
              <w:top w:val="nil"/>
              <w:bottom w:val="single" w:sz="4" w:space="0" w:color="002060"/>
            </w:tcBorders>
            <w:shd w:val="clear" w:color="auto" w:fill="E7E6E6" w:themeFill="background2"/>
            <w:noWrap/>
            <w:vAlign w:val="center"/>
            <w:hideMark/>
          </w:tcPr>
          <w:p w14:paraId="1B88511C"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39.436,5</w:t>
            </w:r>
          </w:p>
        </w:tc>
      </w:tr>
    </w:tbl>
    <w:p w14:paraId="23DC1350" w14:textId="77777777" w:rsidR="00D96A25" w:rsidRPr="0062711C" w:rsidRDefault="00D96A25" w:rsidP="00B51BEB">
      <w:pPr>
        <w:spacing w:after="280"/>
        <w:rPr>
          <w:rFonts w:ascii="Calibri" w:eastAsia="Calibri" w:hAnsi="Calibri" w:cs="Calibri"/>
          <w:bCs/>
          <w:szCs w:val="72"/>
          <w:lang w:val="sr-Cyrl-RS"/>
        </w:rPr>
        <w:sectPr w:rsidR="00D96A25" w:rsidRPr="0062711C" w:rsidSect="00F45C01">
          <w:type w:val="continuous"/>
          <w:pgSz w:w="12240" w:h="15840"/>
          <w:pgMar w:top="1440" w:right="1440" w:bottom="1440" w:left="1440" w:header="720" w:footer="720" w:gutter="0"/>
          <w:cols w:space="720"/>
          <w15:footnoteColumns w:val="1"/>
        </w:sectPr>
      </w:pPr>
    </w:p>
    <w:p w14:paraId="4CDDB5E2" w14:textId="77777777" w:rsidR="00D96A25" w:rsidRPr="0062711C" w:rsidRDefault="00D96A25" w:rsidP="00B51BEB">
      <w:pPr>
        <w:spacing w:after="280"/>
        <w:rPr>
          <w:rFonts w:ascii="Calibri" w:eastAsia="Calibri" w:hAnsi="Calibri" w:cs="Calibri"/>
          <w:bCs/>
          <w:szCs w:val="72"/>
          <w:lang w:val="sr-Cyrl-RS"/>
        </w:rPr>
      </w:pPr>
      <w:r w:rsidRPr="0062711C">
        <w:rPr>
          <w:rFonts w:ascii="Calibri" w:eastAsia="Calibri" w:hAnsi="Calibri" w:cs="Calibri"/>
          <w:bCs/>
          <w:szCs w:val="72"/>
          <w:lang w:val="sr-Cyrl-RS"/>
        </w:rPr>
        <w:t xml:space="preserve">У последње три године приметан је интензиван раст јавног дуга централног нивоа власти у еврима. Услед повољнијих услова за задуживање на иностраном тржишту, емитоване су у три наврата еврообвезнице у еврима. Поред тога део дуга у америчким доларима, кинеским јуанима и УАЕ дирхамима је конвертован у евре, услед далеко мање осцилације курса евра према динару, у односу на наведене валуте, како би се смањио валутни ризик. Током 2022. и 2023. године дошло је до раста дуга у специјалним правима вучења, услед задуживања код ММФ по повољним условима. Током 2020. и 2021. године </w:t>
      </w:r>
      <w:r w:rsidRPr="0062711C">
        <w:rPr>
          <w:rFonts w:ascii="Calibri" w:eastAsia="Calibri" w:hAnsi="Calibri" w:cs="Calibri"/>
          <w:bCs/>
          <w:szCs w:val="72"/>
          <w:lang w:val="sr-Cyrl-RS"/>
        </w:rPr>
        <w:t>је растао дуг у динарима услед интензивног задуживања у домаћој валути, како би се додатно подстакао развој домаћег тржишта. Током 2022. и 2023. године приметан је пад, због редовне отплате доспелих државних обвезница. Честе осцилације курса америчког долара према динару показују пуну оправданост одлуке да се максимално смањи доларски дуг и на тај начин минимизира валутни ризик, као и да је за закључивање своп трансакција изабран прави моменат. Услед закључених своп трансакција, а такође са циљем да се минимизира валутни ризик, значајно је смањен дуг у осталим валутама.</w:t>
      </w:r>
    </w:p>
    <w:p w14:paraId="7097866D" w14:textId="77777777" w:rsidR="00D96A25" w:rsidRPr="0062711C" w:rsidRDefault="00D96A25" w:rsidP="00C91F83">
      <w:pPr>
        <w:spacing w:line="256" w:lineRule="auto"/>
        <w:jc w:val="center"/>
        <w:rPr>
          <w:rFonts w:ascii="Calibri" w:eastAsia="Calibri" w:hAnsi="Calibri" w:cs="Times New Roman"/>
          <w:b/>
          <w:color w:val="002060"/>
          <w:lang w:val="sr-Cyrl-RS"/>
        </w:rPr>
        <w:sectPr w:rsidR="00D96A25" w:rsidRPr="0062711C" w:rsidSect="00F45C01">
          <w:type w:val="continuous"/>
          <w:pgSz w:w="12240" w:h="15840"/>
          <w:pgMar w:top="1440" w:right="1440" w:bottom="1440" w:left="1440" w:header="720" w:footer="720" w:gutter="0"/>
          <w:cols w:num="2" w:space="720"/>
          <w15:footnoteColumns w:val="1"/>
        </w:sectPr>
      </w:pPr>
    </w:p>
    <w:p w14:paraId="000CEFF3" w14:textId="0F818174" w:rsidR="00D96A25" w:rsidRPr="0062711C" w:rsidRDefault="00D96A25" w:rsidP="00C91F83">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 xml:space="preserve">Табела </w:t>
      </w:r>
      <w:r w:rsidR="00BB1E84">
        <w:rPr>
          <w:rFonts w:ascii="Calibri" w:eastAsia="Calibri" w:hAnsi="Calibri" w:cs="Times New Roman"/>
          <w:b/>
          <w:color w:val="002060"/>
        </w:rPr>
        <w:t>30</w:t>
      </w:r>
      <w:r w:rsidRPr="0062711C">
        <w:rPr>
          <w:rFonts w:ascii="Calibri" w:eastAsia="Calibri" w:hAnsi="Calibri" w:cs="Times New Roman"/>
          <w:b/>
          <w:color w:val="002060"/>
          <w:lang w:val="sr-Cyrl-RS"/>
        </w:rPr>
        <w:t xml:space="preserve">. Стање јавног дуга централног нивоа државе по оригиналним валутама у периоду </w:t>
      </w:r>
      <w:r w:rsidRPr="0062711C">
        <w:rPr>
          <w:rFonts w:ascii="Calibri" w:eastAsia="Calibri" w:hAnsi="Calibri" w:cs="Times New Roman"/>
          <w:b/>
          <w:color w:val="002060"/>
          <w:lang w:val="sr-Cyrl-RS"/>
        </w:rPr>
        <w:br/>
        <w:t>крај 2021–31. март 2024. године, у милионима</w:t>
      </w:r>
    </w:p>
    <w:tbl>
      <w:tblPr>
        <w:tblStyle w:val="LightShading-Accent12121"/>
        <w:tblW w:w="5000" w:type="pct"/>
        <w:tblInd w:w="-48" w:type="dxa"/>
        <w:tblLook w:val="04A0" w:firstRow="1" w:lastRow="0" w:firstColumn="1" w:lastColumn="0" w:noHBand="0" w:noVBand="1"/>
      </w:tblPr>
      <w:tblGrid>
        <w:gridCol w:w="3230"/>
        <w:gridCol w:w="1532"/>
        <w:gridCol w:w="1534"/>
        <w:gridCol w:w="1531"/>
        <w:gridCol w:w="1533"/>
      </w:tblGrid>
      <w:tr w:rsidR="00D96A25" w:rsidRPr="0062711C" w14:paraId="1B8412A2" w14:textId="77777777" w:rsidTr="00482D55">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002060"/>
              <w:bottom w:val="single" w:sz="4" w:space="0" w:color="FFFFFF" w:themeColor="background1"/>
            </w:tcBorders>
            <w:noWrap/>
            <w:hideMark/>
          </w:tcPr>
          <w:p w14:paraId="0B5DE392"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 </w:t>
            </w:r>
          </w:p>
        </w:tc>
        <w:tc>
          <w:tcPr>
            <w:tcW w:w="818" w:type="pct"/>
            <w:tcBorders>
              <w:top w:val="single" w:sz="4" w:space="0" w:color="002060"/>
              <w:bottom w:val="single" w:sz="4" w:space="0" w:color="002060"/>
            </w:tcBorders>
            <w:noWrap/>
            <w:hideMark/>
          </w:tcPr>
          <w:p w14:paraId="2BF0048D"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2021</w:t>
            </w:r>
          </w:p>
        </w:tc>
        <w:tc>
          <w:tcPr>
            <w:tcW w:w="819" w:type="pct"/>
            <w:tcBorders>
              <w:top w:val="single" w:sz="4" w:space="0" w:color="002060"/>
              <w:bottom w:val="single" w:sz="4" w:space="0" w:color="002060"/>
            </w:tcBorders>
            <w:noWrap/>
            <w:hideMark/>
          </w:tcPr>
          <w:p w14:paraId="31EB524F"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2022</w:t>
            </w:r>
          </w:p>
        </w:tc>
        <w:tc>
          <w:tcPr>
            <w:tcW w:w="818" w:type="pct"/>
            <w:tcBorders>
              <w:top w:val="single" w:sz="4" w:space="0" w:color="002060"/>
              <w:bottom w:val="single" w:sz="4" w:space="0" w:color="002060"/>
            </w:tcBorders>
            <w:noWrap/>
            <w:hideMark/>
          </w:tcPr>
          <w:p w14:paraId="2BC17419"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2023</w:t>
            </w:r>
          </w:p>
        </w:tc>
        <w:tc>
          <w:tcPr>
            <w:tcW w:w="819" w:type="pct"/>
            <w:tcBorders>
              <w:top w:val="single" w:sz="4" w:space="0" w:color="002060"/>
              <w:bottom w:val="single" w:sz="4" w:space="0" w:color="002060"/>
            </w:tcBorders>
            <w:noWrap/>
            <w:hideMark/>
          </w:tcPr>
          <w:p w14:paraId="378F9CED"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2024/III</w:t>
            </w:r>
          </w:p>
        </w:tc>
      </w:tr>
      <w:tr w:rsidR="00D96A25" w:rsidRPr="0062711C" w14:paraId="52E4F28B"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single" w:sz="4" w:space="0" w:color="FFFFFF" w:themeColor="background1"/>
              <w:bottom w:val="nil"/>
            </w:tcBorders>
            <w:shd w:val="clear" w:color="auto" w:fill="E7E6E6" w:themeFill="background2"/>
            <w:noWrap/>
            <w:hideMark/>
          </w:tcPr>
          <w:p w14:paraId="34CB7EDC"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EUR</w:t>
            </w:r>
          </w:p>
        </w:tc>
        <w:tc>
          <w:tcPr>
            <w:tcW w:w="818" w:type="pct"/>
            <w:tcBorders>
              <w:top w:val="single" w:sz="4" w:space="0" w:color="002060"/>
              <w:bottom w:val="nil"/>
            </w:tcBorders>
            <w:shd w:val="clear" w:color="auto" w:fill="E7E6E6" w:themeFill="background2"/>
            <w:noWrap/>
            <w:hideMark/>
          </w:tcPr>
          <w:p w14:paraId="7DCE85A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17.386,4</w:t>
            </w:r>
          </w:p>
        </w:tc>
        <w:tc>
          <w:tcPr>
            <w:tcW w:w="819" w:type="pct"/>
            <w:tcBorders>
              <w:top w:val="single" w:sz="4" w:space="0" w:color="002060"/>
              <w:bottom w:val="nil"/>
            </w:tcBorders>
            <w:shd w:val="clear" w:color="auto" w:fill="E7E6E6" w:themeFill="background2"/>
            <w:noWrap/>
            <w:hideMark/>
          </w:tcPr>
          <w:p w14:paraId="76E944CE"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18.585,2</w:t>
            </w:r>
          </w:p>
        </w:tc>
        <w:tc>
          <w:tcPr>
            <w:tcW w:w="818" w:type="pct"/>
            <w:tcBorders>
              <w:top w:val="single" w:sz="4" w:space="0" w:color="002060"/>
              <w:bottom w:val="nil"/>
            </w:tcBorders>
            <w:shd w:val="clear" w:color="auto" w:fill="E7E6E6" w:themeFill="background2"/>
            <w:noWrap/>
            <w:hideMark/>
          </w:tcPr>
          <w:p w14:paraId="6E01927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20.857,5</w:t>
            </w:r>
          </w:p>
        </w:tc>
        <w:tc>
          <w:tcPr>
            <w:tcW w:w="819" w:type="pct"/>
            <w:tcBorders>
              <w:top w:val="single" w:sz="4" w:space="0" w:color="002060"/>
              <w:bottom w:val="nil"/>
            </w:tcBorders>
            <w:shd w:val="clear" w:color="auto" w:fill="E7E6E6" w:themeFill="background2"/>
            <w:noWrap/>
            <w:hideMark/>
          </w:tcPr>
          <w:p w14:paraId="4D5BB96A"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20.646,9</w:t>
            </w:r>
          </w:p>
        </w:tc>
      </w:tr>
      <w:tr w:rsidR="00D96A25" w:rsidRPr="0062711C" w14:paraId="48CFEC68"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3439B2F0"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USD</w:t>
            </w:r>
          </w:p>
        </w:tc>
        <w:tc>
          <w:tcPr>
            <w:tcW w:w="818" w:type="pct"/>
            <w:tcBorders>
              <w:top w:val="nil"/>
              <w:left w:val="nil"/>
              <w:bottom w:val="nil"/>
              <w:right w:val="nil"/>
            </w:tcBorders>
            <w:noWrap/>
            <w:hideMark/>
          </w:tcPr>
          <w:p w14:paraId="24925F01"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3.694,6</w:t>
            </w:r>
          </w:p>
        </w:tc>
        <w:tc>
          <w:tcPr>
            <w:tcW w:w="819" w:type="pct"/>
            <w:tcBorders>
              <w:top w:val="nil"/>
              <w:left w:val="nil"/>
              <w:bottom w:val="nil"/>
              <w:right w:val="nil"/>
            </w:tcBorders>
            <w:noWrap/>
            <w:hideMark/>
          </w:tcPr>
          <w:p w14:paraId="1E537D96"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5.076,7</w:t>
            </w:r>
          </w:p>
        </w:tc>
        <w:tc>
          <w:tcPr>
            <w:tcW w:w="818" w:type="pct"/>
            <w:tcBorders>
              <w:top w:val="nil"/>
              <w:left w:val="nil"/>
              <w:bottom w:val="nil"/>
              <w:right w:val="nil"/>
            </w:tcBorders>
            <w:noWrap/>
            <w:hideMark/>
          </w:tcPr>
          <w:p w14:paraId="04059D44"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5.364,6</w:t>
            </w:r>
          </w:p>
        </w:tc>
        <w:tc>
          <w:tcPr>
            <w:tcW w:w="819" w:type="pct"/>
            <w:tcBorders>
              <w:top w:val="nil"/>
              <w:left w:val="nil"/>
              <w:bottom w:val="nil"/>
              <w:right w:val="nil"/>
            </w:tcBorders>
            <w:noWrap/>
            <w:hideMark/>
          </w:tcPr>
          <w:p w14:paraId="666EEEE6"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5.320,3</w:t>
            </w:r>
          </w:p>
        </w:tc>
      </w:tr>
      <w:tr w:rsidR="00D96A25" w:rsidRPr="0062711C" w14:paraId="21361782"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6BAD3F79"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RSD</w:t>
            </w:r>
          </w:p>
        </w:tc>
        <w:tc>
          <w:tcPr>
            <w:tcW w:w="818" w:type="pct"/>
            <w:tcBorders>
              <w:top w:val="nil"/>
              <w:bottom w:val="nil"/>
            </w:tcBorders>
            <w:shd w:val="clear" w:color="auto" w:fill="E7E6E6" w:themeFill="background2"/>
            <w:noWrap/>
            <w:hideMark/>
          </w:tcPr>
          <w:p w14:paraId="70690229"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1.010.176,5</w:t>
            </w:r>
          </w:p>
        </w:tc>
        <w:tc>
          <w:tcPr>
            <w:tcW w:w="819" w:type="pct"/>
            <w:tcBorders>
              <w:top w:val="nil"/>
              <w:bottom w:val="nil"/>
            </w:tcBorders>
            <w:shd w:val="clear" w:color="auto" w:fill="E7E6E6" w:themeFill="background2"/>
            <w:noWrap/>
            <w:hideMark/>
          </w:tcPr>
          <w:p w14:paraId="0784CCD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983.500,7</w:t>
            </w:r>
          </w:p>
        </w:tc>
        <w:tc>
          <w:tcPr>
            <w:tcW w:w="818" w:type="pct"/>
            <w:tcBorders>
              <w:top w:val="nil"/>
              <w:bottom w:val="nil"/>
            </w:tcBorders>
            <w:shd w:val="clear" w:color="auto" w:fill="E7E6E6" w:themeFill="background2"/>
            <w:noWrap/>
            <w:hideMark/>
          </w:tcPr>
          <w:p w14:paraId="0CB23363"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917.800,7</w:t>
            </w:r>
          </w:p>
        </w:tc>
        <w:tc>
          <w:tcPr>
            <w:tcW w:w="819" w:type="pct"/>
            <w:tcBorders>
              <w:top w:val="nil"/>
              <w:bottom w:val="nil"/>
            </w:tcBorders>
            <w:shd w:val="clear" w:color="auto" w:fill="E7E6E6" w:themeFill="background2"/>
            <w:noWrap/>
            <w:hideMark/>
          </w:tcPr>
          <w:p w14:paraId="2B6A1F0E"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954.323,5</w:t>
            </w:r>
          </w:p>
        </w:tc>
      </w:tr>
      <w:tr w:rsidR="00D96A25" w:rsidRPr="0062711C" w14:paraId="23271DAF"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nil"/>
              <w:right w:val="nil"/>
            </w:tcBorders>
            <w:noWrap/>
            <w:hideMark/>
          </w:tcPr>
          <w:p w14:paraId="33308B47"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CHF</w:t>
            </w:r>
          </w:p>
        </w:tc>
        <w:tc>
          <w:tcPr>
            <w:tcW w:w="818" w:type="pct"/>
            <w:tcBorders>
              <w:top w:val="nil"/>
              <w:left w:val="nil"/>
              <w:bottom w:val="nil"/>
              <w:right w:val="nil"/>
            </w:tcBorders>
            <w:noWrap/>
            <w:hideMark/>
          </w:tcPr>
          <w:p w14:paraId="685BED58"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73,7</w:t>
            </w:r>
          </w:p>
        </w:tc>
        <w:tc>
          <w:tcPr>
            <w:tcW w:w="819" w:type="pct"/>
            <w:tcBorders>
              <w:top w:val="nil"/>
              <w:left w:val="nil"/>
              <w:bottom w:val="nil"/>
              <w:right w:val="nil"/>
            </w:tcBorders>
            <w:noWrap/>
            <w:hideMark/>
          </w:tcPr>
          <w:p w14:paraId="29AD3EE8"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27,2</w:t>
            </w:r>
          </w:p>
        </w:tc>
        <w:tc>
          <w:tcPr>
            <w:tcW w:w="818" w:type="pct"/>
            <w:tcBorders>
              <w:top w:val="nil"/>
              <w:left w:val="nil"/>
              <w:bottom w:val="nil"/>
              <w:right w:val="nil"/>
            </w:tcBorders>
            <w:noWrap/>
            <w:hideMark/>
          </w:tcPr>
          <w:p w14:paraId="7653205F"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9,7</w:t>
            </w:r>
          </w:p>
        </w:tc>
        <w:tc>
          <w:tcPr>
            <w:tcW w:w="819" w:type="pct"/>
            <w:tcBorders>
              <w:top w:val="nil"/>
              <w:left w:val="nil"/>
              <w:bottom w:val="nil"/>
              <w:right w:val="nil"/>
            </w:tcBorders>
            <w:noWrap/>
            <w:hideMark/>
          </w:tcPr>
          <w:p w14:paraId="6E0DD166"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0,0</w:t>
            </w:r>
          </w:p>
        </w:tc>
      </w:tr>
      <w:tr w:rsidR="00D96A25" w:rsidRPr="0062711C" w14:paraId="54D704EF" w14:textId="77777777" w:rsidTr="00482D55">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bottom w:val="nil"/>
            </w:tcBorders>
            <w:shd w:val="clear" w:color="auto" w:fill="E7E6E6" w:themeFill="background2"/>
            <w:noWrap/>
            <w:hideMark/>
          </w:tcPr>
          <w:p w14:paraId="2EAA7E25"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Специјална права вучења</w:t>
            </w:r>
          </w:p>
        </w:tc>
        <w:tc>
          <w:tcPr>
            <w:tcW w:w="818" w:type="pct"/>
            <w:tcBorders>
              <w:top w:val="nil"/>
              <w:bottom w:val="nil"/>
            </w:tcBorders>
            <w:shd w:val="clear" w:color="auto" w:fill="E7E6E6" w:themeFill="background2"/>
            <w:noWrap/>
            <w:hideMark/>
          </w:tcPr>
          <w:p w14:paraId="5DB6146D"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475,0</w:t>
            </w:r>
          </w:p>
        </w:tc>
        <w:tc>
          <w:tcPr>
            <w:tcW w:w="819" w:type="pct"/>
            <w:tcBorders>
              <w:top w:val="nil"/>
              <w:bottom w:val="nil"/>
            </w:tcBorders>
            <w:shd w:val="clear" w:color="auto" w:fill="E7E6E6" w:themeFill="background2"/>
            <w:noWrap/>
            <w:hideMark/>
          </w:tcPr>
          <w:p w14:paraId="2D3A8246"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1.064,9</w:t>
            </w:r>
          </w:p>
        </w:tc>
        <w:tc>
          <w:tcPr>
            <w:tcW w:w="818" w:type="pct"/>
            <w:tcBorders>
              <w:top w:val="nil"/>
              <w:bottom w:val="nil"/>
            </w:tcBorders>
            <w:shd w:val="clear" w:color="auto" w:fill="E7E6E6" w:themeFill="background2"/>
            <w:noWrap/>
            <w:hideMark/>
          </w:tcPr>
          <w:p w14:paraId="38A487C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1.988,6</w:t>
            </w:r>
          </w:p>
        </w:tc>
        <w:tc>
          <w:tcPr>
            <w:tcW w:w="819" w:type="pct"/>
            <w:tcBorders>
              <w:top w:val="nil"/>
              <w:bottom w:val="nil"/>
            </w:tcBorders>
            <w:shd w:val="clear" w:color="auto" w:fill="E7E6E6" w:themeFill="background2"/>
            <w:noWrap/>
            <w:hideMark/>
          </w:tcPr>
          <w:p w14:paraId="1AF8C62A"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1.979,9</w:t>
            </w:r>
          </w:p>
        </w:tc>
      </w:tr>
      <w:tr w:rsidR="00D96A25" w:rsidRPr="0062711C" w14:paraId="2E09183D" w14:textId="77777777" w:rsidTr="00482D55">
        <w:trPr>
          <w:trHeight w:val="262"/>
        </w:trPr>
        <w:tc>
          <w:tcPr>
            <w:cnfStyle w:val="001000000000" w:firstRow="0" w:lastRow="0" w:firstColumn="1" w:lastColumn="0" w:oddVBand="0" w:evenVBand="0" w:oddHBand="0" w:evenHBand="0" w:firstRowFirstColumn="0" w:firstRowLastColumn="0" w:lastRowFirstColumn="0" w:lastRowLastColumn="0"/>
            <w:tcW w:w="1725" w:type="pct"/>
            <w:tcBorders>
              <w:top w:val="nil"/>
              <w:left w:val="nil"/>
              <w:bottom w:val="single" w:sz="4" w:space="0" w:color="002060"/>
              <w:right w:val="nil"/>
            </w:tcBorders>
            <w:noWrap/>
            <w:hideMark/>
          </w:tcPr>
          <w:p w14:paraId="57E53032"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Друге валуте (у RSD)</w:t>
            </w:r>
          </w:p>
        </w:tc>
        <w:tc>
          <w:tcPr>
            <w:tcW w:w="818" w:type="pct"/>
            <w:tcBorders>
              <w:top w:val="nil"/>
              <w:left w:val="nil"/>
              <w:bottom w:val="single" w:sz="4" w:space="0" w:color="002060"/>
              <w:right w:val="nil"/>
            </w:tcBorders>
            <w:noWrap/>
            <w:hideMark/>
          </w:tcPr>
          <w:p w14:paraId="0E76D32C"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27.304,8</w:t>
            </w:r>
          </w:p>
        </w:tc>
        <w:tc>
          <w:tcPr>
            <w:tcW w:w="819" w:type="pct"/>
            <w:tcBorders>
              <w:top w:val="nil"/>
              <w:left w:val="nil"/>
              <w:bottom w:val="single" w:sz="4" w:space="0" w:color="002060"/>
              <w:right w:val="nil"/>
            </w:tcBorders>
            <w:noWrap/>
            <w:hideMark/>
          </w:tcPr>
          <w:p w14:paraId="7F8FECC3"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27.375,6</w:t>
            </w:r>
          </w:p>
        </w:tc>
        <w:tc>
          <w:tcPr>
            <w:tcW w:w="818" w:type="pct"/>
            <w:tcBorders>
              <w:top w:val="nil"/>
              <w:left w:val="nil"/>
              <w:bottom w:val="single" w:sz="4" w:space="0" w:color="002060"/>
              <w:right w:val="nil"/>
            </w:tcBorders>
            <w:noWrap/>
            <w:hideMark/>
          </w:tcPr>
          <w:p w14:paraId="4F7AF45E"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22.793,5</w:t>
            </w:r>
          </w:p>
        </w:tc>
        <w:tc>
          <w:tcPr>
            <w:tcW w:w="819" w:type="pct"/>
            <w:tcBorders>
              <w:top w:val="nil"/>
              <w:left w:val="nil"/>
              <w:bottom w:val="single" w:sz="4" w:space="0" w:color="002060"/>
              <w:right w:val="nil"/>
            </w:tcBorders>
            <w:noWrap/>
            <w:hideMark/>
          </w:tcPr>
          <w:p w14:paraId="3AFD99FB"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21.247,7</w:t>
            </w:r>
          </w:p>
        </w:tc>
      </w:tr>
    </w:tbl>
    <w:p w14:paraId="2DF39EC6" w14:textId="77777777" w:rsidR="00D96A25" w:rsidRPr="0062711C" w:rsidRDefault="00D96A25" w:rsidP="00B51BEB">
      <w:pPr>
        <w:spacing w:line="257" w:lineRule="auto"/>
        <w:rPr>
          <w:rFonts w:ascii="Calibri" w:eastAsia="Calibri" w:hAnsi="Calibri" w:cs="Calibri"/>
          <w:bCs/>
          <w:szCs w:val="72"/>
          <w:lang w:val="sr-Cyrl-RS"/>
        </w:rPr>
        <w:sectPr w:rsidR="00D96A25" w:rsidRPr="0062711C" w:rsidSect="00F45C01">
          <w:type w:val="continuous"/>
          <w:pgSz w:w="12240" w:h="15840"/>
          <w:pgMar w:top="1440" w:right="1440" w:bottom="1440" w:left="1440" w:header="720" w:footer="720" w:gutter="0"/>
          <w:cols w:space="720"/>
          <w15:footnoteColumns w:val="1"/>
        </w:sectPr>
      </w:pPr>
    </w:p>
    <w:p w14:paraId="761ED7C3" w14:textId="77777777" w:rsidR="00D96A25" w:rsidRPr="0062711C" w:rsidRDefault="00D96A25" w:rsidP="00B51BEB">
      <w:pPr>
        <w:spacing w:line="257" w:lineRule="auto"/>
        <w:rPr>
          <w:rFonts w:ascii="Calibri" w:eastAsia="Calibri" w:hAnsi="Calibri" w:cs="Calibri"/>
          <w:bCs/>
          <w:szCs w:val="72"/>
          <w:lang w:val="sr-Cyrl-RS"/>
        </w:rPr>
      </w:pPr>
      <w:r w:rsidRPr="0062711C">
        <w:rPr>
          <w:rFonts w:ascii="Calibri" w:eastAsia="Calibri" w:hAnsi="Calibri" w:cs="Calibri"/>
          <w:bCs/>
          <w:szCs w:val="72"/>
          <w:lang w:val="sr-Cyrl-RS"/>
        </w:rPr>
        <w:t>Према подацима од 31. марта 2024. године, највећи део јавног дуга сектора државе Републике Србије је деноминован у еврима и износи 57,1%. Затим су највише заступљени динар са 22,3% и амерички долар са 13,5%. Остатак дуга је деноминован у специјалним правима вучења 6,6% и осталим валутама 0,5%. Захваљујући континуираном развоју домаћег тржишта хартија од вредности и постепеном повећању обима емисија у домаћој валути, дошло је до раста учешћа дуга у домаћој валути у претходним годинама, са 16,4%, на крају 2011. године на 30,4% у 2020, али након тога долази до његовог пада услед нешто већих потреба за финансирањем и промењених тржишних околности.</w:t>
      </w:r>
    </w:p>
    <w:p w14:paraId="184838C5" w14:textId="77777777" w:rsidR="00D96A25" w:rsidRPr="0062711C" w:rsidRDefault="00D96A25" w:rsidP="00B51BEB">
      <w:pPr>
        <w:spacing w:line="257"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Валутна структура дуга сектора државе у периоду од 2021. до 31. марта 2024. године</w:t>
      </w:r>
    </w:p>
    <w:p w14:paraId="25B6AAD2" w14:textId="77777777" w:rsidR="00D96A25" w:rsidRPr="0062711C" w:rsidRDefault="00D96A25" w:rsidP="00B51BEB">
      <w:pPr>
        <w:spacing w:line="256" w:lineRule="auto"/>
        <w:rPr>
          <w:rFonts w:ascii="Calibri" w:eastAsia="Calibri" w:hAnsi="Calibri" w:cs="Times New Roman"/>
          <w:b/>
          <w:lang w:val="sr-Cyrl-RS"/>
        </w:rPr>
      </w:pPr>
      <w:r w:rsidRPr="0062711C">
        <w:rPr>
          <w:rFonts w:ascii="Calibri" w:eastAsia="Calibri" w:hAnsi="Calibri" w:cs="Times New Roman"/>
          <w:noProof/>
          <w:lang w:val="en-GB" w:eastAsia="en-GB"/>
        </w:rPr>
        <w:drawing>
          <wp:inline distT="0" distB="0" distL="0" distR="0" wp14:anchorId="65E0CCCF" wp14:editId="7C1E1CFA">
            <wp:extent cx="2797810" cy="1581150"/>
            <wp:effectExtent l="0" t="0" r="2540" b="0"/>
            <wp:docPr id="71"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1"/>
              </a:graphicData>
            </a:graphic>
          </wp:inline>
        </w:drawing>
      </w:r>
    </w:p>
    <w:p w14:paraId="6BC3F82D" w14:textId="77777777" w:rsidR="00D96A25" w:rsidRPr="0062711C" w:rsidRDefault="00D96A25">
      <w:pPr>
        <w:jc w:val="left"/>
        <w:rPr>
          <w:rFonts w:ascii="Calibri" w:eastAsia="Calibri" w:hAnsi="Calibri" w:cs="Calibri"/>
          <w:bCs/>
          <w:szCs w:val="72"/>
          <w:lang w:val="sr-Cyrl-RS"/>
        </w:rPr>
      </w:pPr>
      <w:r w:rsidRPr="0062711C">
        <w:rPr>
          <w:rFonts w:ascii="Calibri" w:eastAsia="Calibri" w:hAnsi="Calibri" w:cs="Calibri"/>
          <w:bCs/>
          <w:szCs w:val="72"/>
          <w:lang w:val="sr-Cyrl-RS"/>
        </w:rPr>
        <w:br w:type="page"/>
      </w:r>
    </w:p>
    <w:p w14:paraId="5814D7E6"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lastRenderedPageBreak/>
        <w:t>На дан 31. март 2024. године, највећи део јавног дуга сектора државе Републике Србије је са фиксном каматном стопом – 72,3%, док се на јавни дуг са варијабилном каматном стопом односи 27,7% укупног јавног дуга. Међу варијабилним каматним стопама највише је заступљен EURIBOR са учешћем од 70,0%, затим варијабилна каматна стопа за специјална права вучења 23,8% и Belibor 5,9%, док је учешће обавеза са осталим каматним стопама 0,2%.</w:t>
      </w:r>
    </w:p>
    <w:p w14:paraId="32AB6EA5" w14:textId="77777777" w:rsidR="00D96A25" w:rsidRPr="0062711C" w:rsidRDefault="00D96A25" w:rsidP="00C91F83">
      <w:pPr>
        <w:spacing w:line="256" w:lineRule="auto"/>
        <w:jc w:val="center"/>
        <w:rPr>
          <w:rFonts w:ascii="Calibri" w:eastAsia="Calibri" w:hAnsi="Calibri" w:cs="Calibri"/>
          <w:bCs/>
          <w:color w:val="002060"/>
          <w:szCs w:val="72"/>
          <w:lang w:val="sr-Cyrl-RS"/>
        </w:rPr>
      </w:pPr>
      <w:r w:rsidRPr="0062711C">
        <w:rPr>
          <w:rFonts w:ascii="Calibri" w:eastAsia="Calibri" w:hAnsi="Calibri" w:cs="Times New Roman"/>
          <w:b/>
          <w:color w:val="002060"/>
          <w:lang w:val="sr-Cyrl-RS"/>
        </w:rPr>
        <w:t>Структура каматних стопа дуга сектора државе у периоду од 2021. до 31. марта 2024. године, %</w:t>
      </w:r>
    </w:p>
    <w:p w14:paraId="75C06C7B" w14:textId="77777777" w:rsidR="00D96A25" w:rsidRPr="0062711C" w:rsidRDefault="00D96A25" w:rsidP="00C91F83">
      <w:pPr>
        <w:spacing w:line="256" w:lineRule="auto"/>
        <w:rPr>
          <w:rFonts w:ascii="Calibri" w:eastAsia="Calibri" w:hAnsi="Calibri" w:cs="Calibri"/>
          <w:bCs/>
          <w:szCs w:val="72"/>
          <w:lang w:val="sr-Cyrl-RS"/>
        </w:rPr>
      </w:pPr>
      <w:r w:rsidRPr="0062711C">
        <w:rPr>
          <w:rFonts w:ascii="Calibri" w:eastAsia="Calibri" w:hAnsi="Calibri" w:cs="Times New Roman"/>
          <w:noProof/>
          <w:lang w:val="en-GB" w:eastAsia="en-GB"/>
        </w:rPr>
        <w:drawing>
          <wp:inline distT="0" distB="0" distL="0" distR="0" wp14:anchorId="2A4AA5B9" wp14:editId="0CC46A46">
            <wp:extent cx="2743200" cy="2124000"/>
            <wp:effectExtent l="0" t="0" r="0" b="0"/>
            <wp:docPr id="64"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2"/>
              </a:graphicData>
            </a:graphic>
          </wp:inline>
        </w:drawing>
      </w:r>
    </w:p>
    <w:p w14:paraId="720EA1E4"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У периоду од 2014. до 2021. године дошло је до значајног пада трошкова задуживања, који је најизраженији код државних хартија од вредности емитованих на домаћем тржишту. До пада је дошло захваљујући развоју тржишта капитала државних обвезница, расту кредитног рејтинга земље, односно смањењу премије ризика, ниској стопи инфлације и смањењу референтне каматне стопе НБС. Просечно пондерисана каматна стопа на јавни дуг је пала са 5,70% колико је износила на крају 2014. године на 2,53% колико је износила на крају 2021. године. Приметан је још израженији пад код динарских државних хартија од вредности, код којих је просечна пондерисана купонска стопа смањена са 10,68% на крају 2014. године на 5,10 % на крају марта 2024. године. Током последње две године, услед високе </w:t>
      </w:r>
      <w:r w:rsidRPr="0062711C">
        <w:rPr>
          <w:rFonts w:ascii="Calibri" w:eastAsia="Calibri" w:hAnsi="Calibri" w:cs="Calibri"/>
          <w:bCs/>
          <w:szCs w:val="72"/>
          <w:lang w:val="sr-Cyrl-RS"/>
        </w:rPr>
        <w:t>инфлације, дошло је до најинтензивнијег раста каматних стопа на међународном финансијском тржишту у овом веку. Ово се у извесној мери одразило и на раст трошкова задуживања Републике Србије. Тако је на крају марта 2024. године просечна пондерисана стопа на укупни јавни дуг износила 3,74%.</w:t>
      </w:r>
    </w:p>
    <w:p w14:paraId="74E08D2B" w14:textId="77777777" w:rsidR="00D96A25" w:rsidRPr="0062711C" w:rsidRDefault="00D96A25" w:rsidP="00B51BEB">
      <w:pPr>
        <w:spacing w:line="256" w:lineRule="auto"/>
        <w:jc w:val="center"/>
        <w:rPr>
          <w:rFonts w:ascii="Calibri" w:eastAsia="Calibri" w:hAnsi="Calibri" w:cs="Times New Roman"/>
          <w:b/>
          <w:color w:val="002060"/>
          <w:spacing w:val="-2"/>
          <w:lang w:val="sr-Cyrl-RS"/>
        </w:rPr>
      </w:pPr>
      <w:r w:rsidRPr="0062711C">
        <w:rPr>
          <w:rFonts w:ascii="Calibri" w:eastAsia="Calibri" w:hAnsi="Calibri" w:cs="Times New Roman"/>
          <w:b/>
          <w:color w:val="002060"/>
          <w:spacing w:val="-2"/>
          <w:lang w:val="sr-Cyrl-RS"/>
        </w:rPr>
        <w:t>Преглед кретања просечних извршних каматних стопа на динарске државне хартије од вредности у периоду 2011–31. март 2024. године</w:t>
      </w:r>
    </w:p>
    <w:p w14:paraId="65949B76" w14:textId="77777777" w:rsidR="00D96A25" w:rsidRPr="0062711C" w:rsidRDefault="00D96A25" w:rsidP="00B51BEB">
      <w:pPr>
        <w:spacing w:line="256" w:lineRule="auto"/>
        <w:jc w:val="center"/>
        <w:rPr>
          <w:lang w:val="sr-Cyrl-RS"/>
        </w:rPr>
      </w:pPr>
      <w:r w:rsidRPr="0062711C">
        <w:rPr>
          <w:noProof/>
          <w:lang w:val="sr-Cyrl-RS"/>
        </w:rPr>
        <w:fldChar w:fldCharType="begin"/>
      </w:r>
      <w:r w:rsidRPr="0062711C">
        <w:rPr>
          <w:noProof/>
          <w:lang w:val="sr-Cyrl-RS"/>
        </w:rPr>
        <w:instrText xml:space="preserve"> LINK Excel.Sheet.12 "C:\\Users\\Admin\\Desktop\\Razni dokumenti\\Za Fiskalnu Strategiju\\Chart in Microsoft Word.xlsx!prosecne stope RSD![Chart in Microsoft Word.xlsx]prosecne stope RSD Chart 1" "" \a \p  \* MERGEFORMAT </w:instrText>
      </w:r>
      <w:r w:rsidRPr="0062711C">
        <w:rPr>
          <w:noProof/>
          <w:lang w:val="sr-Cyrl-RS"/>
        </w:rPr>
        <w:fldChar w:fldCharType="separate"/>
      </w:r>
      <w:r w:rsidR="00000000">
        <w:rPr>
          <w:noProof/>
          <w:lang w:val="sr-Cyrl-RS"/>
        </w:rPr>
        <w:object w:dxaOrig="6465" w:dyaOrig="5505" w14:anchorId="7095AD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4.25pt;height:180.75pt" o:ole="">
            <v:imagedata r:id="rId213" o:title=""/>
          </v:shape>
        </w:object>
      </w:r>
      <w:r w:rsidRPr="0062711C">
        <w:rPr>
          <w:noProof/>
          <w:lang w:val="sr-Cyrl-RS"/>
        </w:rPr>
        <w:fldChar w:fldCharType="end"/>
      </w:r>
    </w:p>
    <w:p w14:paraId="1DBC67B3" w14:textId="77777777" w:rsidR="00D96A25" w:rsidRPr="0062711C" w:rsidRDefault="00D96A25" w:rsidP="00B51BEB">
      <w:pPr>
        <w:spacing w:line="256" w:lineRule="auto"/>
        <w:jc w:val="center"/>
        <w:rPr>
          <w:rFonts w:ascii="Calibri" w:eastAsia="Calibri" w:hAnsi="Calibri" w:cs="Times New Roman"/>
          <w:b/>
          <w:color w:val="002060"/>
          <w:spacing w:val="-2"/>
          <w:lang w:val="sr-Cyrl-RS"/>
        </w:rPr>
      </w:pPr>
      <w:r w:rsidRPr="0062711C">
        <w:rPr>
          <w:rFonts w:ascii="Calibri" w:eastAsia="Calibri" w:hAnsi="Calibri" w:cs="Times New Roman"/>
          <w:b/>
          <w:color w:val="002060"/>
          <w:spacing w:val="-2"/>
          <w:lang w:val="sr-Cyrl-RS"/>
        </w:rPr>
        <w:t>Преглед кретања просечних извршних каматних стопа на евро деноминоване државне хартије од вредности у периоду 2011–31. март 2024. године</w:t>
      </w:r>
    </w:p>
    <w:p w14:paraId="3E83567F" w14:textId="42DF928F" w:rsidR="00496975" w:rsidRDefault="00D96A25" w:rsidP="00B51BEB">
      <w:pPr>
        <w:rPr>
          <w:lang w:val="sr-Cyrl-RS"/>
        </w:rPr>
      </w:pPr>
      <w:r w:rsidRPr="0062711C">
        <w:rPr>
          <w:lang w:val="sr-Cyrl-RS"/>
        </w:rPr>
        <w:fldChar w:fldCharType="begin"/>
      </w:r>
      <w:r w:rsidRPr="0062711C">
        <w:rPr>
          <w:lang w:val="sr-Cyrl-RS"/>
        </w:rPr>
        <w:instrText xml:space="preserve"> LINK Excel.Sheet.12 "C:\\Users\\Admin\\Desktop\\Razni dokumenti\\Za Fiskalnu Strategiju\\Chart in Microsoft Word.xlsx!prosecne stope EUR![Chart in Microsoft Word.xlsx]prosecne stope EUR Chart 2" "" \a \p  \* MERGEFORMAT </w:instrText>
      </w:r>
      <w:r w:rsidRPr="0062711C">
        <w:rPr>
          <w:lang w:val="sr-Cyrl-RS"/>
        </w:rPr>
        <w:fldChar w:fldCharType="separate"/>
      </w:r>
      <w:r w:rsidR="00000000">
        <w:rPr>
          <w:lang w:val="sr-Cyrl-RS"/>
        </w:rPr>
        <w:object w:dxaOrig="6210" w:dyaOrig="5490" w14:anchorId="39288674">
          <v:shape id="_x0000_i1026" type="#_x0000_t75" style="width:201pt;height:195.75pt" o:ole="" o:preferrelative="f">
            <v:imagedata r:id="rId214" o:title=""/>
          </v:shape>
        </w:object>
      </w:r>
      <w:r w:rsidRPr="0062711C">
        <w:rPr>
          <w:lang w:val="sr-Cyrl-RS"/>
        </w:rPr>
        <w:fldChar w:fldCharType="end"/>
      </w:r>
    </w:p>
    <w:p w14:paraId="160652FD" w14:textId="77777777" w:rsidR="00496975" w:rsidRDefault="00496975" w:rsidP="00B51BEB">
      <w:pPr>
        <w:rPr>
          <w:lang w:val="sr-Cyrl-RS"/>
        </w:rPr>
        <w:sectPr w:rsidR="00496975" w:rsidSect="00F45C01">
          <w:type w:val="continuous"/>
          <w:pgSz w:w="12240" w:h="15840"/>
          <w:pgMar w:top="1440" w:right="1440" w:bottom="1440" w:left="1440" w:header="720" w:footer="720" w:gutter="0"/>
          <w:cols w:num="2" w:space="720"/>
          <w15:footnoteColumns w:val="1"/>
        </w:sectPr>
      </w:pPr>
    </w:p>
    <w:p w14:paraId="5FE303EF" w14:textId="3C26FB4C" w:rsidR="00D96A25" w:rsidRPr="0062711C" w:rsidRDefault="00D96A25" w:rsidP="00496975">
      <w:pPr>
        <w:rPr>
          <w:lang w:val="sr-Cyrl-RS"/>
        </w:rPr>
      </w:pPr>
    </w:p>
    <w:p w14:paraId="46F0CD00" w14:textId="77777777" w:rsidR="00D96A25" w:rsidRPr="0062711C" w:rsidRDefault="00D96A25" w:rsidP="00496975">
      <w:pPr>
        <w:rPr>
          <w:rFonts w:cs="Times New Roman"/>
          <w:b/>
          <w:color w:val="002060"/>
          <w:spacing w:val="-4"/>
          <w:lang w:val="sr-Cyrl-RS"/>
        </w:rPr>
      </w:pPr>
    </w:p>
    <w:p w14:paraId="44C2906A" w14:textId="77777777" w:rsidR="00D96A25" w:rsidRPr="0062711C" w:rsidRDefault="00D96A25" w:rsidP="00496975">
      <w:pPr>
        <w:rPr>
          <w:rFonts w:cs="Times New Roman"/>
          <w:b/>
          <w:color w:val="002060"/>
          <w:spacing w:val="-4"/>
          <w:lang w:val="sr-Cyrl-RS"/>
        </w:rPr>
      </w:pPr>
    </w:p>
    <w:p w14:paraId="54B56BCA" w14:textId="77777777" w:rsidR="00496975" w:rsidRDefault="00496975" w:rsidP="00496975">
      <w:pPr>
        <w:rPr>
          <w:lang w:val="sr-Cyrl-RS"/>
        </w:rPr>
      </w:pPr>
      <w:r>
        <w:rPr>
          <w:lang w:val="sr-Cyrl-RS"/>
        </w:rPr>
        <w:br w:type="page"/>
      </w:r>
    </w:p>
    <w:p w14:paraId="772B13D6" w14:textId="4100BF3D"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lastRenderedPageBreak/>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2027 / 3,125%)</w:t>
      </w:r>
    </w:p>
    <w:p w14:paraId="4AA4F712" w14:textId="77777777" w:rsidR="00D96A25" w:rsidRPr="0062711C" w:rsidRDefault="00D96A25" w:rsidP="00B51BEB">
      <w:pPr>
        <w:spacing w:line="256" w:lineRule="auto"/>
        <w:jc w:val="center"/>
        <w:rPr>
          <w:noProof/>
          <w:lang w:val="sr-Cyrl-RS"/>
        </w:rPr>
      </w:pPr>
      <w:r w:rsidRPr="0062711C">
        <w:rPr>
          <w:noProof/>
          <w:lang w:val="sr-Cyrl-RS"/>
        </w:rPr>
        <w:fldChar w:fldCharType="begin"/>
      </w:r>
      <w:r w:rsidRPr="0062711C">
        <w:rPr>
          <w:noProof/>
          <w:lang w:val="sr-Cyrl-RS"/>
        </w:rPr>
        <w:instrText xml:space="preserve"> LINK Excel.Sheet.12 "C:\\Users\\Admin\\Desktop\\Razni dokumenti\\Za Fiskalnu Strategiju\\Eurobondovi kriva prinosa.xlsx!EUROBOND 2027 offline![Eurobondovi kriva prinosa.xlsx]EUROBOND 2027 offline Chart 2" "" \a \p  \* MERGEFORMAT </w:instrText>
      </w:r>
      <w:r w:rsidRPr="0062711C">
        <w:rPr>
          <w:noProof/>
          <w:lang w:val="sr-Cyrl-RS"/>
        </w:rPr>
        <w:fldChar w:fldCharType="separate"/>
      </w:r>
      <w:r w:rsidR="00000000">
        <w:rPr>
          <w:noProof/>
          <w:lang w:val="sr-Cyrl-RS"/>
        </w:rPr>
        <w:object w:dxaOrig="6225" w:dyaOrig="5505" w14:anchorId="62BAD67F">
          <v:shape id="_x0000_i1027" type="#_x0000_t75" style="width:201.75pt;height:174pt" o:ole="" o:preferrelative="f">
            <v:imagedata r:id="rId215" o:title=""/>
            <o:lock v:ext="edit" aspectratio="f"/>
          </v:shape>
        </w:object>
      </w:r>
      <w:r w:rsidRPr="0062711C">
        <w:rPr>
          <w:noProof/>
          <w:lang w:val="sr-Cyrl-RS"/>
        </w:rPr>
        <w:fldChar w:fldCharType="end"/>
      </w:r>
    </w:p>
    <w:p w14:paraId="35A750F8"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2029 / 1,500%)</w:t>
      </w:r>
    </w:p>
    <w:p w14:paraId="6EDA155B" w14:textId="77777777" w:rsidR="00D96A25" w:rsidRPr="0062711C" w:rsidRDefault="00D96A25" w:rsidP="00B51BEB">
      <w:pPr>
        <w:jc w:val="center"/>
        <w:rPr>
          <w:rFonts w:ascii="Calibri" w:eastAsia="Calibri" w:hAnsi="Calibri" w:cs="Times New Roman"/>
          <w:b/>
          <w:bCs/>
          <w:color w:val="002060"/>
          <w:spacing w:val="-4"/>
          <w:lang w:val="sr-Cyrl-RS"/>
        </w:rPr>
      </w:pP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2029 offline![Eurobondovi kriva prinosa.xlsx]EUROBOND 2029 offline Chart 5"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150" w:dyaOrig="5505" w14:anchorId="34C3B57B">
          <v:shape id="_x0000_i1028" type="#_x0000_t75" style="width:200.25pt;height:174pt" o:ole="" o:preferrelative="f">
            <v:imagedata r:id="rId216" o:title=""/>
            <o:lock v:ext="edit" aspectratio="f"/>
          </v:shape>
        </w:object>
      </w:r>
      <w:r w:rsidRPr="0062711C">
        <w:rPr>
          <w:rFonts w:ascii="Calibri" w:eastAsia="Calibri" w:hAnsi="Calibri" w:cs="Times New Roman"/>
          <w:b/>
          <w:bCs/>
          <w:color w:val="002060"/>
          <w:spacing w:val="-4"/>
          <w:lang w:val="sr-Cyrl-RS"/>
        </w:rPr>
        <w:fldChar w:fldCharType="end"/>
      </w:r>
    </w:p>
    <w:p w14:paraId="3F72270A"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2036 / 2,050%)</w:t>
      </w:r>
    </w:p>
    <w:p w14:paraId="19508287" w14:textId="77777777" w:rsidR="00D96A25" w:rsidRPr="0062711C" w:rsidRDefault="00D96A25" w:rsidP="00B51BEB">
      <w:pPr>
        <w:jc w:val="center"/>
        <w:rPr>
          <w:rFonts w:ascii="Calibri" w:eastAsia="Calibri" w:hAnsi="Calibri" w:cs="Times New Roman"/>
          <w:b/>
          <w:bCs/>
          <w:color w:val="002060"/>
          <w:spacing w:val="-4"/>
          <w:lang w:val="sr-Cyrl-RS"/>
        </w:rPr>
      </w:pP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2036 offline![Eurobondovi kriva prinosa.xlsx]EUROBOND 2036 offline Chart 2"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225" w:dyaOrig="5790" w14:anchorId="53160660">
          <v:shape id="_x0000_i1029" type="#_x0000_t75" style="width:201.75pt;height:173.25pt" o:ole="" o:preferrelative="f">
            <v:imagedata r:id="rId217" o:title=""/>
            <o:lock v:ext="edit" aspectratio="f"/>
          </v:shape>
        </w:object>
      </w:r>
      <w:r w:rsidRPr="0062711C">
        <w:rPr>
          <w:rFonts w:ascii="Calibri" w:eastAsia="Calibri" w:hAnsi="Calibri" w:cs="Times New Roman"/>
          <w:b/>
          <w:bCs/>
          <w:color w:val="002060"/>
          <w:spacing w:val="-4"/>
          <w:lang w:val="sr-Cyrl-RS"/>
        </w:rPr>
        <w:fldChar w:fldCharType="end"/>
      </w:r>
    </w:p>
    <w:p w14:paraId="40AC2AFE"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pPr>
    </w:p>
    <w:p w14:paraId="27FA23B9"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p>
    <w:p w14:paraId="423934B1"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2028 / 1,000%)</w:t>
      </w:r>
    </w:p>
    <w:p w14:paraId="27A744E4"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pP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2028 offline![Eurobondovi kriva prinosa.xlsx]EUROBOND 2028 offline Chart 1"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285" w:dyaOrig="5490" w14:anchorId="0EFF70C9">
          <v:shape id="_x0000_i1030" type="#_x0000_t75" style="width:201.75pt;height:173.25pt" o:ole="" o:preferrelative="f">
            <v:imagedata r:id="rId218" o:title=""/>
            <o:lock v:ext="edit" aspectratio="f"/>
          </v:shape>
        </w:object>
      </w:r>
      <w:r w:rsidRPr="0062711C">
        <w:rPr>
          <w:rFonts w:ascii="Calibri" w:eastAsia="Calibri" w:hAnsi="Calibri" w:cs="Times New Roman"/>
          <w:b/>
          <w:bCs/>
          <w:color w:val="002060"/>
          <w:spacing w:val="-4"/>
          <w:lang w:val="sr-Cyrl-RS"/>
        </w:rPr>
        <w:fldChar w:fldCharType="end"/>
      </w:r>
    </w:p>
    <w:p w14:paraId="570AA975"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2033 / 1,650%)</w:t>
      </w:r>
    </w:p>
    <w:p w14:paraId="4F13C40C"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pP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2033 offline![Eurobondovi kriva prinosa.xlsx]EUROBOND 2033 offline Chart 1"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255" w:dyaOrig="5190" w14:anchorId="789695AC">
          <v:shape id="_x0000_i1031" type="#_x0000_t75" style="width:197.25pt;height:171pt" o:ole="" o:preferrelative="f">
            <v:imagedata r:id="rId219" o:title=""/>
            <o:lock v:ext="edit" aspectratio="f"/>
          </v:shape>
        </w:object>
      </w:r>
      <w:r w:rsidRPr="0062711C">
        <w:rPr>
          <w:rFonts w:ascii="Calibri" w:eastAsia="Calibri" w:hAnsi="Calibri" w:cs="Times New Roman"/>
          <w:b/>
          <w:bCs/>
          <w:color w:val="002060"/>
          <w:spacing w:val="-4"/>
          <w:lang w:val="sr-Cyrl-RS"/>
        </w:rPr>
        <w:fldChar w:fldCharType="end"/>
      </w:r>
    </w:p>
    <w:p w14:paraId="4454D255"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2028 / 6,250%)</w:t>
      </w:r>
    </w:p>
    <w:p w14:paraId="0515D5C8"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pP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2028-2 offline![Eurobondovi kriva prinosa.xlsx]EUROBOND 2028-2 offline Chart 1"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285" w:dyaOrig="5490" w14:anchorId="43F8F2B4">
          <v:shape id="_x0000_i1032" type="#_x0000_t75" style="width:197.25pt;height:170.25pt" o:ole="" o:preferrelative="f">
            <v:imagedata r:id="rId220" o:title=""/>
            <o:lock v:ext="edit" aspectratio="f"/>
          </v:shape>
        </w:object>
      </w:r>
      <w:r w:rsidRPr="0062711C">
        <w:rPr>
          <w:rFonts w:ascii="Calibri" w:eastAsia="Calibri" w:hAnsi="Calibri" w:cs="Times New Roman"/>
          <w:b/>
          <w:bCs/>
          <w:color w:val="002060"/>
          <w:spacing w:val="-4"/>
          <w:lang w:val="sr-Cyrl-RS"/>
        </w:rPr>
        <w:fldChar w:fldCharType="end"/>
      </w:r>
    </w:p>
    <w:p w14:paraId="31B71766"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pPr>
    </w:p>
    <w:p w14:paraId="7D4CA196" w14:textId="77777777" w:rsidR="00D96A25" w:rsidRPr="0062711C" w:rsidRDefault="00D96A25" w:rsidP="00B51BEB">
      <w:pPr>
        <w:spacing w:after="0" w:line="240" w:lineRule="auto"/>
        <w:jc w:val="center"/>
        <w:rPr>
          <w:rFonts w:ascii="Calibri" w:eastAsia="Calibri" w:hAnsi="Calibri" w:cs="Times New Roman"/>
          <w:b/>
          <w:bCs/>
          <w:color w:val="002060"/>
          <w:spacing w:val="-4"/>
          <w:sz w:val="18"/>
          <w:szCs w:val="18"/>
          <w:lang w:val="sr-Cyrl-RS"/>
        </w:rPr>
      </w:pPr>
      <w:r w:rsidRPr="0062711C">
        <w:rPr>
          <w:rFonts w:ascii="Calibri" w:eastAsia="Calibri" w:hAnsi="Calibri" w:cs="Times New Roman"/>
          <w:b/>
          <w:bCs/>
          <w:color w:val="002060"/>
          <w:spacing w:val="-4"/>
          <w:sz w:val="18"/>
          <w:szCs w:val="18"/>
          <w:lang w:val="sr-Cyrl-RS"/>
        </w:rPr>
        <w:lastRenderedPageBreak/>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2030 / 2,125%)</w:t>
      </w:r>
    </w:p>
    <w:p w14:paraId="7FDFF90A"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pP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2030 offline![Eurobondovi kriva prinosa.xlsx]EUROBOND 2030 offline Chart 1"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150" w:dyaOrig="5190" w14:anchorId="4083A9C0">
          <v:shape id="_x0000_i1033" type="#_x0000_t75" style="width:197.25pt;height:166.5pt" o:ole="" o:preferrelative="f">
            <v:imagedata r:id="rId221" o:title=""/>
          </v:shape>
        </w:object>
      </w:r>
      <w:r w:rsidRPr="0062711C">
        <w:rPr>
          <w:rFonts w:ascii="Calibri" w:eastAsia="Calibri" w:hAnsi="Calibri" w:cs="Times New Roman"/>
          <w:b/>
          <w:bCs/>
          <w:color w:val="002060"/>
          <w:spacing w:val="-4"/>
          <w:lang w:val="sr-Cyrl-RS"/>
        </w:rPr>
        <w:fldChar w:fldCharType="end"/>
      </w:r>
    </w:p>
    <w:p w14:paraId="4E61F715" w14:textId="77777777" w:rsidR="00D96A25" w:rsidRPr="0062711C" w:rsidRDefault="00D96A25" w:rsidP="00B51BEB">
      <w:pPr>
        <w:spacing w:line="256" w:lineRule="auto"/>
        <w:jc w:val="center"/>
        <w:rPr>
          <w:rFonts w:ascii="Calibri" w:eastAsia="Calibri" w:hAnsi="Calibri" w:cs="Times New Roman"/>
          <w:b/>
          <w:bCs/>
          <w:color w:val="002060"/>
          <w:spacing w:val="-4"/>
          <w:lang w:val="sr-Cyrl-RS"/>
        </w:rPr>
        <w:sectPr w:rsidR="00D96A25" w:rsidRPr="0062711C" w:rsidSect="00F45C01">
          <w:type w:val="continuous"/>
          <w:pgSz w:w="12240" w:h="15840"/>
          <w:pgMar w:top="1440" w:right="1440" w:bottom="1440" w:left="1440" w:header="720" w:footer="720" w:gutter="0"/>
          <w:cols w:num="2" w:space="720"/>
          <w15:footnoteColumns w:val="1"/>
        </w:sectPr>
      </w:pPr>
      <w:r w:rsidRPr="0062711C">
        <w:rPr>
          <w:rFonts w:ascii="Calibri" w:eastAsia="Calibri" w:hAnsi="Calibri" w:cs="Times New Roman"/>
          <w:b/>
          <w:bCs/>
          <w:color w:val="002060"/>
          <w:spacing w:val="-4"/>
          <w:sz w:val="18"/>
          <w:szCs w:val="18"/>
          <w:lang w:val="sr-Cyrl-RS"/>
        </w:rPr>
        <w:t xml:space="preserve">Преглед кретања цене и приноса на </w:t>
      </w:r>
      <w:r w:rsidRPr="0062711C">
        <w:rPr>
          <w:rFonts w:ascii="Calibri" w:eastAsia="Calibri" w:hAnsi="Calibri" w:cs="Times New Roman"/>
          <w:b/>
          <w:bCs/>
          <w:color w:val="002060"/>
          <w:spacing w:val="-4"/>
          <w:sz w:val="18"/>
          <w:szCs w:val="18"/>
          <w:lang w:val="sr-Cyrl-RS"/>
        </w:rPr>
        <w:br w:type="textWrapping" w:clear="all"/>
        <w:t>еврообвезницу Србија (EB 2033 / 6,500%)</w:t>
      </w:r>
      <w:r w:rsidRPr="0062711C">
        <w:rPr>
          <w:rFonts w:ascii="Calibri" w:eastAsia="Calibri" w:hAnsi="Calibri" w:cs="Times New Roman"/>
          <w:b/>
          <w:bCs/>
          <w:color w:val="002060"/>
          <w:spacing w:val="-4"/>
          <w:lang w:val="sr-Cyrl-RS"/>
        </w:rPr>
        <w:fldChar w:fldCharType="begin"/>
      </w:r>
      <w:r w:rsidRPr="0062711C">
        <w:rPr>
          <w:rFonts w:ascii="Calibri" w:eastAsia="Calibri" w:hAnsi="Calibri" w:cs="Times New Roman"/>
          <w:b/>
          <w:bCs/>
          <w:color w:val="002060"/>
          <w:spacing w:val="-4"/>
          <w:lang w:val="sr-Cyrl-RS"/>
        </w:rPr>
        <w:instrText xml:space="preserve"> LINK Excel.Sheet.12 "C:\\Users\\Admin\\Desktop\\Razni dokumenti\\Za Fiskalnu Strategiju\\Eurobondovi kriva prinosa.xlsx!EUROBOND 2033-2 offline![Eurobondovi kriva prinosa.xlsx]EUROBOND 2033-2 offline Chart 1" "" \a \p  \* MERGEFORMAT </w:instrText>
      </w:r>
      <w:r w:rsidRPr="0062711C">
        <w:rPr>
          <w:rFonts w:ascii="Calibri" w:eastAsia="Calibri" w:hAnsi="Calibri" w:cs="Times New Roman"/>
          <w:b/>
          <w:bCs/>
          <w:color w:val="002060"/>
          <w:spacing w:val="-4"/>
          <w:lang w:val="sr-Cyrl-RS"/>
        </w:rPr>
        <w:fldChar w:fldCharType="separate"/>
      </w:r>
      <w:r w:rsidR="00000000">
        <w:rPr>
          <w:rFonts w:ascii="Calibri" w:eastAsia="Calibri" w:hAnsi="Calibri" w:cs="Times New Roman"/>
          <w:b/>
          <w:bCs/>
          <w:color w:val="002060"/>
          <w:spacing w:val="-4"/>
          <w:lang w:val="sr-Cyrl-RS"/>
        </w:rPr>
        <w:object w:dxaOrig="6255" w:dyaOrig="4890" w14:anchorId="1613F3BC">
          <v:shape id="_x0000_i1034" type="#_x0000_t75" style="width:197.25pt;height:168pt" o:ole="" o:preferrelative="f">
            <v:imagedata r:id="rId222" o:title=""/>
            <o:lock v:ext="edit" aspectratio="f"/>
          </v:shape>
        </w:object>
      </w:r>
      <w:r w:rsidRPr="0062711C">
        <w:rPr>
          <w:rFonts w:ascii="Calibri" w:eastAsia="Calibri" w:hAnsi="Calibri" w:cs="Times New Roman"/>
          <w:b/>
          <w:bCs/>
          <w:color w:val="002060"/>
          <w:spacing w:val="-4"/>
          <w:lang w:val="sr-Cyrl-RS"/>
        </w:rPr>
        <w:fldChar w:fldCharType="end"/>
      </w:r>
    </w:p>
    <w:p w14:paraId="1F50C39D" w14:textId="1F69FF2E" w:rsidR="00D96A25" w:rsidRPr="0062711C" w:rsidRDefault="00D96A25" w:rsidP="00C91F83">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 xml:space="preserve">Табела </w:t>
      </w:r>
      <w:r w:rsidR="00BB1E84">
        <w:rPr>
          <w:rFonts w:ascii="Calibri" w:eastAsia="Calibri" w:hAnsi="Calibri" w:cs="Times New Roman"/>
          <w:b/>
          <w:color w:val="002060"/>
        </w:rPr>
        <w:t>31</w:t>
      </w:r>
      <w:r w:rsidRPr="0062711C">
        <w:rPr>
          <w:rFonts w:ascii="Calibri" w:eastAsia="Calibri" w:hAnsi="Calibri" w:cs="Times New Roman"/>
          <w:b/>
          <w:color w:val="002060"/>
          <w:lang w:val="sr-Cyrl-RS"/>
        </w:rPr>
        <w:t>. Пројекције отплате камата и главница до 2027. године</w:t>
      </w:r>
      <w:r w:rsidRPr="0062711C">
        <w:rPr>
          <w:rFonts w:ascii="Calibri" w:eastAsia="Calibri" w:hAnsi="Calibri" w:cs="Times New Roman"/>
          <w:color w:val="002060"/>
          <w:lang w:val="sr-Cyrl-RS"/>
        </w:rPr>
        <w:t xml:space="preserve"> </w:t>
      </w:r>
      <w:r w:rsidRPr="0062711C">
        <w:rPr>
          <w:rFonts w:ascii="Calibri" w:eastAsia="Calibri" w:hAnsi="Calibri" w:cs="Times New Roman"/>
          <w:b/>
          <w:color w:val="002060"/>
          <w:lang w:val="sr-Cyrl-RS"/>
        </w:rPr>
        <w:t>(млрд динара)</w:t>
      </w:r>
    </w:p>
    <w:tbl>
      <w:tblPr>
        <w:tblStyle w:val="LightShading-Accent1222"/>
        <w:tblW w:w="5000" w:type="pct"/>
        <w:tblInd w:w="0" w:type="dxa"/>
        <w:tblLook w:val="0420" w:firstRow="1" w:lastRow="0" w:firstColumn="0" w:lastColumn="0" w:noHBand="0" w:noVBand="1"/>
      </w:tblPr>
      <w:tblGrid>
        <w:gridCol w:w="4937"/>
        <w:gridCol w:w="1105"/>
        <w:gridCol w:w="1106"/>
        <w:gridCol w:w="1106"/>
        <w:gridCol w:w="1106"/>
      </w:tblGrid>
      <w:tr w:rsidR="00D96A25" w:rsidRPr="0062711C" w14:paraId="7DBEA102" w14:textId="77777777" w:rsidTr="00C91F83">
        <w:trPr>
          <w:cnfStyle w:val="100000000000" w:firstRow="1" w:lastRow="0" w:firstColumn="0" w:lastColumn="0" w:oddVBand="0" w:evenVBand="0" w:oddHBand="0" w:evenHBand="0" w:firstRowFirstColumn="0" w:firstRowLastColumn="0" w:lastRowFirstColumn="0" w:lastRowLastColumn="0"/>
          <w:trHeight w:val="226"/>
        </w:trPr>
        <w:tc>
          <w:tcPr>
            <w:tcW w:w="2637" w:type="pct"/>
            <w:tcBorders>
              <w:top w:val="single" w:sz="4" w:space="0" w:color="002060"/>
              <w:bottom w:val="single" w:sz="4" w:space="0" w:color="FFFFFF" w:themeColor="background1"/>
            </w:tcBorders>
            <w:noWrap/>
            <w:hideMark/>
          </w:tcPr>
          <w:p w14:paraId="786D0F7C" w14:textId="77777777" w:rsidR="00D96A25" w:rsidRPr="0062711C" w:rsidRDefault="00D96A25" w:rsidP="00B51BEB">
            <w:pPr>
              <w:rPr>
                <w:rFonts w:ascii="Calibri" w:eastAsia="Times New Roman" w:hAnsi="Calibri" w:cs="Calibri"/>
                <w:color w:val="002060"/>
                <w:sz w:val="18"/>
                <w:szCs w:val="18"/>
                <w:lang w:val="sr-Cyrl-RS" w:eastAsia="ja-JP"/>
              </w:rPr>
            </w:pPr>
            <w:r w:rsidRPr="0062711C">
              <w:rPr>
                <w:rFonts w:ascii="Calibri" w:eastAsia="Times New Roman" w:hAnsi="Calibri" w:cs="Calibri"/>
                <w:color w:val="002060"/>
                <w:sz w:val="18"/>
                <w:szCs w:val="18"/>
                <w:lang w:val="sr-Cyrl-RS" w:eastAsia="ja-JP"/>
              </w:rPr>
              <w:t> </w:t>
            </w:r>
          </w:p>
        </w:tc>
        <w:tc>
          <w:tcPr>
            <w:tcW w:w="590" w:type="pct"/>
            <w:tcBorders>
              <w:top w:val="single" w:sz="4" w:space="0" w:color="002060"/>
              <w:bottom w:val="single" w:sz="4" w:space="0" w:color="002060"/>
            </w:tcBorders>
            <w:noWrap/>
            <w:hideMark/>
          </w:tcPr>
          <w:p w14:paraId="0AF803C2"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2024 п</w:t>
            </w:r>
          </w:p>
        </w:tc>
        <w:tc>
          <w:tcPr>
            <w:tcW w:w="591" w:type="pct"/>
            <w:tcBorders>
              <w:top w:val="single" w:sz="4" w:space="0" w:color="002060"/>
              <w:bottom w:val="single" w:sz="4" w:space="0" w:color="002060"/>
            </w:tcBorders>
            <w:noWrap/>
            <w:hideMark/>
          </w:tcPr>
          <w:p w14:paraId="67B4D8C1"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2025 п</w:t>
            </w:r>
          </w:p>
        </w:tc>
        <w:tc>
          <w:tcPr>
            <w:tcW w:w="591" w:type="pct"/>
            <w:tcBorders>
              <w:top w:val="single" w:sz="4" w:space="0" w:color="002060"/>
              <w:bottom w:val="single" w:sz="4" w:space="0" w:color="002060"/>
            </w:tcBorders>
            <w:noWrap/>
            <w:hideMark/>
          </w:tcPr>
          <w:p w14:paraId="1FEC558F"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2026 п</w:t>
            </w:r>
          </w:p>
        </w:tc>
        <w:tc>
          <w:tcPr>
            <w:tcW w:w="591" w:type="pct"/>
            <w:tcBorders>
              <w:top w:val="single" w:sz="4" w:space="0" w:color="002060"/>
              <w:bottom w:val="single" w:sz="4" w:space="0" w:color="002060"/>
            </w:tcBorders>
            <w:noWrap/>
            <w:hideMark/>
          </w:tcPr>
          <w:p w14:paraId="489B0293"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2027 п</w:t>
            </w:r>
          </w:p>
        </w:tc>
      </w:tr>
      <w:tr w:rsidR="00D96A25" w:rsidRPr="0062711C" w14:paraId="49340858" w14:textId="77777777" w:rsidTr="00C91F83">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single" w:sz="4" w:space="0" w:color="FFFFFF" w:themeColor="background1"/>
              <w:bottom w:val="nil"/>
            </w:tcBorders>
            <w:shd w:val="clear" w:color="auto" w:fill="E7E6E6" w:themeFill="background2"/>
            <w:noWrap/>
            <w:hideMark/>
          </w:tcPr>
          <w:p w14:paraId="1533C13D"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bCs/>
                <w:color w:val="002060"/>
                <w:sz w:val="18"/>
                <w:szCs w:val="18"/>
                <w:lang w:val="sr-Cyrl-RS"/>
              </w:rPr>
              <w:t>Главница*</w:t>
            </w:r>
          </w:p>
        </w:tc>
        <w:tc>
          <w:tcPr>
            <w:tcW w:w="590" w:type="pct"/>
            <w:tcBorders>
              <w:top w:val="single" w:sz="4" w:space="0" w:color="002060"/>
              <w:bottom w:val="nil"/>
            </w:tcBorders>
            <w:shd w:val="clear" w:color="auto" w:fill="E7E6E6" w:themeFill="background2"/>
            <w:noWrap/>
            <w:hideMark/>
          </w:tcPr>
          <w:p w14:paraId="7D891035"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724,5</w:t>
            </w:r>
          </w:p>
        </w:tc>
        <w:tc>
          <w:tcPr>
            <w:tcW w:w="591" w:type="pct"/>
            <w:tcBorders>
              <w:top w:val="single" w:sz="4" w:space="0" w:color="002060"/>
              <w:bottom w:val="nil"/>
            </w:tcBorders>
            <w:shd w:val="clear" w:color="auto" w:fill="E7E6E6" w:themeFill="background2"/>
            <w:noWrap/>
            <w:hideMark/>
          </w:tcPr>
          <w:p w14:paraId="0E3FB34C"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518,0</w:t>
            </w:r>
          </w:p>
        </w:tc>
        <w:tc>
          <w:tcPr>
            <w:tcW w:w="591" w:type="pct"/>
            <w:tcBorders>
              <w:top w:val="single" w:sz="4" w:space="0" w:color="002060"/>
              <w:bottom w:val="nil"/>
            </w:tcBorders>
            <w:shd w:val="clear" w:color="auto" w:fill="E7E6E6" w:themeFill="background2"/>
            <w:noWrap/>
            <w:hideMark/>
          </w:tcPr>
          <w:p w14:paraId="3CCE2FC5"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832,0</w:t>
            </w:r>
          </w:p>
        </w:tc>
        <w:tc>
          <w:tcPr>
            <w:tcW w:w="591" w:type="pct"/>
            <w:tcBorders>
              <w:top w:val="single" w:sz="4" w:space="0" w:color="002060"/>
              <w:bottom w:val="nil"/>
            </w:tcBorders>
            <w:shd w:val="clear" w:color="auto" w:fill="E7E6E6" w:themeFill="background2"/>
            <w:noWrap/>
            <w:hideMark/>
          </w:tcPr>
          <w:p w14:paraId="4D0B6525"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715,3</w:t>
            </w:r>
          </w:p>
        </w:tc>
      </w:tr>
      <w:tr w:rsidR="00D96A25" w:rsidRPr="0062711C" w14:paraId="2DA468C1" w14:textId="77777777" w:rsidTr="00C91F83">
        <w:trPr>
          <w:trHeight w:val="226"/>
        </w:trPr>
        <w:tc>
          <w:tcPr>
            <w:tcW w:w="2637" w:type="pct"/>
            <w:tcBorders>
              <w:top w:val="nil"/>
              <w:left w:val="nil"/>
              <w:bottom w:val="nil"/>
              <w:right w:val="nil"/>
            </w:tcBorders>
            <w:noWrap/>
            <w:hideMark/>
          </w:tcPr>
          <w:p w14:paraId="6C30F1E1"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Камата</w:t>
            </w:r>
          </w:p>
        </w:tc>
        <w:tc>
          <w:tcPr>
            <w:tcW w:w="590" w:type="pct"/>
            <w:tcBorders>
              <w:top w:val="nil"/>
              <w:left w:val="nil"/>
              <w:bottom w:val="nil"/>
              <w:right w:val="nil"/>
            </w:tcBorders>
            <w:noWrap/>
            <w:hideMark/>
          </w:tcPr>
          <w:p w14:paraId="2CBC43BE"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183,5</w:t>
            </w:r>
          </w:p>
        </w:tc>
        <w:tc>
          <w:tcPr>
            <w:tcW w:w="591" w:type="pct"/>
            <w:tcBorders>
              <w:top w:val="nil"/>
              <w:left w:val="nil"/>
              <w:bottom w:val="nil"/>
              <w:right w:val="nil"/>
            </w:tcBorders>
            <w:noWrap/>
            <w:hideMark/>
          </w:tcPr>
          <w:p w14:paraId="4D7FA55E"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225,1</w:t>
            </w:r>
          </w:p>
        </w:tc>
        <w:tc>
          <w:tcPr>
            <w:tcW w:w="591" w:type="pct"/>
            <w:tcBorders>
              <w:top w:val="nil"/>
              <w:left w:val="nil"/>
              <w:bottom w:val="nil"/>
              <w:right w:val="nil"/>
            </w:tcBorders>
            <w:noWrap/>
            <w:hideMark/>
          </w:tcPr>
          <w:p w14:paraId="34F7DCB8"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239,1</w:t>
            </w:r>
          </w:p>
        </w:tc>
        <w:tc>
          <w:tcPr>
            <w:tcW w:w="591" w:type="pct"/>
            <w:tcBorders>
              <w:top w:val="nil"/>
              <w:left w:val="nil"/>
              <w:bottom w:val="nil"/>
              <w:right w:val="nil"/>
            </w:tcBorders>
            <w:noWrap/>
            <w:hideMark/>
          </w:tcPr>
          <w:p w14:paraId="23DB42F5"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260,9</w:t>
            </w:r>
          </w:p>
        </w:tc>
      </w:tr>
      <w:tr w:rsidR="00D96A25" w:rsidRPr="0062711C" w14:paraId="4053DAD3" w14:textId="77777777" w:rsidTr="00C91F83">
        <w:trPr>
          <w:cnfStyle w:val="000000100000" w:firstRow="0" w:lastRow="0" w:firstColumn="0" w:lastColumn="0" w:oddVBand="0" w:evenVBand="0" w:oddHBand="1" w:evenHBand="0" w:firstRowFirstColumn="0" w:firstRowLastColumn="0" w:lastRowFirstColumn="0" w:lastRowLastColumn="0"/>
          <w:trHeight w:val="226"/>
        </w:trPr>
        <w:tc>
          <w:tcPr>
            <w:tcW w:w="2637" w:type="pct"/>
            <w:tcBorders>
              <w:top w:val="nil"/>
              <w:bottom w:val="nil"/>
            </w:tcBorders>
            <w:shd w:val="clear" w:color="auto" w:fill="E7E6E6" w:themeFill="background2"/>
            <w:noWrap/>
            <w:hideMark/>
          </w:tcPr>
          <w:p w14:paraId="17536CFD"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bCs/>
                <w:color w:val="002060"/>
                <w:sz w:val="18"/>
                <w:szCs w:val="18"/>
                <w:lang w:val="sr-Cyrl-RS"/>
              </w:rPr>
              <w:t>Укупно</w:t>
            </w:r>
          </w:p>
        </w:tc>
        <w:tc>
          <w:tcPr>
            <w:tcW w:w="590" w:type="pct"/>
            <w:tcBorders>
              <w:top w:val="nil"/>
              <w:bottom w:val="nil"/>
            </w:tcBorders>
            <w:shd w:val="clear" w:color="auto" w:fill="E7E6E6" w:themeFill="background2"/>
            <w:noWrap/>
            <w:hideMark/>
          </w:tcPr>
          <w:p w14:paraId="7688D436"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908,0</w:t>
            </w:r>
          </w:p>
        </w:tc>
        <w:tc>
          <w:tcPr>
            <w:tcW w:w="591" w:type="pct"/>
            <w:tcBorders>
              <w:top w:val="nil"/>
              <w:bottom w:val="nil"/>
            </w:tcBorders>
            <w:shd w:val="clear" w:color="auto" w:fill="E7E6E6" w:themeFill="background2"/>
            <w:noWrap/>
            <w:hideMark/>
          </w:tcPr>
          <w:p w14:paraId="7A42258F"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743,1</w:t>
            </w:r>
          </w:p>
        </w:tc>
        <w:tc>
          <w:tcPr>
            <w:tcW w:w="591" w:type="pct"/>
            <w:tcBorders>
              <w:top w:val="nil"/>
              <w:bottom w:val="nil"/>
            </w:tcBorders>
            <w:shd w:val="clear" w:color="auto" w:fill="E7E6E6" w:themeFill="background2"/>
            <w:noWrap/>
            <w:hideMark/>
          </w:tcPr>
          <w:p w14:paraId="56A7C839"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1.071,2</w:t>
            </w:r>
          </w:p>
        </w:tc>
        <w:tc>
          <w:tcPr>
            <w:tcW w:w="591" w:type="pct"/>
            <w:tcBorders>
              <w:top w:val="nil"/>
              <w:bottom w:val="nil"/>
            </w:tcBorders>
            <w:shd w:val="clear" w:color="auto" w:fill="E7E6E6" w:themeFill="background2"/>
            <w:noWrap/>
            <w:hideMark/>
          </w:tcPr>
          <w:p w14:paraId="7DB9147C"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976,2</w:t>
            </w:r>
          </w:p>
        </w:tc>
      </w:tr>
      <w:tr w:rsidR="00D96A25" w:rsidRPr="0062711C" w14:paraId="121962E4" w14:textId="77777777" w:rsidTr="00C91F83">
        <w:trPr>
          <w:trHeight w:val="226"/>
        </w:trPr>
        <w:tc>
          <w:tcPr>
            <w:tcW w:w="2637" w:type="pct"/>
            <w:tcBorders>
              <w:top w:val="nil"/>
              <w:left w:val="nil"/>
              <w:bottom w:val="single" w:sz="4" w:space="0" w:color="002060"/>
              <w:right w:val="nil"/>
            </w:tcBorders>
            <w:noWrap/>
            <w:hideMark/>
          </w:tcPr>
          <w:p w14:paraId="6BFE9B34"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 xml:space="preserve"> У односу на јавни дуг на дан 31.3.2024. године</w:t>
            </w:r>
          </w:p>
        </w:tc>
        <w:tc>
          <w:tcPr>
            <w:tcW w:w="590" w:type="pct"/>
            <w:tcBorders>
              <w:top w:val="nil"/>
              <w:left w:val="nil"/>
              <w:bottom w:val="single" w:sz="4" w:space="0" w:color="002060"/>
              <w:right w:val="nil"/>
            </w:tcBorders>
            <w:noWrap/>
            <w:hideMark/>
          </w:tcPr>
          <w:p w14:paraId="21950FD4"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21,3%</w:t>
            </w:r>
          </w:p>
        </w:tc>
        <w:tc>
          <w:tcPr>
            <w:tcW w:w="591" w:type="pct"/>
            <w:tcBorders>
              <w:top w:val="nil"/>
              <w:left w:val="nil"/>
              <w:bottom w:val="single" w:sz="4" w:space="0" w:color="002060"/>
              <w:right w:val="nil"/>
            </w:tcBorders>
            <w:noWrap/>
            <w:hideMark/>
          </w:tcPr>
          <w:p w14:paraId="6E8D0E41"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17,5%</w:t>
            </w:r>
          </w:p>
        </w:tc>
        <w:tc>
          <w:tcPr>
            <w:tcW w:w="591" w:type="pct"/>
            <w:tcBorders>
              <w:top w:val="nil"/>
              <w:left w:val="nil"/>
              <w:bottom w:val="single" w:sz="4" w:space="0" w:color="002060"/>
              <w:right w:val="nil"/>
            </w:tcBorders>
            <w:noWrap/>
            <w:hideMark/>
          </w:tcPr>
          <w:p w14:paraId="3468D670"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25,2%</w:t>
            </w:r>
          </w:p>
        </w:tc>
        <w:tc>
          <w:tcPr>
            <w:tcW w:w="591" w:type="pct"/>
            <w:tcBorders>
              <w:top w:val="nil"/>
              <w:left w:val="nil"/>
              <w:bottom w:val="single" w:sz="4" w:space="0" w:color="002060"/>
              <w:right w:val="nil"/>
            </w:tcBorders>
            <w:noWrap/>
            <w:hideMark/>
          </w:tcPr>
          <w:p w14:paraId="34F76639"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22,9%</w:t>
            </w:r>
          </w:p>
        </w:tc>
      </w:tr>
    </w:tbl>
    <w:p w14:paraId="72F3718F" w14:textId="77777777" w:rsidR="00D96A25" w:rsidRPr="0062711C" w:rsidRDefault="00D96A25" w:rsidP="00B51BEB">
      <w:pPr>
        <w:spacing w:line="240" w:lineRule="auto"/>
        <w:rPr>
          <w:rFonts w:ascii="Calibri" w:eastAsia="Calibri" w:hAnsi="Calibri" w:cs="Calibri"/>
          <w:bCs/>
          <w:sz w:val="18"/>
          <w:szCs w:val="18"/>
          <w:lang w:val="sr-Cyrl-RS"/>
        </w:rPr>
      </w:pPr>
      <w:r w:rsidRPr="0062711C">
        <w:rPr>
          <w:rFonts w:ascii="Calibri" w:eastAsia="Calibri" w:hAnsi="Calibri" w:cs="Calibri"/>
          <w:bCs/>
          <w:sz w:val="18"/>
          <w:szCs w:val="18"/>
          <w:lang w:val="sr-Cyrl-RS"/>
        </w:rPr>
        <w:t>*</w:t>
      </w:r>
      <w:r w:rsidRPr="0062711C">
        <w:rPr>
          <w:lang w:val="sr-Cyrl-RS"/>
        </w:rPr>
        <w:t xml:space="preserve"> </w:t>
      </w:r>
      <w:r w:rsidRPr="0062711C">
        <w:rPr>
          <w:rFonts w:ascii="Calibri" w:eastAsia="Calibri" w:hAnsi="Calibri" w:cs="Calibri"/>
          <w:bCs/>
          <w:sz w:val="18"/>
          <w:szCs w:val="18"/>
          <w:lang w:val="sr-Cyrl-RS"/>
        </w:rPr>
        <w:t xml:space="preserve">укључена и средства за </w:t>
      </w:r>
      <w:r w:rsidRPr="0062711C">
        <w:rPr>
          <w:rFonts w:ascii="Calibri" w:eastAsia="Calibri" w:hAnsi="Calibri" w:cs="Calibri"/>
          <w:bCs/>
          <w:i/>
          <w:sz w:val="18"/>
          <w:szCs w:val="18"/>
          <w:lang w:val="sr-Cyrl-RS"/>
        </w:rPr>
        <w:t>buy-back</w:t>
      </w:r>
      <w:r w:rsidRPr="0062711C">
        <w:rPr>
          <w:rFonts w:ascii="Calibri" w:eastAsia="Calibri" w:hAnsi="Calibri" w:cs="Calibri"/>
          <w:bCs/>
          <w:sz w:val="18"/>
          <w:szCs w:val="18"/>
          <w:lang w:val="sr-Cyrl-RS"/>
        </w:rPr>
        <w:t xml:space="preserve"> операције</w:t>
      </w:r>
    </w:p>
    <w:p w14:paraId="005865A7" w14:textId="42C53E2A" w:rsidR="00D96A25" w:rsidRPr="0062711C" w:rsidRDefault="00D96A25" w:rsidP="00C91F83">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 xml:space="preserve">Табела </w:t>
      </w:r>
      <w:r w:rsidR="004710A1" w:rsidRPr="0062711C">
        <w:rPr>
          <w:rFonts w:ascii="Calibri" w:eastAsia="Calibri" w:hAnsi="Calibri" w:cs="Times New Roman"/>
          <w:b/>
          <w:color w:val="002060"/>
          <w:lang w:val="sr-Cyrl-RS"/>
        </w:rPr>
        <w:t>3</w:t>
      </w:r>
      <w:r w:rsidR="00BB1E84">
        <w:rPr>
          <w:rFonts w:ascii="Calibri" w:eastAsia="Calibri" w:hAnsi="Calibri" w:cs="Times New Roman"/>
          <w:b/>
          <w:color w:val="002060"/>
        </w:rPr>
        <w:t>2</w:t>
      </w:r>
      <w:r w:rsidRPr="0062711C">
        <w:rPr>
          <w:rFonts w:ascii="Calibri" w:eastAsia="Calibri" w:hAnsi="Calibri" w:cs="Times New Roman"/>
          <w:b/>
          <w:color w:val="002060"/>
          <w:lang w:val="sr-Cyrl-RS"/>
        </w:rPr>
        <w:t>. Пројекције отплате камата и главница до 2027. године (% БДП)</w:t>
      </w:r>
    </w:p>
    <w:tbl>
      <w:tblPr>
        <w:tblStyle w:val="LightShading-Accent1222"/>
        <w:tblW w:w="5000" w:type="pct"/>
        <w:tblInd w:w="0" w:type="dxa"/>
        <w:tblLook w:val="0420" w:firstRow="1" w:lastRow="0" w:firstColumn="0" w:lastColumn="0" w:noHBand="0" w:noVBand="1"/>
      </w:tblPr>
      <w:tblGrid>
        <w:gridCol w:w="4949"/>
        <w:gridCol w:w="1102"/>
        <w:gridCol w:w="1103"/>
        <w:gridCol w:w="1103"/>
        <w:gridCol w:w="1103"/>
      </w:tblGrid>
      <w:tr w:rsidR="00D96A25" w:rsidRPr="0062711C" w14:paraId="1308E38D" w14:textId="77777777" w:rsidTr="00C91F83">
        <w:trPr>
          <w:cnfStyle w:val="100000000000" w:firstRow="1" w:lastRow="0" w:firstColumn="0" w:lastColumn="0" w:oddVBand="0" w:evenVBand="0" w:oddHBand="0" w:evenHBand="0" w:firstRowFirstColumn="0" w:firstRowLastColumn="0" w:lastRowFirstColumn="0" w:lastRowLastColumn="0"/>
          <w:trHeight w:val="220"/>
        </w:trPr>
        <w:tc>
          <w:tcPr>
            <w:tcW w:w="2644" w:type="pct"/>
            <w:tcBorders>
              <w:top w:val="single" w:sz="4" w:space="0" w:color="002060"/>
              <w:bottom w:val="single" w:sz="4" w:space="0" w:color="FFFFFF" w:themeColor="background1"/>
            </w:tcBorders>
            <w:noWrap/>
            <w:hideMark/>
          </w:tcPr>
          <w:p w14:paraId="5A405DF4"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 </w:t>
            </w:r>
          </w:p>
        </w:tc>
        <w:tc>
          <w:tcPr>
            <w:tcW w:w="589" w:type="pct"/>
            <w:tcBorders>
              <w:top w:val="single" w:sz="4" w:space="0" w:color="002060"/>
              <w:bottom w:val="single" w:sz="4" w:space="0" w:color="002060"/>
            </w:tcBorders>
            <w:noWrap/>
            <w:hideMark/>
          </w:tcPr>
          <w:p w14:paraId="726152E0"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2024 п</w:t>
            </w:r>
          </w:p>
        </w:tc>
        <w:tc>
          <w:tcPr>
            <w:tcW w:w="589" w:type="pct"/>
            <w:tcBorders>
              <w:top w:val="single" w:sz="4" w:space="0" w:color="002060"/>
              <w:bottom w:val="single" w:sz="4" w:space="0" w:color="002060"/>
            </w:tcBorders>
            <w:noWrap/>
            <w:hideMark/>
          </w:tcPr>
          <w:p w14:paraId="1AB53F8F"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2025 п</w:t>
            </w:r>
          </w:p>
        </w:tc>
        <w:tc>
          <w:tcPr>
            <w:tcW w:w="589" w:type="pct"/>
            <w:tcBorders>
              <w:top w:val="single" w:sz="4" w:space="0" w:color="002060"/>
              <w:bottom w:val="single" w:sz="4" w:space="0" w:color="002060"/>
            </w:tcBorders>
            <w:noWrap/>
            <w:hideMark/>
          </w:tcPr>
          <w:p w14:paraId="3653FEE2"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2026 п</w:t>
            </w:r>
          </w:p>
        </w:tc>
        <w:tc>
          <w:tcPr>
            <w:tcW w:w="589" w:type="pct"/>
            <w:tcBorders>
              <w:top w:val="single" w:sz="4" w:space="0" w:color="002060"/>
              <w:bottom w:val="single" w:sz="4" w:space="0" w:color="002060"/>
            </w:tcBorders>
            <w:noWrap/>
            <w:hideMark/>
          </w:tcPr>
          <w:p w14:paraId="4F65E4D7"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2027 п</w:t>
            </w:r>
          </w:p>
        </w:tc>
      </w:tr>
      <w:tr w:rsidR="00D96A25" w:rsidRPr="0062711C" w14:paraId="2EA817F0" w14:textId="77777777" w:rsidTr="00C91F83">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nil"/>
            </w:tcBorders>
            <w:shd w:val="clear" w:color="auto" w:fill="E7E6E6" w:themeFill="background2"/>
            <w:noWrap/>
            <w:hideMark/>
          </w:tcPr>
          <w:p w14:paraId="570E4AB9"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Главница</w:t>
            </w:r>
          </w:p>
        </w:tc>
        <w:tc>
          <w:tcPr>
            <w:tcW w:w="589" w:type="pct"/>
            <w:tcBorders>
              <w:top w:val="nil"/>
              <w:bottom w:val="nil"/>
            </w:tcBorders>
            <w:shd w:val="clear" w:color="auto" w:fill="E7E6E6" w:themeFill="background2"/>
            <w:noWrap/>
            <w:hideMark/>
          </w:tcPr>
          <w:p w14:paraId="5A558561"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8,1%</w:t>
            </w:r>
          </w:p>
        </w:tc>
        <w:tc>
          <w:tcPr>
            <w:tcW w:w="589" w:type="pct"/>
            <w:tcBorders>
              <w:top w:val="nil"/>
              <w:bottom w:val="nil"/>
            </w:tcBorders>
            <w:shd w:val="clear" w:color="auto" w:fill="E7E6E6" w:themeFill="background2"/>
            <w:noWrap/>
            <w:hideMark/>
          </w:tcPr>
          <w:p w14:paraId="1DEAC2D7"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5,4%</w:t>
            </w:r>
          </w:p>
        </w:tc>
        <w:tc>
          <w:tcPr>
            <w:tcW w:w="589" w:type="pct"/>
            <w:tcBorders>
              <w:top w:val="nil"/>
              <w:bottom w:val="nil"/>
            </w:tcBorders>
            <w:shd w:val="clear" w:color="auto" w:fill="E7E6E6" w:themeFill="background2"/>
            <w:noWrap/>
            <w:hideMark/>
          </w:tcPr>
          <w:p w14:paraId="52417B76"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8,1%</w:t>
            </w:r>
          </w:p>
        </w:tc>
        <w:tc>
          <w:tcPr>
            <w:tcW w:w="589" w:type="pct"/>
            <w:tcBorders>
              <w:top w:val="nil"/>
              <w:bottom w:val="nil"/>
            </w:tcBorders>
            <w:shd w:val="clear" w:color="auto" w:fill="E7E6E6" w:themeFill="background2"/>
            <w:noWrap/>
            <w:hideMark/>
          </w:tcPr>
          <w:p w14:paraId="352A310A"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6,5%</w:t>
            </w:r>
          </w:p>
        </w:tc>
      </w:tr>
      <w:tr w:rsidR="00D96A25" w:rsidRPr="0062711C" w14:paraId="3B157888" w14:textId="77777777" w:rsidTr="00C91F83">
        <w:trPr>
          <w:trHeight w:val="220"/>
        </w:trPr>
        <w:tc>
          <w:tcPr>
            <w:tcW w:w="2644" w:type="pct"/>
            <w:tcBorders>
              <w:top w:val="nil"/>
              <w:left w:val="nil"/>
              <w:bottom w:val="nil"/>
              <w:right w:val="nil"/>
            </w:tcBorders>
            <w:noWrap/>
            <w:hideMark/>
          </w:tcPr>
          <w:p w14:paraId="01AB1AB9"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bCs/>
                <w:color w:val="002060"/>
                <w:sz w:val="18"/>
                <w:szCs w:val="18"/>
                <w:lang w:val="sr-Cyrl-RS"/>
              </w:rPr>
              <w:t>Камата</w:t>
            </w:r>
          </w:p>
        </w:tc>
        <w:tc>
          <w:tcPr>
            <w:tcW w:w="589" w:type="pct"/>
            <w:tcBorders>
              <w:top w:val="nil"/>
              <w:left w:val="nil"/>
              <w:bottom w:val="nil"/>
              <w:right w:val="nil"/>
            </w:tcBorders>
            <w:noWrap/>
            <w:hideMark/>
          </w:tcPr>
          <w:p w14:paraId="1C2CD817"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2,1%</w:t>
            </w:r>
          </w:p>
        </w:tc>
        <w:tc>
          <w:tcPr>
            <w:tcW w:w="589" w:type="pct"/>
            <w:tcBorders>
              <w:top w:val="nil"/>
              <w:left w:val="nil"/>
              <w:bottom w:val="nil"/>
              <w:right w:val="nil"/>
            </w:tcBorders>
            <w:noWrap/>
            <w:hideMark/>
          </w:tcPr>
          <w:p w14:paraId="7F6ABCA0"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2,3%</w:t>
            </w:r>
          </w:p>
        </w:tc>
        <w:tc>
          <w:tcPr>
            <w:tcW w:w="589" w:type="pct"/>
            <w:tcBorders>
              <w:top w:val="nil"/>
              <w:left w:val="nil"/>
              <w:bottom w:val="nil"/>
              <w:right w:val="nil"/>
            </w:tcBorders>
            <w:noWrap/>
            <w:hideMark/>
          </w:tcPr>
          <w:p w14:paraId="3CD347E7"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2,3%</w:t>
            </w:r>
          </w:p>
        </w:tc>
        <w:tc>
          <w:tcPr>
            <w:tcW w:w="589" w:type="pct"/>
            <w:tcBorders>
              <w:top w:val="nil"/>
              <w:left w:val="nil"/>
              <w:bottom w:val="nil"/>
              <w:right w:val="nil"/>
            </w:tcBorders>
            <w:noWrap/>
            <w:hideMark/>
          </w:tcPr>
          <w:p w14:paraId="107A337A"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2,4%</w:t>
            </w:r>
          </w:p>
        </w:tc>
      </w:tr>
      <w:tr w:rsidR="00D96A25" w:rsidRPr="0062711C" w14:paraId="1113B903" w14:textId="77777777" w:rsidTr="00C91F83">
        <w:trPr>
          <w:cnfStyle w:val="000000100000" w:firstRow="0" w:lastRow="0" w:firstColumn="0" w:lastColumn="0" w:oddVBand="0" w:evenVBand="0" w:oddHBand="1" w:evenHBand="0" w:firstRowFirstColumn="0" w:firstRowLastColumn="0" w:lastRowFirstColumn="0" w:lastRowLastColumn="0"/>
          <w:trHeight w:val="220"/>
        </w:trPr>
        <w:tc>
          <w:tcPr>
            <w:tcW w:w="2644" w:type="pct"/>
            <w:tcBorders>
              <w:top w:val="nil"/>
              <w:bottom w:val="single" w:sz="4" w:space="0" w:color="002060"/>
            </w:tcBorders>
            <w:shd w:val="clear" w:color="auto" w:fill="E7E6E6" w:themeFill="background2"/>
            <w:noWrap/>
            <w:hideMark/>
          </w:tcPr>
          <w:p w14:paraId="41BDCF80"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Укупно</w:t>
            </w:r>
          </w:p>
        </w:tc>
        <w:tc>
          <w:tcPr>
            <w:tcW w:w="589" w:type="pct"/>
            <w:tcBorders>
              <w:top w:val="nil"/>
              <w:bottom w:val="single" w:sz="4" w:space="0" w:color="002060"/>
            </w:tcBorders>
            <w:shd w:val="clear" w:color="auto" w:fill="E7E6E6" w:themeFill="background2"/>
            <w:noWrap/>
            <w:hideMark/>
          </w:tcPr>
          <w:p w14:paraId="29CE3007"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10,1%</w:t>
            </w:r>
          </w:p>
        </w:tc>
        <w:tc>
          <w:tcPr>
            <w:tcW w:w="589" w:type="pct"/>
            <w:tcBorders>
              <w:top w:val="nil"/>
              <w:bottom w:val="single" w:sz="4" w:space="0" w:color="002060"/>
            </w:tcBorders>
            <w:shd w:val="clear" w:color="auto" w:fill="E7E6E6" w:themeFill="background2"/>
            <w:noWrap/>
            <w:hideMark/>
          </w:tcPr>
          <w:p w14:paraId="66153DCE"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7,7%</w:t>
            </w:r>
          </w:p>
        </w:tc>
        <w:tc>
          <w:tcPr>
            <w:tcW w:w="589" w:type="pct"/>
            <w:tcBorders>
              <w:top w:val="nil"/>
              <w:bottom w:val="single" w:sz="4" w:space="0" w:color="002060"/>
            </w:tcBorders>
            <w:shd w:val="clear" w:color="auto" w:fill="E7E6E6" w:themeFill="background2"/>
            <w:noWrap/>
            <w:hideMark/>
          </w:tcPr>
          <w:p w14:paraId="57F0E9B1"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10,4%</w:t>
            </w:r>
          </w:p>
        </w:tc>
        <w:tc>
          <w:tcPr>
            <w:tcW w:w="589" w:type="pct"/>
            <w:tcBorders>
              <w:top w:val="nil"/>
              <w:bottom w:val="single" w:sz="4" w:space="0" w:color="002060"/>
            </w:tcBorders>
            <w:shd w:val="clear" w:color="auto" w:fill="E7E6E6" w:themeFill="background2"/>
            <w:noWrap/>
            <w:hideMark/>
          </w:tcPr>
          <w:p w14:paraId="50420DAE"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8,8%</w:t>
            </w:r>
          </w:p>
        </w:tc>
      </w:tr>
    </w:tbl>
    <w:p w14:paraId="3CAD51AD" w14:textId="77777777" w:rsidR="00D96A25" w:rsidRPr="0062711C" w:rsidRDefault="00D96A25" w:rsidP="00C91F83">
      <w:pPr>
        <w:rPr>
          <w:rFonts w:ascii="Calibri" w:eastAsia="Calibri" w:hAnsi="Calibri" w:cs="Calibri"/>
          <w:bCs/>
          <w:szCs w:val="72"/>
          <w:lang w:val="sr-Cyrl-RS"/>
        </w:rPr>
        <w:sectPr w:rsidR="00D96A25" w:rsidRPr="0062711C" w:rsidSect="00F45C01">
          <w:headerReference w:type="even" r:id="rId223"/>
          <w:footerReference w:type="even" r:id="rId224"/>
          <w:footerReference w:type="default" r:id="rId225"/>
          <w:footerReference w:type="first" r:id="rId226"/>
          <w:type w:val="continuous"/>
          <w:pgSz w:w="12240" w:h="15840" w:code="1"/>
          <w:pgMar w:top="1440" w:right="1440" w:bottom="1440" w:left="1440" w:header="720" w:footer="720" w:gutter="0"/>
          <w:cols w:space="720"/>
          <w:titlePg/>
          <w:docGrid w:linePitch="360"/>
        </w:sectPr>
      </w:pPr>
    </w:p>
    <w:p w14:paraId="60232C6B"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Планирани износи за отплату камата и главница, на централном нивоу државе, укључују и средства за </w:t>
      </w:r>
      <w:r w:rsidRPr="0062711C">
        <w:rPr>
          <w:rFonts w:ascii="Calibri" w:eastAsia="Calibri" w:hAnsi="Calibri" w:cs="Calibri"/>
          <w:bCs/>
          <w:i/>
          <w:szCs w:val="72"/>
          <w:lang w:val="sr-Cyrl-RS"/>
        </w:rPr>
        <w:t>buy-back</w:t>
      </w:r>
      <w:r w:rsidRPr="0062711C">
        <w:rPr>
          <w:rFonts w:ascii="Calibri" w:eastAsia="Calibri" w:hAnsi="Calibri" w:cs="Calibri"/>
          <w:bCs/>
          <w:szCs w:val="72"/>
          <w:lang w:val="sr-Cyrl-RS"/>
        </w:rPr>
        <w:t xml:space="preserve"> операције, тј. превремену отплату дуга, како би се скупљи дуг заменио јефтинијим, као и премије осигурања на експортне кредите.</w:t>
      </w:r>
    </w:p>
    <w:p w14:paraId="406BE527" w14:textId="77777777" w:rsidR="00D96A25" w:rsidRPr="0062711C" w:rsidRDefault="00D96A25" w:rsidP="00C91F83">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Пројекција стања јавног дуга сектора државе у периоду 2024–2027. године</w:t>
      </w:r>
    </w:p>
    <w:p w14:paraId="0642F2AC" w14:textId="77777777" w:rsidR="00D96A25" w:rsidRPr="0062711C" w:rsidRDefault="00D96A25" w:rsidP="00B51BEB">
      <w:pPr>
        <w:spacing w:after="240"/>
        <w:rPr>
          <w:rFonts w:ascii="Calibri" w:eastAsia="Calibri" w:hAnsi="Calibri" w:cs="Calibri"/>
          <w:bCs/>
          <w:szCs w:val="72"/>
          <w:lang w:val="sr-Cyrl-RS"/>
        </w:rPr>
      </w:pPr>
      <w:r w:rsidRPr="0062711C">
        <w:rPr>
          <w:rFonts w:ascii="Calibri" w:eastAsia="Calibri" w:hAnsi="Calibri" w:cs="Calibri"/>
          <w:bCs/>
          <w:szCs w:val="72"/>
          <w:lang w:val="sr-Cyrl-RS"/>
        </w:rPr>
        <w:t xml:space="preserve">Имајући у виду пројектовани примарни резултат буџета Републике Србије за период 2024–2027. </w:t>
      </w:r>
      <w:r w:rsidRPr="0062711C">
        <w:rPr>
          <w:rFonts w:ascii="Calibri" w:eastAsia="Calibri" w:hAnsi="Calibri" w:cs="Calibri"/>
          <w:bCs/>
          <w:szCs w:val="72"/>
          <w:lang w:val="sr-Cyrl-RS"/>
        </w:rPr>
        <w:t>године, укључујући и обим повлачења кредитних средстава за пројектно финансирање од буџетских корисника, ефекте промене девизног курса динара према евру и америчком долару, у основном макроекономском сценарију, стање дуга централног нивоа државе требало би да буде на нивоу од 49,7% БДП на крају 2027. године.</w:t>
      </w:r>
    </w:p>
    <w:p w14:paraId="51645A5E" w14:textId="77777777" w:rsidR="00D96A25" w:rsidRPr="0062711C" w:rsidRDefault="00D96A25" w:rsidP="00B51BEB">
      <w:pPr>
        <w:spacing w:after="600"/>
        <w:rPr>
          <w:rFonts w:ascii="Calibri" w:eastAsia="Calibri" w:hAnsi="Calibri" w:cs="Calibri"/>
          <w:bCs/>
          <w:szCs w:val="72"/>
          <w:lang w:val="sr-Cyrl-RS"/>
        </w:rPr>
      </w:pPr>
    </w:p>
    <w:p w14:paraId="11EBB699" w14:textId="77777777" w:rsidR="00D96A25" w:rsidRPr="0062711C" w:rsidRDefault="00D96A25" w:rsidP="00C91F83">
      <w:pPr>
        <w:spacing w:line="256" w:lineRule="auto"/>
        <w:jc w:val="center"/>
        <w:rPr>
          <w:rFonts w:ascii="Calibri" w:eastAsia="Calibri" w:hAnsi="Calibri" w:cs="Times New Roman"/>
          <w:b/>
          <w:color w:val="002060"/>
          <w:lang w:val="sr-Cyrl-RS"/>
        </w:rPr>
        <w:sectPr w:rsidR="00D96A25" w:rsidRPr="0062711C" w:rsidSect="00F45C01">
          <w:type w:val="continuous"/>
          <w:pgSz w:w="12240" w:h="15840" w:code="1"/>
          <w:pgMar w:top="1440" w:right="1440" w:bottom="1440" w:left="1440" w:header="720" w:footer="720" w:gutter="0"/>
          <w:cols w:num="2" w:space="720"/>
          <w:titlePg/>
          <w:docGrid w:linePitch="360"/>
        </w:sectPr>
      </w:pPr>
    </w:p>
    <w:p w14:paraId="1AC8B505" w14:textId="2A548DC5" w:rsidR="00D96A25" w:rsidRPr="0062711C" w:rsidRDefault="00D96A25" w:rsidP="00C91F83">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 xml:space="preserve">Табела </w:t>
      </w:r>
      <w:r w:rsidR="004710A1" w:rsidRPr="0062711C">
        <w:rPr>
          <w:rFonts w:ascii="Calibri" w:eastAsia="Calibri" w:hAnsi="Calibri" w:cs="Times New Roman"/>
          <w:b/>
          <w:color w:val="002060"/>
          <w:lang w:val="sr-Cyrl-RS"/>
        </w:rPr>
        <w:t>3</w:t>
      </w:r>
      <w:r w:rsidR="00BB1E84">
        <w:rPr>
          <w:rFonts w:ascii="Calibri" w:eastAsia="Calibri" w:hAnsi="Calibri" w:cs="Times New Roman"/>
          <w:b/>
          <w:color w:val="002060"/>
        </w:rPr>
        <w:t>3</w:t>
      </w:r>
      <w:r w:rsidRPr="0062711C">
        <w:rPr>
          <w:rFonts w:ascii="Calibri" w:eastAsia="Calibri" w:hAnsi="Calibri" w:cs="Times New Roman"/>
          <w:b/>
          <w:color w:val="002060"/>
          <w:lang w:val="sr-Cyrl-RS"/>
        </w:rPr>
        <w:t>. Основна пројекција стања јавног дуга сектора државе до 2027. године</w:t>
      </w:r>
    </w:p>
    <w:tbl>
      <w:tblPr>
        <w:tblStyle w:val="LightShading-Accent1222"/>
        <w:tblW w:w="5000" w:type="pct"/>
        <w:tblInd w:w="0" w:type="dxa"/>
        <w:tblLook w:val="0420" w:firstRow="1" w:lastRow="0" w:firstColumn="0" w:lastColumn="0" w:noHBand="0" w:noVBand="1"/>
      </w:tblPr>
      <w:tblGrid>
        <w:gridCol w:w="5100"/>
        <w:gridCol w:w="1065"/>
        <w:gridCol w:w="1065"/>
        <w:gridCol w:w="1065"/>
        <w:gridCol w:w="1065"/>
      </w:tblGrid>
      <w:tr w:rsidR="00D96A25" w:rsidRPr="0062711C" w14:paraId="2E984C04" w14:textId="77777777" w:rsidTr="00C91F83">
        <w:trPr>
          <w:cnfStyle w:val="100000000000" w:firstRow="1" w:lastRow="0" w:firstColumn="0" w:lastColumn="0" w:oddVBand="0" w:evenVBand="0" w:oddHBand="0" w:evenHBand="0" w:firstRowFirstColumn="0" w:firstRowLastColumn="0" w:lastRowFirstColumn="0" w:lastRowLastColumn="0"/>
          <w:trHeight w:val="20"/>
        </w:trPr>
        <w:tc>
          <w:tcPr>
            <w:tcW w:w="2724" w:type="pct"/>
            <w:tcBorders>
              <w:top w:val="single" w:sz="4" w:space="0" w:color="002060"/>
              <w:bottom w:val="single" w:sz="8" w:space="0" w:color="FFFFFF" w:themeColor="background1"/>
            </w:tcBorders>
            <w:noWrap/>
            <w:hideMark/>
          </w:tcPr>
          <w:p w14:paraId="20D54574" w14:textId="77777777" w:rsidR="00D96A25" w:rsidRPr="0062711C" w:rsidRDefault="00D96A25" w:rsidP="00B51BEB">
            <w:pPr>
              <w:spacing w:line="256" w:lineRule="auto"/>
              <w:rPr>
                <w:rFonts w:ascii="Calibri" w:hAnsi="Calibri"/>
                <w:color w:val="002060"/>
                <w:lang w:val="sr-Cyrl-RS"/>
              </w:rPr>
            </w:pPr>
          </w:p>
        </w:tc>
        <w:tc>
          <w:tcPr>
            <w:tcW w:w="569" w:type="pct"/>
            <w:tcBorders>
              <w:top w:val="single" w:sz="4" w:space="0" w:color="002060"/>
              <w:bottom w:val="single" w:sz="4" w:space="0" w:color="002060"/>
            </w:tcBorders>
            <w:noWrap/>
            <w:hideMark/>
          </w:tcPr>
          <w:p w14:paraId="30D6354E"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2024 п</w:t>
            </w:r>
          </w:p>
        </w:tc>
        <w:tc>
          <w:tcPr>
            <w:tcW w:w="569" w:type="pct"/>
            <w:tcBorders>
              <w:top w:val="single" w:sz="4" w:space="0" w:color="002060"/>
              <w:bottom w:val="single" w:sz="4" w:space="0" w:color="002060"/>
            </w:tcBorders>
            <w:noWrap/>
            <w:hideMark/>
          </w:tcPr>
          <w:p w14:paraId="24C7B3B9"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2025 п</w:t>
            </w:r>
          </w:p>
        </w:tc>
        <w:tc>
          <w:tcPr>
            <w:tcW w:w="569" w:type="pct"/>
            <w:tcBorders>
              <w:top w:val="single" w:sz="4" w:space="0" w:color="002060"/>
              <w:bottom w:val="single" w:sz="4" w:space="0" w:color="002060"/>
            </w:tcBorders>
            <w:noWrap/>
            <w:hideMark/>
          </w:tcPr>
          <w:p w14:paraId="1C469780"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2026 п</w:t>
            </w:r>
          </w:p>
        </w:tc>
        <w:tc>
          <w:tcPr>
            <w:tcW w:w="569" w:type="pct"/>
            <w:tcBorders>
              <w:top w:val="single" w:sz="4" w:space="0" w:color="002060"/>
              <w:bottom w:val="single" w:sz="4" w:space="0" w:color="002060"/>
            </w:tcBorders>
            <w:noWrap/>
            <w:hideMark/>
          </w:tcPr>
          <w:p w14:paraId="5B2ED46D" w14:textId="77777777" w:rsidR="00D96A25" w:rsidRPr="0062711C" w:rsidRDefault="00D96A25" w:rsidP="00B51BEB">
            <w:pPr>
              <w:jc w:val="right"/>
              <w:rPr>
                <w:rFonts w:ascii="Calibri" w:hAnsi="Calibri" w:cs="Calibri"/>
                <w:color w:val="002060"/>
                <w:sz w:val="18"/>
                <w:szCs w:val="18"/>
                <w:lang w:val="sr-Cyrl-RS"/>
              </w:rPr>
            </w:pPr>
            <w:r w:rsidRPr="0062711C">
              <w:rPr>
                <w:rFonts w:ascii="Calibri" w:hAnsi="Calibri" w:cs="Calibri"/>
                <w:color w:val="002060"/>
                <w:sz w:val="18"/>
                <w:szCs w:val="18"/>
                <w:lang w:val="sr-Cyrl-RS"/>
              </w:rPr>
              <w:t>2027 п</w:t>
            </w:r>
          </w:p>
        </w:tc>
      </w:tr>
      <w:tr w:rsidR="00D96A25" w:rsidRPr="0062711C" w14:paraId="0E4140D9" w14:textId="77777777" w:rsidTr="00B51BEB">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noWrap/>
            <w:hideMark/>
          </w:tcPr>
          <w:p w14:paraId="23A8F6F1" w14:textId="77777777" w:rsidR="00D96A25" w:rsidRPr="0062711C" w:rsidRDefault="00D96A25" w:rsidP="00B51BEB">
            <w:pPr>
              <w:spacing w:line="240" w:lineRule="auto"/>
              <w:rPr>
                <w:rFonts w:ascii="Calibri" w:hAnsi="Calibri" w:cs="Calibri"/>
                <w:bCs/>
                <w:color w:val="44546A"/>
                <w:sz w:val="18"/>
                <w:szCs w:val="18"/>
                <w:lang w:val="sr-Cyrl-RS"/>
              </w:rPr>
            </w:pPr>
            <w:r w:rsidRPr="0062711C">
              <w:rPr>
                <w:rFonts w:ascii="Calibri" w:hAnsi="Calibri" w:cs="Calibri"/>
                <w:bCs/>
                <w:color w:val="002060"/>
                <w:sz w:val="18"/>
                <w:szCs w:val="18"/>
                <w:lang w:val="sr-Cyrl-RS"/>
              </w:rPr>
              <w:t>Јавни дуг (централни ниво власти), млрд РСД</w:t>
            </w:r>
          </w:p>
        </w:tc>
        <w:tc>
          <w:tcPr>
            <w:tcW w:w="569" w:type="pct"/>
            <w:tcBorders>
              <w:top w:val="single" w:sz="4" w:space="0" w:color="002060"/>
              <w:bottom w:val="nil"/>
            </w:tcBorders>
            <w:shd w:val="clear" w:color="auto" w:fill="E7E6E6" w:themeFill="background2"/>
            <w:noWrap/>
            <w:hideMark/>
          </w:tcPr>
          <w:p w14:paraId="24164BF3"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4.606,1</w:t>
            </w:r>
          </w:p>
        </w:tc>
        <w:tc>
          <w:tcPr>
            <w:tcW w:w="569" w:type="pct"/>
            <w:tcBorders>
              <w:top w:val="single" w:sz="4" w:space="0" w:color="002060"/>
              <w:bottom w:val="nil"/>
            </w:tcBorders>
            <w:shd w:val="clear" w:color="auto" w:fill="E7E6E6" w:themeFill="background2"/>
            <w:noWrap/>
            <w:hideMark/>
          </w:tcPr>
          <w:p w14:paraId="066C7F4D"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4.898,1</w:t>
            </w:r>
          </w:p>
        </w:tc>
        <w:tc>
          <w:tcPr>
            <w:tcW w:w="569" w:type="pct"/>
            <w:tcBorders>
              <w:top w:val="single" w:sz="4" w:space="0" w:color="002060"/>
              <w:bottom w:val="nil"/>
            </w:tcBorders>
            <w:shd w:val="clear" w:color="auto" w:fill="E7E6E6" w:themeFill="background2"/>
            <w:noWrap/>
            <w:hideMark/>
          </w:tcPr>
          <w:p w14:paraId="0B5C4E2B"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5.196,1</w:t>
            </w:r>
          </w:p>
        </w:tc>
        <w:tc>
          <w:tcPr>
            <w:tcW w:w="569" w:type="pct"/>
            <w:tcBorders>
              <w:top w:val="single" w:sz="4" w:space="0" w:color="002060"/>
              <w:bottom w:val="nil"/>
            </w:tcBorders>
            <w:shd w:val="clear" w:color="auto" w:fill="E7E6E6" w:themeFill="background2"/>
            <w:noWrap/>
            <w:hideMark/>
          </w:tcPr>
          <w:p w14:paraId="6F2F8D01"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5.514,1</w:t>
            </w:r>
          </w:p>
        </w:tc>
      </w:tr>
      <w:tr w:rsidR="00D96A25" w:rsidRPr="0062711C" w14:paraId="095AB0FD" w14:textId="77777777" w:rsidTr="00C91F83">
        <w:trPr>
          <w:trHeight w:val="20"/>
        </w:trPr>
        <w:tc>
          <w:tcPr>
            <w:tcW w:w="2724" w:type="pct"/>
            <w:tcBorders>
              <w:top w:val="nil"/>
              <w:left w:val="nil"/>
              <w:bottom w:val="nil"/>
              <w:right w:val="nil"/>
            </w:tcBorders>
            <w:hideMark/>
          </w:tcPr>
          <w:p w14:paraId="78618471"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Дуг централне државе, у % БДП</w:t>
            </w:r>
          </w:p>
        </w:tc>
        <w:tc>
          <w:tcPr>
            <w:tcW w:w="569" w:type="pct"/>
            <w:tcBorders>
              <w:top w:val="nil"/>
              <w:left w:val="nil"/>
              <w:bottom w:val="nil"/>
              <w:right w:val="nil"/>
            </w:tcBorders>
            <w:noWrap/>
            <w:hideMark/>
          </w:tcPr>
          <w:p w14:paraId="5022EB6B"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51,5%</w:t>
            </w:r>
          </w:p>
        </w:tc>
        <w:tc>
          <w:tcPr>
            <w:tcW w:w="569" w:type="pct"/>
            <w:tcBorders>
              <w:top w:val="nil"/>
              <w:left w:val="nil"/>
              <w:bottom w:val="nil"/>
              <w:right w:val="nil"/>
            </w:tcBorders>
            <w:noWrap/>
            <w:hideMark/>
          </w:tcPr>
          <w:p w14:paraId="66AE5830"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50,9%</w:t>
            </w:r>
          </w:p>
        </w:tc>
        <w:tc>
          <w:tcPr>
            <w:tcW w:w="569" w:type="pct"/>
            <w:tcBorders>
              <w:top w:val="nil"/>
              <w:left w:val="nil"/>
              <w:bottom w:val="nil"/>
              <w:right w:val="nil"/>
            </w:tcBorders>
            <w:noWrap/>
            <w:hideMark/>
          </w:tcPr>
          <w:p w14:paraId="497A0DFE"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50,3%</w:t>
            </w:r>
          </w:p>
        </w:tc>
        <w:tc>
          <w:tcPr>
            <w:tcW w:w="569" w:type="pct"/>
            <w:tcBorders>
              <w:top w:val="nil"/>
              <w:left w:val="nil"/>
              <w:bottom w:val="nil"/>
              <w:right w:val="nil"/>
            </w:tcBorders>
            <w:noWrap/>
            <w:hideMark/>
          </w:tcPr>
          <w:p w14:paraId="6A7799F8"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49,7%</w:t>
            </w:r>
          </w:p>
        </w:tc>
      </w:tr>
      <w:tr w:rsidR="00D96A25" w:rsidRPr="0062711C" w14:paraId="75B6B992" w14:textId="77777777" w:rsidTr="00C91F83">
        <w:trPr>
          <w:cnfStyle w:val="000000100000" w:firstRow="0" w:lastRow="0" w:firstColumn="0" w:lastColumn="0" w:oddVBand="0" w:evenVBand="0" w:oddHBand="1" w:evenHBand="0" w:firstRowFirstColumn="0" w:firstRowLastColumn="0" w:lastRowFirstColumn="0" w:lastRowLastColumn="0"/>
          <w:trHeight w:val="20"/>
        </w:trPr>
        <w:tc>
          <w:tcPr>
            <w:tcW w:w="2724" w:type="pct"/>
            <w:tcBorders>
              <w:top w:val="nil"/>
              <w:bottom w:val="nil"/>
            </w:tcBorders>
            <w:shd w:val="clear" w:color="auto" w:fill="E7E6E6" w:themeFill="background2"/>
            <w:hideMark/>
          </w:tcPr>
          <w:p w14:paraId="774490FB"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Негарантовани дуг јединица локалне самоуправе*, у % БДП</w:t>
            </w:r>
          </w:p>
        </w:tc>
        <w:tc>
          <w:tcPr>
            <w:tcW w:w="569" w:type="pct"/>
            <w:tcBorders>
              <w:top w:val="nil"/>
              <w:bottom w:val="nil"/>
            </w:tcBorders>
            <w:shd w:val="clear" w:color="auto" w:fill="E7E6E6" w:themeFill="background2"/>
            <w:noWrap/>
            <w:hideMark/>
          </w:tcPr>
          <w:p w14:paraId="1C7ADA6E"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0,5%</w:t>
            </w:r>
          </w:p>
        </w:tc>
        <w:tc>
          <w:tcPr>
            <w:tcW w:w="569" w:type="pct"/>
            <w:tcBorders>
              <w:top w:val="nil"/>
              <w:bottom w:val="nil"/>
            </w:tcBorders>
            <w:shd w:val="clear" w:color="auto" w:fill="E7E6E6" w:themeFill="background2"/>
            <w:noWrap/>
            <w:hideMark/>
          </w:tcPr>
          <w:p w14:paraId="301A8182"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0,7%</w:t>
            </w:r>
          </w:p>
        </w:tc>
        <w:tc>
          <w:tcPr>
            <w:tcW w:w="569" w:type="pct"/>
            <w:tcBorders>
              <w:top w:val="nil"/>
              <w:bottom w:val="nil"/>
            </w:tcBorders>
            <w:shd w:val="clear" w:color="auto" w:fill="E7E6E6" w:themeFill="background2"/>
            <w:noWrap/>
            <w:hideMark/>
          </w:tcPr>
          <w:p w14:paraId="03E72003"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0,7%</w:t>
            </w:r>
          </w:p>
        </w:tc>
        <w:tc>
          <w:tcPr>
            <w:tcW w:w="569" w:type="pct"/>
            <w:tcBorders>
              <w:top w:val="nil"/>
              <w:bottom w:val="nil"/>
            </w:tcBorders>
            <w:shd w:val="clear" w:color="auto" w:fill="E7E6E6" w:themeFill="background2"/>
            <w:noWrap/>
            <w:hideMark/>
          </w:tcPr>
          <w:p w14:paraId="54C3C704"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0,8%</w:t>
            </w:r>
          </w:p>
        </w:tc>
      </w:tr>
      <w:tr w:rsidR="00D96A25" w:rsidRPr="0062711C" w14:paraId="745AB52B" w14:textId="77777777" w:rsidTr="00C91F83">
        <w:trPr>
          <w:trHeight w:val="20"/>
        </w:trPr>
        <w:tc>
          <w:tcPr>
            <w:tcW w:w="2724" w:type="pct"/>
            <w:tcBorders>
              <w:top w:val="nil"/>
              <w:left w:val="nil"/>
              <w:bottom w:val="single" w:sz="4" w:space="0" w:color="002060"/>
              <w:right w:val="nil"/>
            </w:tcBorders>
            <w:hideMark/>
          </w:tcPr>
          <w:p w14:paraId="7DF9FD10"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Дуг сектора државе, у % БДП</w:t>
            </w:r>
          </w:p>
        </w:tc>
        <w:tc>
          <w:tcPr>
            <w:tcW w:w="569" w:type="pct"/>
            <w:tcBorders>
              <w:top w:val="nil"/>
              <w:left w:val="nil"/>
              <w:bottom w:val="single" w:sz="4" w:space="0" w:color="002060"/>
              <w:right w:val="nil"/>
            </w:tcBorders>
            <w:noWrap/>
            <w:hideMark/>
          </w:tcPr>
          <w:p w14:paraId="7A6E45B8"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52,0%</w:t>
            </w:r>
          </w:p>
        </w:tc>
        <w:tc>
          <w:tcPr>
            <w:tcW w:w="569" w:type="pct"/>
            <w:tcBorders>
              <w:top w:val="nil"/>
              <w:left w:val="nil"/>
              <w:bottom w:val="single" w:sz="4" w:space="0" w:color="002060"/>
              <w:right w:val="nil"/>
            </w:tcBorders>
            <w:noWrap/>
            <w:hideMark/>
          </w:tcPr>
          <w:p w14:paraId="7375AE3C"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51,6%</w:t>
            </w:r>
          </w:p>
        </w:tc>
        <w:tc>
          <w:tcPr>
            <w:tcW w:w="569" w:type="pct"/>
            <w:tcBorders>
              <w:top w:val="nil"/>
              <w:left w:val="nil"/>
              <w:bottom w:val="single" w:sz="4" w:space="0" w:color="002060"/>
              <w:right w:val="nil"/>
            </w:tcBorders>
            <w:noWrap/>
            <w:hideMark/>
          </w:tcPr>
          <w:p w14:paraId="04AA2086"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51,0%</w:t>
            </w:r>
          </w:p>
        </w:tc>
        <w:tc>
          <w:tcPr>
            <w:tcW w:w="569" w:type="pct"/>
            <w:tcBorders>
              <w:top w:val="nil"/>
              <w:left w:val="nil"/>
              <w:bottom w:val="single" w:sz="4" w:space="0" w:color="002060"/>
              <w:right w:val="nil"/>
            </w:tcBorders>
            <w:noWrap/>
            <w:hideMark/>
          </w:tcPr>
          <w:p w14:paraId="0DAE5760" w14:textId="77777777" w:rsidR="00D96A25" w:rsidRPr="0062711C" w:rsidRDefault="00D96A25" w:rsidP="00B51BEB">
            <w:pPr>
              <w:spacing w:line="240" w:lineRule="auto"/>
              <w:jc w:val="right"/>
              <w:rPr>
                <w:rFonts w:ascii="Calibri" w:hAnsi="Calibri" w:cs="Calibri"/>
                <w:bCs/>
                <w:color w:val="002060"/>
                <w:sz w:val="18"/>
                <w:szCs w:val="18"/>
                <w:lang w:val="sr-Cyrl-RS"/>
              </w:rPr>
            </w:pPr>
            <w:r w:rsidRPr="0062711C">
              <w:rPr>
                <w:rFonts w:ascii="Calibri" w:hAnsi="Calibri" w:cs="Calibri"/>
                <w:bCs/>
                <w:color w:val="002060"/>
                <w:sz w:val="18"/>
                <w:szCs w:val="18"/>
                <w:lang w:val="sr-Cyrl-RS"/>
              </w:rPr>
              <w:t>50,5%</w:t>
            </w:r>
          </w:p>
        </w:tc>
      </w:tr>
    </w:tbl>
    <w:p w14:paraId="56E534C5" w14:textId="77777777" w:rsidR="00D96A25" w:rsidRPr="0062711C" w:rsidRDefault="00D96A25" w:rsidP="00C91F83">
      <w:pPr>
        <w:spacing w:after="240" w:line="240" w:lineRule="auto"/>
        <w:rPr>
          <w:rFonts w:ascii="Calibri" w:eastAsia="Calibri" w:hAnsi="Calibri" w:cs="Calibri"/>
          <w:bCs/>
          <w:sz w:val="18"/>
          <w:szCs w:val="18"/>
          <w:lang w:val="sr-Cyrl-RS"/>
        </w:rPr>
      </w:pPr>
      <w:r w:rsidRPr="0062711C">
        <w:rPr>
          <w:rFonts w:ascii="Calibri" w:eastAsia="Calibri" w:hAnsi="Calibri" w:cs="Calibri"/>
          <w:bCs/>
          <w:sz w:val="18"/>
          <w:szCs w:val="18"/>
          <w:lang w:val="sr-Cyrl-RS"/>
        </w:rPr>
        <w:t>*</w:t>
      </w:r>
      <w:r w:rsidRPr="0062711C">
        <w:rPr>
          <w:lang w:val="sr-Cyrl-RS"/>
        </w:rPr>
        <w:t xml:space="preserve"> </w:t>
      </w:r>
      <w:r w:rsidRPr="0062711C">
        <w:rPr>
          <w:rFonts w:ascii="Calibri" w:eastAsia="Calibri" w:hAnsi="Calibri" w:cs="Calibri"/>
          <w:bCs/>
          <w:sz w:val="18"/>
          <w:szCs w:val="18"/>
          <w:lang w:val="sr-Cyrl-RS"/>
        </w:rPr>
        <w:t>и осталог сектора државе</w:t>
      </w:r>
    </w:p>
    <w:p w14:paraId="3226570A" w14:textId="77777777" w:rsidR="00D96A25" w:rsidRPr="0062711C" w:rsidRDefault="00D96A25" w:rsidP="00C91F83">
      <w:pPr>
        <w:rPr>
          <w:rFonts w:ascii="Calibri" w:eastAsia="Calibri" w:hAnsi="Calibri" w:cs="Calibri"/>
          <w:bCs/>
          <w:spacing w:val="-2"/>
          <w:szCs w:val="72"/>
          <w:lang w:val="sr-Cyrl-RS"/>
        </w:rPr>
        <w:sectPr w:rsidR="00D96A25" w:rsidRPr="0062711C" w:rsidSect="00F45C01">
          <w:type w:val="continuous"/>
          <w:pgSz w:w="12240" w:h="15840" w:code="1"/>
          <w:pgMar w:top="1440" w:right="1440" w:bottom="1440" w:left="1440" w:header="720" w:footer="720" w:gutter="0"/>
          <w:cols w:space="720"/>
          <w:titlePg/>
          <w:docGrid w:linePitch="360"/>
        </w:sectPr>
      </w:pPr>
    </w:p>
    <w:p w14:paraId="03E5DC93" w14:textId="77777777" w:rsidR="00D96A25" w:rsidRPr="0062711C" w:rsidRDefault="00D96A25" w:rsidP="00C91F83">
      <w:pPr>
        <w:rPr>
          <w:rFonts w:ascii="Calibri" w:eastAsia="Calibri" w:hAnsi="Calibri" w:cs="Calibri"/>
          <w:bCs/>
          <w:spacing w:val="-2"/>
          <w:szCs w:val="72"/>
          <w:lang w:val="sr-Cyrl-RS"/>
        </w:rPr>
      </w:pPr>
      <w:r w:rsidRPr="0062711C">
        <w:rPr>
          <w:rFonts w:ascii="Calibri" w:eastAsia="Calibri" w:hAnsi="Calibri" w:cs="Calibri"/>
          <w:bCs/>
          <w:spacing w:val="-2"/>
          <w:szCs w:val="72"/>
          <w:lang w:val="sr-Cyrl-RS"/>
        </w:rPr>
        <w:lastRenderedPageBreak/>
        <w:t>На крају 2024. године очекује се да учешће јавног дуга сектора државе у БДП износи 52,0%. У наредним годинама се очекује пад рација, који би у основном сценарију требало на крају 2025. године да износи 51,6%, на крају 2026. године 51,0%, а на крају 2027. године 50,5%. У датом периоду се очекује реализација великих инфраструктурних пројеката који ће бити финансирани углавном из пројектних зајмова, те њихова интензивнија реализација у односу на претходни период. Ово је управо једна од тачака где се може видети јасна координација фискалних и развојних циљева. Води се рачуна о одрживости јавног дуга и постепеном паду његовог учешћа у БДП, уз истовремено коришћење новог задуживања за побољшање инфраструктурних услова који доводе до раста БДП, животног стандарда и нових инвестиција. Предвиђа се да ће негарантовани дуг јединица локалне самоуправе и осталог сектора државе у наредном периоду бити на релативно стабилном нивоу од 0,5% до 0,8% БДП.</w:t>
      </w:r>
    </w:p>
    <w:p w14:paraId="244BA0E3" w14:textId="77777777" w:rsidR="00D96A25" w:rsidRPr="0062711C" w:rsidRDefault="00D96A25" w:rsidP="00C91F83">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Принципи управљања јавним дугом</w:t>
      </w:r>
    </w:p>
    <w:p w14:paraId="0467E1C3"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Према Закону о јавном дугу, примарни циљ задуживања Републике Србије и управљања јавним дугом је обезбеђивање средстава за редовно сервисирање буџетских потреба по најповољнијим условима и трошковима финансирања уз прихватљив ниво ризика. На основу тога, Стратегија управљања јавним дугом Републике Србије дефинише следеће опште циљеве и принципе:</w:t>
      </w:r>
    </w:p>
    <w:p w14:paraId="204C9948"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1) Осигурати финансирање фискалног дефицита и редовно сервисирање обавеза по основу јавног дуга Републике Србије;</w:t>
      </w:r>
    </w:p>
    <w:p w14:paraId="35A135C6"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2) Дефинисати прихватљив ниво ризика који треба да буде одређен у условима циљане структуре портфолија дуга у смислу валутне структуре дуга, структуре каматних стопа, структуре рочности и структуре дуга према инструментима;</w:t>
      </w:r>
    </w:p>
    <w:p w14:paraId="0498C5E0"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3) Наставити развој тржишта државних хартија од вредности које се емитују на домаћем и међународном тржишту, што би помогло у смањењу трошкова задуживања у средњем и дугом року;</w:t>
      </w:r>
    </w:p>
    <w:p w14:paraId="73EBC6CA"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4) Омогућити транспарентност и предвидивост процеса задуживања.</w:t>
      </w:r>
    </w:p>
    <w:p w14:paraId="373617DD"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Стратегија управљања јавним дугом конзистентна је са општим средњорочним макроекономским и фискалним оквиром.</w:t>
      </w:r>
    </w:p>
    <w:p w14:paraId="313E4317" w14:textId="77777777" w:rsidR="00D96A25" w:rsidRPr="0062711C" w:rsidRDefault="00D96A25" w:rsidP="00C91F83">
      <w:pPr>
        <w:rPr>
          <w:rFonts w:ascii="Calibri" w:eastAsia="Calibri" w:hAnsi="Calibri" w:cs="Calibri"/>
          <w:bCs/>
          <w:spacing w:val="-2"/>
          <w:szCs w:val="72"/>
          <w:lang w:val="sr-Cyrl-RS"/>
        </w:rPr>
      </w:pPr>
      <w:r w:rsidRPr="0062711C">
        <w:rPr>
          <w:rFonts w:ascii="Calibri" w:eastAsia="Calibri" w:hAnsi="Calibri" w:cs="Calibri"/>
          <w:bCs/>
          <w:spacing w:val="-2"/>
          <w:szCs w:val="72"/>
          <w:lang w:val="sr-Cyrl-RS"/>
        </w:rPr>
        <w:t>Стратегија управљања јавним дугом у наредном средњорочном периоду базира се на финансирању дефицита и главнице дуга буџета Републике Србије путем емисија државних хартија од вредности на домаћем и међународном тржишту капитала како би било испуњено редовно сервисирање обавеза. Флексибилност ће се огледати у домену избора тржишта на коме ће се вршити задуживање, валуте задуживања и инструмената финансирања. Избор структуре финансирања узимаће у обзир тренутно стање и тренд развоја домаћег и међународног финансијског тржишта (ниво каматних стопа, премије ризика, криву приноса, девизне курсеве референтних валута) и прихватљив ниво изложености финансијским ризицима.</w:t>
      </w:r>
    </w:p>
    <w:p w14:paraId="3CA09FF9"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Циљ је да се у наредном дугорочном периоду финансирање обавља пре свега емитовањем динарских хартија од вредности на домаћем тржишту. Део финансирања може бити обезбеђен и на међународном финансијском тржишту у средњорочном периоду. Успостављање </w:t>
      </w:r>
      <w:r w:rsidRPr="0062711C">
        <w:rPr>
          <w:rFonts w:ascii="Calibri" w:eastAsia="Calibri" w:hAnsi="Calibri" w:cs="Calibri"/>
          <w:bCs/>
          <w:i/>
          <w:szCs w:val="72"/>
          <w:lang w:val="sr-Cyrl-RS"/>
        </w:rPr>
        <w:t>GMTN</w:t>
      </w:r>
      <w:r w:rsidRPr="0062711C">
        <w:rPr>
          <w:rFonts w:ascii="Calibri" w:eastAsia="Calibri" w:hAnsi="Calibri" w:cs="Calibri"/>
          <w:bCs/>
          <w:szCs w:val="72"/>
          <w:lang w:val="sr-Cyrl-RS"/>
        </w:rPr>
        <w:t xml:space="preserve"> програма у 2020. години омогућило је флексибилност у избору финансирања и бржи приступ финансирању на међународном тржишту.</w:t>
      </w:r>
    </w:p>
    <w:p w14:paraId="7925EC65"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Позајмљивање у страној валути, као нпр. у америчким доларима, за собом повлачи и девизни ризик услед промене курса евро – амерички долар, те ће се из тог разлога користити могућност хеџинга.</w:t>
      </w:r>
    </w:p>
    <w:p w14:paraId="3EEACFD5"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Политика управљања јавним дугом мора да узме у обзир дугорочну перспективу, али се одлука о финансирању буџетских издатака мора доносити годишње. Одлука о годишњем задуживању се доноси у оквиру Закона о буџету за одређену фискалну годину. У зависности од промене основних фискалних агрегата могућа је корекција плана задуживања током фискалне године.</w:t>
      </w:r>
    </w:p>
    <w:p w14:paraId="51340302" w14:textId="77777777" w:rsidR="00D96A25" w:rsidRPr="0062711C" w:rsidRDefault="00D96A25" w:rsidP="00B51BEB">
      <w:pPr>
        <w:rPr>
          <w:lang w:val="sr-Cyrl-RS"/>
        </w:rPr>
      </w:pPr>
      <w:r w:rsidRPr="0062711C">
        <w:rPr>
          <w:lang w:val="sr-Cyrl-RS"/>
        </w:rPr>
        <w:br w:type="page"/>
      </w:r>
    </w:p>
    <w:p w14:paraId="53643B64" w14:textId="77777777" w:rsidR="00D96A25" w:rsidRPr="0062711C" w:rsidRDefault="00D96A25" w:rsidP="00C91F83">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lastRenderedPageBreak/>
        <w:t>Финансијски ризици и мере за управљање финансијским ризицима</w:t>
      </w:r>
    </w:p>
    <w:p w14:paraId="47475919"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Утицај финансијских и фискалних ризика може довести до већег раста јавног дуга него што предвиђа основни сценарио. Ризици који су присутни и који могу да доведу до раста задужености и трошкова сервисирања јавног дуга су: ризик рефинансирања, девизни ризик, тржишни ризик (ризик каматних стопа, ризик инфлације), ризик ликвидности, кредитни и оперативни ризици и ризици везани за дистрибуцију трошкова сервисирања (структура дуга, концентрација обавеза).</w:t>
      </w:r>
    </w:p>
    <w:p w14:paraId="1731F1E5" w14:textId="77777777" w:rsidR="00D96A25" w:rsidRPr="0062711C" w:rsidRDefault="00D96A25" w:rsidP="00C91F83">
      <w:pPr>
        <w:spacing w:after="120"/>
        <w:rPr>
          <w:rFonts w:ascii="Calibri" w:eastAsia="Calibri" w:hAnsi="Calibri" w:cs="Calibri"/>
          <w:bCs/>
          <w:szCs w:val="72"/>
          <w:lang w:val="sr-Cyrl-RS"/>
        </w:rPr>
      </w:pPr>
      <w:r w:rsidRPr="0062711C">
        <w:rPr>
          <w:rFonts w:ascii="Calibri" w:eastAsia="Calibri" w:hAnsi="Calibri" w:cs="Calibri"/>
          <w:bCs/>
          <w:szCs w:val="72"/>
          <w:lang w:val="sr-Cyrl-RS"/>
        </w:rPr>
        <w:t>У циљу смањења изложености финансијским ризицима потребно је спроводити следеће мере:</w:t>
      </w:r>
    </w:p>
    <w:p w14:paraId="7219A18D" w14:textId="77777777" w:rsidR="00D96A25" w:rsidRPr="0062711C" w:rsidRDefault="00D96A25" w:rsidP="00C91F83">
      <w:pPr>
        <w:spacing w:after="60"/>
        <w:rPr>
          <w:rFonts w:ascii="Calibri" w:eastAsia="Calibri" w:hAnsi="Calibri" w:cs="Calibri"/>
          <w:bCs/>
          <w:szCs w:val="72"/>
          <w:lang w:val="sr-Cyrl-RS"/>
        </w:rPr>
      </w:pPr>
      <w:r w:rsidRPr="0062711C">
        <w:rPr>
          <w:rFonts w:ascii="Calibri" w:eastAsia="Calibri" w:hAnsi="Calibri" w:cs="Calibri"/>
          <w:bCs/>
          <w:szCs w:val="72"/>
          <w:lang w:val="sr-Cyrl-RS"/>
        </w:rPr>
        <w:t>1. ризик рефинансирања</w:t>
      </w:r>
    </w:p>
    <w:p w14:paraId="5C578360" w14:textId="77777777" w:rsidR="00D96A25" w:rsidRPr="0062711C" w:rsidRDefault="00D96A25" w:rsidP="00DB0157">
      <w:pPr>
        <w:numPr>
          <w:ilvl w:val="0"/>
          <w:numId w:val="8"/>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повећање учешћа средњорочних и дугорочних финансијских инструмената деноминованих у динарима на домаћем финансијском тржишту;</w:t>
      </w:r>
    </w:p>
    <w:p w14:paraId="2457DC1C" w14:textId="77777777" w:rsidR="00D96A25" w:rsidRPr="0062711C" w:rsidRDefault="00D96A25" w:rsidP="00DB0157">
      <w:pPr>
        <w:numPr>
          <w:ilvl w:val="0"/>
          <w:numId w:val="8"/>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равномерна расподела обавеза по основу јавног дуга на годишњем нивоу у наредном дугорочном периоду;</w:t>
      </w:r>
    </w:p>
    <w:p w14:paraId="59A3D6AB" w14:textId="77777777" w:rsidR="00D96A25" w:rsidRPr="0062711C" w:rsidRDefault="00D96A25" w:rsidP="00DB0157">
      <w:pPr>
        <w:numPr>
          <w:ilvl w:val="0"/>
          <w:numId w:val="8"/>
        </w:numPr>
        <w:spacing w:after="120"/>
        <w:ind w:left="181" w:hanging="181"/>
        <w:rPr>
          <w:rFonts w:ascii="Calibri" w:eastAsia="Calibri" w:hAnsi="Calibri" w:cs="Calibri"/>
          <w:bCs/>
          <w:szCs w:val="72"/>
          <w:lang w:val="sr-Cyrl-RS"/>
        </w:rPr>
      </w:pPr>
      <w:r w:rsidRPr="0062711C">
        <w:rPr>
          <w:rFonts w:ascii="Calibri" w:eastAsia="Calibri" w:hAnsi="Calibri" w:cs="Calibri"/>
          <w:bCs/>
          <w:szCs w:val="72"/>
          <w:lang w:val="sr-Cyrl-RS"/>
        </w:rPr>
        <w:t>продужавање просечне рочности дуга који се емитује у хартијама од вредности;</w:t>
      </w:r>
    </w:p>
    <w:p w14:paraId="7D6F364F" w14:textId="77777777" w:rsidR="00D96A25" w:rsidRPr="0062711C" w:rsidRDefault="00D96A25" w:rsidP="00C91F83">
      <w:pPr>
        <w:spacing w:after="60"/>
        <w:rPr>
          <w:rFonts w:ascii="Calibri" w:eastAsia="Calibri" w:hAnsi="Calibri" w:cs="Calibri"/>
          <w:bCs/>
          <w:szCs w:val="72"/>
          <w:lang w:val="sr-Cyrl-RS"/>
        </w:rPr>
      </w:pPr>
      <w:r w:rsidRPr="0062711C">
        <w:rPr>
          <w:rFonts w:ascii="Calibri" w:eastAsia="Calibri" w:hAnsi="Calibri" w:cs="Calibri"/>
          <w:bCs/>
          <w:szCs w:val="72"/>
          <w:lang w:val="sr-Cyrl-RS"/>
        </w:rPr>
        <w:t>2. девизни ризик</w:t>
      </w:r>
    </w:p>
    <w:p w14:paraId="2E836CE3" w14:textId="77777777" w:rsidR="00D96A25" w:rsidRPr="0062711C" w:rsidRDefault="00D96A25" w:rsidP="00DB0157">
      <w:pPr>
        <w:numPr>
          <w:ilvl w:val="1"/>
          <w:numId w:val="9"/>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настојање да се смањи учешће дуга деноминованог у ино-валути уз уважавање трошкова новог дуга (трошкови динаризације дуга);</w:t>
      </w:r>
    </w:p>
    <w:p w14:paraId="02F5016F" w14:textId="77777777" w:rsidR="00D96A25" w:rsidRPr="0062711C" w:rsidRDefault="00D96A25" w:rsidP="00DB0157">
      <w:pPr>
        <w:numPr>
          <w:ilvl w:val="1"/>
          <w:numId w:val="9"/>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коришћење финансијских деривата у циљу лимитирања ефеката промене курсева референтних валута;</w:t>
      </w:r>
    </w:p>
    <w:p w14:paraId="0C449EF3" w14:textId="77777777" w:rsidR="00D96A25" w:rsidRPr="0062711C" w:rsidRDefault="00D96A25" w:rsidP="00DB0157">
      <w:pPr>
        <w:numPr>
          <w:ilvl w:val="1"/>
          <w:numId w:val="9"/>
        </w:numPr>
        <w:spacing w:after="120"/>
        <w:ind w:left="181" w:hanging="181"/>
        <w:rPr>
          <w:rFonts w:ascii="Calibri" w:eastAsia="Calibri" w:hAnsi="Calibri" w:cs="Calibri"/>
          <w:bCs/>
          <w:szCs w:val="72"/>
          <w:lang w:val="sr-Cyrl-RS"/>
        </w:rPr>
      </w:pPr>
      <w:r w:rsidRPr="0062711C">
        <w:rPr>
          <w:rFonts w:ascii="Calibri" w:eastAsia="Calibri" w:hAnsi="Calibri" w:cs="Calibri"/>
          <w:bCs/>
          <w:szCs w:val="72"/>
          <w:lang w:val="sr-Cyrl-RS"/>
        </w:rPr>
        <w:t>настојање да спољни дуг буде углавном у еврима и да се доларски дуг користи само ако је финансирање на међународном тржишту у доларима јефтиније уз коришћење финансијских деривата за лимитирање ризика;</w:t>
      </w:r>
    </w:p>
    <w:p w14:paraId="3F92766B" w14:textId="77777777" w:rsidR="00D96A25" w:rsidRPr="0062711C" w:rsidRDefault="00D96A25" w:rsidP="00B51BEB">
      <w:pPr>
        <w:spacing w:after="60"/>
        <w:ind w:left="181" w:hanging="181"/>
        <w:rPr>
          <w:rFonts w:ascii="Calibri" w:eastAsia="Calibri" w:hAnsi="Calibri" w:cs="Calibri"/>
          <w:bCs/>
          <w:szCs w:val="72"/>
          <w:lang w:val="sr-Cyrl-RS"/>
        </w:rPr>
      </w:pPr>
      <w:r w:rsidRPr="0062711C">
        <w:rPr>
          <w:rFonts w:ascii="Calibri" w:eastAsia="Calibri" w:hAnsi="Calibri" w:cs="Calibri"/>
          <w:bCs/>
          <w:szCs w:val="72"/>
          <w:lang w:val="sr-Cyrl-RS"/>
        </w:rPr>
        <w:t>3. тржишни ризик (ризик каматних стопа, ризик инфлације)</w:t>
      </w:r>
    </w:p>
    <w:p w14:paraId="70D5C2CC" w14:textId="77777777" w:rsidR="00D96A25" w:rsidRPr="0062711C" w:rsidRDefault="00D96A25" w:rsidP="00DB0157">
      <w:pPr>
        <w:numPr>
          <w:ilvl w:val="1"/>
          <w:numId w:val="10"/>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настојање да се продужи просечна рочност домаћег дуга у динарима;</w:t>
      </w:r>
    </w:p>
    <w:p w14:paraId="539EF828" w14:textId="77777777" w:rsidR="00D96A25" w:rsidRPr="0062711C" w:rsidRDefault="00D96A25" w:rsidP="00DB0157">
      <w:pPr>
        <w:numPr>
          <w:ilvl w:val="1"/>
          <w:numId w:val="10"/>
        </w:numPr>
        <w:spacing w:after="120"/>
        <w:ind w:left="181" w:hanging="181"/>
        <w:rPr>
          <w:rFonts w:ascii="Calibri" w:eastAsia="Calibri" w:hAnsi="Calibri" w:cs="Calibri"/>
          <w:bCs/>
          <w:szCs w:val="72"/>
          <w:lang w:val="sr-Cyrl-RS"/>
        </w:rPr>
      </w:pPr>
      <w:r w:rsidRPr="0062711C">
        <w:rPr>
          <w:rFonts w:ascii="Calibri" w:eastAsia="Calibri" w:hAnsi="Calibri" w:cs="Calibri"/>
          <w:bCs/>
          <w:szCs w:val="72"/>
          <w:lang w:val="sr-Cyrl-RS"/>
        </w:rPr>
        <w:t>настојање да ризик по основу каматних стопа на спољни дуг не угрожава дугорочни циљ минимизације трошкова јавног дуга;</w:t>
      </w:r>
    </w:p>
    <w:p w14:paraId="14A2EDAD" w14:textId="77777777" w:rsidR="00D96A25" w:rsidRPr="0062711C" w:rsidRDefault="00D96A25" w:rsidP="00C91F83">
      <w:pPr>
        <w:spacing w:after="60"/>
        <w:rPr>
          <w:rFonts w:ascii="Calibri" w:eastAsia="Calibri" w:hAnsi="Calibri" w:cs="Calibri"/>
          <w:bCs/>
          <w:szCs w:val="72"/>
          <w:lang w:val="sr-Cyrl-RS"/>
        </w:rPr>
      </w:pPr>
      <w:r w:rsidRPr="0062711C">
        <w:rPr>
          <w:rFonts w:ascii="Calibri" w:eastAsia="Calibri" w:hAnsi="Calibri" w:cs="Calibri"/>
          <w:bCs/>
          <w:szCs w:val="72"/>
          <w:lang w:val="sr-Cyrl-RS"/>
        </w:rPr>
        <w:br w:type="column"/>
      </w:r>
      <w:r w:rsidRPr="0062711C">
        <w:rPr>
          <w:rFonts w:ascii="Calibri" w:eastAsia="Calibri" w:hAnsi="Calibri" w:cs="Calibri"/>
          <w:bCs/>
          <w:szCs w:val="72"/>
          <w:lang w:val="sr-Cyrl-RS"/>
        </w:rPr>
        <w:t>4. ризик ликвидности</w:t>
      </w:r>
    </w:p>
    <w:p w14:paraId="4984C2D7" w14:textId="77777777" w:rsidR="00D96A25" w:rsidRPr="0062711C" w:rsidRDefault="00D96A25" w:rsidP="00DB0157">
      <w:pPr>
        <w:numPr>
          <w:ilvl w:val="1"/>
          <w:numId w:val="11"/>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перманентно одржавање нивоа готовине на рачунима Републике Србије на нивоу који омогућава несметано финансирање обавеза у минимуму од четири месеца и на нивоу који омогућава апсорпцију евентуалних мањих прилива по основу задуживања у односу на план;</w:t>
      </w:r>
    </w:p>
    <w:p w14:paraId="05338667" w14:textId="77777777" w:rsidR="00D96A25" w:rsidRPr="0062711C" w:rsidRDefault="00D96A25" w:rsidP="00DB0157">
      <w:pPr>
        <w:numPr>
          <w:ilvl w:val="1"/>
          <w:numId w:val="11"/>
        </w:numPr>
        <w:spacing w:after="120"/>
        <w:ind w:left="181" w:hanging="181"/>
        <w:rPr>
          <w:rFonts w:ascii="Calibri" w:eastAsia="Calibri" w:hAnsi="Calibri" w:cs="Calibri"/>
          <w:bCs/>
          <w:szCs w:val="72"/>
          <w:lang w:val="sr-Cyrl-RS"/>
        </w:rPr>
      </w:pPr>
      <w:r w:rsidRPr="0062711C">
        <w:rPr>
          <w:rFonts w:ascii="Calibri" w:eastAsia="Calibri" w:hAnsi="Calibri" w:cs="Calibri"/>
          <w:bCs/>
          <w:szCs w:val="72"/>
          <w:lang w:val="sr-Cyrl-RS"/>
        </w:rPr>
        <w:t>адекватно управљање слободним готовинским средствима на рачунима Републике Србије у складу са принципима asset-liability management и у складу са могућностима;</w:t>
      </w:r>
    </w:p>
    <w:p w14:paraId="24B7DE28" w14:textId="77777777" w:rsidR="00D96A25" w:rsidRPr="0062711C" w:rsidRDefault="00D96A25" w:rsidP="00C91F83">
      <w:pPr>
        <w:spacing w:after="60"/>
        <w:rPr>
          <w:rFonts w:ascii="Calibri" w:eastAsia="Calibri" w:hAnsi="Calibri" w:cs="Calibri"/>
          <w:bCs/>
          <w:szCs w:val="72"/>
          <w:lang w:val="sr-Cyrl-RS"/>
        </w:rPr>
      </w:pPr>
      <w:r w:rsidRPr="0062711C">
        <w:rPr>
          <w:rFonts w:ascii="Calibri" w:eastAsia="Calibri" w:hAnsi="Calibri" w:cs="Calibri"/>
          <w:bCs/>
          <w:szCs w:val="72"/>
          <w:lang w:val="sr-Cyrl-RS"/>
        </w:rPr>
        <w:t>5. кредитни и оперативни ризици</w:t>
      </w:r>
    </w:p>
    <w:p w14:paraId="3CD27BF9" w14:textId="77777777" w:rsidR="00D96A25" w:rsidRPr="0062711C" w:rsidRDefault="00D96A25" w:rsidP="00DB0157">
      <w:pPr>
        <w:numPr>
          <w:ilvl w:val="1"/>
          <w:numId w:val="12"/>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спровођење трансакција са финансијским дериватима само са финансијским институцијама које имају висок кредитни рејтинг;</w:t>
      </w:r>
    </w:p>
    <w:p w14:paraId="71EAD852" w14:textId="77777777" w:rsidR="00D96A25" w:rsidRPr="0062711C" w:rsidRDefault="00D96A25" w:rsidP="00DB0157">
      <w:pPr>
        <w:numPr>
          <w:ilvl w:val="1"/>
          <w:numId w:val="12"/>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коришћење финансијских инструмената који лимитирају кредитни ризик;</w:t>
      </w:r>
    </w:p>
    <w:p w14:paraId="5979ABF6" w14:textId="77777777" w:rsidR="00D96A25" w:rsidRPr="0062711C" w:rsidRDefault="00D96A25" w:rsidP="00DB0157">
      <w:pPr>
        <w:numPr>
          <w:ilvl w:val="1"/>
          <w:numId w:val="12"/>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давање гаранција и одобравање новог дуга јединицама локалне самоуправе само ако постоји адекватна анализа о релативно ниском степену вероватноће да се реализује гаранција или да јединица локалне самоуправе постане несолвентна у средњорочном периоду;</w:t>
      </w:r>
    </w:p>
    <w:p w14:paraId="2BC6E50B" w14:textId="77777777" w:rsidR="00D96A25" w:rsidRPr="0062711C" w:rsidRDefault="00D96A25" w:rsidP="00B51BEB">
      <w:pPr>
        <w:numPr>
          <w:ilvl w:val="0"/>
          <w:numId w:val="5"/>
        </w:numPr>
        <w:tabs>
          <w:tab w:val="left" w:pos="90"/>
        </w:tabs>
        <w:spacing w:after="120"/>
        <w:ind w:left="181" w:hanging="181"/>
        <w:rPr>
          <w:rFonts w:ascii="Calibri" w:eastAsia="Calibri" w:hAnsi="Calibri" w:cs="Calibri"/>
          <w:bCs/>
          <w:szCs w:val="72"/>
          <w:lang w:val="sr-Cyrl-RS"/>
        </w:rPr>
      </w:pPr>
      <w:r w:rsidRPr="0062711C">
        <w:rPr>
          <w:rFonts w:ascii="Calibri" w:eastAsia="Calibri" w:hAnsi="Calibri" w:cs="Calibri"/>
          <w:bCs/>
          <w:szCs w:val="72"/>
          <w:lang w:val="sr-Cyrl-RS"/>
        </w:rPr>
        <w:t>увођење адекватне контроле у свим пословним активностима у Управи за јавни дуг и унапређење знања запослених;</w:t>
      </w:r>
    </w:p>
    <w:p w14:paraId="084DA753" w14:textId="77777777" w:rsidR="00D96A25" w:rsidRPr="0062711C" w:rsidRDefault="00D96A25" w:rsidP="00B51BEB">
      <w:pPr>
        <w:tabs>
          <w:tab w:val="left" w:pos="90"/>
        </w:tabs>
        <w:spacing w:after="60"/>
        <w:ind w:left="181" w:hanging="181"/>
        <w:rPr>
          <w:rFonts w:ascii="Calibri" w:eastAsia="Calibri" w:hAnsi="Calibri" w:cs="Calibri"/>
          <w:bCs/>
          <w:szCs w:val="72"/>
          <w:lang w:val="sr-Cyrl-RS"/>
        </w:rPr>
      </w:pPr>
      <w:r w:rsidRPr="0062711C">
        <w:rPr>
          <w:rFonts w:ascii="Calibri" w:eastAsia="Calibri" w:hAnsi="Calibri" w:cs="Calibri"/>
          <w:bCs/>
          <w:szCs w:val="72"/>
          <w:lang w:val="sr-Cyrl-RS"/>
        </w:rPr>
        <w:t>6. ризици везани за дистрибуцију трошкова сервисирања</w:t>
      </w:r>
    </w:p>
    <w:p w14:paraId="2618C3D7" w14:textId="77777777" w:rsidR="00D96A25" w:rsidRPr="0062711C" w:rsidRDefault="00D96A25" w:rsidP="00B51BEB">
      <w:pPr>
        <w:numPr>
          <w:ilvl w:val="0"/>
          <w:numId w:val="5"/>
        </w:numPr>
        <w:tabs>
          <w:tab w:val="left" w:pos="90"/>
        </w:tabs>
        <w:ind w:left="181" w:hanging="181"/>
        <w:contextualSpacing/>
        <w:rPr>
          <w:rFonts w:ascii="Calibri" w:eastAsia="Calibri" w:hAnsi="Calibri" w:cs="Calibri"/>
          <w:bCs/>
          <w:szCs w:val="72"/>
          <w:lang w:val="sr-Cyrl-RS"/>
        </w:rPr>
      </w:pPr>
      <w:r w:rsidRPr="0062711C">
        <w:rPr>
          <w:rFonts w:ascii="Calibri" w:eastAsia="Calibri" w:hAnsi="Calibri" w:cs="Calibri"/>
          <w:bCs/>
          <w:szCs w:val="72"/>
          <w:lang w:val="sr-Cyrl-RS"/>
        </w:rPr>
        <w:t>адекватно планирање задуживања на годишњем нивоу и равномерна расподела у наредним годинама и током фискалне године како би се избегао ризик велике концентрације обавеза за рефинансирање;</w:t>
      </w:r>
    </w:p>
    <w:p w14:paraId="1F1DDAC9" w14:textId="77777777" w:rsidR="00D96A25" w:rsidRPr="0062711C" w:rsidRDefault="00D96A25" w:rsidP="00B51BEB">
      <w:pPr>
        <w:numPr>
          <w:ilvl w:val="0"/>
          <w:numId w:val="5"/>
        </w:numPr>
        <w:tabs>
          <w:tab w:val="left" w:pos="90"/>
        </w:tabs>
        <w:ind w:left="181" w:hanging="181"/>
        <w:rPr>
          <w:rFonts w:ascii="Calibri" w:eastAsia="Calibri" w:hAnsi="Calibri" w:cs="Calibri"/>
          <w:bCs/>
          <w:szCs w:val="72"/>
          <w:lang w:val="sr-Cyrl-RS"/>
        </w:rPr>
      </w:pPr>
      <w:r w:rsidRPr="0062711C">
        <w:rPr>
          <w:rFonts w:ascii="Calibri" w:eastAsia="Calibri" w:hAnsi="Calibri" w:cs="Calibri"/>
          <w:bCs/>
          <w:szCs w:val="72"/>
          <w:lang w:val="sr-Cyrl-RS"/>
        </w:rPr>
        <w:t>избегавање концентрације обавеза по основу јавног дуга на месечном нивоу, који не би могао бити амортизован слободним новчаним средствима на рачунима Републике Србије.</w:t>
      </w:r>
    </w:p>
    <w:p w14:paraId="575F1607" w14:textId="77777777" w:rsidR="00D96A25" w:rsidRPr="0062711C" w:rsidRDefault="00D96A25" w:rsidP="00B51BEB">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Анализе коришћене приликом израде Стратегије за управљање јавним дугом</w:t>
      </w:r>
    </w:p>
    <w:p w14:paraId="75DCEF8B"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За формулисање Стратегије за управљање јавним дугом коришћен је квантитативни приступ у анализи трошкова и ризика који утичу на управљање јавним дугом.</w:t>
      </w:r>
    </w:p>
    <w:p w14:paraId="37DEA201"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lastRenderedPageBreak/>
        <w:t>Имајући у виду макроекономско окружење и тржишне услове, упоредно се разматрају алтернативни извори финансирања.</w:t>
      </w:r>
    </w:p>
    <w:p w14:paraId="72F9D99A"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У сврху анализе коришћени су инструменти доступни на домаћем и међународном финансијском тржишту.</w:t>
      </w:r>
    </w:p>
    <w:p w14:paraId="761DCF98" w14:textId="77777777" w:rsidR="00D96A25" w:rsidRPr="0062711C" w:rsidRDefault="00D96A25" w:rsidP="00B51BEB">
      <w:pPr>
        <w:spacing w:after="120"/>
        <w:rPr>
          <w:rFonts w:ascii="Calibri" w:eastAsia="Calibri" w:hAnsi="Calibri" w:cs="Calibri"/>
          <w:bCs/>
          <w:szCs w:val="72"/>
          <w:lang w:val="sr-Cyrl-RS"/>
        </w:rPr>
      </w:pPr>
      <w:r w:rsidRPr="0062711C">
        <w:rPr>
          <w:rFonts w:ascii="Calibri" w:eastAsia="Calibri" w:hAnsi="Calibri" w:cs="Calibri"/>
          <w:bCs/>
          <w:szCs w:val="72"/>
          <w:lang w:val="sr-Cyrl-RS"/>
        </w:rPr>
        <w:t>Извори финансирања деноминовани у страној валути:</w:t>
      </w:r>
    </w:p>
    <w:p w14:paraId="70B1F4B9" w14:textId="77777777" w:rsidR="00D96A25" w:rsidRPr="0062711C" w:rsidRDefault="00D96A25" w:rsidP="00B51BEB">
      <w:pPr>
        <w:numPr>
          <w:ilvl w:val="0"/>
          <w:numId w:val="6"/>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Зајмови страних влада, међународних финансијских институција, пословних банака и других поверилаца – приказани као концесионални инструменти деноминовани у еврима или америчким доларима, са фиксном или варијабилном каматном стопом;</w:t>
      </w:r>
    </w:p>
    <w:p w14:paraId="76065CCF" w14:textId="77777777" w:rsidR="00D96A25" w:rsidRPr="0062711C" w:rsidRDefault="00D96A25" w:rsidP="00B51BEB">
      <w:pPr>
        <w:numPr>
          <w:ilvl w:val="0"/>
          <w:numId w:val="6"/>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Државни записи и државне обвезнице емитоване на домаћем или иностраном финансијском тржишту, деноминовани у еврима</w:t>
      </w:r>
    </w:p>
    <w:p w14:paraId="6D2357EC" w14:textId="77777777" w:rsidR="00D96A25" w:rsidRPr="0062711C" w:rsidRDefault="00D96A25" w:rsidP="00B51BEB">
      <w:pPr>
        <w:numPr>
          <w:ilvl w:val="0"/>
          <w:numId w:val="6"/>
        </w:numPr>
        <w:ind w:left="180" w:hanging="180"/>
        <w:contextualSpacing/>
        <w:rPr>
          <w:rFonts w:ascii="Calibri" w:eastAsia="Calibri" w:hAnsi="Calibri" w:cs="Calibri"/>
          <w:bCs/>
          <w:szCs w:val="72"/>
          <w:lang w:val="sr-Cyrl-RS"/>
        </w:rPr>
      </w:pPr>
      <w:r w:rsidRPr="0062711C">
        <w:rPr>
          <w:rFonts w:ascii="Calibri" w:eastAsia="Calibri" w:hAnsi="Calibri" w:cs="Calibri"/>
          <w:bCs/>
          <w:szCs w:val="72"/>
          <w:lang w:val="sr-Cyrl-RS"/>
        </w:rPr>
        <w:t>Еврообвезницe – емитованe у еврима или америчким доларима на међународном финансијском тржишту.</w:t>
      </w:r>
    </w:p>
    <w:p w14:paraId="7FF0FA22" w14:textId="77777777" w:rsidR="00D96A25" w:rsidRPr="0062711C" w:rsidRDefault="00D96A25" w:rsidP="00B51BEB">
      <w:pPr>
        <w:ind w:left="180"/>
        <w:contextualSpacing/>
        <w:rPr>
          <w:rFonts w:ascii="Calibri" w:eastAsia="Calibri" w:hAnsi="Calibri" w:cs="Calibri"/>
          <w:bCs/>
          <w:szCs w:val="72"/>
          <w:lang w:val="sr-Cyrl-RS"/>
        </w:rPr>
      </w:pPr>
    </w:p>
    <w:p w14:paraId="5AB8DEDD" w14:textId="77777777" w:rsidR="00D96A25" w:rsidRPr="0062711C" w:rsidRDefault="00D96A25" w:rsidP="00B51BEB">
      <w:pPr>
        <w:spacing w:after="120"/>
        <w:rPr>
          <w:rFonts w:ascii="Calibri" w:eastAsia="Calibri" w:hAnsi="Calibri" w:cs="Calibri"/>
          <w:bCs/>
          <w:szCs w:val="72"/>
          <w:lang w:val="sr-Cyrl-RS"/>
        </w:rPr>
      </w:pPr>
      <w:r w:rsidRPr="0062711C">
        <w:rPr>
          <w:rFonts w:ascii="Calibri" w:eastAsia="Calibri" w:hAnsi="Calibri" w:cs="Calibri"/>
          <w:bCs/>
          <w:szCs w:val="72"/>
          <w:lang w:val="sr-Cyrl-RS"/>
        </w:rPr>
        <w:t>Извори финансирања у домаћој валути:</w:t>
      </w:r>
    </w:p>
    <w:p w14:paraId="014AAF83" w14:textId="77777777" w:rsidR="00D96A25" w:rsidRPr="0062711C" w:rsidRDefault="00D96A25" w:rsidP="00B51BEB">
      <w:pPr>
        <w:numPr>
          <w:ilvl w:val="1"/>
          <w:numId w:val="7"/>
        </w:numPr>
        <w:spacing w:line="256" w:lineRule="auto"/>
        <w:ind w:left="181" w:hanging="181"/>
        <w:rPr>
          <w:lang w:val="sr-Cyrl-RS"/>
        </w:rPr>
      </w:pPr>
      <w:r w:rsidRPr="0062711C">
        <w:rPr>
          <w:rFonts w:ascii="Calibri" w:eastAsia="Calibri" w:hAnsi="Calibri" w:cs="Calibri"/>
          <w:bCs/>
          <w:szCs w:val="72"/>
          <w:lang w:val="sr-Cyrl-RS"/>
        </w:rPr>
        <w:t>Државни записи и државне обвезнице емитоване на домаћем финансијском тржишту, деноминовани у динарима.</w:t>
      </w:r>
    </w:p>
    <w:p w14:paraId="293BE54C" w14:textId="77777777" w:rsidR="00D96A25" w:rsidRPr="0062711C" w:rsidRDefault="00D96A25" w:rsidP="00B51BEB">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Будуће тржишне каматне стопе и сценарио анализа</w:t>
      </w:r>
    </w:p>
    <w:p w14:paraId="79D84AA1"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Након избора одговарајуће композиције извора финансирања (изабраних и компаративних стратегија финансирања), приступа се анализи трошкова и ризика полазећи од основног (највероватнијег) сценарија, након чега се врши стрес тестирање за додатне врсте сценарија –шокова, како би се добио преглед ефеката коштања разматраних стратегија.</w:t>
      </w:r>
    </w:p>
    <w:p w14:paraId="79B40CC4"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Основни сценарио се базира на највише вероватним тржишним условима за три групе тржишних варијабли: девизни курс, каматне стопе на међународном тржишту и каматне стопе на домаћем тржишту. Приступ за динарске и евро каматне стопе заснива се на стопама оствареним током претходне и текуће године.</w:t>
      </w:r>
    </w:p>
    <w:p w14:paraId="0B5AB09F"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Након дефинисања основног сценарија, у циљу стрес тестирања одабране су додатне врсте сценарија – шокова:</w:t>
      </w:r>
    </w:p>
    <w:p w14:paraId="31366927" w14:textId="77777777" w:rsidR="00D96A25" w:rsidRPr="0062711C" w:rsidRDefault="00D96A25" w:rsidP="00B51BEB">
      <w:pPr>
        <w:pStyle w:val="ListParagraph"/>
        <w:numPr>
          <w:ilvl w:val="2"/>
          <w:numId w:val="6"/>
        </w:numPr>
        <w:spacing w:after="60"/>
        <w:ind w:left="227" w:hanging="227"/>
        <w:contextualSpacing w:val="0"/>
        <w:rPr>
          <w:rFonts w:ascii="Calibri" w:eastAsia="Calibri" w:hAnsi="Calibri" w:cs="Calibri"/>
          <w:bCs/>
          <w:szCs w:val="72"/>
          <w:lang w:val="sr-Cyrl-RS"/>
        </w:rPr>
      </w:pPr>
      <w:r w:rsidRPr="0062711C">
        <w:rPr>
          <w:rFonts w:ascii="Calibri" w:eastAsia="Calibri" w:hAnsi="Calibri" w:cs="Calibri"/>
          <w:bCs/>
          <w:szCs w:val="72"/>
          <w:lang w:val="sr-Cyrl-RS"/>
        </w:rPr>
        <w:t>Депрецијација динара у односу на све валуте од 15% у 2026.</w:t>
      </w:r>
      <w:r w:rsidRPr="0062711C">
        <w:rPr>
          <w:rFonts w:ascii="Calibri" w:eastAsia="Calibri" w:hAnsi="Calibri" w:cs="Calibri"/>
          <w:bCs/>
          <w:color w:val="FF0000"/>
          <w:szCs w:val="72"/>
          <w:lang w:val="sr-Cyrl-RS"/>
        </w:rPr>
        <w:t xml:space="preserve"> </w:t>
      </w:r>
      <w:r w:rsidRPr="0062711C">
        <w:rPr>
          <w:rFonts w:ascii="Calibri" w:eastAsia="Calibri" w:hAnsi="Calibri" w:cs="Calibri"/>
          <w:bCs/>
          <w:szCs w:val="72"/>
          <w:lang w:val="sr-Cyrl-RS"/>
        </w:rPr>
        <w:t>години. У овом сценарију однос евра и америчког долара би остао стабилан, док би само динар депрецирао у односу на обе валуте;</w:t>
      </w:r>
    </w:p>
    <w:p w14:paraId="0F6CC926" w14:textId="77777777" w:rsidR="00D96A25" w:rsidRPr="0062711C" w:rsidRDefault="00D96A25" w:rsidP="00B51BEB">
      <w:pPr>
        <w:pStyle w:val="ListParagraph"/>
        <w:numPr>
          <w:ilvl w:val="2"/>
          <w:numId w:val="6"/>
        </w:numPr>
        <w:spacing w:after="60"/>
        <w:ind w:left="227" w:hanging="227"/>
        <w:contextualSpacing w:val="0"/>
        <w:rPr>
          <w:rFonts w:ascii="Calibri" w:eastAsia="Calibri" w:hAnsi="Calibri" w:cs="Calibri"/>
          <w:bCs/>
          <w:szCs w:val="72"/>
          <w:lang w:val="sr-Cyrl-RS"/>
        </w:rPr>
      </w:pPr>
      <w:r w:rsidRPr="0062711C">
        <w:rPr>
          <w:rFonts w:ascii="Calibri" w:eastAsia="Calibri" w:hAnsi="Calibri" w:cs="Calibri"/>
          <w:bCs/>
          <w:szCs w:val="72"/>
          <w:lang w:val="sr-Cyrl-RS"/>
        </w:rPr>
        <w:t>Повећање каматних стопа на домаћем и међународном тржишту за 2 п.п.;</w:t>
      </w:r>
    </w:p>
    <w:p w14:paraId="5B6D7153" w14:textId="77777777" w:rsidR="00D96A25" w:rsidRPr="0062711C" w:rsidRDefault="00D96A25" w:rsidP="00B51BEB">
      <w:pPr>
        <w:pStyle w:val="ListParagraph"/>
        <w:numPr>
          <w:ilvl w:val="2"/>
          <w:numId w:val="6"/>
        </w:numPr>
        <w:spacing w:after="60"/>
        <w:ind w:left="227" w:hanging="227"/>
        <w:contextualSpacing w:val="0"/>
        <w:rPr>
          <w:rFonts w:ascii="Calibri" w:eastAsia="Calibri" w:hAnsi="Calibri" w:cs="Calibri"/>
          <w:bCs/>
          <w:spacing w:val="-4"/>
          <w:szCs w:val="72"/>
          <w:lang w:val="sr-Cyrl-RS"/>
        </w:rPr>
      </w:pPr>
      <w:r w:rsidRPr="0062711C">
        <w:rPr>
          <w:rFonts w:ascii="Calibri" w:eastAsia="Calibri" w:hAnsi="Calibri" w:cs="Calibri"/>
          <w:bCs/>
          <w:spacing w:val="-4"/>
          <w:szCs w:val="72"/>
          <w:lang w:val="sr-Cyrl-RS"/>
        </w:rPr>
        <w:t>Повећање каматних стопа на међународном тржишту до 3 п.п., а на домаћем тржишту до 4 п.п.;</w:t>
      </w:r>
    </w:p>
    <w:p w14:paraId="10A151AD" w14:textId="77777777" w:rsidR="00D96A25" w:rsidRPr="0062711C" w:rsidRDefault="00D96A25" w:rsidP="00B51BEB">
      <w:pPr>
        <w:pStyle w:val="ListParagraph"/>
        <w:numPr>
          <w:ilvl w:val="2"/>
          <w:numId w:val="6"/>
        </w:numPr>
        <w:ind w:left="227" w:hanging="227"/>
        <w:rPr>
          <w:rFonts w:ascii="Calibri" w:eastAsia="Calibri" w:hAnsi="Calibri" w:cs="Calibri"/>
          <w:bCs/>
          <w:szCs w:val="72"/>
          <w:lang w:val="sr-Cyrl-RS"/>
        </w:rPr>
      </w:pPr>
      <w:r w:rsidRPr="0062711C">
        <w:rPr>
          <w:rFonts w:ascii="Calibri" w:eastAsia="Calibri" w:hAnsi="Calibri" w:cs="Calibri"/>
          <w:bCs/>
          <w:szCs w:val="72"/>
          <w:lang w:val="sr-Cyrl-RS"/>
        </w:rPr>
        <w:t>Комбиновани шок који се односи на депрецијацију динара у односу на долар 15% у 2026. години и раст каматних стопа за 2 п.п.</w:t>
      </w:r>
    </w:p>
    <w:p w14:paraId="17C70921" w14:textId="77777777" w:rsidR="00D96A25" w:rsidRPr="0062711C" w:rsidRDefault="00D96A25" w:rsidP="00B51BEB">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Алтернативне стратегије задуживања за период 2025–2027. године</w:t>
      </w:r>
    </w:p>
    <w:p w14:paraId="49B60211"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 xml:space="preserve">На бази модела Светске банке </w:t>
      </w:r>
      <w:r w:rsidRPr="0062711C">
        <w:rPr>
          <w:rFonts w:ascii="Calibri" w:eastAsia="Calibri" w:hAnsi="Calibri" w:cs="Calibri"/>
          <w:bCs/>
          <w:i/>
          <w:szCs w:val="72"/>
          <w:lang w:val="sr-Cyrl-RS"/>
        </w:rPr>
        <w:t>Medium Term Debt Strategy Model</w:t>
      </w:r>
      <w:r w:rsidRPr="0062711C">
        <w:rPr>
          <w:rFonts w:ascii="Calibri" w:eastAsia="Calibri" w:hAnsi="Calibri" w:cs="Calibri"/>
          <w:bCs/>
          <w:szCs w:val="72"/>
          <w:lang w:val="sr-Cyrl-RS"/>
        </w:rPr>
        <w:t xml:space="preserve"> – MTDS, анализиране алтернативне стратегије задуживања су:</w:t>
      </w:r>
    </w:p>
    <w:p w14:paraId="667A202A"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Основна стратегија (С1): представља стратегију која укупне потребе за буџетским финансирањем покрива комбинацијом извора финансирања у страној и домаћој валути. Изворе буџетског финансирања у страној валути сачињавају највећим делом примања од продаје еврообвезница на иностраном финансијском тржишту (рочности од петнаест година, која је најзаступљенија, као и рочности од десет и седам година) и програмски зајмови различитих поверилаца. Изворе буџетског финансирања у домаћој валути сачињавају примања од емисије државних обвезница (рочности пет, осам, десет и дванаест година) на домаћем финансијском тржишту. Пројектно финансирање, као и у претходним годинама, обезбеђује се највећим делом из кредита деноминованих у страној валути од иностраних поверилаца.</w:t>
      </w:r>
    </w:p>
    <w:p w14:paraId="7630CADD"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Стратегија (С2): у односу на стратегију С1, целокупне потребе за финансирањем задовољавају се емисијом еврообвезница у доларима, рочности десет и петнаест година.</w:t>
      </w:r>
    </w:p>
    <w:p w14:paraId="48E377CC"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 xml:space="preserve">Стратегија (С3): у односу на стратегију С1, представља стратегију која целокупно </w:t>
      </w:r>
      <w:r w:rsidRPr="0062711C">
        <w:rPr>
          <w:rFonts w:ascii="Calibri" w:eastAsia="Calibri" w:hAnsi="Calibri" w:cs="Calibri"/>
          <w:bCs/>
          <w:szCs w:val="72"/>
          <w:lang w:val="sr-Cyrl-RS"/>
        </w:rPr>
        <w:lastRenderedPageBreak/>
        <w:t>финансирање заснива на емисијама еврообвезница у еврима рочности десет и петнаест година.</w:t>
      </w:r>
    </w:p>
    <w:p w14:paraId="59779C28"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Стратегија додатне динаризације (С4): представља стратегију која целокупно финансирање заснива на емисијама динарских хартија од вредности.</w:t>
      </w:r>
    </w:p>
    <w:p w14:paraId="5CAE9C92" w14:textId="77777777" w:rsidR="00D96A25" w:rsidRPr="0062711C" w:rsidRDefault="00D96A25" w:rsidP="00B51BEB">
      <w:pPr>
        <w:spacing w:line="256" w:lineRule="auto"/>
        <w:rPr>
          <w:rFonts w:ascii="Calibri" w:eastAsia="Calibri" w:hAnsi="Calibri" w:cs="Calibri"/>
          <w:bCs/>
          <w:szCs w:val="72"/>
          <w:lang w:val="sr-Cyrl-RS"/>
        </w:rPr>
      </w:pPr>
      <w:r w:rsidRPr="0062711C">
        <w:rPr>
          <w:rFonts w:ascii="Calibri" w:eastAsia="Calibri" w:hAnsi="Calibri" w:cs="Times New Roman"/>
          <w:b/>
          <w:color w:val="2F5496" w:themeColor="accent1" w:themeShade="BF"/>
          <w:sz w:val="22"/>
          <w:lang w:val="sr-Cyrl-RS"/>
        </w:rPr>
        <w:t>Поређење алтернативних стратегија</w:t>
      </w:r>
    </w:p>
    <w:p w14:paraId="31B9786A"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За поређење алтернативних стратегија задуживања примењене су две мере трошкова: однос јавног дуга према БДП и номинална камата као проценат БДП. Први однос је индикатор стања, а други индикатор тока. У циљу поређења, пажња је усмерена на резултате разматраних стратегија на крају 2027. године.</w:t>
      </w:r>
    </w:p>
    <w:p w14:paraId="334D3926"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pacing w:val="-2"/>
          <w:szCs w:val="72"/>
          <w:lang w:val="sr-Cyrl-RS"/>
        </w:rPr>
        <w:t xml:space="preserve">На основу графикона јасно се уочавају трошкови које свака од разматраних стратегија носи са собом. </w:t>
      </w:r>
      <w:r w:rsidRPr="0062711C">
        <w:rPr>
          <w:rFonts w:ascii="Calibri" w:eastAsia="Calibri" w:hAnsi="Calibri" w:cs="Calibri"/>
          <w:bCs/>
          <w:szCs w:val="72"/>
          <w:lang w:val="sr-Cyrl-RS"/>
        </w:rPr>
        <w:t>Трошак алтернативних стратегија при основном макроекономском сценарију приказан је на вертикалној оси графикона трошкова, док се на хоризонталној оси налази потенцијални трошак одређене стратегије задуживања (резултат стрес теста).</w:t>
      </w:r>
    </w:p>
    <w:p w14:paraId="34963AF3"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При основном макроекономском сценарију на крају 2027. године, мерено учешћем дуга у БДП, највише трошкове имају стратегије С4 и С2, следи стратегија С3, док је стратегија С1 на најнижем трошковном нивоу. Са друге стране највећи ризик на однос дуга и БДП, ако се одступи од основног макроекономског сценарија, има промена девизног курса. Посматрано са аспекта утицаја шокова девизног курса на рацио дуга и БДП, најбољи положај има стратегија С4, јер је целокупно финансирање у динарима, док стратегије С2 и С3 имају већу изложеност ризику промене девизног курса, јер је финансирање засновано у потпуности на изворима у страној валути. Стратегија С1 у погледу ризика промене девизног курса има нешто повољнији положај у односу на стратегије С2 и С3, из разлога што комбинује финансирање у домаћој и страној валути.</w:t>
      </w:r>
    </w:p>
    <w:p w14:paraId="02605572" w14:textId="77777777" w:rsidR="00D96A25" w:rsidRPr="0062711C" w:rsidRDefault="00D96A25" w:rsidP="00B51BEB">
      <w:pPr>
        <w:spacing w:line="256" w:lineRule="auto"/>
        <w:rPr>
          <w:rFonts w:ascii="Calibri" w:eastAsia="Calibri" w:hAnsi="Calibri" w:cs="Calibri"/>
          <w:bCs/>
          <w:szCs w:val="72"/>
          <w:lang w:val="sr-Cyrl-RS"/>
        </w:rPr>
      </w:pPr>
      <w:r w:rsidRPr="0062711C">
        <w:rPr>
          <w:rFonts w:ascii="Calibri" w:eastAsia="Calibri" w:hAnsi="Calibri" w:cs="Calibri"/>
          <w:bCs/>
          <w:szCs w:val="72"/>
          <w:lang w:val="sr-Cyrl-RS"/>
        </w:rPr>
        <w:t>Са аспекта учешћа камата у БДП, динарска стратегија С4 је најскупља, јер је са највишим стопама, следи стратегија С2 базирана на доларским обвезницама које такође имају високе каматне стопе, стратегије С3 (еврообвезнице у еврима) и С1 као најповољнија (тржишни и концесионални инструменти). Резултати стрес анализе показали су да највећи ризик за промену односа камате и БДП, ако се промени основни сценарио, долази од шока промене каматних стопа који је већи на домаћем него на међународном тржишту због чега стратегија С4 има највећи ризик промене рација камате и БДП. Следе стратегије С2 и С3 које се састоје од тржишних инструмената који су такође подложни шоковима промене каматних стопа на међународном тржишту, док је код С1 овај ризик ублажен услед присуства концесионалних инструмената са фиксним стопама.</w:t>
      </w:r>
    </w:p>
    <w:p w14:paraId="44BAAFBC" w14:textId="77777777" w:rsidR="00D96A25" w:rsidRPr="0062711C" w:rsidRDefault="00D96A25" w:rsidP="00B51BEB">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Однос дуга и БДП на крају 2027. године</w:t>
      </w:r>
    </w:p>
    <w:p w14:paraId="48F4976A" w14:textId="77777777" w:rsidR="00D96A25" w:rsidRPr="0062711C" w:rsidRDefault="00D96A25" w:rsidP="00B51BEB">
      <w:pPr>
        <w:spacing w:line="256" w:lineRule="auto"/>
        <w:rPr>
          <w:rFonts w:ascii="Calibri" w:eastAsia="Calibri" w:hAnsi="Calibri" w:cs="Times New Roman"/>
          <w:b/>
          <w:color w:val="002060"/>
          <w:lang w:val="sr-Cyrl-RS"/>
        </w:rPr>
      </w:pPr>
      <w:r w:rsidRPr="0062711C">
        <w:rPr>
          <w:noProof/>
          <w:lang w:val="en-GB" w:eastAsia="en-GB"/>
        </w:rPr>
        <w:drawing>
          <wp:inline distT="0" distB="0" distL="0" distR="0" wp14:anchorId="662DBE84" wp14:editId="2C2A6943">
            <wp:extent cx="2685600" cy="1620001"/>
            <wp:effectExtent l="0" t="0" r="635" b="0"/>
            <wp:docPr id="72" name="Chart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7"/>
              </a:graphicData>
            </a:graphic>
          </wp:inline>
        </w:drawing>
      </w:r>
    </w:p>
    <w:p w14:paraId="6A619F5D" w14:textId="77777777" w:rsidR="00D96A25" w:rsidRPr="0062711C" w:rsidRDefault="00D96A25" w:rsidP="00B51BEB">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Однос камата и БДП на крају 2027. године</w:t>
      </w:r>
    </w:p>
    <w:p w14:paraId="3E2B952B" w14:textId="77777777" w:rsidR="00D96A25" w:rsidRPr="0062711C" w:rsidRDefault="00D96A25" w:rsidP="00B51BEB">
      <w:pPr>
        <w:spacing w:line="256" w:lineRule="auto"/>
        <w:rPr>
          <w:rFonts w:ascii="Calibri" w:eastAsia="Calibri" w:hAnsi="Calibri" w:cs="Times New Roman"/>
          <w:b/>
          <w:lang w:val="sr-Cyrl-RS"/>
        </w:rPr>
      </w:pPr>
      <w:r w:rsidRPr="0062711C">
        <w:rPr>
          <w:noProof/>
          <w:lang w:val="en-GB" w:eastAsia="en-GB"/>
        </w:rPr>
        <w:drawing>
          <wp:inline distT="0" distB="0" distL="0" distR="0" wp14:anchorId="14856A16" wp14:editId="27C62F98">
            <wp:extent cx="2685600" cy="1620000"/>
            <wp:effectExtent l="0" t="0" r="635" b="0"/>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8"/>
              </a:graphicData>
            </a:graphic>
          </wp:inline>
        </w:drawing>
      </w:r>
    </w:p>
    <w:p w14:paraId="2906590E" w14:textId="77777777" w:rsidR="00D96A25" w:rsidRPr="0062711C" w:rsidRDefault="00D96A25" w:rsidP="00B51BEB">
      <w:pPr>
        <w:spacing w:line="256" w:lineRule="auto"/>
        <w:jc w:val="center"/>
        <w:rPr>
          <w:rFonts w:ascii="Calibri" w:eastAsia="Calibri" w:hAnsi="Calibri" w:cs="Times New Roman"/>
          <w:b/>
          <w:color w:val="002060"/>
          <w:lang w:val="sr-Cyrl-RS"/>
        </w:rPr>
        <w:sectPr w:rsidR="00D96A25" w:rsidRPr="0062711C" w:rsidSect="00F45C01">
          <w:type w:val="continuous"/>
          <w:pgSz w:w="12240" w:h="15840" w:code="1"/>
          <w:pgMar w:top="1440" w:right="1440" w:bottom="1440" w:left="1440" w:header="720" w:footer="720" w:gutter="0"/>
          <w:cols w:num="2" w:space="720"/>
          <w:titlePg/>
          <w:docGrid w:linePitch="360"/>
        </w:sectPr>
      </w:pPr>
    </w:p>
    <w:p w14:paraId="73933E08" w14:textId="77777777" w:rsidR="00D96A25" w:rsidRPr="0062711C" w:rsidRDefault="00D96A25" w:rsidP="00D96A25">
      <w:pPr>
        <w:rPr>
          <w:lang w:val="sr-Cyrl-RS"/>
        </w:rPr>
      </w:pPr>
      <w:r w:rsidRPr="0062711C">
        <w:rPr>
          <w:lang w:val="sr-Cyrl-RS"/>
        </w:rPr>
        <w:br w:type="page"/>
      </w:r>
    </w:p>
    <w:p w14:paraId="72BFB1D6" w14:textId="51297DD3" w:rsidR="00D96A25" w:rsidRPr="0062711C" w:rsidRDefault="00D96A25" w:rsidP="00B51BEB">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lastRenderedPageBreak/>
        <w:t xml:space="preserve">Табела </w:t>
      </w:r>
      <w:r w:rsidR="004710A1" w:rsidRPr="0062711C">
        <w:rPr>
          <w:rFonts w:ascii="Calibri" w:eastAsia="Calibri" w:hAnsi="Calibri" w:cs="Times New Roman"/>
          <w:b/>
          <w:color w:val="002060"/>
          <w:lang w:val="sr-Cyrl-RS"/>
        </w:rPr>
        <w:t>3</w:t>
      </w:r>
      <w:r w:rsidR="00BB1E84">
        <w:rPr>
          <w:rFonts w:ascii="Calibri" w:eastAsia="Calibri" w:hAnsi="Calibri" w:cs="Times New Roman"/>
          <w:b/>
          <w:color w:val="002060"/>
        </w:rPr>
        <w:t>4</w:t>
      </w:r>
      <w:r w:rsidRPr="0062711C">
        <w:rPr>
          <w:rFonts w:ascii="Calibri" w:eastAsia="Calibri" w:hAnsi="Calibri" w:cs="Times New Roman"/>
          <w:b/>
          <w:color w:val="002060"/>
          <w:lang w:val="sr-Cyrl-RS"/>
        </w:rPr>
        <w:t>. Однос јавног дуга и БДП на крају 2027.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D96A25" w:rsidRPr="0062711C" w14:paraId="170F6A2F" w14:textId="77777777" w:rsidTr="00B51BEB">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3F16658A" w14:textId="77777777" w:rsidR="00D96A25" w:rsidRPr="0062711C" w:rsidRDefault="00D96A25" w:rsidP="00B51BEB">
            <w:pPr>
              <w:rPr>
                <w:rFonts w:ascii="Calibri" w:hAnsi="Calibri" w:cs="Calibri"/>
                <w:color w:val="002060"/>
                <w:sz w:val="18"/>
                <w:szCs w:val="18"/>
                <w:lang w:val="sr-Cyrl-RS"/>
              </w:rPr>
            </w:pPr>
            <w:r w:rsidRPr="0062711C">
              <w:rPr>
                <w:rFonts w:ascii="Calibri" w:hAnsi="Calibri" w:cs="Calibri"/>
                <w:color w:val="002060"/>
                <w:sz w:val="18"/>
                <w:szCs w:val="18"/>
                <w:lang w:val="sr-Cyrl-RS"/>
              </w:rPr>
              <w:t>Сценарији</w:t>
            </w:r>
          </w:p>
        </w:tc>
        <w:tc>
          <w:tcPr>
            <w:tcW w:w="578" w:type="pct"/>
            <w:tcBorders>
              <w:top w:val="single" w:sz="4" w:space="0" w:color="002060"/>
              <w:bottom w:val="single" w:sz="4" w:space="0" w:color="002060"/>
            </w:tcBorders>
            <w:noWrap/>
            <w:hideMark/>
          </w:tcPr>
          <w:p w14:paraId="59423047"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C1</w:t>
            </w:r>
          </w:p>
        </w:tc>
        <w:tc>
          <w:tcPr>
            <w:tcW w:w="578" w:type="pct"/>
            <w:tcBorders>
              <w:top w:val="single" w:sz="4" w:space="0" w:color="002060"/>
              <w:bottom w:val="single" w:sz="4" w:space="0" w:color="002060"/>
            </w:tcBorders>
            <w:noWrap/>
            <w:hideMark/>
          </w:tcPr>
          <w:p w14:paraId="5B430921"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C2</w:t>
            </w:r>
          </w:p>
        </w:tc>
        <w:tc>
          <w:tcPr>
            <w:tcW w:w="578" w:type="pct"/>
            <w:tcBorders>
              <w:top w:val="single" w:sz="4" w:space="0" w:color="002060"/>
              <w:bottom w:val="single" w:sz="4" w:space="0" w:color="002060"/>
            </w:tcBorders>
            <w:noWrap/>
            <w:hideMark/>
          </w:tcPr>
          <w:p w14:paraId="35C22210"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C3</w:t>
            </w:r>
          </w:p>
        </w:tc>
        <w:tc>
          <w:tcPr>
            <w:tcW w:w="578" w:type="pct"/>
            <w:tcBorders>
              <w:top w:val="single" w:sz="4" w:space="0" w:color="002060"/>
              <w:bottom w:val="single" w:sz="4" w:space="0" w:color="002060"/>
            </w:tcBorders>
            <w:noWrap/>
            <w:hideMark/>
          </w:tcPr>
          <w:p w14:paraId="73A188F1"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C4</w:t>
            </w:r>
          </w:p>
        </w:tc>
      </w:tr>
      <w:tr w:rsidR="00D96A25" w:rsidRPr="0062711C" w14:paraId="1B215C0D" w14:textId="77777777" w:rsidTr="00B51BE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45693E74"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Основни сценарио</w:t>
            </w:r>
          </w:p>
        </w:tc>
        <w:tc>
          <w:tcPr>
            <w:tcW w:w="578" w:type="pct"/>
            <w:tcBorders>
              <w:top w:val="nil"/>
              <w:bottom w:val="nil"/>
            </w:tcBorders>
            <w:shd w:val="clear" w:color="auto" w:fill="E7E6E6" w:themeFill="background2"/>
            <w:noWrap/>
            <w:hideMark/>
          </w:tcPr>
          <w:p w14:paraId="718DB683"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49,7</w:t>
            </w:r>
          </w:p>
        </w:tc>
        <w:tc>
          <w:tcPr>
            <w:tcW w:w="578" w:type="pct"/>
            <w:tcBorders>
              <w:top w:val="nil"/>
              <w:bottom w:val="nil"/>
            </w:tcBorders>
            <w:shd w:val="clear" w:color="auto" w:fill="E7E6E6" w:themeFill="background2"/>
            <w:noWrap/>
            <w:hideMark/>
          </w:tcPr>
          <w:p w14:paraId="649FBFA4"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50,0</w:t>
            </w:r>
          </w:p>
        </w:tc>
        <w:tc>
          <w:tcPr>
            <w:tcW w:w="578" w:type="pct"/>
            <w:tcBorders>
              <w:top w:val="nil"/>
              <w:bottom w:val="nil"/>
            </w:tcBorders>
            <w:shd w:val="clear" w:color="auto" w:fill="E7E6E6" w:themeFill="background2"/>
            <w:noWrap/>
            <w:hideMark/>
          </w:tcPr>
          <w:p w14:paraId="5F87E0C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49,8</w:t>
            </w:r>
          </w:p>
        </w:tc>
        <w:tc>
          <w:tcPr>
            <w:tcW w:w="578" w:type="pct"/>
            <w:tcBorders>
              <w:top w:val="nil"/>
              <w:bottom w:val="nil"/>
            </w:tcBorders>
            <w:shd w:val="clear" w:color="auto" w:fill="E7E6E6" w:themeFill="background2"/>
            <w:noWrap/>
            <w:hideMark/>
          </w:tcPr>
          <w:p w14:paraId="7AC60E59"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49,9</w:t>
            </w:r>
          </w:p>
        </w:tc>
      </w:tr>
      <w:tr w:rsidR="00D96A25" w:rsidRPr="0062711C" w14:paraId="0C04128E" w14:textId="77777777" w:rsidTr="00B51BE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69D531F7"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Шок девизног курса (15% све валуте) </w:t>
            </w:r>
          </w:p>
        </w:tc>
        <w:tc>
          <w:tcPr>
            <w:tcW w:w="578" w:type="pct"/>
            <w:tcBorders>
              <w:top w:val="nil"/>
              <w:left w:val="nil"/>
              <w:bottom w:val="nil"/>
              <w:right w:val="nil"/>
            </w:tcBorders>
            <w:shd w:val="clear" w:color="auto" w:fill="auto"/>
            <w:noWrap/>
            <w:hideMark/>
          </w:tcPr>
          <w:p w14:paraId="32EAC95E"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55,5</w:t>
            </w:r>
          </w:p>
        </w:tc>
        <w:tc>
          <w:tcPr>
            <w:tcW w:w="578" w:type="pct"/>
            <w:tcBorders>
              <w:top w:val="nil"/>
              <w:left w:val="nil"/>
              <w:bottom w:val="nil"/>
              <w:right w:val="nil"/>
            </w:tcBorders>
            <w:shd w:val="clear" w:color="auto" w:fill="auto"/>
            <w:noWrap/>
            <w:hideMark/>
          </w:tcPr>
          <w:p w14:paraId="743BDF8E"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56,2</w:t>
            </w:r>
          </w:p>
        </w:tc>
        <w:tc>
          <w:tcPr>
            <w:tcW w:w="578" w:type="pct"/>
            <w:tcBorders>
              <w:top w:val="nil"/>
              <w:left w:val="nil"/>
              <w:bottom w:val="nil"/>
              <w:right w:val="nil"/>
            </w:tcBorders>
            <w:shd w:val="clear" w:color="auto" w:fill="auto"/>
            <w:noWrap/>
            <w:hideMark/>
          </w:tcPr>
          <w:p w14:paraId="37FC4492"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56,1</w:t>
            </w:r>
          </w:p>
        </w:tc>
        <w:tc>
          <w:tcPr>
            <w:tcW w:w="578" w:type="pct"/>
            <w:tcBorders>
              <w:top w:val="nil"/>
              <w:left w:val="nil"/>
              <w:bottom w:val="nil"/>
              <w:right w:val="nil"/>
            </w:tcBorders>
            <w:shd w:val="clear" w:color="auto" w:fill="auto"/>
            <w:noWrap/>
            <w:hideMark/>
          </w:tcPr>
          <w:p w14:paraId="63DF63C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55,1</w:t>
            </w:r>
          </w:p>
        </w:tc>
      </w:tr>
      <w:tr w:rsidR="00D96A25" w:rsidRPr="0062711C" w14:paraId="12EBBC3F" w14:textId="77777777" w:rsidTr="00B51BE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134880B8"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Каматни шок (сценарио 1) </w:t>
            </w:r>
          </w:p>
        </w:tc>
        <w:tc>
          <w:tcPr>
            <w:tcW w:w="578" w:type="pct"/>
            <w:tcBorders>
              <w:top w:val="nil"/>
              <w:bottom w:val="nil"/>
            </w:tcBorders>
            <w:shd w:val="clear" w:color="auto" w:fill="E7E6E6" w:themeFill="background2"/>
            <w:noWrap/>
            <w:hideMark/>
          </w:tcPr>
          <w:p w14:paraId="5F7ECFFC"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50,4</w:t>
            </w:r>
          </w:p>
        </w:tc>
        <w:tc>
          <w:tcPr>
            <w:tcW w:w="578" w:type="pct"/>
            <w:tcBorders>
              <w:top w:val="nil"/>
              <w:bottom w:val="nil"/>
            </w:tcBorders>
            <w:shd w:val="clear" w:color="auto" w:fill="E7E6E6" w:themeFill="background2"/>
            <w:noWrap/>
            <w:hideMark/>
          </w:tcPr>
          <w:p w14:paraId="1EFDD8C8"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50,8</w:t>
            </w:r>
          </w:p>
        </w:tc>
        <w:tc>
          <w:tcPr>
            <w:tcW w:w="578" w:type="pct"/>
            <w:tcBorders>
              <w:top w:val="nil"/>
              <w:bottom w:val="nil"/>
            </w:tcBorders>
            <w:shd w:val="clear" w:color="auto" w:fill="E7E6E6" w:themeFill="background2"/>
            <w:noWrap/>
            <w:hideMark/>
          </w:tcPr>
          <w:p w14:paraId="0B722928"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50,7</w:t>
            </w:r>
          </w:p>
        </w:tc>
        <w:tc>
          <w:tcPr>
            <w:tcW w:w="578" w:type="pct"/>
            <w:tcBorders>
              <w:top w:val="nil"/>
              <w:bottom w:val="nil"/>
            </w:tcBorders>
            <w:shd w:val="clear" w:color="auto" w:fill="E7E6E6" w:themeFill="background2"/>
            <w:noWrap/>
            <w:hideMark/>
          </w:tcPr>
          <w:p w14:paraId="35A1955C"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50,8</w:t>
            </w:r>
          </w:p>
        </w:tc>
      </w:tr>
      <w:tr w:rsidR="00D96A25" w:rsidRPr="0062711C" w14:paraId="0410B26A" w14:textId="77777777" w:rsidTr="00B51BE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78A17DD9"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Каматни шок (сценарио 2)</w:t>
            </w:r>
          </w:p>
        </w:tc>
        <w:tc>
          <w:tcPr>
            <w:tcW w:w="578" w:type="pct"/>
            <w:tcBorders>
              <w:top w:val="nil"/>
              <w:left w:val="nil"/>
              <w:bottom w:val="nil"/>
              <w:right w:val="nil"/>
            </w:tcBorders>
            <w:shd w:val="clear" w:color="auto" w:fill="auto"/>
            <w:noWrap/>
            <w:hideMark/>
          </w:tcPr>
          <w:p w14:paraId="6665DA2D"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50,9</w:t>
            </w:r>
          </w:p>
        </w:tc>
        <w:tc>
          <w:tcPr>
            <w:tcW w:w="578" w:type="pct"/>
            <w:tcBorders>
              <w:top w:val="nil"/>
              <w:left w:val="nil"/>
              <w:bottom w:val="nil"/>
              <w:right w:val="nil"/>
            </w:tcBorders>
            <w:shd w:val="clear" w:color="auto" w:fill="auto"/>
            <w:noWrap/>
            <w:hideMark/>
          </w:tcPr>
          <w:p w14:paraId="6C6FE35C"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51,3</w:t>
            </w:r>
          </w:p>
        </w:tc>
        <w:tc>
          <w:tcPr>
            <w:tcW w:w="578" w:type="pct"/>
            <w:tcBorders>
              <w:top w:val="nil"/>
              <w:left w:val="nil"/>
              <w:bottom w:val="nil"/>
              <w:right w:val="nil"/>
            </w:tcBorders>
            <w:shd w:val="clear" w:color="auto" w:fill="auto"/>
            <w:noWrap/>
            <w:hideMark/>
          </w:tcPr>
          <w:p w14:paraId="1B7239A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51,1</w:t>
            </w:r>
          </w:p>
        </w:tc>
        <w:tc>
          <w:tcPr>
            <w:tcW w:w="578" w:type="pct"/>
            <w:tcBorders>
              <w:top w:val="nil"/>
              <w:left w:val="nil"/>
              <w:bottom w:val="nil"/>
              <w:right w:val="nil"/>
            </w:tcBorders>
            <w:shd w:val="clear" w:color="auto" w:fill="auto"/>
            <w:noWrap/>
            <w:hideMark/>
          </w:tcPr>
          <w:p w14:paraId="081AB7FA"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51,5</w:t>
            </w:r>
          </w:p>
        </w:tc>
      </w:tr>
      <w:tr w:rsidR="00D96A25" w:rsidRPr="0062711C" w14:paraId="2EE19FDE" w14:textId="77777777" w:rsidTr="00B51BE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0F992FA7"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02C5D46A"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51,8</w:t>
            </w:r>
          </w:p>
        </w:tc>
        <w:tc>
          <w:tcPr>
            <w:tcW w:w="578" w:type="pct"/>
            <w:tcBorders>
              <w:top w:val="nil"/>
              <w:bottom w:val="single" w:sz="4" w:space="0" w:color="002060"/>
            </w:tcBorders>
            <w:shd w:val="clear" w:color="auto" w:fill="E7E6E6" w:themeFill="background2"/>
            <w:noWrap/>
            <w:hideMark/>
          </w:tcPr>
          <w:p w14:paraId="7A72A99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53,3</w:t>
            </w:r>
          </w:p>
        </w:tc>
        <w:tc>
          <w:tcPr>
            <w:tcW w:w="578" w:type="pct"/>
            <w:tcBorders>
              <w:top w:val="nil"/>
              <w:bottom w:val="single" w:sz="4" w:space="0" w:color="002060"/>
            </w:tcBorders>
            <w:shd w:val="clear" w:color="auto" w:fill="E7E6E6" w:themeFill="background2"/>
            <w:noWrap/>
            <w:hideMark/>
          </w:tcPr>
          <w:p w14:paraId="1BE00F53"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52,0</w:t>
            </w:r>
          </w:p>
        </w:tc>
        <w:tc>
          <w:tcPr>
            <w:tcW w:w="578" w:type="pct"/>
            <w:tcBorders>
              <w:top w:val="nil"/>
              <w:bottom w:val="single" w:sz="4" w:space="0" w:color="002060"/>
            </w:tcBorders>
            <w:shd w:val="clear" w:color="auto" w:fill="E7E6E6" w:themeFill="background2"/>
            <w:noWrap/>
            <w:hideMark/>
          </w:tcPr>
          <w:p w14:paraId="7DB8A01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52,1</w:t>
            </w:r>
          </w:p>
        </w:tc>
      </w:tr>
      <w:tr w:rsidR="00D96A25" w:rsidRPr="0062711C" w14:paraId="2BC753ED" w14:textId="77777777" w:rsidTr="00B51BE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20BECC83"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52B86E4B"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5,8</w:t>
            </w:r>
          </w:p>
        </w:tc>
        <w:tc>
          <w:tcPr>
            <w:tcW w:w="578" w:type="pct"/>
            <w:tcBorders>
              <w:top w:val="single" w:sz="4" w:space="0" w:color="002060"/>
              <w:left w:val="nil"/>
              <w:bottom w:val="single" w:sz="4" w:space="0" w:color="002060"/>
              <w:right w:val="nil"/>
            </w:tcBorders>
            <w:shd w:val="clear" w:color="auto" w:fill="auto"/>
            <w:noWrap/>
            <w:hideMark/>
          </w:tcPr>
          <w:p w14:paraId="086C0FA3"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6,3</w:t>
            </w:r>
          </w:p>
        </w:tc>
        <w:tc>
          <w:tcPr>
            <w:tcW w:w="578" w:type="pct"/>
            <w:tcBorders>
              <w:top w:val="single" w:sz="4" w:space="0" w:color="002060"/>
              <w:left w:val="nil"/>
              <w:bottom w:val="single" w:sz="4" w:space="0" w:color="002060"/>
              <w:right w:val="nil"/>
            </w:tcBorders>
            <w:shd w:val="clear" w:color="auto" w:fill="auto"/>
            <w:noWrap/>
            <w:hideMark/>
          </w:tcPr>
          <w:p w14:paraId="34A09245"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6,3</w:t>
            </w:r>
          </w:p>
        </w:tc>
        <w:tc>
          <w:tcPr>
            <w:tcW w:w="578" w:type="pct"/>
            <w:tcBorders>
              <w:top w:val="single" w:sz="4" w:space="0" w:color="002060"/>
              <w:left w:val="nil"/>
              <w:bottom w:val="single" w:sz="4" w:space="0" w:color="002060"/>
              <w:right w:val="nil"/>
            </w:tcBorders>
            <w:shd w:val="clear" w:color="auto" w:fill="auto"/>
            <w:noWrap/>
            <w:hideMark/>
          </w:tcPr>
          <w:p w14:paraId="0F18216F"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5,1</w:t>
            </w:r>
          </w:p>
        </w:tc>
      </w:tr>
    </w:tbl>
    <w:p w14:paraId="18EB7235" w14:textId="77777777" w:rsidR="00D96A25" w:rsidRPr="0062711C" w:rsidRDefault="00D96A25" w:rsidP="00B51BEB">
      <w:pPr>
        <w:rPr>
          <w:lang w:val="sr-Cyrl-RS"/>
        </w:rPr>
      </w:pPr>
    </w:p>
    <w:p w14:paraId="1B891D31" w14:textId="7E64153B" w:rsidR="00D96A25" w:rsidRPr="0062711C" w:rsidRDefault="00D96A25" w:rsidP="00B51BEB">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 xml:space="preserve">Табела </w:t>
      </w:r>
      <w:r w:rsidR="004710A1" w:rsidRPr="0062711C">
        <w:rPr>
          <w:rFonts w:ascii="Calibri" w:eastAsia="Calibri" w:hAnsi="Calibri" w:cs="Times New Roman"/>
          <w:b/>
          <w:color w:val="002060"/>
          <w:lang w:val="sr-Cyrl-RS"/>
        </w:rPr>
        <w:t>3</w:t>
      </w:r>
      <w:r w:rsidR="00BB1E84">
        <w:rPr>
          <w:rFonts w:ascii="Calibri" w:eastAsia="Calibri" w:hAnsi="Calibri" w:cs="Times New Roman"/>
          <w:b/>
          <w:color w:val="002060"/>
        </w:rPr>
        <w:t>5</w:t>
      </w:r>
      <w:r w:rsidRPr="0062711C">
        <w:rPr>
          <w:rFonts w:ascii="Calibri" w:eastAsia="Calibri" w:hAnsi="Calibri" w:cs="Times New Roman"/>
          <w:b/>
          <w:color w:val="002060"/>
          <w:lang w:val="sr-Cyrl-RS"/>
        </w:rPr>
        <w:t>. Однос плаћања по основу камата и БДП на крају 2027. године</w:t>
      </w:r>
    </w:p>
    <w:tbl>
      <w:tblPr>
        <w:tblStyle w:val="LightShading-Accent1222"/>
        <w:tblW w:w="5000" w:type="pct"/>
        <w:tblInd w:w="0" w:type="dxa"/>
        <w:tblLook w:val="04A0" w:firstRow="1" w:lastRow="0" w:firstColumn="1" w:lastColumn="0" w:noHBand="0" w:noVBand="1"/>
      </w:tblPr>
      <w:tblGrid>
        <w:gridCol w:w="5032"/>
        <w:gridCol w:w="1082"/>
        <w:gridCol w:w="1082"/>
        <w:gridCol w:w="1082"/>
        <w:gridCol w:w="1082"/>
      </w:tblGrid>
      <w:tr w:rsidR="00D96A25" w:rsidRPr="0062711C" w14:paraId="22D850C4" w14:textId="77777777" w:rsidTr="00B51BEB">
        <w:trPr>
          <w:cnfStyle w:val="100000000000" w:firstRow="1" w:lastRow="0" w:firstColumn="0" w:lastColumn="0" w:oddVBand="0" w:evenVBand="0" w:oddHBand="0"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single" w:sz="4" w:space="0" w:color="002060"/>
              <w:bottom w:val="nil"/>
            </w:tcBorders>
            <w:noWrap/>
            <w:hideMark/>
          </w:tcPr>
          <w:p w14:paraId="7631B4A4" w14:textId="77777777" w:rsidR="00D96A25" w:rsidRPr="0062711C" w:rsidRDefault="00D96A25" w:rsidP="00B51BEB">
            <w:pPr>
              <w:rPr>
                <w:rFonts w:ascii="Calibri" w:hAnsi="Calibri" w:cs="Calibri"/>
                <w:color w:val="002060"/>
                <w:sz w:val="18"/>
                <w:szCs w:val="18"/>
                <w:lang w:val="sr-Cyrl-RS"/>
              </w:rPr>
            </w:pPr>
            <w:r w:rsidRPr="0062711C">
              <w:rPr>
                <w:rFonts w:ascii="Calibri" w:hAnsi="Calibri" w:cs="Calibri"/>
                <w:color w:val="002060"/>
                <w:sz w:val="18"/>
                <w:szCs w:val="18"/>
                <w:lang w:val="sr-Cyrl-RS"/>
              </w:rPr>
              <w:t>Сценарији</w:t>
            </w:r>
          </w:p>
        </w:tc>
        <w:tc>
          <w:tcPr>
            <w:tcW w:w="578" w:type="pct"/>
            <w:tcBorders>
              <w:top w:val="single" w:sz="4" w:space="0" w:color="002060"/>
              <w:bottom w:val="single" w:sz="4" w:space="0" w:color="002060"/>
            </w:tcBorders>
            <w:noWrap/>
            <w:hideMark/>
          </w:tcPr>
          <w:p w14:paraId="6BEC0198"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C1</w:t>
            </w:r>
          </w:p>
        </w:tc>
        <w:tc>
          <w:tcPr>
            <w:tcW w:w="578" w:type="pct"/>
            <w:tcBorders>
              <w:top w:val="single" w:sz="4" w:space="0" w:color="002060"/>
              <w:bottom w:val="single" w:sz="4" w:space="0" w:color="002060"/>
            </w:tcBorders>
            <w:noWrap/>
            <w:hideMark/>
          </w:tcPr>
          <w:p w14:paraId="58061489"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C2</w:t>
            </w:r>
          </w:p>
        </w:tc>
        <w:tc>
          <w:tcPr>
            <w:tcW w:w="578" w:type="pct"/>
            <w:tcBorders>
              <w:top w:val="single" w:sz="4" w:space="0" w:color="002060"/>
              <w:bottom w:val="single" w:sz="4" w:space="0" w:color="002060"/>
            </w:tcBorders>
            <w:noWrap/>
            <w:hideMark/>
          </w:tcPr>
          <w:p w14:paraId="7C4EB065"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C3</w:t>
            </w:r>
          </w:p>
        </w:tc>
        <w:tc>
          <w:tcPr>
            <w:tcW w:w="578" w:type="pct"/>
            <w:tcBorders>
              <w:top w:val="single" w:sz="4" w:space="0" w:color="002060"/>
              <w:bottom w:val="single" w:sz="4" w:space="0" w:color="002060"/>
            </w:tcBorders>
            <w:noWrap/>
            <w:hideMark/>
          </w:tcPr>
          <w:p w14:paraId="71D210B8"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C4</w:t>
            </w:r>
          </w:p>
        </w:tc>
      </w:tr>
      <w:tr w:rsidR="00D96A25" w:rsidRPr="0062711C" w14:paraId="4F8FFB87" w14:textId="77777777" w:rsidTr="00B51BE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5F9F34A9"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Основни сценарио</w:t>
            </w:r>
          </w:p>
        </w:tc>
        <w:tc>
          <w:tcPr>
            <w:tcW w:w="578" w:type="pct"/>
            <w:tcBorders>
              <w:top w:val="nil"/>
              <w:bottom w:val="nil"/>
            </w:tcBorders>
            <w:shd w:val="clear" w:color="auto" w:fill="E7E6E6" w:themeFill="background2"/>
            <w:noWrap/>
            <w:hideMark/>
          </w:tcPr>
          <w:p w14:paraId="79B41FD7"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2,2</w:t>
            </w:r>
          </w:p>
        </w:tc>
        <w:tc>
          <w:tcPr>
            <w:tcW w:w="578" w:type="pct"/>
            <w:tcBorders>
              <w:top w:val="nil"/>
              <w:bottom w:val="nil"/>
            </w:tcBorders>
            <w:shd w:val="clear" w:color="auto" w:fill="E7E6E6" w:themeFill="background2"/>
            <w:noWrap/>
            <w:hideMark/>
          </w:tcPr>
          <w:p w14:paraId="0E36834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2,3</w:t>
            </w:r>
          </w:p>
        </w:tc>
        <w:tc>
          <w:tcPr>
            <w:tcW w:w="578" w:type="pct"/>
            <w:tcBorders>
              <w:top w:val="nil"/>
              <w:bottom w:val="nil"/>
            </w:tcBorders>
            <w:shd w:val="clear" w:color="auto" w:fill="E7E6E6" w:themeFill="background2"/>
            <w:noWrap/>
            <w:hideMark/>
          </w:tcPr>
          <w:p w14:paraId="5C5609BC"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2,3</w:t>
            </w:r>
          </w:p>
        </w:tc>
        <w:tc>
          <w:tcPr>
            <w:tcW w:w="578" w:type="pct"/>
            <w:tcBorders>
              <w:top w:val="nil"/>
              <w:bottom w:val="nil"/>
            </w:tcBorders>
            <w:shd w:val="clear" w:color="auto" w:fill="E7E6E6" w:themeFill="background2"/>
            <w:noWrap/>
            <w:hideMark/>
          </w:tcPr>
          <w:p w14:paraId="6BC0692E"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2,4</w:t>
            </w:r>
          </w:p>
        </w:tc>
      </w:tr>
      <w:tr w:rsidR="00D96A25" w:rsidRPr="0062711C" w14:paraId="105A455A" w14:textId="77777777" w:rsidTr="00B51BE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61B14095"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Шок девизног курса (15% све валуте) </w:t>
            </w:r>
          </w:p>
        </w:tc>
        <w:tc>
          <w:tcPr>
            <w:tcW w:w="578" w:type="pct"/>
            <w:tcBorders>
              <w:top w:val="nil"/>
              <w:left w:val="nil"/>
              <w:bottom w:val="nil"/>
              <w:right w:val="nil"/>
            </w:tcBorders>
            <w:shd w:val="clear" w:color="auto" w:fill="auto"/>
            <w:noWrap/>
            <w:hideMark/>
          </w:tcPr>
          <w:p w14:paraId="68078C76"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2,5</w:t>
            </w:r>
          </w:p>
        </w:tc>
        <w:tc>
          <w:tcPr>
            <w:tcW w:w="578" w:type="pct"/>
            <w:tcBorders>
              <w:top w:val="nil"/>
              <w:left w:val="nil"/>
              <w:bottom w:val="nil"/>
              <w:right w:val="nil"/>
            </w:tcBorders>
            <w:shd w:val="clear" w:color="auto" w:fill="auto"/>
            <w:noWrap/>
            <w:hideMark/>
          </w:tcPr>
          <w:p w14:paraId="04A48022"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2,6</w:t>
            </w:r>
          </w:p>
        </w:tc>
        <w:tc>
          <w:tcPr>
            <w:tcW w:w="578" w:type="pct"/>
            <w:tcBorders>
              <w:top w:val="nil"/>
              <w:left w:val="nil"/>
              <w:bottom w:val="nil"/>
              <w:right w:val="nil"/>
            </w:tcBorders>
            <w:shd w:val="clear" w:color="auto" w:fill="auto"/>
            <w:noWrap/>
            <w:hideMark/>
          </w:tcPr>
          <w:p w14:paraId="35D45618"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2,5</w:t>
            </w:r>
          </w:p>
        </w:tc>
        <w:tc>
          <w:tcPr>
            <w:tcW w:w="578" w:type="pct"/>
            <w:tcBorders>
              <w:top w:val="nil"/>
              <w:left w:val="nil"/>
              <w:bottom w:val="nil"/>
              <w:right w:val="nil"/>
            </w:tcBorders>
            <w:shd w:val="clear" w:color="auto" w:fill="auto"/>
            <w:noWrap/>
            <w:hideMark/>
          </w:tcPr>
          <w:p w14:paraId="2DF7A3F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2,6</w:t>
            </w:r>
          </w:p>
        </w:tc>
      </w:tr>
      <w:tr w:rsidR="00D96A25" w:rsidRPr="0062711C" w14:paraId="7AF44F0D" w14:textId="77777777" w:rsidTr="00B51BE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72234284"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Каматни шок (сценарио 1) </w:t>
            </w:r>
          </w:p>
        </w:tc>
        <w:tc>
          <w:tcPr>
            <w:tcW w:w="578" w:type="pct"/>
            <w:tcBorders>
              <w:top w:val="nil"/>
              <w:bottom w:val="nil"/>
            </w:tcBorders>
            <w:shd w:val="clear" w:color="auto" w:fill="E7E6E6" w:themeFill="background2"/>
            <w:noWrap/>
            <w:hideMark/>
          </w:tcPr>
          <w:p w14:paraId="4DBBC454"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2,6</w:t>
            </w:r>
          </w:p>
        </w:tc>
        <w:tc>
          <w:tcPr>
            <w:tcW w:w="578" w:type="pct"/>
            <w:tcBorders>
              <w:top w:val="nil"/>
              <w:bottom w:val="nil"/>
            </w:tcBorders>
            <w:shd w:val="clear" w:color="auto" w:fill="E7E6E6" w:themeFill="background2"/>
            <w:noWrap/>
            <w:hideMark/>
          </w:tcPr>
          <w:p w14:paraId="3767A674"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2,9</w:t>
            </w:r>
          </w:p>
        </w:tc>
        <w:tc>
          <w:tcPr>
            <w:tcW w:w="578" w:type="pct"/>
            <w:tcBorders>
              <w:top w:val="nil"/>
              <w:bottom w:val="nil"/>
            </w:tcBorders>
            <w:shd w:val="clear" w:color="auto" w:fill="E7E6E6" w:themeFill="background2"/>
            <w:noWrap/>
            <w:hideMark/>
          </w:tcPr>
          <w:p w14:paraId="1E69851D"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2,8</w:t>
            </w:r>
          </w:p>
        </w:tc>
        <w:tc>
          <w:tcPr>
            <w:tcW w:w="578" w:type="pct"/>
            <w:tcBorders>
              <w:top w:val="nil"/>
              <w:bottom w:val="nil"/>
            </w:tcBorders>
            <w:shd w:val="clear" w:color="auto" w:fill="E7E6E6" w:themeFill="background2"/>
            <w:noWrap/>
            <w:hideMark/>
          </w:tcPr>
          <w:p w14:paraId="51245C43"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2,9</w:t>
            </w:r>
          </w:p>
        </w:tc>
      </w:tr>
      <w:tr w:rsidR="00D96A25" w:rsidRPr="0062711C" w14:paraId="50DD0DE6" w14:textId="77777777" w:rsidTr="00B51BE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nil"/>
              <w:right w:val="nil"/>
            </w:tcBorders>
            <w:noWrap/>
            <w:hideMark/>
          </w:tcPr>
          <w:p w14:paraId="0989A854"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Каматни шок (сценарио 2)</w:t>
            </w:r>
          </w:p>
        </w:tc>
        <w:tc>
          <w:tcPr>
            <w:tcW w:w="578" w:type="pct"/>
            <w:tcBorders>
              <w:top w:val="nil"/>
              <w:left w:val="nil"/>
              <w:bottom w:val="nil"/>
              <w:right w:val="nil"/>
            </w:tcBorders>
            <w:shd w:val="clear" w:color="auto" w:fill="auto"/>
            <w:noWrap/>
            <w:hideMark/>
          </w:tcPr>
          <w:p w14:paraId="010B42B6"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2,9</w:t>
            </w:r>
          </w:p>
        </w:tc>
        <w:tc>
          <w:tcPr>
            <w:tcW w:w="578" w:type="pct"/>
            <w:tcBorders>
              <w:top w:val="nil"/>
              <w:left w:val="nil"/>
              <w:bottom w:val="nil"/>
              <w:right w:val="nil"/>
            </w:tcBorders>
            <w:shd w:val="clear" w:color="auto" w:fill="auto"/>
            <w:noWrap/>
            <w:hideMark/>
          </w:tcPr>
          <w:p w14:paraId="280AE954"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3,1</w:t>
            </w:r>
          </w:p>
        </w:tc>
        <w:tc>
          <w:tcPr>
            <w:tcW w:w="578" w:type="pct"/>
            <w:tcBorders>
              <w:top w:val="nil"/>
              <w:left w:val="nil"/>
              <w:bottom w:val="nil"/>
              <w:right w:val="nil"/>
            </w:tcBorders>
            <w:shd w:val="clear" w:color="auto" w:fill="auto"/>
            <w:noWrap/>
            <w:hideMark/>
          </w:tcPr>
          <w:p w14:paraId="45A6119C"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3,0</w:t>
            </w:r>
          </w:p>
        </w:tc>
        <w:tc>
          <w:tcPr>
            <w:tcW w:w="578" w:type="pct"/>
            <w:tcBorders>
              <w:top w:val="nil"/>
              <w:left w:val="nil"/>
              <w:bottom w:val="nil"/>
              <w:right w:val="nil"/>
            </w:tcBorders>
            <w:shd w:val="clear" w:color="auto" w:fill="auto"/>
            <w:noWrap/>
            <w:hideMark/>
          </w:tcPr>
          <w:p w14:paraId="0EFE67B4"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3,3</w:t>
            </w:r>
          </w:p>
        </w:tc>
      </w:tr>
      <w:tr w:rsidR="00D96A25" w:rsidRPr="0062711C" w14:paraId="115CFF63" w14:textId="77777777" w:rsidTr="00B51BE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bottom w:val="nil"/>
            </w:tcBorders>
            <w:shd w:val="clear" w:color="auto" w:fill="E7E6E6" w:themeFill="background2"/>
            <w:noWrap/>
            <w:hideMark/>
          </w:tcPr>
          <w:p w14:paraId="4B6B2285"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Комбиновани шок (15% УСД и каматни шок1) </w:t>
            </w:r>
          </w:p>
        </w:tc>
        <w:tc>
          <w:tcPr>
            <w:tcW w:w="578" w:type="pct"/>
            <w:tcBorders>
              <w:top w:val="nil"/>
              <w:bottom w:val="single" w:sz="4" w:space="0" w:color="002060"/>
            </w:tcBorders>
            <w:shd w:val="clear" w:color="auto" w:fill="E7E6E6" w:themeFill="background2"/>
            <w:noWrap/>
            <w:hideMark/>
          </w:tcPr>
          <w:p w14:paraId="68182CB8"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2,7</w:t>
            </w:r>
          </w:p>
        </w:tc>
        <w:tc>
          <w:tcPr>
            <w:tcW w:w="578" w:type="pct"/>
            <w:tcBorders>
              <w:top w:val="nil"/>
              <w:bottom w:val="single" w:sz="4" w:space="0" w:color="002060"/>
            </w:tcBorders>
            <w:shd w:val="clear" w:color="auto" w:fill="E7E6E6" w:themeFill="background2"/>
            <w:noWrap/>
            <w:hideMark/>
          </w:tcPr>
          <w:p w14:paraId="027877F9"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3,0</w:t>
            </w:r>
          </w:p>
        </w:tc>
        <w:tc>
          <w:tcPr>
            <w:tcW w:w="578" w:type="pct"/>
            <w:tcBorders>
              <w:top w:val="nil"/>
              <w:bottom w:val="single" w:sz="4" w:space="0" w:color="002060"/>
            </w:tcBorders>
            <w:shd w:val="clear" w:color="auto" w:fill="E7E6E6" w:themeFill="background2"/>
            <w:noWrap/>
            <w:hideMark/>
          </w:tcPr>
          <w:p w14:paraId="629F38DD"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2,9</w:t>
            </w:r>
          </w:p>
        </w:tc>
        <w:tc>
          <w:tcPr>
            <w:tcW w:w="578" w:type="pct"/>
            <w:tcBorders>
              <w:top w:val="nil"/>
              <w:bottom w:val="single" w:sz="4" w:space="0" w:color="002060"/>
            </w:tcBorders>
            <w:shd w:val="clear" w:color="auto" w:fill="E7E6E6" w:themeFill="background2"/>
            <w:noWrap/>
            <w:hideMark/>
          </w:tcPr>
          <w:p w14:paraId="115552FA"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3,0</w:t>
            </w:r>
          </w:p>
        </w:tc>
      </w:tr>
      <w:tr w:rsidR="00D96A25" w:rsidRPr="0062711C" w14:paraId="07DFBA88" w14:textId="77777777" w:rsidTr="00B51BEB">
        <w:trPr>
          <w:trHeight w:val="249"/>
        </w:trPr>
        <w:tc>
          <w:tcPr>
            <w:cnfStyle w:val="001000000000" w:firstRow="0" w:lastRow="0" w:firstColumn="1" w:lastColumn="0" w:oddVBand="0" w:evenVBand="0" w:oddHBand="0" w:evenHBand="0" w:firstRowFirstColumn="0" w:firstRowLastColumn="0" w:lastRowFirstColumn="0" w:lastRowLastColumn="0"/>
            <w:tcW w:w="2688" w:type="pct"/>
            <w:tcBorders>
              <w:top w:val="nil"/>
              <w:left w:val="nil"/>
              <w:bottom w:val="single" w:sz="4" w:space="0" w:color="002060"/>
              <w:right w:val="nil"/>
            </w:tcBorders>
            <w:noWrap/>
            <w:hideMark/>
          </w:tcPr>
          <w:p w14:paraId="37BE4624"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 Максимални ризик </w:t>
            </w:r>
          </w:p>
        </w:tc>
        <w:tc>
          <w:tcPr>
            <w:tcW w:w="578" w:type="pct"/>
            <w:tcBorders>
              <w:top w:val="single" w:sz="4" w:space="0" w:color="002060"/>
              <w:left w:val="nil"/>
              <w:bottom w:val="single" w:sz="4" w:space="0" w:color="002060"/>
              <w:right w:val="nil"/>
            </w:tcBorders>
            <w:shd w:val="clear" w:color="auto" w:fill="auto"/>
            <w:noWrap/>
            <w:hideMark/>
          </w:tcPr>
          <w:p w14:paraId="1995B05E"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0,7</w:t>
            </w:r>
          </w:p>
        </w:tc>
        <w:tc>
          <w:tcPr>
            <w:tcW w:w="578" w:type="pct"/>
            <w:tcBorders>
              <w:top w:val="single" w:sz="4" w:space="0" w:color="002060"/>
              <w:left w:val="nil"/>
              <w:bottom w:val="single" w:sz="4" w:space="0" w:color="002060"/>
              <w:right w:val="nil"/>
            </w:tcBorders>
            <w:shd w:val="clear" w:color="auto" w:fill="auto"/>
            <w:noWrap/>
            <w:hideMark/>
          </w:tcPr>
          <w:p w14:paraId="1E9BBF1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0,8</w:t>
            </w:r>
          </w:p>
        </w:tc>
        <w:tc>
          <w:tcPr>
            <w:tcW w:w="578" w:type="pct"/>
            <w:tcBorders>
              <w:top w:val="single" w:sz="4" w:space="0" w:color="002060"/>
              <w:left w:val="nil"/>
              <w:bottom w:val="single" w:sz="4" w:space="0" w:color="002060"/>
              <w:right w:val="nil"/>
            </w:tcBorders>
            <w:shd w:val="clear" w:color="auto" w:fill="auto"/>
            <w:noWrap/>
            <w:hideMark/>
          </w:tcPr>
          <w:p w14:paraId="57FED75B"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0,8</w:t>
            </w:r>
          </w:p>
        </w:tc>
        <w:tc>
          <w:tcPr>
            <w:tcW w:w="578" w:type="pct"/>
            <w:tcBorders>
              <w:top w:val="single" w:sz="4" w:space="0" w:color="002060"/>
              <w:left w:val="nil"/>
              <w:bottom w:val="single" w:sz="4" w:space="0" w:color="002060"/>
              <w:right w:val="nil"/>
            </w:tcBorders>
            <w:shd w:val="clear" w:color="auto" w:fill="auto"/>
            <w:noWrap/>
            <w:hideMark/>
          </w:tcPr>
          <w:p w14:paraId="66989D84"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1,0</w:t>
            </w:r>
          </w:p>
        </w:tc>
      </w:tr>
    </w:tbl>
    <w:p w14:paraId="2D03A443" w14:textId="77777777" w:rsidR="00D96A25" w:rsidRPr="0062711C" w:rsidRDefault="00D96A25" w:rsidP="00B51BEB">
      <w:pPr>
        <w:spacing w:after="0" w:line="276" w:lineRule="auto"/>
        <w:jc w:val="left"/>
        <w:rPr>
          <w:rFonts w:ascii="Calibri" w:eastAsia="Calibri" w:hAnsi="Calibri" w:cs="Calibri"/>
          <w:bCs/>
          <w:szCs w:val="72"/>
          <w:lang w:val="sr-Cyrl-RS"/>
        </w:rPr>
      </w:pPr>
    </w:p>
    <w:p w14:paraId="7FC1624C" w14:textId="77777777" w:rsidR="00D96A25" w:rsidRPr="0062711C" w:rsidRDefault="00D96A25" w:rsidP="00B51BEB">
      <w:pPr>
        <w:rPr>
          <w:lang w:val="sr-Cyrl-RS"/>
        </w:rPr>
        <w:sectPr w:rsidR="00D96A25" w:rsidRPr="0062711C" w:rsidSect="00F45C01">
          <w:type w:val="continuous"/>
          <w:pgSz w:w="12240" w:h="15840" w:code="1"/>
          <w:pgMar w:top="1440" w:right="1440" w:bottom="1440" w:left="1440" w:header="720" w:footer="720" w:gutter="0"/>
          <w:cols w:space="720"/>
          <w:titlePg/>
          <w:docGrid w:linePitch="360"/>
        </w:sectPr>
      </w:pPr>
    </w:p>
    <w:p w14:paraId="38E4F426" w14:textId="77777777" w:rsidR="00D96A25" w:rsidRPr="0062711C" w:rsidRDefault="00D96A25" w:rsidP="00B51BEB">
      <w:pPr>
        <w:spacing w:after="280"/>
        <w:rPr>
          <w:lang w:val="sr-Cyrl-RS"/>
        </w:rPr>
      </w:pPr>
      <w:r w:rsidRPr="0062711C">
        <w:rPr>
          <w:lang w:val="sr-Cyrl-RS"/>
        </w:rPr>
        <w:t xml:space="preserve">Наредна табела приказује кретања основних параметара јавног дуга по основу све четири </w:t>
      </w:r>
      <w:r w:rsidRPr="0062711C">
        <w:rPr>
          <w:lang w:val="sr-Cyrl-RS"/>
        </w:rPr>
        <w:t>разматране стратегије, што осликава горе поменуте карактеристике сваке стратегије:</w:t>
      </w:r>
    </w:p>
    <w:p w14:paraId="42771711" w14:textId="77777777" w:rsidR="00D96A25" w:rsidRPr="0062711C" w:rsidRDefault="00D96A25" w:rsidP="00B51BEB">
      <w:pPr>
        <w:spacing w:line="256" w:lineRule="auto"/>
        <w:jc w:val="center"/>
        <w:rPr>
          <w:rFonts w:ascii="Calibri" w:eastAsia="Calibri" w:hAnsi="Calibri" w:cs="Times New Roman"/>
          <w:b/>
          <w:color w:val="002060"/>
          <w:lang w:val="sr-Cyrl-RS"/>
        </w:rPr>
        <w:sectPr w:rsidR="00D96A25" w:rsidRPr="0062711C" w:rsidSect="00F45C01">
          <w:type w:val="continuous"/>
          <w:pgSz w:w="12240" w:h="15840" w:code="1"/>
          <w:pgMar w:top="1440" w:right="1440" w:bottom="1440" w:left="1440" w:header="720" w:footer="720" w:gutter="0"/>
          <w:cols w:num="2" w:space="720"/>
          <w:titlePg/>
          <w:docGrid w:linePitch="360"/>
        </w:sectPr>
      </w:pPr>
    </w:p>
    <w:p w14:paraId="6DBCC908" w14:textId="75B84D44" w:rsidR="00D96A25" w:rsidRPr="0062711C" w:rsidRDefault="00D96A25" w:rsidP="00B51BEB">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t xml:space="preserve">Табела </w:t>
      </w:r>
      <w:r w:rsidR="004710A1" w:rsidRPr="0062711C">
        <w:rPr>
          <w:rFonts w:ascii="Calibri" w:eastAsia="Calibri" w:hAnsi="Calibri" w:cs="Times New Roman"/>
          <w:b/>
          <w:color w:val="002060"/>
          <w:lang w:val="sr-Cyrl-RS"/>
        </w:rPr>
        <w:t>3</w:t>
      </w:r>
      <w:r w:rsidR="00BB1E84">
        <w:rPr>
          <w:rFonts w:ascii="Calibri" w:eastAsia="Calibri" w:hAnsi="Calibri" w:cs="Times New Roman"/>
          <w:b/>
          <w:color w:val="002060"/>
        </w:rPr>
        <w:t>6</w:t>
      </w:r>
      <w:r w:rsidRPr="0062711C">
        <w:rPr>
          <w:rFonts w:ascii="Calibri" w:eastAsia="Calibri" w:hAnsi="Calibri" w:cs="Times New Roman"/>
          <w:b/>
          <w:color w:val="002060"/>
          <w:lang w:val="sr-Cyrl-RS"/>
        </w:rPr>
        <w:t>. Индикатори ризика за алтернативне стратегије на крају 2027. године</w:t>
      </w:r>
    </w:p>
    <w:tbl>
      <w:tblPr>
        <w:tblStyle w:val="LightShading-Accent1222"/>
        <w:tblW w:w="5000" w:type="pct"/>
        <w:tblInd w:w="0" w:type="dxa"/>
        <w:tblLook w:val="04A0" w:firstRow="1" w:lastRow="0" w:firstColumn="1" w:lastColumn="0" w:noHBand="0" w:noVBand="1"/>
      </w:tblPr>
      <w:tblGrid>
        <w:gridCol w:w="2950"/>
        <w:gridCol w:w="3664"/>
        <w:gridCol w:w="685"/>
        <w:gridCol w:w="687"/>
        <w:gridCol w:w="685"/>
        <w:gridCol w:w="689"/>
      </w:tblGrid>
      <w:tr w:rsidR="00D96A25" w:rsidRPr="0062711C" w14:paraId="5F19CD35" w14:textId="77777777" w:rsidTr="00B51BEB">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single" w:sz="4" w:space="0" w:color="002060"/>
              <w:bottom w:val="nil"/>
            </w:tcBorders>
            <w:noWrap/>
            <w:hideMark/>
          </w:tcPr>
          <w:p w14:paraId="7E791A49" w14:textId="77777777" w:rsidR="00D96A25" w:rsidRPr="0062711C" w:rsidRDefault="00D96A25" w:rsidP="00B51BEB">
            <w:pPr>
              <w:spacing w:line="256" w:lineRule="auto"/>
              <w:rPr>
                <w:rFonts w:ascii="Calibri" w:hAnsi="Calibri"/>
                <w:color w:val="002060"/>
                <w:lang w:val="sr-Cyrl-RS"/>
              </w:rPr>
            </w:pPr>
          </w:p>
        </w:tc>
        <w:tc>
          <w:tcPr>
            <w:tcW w:w="1957" w:type="pct"/>
            <w:tcBorders>
              <w:top w:val="single" w:sz="4" w:space="0" w:color="002060"/>
              <w:bottom w:val="single" w:sz="4" w:space="0" w:color="auto"/>
            </w:tcBorders>
          </w:tcPr>
          <w:p w14:paraId="06F24F65" w14:textId="77777777" w:rsidR="00D96A25" w:rsidRPr="0062711C" w:rsidRDefault="00D96A25" w:rsidP="00B51BEB">
            <w:pPr>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p>
        </w:tc>
        <w:tc>
          <w:tcPr>
            <w:tcW w:w="1467" w:type="pct"/>
            <w:gridSpan w:val="4"/>
            <w:tcBorders>
              <w:top w:val="single" w:sz="4" w:space="0" w:color="002060"/>
              <w:bottom w:val="single" w:sz="4" w:space="0" w:color="auto"/>
            </w:tcBorders>
            <w:noWrap/>
            <w:hideMark/>
          </w:tcPr>
          <w:p w14:paraId="18DC8653" w14:textId="77777777" w:rsidR="00D96A25" w:rsidRPr="0062711C" w:rsidRDefault="00D96A25" w:rsidP="00B51BEB">
            <w:pPr>
              <w:jc w:val="right"/>
              <w:cnfStyle w:val="100000000000" w:firstRow="1" w:lastRow="0" w:firstColumn="0" w:lastColumn="0" w:oddVBand="0" w:evenVBand="0" w:oddHBand="0"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C1</w:t>
            </w:r>
            <w:r w:rsidRPr="0062711C">
              <w:rPr>
                <w:rFonts w:ascii="Calibri" w:hAnsi="Calibri" w:cs="Calibri"/>
                <w:color w:val="002060"/>
                <w:sz w:val="18"/>
                <w:szCs w:val="18"/>
                <w:lang w:val="sr-Cyrl-RS"/>
              </w:rPr>
              <w:tab/>
              <w:t>C2</w:t>
            </w:r>
            <w:r w:rsidRPr="0062711C">
              <w:rPr>
                <w:rFonts w:ascii="Calibri" w:hAnsi="Calibri" w:cs="Calibri"/>
                <w:color w:val="002060"/>
                <w:sz w:val="18"/>
                <w:szCs w:val="18"/>
                <w:lang w:val="sr-Cyrl-RS"/>
              </w:rPr>
              <w:tab/>
              <w:t>C3</w:t>
            </w:r>
            <w:r w:rsidRPr="0062711C">
              <w:rPr>
                <w:rFonts w:ascii="Calibri" w:hAnsi="Calibri" w:cs="Calibri"/>
                <w:color w:val="002060"/>
                <w:sz w:val="18"/>
                <w:szCs w:val="18"/>
                <w:lang w:val="sr-Cyrl-RS"/>
              </w:rPr>
              <w:tab/>
              <w:t>C4</w:t>
            </w:r>
          </w:p>
        </w:tc>
      </w:tr>
      <w:tr w:rsidR="00D96A25" w:rsidRPr="0062711C" w14:paraId="5570B6AB" w14:textId="77777777" w:rsidTr="00B51BE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nil"/>
            </w:tcBorders>
            <w:shd w:val="clear" w:color="auto" w:fill="E7E6E6" w:themeFill="background2"/>
            <w:noWrap/>
            <w:hideMark/>
          </w:tcPr>
          <w:p w14:paraId="7BE246C9"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Номинални дуг (% БДП)</w:t>
            </w:r>
          </w:p>
        </w:tc>
        <w:tc>
          <w:tcPr>
            <w:tcW w:w="1957" w:type="pct"/>
            <w:tcBorders>
              <w:top w:val="single" w:sz="4" w:space="0" w:color="auto"/>
              <w:bottom w:val="nil"/>
            </w:tcBorders>
            <w:shd w:val="clear" w:color="auto" w:fill="E7E6E6" w:themeFill="background2"/>
            <w:noWrap/>
            <w:hideMark/>
          </w:tcPr>
          <w:p w14:paraId="32C299BC" w14:textId="77777777" w:rsidR="00D96A25" w:rsidRPr="0062711C" w:rsidRDefault="00D96A25" w:rsidP="00B51BE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 </w:t>
            </w:r>
          </w:p>
        </w:tc>
        <w:tc>
          <w:tcPr>
            <w:tcW w:w="366" w:type="pct"/>
            <w:tcBorders>
              <w:top w:val="single" w:sz="4" w:space="0" w:color="auto"/>
              <w:bottom w:val="nil"/>
            </w:tcBorders>
            <w:shd w:val="clear" w:color="auto" w:fill="E7E6E6" w:themeFill="background2"/>
            <w:noWrap/>
            <w:hideMark/>
          </w:tcPr>
          <w:p w14:paraId="6E909FEE"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49,7</w:t>
            </w:r>
          </w:p>
        </w:tc>
        <w:tc>
          <w:tcPr>
            <w:tcW w:w="367" w:type="pct"/>
            <w:tcBorders>
              <w:top w:val="single" w:sz="4" w:space="0" w:color="auto"/>
              <w:bottom w:val="nil"/>
            </w:tcBorders>
            <w:shd w:val="clear" w:color="auto" w:fill="E7E6E6" w:themeFill="background2"/>
            <w:noWrap/>
            <w:hideMark/>
          </w:tcPr>
          <w:p w14:paraId="3D54571C"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50,0</w:t>
            </w:r>
          </w:p>
        </w:tc>
        <w:tc>
          <w:tcPr>
            <w:tcW w:w="366" w:type="pct"/>
            <w:tcBorders>
              <w:top w:val="single" w:sz="4" w:space="0" w:color="auto"/>
              <w:bottom w:val="nil"/>
            </w:tcBorders>
            <w:shd w:val="clear" w:color="auto" w:fill="E7E6E6" w:themeFill="background2"/>
            <w:noWrap/>
            <w:hideMark/>
          </w:tcPr>
          <w:p w14:paraId="679EAB81"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49,8</w:t>
            </w:r>
          </w:p>
        </w:tc>
        <w:tc>
          <w:tcPr>
            <w:tcW w:w="368" w:type="pct"/>
            <w:tcBorders>
              <w:top w:val="single" w:sz="4" w:space="0" w:color="auto"/>
              <w:bottom w:val="nil"/>
            </w:tcBorders>
            <w:shd w:val="clear" w:color="auto" w:fill="E7E6E6" w:themeFill="background2"/>
            <w:noWrap/>
            <w:hideMark/>
          </w:tcPr>
          <w:p w14:paraId="4D26680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49,9</w:t>
            </w:r>
          </w:p>
        </w:tc>
      </w:tr>
      <w:tr w:rsidR="00D96A25" w:rsidRPr="0062711C" w14:paraId="188D312F" w14:textId="77777777" w:rsidTr="00B51BEB">
        <w:trPr>
          <w:trHeight w:val="262"/>
        </w:trPr>
        <w:tc>
          <w:tcPr>
            <w:cnfStyle w:val="001000000000" w:firstRow="0" w:lastRow="0" w:firstColumn="1" w:lastColumn="0" w:oddVBand="0" w:evenVBand="0" w:oddHBand="0" w:evenHBand="0" w:firstRowFirstColumn="0" w:firstRowLastColumn="0" w:lastRowFirstColumn="0" w:lastRowLastColumn="0"/>
            <w:tcW w:w="3533" w:type="pct"/>
            <w:gridSpan w:val="2"/>
            <w:tcBorders>
              <w:top w:val="nil"/>
              <w:left w:val="nil"/>
              <w:bottom w:val="nil"/>
              <w:right w:val="nil"/>
            </w:tcBorders>
            <w:noWrap/>
            <w:hideMark/>
          </w:tcPr>
          <w:p w14:paraId="601CA2D3"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Примењена каматна стопа (%)</w:t>
            </w:r>
          </w:p>
        </w:tc>
        <w:tc>
          <w:tcPr>
            <w:tcW w:w="366" w:type="pct"/>
            <w:tcBorders>
              <w:top w:val="nil"/>
              <w:left w:val="nil"/>
              <w:bottom w:val="nil"/>
              <w:right w:val="nil"/>
            </w:tcBorders>
            <w:noWrap/>
            <w:hideMark/>
          </w:tcPr>
          <w:p w14:paraId="459F574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4,7</w:t>
            </w:r>
          </w:p>
        </w:tc>
        <w:tc>
          <w:tcPr>
            <w:tcW w:w="367" w:type="pct"/>
            <w:tcBorders>
              <w:top w:val="nil"/>
              <w:left w:val="nil"/>
              <w:bottom w:val="nil"/>
              <w:right w:val="nil"/>
            </w:tcBorders>
            <w:noWrap/>
            <w:hideMark/>
          </w:tcPr>
          <w:p w14:paraId="0CE4752C"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w:t>
            </w:r>
          </w:p>
        </w:tc>
        <w:tc>
          <w:tcPr>
            <w:tcW w:w="366" w:type="pct"/>
            <w:tcBorders>
              <w:top w:val="nil"/>
              <w:left w:val="nil"/>
              <w:bottom w:val="nil"/>
              <w:right w:val="nil"/>
            </w:tcBorders>
            <w:noWrap/>
            <w:hideMark/>
          </w:tcPr>
          <w:p w14:paraId="336FD0CF"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4,8</w:t>
            </w:r>
          </w:p>
        </w:tc>
        <w:tc>
          <w:tcPr>
            <w:tcW w:w="368" w:type="pct"/>
            <w:tcBorders>
              <w:top w:val="nil"/>
              <w:left w:val="nil"/>
              <w:bottom w:val="nil"/>
              <w:right w:val="nil"/>
            </w:tcBorders>
            <w:noWrap/>
            <w:hideMark/>
          </w:tcPr>
          <w:p w14:paraId="63AA550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5,0</w:t>
            </w:r>
          </w:p>
        </w:tc>
      </w:tr>
      <w:tr w:rsidR="00D96A25" w:rsidRPr="0062711C" w14:paraId="0897BE26" w14:textId="77777777" w:rsidTr="00B51BE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nil"/>
              <w:bottom w:val="nil"/>
            </w:tcBorders>
            <w:shd w:val="clear" w:color="auto" w:fill="E7E6E6" w:themeFill="background2"/>
            <w:noWrap/>
            <w:hideMark/>
          </w:tcPr>
          <w:p w14:paraId="7BA495A9"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Ризик</w:t>
            </w:r>
          </w:p>
          <w:p w14:paraId="740E806F"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рефинансирања</w:t>
            </w:r>
          </w:p>
        </w:tc>
        <w:tc>
          <w:tcPr>
            <w:tcW w:w="1957" w:type="pct"/>
            <w:tcBorders>
              <w:top w:val="nil"/>
              <w:bottom w:val="nil"/>
            </w:tcBorders>
            <w:shd w:val="clear" w:color="auto" w:fill="E7E6E6" w:themeFill="background2"/>
            <w:noWrap/>
            <w:hideMark/>
          </w:tcPr>
          <w:p w14:paraId="6B620EE5" w14:textId="77777777" w:rsidR="00D96A25" w:rsidRPr="0062711C" w:rsidRDefault="00D96A25" w:rsidP="00B51BE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ATM</w:t>
            </w:r>
            <w:r w:rsidRPr="0062711C">
              <w:rPr>
                <w:rFonts w:ascii="Calibri" w:hAnsi="Calibri" w:cs="Calibri"/>
                <w:color w:val="002060"/>
                <w:sz w:val="18"/>
                <w:szCs w:val="18"/>
                <w:vertAlign w:val="superscript"/>
                <w:lang w:val="sr-Cyrl-RS"/>
              </w:rPr>
              <w:footnoteReference w:id="8"/>
            </w:r>
            <w:r w:rsidRPr="0062711C">
              <w:rPr>
                <w:rFonts w:ascii="Calibri" w:hAnsi="Calibri" w:cs="Calibri"/>
                <w:color w:val="002060"/>
                <w:sz w:val="18"/>
                <w:szCs w:val="18"/>
                <w:lang w:val="sr-Cyrl-RS"/>
              </w:rPr>
              <w:t xml:space="preserve"> спољни портфолио (у годинама)</w:t>
            </w:r>
          </w:p>
        </w:tc>
        <w:tc>
          <w:tcPr>
            <w:tcW w:w="366" w:type="pct"/>
            <w:tcBorders>
              <w:top w:val="nil"/>
              <w:bottom w:val="nil"/>
            </w:tcBorders>
            <w:shd w:val="clear" w:color="auto" w:fill="E7E6E6" w:themeFill="background2"/>
            <w:noWrap/>
            <w:hideMark/>
          </w:tcPr>
          <w:p w14:paraId="2BE248AD"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8,1</w:t>
            </w:r>
          </w:p>
        </w:tc>
        <w:tc>
          <w:tcPr>
            <w:tcW w:w="367" w:type="pct"/>
            <w:tcBorders>
              <w:top w:val="nil"/>
              <w:bottom w:val="nil"/>
            </w:tcBorders>
            <w:shd w:val="clear" w:color="auto" w:fill="E7E6E6" w:themeFill="background2"/>
            <w:noWrap/>
            <w:hideMark/>
          </w:tcPr>
          <w:p w14:paraId="230AD477"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10,2</w:t>
            </w:r>
          </w:p>
        </w:tc>
        <w:tc>
          <w:tcPr>
            <w:tcW w:w="366" w:type="pct"/>
            <w:tcBorders>
              <w:top w:val="nil"/>
              <w:bottom w:val="nil"/>
            </w:tcBorders>
            <w:shd w:val="clear" w:color="auto" w:fill="E7E6E6" w:themeFill="background2"/>
            <w:noWrap/>
            <w:hideMark/>
          </w:tcPr>
          <w:p w14:paraId="718594DF"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10,2</w:t>
            </w:r>
          </w:p>
        </w:tc>
        <w:tc>
          <w:tcPr>
            <w:tcW w:w="368" w:type="pct"/>
            <w:tcBorders>
              <w:top w:val="nil"/>
              <w:bottom w:val="nil"/>
            </w:tcBorders>
            <w:shd w:val="clear" w:color="auto" w:fill="E7E6E6" w:themeFill="background2"/>
            <w:noWrap/>
            <w:hideMark/>
          </w:tcPr>
          <w:p w14:paraId="2CAD1F55"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7,5</w:t>
            </w:r>
          </w:p>
        </w:tc>
      </w:tr>
      <w:tr w:rsidR="00D96A25" w:rsidRPr="0062711C" w14:paraId="4652A7D7" w14:textId="77777777" w:rsidTr="00B51BEB">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nil"/>
              <w:bottom w:val="nil"/>
              <w:right w:val="nil"/>
            </w:tcBorders>
            <w:vAlign w:val="center"/>
            <w:hideMark/>
          </w:tcPr>
          <w:p w14:paraId="4066691C" w14:textId="77777777" w:rsidR="00D96A25" w:rsidRPr="0062711C" w:rsidRDefault="00D96A25" w:rsidP="00B51BEB">
            <w:pPr>
              <w:jc w:val="left"/>
              <w:rPr>
                <w:rFonts w:ascii="Calibri" w:hAnsi="Calibri" w:cs="Calibri"/>
                <w:color w:val="002060"/>
                <w:sz w:val="18"/>
                <w:szCs w:val="18"/>
                <w:lang w:val="sr-Cyrl-RS"/>
              </w:rPr>
            </w:pPr>
          </w:p>
        </w:tc>
        <w:tc>
          <w:tcPr>
            <w:tcW w:w="1957" w:type="pct"/>
            <w:tcBorders>
              <w:top w:val="nil"/>
              <w:left w:val="nil"/>
              <w:bottom w:val="nil"/>
              <w:right w:val="nil"/>
            </w:tcBorders>
            <w:noWrap/>
            <w:hideMark/>
          </w:tcPr>
          <w:p w14:paraId="33DB1E94" w14:textId="77777777" w:rsidR="00D96A25" w:rsidRPr="0062711C" w:rsidRDefault="00D96A25" w:rsidP="00B51BE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RS"/>
              </w:rPr>
            </w:pPr>
            <w:r w:rsidRPr="0062711C">
              <w:rPr>
                <w:rFonts w:ascii="Calibri" w:hAnsi="Calibri" w:cs="Calibri"/>
                <w:bCs/>
                <w:color w:val="002060"/>
                <w:sz w:val="18"/>
                <w:szCs w:val="18"/>
                <w:lang w:val="sr-Cyrl-RS"/>
              </w:rPr>
              <w:t>ATM домаћи портфолио (у годинама)</w:t>
            </w:r>
          </w:p>
        </w:tc>
        <w:tc>
          <w:tcPr>
            <w:tcW w:w="366" w:type="pct"/>
            <w:tcBorders>
              <w:top w:val="nil"/>
              <w:left w:val="nil"/>
              <w:bottom w:val="nil"/>
              <w:right w:val="nil"/>
            </w:tcBorders>
            <w:noWrap/>
            <w:hideMark/>
          </w:tcPr>
          <w:p w14:paraId="7830F193"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7,0</w:t>
            </w:r>
          </w:p>
        </w:tc>
        <w:tc>
          <w:tcPr>
            <w:tcW w:w="367" w:type="pct"/>
            <w:tcBorders>
              <w:top w:val="nil"/>
              <w:left w:val="nil"/>
              <w:bottom w:val="nil"/>
              <w:right w:val="nil"/>
            </w:tcBorders>
            <w:noWrap/>
            <w:hideMark/>
          </w:tcPr>
          <w:p w14:paraId="08B07E21"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4,3</w:t>
            </w:r>
          </w:p>
        </w:tc>
        <w:tc>
          <w:tcPr>
            <w:tcW w:w="366" w:type="pct"/>
            <w:tcBorders>
              <w:top w:val="nil"/>
              <w:left w:val="nil"/>
              <w:bottom w:val="nil"/>
              <w:right w:val="nil"/>
            </w:tcBorders>
            <w:noWrap/>
            <w:hideMark/>
          </w:tcPr>
          <w:p w14:paraId="75E376DA"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4,3</w:t>
            </w:r>
          </w:p>
        </w:tc>
        <w:tc>
          <w:tcPr>
            <w:tcW w:w="368" w:type="pct"/>
            <w:tcBorders>
              <w:top w:val="nil"/>
              <w:left w:val="nil"/>
              <w:bottom w:val="nil"/>
              <w:right w:val="nil"/>
            </w:tcBorders>
            <w:noWrap/>
            <w:hideMark/>
          </w:tcPr>
          <w:p w14:paraId="3253723F"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9,4</w:t>
            </w:r>
          </w:p>
        </w:tc>
      </w:tr>
      <w:tr w:rsidR="00D96A25" w:rsidRPr="0062711C" w14:paraId="66E35F76" w14:textId="77777777" w:rsidTr="00B51BE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nil"/>
              <w:bottom w:val="single" w:sz="4" w:space="0" w:color="002060"/>
            </w:tcBorders>
            <w:vAlign w:val="center"/>
            <w:hideMark/>
          </w:tcPr>
          <w:p w14:paraId="6BFDAB7C" w14:textId="77777777" w:rsidR="00D96A25" w:rsidRPr="0062711C" w:rsidRDefault="00D96A25" w:rsidP="00B51BEB">
            <w:pPr>
              <w:jc w:val="left"/>
              <w:rPr>
                <w:rFonts w:ascii="Calibri" w:hAnsi="Calibri" w:cs="Calibri"/>
                <w:color w:val="002060"/>
                <w:sz w:val="18"/>
                <w:szCs w:val="18"/>
                <w:lang w:val="sr-Cyrl-RS"/>
              </w:rPr>
            </w:pPr>
          </w:p>
        </w:tc>
        <w:tc>
          <w:tcPr>
            <w:tcW w:w="1957" w:type="pct"/>
            <w:tcBorders>
              <w:top w:val="nil"/>
              <w:bottom w:val="single" w:sz="4" w:space="0" w:color="002060"/>
            </w:tcBorders>
            <w:shd w:val="clear" w:color="auto" w:fill="E7E6E6" w:themeFill="background2"/>
            <w:noWrap/>
            <w:hideMark/>
          </w:tcPr>
          <w:p w14:paraId="7DA89FB7" w14:textId="77777777" w:rsidR="00D96A25" w:rsidRPr="0062711C" w:rsidRDefault="00D96A25" w:rsidP="00B51BE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ATM укупан портфолио (у годинама)</w:t>
            </w:r>
          </w:p>
        </w:tc>
        <w:tc>
          <w:tcPr>
            <w:tcW w:w="366" w:type="pct"/>
            <w:tcBorders>
              <w:top w:val="nil"/>
              <w:bottom w:val="single" w:sz="4" w:space="0" w:color="002060"/>
            </w:tcBorders>
            <w:shd w:val="clear" w:color="auto" w:fill="E7E6E6" w:themeFill="background2"/>
            <w:noWrap/>
            <w:hideMark/>
          </w:tcPr>
          <w:p w14:paraId="4904306F"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7,8</w:t>
            </w:r>
          </w:p>
        </w:tc>
        <w:tc>
          <w:tcPr>
            <w:tcW w:w="367" w:type="pct"/>
            <w:tcBorders>
              <w:top w:val="nil"/>
              <w:bottom w:val="single" w:sz="4" w:space="0" w:color="002060"/>
            </w:tcBorders>
            <w:shd w:val="clear" w:color="auto" w:fill="E7E6E6" w:themeFill="background2"/>
            <w:noWrap/>
            <w:hideMark/>
          </w:tcPr>
          <w:p w14:paraId="40C2DD07"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9,7</w:t>
            </w:r>
          </w:p>
        </w:tc>
        <w:tc>
          <w:tcPr>
            <w:tcW w:w="366" w:type="pct"/>
            <w:tcBorders>
              <w:top w:val="nil"/>
              <w:bottom w:val="single" w:sz="4" w:space="0" w:color="002060"/>
            </w:tcBorders>
            <w:shd w:val="clear" w:color="auto" w:fill="E7E6E6" w:themeFill="background2"/>
            <w:noWrap/>
            <w:hideMark/>
          </w:tcPr>
          <w:p w14:paraId="0EA6330F"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9,8</w:t>
            </w:r>
          </w:p>
        </w:tc>
        <w:tc>
          <w:tcPr>
            <w:tcW w:w="368" w:type="pct"/>
            <w:tcBorders>
              <w:top w:val="nil"/>
              <w:bottom w:val="single" w:sz="4" w:space="0" w:color="002060"/>
            </w:tcBorders>
            <w:shd w:val="clear" w:color="auto" w:fill="E7E6E6" w:themeFill="background2"/>
            <w:noWrap/>
            <w:hideMark/>
          </w:tcPr>
          <w:p w14:paraId="19016DF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8,6</w:t>
            </w:r>
          </w:p>
        </w:tc>
      </w:tr>
      <w:tr w:rsidR="00D96A25" w:rsidRPr="0062711C" w14:paraId="432DCAD3" w14:textId="77777777" w:rsidTr="00B51BEB">
        <w:trPr>
          <w:trHeight w:val="262"/>
        </w:trPr>
        <w:tc>
          <w:tcPr>
            <w:cnfStyle w:val="001000000000" w:firstRow="0" w:lastRow="0" w:firstColumn="1" w:lastColumn="0" w:oddVBand="0" w:evenVBand="0" w:oddHBand="0" w:evenHBand="0" w:firstRowFirstColumn="0" w:firstRowLastColumn="0" w:lastRowFirstColumn="0" w:lastRowLastColumn="0"/>
            <w:tcW w:w="1576" w:type="pct"/>
            <w:vMerge w:val="restart"/>
            <w:tcBorders>
              <w:top w:val="single" w:sz="4" w:space="0" w:color="002060"/>
              <w:left w:val="nil"/>
              <w:bottom w:val="nil"/>
              <w:right w:val="nil"/>
            </w:tcBorders>
            <w:noWrap/>
            <w:hideMark/>
          </w:tcPr>
          <w:p w14:paraId="3BD21273"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Ризик каматних стопа</w:t>
            </w:r>
          </w:p>
        </w:tc>
        <w:tc>
          <w:tcPr>
            <w:tcW w:w="1957" w:type="pct"/>
            <w:tcBorders>
              <w:top w:val="single" w:sz="4" w:space="0" w:color="002060"/>
              <w:left w:val="nil"/>
              <w:bottom w:val="nil"/>
              <w:right w:val="nil"/>
            </w:tcBorders>
            <w:noWrap/>
            <w:hideMark/>
          </w:tcPr>
          <w:p w14:paraId="051AA4CA" w14:textId="77777777" w:rsidR="00D96A25" w:rsidRPr="0062711C" w:rsidRDefault="00D96A25" w:rsidP="00B51BE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RS"/>
              </w:rPr>
            </w:pPr>
            <w:r w:rsidRPr="0062711C">
              <w:rPr>
                <w:rFonts w:ascii="Calibri" w:hAnsi="Calibri" w:cs="Calibri"/>
                <w:bCs/>
                <w:color w:val="002060"/>
                <w:sz w:val="18"/>
                <w:szCs w:val="18"/>
                <w:lang w:val="sr-Cyrl-RS"/>
              </w:rPr>
              <w:t>АТR</w:t>
            </w:r>
            <w:r w:rsidRPr="0062711C">
              <w:rPr>
                <w:rFonts w:ascii="Calibri" w:hAnsi="Calibri" w:cs="Calibri"/>
                <w:bCs/>
                <w:color w:val="002060"/>
                <w:sz w:val="18"/>
                <w:szCs w:val="18"/>
                <w:vertAlign w:val="superscript"/>
                <w:lang w:val="sr-Cyrl-RS"/>
              </w:rPr>
              <w:footnoteReference w:id="9"/>
            </w:r>
            <w:r w:rsidRPr="0062711C">
              <w:rPr>
                <w:rFonts w:ascii="Calibri" w:hAnsi="Calibri" w:cs="Calibri"/>
                <w:bCs/>
                <w:color w:val="002060"/>
                <w:sz w:val="18"/>
                <w:szCs w:val="18"/>
                <w:lang w:val="sr-Cyrl-RS"/>
              </w:rPr>
              <w:t xml:space="preserve"> (у годинама)</w:t>
            </w:r>
          </w:p>
        </w:tc>
        <w:tc>
          <w:tcPr>
            <w:tcW w:w="366" w:type="pct"/>
            <w:tcBorders>
              <w:top w:val="single" w:sz="4" w:space="0" w:color="002060"/>
              <w:left w:val="nil"/>
              <w:bottom w:val="nil"/>
              <w:right w:val="nil"/>
            </w:tcBorders>
            <w:noWrap/>
            <w:hideMark/>
          </w:tcPr>
          <w:p w14:paraId="6A309925"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5,9</w:t>
            </w:r>
          </w:p>
        </w:tc>
        <w:tc>
          <w:tcPr>
            <w:tcW w:w="367" w:type="pct"/>
            <w:tcBorders>
              <w:top w:val="single" w:sz="4" w:space="0" w:color="002060"/>
              <w:left w:val="nil"/>
              <w:bottom w:val="nil"/>
              <w:right w:val="nil"/>
            </w:tcBorders>
            <w:noWrap/>
            <w:hideMark/>
          </w:tcPr>
          <w:p w14:paraId="65701062"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8,2</w:t>
            </w:r>
          </w:p>
        </w:tc>
        <w:tc>
          <w:tcPr>
            <w:tcW w:w="366" w:type="pct"/>
            <w:tcBorders>
              <w:top w:val="single" w:sz="4" w:space="0" w:color="002060"/>
              <w:left w:val="nil"/>
              <w:bottom w:val="nil"/>
              <w:right w:val="nil"/>
            </w:tcBorders>
            <w:noWrap/>
            <w:hideMark/>
          </w:tcPr>
          <w:p w14:paraId="173167AE"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8,2</w:t>
            </w:r>
          </w:p>
        </w:tc>
        <w:tc>
          <w:tcPr>
            <w:tcW w:w="368" w:type="pct"/>
            <w:tcBorders>
              <w:top w:val="single" w:sz="4" w:space="0" w:color="002060"/>
              <w:left w:val="nil"/>
              <w:bottom w:val="nil"/>
              <w:right w:val="nil"/>
            </w:tcBorders>
            <w:noWrap/>
            <w:hideMark/>
          </w:tcPr>
          <w:p w14:paraId="5D633D26"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7,0</w:t>
            </w:r>
          </w:p>
        </w:tc>
      </w:tr>
      <w:tr w:rsidR="00D96A25" w:rsidRPr="0062711C" w14:paraId="010EDB30" w14:textId="77777777" w:rsidTr="00B51BE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bottom w:val="nil"/>
            </w:tcBorders>
            <w:vAlign w:val="center"/>
            <w:hideMark/>
          </w:tcPr>
          <w:p w14:paraId="4ECAC955" w14:textId="77777777" w:rsidR="00D96A25" w:rsidRPr="0062711C" w:rsidRDefault="00D96A25" w:rsidP="00B51BEB">
            <w:pPr>
              <w:jc w:val="left"/>
              <w:rPr>
                <w:rFonts w:ascii="Calibri" w:hAnsi="Calibri" w:cs="Calibri"/>
                <w:color w:val="002060"/>
                <w:sz w:val="18"/>
                <w:szCs w:val="18"/>
                <w:lang w:val="sr-Cyrl-RS"/>
              </w:rPr>
            </w:pPr>
          </w:p>
        </w:tc>
        <w:tc>
          <w:tcPr>
            <w:tcW w:w="1957" w:type="pct"/>
            <w:tcBorders>
              <w:top w:val="nil"/>
              <w:bottom w:val="nil"/>
            </w:tcBorders>
            <w:shd w:val="clear" w:color="auto" w:fill="E7E6E6" w:themeFill="background2"/>
            <w:noWrap/>
            <w:hideMark/>
          </w:tcPr>
          <w:p w14:paraId="549AA30F" w14:textId="77777777" w:rsidR="00D96A25" w:rsidRPr="0062711C" w:rsidRDefault="00D96A25" w:rsidP="00B51BE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Рефиксирање (% укупног дуга)</w:t>
            </w:r>
          </w:p>
        </w:tc>
        <w:tc>
          <w:tcPr>
            <w:tcW w:w="366" w:type="pct"/>
            <w:tcBorders>
              <w:top w:val="nil"/>
              <w:bottom w:val="nil"/>
            </w:tcBorders>
            <w:shd w:val="clear" w:color="auto" w:fill="E7E6E6" w:themeFill="background2"/>
            <w:noWrap/>
            <w:hideMark/>
          </w:tcPr>
          <w:p w14:paraId="4B6E66D7"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24,5</w:t>
            </w:r>
          </w:p>
        </w:tc>
        <w:tc>
          <w:tcPr>
            <w:tcW w:w="367" w:type="pct"/>
            <w:tcBorders>
              <w:top w:val="nil"/>
              <w:bottom w:val="nil"/>
            </w:tcBorders>
            <w:shd w:val="clear" w:color="auto" w:fill="E7E6E6" w:themeFill="background2"/>
            <w:noWrap/>
            <w:hideMark/>
          </w:tcPr>
          <w:p w14:paraId="656C31A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19,6</w:t>
            </w:r>
          </w:p>
        </w:tc>
        <w:tc>
          <w:tcPr>
            <w:tcW w:w="366" w:type="pct"/>
            <w:tcBorders>
              <w:top w:val="nil"/>
              <w:bottom w:val="nil"/>
            </w:tcBorders>
            <w:shd w:val="clear" w:color="auto" w:fill="E7E6E6" w:themeFill="background2"/>
            <w:noWrap/>
            <w:hideMark/>
          </w:tcPr>
          <w:p w14:paraId="02B8BA12"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19,6</w:t>
            </w:r>
          </w:p>
        </w:tc>
        <w:tc>
          <w:tcPr>
            <w:tcW w:w="368" w:type="pct"/>
            <w:tcBorders>
              <w:top w:val="nil"/>
              <w:bottom w:val="nil"/>
            </w:tcBorders>
            <w:shd w:val="clear" w:color="auto" w:fill="E7E6E6" w:themeFill="background2"/>
            <w:noWrap/>
            <w:hideMark/>
          </w:tcPr>
          <w:p w14:paraId="03C6EA15"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19,6</w:t>
            </w:r>
          </w:p>
        </w:tc>
      </w:tr>
      <w:tr w:rsidR="00D96A25" w:rsidRPr="0062711C" w14:paraId="561A3E01" w14:textId="77777777" w:rsidTr="00B51BEB">
        <w:trPr>
          <w:trHeight w:val="262"/>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002060"/>
              <w:left w:val="nil"/>
              <w:bottom w:val="nil"/>
              <w:right w:val="nil"/>
            </w:tcBorders>
            <w:vAlign w:val="center"/>
            <w:hideMark/>
          </w:tcPr>
          <w:p w14:paraId="31FB6359" w14:textId="77777777" w:rsidR="00D96A25" w:rsidRPr="0062711C" w:rsidRDefault="00D96A25" w:rsidP="00B51BEB">
            <w:pPr>
              <w:jc w:val="left"/>
              <w:rPr>
                <w:rFonts w:ascii="Calibri" w:hAnsi="Calibri" w:cs="Calibri"/>
                <w:color w:val="002060"/>
                <w:sz w:val="18"/>
                <w:szCs w:val="18"/>
                <w:lang w:val="sr-Cyrl-RS"/>
              </w:rPr>
            </w:pPr>
          </w:p>
        </w:tc>
        <w:tc>
          <w:tcPr>
            <w:tcW w:w="1957" w:type="pct"/>
            <w:tcBorders>
              <w:top w:val="nil"/>
              <w:left w:val="nil"/>
              <w:bottom w:val="nil"/>
              <w:right w:val="nil"/>
            </w:tcBorders>
            <w:noWrap/>
            <w:hideMark/>
          </w:tcPr>
          <w:p w14:paraId="141F0A48" w14:textId="77777777" w:rsidR="00D96A25" w:rsidRPr="0062711C" w:rsidRDefault="00D96A25" w:rsidP="00B51BEB">
            <w:pPr>
              <w:spacing w:line="240" w:lineRule="auto"/>
              <w:cnfStyle w:val="000000000000" w:firstRow="0" w:lastRow="0" w:firstColumn="0" w:lastColumn="0" w:oddVBand="0" w:evenVBand="0" w:oddHBand="0" w:evenHBand="0" w:firstRowFirstColumn="0" w:firstRowLastColumn="0" w:lastRowFirstColumn="0" w:lastRowLastColumn="0"/>
              <w:rPr>
                <w:rFonts w:ascii="Calibri" w:hAnsi="Calibri" w:cs="Calibri"/>
                <w:bCs/>
                <w:color w:val="002060"/>
                <w:sz w:val="18"/>
                <w:szCs w:val="18"/>
                <w:lang w:val="sr-Cyrl-RS"/>
              </w:rPr>
            </w:pPr>
            <w:r w:rsidRPr="0062711C">
              <w:rPr>
                <w:rFonts w:ascii="Calibri" w:hAnsi="Calibri" w:cs="Calibri"/>
                <w:bCs/>
                <w:color w:val="002060"/>
                <w:sz w:val="18"/>
                <w:szCs w:val="18"/>
                <w:lang w:val="sr-Cyrl-RS"/>
              </w:rPr>
              <w:t>Дуг по фиксним стопама (% укупног дуга)</w:t>
            </w:r>
          </w:p>
        </w:tc>
        <w:tc>
          <w:tcPr>
            <w:tcW w:w="366" w:type="pct"/>
            <w:tcBorders>
              <w:top w:val="nil"/>
              <w:left w:val="nil"/>
              <w:bottom w:val="nil"/>
              <w:right w:val="nil"/>
            </w:tcBorders>
            <w:noWrap/>
            <w:hideMark/>
          </w:tcPr>
          <w:p w14:paraId="05DA260B"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80,8</w:t>
            </w:r>
          </w:p>
        </w:tc>
        <w:tc>
          <w:tcPr>
            <w:tcW w:w="367" w:type="pct"/>
            <w:tcBorders>
              <w:top w:val="nil"/>
              <w:left w:val="nil"/>
              <w:bottom w:val="nil"/>
              <w:right w:val="nil"/>
            </w:tcBorders>
            <w:noWrap/>
            <w:hideMark/>
          </w:tcPr>
          <w:p w14:paraId="1CF22078"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85,6</w:t>
            </w:r>
          </w:p>
        </w:tc>
        <w:tc>
          <w:tcPr>
            <w:tcW w:w="366" w:type="pct"/>
            <w:tcBorders>
              <w:top w:val="nil"/>
              <w:left w:val="nil"/>
              <w:bottom w:val="nil"/>
              <w:right w:val="nil"/>
            </w:tcBorders>
            <w:noWrap/>
            <w:hideMark/>
          </w:tcPr>
          <w:p w14:paraId="0FD45AB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85,6</w:t>
            </w:r>
          </w:p>
        </w:tc>
        <w:tc>
          <w:tcPr>
            <w:tcW w:w="368" w:type="pct"/>
            <w:tcBorders>
              <w:top w:val="nil"/>
              <w:left w:val="nil"/>
              <w:bottom w:val="nil"/>
              <w:right w:val="nil"/>
            </w:tcBorders>
            <w:noWrap/>
            <w:hideMark/>
          </w:tcPr>
          <w:p w14:paraId="60A93319" w14:textId="77777777" w:rsidR="00D96A25" w:rsidRPr="0062711C" w:rsidRDefault="00D96A25" w:rsidP="00B51BEB">
            <w:pPr>
              <w:spacing w:line="240" w:lineRule="auto"/>
              <w:jc w:val="right"/>
              <w:cnfStyle w:val="000000000000" w:firstRow="0" w:lastRow="0" w:firstColumn="0" w:lastColumn="0" w:oddVBand="0" w:evenVBand="0" w:oddHBand="0"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85,6</w:t>
            </w:r>
          </w:p>
        </w:tc>
      </w:tr>
      <w:tr w:rsidR="00D96A25" w:rsidRPr="0062711C" w14:paraId="60D51E82" w14:textId="77777777" w:rsidTr="00B51BEB">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1576" w:type="pct"/>
            <w:tcBorders>
              <w:top w:val="nil"/>
              <w:bottom w:val="single" w:sz="4" w:space="0" w:color="002060"/>
            </w:tcBorders>
            <w:shd w:val="clear" w:color="auto" w:fill="E7E6E6" w:themeFill="background2"/>
            <w:noWrap/>
            <w:hideMark/>
          </w:tcPr>
          <w:p w14:paraId="47C98E85" w14:textId="77777777" w:rsidR="00D96A25" w:rsidRPr="0062711C" w:rsidRDefault="00D96A25" w:rsidP="00B51BEB">
            <w:pPr>
              <w:spacing w:line="240" w:lineRule="auto"/>
              <w:rPr>
                <w:rFonts w:ascii="Calibri" w:hAnsi="Calibri" w:cs="Calibri"/>
                <w:color w:val="002060"/>
                <w:sz w:val="18"/>
                <w:szCs w:val="18"/>
                <w:lang w:val="sr-Cyrl-RS"/>
              </w:rPr>
            </w:pPr>
            <w:r w:rsidRPr="0062711C">
              <w:rPr>
                <w:rFonts w:ascii="Calibri" w:hAnsi="Calibri" w:cs="Calibri"/>
                <w:color w:val="002060"/>
                <w:sz w:val="18"/>
                <w:szCs w:val="18"/>
                <w:lang w:val="sr-Cyrl-RS"/>
              </w:rPr>
              <w:t>Ризик девизног курса</w:t>
            </w:r>
          </w:p>
        </w:tc>
        <w:tc>
          <w:tcPr>
            <w:tcW w:w="1957" w:type="pct"/>
            <w:tcBorders>
              <w:top w:val="nil"/>
              <w:bottom w:val="single" w:sz="4" w:space="0" w:color="002060"/>
            </w:tcBorders>
            <w:shd w:val="clear" w:color="auto" w:fill="E7E6E6" w:themeFill="background2"/>
            <w:noWrap/>
            <w:hideMark/>
          </w:tcPr>
          <w:p w14:paraId="1A6D5C36" w14:textId="77777777" w:rsidR="00D96A25" w:rsidRPr="0062711C" w:rsidRDefault="00D96A25" w:rsidP="00B51BEB">
            <w:pPr>
              <w:spacing w:line="240" w:lineRule="auto"/>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8"/>
                <w:szCs w:val="18"/>
                <w:lang w:val="sr-Cyrl-RS"/>
              </w:rPr>
            </w:pPr>
            <w:r w:rsidRPr="0062711C">
              <w:rPr>
                <w:rFonts w:ascii="Calibri" w:hAnsi="Calibri" w:cs="Calibri"/>
                <w:color w:val="002060"/>
                <w:sz w:val="18"/>
                <w:szCs w:val="18"/>
                <w:lang w:val="sr-Cyrl-RS"/>
              </w:rPr>
              <w:t>Ино-валутни дуг (% укупног дуга)</w:t>
            </w:r>
          </w:p>
        </w:tc>
        <w:tc>
          <w:tcPr>
            <w:tcW w:w="366" w:type="pct"/>
            <w:tcBorders>
              <w:top w:val="nil"/>
              <w:bottom w:val="single" w:sz="4" w:space="0" w:color="002060"/>
            </w:tcBorders>
            <w:shd w:val="clear" w:color="auto" w:fill="E7E6E6" w:themeFill="background2"/>
            <w:noWrap/>
            <w:hideMark/>
          </w:tcPr>
          <w:p w14:paraId="7077399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75,8</w:t>
            </w:r>
          </w:p>
        </w:tc>
        <w:tc>
          <w:tcPr>
            <w:tcW w:w="367" w:type="pct"/>
            <w:tcBorders>
              <w:top w:val="nil"/>
              <w:bottom w:val="single" w:sz="4" w:space="0" w:color="002060"/>
            </w:tcBorders>
            <w:shd w:val="clear" w:color="auto" w:fill="E7E6E6" w:themeFill="background2"/>
            <w:noWrap/>
            <w:hideMark/>
          </w:tcPr>
          <w:p w14:paraId="28E84120"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92,1</w:t>
            </w:r>
          </w:p>
        </w:tc>
        <w:tc>
          <w:tcPr>
            <w:tcW w:w="366" w:type="pct"/>
            <w:tcBorders>
              <w:top w:val="nil"/>
              <w:bottom w:val="single" w:sz="4" w:space="0" w:color="002060"/>
            </w:tcBorders>
            <w:shd w:val="clear" w:color="auto" w:fill="E7E6E6" w:themeFill="background2"/>
            <w:noWrap/>
            <w:hideMark/>
          </w:tcPr>
          <w:p w14:paraId="71172D2F"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92,1</w:t>
            </w:r>
          </w:p>
        </w:tc>
        <w:tc>
          <w:tcPr>
            <w:tcW w:w="368" w:type="pct"/>
            <w:tcBorders>
              <w:top w:val="nil"/>
              <w:bottom w:val="single" w:sz="4" w:space="0" w:color="002060"/>
            </w:tcBorders>
            <w:shd w:val="clear" w:color="auto" w:fill="E7E6E6" w:themeFill="background2"/>
            <w:noWrap/>
            <w:hideMark/>
          </w:tcPr>
          <w:p w14:paraId="212D45A2" w14:textId="77777777" w:rsidR="00D96A25" w:rsidRPr="0062711C" w:rsidRDefault="00D96A25" w:rsidP="00B51BEB">
            <w:pPr>
              <w:spacing w:line="240" w:lineRule="auto"/>
              <w:jc w:val="right"/>
              <w:cnfStyle w:val="000000100000" w:firstRow="0" w:lastRow="0" w:firstColumn="0" w:lastColumn="0" w:oddVBand="0" w:evenVBand="0" w:oddHBand="1" w:evenHBand="0" w:firstRowFirstColumn="0" w:firstRowLastColumn="0" w:lastRowFirstColumn="0" w:lastRowLastColumn="0"/>
              <w:rPr>
                <w:rFonts w:ascii="Calibri" w:hAnsi="Calibri" w:cs="Calibri"/>
                <w:b/>
                <w:bCs/>
                <w:color w:val="002060"/>
                <w:sz w:val="18"/>
                <w:szCs w:val="18"/>
                <w:lang w:val="sr-Cyrl-RS"/>
              </w:rPr>
            </w:pPr>
            <w:r w:rsidRPr="0062711C">
              <w:rPr>
                <w:rFonts w:ascii="Calibri" w:hAnsi="Calibri" w:cs="Calibri"/>
                <w:b/>
                <w:bCs/>
                <w:color w:val="002060"/>
                <w:sz w:val="18"/>
                <w:szCs w:val="18"/>
                <w:lang w:val="sr-Cyrl-RS"/>
              </w:rPr>
              <w:t>43,5</w:t>
            </w:r>
          </w:p>
        </w:tc>
      </w:tr>
    </w:tbl>
    <w:p w14:paraId="6B004614" w14:textId="77777777" w:rsidR="00D96A25" w:rsidRPr="0062711C" w:rsidRDefault="00D96A25" w:rsidP="00B51BEB">
      <w:pPr>
        <w:rPr>
          <w:lang w:val="sr-Cyrl-RS"/>
        </w:rPr>
      </w:pPr>
    </w:p>
    <w:p w14:paraId="048D59D7" w14:textId="77777777" w:rsidR="00D96A25" w:rsidRPr="0062711C" w:rsidRDefault="00D96A25" w:rsidP="00B51BEB">
      <w:pPr>
        <w:rPr>
          <w:rFonts w:ascii="Calibri" w:hAnsi="Calibri"/>
          <w:color w:val="2F5496" w:themeColor="accent1" w:themeShade="BF"/>
          <w:sz w:val="22"/>
          <w:lang w:val="sr-Cyrl-RS"/>
        </w:rPr>
        <w:sectPr w:rsidR="00D96A25" w:rsidRPr="0062711C" w:rsidSect="00F45C01">
          <w:type w:val="continuous"/>
          <w:pgSz w:w="12240" w:h="15840" w:code="1"/>
          <w:pgMar w:top="1440" w:right="1440" w:bottom="1440" w:left="1440" w:header="720" w:footer="720" w:gutter="0"/>
          <w:cols w:space="720"/>
          <w:titlePg/>
          <w:docGrid w:linePitch="360"/>
        </w:sectPr>
      </w:pPr>
    </w:p>
    <w:p w14:paraId="528A73B5" w14:textId="1078DF23" w:rsidR="00D96A25" w:rsidRPr="0062711C" w:rsidRDefault="008E3631" w:rsidP="008E3631">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Стрес-тест анализа</w:t>
      </w:r>
    </w:p>
    <w:p w14:paraId="2485DB45"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На основу планираног макроекономског оквира, а у случају изостанка утицаја могућих ризика, јавни дуг централног нивоа власти би на крају 2027. године требало да буде на нивоу од 49,7% БДП.</w:t>
      </w:r>
    </w:p>
    <w:p w14:paraId="3E39AADA" w14:textId="77777777" w:rsidR="00D96A25" w:rsidRPr="0062711C" w:rsidRDefault="00D96A25" w:rsidP="00B51BEB">
      <w:pPr>
        <w:rPr>
          <w:lang w:val="sr-Cyrl-RS"/>
        </w:rPr>
      </w:pPr>
      <w:r w:rsidRPr="0062711C">
        <w:rPr>
          <w:rFonts w:ascii="Calibri" w:eastAsia="Calibri" w:hAnsi="Calibri" w:cs="Calibri"/>
          <w:bCs/>
          <w:szCs w:val="72"/>
          <w:lang w:val="sr-Cyrl-RS"/>
        </w:rPr>
        <w:t>Основни фактори који утичу на стабилизацију рација јавни дуг/БДП су раст БДП, позитивни примарни резултат и курс динара према ино-валутама.</w:t>
      </w:r>
    </w:p>
    <w:p w14:paraId="5636AE13" w14:textId="68FC5C0D" w:rsidR="00BB1E84" w:rsidRPr="0062711C" w:rsidRDefault="00BB1E84" w:rsidP="00BB1E84">
      <w:pPr>
        <w:rPr>
          <w:lang w:val="sr-Cyrl-RS"/>
        </w:rPr>
      </w:pPr>
    </w:p>
    <w:p w14:paraId="37BE225C" w14:textId="77777777" w:rsidR="008E3631" w:rsidRPr="0062711C" w:rsidRDefault="008E3631" w:rsidP="00BB1E84">
      <w:pPr>
        <w:rPr>
          <w:lang w:val="sr-Cyrl-RS"/>
        </w:rPr>
        <w:sectPr w:rsidR="008E3631" w:rsidRPr="0062711C" w:rsidSect="00F45C01">
          <w:type w:val="continuous"/>
          <w:pgSz w:w="12240" w:h="15840" w:code="1"/>
          <w:pgMar w:top="1440" w:right="1440" w:bottom="1440" w:left="1440" w:header="720" w:footer="720" w:gutter="0"/>
          <w:cols w:num="2" w:space="720"/>
          <w:titlePg/>
          <w:docGrid w:linePitch="360"/>
        </w:sectPr>
      </w:pPr>
    </w:p>
    <w:p w14:paraId="6FA4A0E5" w14:textId="77777777" w:rsidR="00BB1E84" w:rsidRDefault="00BB1E84">
      <w:pPr>
        <w:jc w:val="left"/>
        <w:rPr>
          <w:rFonts w:ascii="Calibri" w:eastAsia="Calibri" w:hAnsi="Calibri" w:cs="Times New Roman"/>
          <w:b/>
          <w:color w:val="002060"/>
          <w:lang w:val="sr-Cyrl-RS"/>
        </w:rPr>
      </w:pPr>
      <w:r>
        <w:rPr>
          <w:rFonts w:ascii="Calibri" w:eastAsia="Calibri" w:hAnsi="Calibri" w:cs="Times New Roman"/>
          <w:b/>
          <w:color w:val="002060"/>
          <w:lang w:val="sr-Cyrl-RS"/>
        </w:rPr>
        <w:br w:type="page"/>
      </w:r>
    </w:p>
    <w:p w14:paraId="7EA846C0" w14:textId="19059D34" w:rsidR="00D96A25" w:rsidRPr="0062711C" w:rsidRDefault="00D96A25" w:rsidP="00C91F83">
      <w:pPr>
        <w:spacing w:line="256" w:lineRule="auto"/>
        <w:jc w:val="center"/>
        <w:rPr>
          <w:rFonts w:ascii="Calibri" w:eastAsia="Calibri" w:hAnsi="Calibri" w:cs="Times New Roman"/>
          <w:b/>
          <w:color w:val="002060"/>
          <w:lang w:val="sr-Cyrl-RS"/>
        </w:rPr>
      </w:pPr>
      <w:r w:rsidRPr="0062711C">
        <w:rPr>
          <w:rFonts w:ascii="Calibri" w:eastAsia="Calibri" w:hAnsi="Calibri" w:cs="Times New Roman"/>
          <w:b/>
          <w:color w:val="002060"/>
          <w:lang w:val="sr-Cyrl-RS"/>
        </w:rPr>
        <w:lastRenderedPageBreak/>
        <w:t xml:space="preserve">Табела </w:t>
      </w:r>
      <w:r w:rsidR="004710A1" w:rsidRPr="0062711C">
        <w:rPr>
          <w:rFonts w:ascii="Calibri" w:eastAsia="Calibri" w:hAnsi="Calibri" w:cs="Times New Roman"/>
          <w:b/>
          <w:color w:val="002060"/>
          <w:lang w:val="sr-Cyrl-RS"/>
        </w:rPr>
        <w:t>3</w:t>
      </w:r>
      <w:r w:rsidR="00BB1E84">
        <w:rPr>
          <w:rFonts w:ascii="Calibri" w:eastAsia="Calibri" w:hAnsi="Calibri" w:cs="Times New Roman"/>
          <w:b/>
          <w:color w:val="002060"/>
        </w:rPr>
        <w:t>7</w:t>
      </w:r>
      <w:r w:rsidRPr="0062711C">
        <w:rPr>
          <w:rFonts w:ascii="Calibri" w:eastAsia="Calibri" w:hAnsi="Calibri" w:cs="Times New Roman"/>
          <w:b/>
          <w:color w:val="002060"/>
          <w:lang w:val="sr-Cyrl-RS"/>
        </w:rPr>
        <w:t xml:space="preserve">. Доприноси основних макроекономских варијабли на промену рација </w:t>
      </w:r>
      <w:r w:rsidRPr="0062711C">
        <w:rPr>
          <w:rFonts w:ascii="Calibri" w:eastAsia="Calibri" w:hAnsi="Calibri" w:cs="Times New Roman"/>
          <w:b/>
          <w:color w:val="002060"/>
          <w:lang w:val="sr-Cyrl-RS"/>
        </w:rPr>
        <w:br w:type="textWrapping" w:clear="all"/>
        <w:t>јавни дуг (централног нивоа државе) – БДП, у %</w:t>
      </w:r>
    </w:p>
    <w:tbl>
      <w:tblPr>
        <w:tblStyle w:val="LightShading-Accent1222"/>
        <w:tblW w:w="5000" w:type="pct"/>
        <w:tblInd w:w="0" w:type="dxa"/>
        <w:tblLook w:val="0420" w:firstRow="1" w:lastRow="0" w:firstColumn="0" w:lastColumn="0" w:noHBand="0" w:noVBand="1"/>
      </w:tblPr>
      <w:tblGrid>
        <w:gridCol w:w="3824"/>
        <w:gridCol w:w="921"/>
        <w:gridCol w:w="923"/>
        <w:gridCol w:w="923"/>
        <w:gridCol w:w="923"/>
        <w:gridCol w:w="923"/>
        <w:gridCol w:w="923"/>
      </w:tblGrid>
      <w:tr w:rsidR="00D96A25" w:rsidRPr="0062711C" w14:paraId="70F45D6C" w14:textId="77777777" w:rsidTr="00FF2460">
        <w:trPr>
          <w:cnfStyle w:val="100000000000" w:firstRow="1" w:lastRow="0" w:firstColumn="0" w:lastColumn="0" w:oddVBand="0" w:evenVBand="0" w:oddHBand="0" w:evenHBand="0" w:firstRowFirstColumn="0" w:firstRowLastColumn="0" w:lastRowFirstColumn="0" w:lastRowLastColumn="0"/>
          <w:trHeight w:val="265"/>
        </w:trPr>
        <w:tc>
          <w:tcPr>
            <w:tcW w:w="2043" w:type="pct"/>
            <w:tcBorders>
              <w:top w:val="single" w:sz="4" w:space="0" w:color="002060"/>
              <w:bottom w:val="single" w:sz="8" w:space="0" w:color="FFFFFF" w:themeColor="background1"/>
            </w:tcBorders>
            <w:noWrap/>
            <w:hideMark/>
          </w:tcPr>
          <w:p w14:paraId="18AF3228"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 </w:t>
            </w:r>
          </w:p>
        </w:tc>
        <w:tc>
          <w:tcPr>
            <w:tcW w:w="492" w:type="pct"/>
            <w:tcBorders>
              <w:top w:val="single" w:sz="4" w:space="0" w:color="002060"/>
              <w:bottom w:val="single" w:sz="4" w:space="0" w:color="002060"/>
            </w:tcBorders>
            <w:hideMark/>
          </w:tcPr>
          <w:p w14:paraId="1423EC7F"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2022</w:t>
            </w:r>
          </w:p>
        </w:tc>
        <w:tc>
          <w:tcPr>
            <w:tcW w:w="493" w:type="pct"/>
            <w:tcBorders>
              <w:top w:val="single" w:sz="4" w:space="0" w:color="002060"/>
              <w:bottom w:val="single" w:sz="4" w:space="0" w:color="002060"/>
            </w:tcBorders>
            <w:hideMark/>
          </w:tcPr>
          <w:p w14:paraId="41346DF2"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 xml:space="preserve">2023 </w:t>
            </w:r>
          </w:p>
        </w:tc>
        <w:tc>
          <w:tcPr>
            <w:tcW w:w="493" w:type="pct"/>
            <w:tcBorders>
              <w:top w:val="single" w:sz="4" w:space="0" w:color="002060"/>
              <w:bottom w:val="single" w:sz="4" w:space="0" w:color="002060"/>
            </w:tcBorders>
            <w:noWrap/>
            <w:hideMark/>
          </w:tcPr>
          <w:p w14:paraId="136AC465"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2024 п</w:t>
            </w:r>
          </w:p>
        </w:tc>
        <w:tc>
          <w:tcPr>
            <w:tcW w:w="493" w:type="pct"/>
            <w:tcBorders>
              <w:top w:val="single" w:sz="4" w:space="0" w:color="002060"/>
              <w:bottom w:val="single" w:sz="4" w:space="0" w:color="002060"/>
            </w:tcBorders>
            <w:noWrap/>
            <w:hideMark/>
          </w:tcPr>
          <w:p w14:paraId="01FD0440"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2025 п</w:t>
            </w:r>
          </w:p>
        </w:tc>
        <w:tc>
          <w:tcPr>
            <w:tcW w:w="493" w:type="pct"/>
            <w:tcBorders>
              <w:top w:val="single" w:sz="4" w:space="0" w:color="002060"/>
              <w:bottom w:val="single" w:sz="4" w:space="0" w:color="002060"/>
            </w:tcBorders>
            <w:noWrap/>
            <w:hideMark/>
          </w:tcPr>
          <w:p w14:paraId="6298CF82"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2026 п</w:t>
            </w:r>
          </w:p>
        </w:tc>
        <w:tc>
          <w:tcPr>
            <w:tcW w:w="493" w:type="pct"/>
            <w:tcBorders>
              <w:top w:val="single" w:sz="4" w:space="0" w:color="002060"/>
              <w:bottom w:val="single" w:sz="4" w:space="0" w:color="002060"/>
            </w:tcBorders>
            <w:noWrap/>
            <w:hideMark/>
          </w:tcPr>
          <w:p w14:paraId="1B5D9A47" w14:textId="77777777" w:rsidR="00D96A25" w:rsidRPr="0062711C" w:rsidRDefault="00D96A25" w:rsidP="00B51BEB">
            <w:pPr>
              <w:jc w:val="center"/>
              <w:rPr>
                <w:rFonts w:ascii="Calibri" w:hAnsi="Calibri" w:cs="Calibri"/>
                <w:color w:val="002060"/>
                <w:sz w:val="18"/>
                <w:szCs w:val="18"/>
                <w:lang w:val="sr-Cyrl-RS"/>
              </w:rPr>
            </w:pPr>
            <w:r w:rsidRPr="0062711C">
              <w:rPr>
                <w:rFonts w:ascii="Calibri" w:hAnsi="Calibri" w:cs="Calibri"/>
                <w:color w:val="002060"/>
                <w:sz w:val="18"/>
                <w:szCs w:val="18"/>
                <w:lang w:val="sr-Cyrl-RS"/>
              </w:rPr>
              <w:t>2027 п</w:t>
            </w:r>
          </w:p>
        </w:tc>
      </w:tr>
      <w:tr w:rsidR="00D96A25" w:rsidRPr="0062711C" w14:paraId="017A98CC"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single" w:sz="8" w:space="0" w:color="FFFFFF" w:themeColor="background1"/>
              <w:bottom w:val="nil"/>
            </w:tcBorders>
            <w:shd w:val="clear" w:color="auto" w:fill="E7E6E6" w:themeFill="background2"/>
            <w:noWrap/>
            <w:hideMark/>
          </w:tcPr>
          <w:p w14:paraId="69B0EAF3"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Дуг централне државе/БДП</w:t>
            </w:r>
          </w:p>
        </w:tc>
        <w:tc>
          <w:tcPr>
            <w:tcW w:w="492" w:type="pct"/>
            <w:tcBorders>
              <w:top w:val="single" w:sz="4" w:space="0" w:color="002060"/>
              <w:bottom w:val="nil"/>
            </w:tcBorders>
            <w:shd w:val="clear" w:color="auto" w:fill="E7E6E6" w:themeFill="background2"/>
            <w:hideMark/>
          </w:tcPr>
          <w:p w14:paraId="433249B7"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55,1</w:t>
            </w:r>
          </w:p>
        </w:tc>
        <w:tc>
          <w:tcPr>
            <w:tcW w:w="493" w:type="pct"/>
            <w:tcBorders>
              <w:top w:val="single" w:sz="4" w:space="0" w:color="002060"/>
              <w:bottom w:val="nil"/>
            </w:tcBorders>
            <w:shd w:val="clear" w:color="auto" w:fill="E7E6E6" w:themeFill="background2"/>
            <w:hideMark/>
          </w:tcPr>
          <w:p w14:paraId="7B42B85C"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52,0</w:t>
            </w:r>
          </w:p>
        </w:tc>
        <w:tc>
          <w:tcPr>
            <w:tcW w:w="493" w:type="pct"/>
            <w:tcBorders>
              <w:top w:val="single" w:sz="4" w:space="0" w:color="002060"/>
              <w:bottom w:val="nil"/>
            </w:tcBorders>
            <w:shd w:val="clear" w:color="auto" w:fill="E7E6E6" w:themeFill="background2"/>
            <w:noWrap/>
            <w:hideMark/>
          </w:tcPr>
          <w:p w14:paraId="49A79B2E"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51,5</w:t>
            </w:r>
          </w:p>
        </w:tc>
        <w:tc>
          <w:tcPr>
            <w:tcW w:w="493" w:type="pct"/>
            <w:tcBorders>
              <w:top w:val="single" w:sz="4" w:space="0" w:color="002060"/>
              <w:bottom w:val="nil"/>
            </w:tcBorders>
            <w:shd w:val="clear" w:color="auto" w:fill="E7E6E6" w:themeFill="background2"/>
            <w:noWrap/>
            <w:hideMark/>
          </w:tcPr>
          <w:p w14:paraId="3DF913FF"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50,9</w:t>
            </w:r>
          </w:p>
        </w:tc>
        <w:tc>
          <w:tcPr>
            <w:tcW w:w="493" w:type="pct"/>
            <w:tcBorders>
              <w:top w:val="single" w:sz="4" w:space="0" w:color="002060"/>
              <w:bottom w:val="nil"/>
            </w:tcBorders>
            <w:shd w:val="clear" w:color="auto" w:fill="E7E6E6" w:themeFill="background2"/>
            <w:noWrap/>
            <w:hideMark/>
          </w:tcPr>
          <w:p w14:paraId="1780E0C6"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50,3</w:t>
            </w:r>
          </w:p>
        </w:tc>
        <w:tc>
          <w:tcPr>
            <w:tcW w:w="493" w:type="pct"/>
            <w:tcBorders>
              <w:top w:val="single" w:sz="4" w:space="0" w:color="002060"/>
              <w:bottom w:val="nil"/>
            </w:tcBorders>
            <w:shd w:val="clear" w:color="auto" w:fill="E7E6E6" w:themeFill="background2"/>
            <w:noWrap/>
            <w:hideMark/>
          </w:tcPr>
          <w:p w14:paraId="463BDC2E"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49,7</w:t>
            </w:r>
          </w:p>
        </w:tc>
      </w:tr>
      <w:tr w:rsidR="00D96A25" w:rsidRPr="0062711C" w14:paraId="713C1DA5" w14:textId="77777777" w:rsidTr="00FF2460">
        <w:trPr>
          <w:trHeight w:val="265"/>
        </w:trPr>
        <w:tc>
          <w:tcPr>
            <w:tcW w:w="2043" w:type="pct"/>
            <w:tcBorders>
              <w:top w:val="nil"/>
              <w:left w:val="nil"/>
              <w:bottom w:val="nil"/>
              <w:right w:val="nil"/>
            </w:tcBorders>
            <w:noWrap/>
            <w:hideMark/>
          </w:tcPr>
          <w:p w14:paraId="5744738B"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Промена у односу на претходну год. у % БДП</w:t>
            </w:r>
          </w:p>
        </w:tc>
        <w:tc>
          <w:tcPr>
            <w:tcW w:w="492" w:type="pct"/>
            <w:tcBorders>
              <w:top w:val="nil"/>
              <w:left w:val="nil"/>
              <w:bottom w:val="nil"/>
              <w:right w:val="nil"/>
            </w:tcBorders>
            <w:hideMark/>
          </w:tcPr>
          <w:p w14:paraId="7811867E"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-1,4</w:t>
            </w:r>
          </w:p>
        </w:tc>
        <w:tc>
          <w:tcPr>
            <w:tcW w:w="493" w:type="pct"/>
            <w:tcBorders>
              <w:top w:val="nil"/>
              <w:left w:val="nil"/>
              <w:bottom w:val="nil"/>
              <w:right w:val="nil"/>
            </w:tcBorders>
            <w:hideMark/>
          </w:tcPr>
          <w:p w14:paraId="536183C3"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-3,1</w:t>
            </w:r>
          </w:p>
        </w:tc>
        <w:tc>
          <w:tcPr>
            <w:tcW w:w="493" w:type="pct"/>
            <w:tcBorders>
              <w:top w:val="nil"/>
              <w:left w:val="nil"/>
              <w:bottom w:val="nil"/>
              <w:right w:val="nil"/>
            </w:tcBorders>
            <w:noWrap/>
            <w:hideMark/>
          </w:tcPr>
          <w:p w14:paraId="5F08B092"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-0,5</w:t>
            </w:r>
          </w:p>
        </w:tc>
        <w:tc>
          <w:tcPr>
            <w:tcW w:w="493" w:type="pct"/>
            <w:tcBorders>
              <w:top w:val="nil"/>
              <w:left w:val="nil"/>
              <w:bottom w:val="nil"/>
              <w:right w:val="nil"/>
            </w:tcBorders>
            <w:noWrap/>
            <w:hideMark/>
          </w:tcPr>
          <w:p w14:paraId="6B6ABDFC"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-0,6</w:t>
            </w:r>
          </w:p>
        </w:tc>
        <w:tc>
          <w:tcPr>
            <w:tcW w:w="493" w:type="pct"/>
            <w:tcBorders>
              <w:top w:val="nil"/>
              <w:left w:val="nil"/>
              <w:bottom w:val="nil"/>
              <w:right w:val="nil"/>
            </w:tcBorders>
            <w:noWrap/>
            <w:hideMark/>
          </w:tcPr>
          <w:p w14:paraId="79074A6E"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-0,6</w:t>
            </w:r>
          </w:p>
        </w:tc>
        <w:tc>
          <w:tcPr>
            <w:tcW w:w="493" w:type="pct"/>
            <w:tcBorders>
              <w:top w:val="nil"/>
              <w:left w:val="nil"/>
              <w:bottom w:val="nil"/>
              <w:right w:val="nil"/>
            </w:tcBorders>
            <w:noWrap/>
            <w:hideMark/>
          </w:tcPr>
          <w:p w14:paraId="27BF4EBB"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-0,6</w:t>
            </w:r>
          </w:p>
        </w:tc>
      </w:tr>
      <w:tr w:rsidR="00D96A25" w:rsidRPr="0062711C" w14:paraId="068649CA"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noWrap/>
            <w:hideMark/>
          </w:tcPr>
          <w:p w14:paraId="2A4A283F"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Допринос примарног фискалног резултата</w:t>
            </w:r>
          </w:p>
        </w:tc>
        <w:tc>
          <w:tcPr>
            <w:tcW w:w="492" w:type="pct"/>
            <w:tcBorders>
              <w:top w:val="nil"/>
              <w:bottom w:val="nil"/>
            </w:tcBorders>
            <w:shd w:val="clear" w:color="auto" w:fill="E7E6E6" w:themeFill="background2"/>
            <w:hideMark/>
          </w:tcPr>
          <w:p w14:paraId="79F6C28A"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1,8</w:t>
            </w:r>
          </w:p>
        </w:tc>
        <w:tc>
          <w:tcPr>
            <w:tcW w:w="493" w:type="pct"/>
            <w:tcBorders>
              <w:top w:val="nil"/>
              <w:bottom w:val="nil"/>
            </w:tcBorders>
            <w:shd w:val="clear" w:color="auto" w:fill="E7E6E6" w:themeFill="background2"/>
            <w:hideMark/>
          </w:tcPr>
          <w:p w14:paraId="0A92172E"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0,3</w:t>
            </w:r>
          </w:p>
        </w:tc>
        <w:tc>
          <w:tcPr>
            <w:tcW w:w="493" w:type="pct"/>
            <w:tcBorders>
              <w:top w:val="nil"/>
              <w:bottom w:val="nil"/>
            </w:tcBorders>
            <w:shd w:val="clear" w:color="auto" w:fill="E7E6E6" w:themeFill="background2"/>
            <w:noWrap/>
            <w:hideMark/>
          </w:tcPr>
          <w:p w14:paraId="218FFAAF"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0,2</w:t>
            </w:r>
          </w:p>
        </w:tc>
        <w:tc>
          <w:tcPr>
            <w:tcW w:w="493" w:type="pct"/>
            <w:tcBorders>
              <w:top w:val="nil"/>
              <w:bottom w:val="nil"/>
            </w:tcBorders>
            <w:shd w:val="clear" w:color="auto" w:fill="E7E6E6" w:themeFill="background2"/>
            <w:noWrap/>
            <w:hideMark/>
          </w:tcPr>
          <w:p w14:paraId="2B90BD2E"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0,2</w:t>
            </w:r>
          </w:p>
        </w:tc>
        <w:tc>
          <w:tcPr>
            <w:tcW w:w="493" w:type="pct"/>
            <w:tcBorders>
              <w:top w:val="nil"/>
              <w:bottom w:val="nil"/>
            </w:tcBorders>
            <w:shd w:val="clear" w:color="auto" w:fill="E7E6E6" w:themeFill="background2"/>
            <w:noWrap/>
            <w:hideMark/>
          </w:tcPr>
          <w:p w14:paraId="6AB64AA0"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0,0</w:t>
            </w:r>
          </w:p>
        </w:tc>
        <w:tc>
          <w:tcPr>
            <w:tcW w:w="493" w:type="pct"/>
            <w:tcBorders>
              <w:top w:val="nil"/>
              <w:bottom w:val="nil"/>
            </w:tcBorders>
            <w:shd w:val="clear" w:color="auto" w:fill="E7E6E6" w:themeFill="background2"/>
            <w:noWrap/>
            <w:hideMark/>
          </w:tcPr>
          <w:p w14:paraId="6E59CFD0"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-0,1</w:t>
            </w:r>
          </w:p>
        </w:tc>
      </w:tr>
      <w:tr w:rsidR="00D96A25" w:rsidRPr="0062711C" w14:paraId="3C1A1339" w14:textId="77777777" w:rsidTr="00FF2460">
        <w:trPr>
          <w:trHeight w:val="265"/>
        </w:trPr>
        <w:tc>
          <w:tcPr>
            <w:tcW w:w="2043" w:type="pct"/>
            <w:tcBorders>
              <w:top w:val="nil"/>
              <w:left w:val="nil"/>
              <w:bottom w:val="nil"/>
              <w:right w:val="nil"/>
            </w:tcBorders>
            <w:noWrap/>
            <w:hideMark/>
          </w:tcPr>
          <w:p w14:paraId="68C97B29"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Допринос камата</w:t>
            </w:r>
          </w:p>
        </w:tc>
        <w:tc>
          <w:tcPr>
            <w:tcW w:w="492" w:type="pct"/>
            <w:tcBorders>
              <w:top w:val="nil"/>
              <w:left w:val="nil"/>
              <w:bottom w:val="nil"/>
              <w:right w:val="nil"/>
            </w:tcBorders>
            <w:hideMark/>
          </w:tcPr>
          <w:p w14:paraId="1486B741"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1,5</w:t>
            </w:r>
          </w:p>
        </w:tc>
        <w:tc>
          <w:tcPr>
            <w:tcW w:w="493" w:type="pct"/>
            <w:tcBorders>
              <w:top w:val="nil"/>
              <w:left w:val="nil"/>
              <w:bottom w:val="nil"/>
              <w:right w:val="nil"/>
            </w:tcBorders>
            <w:hideMark/>
          </w:tcPr>
          <w:p w14:paraId="0F30E68C"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1,8</w:t>
            </w:r>
          </w:p>
        </w:tc>
        <w:tc>
          <w:tcPr>
            <w:tcW w:w="493" w:type="pct"/>
            <w:tcBorders>
              <w:top w:val="nil"/>
              <w:left w:val="nil"/>
              <w:bottom w:val="nil"/>
              <w:right w:val="nil"/>
            </w:tcBorders>
            <w:noWrap/>
            <w:hideMark/>
          </w:tcPr>
          <w:p w14:paraId="62094998"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2,1</w:t>
            </w:r>
          </w:p>
        </w:tc>
        <w:tc>
          <w:tcPr>
            <w:tcW w:w="493" w:type="pct"/>
            <w:tcBorders>
              <w:top w:val="nil"/>
              <w:left w:val="nil"/>
              <w:bottom w:val="nil"/>
              <w:right w:val="nil"/>
            </w:tcBorders>
            <w:noWrap/>
            <w:hideMark/>
          </w:tcPr>
          <w:p w14:paraId="19594A07"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2,3</w:t>
            </w:r>
          </w:p>
        </w:tc>
        <w:tc>
          <w:tcPr>
            <w:tcW w:w="493" w:type="pct"/>
            <w:tcBorders>
              <w:top w:val="nil"/>
              <w:left w:val="nil"/>
              <w:bottom w:val="nil"/>
              <w:right w:val="nil"/>
            </w:tcBorders>
            <w:noWrap/>
            <w:hideMark/>
          </w:tcPr>
          <w:p w14:paraId="1179A10C"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2,3</w:t>
            </w:r>
          </w:p>
        </w:tc>
        <w:tc>
          <w:tcPr>
            <w:tcW w:w="493" w:type="pct"/>
            <w:tcBorders>
              <w:top w:val="nil"/>
              <w:left w:val="nil"/>
              <w:bottom w:val="nil"/>
              <w:right w:val="nil"/>
            </w:tcBorders>
            <w:noWrap/>
            <w:hideMark/>
          </w:tcPr>
          <w:p w14:paraId="02240D2C"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2,4</w:t>
            </w:r>
          </w:p>
        </w:tc>
      </w:tr>
      <w:tr w:rsidR="00D96A25" w:rsidRPr="0062711C" w14:paraId="5E906839" w14:textId="77777777" w:rsidTr="00FF2460">
        <w:trPr>
          <w:cnfStyle w:val="000000100000" w:firstRow="0" w:lastRow="0" w:firstColumn="0" w:lastColumn="0" w:oddVBand="0" w:evenVBand="0" w:oddHBand="1" w:evenHBand="0" w:firstRowFirstColumn="0" w:firstRowLastColumn="0" w:lastRowFirstColumn="0" w:lastRowLastColumn="0"/>
          <w:trHeight w:val="265"/>
        </w:trPr>
        <w:tc>
          <w:tcPr>
            <w:tcW w:w="2043" w:type="pct"/>
            <w:tcBorders>
              <w:top w:val="nil"/>
              <w:bottom w:val="nil"/>
            </w:tcBorders>
            <w:shd w:val="clear" w:color="auto" w:fill="E7E6E6" w:themeFill="background2"/>
            <w:hideMark/>
          </w:tcPr>
          <w:p w14:paraId="4F603B10"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Допринос раста номиналног БДП</w:t>
            </w:r>
          </w:p>
        </w:tc>
        <w:tc>
          <w:tcPr>
            <w:tcW w:w="492" w:type="pct"/>
            <w:tcBorders>
              <w:top w:val="nil"/>
              <w:bottom w:val="nil"/>
            </w:tcBorders>
            <w:shd w:val="clear" w:color="auto" w:fill="E7E6E6" w:themeFill="background2"/>
            <w:hideMark/>
          </w:tcPr>
          <w:p w14:paraId="39C6BEFD"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-6,5</w:t>
            </w:r>
          </w:p>
        </w:tc>
        <w:tc>
          <w:tcPr>
            <w:tcW w:w="493" w:type="pct"/>
            <w:tcBorders>
              <w:top w:val="nil"/>
              <w:bottom w:val="nil"/>
            </w:tcBorders>
            <w:shd w:val="clear" w:color="auto" w:fill="E7E6E6" w:themeFill="background2"/>
            <w:hideMark/>
          </w:tcPr>
          <w:p w14:paraId="1899B226"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-7,2</w:t>
            </w:r>
          </w:p>
        </w:tc>
        <w:tc>
          <w:tcPr>
            <w:tcW w:w="493" w:type="pct"/>
            <w:tcBorders>
              <w:top w:val="nil"/>
              <w:bottom w:val="nil"/>
            </w:tcBorders>
            <w:shd w:val="clear" w:color="auto" w:fill="E7E6E6" w:themeFill="background2"/>
            <w:noWrap/>
            <w:hideMark/>
          </w:tcPr>
          <w:p w14:paraId="5B542528"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-4,6</w:t>
            </w:r>
          </w:p>
        </w:tc>
        <w:tc>
          <w:tcPr>
            <w:tcW w:w="493" w:type="pct"/>
            <w:tcBorders>
              <w:top w:val="nil"/>
              <w:bottom w:val="nil"/>
            </w:tcBorders>
            <w:shd w:val="clear" w:color="auto" w:fill="E7E6E6" w:themeFill="background2"/>
            <w:noWrap/>
            <w:hideMark/>
          </w:tcPr>
          <w:p w14:paraId="46226911"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-3,7</w:t>
            </w:r>
          </w:p>
        </w:tc>
        <w:tc>
          <w:tcPr>
            <w:tcW w:w="493" w:type="pct"/>
            <w:tcBorders>
              <w:top w:val="nil"/>
              <w:bottom w:val="nil"/>
            </w:tcBorders>
            <w:shd w:val="clear" w:color="auto" w:fill="E7E6E6" w:themeFill="background2"/>
            <w:noWrap/>
            <w:hideMark/>
          </w:tcPr>
          <w:p w14:paraId="31257C7B"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-3,5</w:t>
            </w:r>
          </w:p>
        </w:tc>
        <w:tc>
          <w:tcPr>
            <w:tcW w:w="493" w:type="pct"/>
            <w:tcBorders>
              <w:top w:val="nil"/>
              <w:bottom w:val="nil"/>
            </w:tcBorders>
            <w:shd w:val="clear" w:color="auto" w:fill="E7E6E6" w:themeFill="background2"/>
            <w:noWrap/>
            <w:hideMark/>
          </w:tcPr>
          <w:p w14:paraId="06254338"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-3,4</w:t>
            </w:r>
          </w:p>
        </w:tc>
      </w:tr>
      <w:tr w:rsidR="00D96A25" w:rsidRPr="0062711C" w14:paraId="5974A849" w14:textId="77777777" w:rsidTr="00FF2460">
        <w:trPr>
          <w:trHeight w:val="265"/>
        </w:trPr>
        <w:tc>
          <w:tcPr>
            <w:tcW w:w="2043" w:type="pct"/>
            <w:tcBorders>
              <w:top w:val="nil"/>
              <w:left w:val="nil"/>
              <w:bottom w:val="single" w:sz="4" w:space="0" w:color="002060"/>
              <w:right w:val="nil"/>
            </w:tcBorders>
            <w:hideMark/>
          </w:tcPr>
          <w:p w14:paraId="64FB4B57" w14:textId="77777777" w:rsidR="00D96A25" w:rsidRPr="0062711C" w:rsidRDefault="00D96A25" w:rsidP="00B51BEB">
            <w:pPr>
              <w:spacing w:line="240" w:lineRule="auto"/>
              <w:rPr>
                <w:rFonts w:ascii="Calibri" w:hAnsi="Calibri" w:cs="Calibri"/>
                <w:bCs/>
                <w:color w:val="002060"/>
                <w:sz w:val="18"/>
                <w:szCs w:val="18"/>
                <w:lang w:val="sr-Cyrl-RS"/>
              </w:rPr>
            </w:pPr>
            <w:r w:rsidRPr="0062711C">
              <w:rPr>
                <w:rFonts w:ascii="Calibri" w:hAnsi="Calibri" w:cs="Calibri"/>
                <w:bCs/>
                <w:color w:val="002060"/>
                <w:sz w:val="18"/>
                <w:szCs w:val="18"/>
                <w:lang w:val="sr-Cyrl-RS"/>
              </w:rPr>
              <w:t>Допринос осталих фактора</w:t>
            </w:r>
          </w:p>
        </w:tc>
        <w:tc>
          <w:tcPr>
            <w:tcW w:w="492" w:type="pct"/>
            <w:tcBorders>
              <w:top w:val="nil"/>
              <w:left w:val="nil"/>
              <w:bottom w:val="single" w:sz="4" w:space="0" w:color="002060"/>
              <w:right w:val="nil"/>
            </w:tcBorders>
            <w:hideMark/>
          </w:tcPr>
          <w:p w14:paraId="17863362"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1,8</w:t>
            </w:r>
          </w:p>
        </w:tc>
        <w:tc>
          <w:tcPr>
            <w:tcW w:w="493" w:type="pct"/>
            <w:tcBorders>
              <w:top w:val="nil"/>
              <w:left w:val="nil"/>
              <w:bottom w:val="single" w:sz="4" w:space="0" w:color="002060"/>
              <w:right w:val="nil"/>
            </w:tcBorders>
            <w:hideMark/>
          </w:tcPr>
          <w:p w14:paraId="126DE3DD"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1,9</w:t>
            </w:r>
          </w:p>
        </w:tc>
        <w:tc>
          <w:tcPr>
            <w:tcW w:w="493" w:type="pct"/>
            <w:tcBorders>
              <w:top w:val="nil"/>
              <w:left w:val="nil"/>
              <w:bottom w:val="single" w:sz="4" w:space="0" w:color="002060"/>
              <w:right w:val="nil"/>
            </w:tcBorders>
            <w:noWrap/>
            <w:hideMark/>
          </w:tcPr>
          <w:p w14:paraId="1CCB3DAD"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1,9</w:t>
            </w:r>
          </w:p>
        </w:tc>
        <w:tc>
          <w:tcPr>
            <w:tcW w:w="493" w:type="pct"/>
            <w:tcBorders>
              <w:top w:val="nil"/>
              <w:left w:val="nil"/>
              <w:bottom w:val="single" w:sz="4" w:space="0" w:color="002060"/>
              <w:right w:val="nil"/>
            </w:tcBorders>
            <w:noWrap/>
            <w:hideMark/>
          </w:tcPr>
          <w:p w14:paraId="3C09C5A7"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0,5</w:t>
            </w:r>
          </w:p>
        </w:tc>
        <w:tc>
          <w:tcPr>
            <w:tcW w:w="493" w:type="pct"/>
            <w:tcBorders>
              <w:top w:val="nil"/>
              <w:left w:val="nil"/>
              <w:bottom w:val="single" w:sz="4" w:space="0" w:color="002060"/>
              <w:right w:val="nil"/>
            </w:tcBorders>
            <w:noWrap/>
            <w:hideMark/>
          </w:tcPr>
          <w:p w14:paraId="5DF06D29"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0,6</w:t>
            </w:r>
          </w:p>
        </w:tc>
        <w:tc>
          <w:tcPr>
            <w:tcW w:w="493" w:type="pct"/>
            <w:tcBorders>
              <w:top w:val="nil"/>
              <w:left w:val="nil"/>
              <w:bottom w:val="single" w:sz="4" w:space="0" w:color="002060"/>
              <w:right w:val="nil"/>
            </w:tcBorders>
            <w:noWrap/>
            <w:hideMark/>
          </w:tcPr>
          <w:p w14:paraId="6B98A166" w14:textId="77777777" w:rsidR="00D96A25" w:rsidRPr="0062711C" w:rsidRDefault="00D96A25" w:rsidP="00B51BEB">
            <w:pPr>
              <w:spacing w:line="240" w:lineRule="auto"/>
              <w:jc w:val="center"/>
              <w:rPr>
                <w:rFonts w:ascii="Calibri" w:hAnsi="Calibri" w:cs="Calibri"/>
                <w:bCs/>
                <w:color w:val="002060"/>
                <w:sz w:val="18"/>
                <w:szCs w:val="18"/>
                <w:lang w:val="sr-Cyrl-RS"/>
              </w:rPr>
            </w:pPr>
            <w:r w:rsidRPr="0062711C">
              <w:rPr>
                <w:rFonts w:ascii="Calibri" w:hAnsi="Calibri" w:cs="Calibri"/>
                <w:bCs/>
                <w:color w:val="002060"/>
                <w:sz w:val="18"/>
                <w:szCs w:val="18"/>
                <w:lang w:val="sr-Cyrl-RS"/>
              </w:rPr>
              <w:t>0,6</w:t>
            </w:r>
          </w:p>
        </w:tc>
      </w:tr>
    </w:tbl>
    <w:p w14:paraId="6B68D774" w14:textId="77777777" w:rsidR="00D96A25" w:rsidRPr="0062711C" w:rsidRDefault="00D96A25" w:rsidP="00B51BEB">
      <w:pPr>
        <w:rPr>
          <w:lang w:val="sr-Cyrl-RS"/>
        </w:rPr>
      </w:pPr>
    </w:p>
    <w:p w14:paraId="301E5C4D" w14:textId="77777777" w:rsidR="00D96A25" w:rsidRPr="0062711C" w:rsidRDefault="00D96A25" w:rsidP="00C91F83">
      <w:pPr>
        <w:spacing w:line="256" w:lineRule="auto"/>
        <w:jc w:val="center"/>
        <w:rPr>
          <w:rFonts w:ascii="Calibri" w:eastAsia="Calibri" w:hAnsi="Calibri" w:cs="Times New Roman"/>
          <w:b/>
          <w:color w:val="002060"/>
          <w:lang w:val="sr-Cyrl-RS"/>
        </w:rPr>
        <w:sectPr w:rsidR="00D96A25" w:rsidRPr="0062711C" w:rsidSect="00F45C01">
          <w:type w:val="continuous"/>
          <w:pgSz w:w="12240" w:h="15840" w:code="1"/>
          <w:pgMar w:top="1440" w:right="1440" w:bottom="1440" w:left="1440" w:header="720" w:footer="720" w:gutter="0"/>
          <w:cols w:space="720"/>
          <w:titlePg/>
          <w:docGrid w:linePitch="360"/>
        </w:sectPr>
      </w:pPr>
    </w:p>
    <w:p w14:paraId="65B044ED" w14:textId="6235FCA4" w:rsidR="00D96A25" w:rsidRPr="0062711C" w:rsidRDefault="00D96A25" w:rsidP="008E3631">
      <w:pPr>
        <w:rPr>
          <w:lang w:val="sr-Cyrl-RS"/>
        </w:rPr>
      </w:pPr>
      <w:r w:rsidRPr="0062711C">
        <w:rPr>
          <w:rFonts w:ascii="Calibri" w:eastAsia="Calibri" w:hAnsi="Calibri" w:cs="Times New Roman"/>
          <w:b/>
          <w:color w:val="002060"/>
          <w:lang w:val="sr-Cyrl-RS"/>
        </w:rPr>
        <w:t>Утицај промене курса динара према корпи валута из портфолија јавног дуга централног нивоа државе на промену рација јавни дуг – БДП</w:t>
      </w:r>
    </w:p>
    <w:p w14:paraId="365118AE" w14:textId="77777777" w:rsidR="00D96A25" w:rsidRPr="0062711C" w:rsidRDefault="00D96A25" w:rsidP="00C91F83">
      <w:pPr>
        <w:spacing w:line="256" w:lineRule="auto"/>
        <w:rPr>
          <w:rFonts w:ascii="Calibri" w:eastAsia="Calibri" w:hAnsi="Calibri" w:cs="Times New Roman"/>
          <w:b/>
          <w:lang w:val="sr-Cyrl-RS"/>
        </w:rPr>
      </w:pPr>
      <w:r w:rsidRPr="0062711C">
        <w:rPr>
          <w:noProof/>
          <w:lang w:val="en-GB" w:eastAsia="en-GB"/>
        </w:rPr>
        <w:drawing>
          <wp:inline distT="0" distB="0" distL="0" distR="0" wp14:anchorId="03011C4D" wp14:editId="38F0EF0E">
            <wp:extent cx="2743200" cy="1817151"/>
            <wp:effectExtent l="0" t="0" r="0" b="0"/>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9"/>
              </a:graphicData>
            </a:graphic>
          </wp:inline>
        </w:drawing>
      </w:r>
    </w:p>
    <w:p w14:paraId="602CAA38"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На графикону је представљено кретање рација јавног дуга централног нивоа државе и БДП у зависности од промене курса динара према одређеној корпи валута. Приказана је основна пројекција са алтернативним сценаријима у зависности од апрецијације, односно депрецијације курса динара у распону од 10% апрецијације до 10% депрецијације динара у односу на корпу валута. Применом наведених сценарија може се видети да би се рацио за 2027. годину кретао у распону од 45,8% до 53,7%, док би за основни сценарио био на нивоу од 49,7%.</w:t>
      </w:r>
    </w:p>
    <w:p w14:paraId="2C8B0C79" w14:textId="77777777" w:rsidR="00D96A25" w:rsidRPr="0062711C" w:rsidRDefault="00D96A25" w:rsidP="00C91F83">
      <w:pPr>
        <w:rPr>
          <w:rFonts w:ascii="Calibri" w:eastAsia="Calibri" w:hAnsi="Calibri" w:cs="Calibri"/>
          <w:bCs/>
          <w:spacing w:val="-2"/>
          <w:szCs w:val="72"/>
          <w:lang w:val="sr-Cyrl-RS"/>
        </w:rPr>
      </w:pPr>
      <w:r w:rsidRPr="0062711C">
        <w:rPr>
          <w:rFonts w:ascii="Calibri" w:eastAsia="Calibri" w:hAnsi="Calibri" w:cs="Calibri"/>
          <w:bCs/>
          <w:spacing w:val="-2"/>
          <w:szCs w:val="72"/>
          <w:lang w:val="sr-Cyrl-RS"/>
        </w:rPr>
        <w:t>Главни ризици за остварење Стратегије, поред горе наведених фактора који су квантификовани, су и стабилност макроекономске ситуације у Републици Србији, потребе за додатним задуживањем како би се регулисали дугови на другим нивоима власти, јавном сектору и финансијском сектору Републике Србије и активирање датих гаранција.</w:t>
      </w:r>
    </w:p>
    <w:p w14:paraId="6D6A4789"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 xml:space="preserve">Важно је напоменути да смањењу јавног дуга у односу на БДП доприноси и адекватна контрола </w:t>
      </w:r>
      <w:r w:rsidRPr="0062711C">
        <w:rPr>
          <w:rFonts w:ascii="Calibri" w:eastAsia="Calibri" w:hAnsi="Calibri" w:cs="Calibri"/>
          <w:bCs/>
          <w:szCs w:val="72"/>
          <w:lang w:val="sr-Cyrl-RS"/>
        </w:rPr>
        <w:t>издавања гаранција и унапређење процеса приоритизације инвестиционих пројеката, који се финансирају из кредитних линија мултилатералних и билатералних кредитора.</w:t>
      </w:r>
    </w:p>
    <w:p w14:paraId="21473AD9" w14:textId="77777777" w:rsidR="00D96A25" w:rsidRPr="0062711C" w:rsidRDefault="00D96A25" w:rsidP="00C91F83">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Дугорочни стратешки оквир за управљање јавним дугом</w:t>
      </w:r>
    </w:p>
    <w:p w14:paraId="44A955D9" w14:textId="77777777" w:rsidR="00D96A25" w:rsidRPr="0062711C" w:rsidRDefault="00D96A25" w:rsidP="00C91F83">
      <w:pPr>
        <w:rPr>
          <w:rFonts w:ascii="Calibri" w:eastAsia="Calibri" w:hAnsi="Calibri" w:cs="Calibri"/>
          <w:bCs/>
          <w:szCs w:val="72"/>
          <w:lang w:val="sr-Cyrl-RS"/>
        </w:rPr>
      </w:pPr>
      <w:r w:rsidRPr="0062711C">
        <w:rPr>
          <w:rFonts w:ascii="Calibri" w:eastAsia="Calibri" w:hAnsi="Calibri" w:cs="Calibri"/>
          <w:bCs/>
          <w:szCs w:val="72"/>
          <w:lang w:val="sr-Cyrl-RS"/>
        </w:rPr>
        <w:t>Основни стратешки циљеви којима је потребно тежити у наредном дугорочном периоду, како би се минимизирали ризици повећања задужености и трошкова сервисирања јавног дуга су:</w:t>
      </w:r>
    </w:p>
    <w:p w14:paraId="2F4F3675"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учешће дуга деноминованог у динарима износи најмање 30% укупног јавног дуга на средњи рок;</w:t>
      </w:r>
    </w:p>
    <w:p w14:paraId="0CE8EB11"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учешће дуга деноминованог у еврима у јавном дугу износи најмање 65% дуга у ино-валути, укључујући будућа задуживања и трансакције;</w:t>
      </w:r>
    </w:p>
    <w:p w14:paraId="5E8EA65E"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учешће дуга са варијабилном каматном стопом износи испод 20% у средњорочном интервалу;</w:t>
      </w:r>
    </w:p>
    <w:p w14:paraId="21915105"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просечно време до промене каматне стопе (АТR) буде одржавано на нивоу од минимум 5,0 година, у складу са горе наведеном мером постепеног смањивања учешћа дуга са варијабилним каматним стопама;</w:t>
      </w:r>
    </w:p>
    <w:p w14:paraId="5EDE03BB"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просечна пондерисана каматна стопа (WAIR) на јавни дуг у домаћој валути не прелази 6,00%;</w:t>
      </w:r>
    </w:p>
    <w:p w14:paraId="064211C0"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учешће краткорочног дуга (чије је доспеће до годину дана) износи до 20% укупног јавног дуга;</w:t>
      </w:r>
    </w:p>
    <w:p w14:paraId="2FAFAD0C" w14:textId="77777777" w:rsidR="00D96A25" w:rsidRPr="0062711C" w:rsidRDefault="00D96A25" w:rsidP="00DB0157">
      <w:pPr>
        <w:numPr>
          <w:ilvl w:val="0"/>
          <w:numId w:val="4"/>
        </w:numPr>
        <w:ind w:left="142" w:hanging="142"/>
        <w:contextualSpacing/>
        <w:rPr>
          <w:rFonts w:ascii="Calibri" w:eastAsia="Calibri" w:hAnsi="Calibri" w:cs="Calibri"/>
          <w:bCs/>
          <w:szCs w:val="72"/>
          <w:lang w:val="sr-Cyrl-RS"/>
        </w:rPr>
      </w:pPr>
      <w:r w:rsidRPr="0062711C">
        <w:rPr>
          <w:rFonts w:ascii="Calibri" w:eastAsia="Calibri" w:hAnsi="Calibri" w:cs="Calibri"/>
          <w:bCs/>
          <w:szCs w:val="72"/>
          <w:lang w:val="sr-Cyrl-RS"/>
        </w:rPr>
        <w:t>да просечно време до доспећа (АТМ) унутрашњег дуга буде на нивоу од најмање пет година на средњи рок;</w:t>
      </w:r>
    </w:p>
    <w:p w14:paraId="4EC48676" w14:textId="68179D02" w:rsidR="00D96A25" w:rsidRPr="0062711C" w:rsidRDefault="00D96A25" w:rsidP="0047671B">
      <w:pPr>
        <w:numPr>
          <w:ilvl w:val="0"/>
          <w:numId w:val="4"/>
        </w:numPr>
        <w:ind w:left="142" w:hanging="142"/>
        <w:rPr>
          <w:rFonts w:ascii="Calibri" w:eastAsia="Calibri" w:hAnsi="Calibri" w:cs="Calibri"/>
          <w:bCs/>
          <w:szCs w:val="72"/>
          <w:lang w:val="sr-Cyrl-RS"/>
        </w:rPr>
        <w:sectPr w:rsidR="00D96A25" w:rsidRPr="0062711C" w:rsidSect="00F45C01">
          <w:type w:val="continuous"/>
          <w:pgSz w:w="12240" w:h="15840" w:code="1"/>
          <w:pgMar w:top="1440" w:right="1440" w:bottom="1440" w:left="1440" w:header="720" w:footer="720" w:gutter="0"/>
          <w:cols w:num="2" w:space="720"/>
          <w:titlePg/>
          <w:docGrid w:linePitch="360"/>
        </w:sectPr>
      </w:pPr>
      <w:r w:rsidRPr="0062711C">
        <w:rPr>
          <w:rFonts w:ascii="Calibri" w:eastAsia="Calibri" w:hAnsi="Calibri" w:cs="Calibri"/>
          <w:bCs/>
          <w:szCs w:val="72"/>
          <w:lang w:val="sr-Cyrl-RS"/>
        </w:rPr>
        <w:t>да се просечно време до доспећа (АТМ) спољног дуга одржава на нивоу од 8,0 ± 0,5 година у истом временском хоризонту.</w:t>
      </w:r>
    </w:p>
    <w:p w14:paraId="6A08F417" w14:textId="3F95DB55" w:rsidR="00D96A25" w:rsidRPr="0062711C" w:rsidRDefault="00D96A25" w:rsidP="006D7B5B">
      <w:pPr>
        <w:jc w:val="center"/>
        <w:rPr>
          <w:lang w:val="sr-Cyrl-RS"/>
        </w:rPr>
      </w:pPr>
      <w:r w:rsidRPr="0062711C">
        <w:rPr>
          <w:rFonts w:ascii="Calibri" w:eastAsia="Calibri" w:hAnsi="Calibri" w:cs="Times New Roman"/>
          <w:b/>
          <w:color w:val="002060"/>
          <w:spacing w:val="-2"/>
          <w:lang w:val="sr-Cyrl-RS"/>
        </w:rPr>
        <w:lastRenderedPageBreak/>
        <w:t xml:space="preserve">Кретање приноса до доспећа динарских </w:t>
      </w:r>
      <w:r w:rsidRPr="0062711C">
        <w:rPr>
          <w:rFonts w:ascii="Calibri" w:eastAsia="Calibri" w:hAnsi="Calibri" w:cs="Calibri"/>
          <w:b/>
          <w:bCs/>
          <w:color w:val="002060"/>
          <w:spacing w:val="-2"/>
          <w:szCs w:val="72"/>
          <w:lang w:val="sr-Cyrl-RS"/>
        </w:rPr>
        <w:t>„</w:t>
      </w:r>
      <w:r w:rsidRPr="0062711C">
        <w:rPr>
          <w:rFonts w:ascii="Calibri" w:eastAsia="Calibri" w:hAnsi="Calibri" w:cs="Times New Roman"/>
          <w:b/>
          <w:color w:val="002060"/>
          <w:spacing w:val="-2"/>
          <w:lang w:val="sr-Cyrl-RS"/>
        </w:rPr>
        <w:t>бенчмарк” емисија укључених у GBI-EM Global Diversified Index на секундарном трговању</w:t>
      </w:r>
    </w:p>
    <w:p w14:paraId="74890565" w14:textId="77777777" w:rsidR="00D96A25" w:rsidRPr="0062711C" w:rsidRDefault="00D96A25" w:rsidP="00B51BEB">
      <w:pPr>
        <w:spacing w:after="240" w:line="256" w:lineRule="auto"/>
        <w:jc w:val="center"/>
        <w:rPr>
          <w:rFonts w:ascii="Calibri" w:eastAsia="Calibri" w:hAnsi="Calibri" w:cs="Times New Roman"/>
          <w:b/>
          <w:color w:val="002060"/>
          <w:spacing w:val="-2"/>
          <w:lang w:val="sr-Cyrl-RS"/>
        </w:rPr>
      </w:pPr>
      <w:r w:rsidRPr="0062711C">
        <w:rPr>
          <w:noProof/>
          <w:lang w:val="sr-Cyrl-RS"/>
        </w:rPr>
        <w:fldChar w:fldCharType="begin"/>
      </w:r>
      <w:r w:rsidRPr="0062711C">
        <w:rPr>
          <w:noProof/>
          <w:lang w:val="sr-Cyrl-RS"/>
        </w:rPr>
        <w:instrText xml:space="preserve"> LINK Excel.Sheet.12 "C:\\Users\\Admin\\Desktop\\Razni dokumenti\\Za Fiskalnu Strategiju\\Chart in Microsoft Word.xlsx!Benchmark stope na sekundarnom![Chart in Microsoft Word.xlsx]Benchmark stope na sekundarnom Chart 1" "" \a \p </w:instrText>
      </w:r>
      <w:r w:rsidRPr="0062711C">
        <w:rPr>
          <w:noProof/>
          <w:lang w:val="sr-Cyrl-RS"/>
        </w:rPr>
        <w:fldChar w:fldCharType="separate"/>
      </w:r>
      <w:r w:rsidR="00000000">
        <w:rPr>
          <w:noProof/>
          <w:lang w:val="sr-Cyrl-RS"/>
        </w:rPr>
        <w:object w:dxaOrig="7455" w:dyaOrig="5521" w14:anchorId="167A23A1">
          <v:shape id="_x0000_i1035" type="#_x0000_t75" style="width:197.25pt;height:168.75pt" o:ole="" o:preferrelative="f">
            <v:imagedata r:id="rId230" o:title=""/>
            <o:lock v:ext="edit" aspectratio="f"/>
          </v:shape>
        </w:object>
      </w:r>
      <w:r w:rsidRPr="0062711C">
        <w:rPr>
          <w:noProof/>
          <w:lang w:val="sr-Cyrl-RS"/>
        </w:rPr>
        <w:fldChar w:fldCharType="end"/>
      </w:r>
    </w:p>
    <w:p w14:paraId="47A0FB3D" w14:textId="77777777" w:rsidR="00D96A25" w:rsidRPr="0062711C" w:rsidRDefault="00D96A25" w:rsidP="00B51BEB">
      <w:pPr>
        <w:spacing w:after="40" w:line="256" w:lineRule="auto"/>
        <w:jc w:val="center"/>
        <w:rPr>
          <w:rFonts w:ascii="Calibri" w:eastAsia="Calibri" w:hAnsi="Calibri" w:cs="Times New Roman"/>
          <w:b/>
          <w:color w:val="002060"/>
          <w:spacing w:val="-2"/>
          <w:lang w:val="sr-Cyrl-RS"/>
        </w:rPr>
      </w:pPr>
      <w:r w:rsidRPr="0062711C">
        <w:rPr>
          <w:rFonts w:ascii="Calibri" w:eastAsia="Calibri" w:hAnsi="Calibri" w:cs="Times New Roman"/>
          <w:b/>
          <w:bCs/>
          <w:color w:val="002060"/>
          <w:lang w:val="sr-Cyrl-RS"/>
        </w:rPr>
        <w:t xml:space="preserve">Просечно време до доспећа (АТМ) државних хартија од вредности емитованих на домаћем финансијском тржишту у периоду </w:t>
      </w:r>
      <w:r w:rsidRPr="0062711C">
        <w:rPr>
          <w:rFonts w:ascii="Calibri" w:eastAsia="Calibri" w:hAnsi="Calibri" w:cs="Times New Roman"/>
          <w:b/>
          <w:bCs/>
          <w:color w:val="002060"/>
          <w:lang w:val="sr-Cyrl-RS"/>
        </w:rPr>
        <w:br w:type="textWrapping" w:clear="all"/>
        <w:t>31. март 2018.–</w:t>
      </w:r>
      <w:r w:rsidRPr="0062711C">
        <w:rPr>
          <w:rFonts w:ascii="Calibri" w:eastAsia="Calibri" w:hAnsi="Calibri" w:cs="Times New Roman"/>
          <w:b/>
          <w:color w:val="002060"/>
          <w:spacing w:val="-2"/>
          <w:lang w:val="sr-Cyrl-RS"/>
        </w:rPr>
        <w:t>31. март 2024. године</w:t>
      </w:r>
    </w:p>
    <w:p w14:paraId="05D31D45" w14:textId="77777777" w:rsidR="00D96A25" w:rsidRPr="0062711C" w:rsidRDefault="00D96A25" w:rsidP="00B51BEB">
      <w:pPr>
        <w:spacing w:after="40" w:line="256" w:lineRule="auto"/>
        <w:rPr>
          <w:rFonts w:ascii="Calibri" w:eastAsia="Calibri" w:hAnsi="Calibri" w:cs="Times New Roman"/>
          <w:b/>
          <w:color w:val="002060"/>
          <w:spacing w:val="-2"/>
          <w:lang w:val="sr-Cyrl-RS"/>
        </w:rPr>
      </w:pPr>
    </w:p>
    <w:p w14:paraId="0F1685D5" w14:textId="77777777" w:rsidR="00D96A25" w:rsidRPr="0062711C" w:rsidRDefault="00D96A25" w:rsidP="00B51BEB">
      <w:pPr>
        <w:jc w:val="center"/>
        <w:rPr>
          <w:lang w:val="sr-Cyrl-RS"/>
        </w:rPr>
      </w:pPr>
      <w:r w:rsidRPr="0062711C">
        <w:rPr>
          <w:lang w:val="sr-Cyrl-RS"/>
        </w:rPr>
        <w:fldChar w:fldCharType="begin"/>
      </w:r>
      <w:r w:rsidRPr="0062711C">
        <w:rPr>
          <w:lang w:val="sr-Cyrl-RS"/>
        </w:rPr>
        <w:instrText xml:space="preserve"> LINK Excel.Sheet.12 "C:\\Users\\Admin\\Desktop\\Razni dokumenti\\Za Fiskalnu Strategiju\\ATM_po mesecima.xlsx!Sheet1![ATM_po mesecima.xlsx]Sheet1 Chart 1" "" \a \p  \* MERGEFORMAT </w:instrText>
      </w:r>
      <w:r w:rsidRPr="0062711C">
        <w:rPr>
          <w:lang w:val="sr-Cyrl-RS"/>
        </w:rPr>
        <w:fldChar w:fldCharType="separate"/>
      </w:r>
      <w:r w:rsidR="00000000">
        <w:rPr>
          <w:lang w:val="sr-Cyrl-RS"/>
        </w:rPr>
        <w:object w:dxaOrig="6210" w:dyaOrig="5190" w14:anchorId="66B59108">
          <v:shape id="_x0000_i1036" type="#_x0000_t75" style="width:194.25pt;height:171pt" o:ole="" o:preferrelative="f">
            <v:imagedata r:id="rId231" o:title=""/>
          </v:shape>
        </w:object>
      </w:r>
      <w:r w:rsidRPr="0062711C">
        <w:rPr>
          <w:lang w:val="sr-Cyrl-RS"/>
        </w:rPr>
        <w:fldChar w:fldCharType="end"/>
      </w:r>
    </w:p>
    <w:p w14:paraId="6E1904D5" w14:textId="77777777" w:rsidR="00D96A25" w:rsidRPr="0062711C" w:rsidRDefault="00D96A25" w:rsidP="00B51BEB">
      <w:pPr>
        <w:spacing w:line="256" w:lineRule="auto"/>
        <w:rPr>
          <w:rFonts w:ascii="Calibri" w:eastAsia="Calibri" w:hAnsi="Calibri" w:cs="Times New Roman"/>
          <w:b/>
          <w:color w:val="2F5496" w:themeColor="accent1" w:themeShade="BF"/>
          <w:sz w:val="22"/>
          <w:lang w:val="sr-Cyrl-RS"/>
        </w:rPr>
      </w:pPr>
      <w:r w:rsidRPr="0062711C">
        <w:rPr>
          <w:rFonts w:ascii="Calibri" w:eastAsia="Calibri" w:hAnsi="Calibri" w:cs="Times New Roman"/>
          <w:b/>
          <w:color w:val="2F5496" w:themeColor="accent1" w:themeShade="BF"/>
          <w:sz w:val="22"/>
          <w:lang w:val="sr-Cyrl-RS"/>
        </w:rPr>
        <w:t>Мере за унапређење тржишта динарских хартија од вредности у периоду 2024–2027. године</w:t>
      </w:r>
    </w:p>
    <w:p w14:paraId="50DB5205"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 xml:space="preserve">Тржиште државних хартија од вредности, у периоду од 2012. године до марта 2024. године, карактерише испуњавање зацртаних стратешких циљева, првенствено у погледу инструмената финансирања, као и у развоју и одржавању стабилности диверсификоване базе инвеститора. Преласком са краткорочних извора финансирања који се везују за период до 2010. године, на средњорочне и дугорочне инструменте </w:t>
      </w:r>
      <w:r w:rsidRPr="0062711C">
        <w:rPr>
          <w:rFonts w:ascii="Calibri" w:eastAsia="Calibri" w:hAnsi="Calibri" w:cs="Calibri"/>
          <w:bCs/>
          <w:szCs w:val="72"/>
          <w:lang w:val="sr-Cyrl-RS"/>
        </w:rPr>
        <w:t>финансирања, уз константно смањење трошкова задуживања, утиче се на смањење ризика рефинансирања, као једног од примарних ризика у процесу управљања јавним дугом. На крају 2013. године учешће дугорочних динарских инструмената по оригиналној рочности од три и више година износило је 38,3% у стању динарских хартија од вредности, док је на крају марта 2024. године износило 88,6%.</w:t>
      </w:r>
    </w:p>
    <w:p w14:paraId="08E6605D" w14:textId="292061FA"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Транспарентност у раду и извештавању, као и присутност на међународном тржишту капитала, утичу на информисаност, а тиме и на заинтересованост нерезидената да инвестирају капитал у дужничке инструменте, првенствено у државне динарске дугорочне хартије од вредности, чиме се остварује раст стабилне базе инвеститора. Услед успешне реализације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емисија током 2014. и 2015. године, са истом праксом је настављено током 2016. године. У фебруару и јулу 2016. године емитоване су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трогодишња и седмогодишња обвезница обима емисије по 110,0 млрд динара. У априлу 2017. године емитована је трогодишња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обвезница обима емисије у износу од 110,0 млрд динара. У јануару и фебруару 2018. године емитоване су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петогодишња и десетогодишња обвезница обима емисије по 110,0 млрд динара. У јануару 2019. године емитоване су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трогодишња и седмогодишња обвезница обима емисије 100,0 и 150,0 млрд динара. </w:t>
      </w:r>
      <w:r w:rsidRPr="0062711C">
        <w:rPr>
          <w:rFonts w:ascii="Calibri" w:eastAsia="Calibri" w:hAnsi="Calibri" w:cs="Calibri"/>
          <w:bCs/>
          <w:spacing w:val="-2"/>
          <w:szCs w:val="72"/>
          <w:lang w:val="sr-Cyrl-RS"/>
        </w:rPr>
        <w:t>У јануару и фебруару 2020. године по први пут су емитоване петоипогодишње и дванаестоипогодишње обвезнице са полугодишњим купоном. Изменама Уредбе о општим условима за емисију и продају државних хартија од вредности на примарном тржишту („Службени гласник РС”, бр. 100/14, 78/17, 66/18, 78/18 и 140/20), омогућено је повећање обима раније емитованих обвезница, па је петоипогодишњим обвезницама (првобитно емитованим 28.01.2020. године) и дванаестоипогодишњим обвезницама (првобитно емитованим 18.02.2020. године) 2021. године пов</w:t>
      </w:r>
      <w:r w:rsidR="007E3854" w:rsidRPr="0062711C">
        <w:rPr>
          <w:rFonts w:ascii="Calibri" w:eastAsia="Calibri" w:hAnsi="Calibri" w:cs="Calibri"/>
          <w:bCs/>
          <w:spacing w:val="-2"/>
          <w:szCs w:val="72"/>
          <w:lang w:val="sr-Cyrl-RS"/>
        </w:rPr>
        <w:t>ећан обим емисије за по 50 млрд</w:t>
      </w:r>
      <w:r w:rsidRPr="0062711C">
        <w:rPr>
          <w:rFonts w:ascii="Calibri" w:eastAsia="Calibri" w:hAnsi="Calibri" w:cs="Calibri"/>
          <w:bCs/>
          <w:spacing w:val="-2"/>
          <w:szCs w:val="72"/>
          <w:lang w:val="sr-Cyrl-RS"/>
        </w:rPr>
        <w:t xml:space="preserve"> динара, док је десетогодишњим обвезницама (првобитно емитованим 06.02.2018. год</w:t>
      </w:r>
      <w:r w:rsidR="007E3854" w:rsidRPr="0062711C">
        <w:rPr>
          <w:rFonts w:ascii="Calibri" w:eastAsia="Calibri" w:hAnsi="Calibri" w:cs="Calibri"/>
          <w:bCs/>
          <w:spacing w:val="-2"/>
          <w:szCs w:val="72"/>
          <w:lang w:val="sr-Cyrl-RS"/>
        </w:rPr>
        <w:t>ине) повећан за 10 млрд</w:t>
      </w:r>
      <w:r w:rsidRPr="0062711C">
        <w:rPr>
          <w:rFonts w:ascii="Calibri" w:eastAsia="Calibri" w:hAnsi="Calibri" w:cs="Calibri"/>
          <w:bCs/>
          <w:spacing w:val="-2"/>
          <w:szCs w:val="72"/>
          <w:lang w:val="sr-Cyrl-RS"/>
        </w:rPr>
        <w:t xml:space="preserve"> динара. Током 2022. године извршено је повећање обима емисија десетогодишњим </w:t>
      </w:r>
      <w:r w:rsidRPr="0062711C">
        <w:rPr>
          <w:rFonts w:ascii="Calibri" w:eastAsia="Calibri" w:hAnsi="Calibri" w:cs="Calibri"/>
          <w:bCs/>
          <w:spacing w:val="-2"/>
          <w:szCs w:val="72"/>
          <w:lang w:val="sr-Cyrl-RS"/>
        </w:rPr>
        <w:lastRenderedPageBreak/>
        <w:t>обвезницама (првобитно емитованим 06.02.20</w:t>
      </w:r>
      <w:r w:rsidR="007E3854" w:rsidRPr="0062711C">
        <w:rPr>
          <w:rFonts w:ascii="Calibri" w:eastAsia="Calibri" w:hAnsi="Calibri" w:cs="Calibri"/>
          <w:bCs/>
          <w:spacing w:val="-2"/>
          <w:szCs w:val="72"/>
          <w:lang w:val="sr-Cyrl-RS"/>
        </w:rPr>
        <w:t>18. године) за 25 млрд</w:t>
      </w:r>
      <w:r w:rsidRPr="0062711C">
        <w:rPr>
          <w:rFonts w:ascii="Calibri" w:eastAsia="Calibri" w:hAnsi="Calibri" w:cs="Calibri"/>
          <w:bCs/>
          <w:spacing w:val="-2"/>
          <w:szCs w:val="72"/>
          <w:lang w:val="sr-Cyrl-RS"/>
        </w:rPr>
        <w:t xml:space="preserve"> динара.</w:t>
      </w:r>
    </w:p>
    <w:p w14:paraId="090B7B66"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Овим емисијама знатно је повећан обим секундарног трговања овим инструментима, што је допринело и паду извршних стопа приноса на реотварањима поменутих емисија. Учешће страних инвеститора у динарским хартијама од вредности, на крају марта 2024. године износило је 19,6%.</w:t>
      </w:r>
    </w:p>
    <w:p w14:paraId="1889A098" w14:textId="1E71F3D3"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 xml:space="preserve">30. јуна 2021. године три динарске бенчмарк обвезнице укључене су у J.P. Morgan индекс државних обвезница земаља у развоју (GBI-EM </w:t>
      </w:r>
      <w:r w:rsidRPr="0062711C">
        <w:rPr>
          <w:rFonts w:ascii="Calibri" w:eastAsia="Calibri" w:hAnsi="Calibri" w:cs="Calibri"/>
          <w:bCs/>
          <w:i/>
          <w:szCs w:val="72"/>
          <w:lang w:val="sr-Cyrl-RS"/>
        </w:rPr>
        <w:t>Global Diversified Index</w:t>
      </w:r>
      <w:r w:rsidRPr="0062711C">
        <w:rPr>
          <w:rFonts w:ascii="Calibri" w:eastAsia="Calibri" w:hAnsi="Calibri" w:cs="Calibri"/>
          <w:bCs/>
          <w:szCs w:val="72"/>
          <w:lang w:val="sr-Cyrl-RS"/>
        </w:rPr>
        <w:t>), са датумом доспећа 11. јануар 2026. године (RSMFRSD89592), 8. фебруар 2028. године (RSMFRSD55940) и 20. август 2032. године (RSMFRSD86176).</w:t>
      </w:r>
      <w:r w:rsidR="00EC3E95" w:rsidRPr="0062711C">
        <w:rPr>
          <w:rFonts w:ascii="Calibri" w:eastAsia="Calibri" w:hAnsi="Calibri" w:cs="Calibri"/>
          <w:bCs/>
          <w:szCs w:val="72"/>
          <w:lang w:val="sr-Cyrl-RS"/>
        </w:rPr>
        <w:t xml:space="preserve"> </w:t>
      </w:r>
      <w:r w:rsidRPr="0062711C">
        <w:rPr>
          <w:rFonts w:ascii="Calibri" w:eastAsia="Calibri" w:hAnsi="Calibri" w:cs="Calibri"/>
          <w:bCs/>
          <w:szCs w:val="72"/>
          <w:lang w:val="sr-Cyrl-RS"/>
        </w:rPr>
        <w:t>5. марта 2024. године у J.P. Morgan индекс државних обвезница земаља у развоју (GBI-EM Global Diversified Index), укључена је нова динарска бенчмарк обвезница са датумом доспећа 26. октобар 2031. године (RSMFRSD58761).</w:t>
      </w:r>
    </w:p>
    <w:p w14:paraId="72E2A4F5"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У 2023. години од динарских хартија емитоване су двогодишње динарске обвезнице. Десетогодишњим динарским обвезницама је повећан обим емисије за 18,4 млрд динара и дванаестоипоогодишњим за 50 млрд динара. У октобру 2023. године емитована је нова осмогодишња динарска обвезница, са обимом емисије 110 милијарди динара. Од евро деноминованих хартија емитоване су двогодишње обвезнице.</w:t>
      </w:r>
    </w:p>
    <w:p w14:paraId="7BDF3E9D"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У 2024. години повећан је обим емисије обвезнице рочности 8 година за 40 милијарди динара</w:t>
      </w:r>
      <w:r w:rsidRPr="0062711C">
        <w:rPr>
          <w:lang w:val="sr-Cyrl-RS"/>
        </w:rPr>
        <w:t xml:space="preserve"> (</w:t>
      </w:r>
      <w:r w:rsidRPr="0062711C">
        <w:rPr>
          <w:rFonts w:ascii="Calibri" w:eastAsia="Calibri" w:hAnsi="Calibri" w:cs="Calibri"/>
          <w:bCs/>
          <w:szCs w:val="72"/>
          <w:lang w:val="sr-Cyrl-RS"/>
        </w:rPr>
        <w:t>првобитно емитованe 24.10.2023. године).</w:t>
      </w:r>
      <w:r w:rsidRPr="0062711C">
        <w:rPr>
          <w:lang w:val="sr-Cyrl-RS"/>
        </w:rPr>
        <w:t xml:space="preserve"> </w:t>
      </w:r>
      <w:r w:rsidRPr="0062711C">
        <w:rPr>
          <w:rFonts w:ascii="Calibri" w:eastAsia="Calibri" w:hAnsi="Calibri" w:cs="Calibri"/>
          <w:bCs/>
          <w:szCs w:val="72"/>
          <w:lang w:val="sr-Cyrl-RS"/>
        </w:rPr>
        <w:t>Од евро деноминованих хартија емитоване су трогодишње обвезнице.</w:t>
      </w:r>
    </w:p>
    <w:p w14:paraId="3E7217BA"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 xml:space="preserve">У периоду за који се доноси ова Стратегија очекује се унапређење ефикасности примарног тржишта путем приступа Euroclear платформи и кроз концепт примарних дилера, као механизма продаје државних хартија од вредности који директно, у дужем року, доприноси смањењу трошкова задуживања, као и смањењу ризика рефинансирања. Увођење система продаје државних хартија од вредности на домаћем финансијском тржишту преко примарних дилера, </w:t>
      </w:r>
      <w:r w:rsidRPr="0062711C">
        <w:rPr>
          <w:rFonts w:ascii="Calibri" w:eastAsia="Calibri" w:hAnsi="Calibri" w:cs="Calibri"/>
          <w:bCs/>
          <w:szCs w:val="72"/>
          <w:lang w:val="sr-Cyrl-RS"/>
        </w:rPr>
        <w:t>пружиће добру основу за унапређење тржишне ефикасности секундарног тржишта државних хартија од вредности. Развојем секундарног тржишта, временом ће се успоставити концепт тржишне ефикасности у процесу вредновања државних хартија од вредности. Увођењем „бенчмарк</w:t>
      </w:r>
      <w:r w:rsidRPr="0062711C">
        <w:rPr>
          <w:rFonts w:eastAsia="MS PGothic" w:cstheme="minorHAnsi"/>
          <w:szCs w:val="20"/>
          <w:lang w:val="sr-Cyrl-RS" w:eastAsia="ja-JP"/>
        </w:rPr>
        <w:t>”</w:t>
      </w:r>
      <w:r w:rsidRPr="0062711C">
        <w:rPr>
          <w:rFonts w:ascii="Calibri" w:eastAsia="Calibri" w:hAnsi="Calibri" w:cs="Calibri"/>
          <w:bCs/>
          <w:szCs w:val="72"/>
          <w:lang w:val="sr-Cyrl-RS"/>
        </w:rPr>
        <w:t xml:space="preserve"> емисија обвезница остварен је позитиван ефекат на обим и континуитет секундарног трговања, као и на унапређење тржишне ефикасности у поступку продаје државних хартија на примарном тржишту.</w:t>
      </w:r>
    </w:p>
    <w:p w14:paraId="3A051CCD"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Као водеће факторе који утичу на криву приноса државних хартија од вредности потребно је издвојити фискални резултат, очекивану стопу инфлације и девизни курс. Као посебну групу фактора потребно је издвојити макроекономска кретања и очекивања, као и промене на међународном финансијском тржишту, које се рефлектују на премију ризика земље.</w:t>
      </w:r>
    </w:p>
    <w:p w14:paraId="712EC354"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 xml:space="preserve">На крају 2012. године просечна рочност динарских хартија од вредности износила је 394 дана (1,1 годину), на крају 2013. године 469 дана (1,3 године), на крају 2014. године 645 дана (1,8 годину), на крају 2015. године 749 дана (2,1 годину), на крају 2016. године 789 дана (2,2 године), на крају 2017. године 864 дана (2,4 године), на крају 2018. године 1.188 дана (3,3 године), на крају 2019. године 1.403 дана (3,8 година), на крају 2020. године 1.429 дана (3,9 година), на крају 2021. године 1.377 дана (3,8 године), на крају 2022. године 1.220 дана (3,3 године), на крају 2023. године 1.427 дана (3,9 године), а на крају марта 2024. године </w:t>
      </w:r>
      <w:r w:rsidRPr="0062711C">
        <w:rPr>
          <w:lang w:val="sr-Cyrl-RS"/>
        </w:rPr>
        <w:t>1.627 дана (4,5 година)</w:t>
      </w:r>
      <w:r w:rsidRPr="0062711C">
        <w:rPr>
          <w:rFonts w:ascii="Calibri" w:eastAsia="Calibri" w:hAnsi="Calibri" w:cs="Calibri"/>
          <w:bCs/>
          <w:szCs w:val="72"/>
          <w:lang w:val="sr-Cyrl-RS"/>
        </w:rPr>
        <w:t>.</w:t>
      </w:r>
    </w:p>
    <w:p w14:paraId="2A086C12" w14:textId="77777777" w:rsidR="00D96A25" w:rsidRPr="0062711C" w:rsidRDefault="00D96A25" w:rsidP="00B51BEB">
      <w:pPr>
        <w:rPr>
          <w:rFonts w:ascii="Calibri" w:eastAsia="Calibri" w:hAnsi="Calibri" w:cs="Calibri"/>
          <w:bCs/>
          <w:szCs w:val="72"/>
          <w:lang w:val="sr-Cyrl-RS"/>
        </w:rPr>
      </w:pPr>
      <w:r w:rsidRPr="0062711C">
        <w:rPr>
          <w:rFonts w:ascii="Calibri" w:eastAsia="Calibri" w:hAnsi="Calibri" w:cs="Calibri"/>
          <w:bCs/>
          <w:szCs w:val="72"/>
          <w:lang w:val="sr-Cyrl-RS"/>
        </w:rPr>
        <w:t>Развој домаћег тржишта државних хартија од вредности од стране Републике Србије потпомогнут је следећим мерама:</w:t>
      </w:r>
    </w:p>
    <w:p w14:paraId="2026C070" w14:textId="77777777" w:rsidR="00D96A25" w:rsidRPr="0062711C" w:rsidRDefault="00D96A25" w:rsidP="00B51BEB">
      <w:pPr>
        <w:numPr>
          <w:ilvl w:val="0"/>
          <w:numId w:val="13"/>
        </w:numPr>
        <w:ind w:left="0" w:hanging="142"/>
        <w:rPr>
          <w:rFonts w:ascii="Calibri" w:eastAsia="Calibri" w:hAnsi="Calibri" w:cs="Calibri"/>
          <w:bCs/>
          <w:szCs w:val="72"/>
          <w:lang w:val="sr-Cyrl-RS"/>
        </w:rPr>
      </w:pPr>
      <w:r w:rsidRPr="0062711C">
        <w:rPr>
          <w:rFonts w:ascii="Calibri" w:eastAsia="Calibri" w:hAnsi="Calibri" w:cs="Calibri"/>
          <w:bCs/>
          <w:szCs w:val="72"/>
          <w:lang w:val="sr-Cyrl-RS"/>
        </w:rPr>
        <w:t xml:space="preserve">Обвезнице Републике Србије укључене су у </w:t>
      </w:r>
      <w:r w:rsidRPr="0062711C">
        <w:rPr>
          <w:rFonts w:ascii="Calibri" w:eastAsia="Calibri" w:hAnsi="Calibri" w:cs="Calibri"/>
          <w:bCs/>
          <w:iCs/>
          <w:szCs w:val="72"/>
          <w:lang w:val="sr-Cyrl-RS"/>
        </w:rPr>
        <w:t>Ј.P. Morgan</w:t>
      </w:r>
      <w:r w:rsidRPr="0062711C">
        <w:rPr>
          <w:rFonts w:ascii="Calibri" w:eastAsia="Calibri" w:hAnsi="Calibri" w:cs="Calibri"/>
          <w:bCs/>
          <w:szCs w:val="72"/>
          <w:lang w:val="sr-Cyrl-RS"/>
        </w:rPr>
        <w:t xml:space="preserve"> глобални индекс</w:t>
      </w:r>
      <w:r w:rsidRPr="0062711C">
        <w:rPr>
          <w:lang w:val="sr-Cyrl-RS"/>
        </w:rPr>
        <w:t xml:space="preserve"> </w:t>
      </w:r>
      <w:r w:rsidRPr="0062711C">
        <w:rPr>
          <w:rFonts w:ascii="Calibri" w:eastAsia="Calibri" w:hAnsi="Calibri" w:cs="Calibri"/>
          <w:bCs/>
          <w:szCs w:val="72"/>
          <w:lang w:val="sr-Cyrl-RS"/>
        </w:rPr>
        <w:t>државних обвезница у локалним валутама земаља у развоју (</w:t>
      </w:r>
      <w:r w:rsidRPr="0062711C">
        <w:rPr>
          <w:rFonts w:ascii="Calibri" w:eastAsia="Calibri" w:hAnsi="Calibri" w:cs="Calibri"/>
          <w:bCs/>
          <w:i/>
          <w:szCs w:val="72"/>
          <w:lang w:val="sr-Cyrl-RS"/>
        </w:rPr>
        <w:t>GBI-EM</w:t>
      </w:r>
      <w:r w:rsidRPr="0062711C">
        <w:rPr>
          <w:rFonts w:ascii="Calibri" w:eastAsia="Calibri" w:hAnsi="Calibri" w:cs="Calibri"/>
          <w:bCs/>
          <w:szCs w:val="72"/>
          <w:lang w:val="sr-Cyrl-RS"/>
        </w:rPr>
        <w:t xml:space="preserve"> </w:t>
      </w:r>
      <w:r w:rsidRPr="0062711C">
        <w:rPr>
          <w:rFonts w:ascii="Calibri" w:eastAsia="Calibri" w:hAnsi="Calibri" w:cs="Calibri"/>
          <w:bCs/>
          <w:i/>
          <w:iCs/>
          <w:szCs w:val="72"/>
          <w:lang w:val="sr-Cyrl-RS"/>
        </w:rPr>
        <w:t>Global Diversified Index</w:t>
      </w:r>
      <w:r w:rsidRPr="0062711C">
        <w:rPr>
          <w:rFonts w:ascii="Calibri" w:eastAsia="Calibri" w:hAnsi="Calibri" w:cs="Calibri"/>
          <w:bCs/>
          <w:szCs w:val="72"/>
          <w:lang w:val="sr-Cyrl-RS"/>
        </w:rPr>
        <w:t>) што би требало значајно да повећа базу инвеститора и додатно поспеши секундарно трговање, што ће даље допринети смањењу трошкова задуживања путем емисија динарских државних хартија од вредности;</w:t>
      </w:r>
    </w:p>
    <w:p w14:paraId="09B1509F" w14:textId="77777777" w:rsidR="00D96A25" w:rsidRPr="0062711C" w:rsidRDefault="00D96A25" w:rsidP="00B51BEB">
      <w:pPr>
        <w:numPr>
          <w:ilvl w:val="0"/>
          <w:numId w:val="13"/>
        </w:numPr>
        <w:ind w:left="0" w:hanging="142"/>
        <w:rPr>
          <w:rFonts w:ascii="Calibri" w:eastAsia="Calibri" w:hAnsi="Calibri" w:cs="Calibri"/>
          <w:bCs/>
          <w:szCs w:val="72"/>
          <w:lang w:val="sr-Cyrl-RS"/>
        </w:rPr>
      </w:pPr>
      <w:r w:rsidRPr="0062711C">
        <w:rPr>
          <w:rFonts w:ascii="Calibri" w:eastAsia="Calibri" w:hAnsi="Calibri" w:cs="Calibri"/>
          <w:bCs/>
          <w:szCs w:val="72"/>
          <w:lang w:val="sr-Cyrl-RS"/>
        </w:rPr>
        <w:lastRenderedPageBreak/>
        <w:t>У циљу креирања што веће базе инвеститора и развоја секундарног тржишта хартија од вредности емитованих на домаћем тржишту, креиран је једнак порески третман домаћих и страних инвеститора крајем 2011. године, и у наредном периоду тежиће се уклањању свих евентуалних препрека за слободан проток капитала;</w:t>
      </w:r>
    </w:p>
    <w:p w14:paraId="726EA59F" w14:textId="77777777" w:rsidR="00D96A25" w:rsidRPr="0062711C" w:rsidRDefault="00D96A25" w:rsidP="00B51BEB">
      <w:pPr>
        <w:numPr>
          <w:ilvl w:val="0"/>
          <w:numId w:val="13"/>
        </w:numPr>
        <w:ind w:left="0" w:hanging="142"/>
        <w:rPr>
          <w:rFonts w:ascii="Calibri" w:eastAsia="Calibri" w:hAnsi="Calibri" w:cs="Calibri"/>
          <w:bCs/>
          <w:szCs w:val="72"/>
          <w:lang w:val="sr-Cyrl-RS"/>
        </w:rPr>
      </w:pPr>
      <w:r w:rsidRPr="0062711C">
        <w:rPr>
          <w:rFonts w:ascii="Calibri" w:eastAsia="Calibri" w:hAnsi="Calibri" w:cs="Calibri"/>
          <w:bCs/>
          <w:szCs w:val="72"/>
          <w:lang w:val="sr-Cyrl-RS"/>
        </w:rPr>
        <w:t>Предузете су активности на омогућавању салдирања државних хартија од вредности на иностраном тржишту. Изменама и допунама Закона о јавном дугу из децембра 2019. године, омогућено је да клиринг и салдирање државних хартија од вредности емитованих на домаћем тржишту, поред Централног регистра врши и друго страно правно лице које обавља послове клиринга и салдирања.</w:t>
      </w:r>
    </w:p>
    <w:p w14:paraId="19D4B801" w14:textId="77777777" w:rsidR="00D96A25" w:rsidRPr="0062711C" w:rsidRDefault="00D96A25" w:rsidP="00B51BEB">
      <w:pPr>
        <w:numPr>
          <w:ilvl w:val="0"/>
          <w:numId w:val="13"/>
        </w:numPr>
        <w:ind w:left="0" w:hanging="142"/>
        <w:rPr>
          <w:rFonts w:ascii="Calibri" w:eastAsia="Calibri" w:hAnsi="Calibri" w:cs="Calibri"/>
          <w:bCs/>
          <w:szCs w:val="72"/>
          <w:lang w:val="sr-Cyrl-RS"/>
        </w:rPr>
      </w:pPr>
      <w:r w:rsidRPr="0062711C">
        <w:rPr>
          <w:rFonts w:ascii="Calibri" w:eastAsia="Calibri" w:hAnsi="Calibri" w:cs="Calibri"/>
          <w:bCs/>
          <w:szCs w:val="72"/>
          <w:lang w:val="sr-Cyrl-RS"/>
        </w:rPr>
        <w:t>Током 2022. и 2023. године активно се радило на усаглашавању законске регулативе и ИТ инфраструктуре за успостављање међународног линка (i-Link) између Централног регистра, депоа и клиринга хартија од вредности и Euroclear банке, што је настављено и у 2024. години како би се отпочело салдирање државних бенчмарк обвезница преко Euroclear провајдера пост трговинских трансакција. Основне предности приступања Euroclear систему су ширење базе инвеститора кроз лакшу доступност домаћих хартија од вредности страним инвеститорима, што даље смањује трошкове у редукованом ланцу учесника куповине хартија од вредности, а тиме и пад приноса на хартије и ниже трошкове задуживања емитента. Такође, повећава се ликвидност секундарног тржишта ширењем базе инвеститора.</w:t>
      </w:r>
    </w:p>
    <w:p w14:paraId="10A3BFEE" w14:textId="77777777" w:rsidR="00D96A25" w:rsidRPr="0062711C" w:rsidRDefault="00D96A25" w:rsidP="00B51BEB">
      <w:pPr>
        <w:tabs>
          <w:tab w:val="left" w:pos="284"/>
        </w:tabs>
        <w:rPr>
          <w:rFonts w:ascii="Calibri" w:eastAsia="Calibri" w:hAnsi="Calibri" w:cs="Calibri"/>
          <w:bCs/>
          <w:szCs w:val="72"/>
          <w:lang w:val="sr-Cyrl-RS"/>
        </w:rPr>
        <w:sectPr w:rsidR="00D96A25" w:rsidRPr="0062711C" w:rsidSect="00F45C01">
          <w:type w:val="continuous"/>
          <w:pgSz w:w="12240" w:h="15840" w:code="1"/>
          <w:pgMar w:top="1440" w:right="1440" w:bottom="1440" w:left="1440" w:header="720" w:footer="720" w:gutter="0"/>
          <w:cols w:num="2" w:space="720"/>
          <w:titlePg/>
          <w:docGrid w:linePitch="360"/>
        </w:sectPr>
      </w:pPr>
    </w:p>
    <w:p w14:paraId="7506BE76" w14:textId="77777777" w:rsidR="00D96A25" w:rsidRPr="0062711C" w:rsidRDefault="00D96A25">
      <w:pPr>
        <w:jc w:val="left"/>
        <w:rPr>
          <w:lang w:val="sr-Cyrl-RS"/>
        </w:rPr>
      </w:pPr>
    </w:p>
    <w:p w14:paraId="1EC5AD21" w14:textId="77777777" w:rsidR="00D96A25" w:rsidRPr="0062711C" w:rsidRDefault="00D96A25" w:rsidP="00B51BEB">
      <w:pPr>
        <w:rPr>
          <w:lang w:val="sr-Cyrl-RS"/>
        </w:rPr>
      </w:pPr>
      <w:r w:rsidRPr="0062711C">
        <w:rPr>
          <w:lang w:val="sr-Cyrl-RS"/>
        </w:rPr>
        <w:br w:type="page"/>
      </w:r>
    </w:p>
    <w:p w14:paraId="208F92FF" w14:textId="77777777" w:rsidR="00D96A25" w:rsidRPr="0062711C" w:rsidRDefault="00D96A25" w:rsidP="00427829">
      <w:pPr>
        <w:keepNext/>
        <w:keepLines/>
        <w:spacing w:after="0" w:line="240" w:lineRule="auto"/>
        <w:jc w:val="center"/>
        <w:outlineLvl w:val="0"/>
        <w:rPr>
          <w:rFonts w:cstheme="minorHAnsi"/>
          <w:bCs/>
          <w:color w:val="2F5496" w:themeColor="accent1" w:themeShade="BF"/>
          <w:szCs w:val="72"/>
          <w:lang w:val="sr-Cyrl-RS"/>
        </w:rPr>
      </w:pPr>
      <w:bookmarkStart w:id="92" w:name="_Toc529801854"/>
      <w:bookmarkStart w:id="93" w:name="_Toc86923729"/>
      <w:bookmarkStart w:id="94" w:name="_Toc135994508"/>
      <w:bookmarkStart w:id="95" w:name="_Toc146277922"/>
      <w:bookmarkStart w:id="96" w:name="_Toc148431275"/>
      <w:bookmarkStart w:id="97" w:name="_Toc170722312"/>
      <w:r w:rsidRPr="0062711C">
        <w:rPr>
          <w:rFonts w:eastAsiaTheme="majorEastAsia" w:cstheme="minorHAnsi"/>
          <w:b/>
          <w:color w:val="2F5496" w:themeColor="accent1" w:themeShade="BF"/>
          <w:sz w:val="26"/>
          <w:szCs w:val="26"/>
          <w:lang w:val="sr-Cyrl-RS"/>
        </w:rPr>
        <w:lastRenderedPageBreak/>
        <w:t>IV. ЗАВРШНЕ ОДРЕДБЕ</w:t>
      </w:r>
      <w:bookmarkEnd w:id="92"/>
      <w:bookmarkEnd w:id="93"/>
      <w:bookmarkEnd w:id="94"/>
      <w:bookmarkEnd w:id="95"/>
      <w:bookmarkEnd w:id="96"/>
      <w:bookmarkEnd w:id="97"/>
    </w:p>
    <w:p w14:paraId="3F070978" w14:textId="77777777" w:rsidR="00D96A25" w:rsidRPr="0062711C" w:rsidRDefault="00D96A25" w:rsidP="00427829">
      <w:pPr>
        <w:rPr>
          <w:lang w:val="sr-Cyrl-RS"/>
        </w:rPr>
      </w:pPr>
    </w:p>
    <w:p w14:paraId="0C03095A" w14:textId="4B1CAA7B" w:rsidR="00D96A25" w:rsidRPr="0062711C" w:rsidRDefault="00D96A25" w:rsidP="00B51BEB">
      <w:pPr>
        <w:spacing w:after="80"/>
        <w:ind w:firstLine="720"/>
        <w:rPr>
          <w:rFonts w:cstheme="minorHAnsi"/>
          <w:bCs/>
          <w:szCs w:val="72"/>
          <w:lang w:val="sr-Cyrl-RS"/>
        </w:rPr>
      </w:pPr>
      <w:r w:rsidRPr="0062711C">
        <w:rPr>
          <w:rFonts w:cstheme="minorHAnsi"/>
          <w:bCs/>
          <w:szCs w:val="72"/>
          <w:lang w:val="sr-Cyrl-RS"/>
        </w:rPr>
        <w:t xml:space="preserve">Саставни део ове </w:t>
      </w:r>
      <w:r w:rsidR="00316B7E">
        <w:rPr>
          <w:rFonts w:cstheme="minorHAnsi"/>
          <w:bCs/>
          <w:szCs w:val="72"/>
          <w:lang w:val="sr-Cyrl-RS"/>
        </w:rPr>
        <w:t>ф</w:t>
      </w:r>
      <w:r w:rsidRPr="0062711C">
        <w:rPr>
          <w:rFonts w:cstheme="minorHAnsi"/>
          <w:bCs/>
          <w:szCs w:val="72"/>
          <w:lang w:val="sr-Cyrl-RS"/>
        </w:rPr>
        <w:t>искалне стратегије чине Прилог 1 – Пројекција основних макроекономских индикатора и Прилог 2 – Фискални оквир сектора државе у 2025. години, који су одштампани уз ову фискалну стратегију.</w:t>
      </w:r>
    </w:p>
    <w:p w14:paraId="6B8A837B" w14:textId="4D7A48E8" w:rsidR="00D96A25" w:rsidRPr="0062711C" w:rsidRDefault="00D96A25" w:rsidP="00B51BEB">
      <w:pPr>
        <w:spacing w:after="80"/>
        <w:ind w:firstLine="720"/>
        <w:rPr>
          <w:rFonts w:cstheme="minorHAnsi"/>
          <w:bCs/>
          <w:szCs w:val="72"/>
          <w:lang w:val="sr-Cyrl-RS"/>
        </w:rPr>
      </w:pPr>
      <w:r w:rsidRPr="0062711C">
        <w:rPr>
          <w:rFonts w:cstheme="minorHAnsi"/>
          <w:bCs/>
          <w:szCs w:val="72"/>
          <w:lang w:val="sr-Cyrl-RS"/>
        </w:rPr>
        <w:t xml:space="preserve">Ову </w:t>
      </w:r>
      <w:r w:rsidR="00316B7E">
        <w:rPr>
          <w:rFonts w:cstheme="minorHAnsi"/>
          <w:bCs/>
          <w:szCs w:val="72"/>
          <w:lang w:val="sr-Cyrl-RS"/>
        </w:rPr>
        <w:t>ф</w:t>
      </w:r>
      <w:r w:rsidRPr="0062711C">
        <w:rPr>
          <w:rFonts w:cstheme="minorHAnsi"/>
          <w:bCs/>
          <w:szCs w:val="72"/>
          <w:lang w:val="sr-Cyrl-RS"/>
        </w:rPr>
        <w:t xml:space="preserve">искалну стратегију доставити </w:t>
      </w:r>
      <w:r w:rsidRPr="0062711C">
        <w:rPr>
          <w:lang w:val="sr-Cyrl-RS"/>
        </w:rPr>
        <w:t xml:space="preserve">одбору Народне скупштине надлежном за финансије, републички буџет и контролу трошења јавних средстава </w:t>
      </w:r>
      <w:r w:rsidRPr="0062711C">
        <w:rPr>
          <w:rFonts w:cstheme="minorHAnsi"/>
          <w:bCs/>
          <w:szCs w:val="72"/>
          <w:lang w:val="sr-Cyrl-RS"/>
        </w:rPr>
        <w:t>и Министарству финансија.</w:t>
      </w:r>
    </w:p>
    <w:p w14:paraId="3BE2F1F5" w14:textId="5FAC1410" w:rsidR="00D96A25" w:rsidRPr="0062711C" w:rsidRDefault="00D96A25" w:rsidP="00B51BEB">
      <w:pPr>
        <w:ind w:firstLine="720"/>
        <w:rPr>
          <w:lang w:val="sr-Cyrl-RS"/>
        </w:rPr>
      </w:pPr>
      <w:r w:rsidRPr="0062711C">
        <w:rPr>
          <w:rFonts w:cstheme="minorHAnsi"/>
          <w:bCs/>
          <w:szCs w:val="72"/>
          <w:lang w:val="sr-Cyrl-RS"/>
        </w:rPr>
        <w:t xml:space="preserve">Ову </w:t>
      </w:r>
      <w:r w:rsidR="00316B7E">
        <w:rPr>
          <w:rFonts w:cstheme="minorHAnsi"/>
          <w:bCs/>
          <w:szCs w:val="72"/>
          <w:lang w:val="sr-Cyrl-RS"/>
        </w:rPr>
        <w:t>ф</w:t>
      </w:r>
      <w:r w:rsidRPr="0062711C">
        <w:rPr>
          <w:rFonts w:cstheme="minorHAnsi"/>
          <w:bCs/>
          <w:szCs w:val="72"/>
          <w:lang w:val="sr-Cyrl-RS"/>
        </w:rPr>
        <w:t>искалну стратегију објавити на интернет страници Владе и Министарства финансија.</w:t>
      </w:r>
    </w:p>
    <w:p w14:paraId="0C69099E" w14:textId="77777777" w:rsidR="00D96A25" w:rsidRPr="0062711C" w:rsidRDefault="00D96A25" w:rsidP="00427829">
      <w:pPr>
        <w:spacing w:after="0"/>
        <w:jc w:val="right"/>
        <w:rPr>
          <w:rFonts w:cstheme="minorHAnsi"/>
          <w:bCs/>
          <w:szCs w:val="72"/>
          <w:lang w:val="sr-Cyrl-RS"/>
        </w:rPr>
      </w:pPr>
    </w:p>
    <w:p w14:paraId="34A29C0F" w14:textId="77777777" w:rsidR="00D96A25" w:rsidRPr="0062711C" w:rsidRDefault="00D96A25" w:rsidP="00427829">
      <w:pPr>
        <w:spacing w:after="0"/>
        <w:jc w:val="right"/>
        <w:rPr>
          <w:rFonts w:cstheme="minorHAnsi"/>
          <w:bCs/>
          <w:szCs w:val="72"/>
          <w:lang w:val="sr-Cyrl-RS"/>
        </w:rPr>
      </w:pPr>
    </w:p>
    <w:p w14:paraId="5D49C4FD" w14:textId="48B1E988" w:rsidR="00D96A25" w:rsidRPr="0035264B" w:rsidRDefault="00D96A25" w:rsidP="00B51BEB">
      <w:pPr>
        <w:tabs>
          <w:tab w:val="left" w:pos="1189"/>
        </w:tabs>
        <w:spacing w:after="0"/>
        <w:rPr>
          <w:rFonts w:cstheme="minorHAnsi"/>
          <w:bCs/>
          <w:szCs w:val="72"/>
        </w:rPr>
      </w:pPr>
      <w:r w:rsidRPr="0062711C">
        <w:rPr>
          <w:rFonts w:cstheme="minorHAnsi"/>
          <w:bCs/>
          <w:szCs w:val="72"/>
          <w:lang w:val="sr-Cyrl-RS"/>
        </w:rPr>
        <w:t xml:space="preserve">05 Број: </w:t>
      </w:r>
      <w:r w:rsidR="0035264B">
        <w:rPr>
          <w:rFonts w:cstheme="minorHAnsi"/>
          <w:bCs/>
          <w:szCs w:val="72"/>
        </w:rPr>
        <w:t>400-6062/2024</w:t>
      </w:r>
    </w:p>
    <w:p w14:paraId="7216FA12" w14:textId="1783847D" w:rsidR="00D96A25" w:rsidRPr="0062711C" w:rsidRDefault="00D96A25" w:rsidP="00B51BEB">
      <w:pPr>
        <w:spacing w:after="0"/>
        <w:rPr>
          <w:rFonts w:cstheme="minorHAnsi"/>
          <w:bCs/>
          <w:szCs w:val="72"/>
          <w:lang w:val="sr-Cyrl-RS"/>
        </w:rPr>
      </w:pPr>
      <w:r w:rsidRPr="0062711C">
        <w:rPr>
          <w:rFonts w:cstheme="minorHAnsi"/>
          <w:bCs/>
          <w:szCs w:val="72"/>
          <w:lang w:val="sr-Cyrl-RS"/>
        </w:rPr>
        <w:t>У Београду,</w:t>
      </w:r>
      <w:r w:rsidR="00BB55EE">
        <w:rPr>
          <w:rFonts w:cstheme="minorHAnsi"/>
          <w:bCs/>
          <w:szCs w:val="72"/>
          <w:lang w:val="sr-Cyrl-RS"/>
        </w:rPr>
        <w:t xml:space="preserve"> </w:t>
      </w:r>
      <w:r w:rsidR="0035264B">
        <w:rPr>
          <w:rFonts w:cstheme="minorHAnsi"/>
          <w:bCs/>
          <w:szCs w:val="72"/>
        </w:rPr>
        <w:t>4.</w:t>
      </w:r>
      <w:r w:rsidR="00BB55EE">
        <w:rPr>
          <w:rFonts w:cstheme="minorHAnsi"/>
          <w:bCs/>
          <w:szCs w:val="72"/>
          <w:lang w:val="sr-Cyrl-RS"/>
        </w:rPr>
        <w:t xml:space="preserve"> </w:t>
      </w:r>
      <w:r w:rsidR="00865B00">
        <w:rPr>
          <w:rFonts w:cstheme="minorHAnsi"/>
          <w:bCs/>
          <w:szCs w:val="72"/>
          <w:lang w:val="sr-Cyrl-RS"/>
        </w:rPr>
        <w:t>јула 2024. године</w:t>
      </w:r>
    </w:p>
    <w:p w14:paraId="76846E69" w14:textId="77777777" w:rsidR="00D96A25" w:rsidRPr="0062711C" w:rsidRDefault="00D96A25" w:rsidP="00427829">
      <w:pPr>
        <w:spacing w:after="0"/>
        <w:jc w:val="right"/>
        <w:rPr>
          <w:rFonts w:cstheme="minorHAnsi"/>
          <w:bCs/>
          <w:szCs w:val="72"/>
          <w:lang w:val="sr-Cyrl-RS"/>
        </w:rPr>
      </w:pPr>
    </w:p>
    <w:p w14:paraId="518CA54F" w14:textId="77777777" w:rsidR="00D96A25" w:rsidRPr="0062711C" w:rsidRDefault="00D96A25" w:rsidP="00B51BEB">
      <w:pPr>
        <w:spacing w:after="0"/>
        <w:jc w:val="center"/>
        <w:rPr>
          <w:rFonts w:cstheme="minorHAnsi"/>
          <w:bCs/>
          <w:szCs w:val="72"/>
          <w:lang w:val="sr-Cyrl-RS"/>
        </w:rPr>
      </w:pPr>
      <w:r w:rsidRPr="0062711C">
        <w:rPr>
          <w:rFonts w:cstheme="minorHAnsi"/>
          <w:bCs/>
          <w:szCs w:val="72"/>
          <w:lang w:val="sr-Cyrl-RS"/>
        </w:rPr>
        <w:t>В Л А Д А</w:t>
      </w:r>
    </w:p>
    <w:p w14:paraId="1BAEA896" w14:textId="77777777" w:rsidR="00D96A25" w:rsidRPr="0062711C" w:rsidRDefault="00D96A25" w:rsidP="00B51BEB">
      <w:pPr>
        <w:spacing w:after="0"/>
        <w:jc w:val="right"/>
        <w:rPr>
          <w:rFonts w:cstheme="minorHAnsi"/>
          <w:bCs/>
          <w:szCs w:val="72"/>
          <w:lang w:val="sr-Cyrl-RS"/>
        </w:rPr>
      </w:pPr>
    </w:p>
    <w:p w14:paraId="168630A7" w14:textId="77777777" w:rsidR="00D96A25" w:rsidRPr="0062711C" w:rsidRDefault="00D96A25" w:rsidP="00B51BEB">
      <w:pPr>
        <w:spacing w:after="0"/>
        <w:jc w:val="left"/>
        <w:rPr>
          <w:rFonts w:cstheme="minorHAnsi"/>
          <w:bCs/>
          <w:szCs w:val="72"/>
          <w:lang w:val="sr-Cyrl-RS"/>
        </w:rPr>
      </w:pPr>
      <w:r w:rsidRPr="0062711C">
        <w:rPr>
          <w:rFonts w:cstheme="minorHAnsi"/>
          <w:bCs/>
          <w:szCs w:val="72"/>
          <w:lang w:val="sr-Cyrl-RS"/>
        </w:rPr>
        <w:t xml:space="preserve">                                                                                                                                                                           ПРЕДСЕДНИК</w:t>
      </w:r>
    </w:p>
    <w:p w14:paraId="350525F3" w14:textId="77777777" w:rsidR="00D96A25" w:rsidRPr="0062711C" w:rsidRDefault="00D96A25" w:rsidP="00B51BEB">
      <w:pPr>
        <w:spacing w:after="0"/>
        <w:rPr>
          <w:rFonts w:cstheme="minorHAnsi"/>
          <w:bCs/>
          <w:szCs w:val="72"/>
          <w:lang w:val="sr-Cyrl-RS"/>
        </w:rPr>
      </w:pPr>
    </w:p>
    <w:p w14:paraId="218DA65C" w14:textId="5CDF7381" w:rsidR="00D96A25" w:rsidRPr="0035264B" w:rsidRDefault="00D96A25" w:rsidP="00B51BEB">
      <w:pPr>
        <w:spacing w:after="0"/>
        <w:jc w:val="center"/>
        <w:rPr>
          <w:rFonts w:cstheme="minorHAnsi"/>
          <w:bCs/>
          <w:szCs w:val="72"/>
          <w:lang w:val="sr-Cyrl-RS"/>
        </w:rPr>
      </w:pPr>
      <w:r w:rsidRPr="0062711C">
        <w:rPr>
          <w:rFonts w:cstheme="minorHAnsi"/>
          <w:bCs/>
          <w:szCs w:val="72"/>
          <w:lang w:val="sr-Cyrl-RS"/>
        </w:rPr>
        <w:t xml:space="preserve">                                                                                                                                                                  </w:t>
      </w:r>
      <w:r w:rsidR="00C30334" w:rsidRPr="0062711C">
        <w:rPr>
          <w:rFonts w:cstheme="minorHAnsi"/>
          <w:bCs/>
          <w:szCs w:val="72"/>
          <w:lang w:val="sr-Cyrl-RS"/>
        </w:rPr>
        <w:t>Милош Вучевић</w:t>
      </w:r>
      <w:r w:rsidR="0035264B">
        <w:rPr>
          <w:rFonts w:cstheme="minorHAnsi"/>
          <w:bCs/>
          <w:szCs w:val="72"/>
        </w:rPr>
        <w:t xml:space="preserve">, </w:t>
      </w:r>
      <w:r w:rsidR="0035264B">
        <w:rPr>
          <w:rFonts w:cstheme="minorHAnsi"/>
          <w:bCs/>
          <w:szCs w:val="72"/>
          <w:lang w:val="sr-Cyrl-RS"/>
        </w:rPr>
        <w:t>с.р.</w:t>
      </w:r>
    </w:p>
    <w:p w14:paraId="5233CB0C" w14:textId="77777777" w:rsidR="00D96A25" w:rsidRPr="0062711C" w:rsidRDefault="00D96A25" w:rsidP="00B51BEB">
      <w:pPr>
        <w:spacing w:after="0"/>
        <w:jc w:val="right"/>
        <w:rPr>
          <w:rFonts w:cstheme="minorHAnsi"/>
          <w:bCs/>
          <w:szCs w:val="72"/>
          <w:lang w:val="sr-Cyrl-RS"/>
        </w:rPr>
      </w:pPr>
    </w:p>
    <w:p w14:paraId="28016AF8" w14:textId="77777777" w:rsidR="00D96A25" w:rsidRPr="0062711C" w:rsidRDefault="00D96A25" w:rsidP="00427829">
      <w:pPr>
        <w:spacing w:after="0"/>
        <w:jc w:val="right"/>
        <w:rPr>
          <w:rFonts w:cstheme="minorHAnsi"/>
          <w:bCs/>
          <w:szCs w:val="72"/>
          <w:lang w:val="sr-Cyrl-RS"/>
        </w:rPr>
      </w:pPr>
    </w:p>
    <w:p w14:paraId="59717D3D" w14:textId="77777777" w:rsidR="00D96A25" w:rsidRPr="0062711C" w:rsidRDefault="00D96A25" w:rsidP="00B51BEB">
      <w:pPr>
        <w:rPr>
          <w:lang w:val="sr-Cyrl-RS"/>
        </w:rPr>
      </w:pPr>
    </w:p>
    <w:p w14:paraId="71DE827F" w14:textId="77777777" w:rsidR="00D96A25" w:rsidRPr="0062711C" w:rsidRDefault="00D96A25" w:rsidP="00B51BEB">
      <w:pPr>
        <w:rPr>
          <w:spacing w:val="-2"/>
          <w:lang w:val="sr-Cyrl-RS"/>
        </w:rPr>
      </w:pPr>
    </w:p>
    <w:p w14:paraId="00412D37" w14:textId="77777777" w:rsidR="00D96A25" w:rsidRPr="0062711C" w:rsidRDefault="00D96A25" w:rsidP="00B51BEB">
      <w:pPr>
        <w:rPr>
          <w:spacing w:val="-2"/>
          <w:lang w:val="sr-Cyrl-RS"/>
        </w:rPr>
      </w:pPr>
    </w:p>
    <w:p w14:paraId="5F7039D2" w14:textId="77777777" w:rsidR="00D96A25" w:rsidRPr="0062711C" w:rsidRDefault="00D96A25" w:rsidP="00B51BEB">
      <w:pPr>
        <w:rPr>
          <w:lang w:val="sr-Cyrl-RS"/>
        </w:rPr>
      </w:pPr>
    </w:p>
    <w:p w14:paraId="6F6718E3" w14:textId="77777777" w:rsidR="00D96A25" w:rsidRPr="0062711C" w:rsidRDefault="00D96A25">
      <w:pPr>
        <w:jc w:val="left"/>
        <w:rPr>
          <w:rFonts w:ascii="Calibri" w:eastAsia="Calibri" w:hAnsi="Calibri" w:cs="Calibri"/>
          <w:color w:val="44546A"/>
          <w:lang w:val="sr-Cyrl-RS"/>
        </w:rPr>
      </w:pPr>
      <w:r w:rsidRPr="0062711C">
        <w:rPr>
          <w:rFonts w:ascii="Calibri" w:eastAsia="Calibri" w:hAnsi="Calibri" w:cs="Calibri"/>
          <w:color w:val="44546A"/>
          <w:lang w:val="sr-Cyrl-RS"/>
        </w:rPr>
        <w:br w:type="page"/>
      </w:r>
    </w:p>
    <w:p w14:paraId="173F7141" w14:textId="77777777" w:rsidR="009367BB" w:rsidRPr="0062711C" w:rsidRDefault="009367BB" w:rsidP="00953528">
      <w:pPr>
        <w:pStyle w:val="Heading1"/>
        <w:spacing w:after="160"/>
        <w:rPr>
          <w:rFonts w:asciiTheme="minorHAnsi" w:hAnsiTheme="minorHAnsi" w:cstheme="minorHAnsi"/>
          <w:color w:val="002060"/>
          <w:sz w:val="24"/>
          <w:szCs w:val="26"/>
          <w:lang w:val="sr-Cyrl-RS"/>
        </w:rPr>
      </w:pPr>
      <w:bookmarkStart w:id="98" w:name="_Toc170722313"/>
      <w:bookmarkStart w:id="99" w:name="_Toc146277923"/>
      <w:bookmarkStart w:id="100" w:name="_Toc148431276"/>
      <w:bookmarkStart w:id="101" w:name="_Toc119654152"/>
      <w:bookmarkStart w:id="102" w:name="_Toc135994509"/>
      <w:bookmarkStart w:id="103" w:name="_Toc86923730"/>
      <w:bookmarkStart w:id="104" w:name="_Toc23342474"/>
      <w:bookmarkStart w:id="105" w:name="_Toc530635112"/>
      <w:r w:rsidRPr="0062711C">
        <w:rPr>
          <w:rFonts w:asciiTheme="minorHAnsi" w:hAnsiTheme="minorHAnsi" w:cstheme="minorHAnsi"/>
          <w:color w:val="002060"/>
          <w:sz w:val="24"/>
          <w:szCs w:val="26"/>
          <w:lang w:val="sr-Cyrl-RS"/>
        </w:rPr>
        <w:lastRenderedPageBreak/>
        <w:t>Прилог 1 – Пројекција основних макроекономских индикатора</w:t>
      </w:r>
      <w:bookmarkEnd w:id="98"/>
    </w:p>
    <w:tbl>
      <w:tblPr>
        <w:tblStyle w:val="TableGrid1"/>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8"/>
        <w:gridCol w:w="1129"/>
        <w:gridCol w:w="1131"/>
        <w:gridCol w:w="1129"/>
        <w:gridCol w:w="1123"/>
      </w:tblGrid>
      <w:tr w:rsidR="009367BB" w:rsidRPr="0062711C" w14:paraId="5724EC58" w14:textId="77777777" w:rsidTr="00953528">
        <w:trPr>
          <w:trHeight w:val="551"/>
          <w:jc w:val="center"/>
        </w:trPr>
        <w:tc>
          <w:tcPr>
            <w:tcW w:w="2590" w:type="pct"/>
            <w:tcBorders>
              <w:top w:val="single" w:sz="4" w:space="0" w:color="002060"/>
              <w:bottom w:val="single" w:sz="4" w:space="0" w:color="002060"/>
            </w:tcBorders>
            <w:vAlign w:val="center"/>
            <w:hideMark/>
          </w:tcPr>
          <w:p w14:paraId="77E89709" w14:textId="77777777" w:rsidR="009367BB" w:rsidRPr="0062711C" w:rsidRDefault="009367BB" w:rsidP="00953528">
            <w:pPr>
              <w:rPr>
                <w:rFonts w:eastAsia="Calibri" w:cstheme="minorHAnsi"/>
                <w:iCs/>
                <w:color w:val="002060"/>
                <w:sz w:val="18"/>
                <w:szCs w:val="18"/>
                <w:lang w:val="sr-Cyrl-RS"/>
              </w:rPr>
            </w:pPr>
          </w:p>
        </w:tc>
        <w:tc>
          <w:tcPr>
            <w:tcW w:w="603" w:type="pct"/>
            <w:tcBorders>
              <w:top w:val="single" w:sz="4" w:space="0" w:color="002060"/>
              <w:bottom w:val="single" w:sz="4" w:space="0" w:color="002060"/>
            </w:tcBorders>
            <w:noWrap/>
            <w:vAlign w:val="center"/>
          </w:tcPr>
          <w:p w14:paraId="30F73EF7" w14:textId="77777777" w:rsidR="009367BB" w:rsidRPr="0062711C" w:rsidRDefault="009367BB" w:rsidP="00953528">
            <w:pPr>
              <w:jc w:val="center"/>
              <w:rPr>
                <w:rFonts w:eastAsia="Calibri" w:cstheme="minorHAnsi"/>
                <w:iCs/>
                <w:color w:val="002060"/>
                <w:szCs w:val="18"/>
                <w:lang w:val="sr-Cyrl-RS"/>
              </w:rPr>
            </w:pPr>
            <w:r w:rsidRPr="0062711C">
              <w:rPr>
                <w:rFonts w:eastAsia="Calibri" w:cstheme="minorHAnsi"/>
                <w:iCs/>
                <w:color w:val="002060"/>
                <w:szCs w:val="18"/>
                <w:lang w:val="sr-Cyrl-RS"/>
              </w:rPr>
              <w:t>2024</w:t>
            </w:r>
          </w:p>
        </w:tc>
        <w:tc>
          <w:tcPr>
            <w:tcW w:w="604" w:type="pct"/>
            <w:tcBorders>
              <w:top w:val="single" w:sz="4" w:space="0" w:color="002060"/>
              <w:bottom w:val="single" w:sz="4" w:space="0" w:color="002060"/>
            </w:tcBorders>
            <w:noWrap/>
            <w:vAlign w:val="center"/>
            <w:hideMark/>
          </w:tcPr>
          <w:p w14:paraId="1837459A" w14:textId="77777777" w:rsidR="009367BB" w:rsidRPr="0062711C" w:rsidRDefault="009367BB" w:rsidP="00953528">
            <w:pPr>
              <w:jc w:val="center"/>
              <w:rPr>
                <w:rFonts w:eastAsia="Calibri" w:cstheme="minorHAnsi"/>
                <w:iCs/>
                <w:color w:val="002060"/>
                <w:sz w:val="18"/>
                <w:szCs w:val="18"/>
                <w:lang w:val="sr-Cyrl-RS"/>
              </w:rPr>
            </w:pPr>
            <w:r w:rsidRPr="0062711C">
              <w:rPr>
                <w:color w:val="002060"/>
                <w:lang w:val="sr-Cyrl-RS"/>
              </w:rPr>
              <w:t>2025</w:t>
            </w:r>
          </w:p>
        </w:tc>
        <w:tc>
          <w:tcPr>
            <w:tcW w:w="603" w:type="pct"/>
            <w:tcBorders>
              <w:top w:val="single" w:sz="4" w:space="0" w:color="002060"/>
              <w:bottom w:val="single" w:sz="4" w:space="0" w:color="002060"/>
            </w:tcBorders>
            <w:noWrap/>
            <w:vAlign w:val="center"/>
            <w:hideMark/>
          </w:tcPr>
          <w:p w14:paraId="1B75DD72" w14:textId="77777777" w:rsidR="009367BB" w:rsidRPr="0062711C" w:rsidRDefault="009367BB" w:rsidP="00953528">
            <w:pPr>
              <w:jc w:val="center"/>
              <w:rPr>
                <w:rFonts w:eastAsia="Calibri" w:cstheme="minorHAnsi"/>
                <w:iCs/>
                <w:color w:val="002060"/>
                <w:sz w:val="18"/>
                <w:szCs w:val="18"/>
                <w:lang w:val="sr-Cyrl-RS"/>
              </w:rPr>
            </w:pPr>
            <w:r w:rsidRPr="0062711C">
              <w:rPr>
                <w:color w:val="002060"/>
                <w:lang w:val="sr-Cyrl-RS"/>
              </w:rPr>
              <w:t>2026</w:t>
            </w:r>
          </w:p>
        </w:tc>
        <w:tc>
          <w:tcPr>
            <w:tcW w:w="600" w:type="pct"/>
            <w:tcBorders>
              <w:top w:val="single" w:sz="4" w:space="0" w:color="002060"/>
              <w:bottom w:val="single" w:sz="4" w:space="0" w:color="002060"/>
            </w:tcBorders>
            <w:noWrap/>
            <w:vAlign w:val="center"/>
            <w:hideMark/>
          </w:tcPr>
          <w:p w14:paraId="13BD103F" w14:textId="77777777" w:rsidR="009367BB" w:rsidRPr="0062711C" w:rsidRDefault="009367BB" w:rsidP="00953528">
            <w:pPr>
              <w:jc w:val="center"/>
              <w:rPr>
                <w:rFonts w:eastAsia="Calibri" w:cstheme="minorHAnsi"/>
                <w:iCs/>
                <w:color w:val="002060"/>
                <w:sz w:val="18"/>
                <w:szCs w:val="18"/>
                <w:lang w:val="sr-Cyrl-RS"/>
              </w:rPr>
            </w:pPr>
            <w:r w:rsidRPr="0062711C">
              <w:rPr>
                <w:color w:val="002060"/>
                <w:lang w:val="sr-Cyrl-RS"/>
              </w:rPr>
              <w:t>2027</w:t>
            </w:r>
          </w:p>
        </w:tc>
      </w:tr>
      <w:tr w:rsidR="009367BB" w:rsidRPr="0062711C" w14:paraId="539F24CD" w14:textId="77777777" w:rsidTr="009367BB">
        <w:trPr>
          <w:trHeight w:val="281"/>
          <w:jc w:val="center"/>
        </w:trPr>
        <w:tc>
          <w:tcPr>
            <w:tcW w:w="2590" w:type="pct"/>
            <w:tcBorders>
              <w:top w:val="single" w:sz="4" w:space="0" w:color="002060"/>
            </w:tcBorders>
            <w:noWrap/>
            <w:vAlign w:val="center"/>
            <w:hideMark/>
          </w:tcPr>
          <w:p w14:paraId="3E8BD34C" w14:textId="77777777" w:rsidR="009367BB" w:rsidRPr="0062711C" w:rsidRDefault="009367BB" w:rsidP="009367BB">
            <w:pPr>
              <w:jc w:val="left"/>
              <w:rPr>
                <w:rFonts w:eastAsia="Calibri" w:cstheme="minorHAnsi"/>
                <w:color w:val="002060"/>
                <w:sz w:val="18"/>
                <w:szCs w:val="18"/>
                <w:lang w:val="sr-Cyrl-RS"/>
              </w:rPr>
            </w:pPr>
            <w:r w:rsidRPr="0062711C">
              <w:rPr>
                <w:rFonts w:eastAsia="Calibri" w:cstheme="minorHAnsi"/>
                <w:color w:val="002060"/>
                <w:sz w:val="18"/>
                <w:szCs w:val="18"/>
                <w:lang w:val="sr-Cyrl-RS"/>
              </w:rPr>
              <w:t>Стопа реалног раста БДП, %</w:t>
            </w:r>
          </w:p>
        </w:tc>
        <w:tc>
          <w:tcPr>
            <w:tcW w:w="603" w:type="pct"/>
            <w:tcBorders>
              <w:top w:val="nil"/>
              <w:left w:val="nil"/>
              <w:bottom w:val="nil"/>
              <w:right w:val="nil"/>
            </w:tcBorders>
            <w:shd w:val="clear" w:color="auto" w:fill="auto"/>
            <w:noWrap/>
            <w:vAlign w:val="center"/>
          </w:tcPr>
          <w:p w14:paraId="1535D098"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3,8</w:t>
            </w:r>
          </w:p>
        </w:tc>
        <w:tc>
          <w:tcPr>
            <w:tcW w:w="604" w:type="pct"/>
            <w:tcBorders>
              <w:top w:val="nil"/>
              <w:left w:val="nil"/>
              <w:bottom w:val="nil"/>
              <w:right w:val="nil"/>
            </w:tcBorders>
            <w:shd w:val="clear" w:color="auto" w:fill="auto"/>
            <w:noWrap/>
            <w:vAlign w:val="center"/>
          </w:tcPr>
          <w:p w14:paraId="4C9023B8"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4,2</w:t>
            </w:r>
          </w:p>
        </w:tc>
        <w:tc>
          <w:tcPr>
            <w:tcW w:w="603" w:type="pct"/>
            <w:tcBorders>
              <w:top w:val="nil"/>
              <w:left w:val="nil"/>
              <w:bottom w:val="nil"/>
              <w:right w:val="nil"/>
            </w:tcBorders>
            <w:shd w:val="clear" w:color="auto" w:fill="auto"/>
            <w:noWrap/>
            <w:vAlign w:val="center"/>
          </w:tcPr>
          <w:p w14:paraId="50B73524"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4,0</w:t>
            </w:r>
          </w:p>
        </w:tc>
        <w:tc>
          <w:tcPr>
            <w:tcW w:w="600" w:type="pct"/>
            <w:tcBorders>
              <w:top w:val="nil"/>
              <w:left w:val="nil"/>
              <w:bottom w:val="nil"/>
              <w:right w:val="nil"/>
            </w:tcBorders>
            <w:shd w:val="clear" w:color="auto" w:fill="auto"/>
            <w:noWrap/>
            <w:vAlign w:val="center"/>
          </w:tcPr>
          <w:p w14:paraId="1F7E841E"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4,0</w:t>
            </w:r>
          </w:p>
        </w:tc>
      </w:tr>
      <w:tr w:rsidR="009367BB" w:rsidRPr="0062711C" w14:paraId="6AFE6E44" w14:textId="77777777" w:rsidTr="009367BB">
        <w:trPr>
          <w:trHeight w:val="281"/>
          <w:jc w:val="center"/>
        </w:trPr>
        <w:tc>
          <w:tcPr>
            <w:tcW w:w="2590" w:type="pct"/>
            <w:noWrap/>
            <w:vAlign w:val="center"/>
            <w:hideMark/>
          </w:tcPr>
          <w:p w14:paraId="1B53A544" w14:textId="77777777" w:rsidR="009367BB" w:rsidRPr="0062711C" w:rsidRDefault="009367BB" w:rsidP="009367BB">
            <w:pPr>
              <w:jc w:val="left"/>
              <w:rPr>
                <w:rFonts w:eastAsia="Calibri" w:cstheme="minorHAnsi"/>
                <w:bCs/>
                <w:color w:val="002060"/>
                <w:sz w:val="18"/>
                <w:szCs w:val="18"/>
                <w:lang w:val="sr-Cyrl-RS"/>
              </w:rPr>
            </w:pPr>
            <w:r w:rsidRPr="0062711C">
              <w:rPr>
                <w:rFonts w:eastAsia="Calibri" w:cstheme="minorHAnsi"/>
                <w:color w:val="002060"/>
                <w:sz w:val="18"/>
                <w:szCs w:val="18"/>
                <w:lang w:val="sr-Cyrl-RS"/>
              </w:rPr>
              <w:t>БДП у текућим тржишним ценама (у млрд динара)</w:t>
            </w:r>
          </w:p>
        </w:tc>
        <w:tc>
          <w:tcPr>
            <w:tcW w:w="603" w:type="pct"/>
            <w:tcBorders>
              <w:top w:val="nil"/>
              <w:left w:val="nil"/>
              <w:bottom w:val="nil"/>
              <w:right w:val="nil"/>
            </w:tcBorders>
            <w:shd w:val="clear" w:color="auto" w:fill="auto"/>
            <w:noWrap/>
            <w:vAlign w:val="center"/>
          </w:tcPr>
          <w:p w14:paraId="72F7DE8B"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8.946,2</w:t>
            </w:r>
          </w:p>
        </w:tc>
        <w:tc>
          <w:tcPr>
            <w:tcW w:w="604" w:type="pct"/>
            <w:tcBorders>
              <w:top w:val="nil"/>
              <w:left w:val="nil"/>
              <w:bottom w:val="nil"/>
              <w:right w:val="nil"/>
            </w:tcBorders>
            <w:shd w:val="clear" w:color="auto" w:fill="auto"/>
            <w:noWrap/>
            <w:vAlign w:val="center"/>
          </w:tcPr>
          <w:p w14:paraId="2A216738"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9.628,9</w:t>
            </w:r>
          </w:p>
        </w:tc>
        <w:tc>
          <w:tcPr>
            <w:tcW w:w="603" w:type="pct"/>
            <w:tcBorders>
              <w:top w:val="nil"/>
              <w:left w:val="nil"/>
              <w:bottom w:val="nil"/>
              <w:right w:val="nil"/>
            </w:tcBorders>
            <w:shd w:val="clear" w:color="auto" w:fill="auto"/>
            <w:noWrap/>
            <w:vAlign w:val="center"/>
          </w:tcPr>
          <w:p w14:paraId="5E819866"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10.333,6</w:t>
            </w:r>
          </w:p>
        </w:tc>
        <w:tc>
          <w:tcPr>
            <w:tcW w:w="600" w:type="pct"/>
            <w:tcBorders>
              <w:top w:val="nil"/>
              <w:left w:val="nil"/>
              <w:bottom w:val="nil"/>
              <w:right w:val="nil"/>
            </w:tcBorders>
            <w:shd w:val="clear" w:color="auto" w:fill="auto"/>
            <w:noWrap/>
            <w:vAlign w:val="center"/>
          </w:tcPr>
          <w:p w14:paraId="2CC05EB7" w14:textId="77777777" w:rsidR="009367BB" w:rsidRPr="0062711C" w:rsidRDefault="009367BB" w:rsidP="009367BB">
            <w:pPr>
              <w:jc w:val="center"/>
              <w:rPr>
                <w:rFonts w:cstheme="minorHAnsi"/>
                <w:color w:val="002060"/>
                <w:sz w:val="18"/>
                <w:szCs w:val="18"/>
                <w:lang w:val="sr-Cyrl-RS"/>
              </w:rPr>
            </w:pPr>
            <w:r w:rsidRPr="0062711C">
              <w:rPr>
                <w:rFonts w:ascii="Calibri" w:hAnsi="Calibri" w:cs="Calibri"/>
                <w:color w:val="002060"/>
                <w:sz w:val="18"/>
                <w:szCs w:val="18"/>
                <w:lang w:val="sr-Cyrl-RS"/>
              </w:rPr>
              <w:t>11.087,3</w:t>
            </w:r>
          </w:p>
        </w:tc>
      </w:tr>
      <w:tr w:rsidR="009367BB" w:rsidRPr="0062711C" w14:paraId="7563C044" w14:textId="77777777" w:rsidTr="009367BB">
        <w:trPr>
          <w:trHeight w:val="281"/>
          <w:jc w:val="center"/>
        </w:trPr>
        <w:tc>
          <w:tcPr>
            <w:tcW w:w="2590" w:type="pct"/>
            <w:shd w:val="clear" w:color="auto" w:fill="E7E6E6" w:themeFill="background2"/>
            <w:noWrap/>
            <w:vAlign w:val="center"/>
            <w:hideMark/>
          </w:tcPr>
          <w:p w14:paraId="3DD91419" w14:textId="77777777" w:rsidR="009367BB" w:rsidRPr="0062711C" w:rsidRDefault="009367BB" w:rsidP="009367BB">
            <w:pPr>
              <w:jc w:val="left"/>
              <w:rPr>
                <w:rFonts w:eastAsia="Calibri" w:cstheme="minorHAnsi"/>
                <w:bCs/>
                <w:color w:val="002060"/>
                <w:sz w:val="18"/>
                <w:szCs w:val="18"/>
                <w:lang w:val="sr-Cyrl-RS"/>
              </w:rPr>
            </w:pPr>
            <w:r w:rsidRPr="0062711C">
              <w:rPr>
                <w:rFonts w:eastAsia="Calibri" w:cstheme="minorHAnsi"/>
                <w:iCs/>
                <w:color w:val="002060"/>
                <w:sz w:val="18"/>
                <w:szCs w:val="18"/>
                <w:lang w:val="sr-Cyrl-RS"/>
              </w:rPr>
              <w:t xml:space="preserve">Извори раста: процентне промене у </w:t>
            </w:r>
            <w:r w:rsidRPr="0062711C">
              <w:rPr>
                <w:rFonts w:eastAsia="Calibri" w:cstheme="minorHAnsi"/>
                <w:bCs/>
                <w:iCs/>
                <w:color w:val="002060"/>
                <w:sz w:val="18"/>
                <w:szCs w:val="18"/>
                <w:lang w:val="sr-Cyrl-RS"/>
              </w:rPr>
              <w:t>сталним</w:t>
            </w:r>
            <w:r w:rsidRPr="0062711C">
              <w:rPr>
                <w:rFonts w:eastAsia="Calibri" w:cstheme="minorHAnsi"/>
                <w:iCs/>
                <w:color w:val="002060"/>
                <w:sz w:val="18"/>
                <w:szCs w:val="18"/>
                <w:lang w:val="sr-Cyrl-RS"/>
              </w:rPr>
              <w:t xml:space="preserve"> ценама</w:t>
            </w:r>
          </w:p>
        </w:tc>
        <w:tc>
          <w:tcPr>
            <w:tcW w:w="603" w:type="pct"/>
            <w:tcBorders>
              <w:top w:val="nil"/>
              <w:left w:val="nil"/>
              <w:bottom w:val="nil"/>
              <w:right w:val="nil"/>
            </w:tcBorders>
            <w:shd w:val="clear" w:color="000000" w:fill="E7E6E6"/>
            <w:vAlign w:val="center"/>
          </w:tcPr>
          <w:p w14:paraId="4BE4E46A"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4" w:type="pct"/>
            <w:tcBorders>
              <w:top w:val="nil"/>
              <w:left w:val="nil"/>
              <w:bottom w:val="nil"/>
              <w:right w:val="nil"/>
            </w:tcBorders>
            <w:shd w:val="clear" w:color="000000" w:fill="E7E6E6"/>
            <w:vAlign w:val="center"/>
          </w:tcPr>
          <w:p w14:paraId="271B8E7A"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3" w:type="pct"/>
            <w:tcBorders>
              <w:top w:val="nil"/>
              <w:left w:val="nil"/>
              <w:bottom w:val="nil"/>
              <w:right w:val="nil"/>
            </w:tcBorders>
            <w:shd w:val="clear" w:color="000000" w:fill="E7E6E6"/>
            <w:vAlign w:val="center"/>
          </w:tcPr>
          <w:p w14:paraId="67359B3C"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0" w:type="pct"/>
            <w:tcBorders>
              <w:top w:val="nil"/>
              <w:left w:val="nil"/>
              <w:bottom w:val="nil"/>
              <w:right w:val="nil"/>
            </w:tcBorders>
            <w:shd w:val="clear" w:color="000000" w:fill="E7E6E6"/>
            <w:vAlign w:val="center"/>
          </w:tcPr>
          <w:p w14:paraId="0E91407D"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r>
      <w:tr w:rsidR="009367BB" w:rsidRPr="0062711C" w14:paraId="553332C4" w14:textId="77777777" w:rsidTr="009367BB">
        <w:trPr>
          <w:trHeight w:val="281"/>
          <w:jc w:val="center"/>
        </w:trPr>
        <w:tc>
          <w:tcPr>
            <w:tcW w:w="2590" w:type="pct"/>
            <w:noWrap/>
            <w:vAlign w:val="center"/>
            <w:hideMark/>
          </w:tcPr>
          <w:p w14:paraId="0ED3EE23"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Лична потрошња</w:t>
            </w:r>
          </w:p>
        </w:tc>
        <w:tc>
          <w:tcPr>
            <w:tcW w:w="603" w:type="pct"/>
            <w:tcBorders>
              <w:top w:val="nil"/>
              <w:left w:val="nil"/>
              <w:bottom w:val="nil"/>
              <w:right w:val="nil"/>
            </w:tcBorders>
            <w:shd w:val="clear" w:color="auto" w:fill="auto"/>
            <w:noWrap/>
            <w:vAlign w:val="center"/>
          </w:tcPr>
          <w:p w14:paraId="73636AE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4,5</w:t>
            </w:r>
          </w:p>
        </w:tc>
        <w:tc>
          <w:tcPr>
            <w:tcW w:w="604" w:type="pct"/>
            <w:tcBorders>
              <w:top w:val="nil"/>
              <w:left w:val="nil"/>
              <w:bottom w:val="nil"/>
              <w:right w:val="nil"/>
            </w:tcBorders>
            <w:shd w:val="clear" w:color="auto" w:fill="auto"/>
            <w:noWrap/>
            <w:vAlign w:val="center"/>
          </w:tcPr>
          <w:p w14:paraId="48086CD1"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3,9</w:t>
            </w:r>
          </w:p>
        </w:tc>
        <w:tc>
          <w:tcPr>
            <w:tcW w:w="603" w:type="pct"/>
            <w:tcBorders>
              <w:top w:val="nil"/>
              <w:left w:val="nil"/>
              <w:bottom w:val="nil"/>
              <w:right w:val="nil"/>
            </w:tcBorders>
            <w:shd w:val="clear" w:color="auto" w:fill="auto"/>
            <w:noWrap/>
            <w:vAlign w:val="center"/>
          </w:tcPr>
          <w:p w14:paraId="06436C9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3,0</w:t>
            </w:r>
          </w:p>
        </w:tc>
        <w:tc>
          <w:tcPr>
            <w:tcW w:w="600" w:type="pct"/>
            <w:tcBorders>
              <w:top w:val="nil"/>
              <w:left w:val="nil"/>
              <w:bottom w:val="nil"/>
              <w:right w:val="nil"/>
            </w:tcBorders>
            <w:shd w:val="clear" w:color="auto" w:fill="auto"/>
            <w:noWrap/>
            <w:vAlign w:val="center"/>
          </w:tcPr>
          <w:p w14:paraId="63A89399"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2,6</w:t>
            </w:r>
          </w:p>
        </w:tc>
      </w:tr>
      <w:tr w:rsidR="009367BB" w:rsidRPr="0062711C" w14:paraId="2459D9C1" w14:textId="77777777" w:rsidTr="009367BB">
        <w:trPr>
          <w:trHeight w:val="281"/>
          <w:jc w:val="center"/>
        </w:trPr>
        <w:tc>
          <w:tcPr>
            <w:tcW w:w="2590" w:type="pct"/>
            <w:noWrap/>
            <w:vAlign w:val="center"/>
            <w:hideMark/>
          </w:tcPr>
          <w:p w14:paraId="282F6F68"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Државна потрошња</w:t>
            </w:r>
          </w:p>
        </w:tc>
        <w:tc>
          <w:tcPr>
            <w:tcW w:w="603" w:type="pct"/>
            <w:tcBorders>
              <w:top w:val="nil"/>
              <w:left w:val="nil"/>
              <w:bottom w:val="nil"/>
              <w:right w:val="nil"/>
            </w:tcBorders>
            <w:shd w:val="clear" w:color="auto" w:fill="auto"/>
            <w:noWrap/>
            <w:vAlign w:val="center"/>
          </w:tcPr>
          <w:p w14:paraId="3ED1B95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2,4</w:t>
            </w:r>
          </w:p>
        </w:tc>
        <w:tc>
          <w:tcPr>
            <w:tcW w:w="604" w:type="pct"/>
            <w:tcBorders>
              <w:top w:val="nil"/>
              <w:left w:val="nil"/>
              <w:bottom w:val="nil"/>
              <w:right w:val="nil"/>
            </w:tcBorders>
            <w:shd w:val="clear" w:color="auto" w:fill="auto"/>
            <w:noWrap/>
            <w:vAlign w:val="center"/>
          </w:tcPr>
          <w:p w14:paraId="0EBFAF79"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2,1</w:t>
            </w:r>
          </w:p>
        </w:tc>
        <w:tc>
          <w:tcPr>
            <w:tcW w:w="603" w:type="pct"/>
            <w:tcBorders>
              <w:top w:val="nil"/>
              <w:left w:val="nil"/>
              <w:bottom w:val="nil"/>
              <w:right w:val="nil"/>
            </w:tcBorders>
            <w:shd w:val="clear" w:color="auto" w:fill="auto"/>
            <w:noWrap/>
            <w:vAlign w:val="center"/>
          </w:tcPr>
          <w:p w14:paraId="6ABB7445"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2,3</w:t>
            </w:r>
          </w:p>
        </w:tc>
        <w:tc>
          <w:tcPr>
            <w:tcW w:w="600" w:type="pct"/>
            <w:tcBorders>
              <w:top w:val="nil"/>
              <w:left w:val="nil"/>
              <w:bottom w:val="nil"/>
              <w:right w:val="nil"/>
            </w:tcBorders>
            <w:shd w:val="clear" w:color="auto" w:fill="auto"/>
            <w:noWrap/>
            <w:vAlign w:val="center"/>
          </w:tcPr>
          <w:p w14:paraId="3468679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2,0</w:t>
            </w:r>
          </w:p>
        </w:tc>
      </w:tr>
      <w:tr w:rsidR="009367BB" w:rsidRPr="0062711C" w14:paraId="76F1EE49" w14:textId="77777777" w:rsidTr="009367BB">
        <w:trPr>
          <w:trHeight w:val="281"/>
          <w:jc w:val="center"/>
        </w:trPr>
        <w:tc>
          <w:tcPr>
            <w:tcW w:w="2590" w:type="pct"/>
            <w:noWrap/>
            <w:vAlign w:val="center"/>
            <w:hideMark/>
          </w:tcPr>
          <w:p w14:paraId="26037DCF"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Инвестиције у основна средства</w:t>
            </w:r>
          </w:p>
        </w:tc>
        <w:tc>
          <w:tcPr>
            <w:tcW w:w="603" w:type="pct"/>
            <w:tcBorders>
              <w:top w:val="nil"/>
              <w:left w:val="nil"/>
              <w:bottom w:val="nil"/>
              <w:right w:val="nil"/>
            </w:tcBorders>
            <w:shd w:val="clear" w:color="auto" w:fill="auto"/>
            <w:noWrap/>
            <w:vAlign w:val="center"/>
          </w:tcPr>
          <w:p w14:paraId="6EFE269E"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8,9</w:t>
            </w:r>
          </w:p>
        </w:tc>
        <w:tc>
          <w:tcPr>
            <w:tcW w:w="604" w:type="pct"/>
            <w:tcBorders>
              <w:top w:val="nil"/>
              <w:left w:val="nil"/>
              <w:bottom w:val="nil"/>
              <w:right w:val="nil"/>
            </w:tcBorders>
            <w:shd w:val="clear" w:color="auto" w:fill="auto"/>
            <w:noWrap/>
            <w:vAlign w:val="center"/>
          </w:tcPr>
          <w:p w14:paraId="271C72F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7,7</w:t>
            </w:r>
          </w:p>
        </w:tc>
        <w:tc>
          <w:tcPr>
            <w:tcW w:w="603" w:type="pct"/>
            <w:tcBorders>
              <w:top w:val="nil"/>
              <w:left w:val="nil"/>
              <w:bottom w:val="nil"/>
              <w:right w:val="nil"/>
            </w:tcBorders>
            <w:shd w:val="clear" w:color="auto" w:fill="auto"/>
            <w:noWrap/>
            <w:vAlign w:val="center"/>
          </w:tcPr>
          <w:p w14:paraId="0974037E"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7,0</w:t>
            </w:r>
          </w:p>
        </w:tc>
        <w:tc>
          <w:tcPr>
            <w:tcW w:w="600" w:type="pct"/>
            <w:tcBorders>
              <w:top w:val="nil"/>
              <w:left w:val="nil"/>
              <w:bottom w:val="nil"/>
              <w:right w:val="nil"/>
            </w:tcBorders>
            <w:shd w:val="clear" w:color="auto" w:fill="auto"/>
            <w:noWrap/>
            <w:vAlign w:val="center"/>
          </w:tcPr>
          <w:p w14:paraId="42B6B95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7,0</w:t>
            </w:r>
          </w:p>
        </w:tc>
      </w:tr>
      <w:tr w:rsidR="009367BB" w:rsidRPr="0062711C" w14:paraId="61CB4432" w14:textId="77777777" w:rsidTr="009367BB">
        <w:trPr>
          <w:trHeight w:val="281"/>
          <w:jc w:val="center"/>
        </w:trPr>
        <w:tc>
          <w:tcPr>
            <w:tcW w:w="2590" w:type="pct"/>
            <w:noWrap/>
            <w:vAlign w:val="center"/>
            <w:hideMark/>
          </w:tcPr>
          <w:p w14:paraId="3A4F6DFE"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Извоз робе и услуга</w:t>
            </w:r>
          </w:p>
        </w:tc>
        <w:tc>
          <w:tcPr>
            <w:tcW w:w="603" w:type="pct"/>
            <w:tcBorders>
              <w:top w:val="nil"/>
              <w:left w:val="nil"/>
              <w:bottom w:val="nil"/>
              <w:right w:val="nil"/>
            </w:tcBorders>
            <w:shd w:val="clear" w:color="auto" w:fill="auto"/>
            <w:noWrap/>
            <w:vAlign w:val="center"/>
          </w:tcPr>
          <w:p w14:paraId="143B6C5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7,0</w:t>
            </w:r>
          </w:p>
        </w:tc>
        <w:tc>
          <w:tcPr>
            <w:tcW w:w="604" w:type="pct"/>
            <w:tcBorders>
              <w:top w:val="nil"/>
              <w:left w:val="nil"/>
              <w:bottom w:val="nil"/>
              <w:right w:val="nil"/>
            </w:tcBorders>
            <w:shd w:val="clear" w:color="auto" w:fill="auto"/>
            <w:noWrap/>
            <w:vAlign w:val="center"/>
          </w:tcPr>
          <w:p w14:paraId="46B7E88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7,9</w:t>
            </w:r>
          </w:p>
        </w:tc>
        <w:tc>
          <w:tcPr>
            <w:tcW w:w="603" w:type="pct"/>
            <w:tcBorders>
              <w:top w:val="nil"/>
              <w:left w:val="nil"/>
              <w:bottom w:val="nil"/>
              <w:right w:val="nil"/>
            </w:tcBorders>
            <w:shd w:val="clear" w:color="auto" w:fill="auto"/>
            <w:noWrap/>
            <w:vAlign w:val="center"/>
          </w:tcPr>
          <w:p w14:paraId="186028E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8,0</w:t>
            </w:r>
          </w:p>
        </w:tc>
        <w:tc>
          <w:tcPr>
            <w:tcW w:w="600" w:type="pct"/>
            <w:tcBorders>
              <w:top w:val="nil"/>
              <w:left w:val="nil"/>
              <w:bottom w:val="nil"/>
              <w:right w:val="nil"/>
            </w:tcBorders>
            <w:shd w:val="clear" w:color="auto" w:fill="auto"/>
            <w:noWrap/>
            <w:vAlign w:val="center"/>
          </w:tcPr>
          <w:p w14:paraId="3C0D3587"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8,8</w:t>
            </w:r>
          </w:p>
        </w:tc>
      </w:tr>
      <w:tr w:rsidR="009367BB" w:rsidRPr="0062711C" w14:paraId="2DC1C6BC" w14:textId="77777777" w:rsidTr="009367BB">
        <w:trPr>
          <w:trHeight w:val="281"/>
          <w:jc w:val="center"/>
        </w:trPr>
        <w:tc>
          <w:tcPr>
            <w:tcW w:w="2590" w:type="pct"/>
            <w:noWrap/>
            <w:vAlign w:val="center"/>
          </w:tcPr>
          <w:p w14:paraId="4E042F4B"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bCs/>
                <w:color w:val="002060"/>
                <w:sz w:val="18"/>
                <w:szCs w:val="18"/>
                <w:lang w:val="sr-Cyrl-RS"/>
              </w:rPr>
              <w:t>Увоз робе и услуга</w:t>
            </w:r>
          </w:p>
        </w:tc>
        <w:tc>
          <w:tcPr>
            <w:tcW w:w="603" w:type="pct"/>
            <w:tcBorders>
              <w:top w:val="nil"/>
              <w:left w:val="nil"/>
              <w:bottom w:val="nil"/>
              <w:right w:val="nil"/>
            </w:tcBorders>
            <w:shd w:val="clear" w:color="auto" w:fill="auto"/>
            <w:noWrap/>
            <w:vAlign w:val="center"/>
          </w:tcPr>
          <w:p w14:paraId="1197372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8,6</w:t>
            </w:r>
          </w:p>
        </w:tc>
        <w:tc>
          <w:tcPr>
            <w:tcW w:w="604" w:type="pct"/>
            <w:tcBorders>
              <w:top w:val="nil"/>
              <w:left w:val="nil"/>
              <w:bottom w:val="nil"/>
              <w:right w:val="nil"/>
            </w:tcBorders>
            <w:shd w:val="clear" w:color="auto" w:fill="auto"/>
            <w:noWrap/>
            <w:vAlign w:val="center"/>
          </w:tcPr>
          <w:p w14:paraId="712A8929"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8,0</w:t>
            </w:r>
          </w:p>
        </w:tc>
        <w:tc>
          <w:tcPr>
            <w:tcW w:w="603" w:type="pct"/>
            <w:tcBorders>
              <w:top w:val="nil"/>
              <w:left w:val="nil"/>
              <w:bottom w:val="nil"/>
              <w:right w:val="nil"/>
            </w:tcBorders>
            <w:shd w:val="clear" w:color="auto" w:fill="auto"/>
            <w:noWrap/>
            <w:vAlign w:val="center"/>
          </w:tcPr>
          <w:p w14:paraId="07DCCF2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7,2</w:t>
            </w:r>
          </w:p>
        </w:tc>
        <w:tc>
          <w:tcPr>
            <w:tcW w:w="600" w:type="pct"/>
            <w:tcBorders>
              <w:top w:val="nil"/>
              <w:left w:val="nil"/>
              <w:bottom w:val="nil"/>
              <w:right w:val="nil"/>
            </w:tcBorders>
            <w:shd w:val="clear" w:color="auto" w:fill="auto"/>
            <w:noWrap/>
            <w:vAlign w:val="center"/>
          </w:tcPr>
          <w:p w14:paraId="3D02C16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7,5</w:t>
            </w:r>
          </w:p>
        </w:tc>
      </w:tr>
      <w:tr w:rsidR="009367BB" w:rsidRPr="0062711C" w14:paraId="379C9BDA" w14:textId="77777777" w:rsidTr="009367BB">
        <w:trPr>
          <w:trHeight w:val="281"/>
          <w:jc w:val="center"/>
        </w:trPr>
        <w:tc>
          <w:tcPr>
            <w:tcW w:w="2590" w:type="pct"/>
            <w:shd w:val="clear" w:color="auto" w:fill="E7E6E6" w:themeFill="background2"/>
            <w:noWrap/>
            <w:vAlign w:val="center"/>
            <w:hideMark/>
          </w:tcPr>
          <w:p w14:paraId="7DF1F6FB" w14:textId="77777777" w:rsidR="009367BB" w:rsidRPr="0062711C" w:rsidRDefault="009367BB" w:rsidP="009367BB">
            <w:pPr>
              <w:jc w:val="left"/>
              <w:rPr>
                <w:rFonts w:eastAsia="Calibri" w:cstheme="minorHAnsi"/>
                <w:bCs/>
                <w:iCs/>
                <w:color w:val="002060"/>
                <w:sz w:val="18"/>
                <w:szCs w:val="18"/>
                <w:lang w:val="sr-Cyrl-RS"/>
              </w:rPr>
            </w:pPr>
            <w:r w:rsidRPr="0062711C">
              <w:rPr>
                <w:rFonts w:eastAsia="Calibri" w:cstheme="minorHAnsi"/>
                <w:iCs/>
                <w:color w:val="002060"/>
                <w:sz w:val="18"/>
                <w:szCs w:val="18"/>
                <w:lang w:val="sr-Cyrl-RS"/>
              </w:rPr>
              <w:t>Допринос расту БДП</w:t>
            </w:r>
            <w:r w:rsidRPr="0062711C">
              <w:rPr>
                <w:rFonts w:eastAsia="Calibri" w:cstheme="minorHAnsi"/>
                <w:bCs/>
                <w:iCs/>
                <w:color w:val="002060"/>
                <w:sz w:val="18"/>
                <w:szCs w:val="18"/>
                <w:lang w:val="sr-Cyrl-RS"/>
              </w:rPr>
              <w:t>, процентни поени</w:t>
            </w:r>
          </w:p>
        </w:tc>
        <w:tc>
          <w:tcPr>
            <w:tcW w:w="603" w:type="pct"/>
            <w:tcBorders>
              <w:top w:val="nil"/>
              <w:left w:val="nil"/>
              <w:bottom w:val="nil"/>
              <w:right w:val="nil"/>
            </w:tcBorders>
            <w:shd w:val="clear" w:color="000000" w:fill="E7E6E6"/>
            <w:noWrap/>
            <w:vAlign w:val="center"/>
          </w:tcPr>
          <w:p w14:paraId="469CEF79" w14:textId="77777777" w:rsidR="009367BB" w:rsidRPr="0062711C" w:rsidRDefault="009367BB" w:rsidP="009367BB">
            <w:pPr>
              <w:jc w:val="center"/>
              <w:rPr>
                <w:rFonts w:eastAsia="Calibri" w:cstheme="minorHAnsi"/>
                <w:iCs/>
                <w:color w:val="002060"/>
                <w:sz w:val="18"/>
                <w:szCs w:val="18"/>
                <w:lang w:val="sr-Cyrl-RS"/>
              </w:rPr>
            </w:pPr>
            <w:r w:rsidRPr="0062711C">
              <w:rPr>
                <w:rFonts w:ascii="Calibri" w:hAnsi="Calibri" w:cs="Calibri"/>
                <w:color w:val="002060"/>
                <w:sz w:val="18"/>
                <w:szCs w:val="18"/>
                <w:lang w:val="sr-Cyrl-RS"/>
              </w:rPr>
              <w:t> </w:t>
            </w:r>
          </w:p>
        </w:tc>
        <w:tc>
          <w:tcPr>
            <w:tcW w:w="604" w:type="pct"/>
            <w:tcBorders>
              <w:top w:val="nil"/>
              <w:left w:val="nil"/>
              <w:bottom w:val="nil"/>
              <w:right w:val="nil"/>
            </w:tcBorders>
            <w:shd w:val="clear" w:color="000000" w:fill="E7E6E6"/>
            <w:noWrap/>
            <w:vAlign w:val="center"/>
          </w:tcPr>
          <w:p w14:paraId="0D9BCB34"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3" w:type="pct"/>
            <w:tcBorders>
              <w:top w:val="nil"/>
              <w:left w:val="nil"/>
              <w:bottom w:val="nil"/>
              <w:right w:val="nil"/>
            </w:tcBorders>
            <w:shd w:val="clear" w:color="000000" w:fill="E7E6E6"/>
            <w:noWrap/>
            <w:vAlign w:val="center"/>
          </w:tcPr>
          <w:p w14:paraId="2CCF3FFE"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0" w:type="pct"/>
            <w:tcBorders>
              <w:top w:val="nil"/>
              <w:left w:val="nil"/>
              <w:bottom w:val="nil"/>
              <w:right w:val="nil"/>
            </w:tcBorders>
            <w:shd w:val="clear" w:color="000000" w:fill="E7E6E6"/>
            <w:noWrap/>
            <w:vAlign w:val="center"/>
          </w:tcPr>
          <w:p w14:paraId="25D6AC4C"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r>
      <w:tr w:rsidR="009367BB" w:rsidRPr="0062711C" w14:paraId="04891778" w14:textId="77777777" w:rsidTr="009367BB">
        <w:trPr>
          <w:trHeight w:val="281"/>
          <w:jc w:val="center"/>
        </w:trPr>
        <w:tc>
          <w:tcPr>
            <w:tcW w:w="2590" w:type="pct"/>
            <w:noWrap/>
            <w:vAlign w:val="center"/>
            <w:hideMark/>
          </w:tcPr>
          <w:p w14:paraId="0E13D589"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Домаћа тражња</w:t>
            </w:r>
          </w:p>
        </w:tc>
        <w:tc>
          <w:tcPr>
            <w:tcW w:w="603" w:type="pct"/>
            <w:tcBorders>
              <w:top w:val="nil"/>
              <w:left w:val="nil"/>
              <w:bottom w:val="nil"/>
              <w:right w:val="nil"/>
            </w:tcBorders>
            <w:shd w:val="clear" w:color="auto" w:fill="auto"/>
            <w:noWrap/>
            <w:vAlign w:val="center"/>
          </w:tcPr>
          <w:p w14:paraId="29F3AC5B"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5,7</w:t>
            </w:r>
          </w:p>
        </w:tc>
        <w:tc>
          <w:tcPr>
            <w:tcW w:w="604" w:type="pct"/>
            <w:tcBorders>
              <w:top w:val="nil"/>
              <w:left w:val="nil"/>
              <w:bottom w:val="nil"/>
              <w:right w:val="nil"/>
            </w:tcBorders>
            <w:shd w:val="clear" w:color="auto" w:fill="auto"/>
            <w:noWrap/>
            <w:vAlign w:val="center"/>
          </w:tcPr>
          <w:p w14:paraId="0427F2C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5,1</w:t>
            </w:r>
          </w:p>
        </w:tc>
        <w:tc>
          <w:tcPr>
            <w:tcW w:w="603" w:type="pct"/>
            <w:tcBorders>
              <w:top w:val="nil"/>
              <w:left w:val="nil"/>
              <w:bottom w:val="nil"/>
              <w:right w:val="nil"/>
            </w:tcBorders>
            <w:shd w:val="clear" w:color="auto" w:fill="auto"/>
            <w:noWrap/>
            <w:vAlign w:val="center"/>
          </w:tcPr>
          <w:p w14:paraId="0B98ABD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4,2</w:t>
            </w:r>
          </w:p>
        </w:tc>
        <w:tc>
          <w:tcPr>
            <w:tcW w:w="600" w:type="pct"/>
            <w:tcBorders>
              <w:top w:val="nil"/>
              <w:left w:val="nil"/>
              <w:bottom w:val="nil"/>
              <w:right w:val="nil"/>
            </w:tcBorders>
            <w:shd w:val="clear" w:color="auto" w:fill="auto"/>
            <w:noWrap/>
            <w:vAlign w:val="center"/>
          </w:tcPr>
          <w:p w14:paraId="7B04DC6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3,9</w:t>
            </w:r>
          </w:p>
        </w:tc>
      </w:tr>
      <w:tr w:rsidR="009367BB" w:rsidRPr="0062711C" w14:paraId="0878DDB4" w14:textId="77777777" w:rsidTr="009367BB">
        <w:trPr>
          <w:trHeight w:val="281"/>
          <w:jc w:val="center"/>
        </w:trPr>
        <w:tc>
          <w:tcPr>
            <w:tcW w:w="2590" w:type="pct"/>
            <w:noWrap/>
            <w:vAlign w:val="center"/>
            <w:hideMark/>
          </w:tcPr>
          <w:p w14:paraId="1A56105E"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Лична потрошња</w:t>
            </w:r>
          </w:p>
        </w:tc>
        <w:tc>
          <w:tcPr>
            <w:tcW w:w="603" w:type="pct"/>
            <w:tcBorders>
              <w:top w:val="nil"/>
              <w:left w:val="nil"/>
              <w:bottom w:val="nil"/>
              <w:right w:val="nil"/>
            </w:tcBorders>
            <w:shd w:val="clear" w:color="auto" w:fill="auto"/>
            <w:noWrap/>
            <w:vAlign w:val="center"/>
          </w:tcPr>
          <w:p w14:paraId="72BE9B5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3,1</w:t>
            </w:r>
          </w:p>
        </w:tc>
        <w:tc>
          <w:tcPr>
            <w:tcW w:w="604" w:type="pct"/>
            <w:tcBorders>
              <w:top w:val="nil"/>
              <w:left w:val="nil"/>
              <w:bottom w:val="nil"/>
              <w:right w:val="nil"/>
            </w:tcBorders>
            <w:shd w:val="clear" w:color="auto" w:fill="auto"/>
            <w:noWrap/>
            <w:vAlign w:val="center"/>
          </w:tcPr>
          <w:p w14:paraId="155A7DD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2,7</w:t>
            </w:r>
          </w:p>
        </w:tc>
        <w:tc>
          <w:tcPr>
            <w:tcW w:w="603" w:type="pct"/>
            <w:tcBorders>
              <w:top w:val="nil"/>
              <w:left w:val="nil"/>
              <w:bottom w:val="nil"/>
              <w:right w:val="nil"/>
            </w:tcBorders>
            <w:shd w:val="clear" w:color="auto" w:fill="auto"/>
            <w:noWrap/>
            <w:vAlign w:val="center"/>
          </w:tcPr>
          <w:p w14:paraId="4B99CF0F"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2,1</w:t>
            </w:r>
          </w:p>
        </w:tc>
        <w:tc>
          <w:tcPr>
            <w:tcW w:w="600" w:type="pct"/>
            <w:tcBorders>
              <w:top w:val="nil"/>
              <w:left w:val="nil"/>
              <w:bottom w:val="nil"/>
              <w:right w:val="nil"/>
            </w:tcBorders>
            <w:shd w:val="clear" w:color="auto" w:fill="auto"/>
            <w:noWrap/>
            <w:vAlign w:val="center"/>
          </w:tcPr>
          <w:p w14:paraId="66A9504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1,8</w:t>
            </w:r>
          </w:p>
        </w:tc>
      </w:tr>
      <w:tr w:rsidR="009367BB" w:rsidRPr="0062711C" w14:paraId="0D9D1267" w14:textId="77777777" w:rsidTr="009367BB">
        <w:trPr>
          <w:trHeight w:val="281"/>
          <w:jc w:val="center"/>
        </w:trPr>
        <w:tc>
          <w:tcPr>
            <w:tcW w:w="2590" w:type="pct"/>
            <w:noWrap/>
            <w:vAlign w:val="center"/>
            <w:hideMark/>
          </w:tcPr>
          <w:p w14:paraId="1FDE012F"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Државна потрошња</w:t>
            </w:r>
          </w:p>
        </w:tc>
        <w:tc>
          <w:tcPr>
            <w:tcW w:w="603" w:type="pct"/>
            <w:tcBorders>
              <w:top w:val="nil"/>
              <w:left w:val="nil"/>
              <w:bottom w:val="nil"/>
              <w:right w:val="nil"/>
            </w:tcBorders>
            <w:shd w:val="clear" w:color="auto" w:fill="auto"/>
            <w:noWrap/>
            <w:vAlign w:val="center"/>
          </w:tcPr>
          <w:p w14:paraId="22E023CB"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0,4</w:t>
            </w:r>
          </w:p>
        </w:tc>
        <w:tc>
          <w:tcPr>
            <w:tcW w:w="604" w:type="pct"/>
            <w:tcBorders>
              <w:top w:val="nil"/>
              <w:left w:val="nil"/>
              <w:bottom w:val="nil"/>
              <w:right w:val="nil"/>
            </w:tcBorders>
            <w:shd w:val="clear" w:color="auto" w:fill="auto"/>
            <w:noWrap/>
            <w:vAlign w:val="center"/>
          </w:tcPr>
          <w:p w14:paraId="0BC9F3A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0,3</w:t>
            </w:r>
          </w:p>
        </w:tc>
        <w:tc>
          <w:tcPr>
            <w:tcW w:w="603" w:type="pct"/>
            <w:tcBorders>
              <w:top w:val="nil"/>
              <w:left w:val="nil"/>
              <w:bottom w:val="nil"/>
              <w:right w:val="nil"/>
            </w:tcBorders>
            <w:shd w:val="clear" w:color="auto" w:fill="auto"/>
            <w:noWrap/>
            <w:vAlign w:val="center"/>
          </w:tcPr>
          <w:p w14:paraId="5D95C78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0,3</w:t>
            </w:r>
          </w:p>
        </w:tc>
        <w:tc>
          <w:tcPr>
            <w:tcW w:w="600" w:type="pct"/>
            <w:tcBorders>
              <w:top w:val="nil"/>
              <w:left w:val="nil"/>
              <w:bottom w:val="nil"/>
              <w:right w:val="nil"/>
            </w:tcBorders>
            <w:shd w:val="clear" w:color="auto" w:fill="auto"/>
            <w:noWrap/>
            <w:vAlign w:val="center"/>
          </w:tcPr>
          <w:p w14:paraId="561563A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0,3</w:t>
            </w:r>
          </w:p>
        </w:tc>
      </w:tr>
      <w:tr w:rsidR="009367BB" w:rsidRPr="0062711C" w14:paraId="63808D37" w14:textId="77777777" w:rsidTr="009367BB">
        <w:trPr>
          <w:trHeight w:val="281"/>
          <w:jc w:val="center"/>
        </w:trPr>
        <w:tc>
          <w:tcPr>
            <w:tcW w:w="2590" w:type="pct"/>
            <w:vAlign w:val="center"/>
          </w:tcPr>
          <w:p w14:paraId="5DD7C23F"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Инвестиције у основна средства</w:t>
            </w:r>
          </w:p>
        </w:tc>
        <w:tc>
          <w:tcPr>
            <w:tcW w:w="603" w:type="pct"/>
            <w:tcBorders>
              <w:top w:val="nil"/>
              <w:left w:val="nil"/>
              <w:bottom w:val="nil"/>
              <w:right w:val="nil"/>
            </w:tcBorders>
            <w:shd w:val="clear" w:color="auto" w:fill="auto"/>
            <w:noWrap/>
            <w:vAlign w:val="center"/>
          </w:tcPr>
          <w:p w14:paraId="3943DA0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2,2</w:t>
            </w:r>
          </w:p>
        </w:tc>
        <w:tc>
          <w:tcPr>
            <w:tcW w:w="604" w:type="pct"/>
            <w:tcBorders>
              <w:top w:val="nil"/>
              <w:left w:val="nil"/>
              <w:bottom w:val="nil"/>
              <w:right w:val="nil"/>
            </w:tcBorders>
            <w:shd w:val="clear" w:color="auto" w:fill="auto"/>
            <w:noWrap/>
            <w:vAlign w:val="center"/>
          </w:tcPr>
          <w:p w14:paraId="7B0F408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2,0</w:t>
            </w:r>
          </w:p>
        </w:tc>
        <w:tc>
          <w:tcPr>
            <w:tcW w:w="603" w:type="pct"/>
            <w:tcBorders>
              <w:top w:val="nil"/>
              <w:left w:val="nil"/>
              <w:bottom w:val="nil"/>
              <w:right w:val="nil"/>
            </w:tcBorders>
            <w:shd w:val="clear" w:color="auto" w:fill="auto"/>
            <w:noWrap/>
            <w:vAlign w:val="center"/>
          </w:tcPr>
          <w:p w14:paraId="132ACDD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1,9</w:t>
            </w:r>
          </w:p>
        </w:tc>
        <w:tc>
          <w:tcPr>
            <w:tcW w:w="600" w:type="pct"/>
            <w:tcBorders>
              <w:top w:val="nil"/>
              <w:left w:val="nil"/>
              <w:bottom w:val="nil"/>
              <w:right w:val="nil"/>
            </w:tcBorders>
            <w:shd w:val="clear" w:color="auto" w:fill="auto"/>
            <w:noWrap/>
            <w:vAlign w:val="center"/>
          </w:tcPr>
          <w:p w14:paraId="6C285CE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1,9</w:t>
            </w:r>
          </w:p>
        </w:tc>
      </w:tr>
      <w:tr w:rsidR="009367BB" w:rsidRPr="0062711C" w14:paraId="39A1F3CB" w14:textId="77777777" w:rsidTr="009367BB">
        <w:trPr>
          <w:trHeight w:val="281"/>
          <w:jc w:val="center"/>
        </w:trPr>
        <w:tc>
          <w:tcPr>
            <w:tcW w:w="2590" w:type="pct"/>
            <w:vAlign w:val="center"/>
            <w:hideMark/>
          </w:tcPr>
          <w:p w14:paraId="55B65085"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Промена у залихама</w:t>
            </w:r>
          </w:p>
        </w:tc>
        <w:tc>
          <w:tcPr>
            <w:tcW w:w="603" w:type="pct"/>
            <w:tcBorders>
              <w:top w:val="nil"/>
              <w:left w:val="nil"/>
              <w:bottom w:val="nil"/>
              <w:right w:val="nil"/>
            </w:tcBorders>
            <w:shd w:val="clear" w:color="auto" w:fill="auto"/>
            <w:noWrap/>
            <w:vAlign w:val="center"/>
          </w:tcPr>
          <w:p w14:paraId="4E3BDA7A"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c>
          <w:tcPr>
            <w:tcW w:w="604" w:type="pct"/>
            <w:tcBorders>
              <w:top w:val="nil"/>
              <w:left w:val="nil"/>
              <w:bottom w:val="nil"/>
              <w:right w:val="nil"/>
            </w:tcBorders>
            <w:shd w:val="clear" w:color="auto" w:fill="auto"/>
            <w:noWrap/>
            <w:vAlign w:val="center"/>
          </w:tcPr>
          <w:p w14:paraId="69396431"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c>
          <w:tcPr>
            <w:tcW w:w="603" w:type="pct"/>
            <w:tcBorders>
              <w:top w:val="nil"/>
              <w:left w:val="nil"/>
              <w:bottom w:val="nil"/>
              <w:right w:val="nil"/>
            </w:tcBorders>
            <w:shd w:val="clear" w:color="auto" w:fill="auto"/>
            <w:noWrap/>
            <w:vAlign w:val="center"/>
          </w:tcPr>
          <w:p w14:paraId="59C59EE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c>
          <w:tcPr>
            <w:tcW w:w="600" w:type="pct"/>
            <w:tcBorders>
              <w:top w:val="nil"/>
              <w:left w:val="nil"/>
              <w:bottom w:val="nil"/>
              <w:right w:val="nil"/>
            </w:tcBorders>
            <w:shd w:val="clear" w:color="auto" w:fill="auto"/>
            <w:noWrap/>
            <w:vAlign w:val="center"/>
          </w:tcPr>
          <w:p w14:paraId="0D6D6AA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r>
      <w:tr w:rsidR="009367BB" w:rsidRPr="0062711C" w14:paraId="7054B26E" w14:textId="77777777" w:rsidTr="009367BB">
        <w:trPr>
          <w:trHeight w:val="281"/>
          <w:jc w:val="center"/>
        </w:trPr>
        <w:tc>
          <w:tcPr>
            <w:tcW w:w="2590" w:type="pct"/>
            <w:noWrap/>
            <w:vAlign w:val="center"/>
            <w:hideMark/>
          </w:tcPr>
          <w:p w14:paraId="15128C23"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Нето извоз робе и услуга</w:t>
            </w:r>
          </w:p>
        </w:tc>
        <w:tc>
          <w:tcPr>
            <w:tcW w:w="603" w:type="pct"/>
            <w:tcBorders>
              <w:top w:val="nil"/>
              <w:left w:val="nil"/>
              <w:bottom w:val="nil"/>
              <w:right w:val="nil"/>
            </w:tcBorders>
            <w:shd w:val="clear" w:color="auto" w:fill="auto"/>
            <w:noWrap/>
            <w:vAlign w:val="center"/>
          </w:tcPr>
          <w:p w14:paraId="0396E8F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-1,9</w:t>
            </w:r>
          </w:p>
        </w:tc>
        <w:tc>
          <w:tcPr>
            <w:tcW w:w="604" w:type="pct"/>
            <w:tcBorders>
              <w:top w:val="nil"/>
              <w:left w:val="nil"/>
              <w:bottom w:val="nil"/>
              <w:right w:val="nil"/>
            </w:tcBorders>
            <w:shd w:val="clear" w:color="auto" w:fill="auto"/>
            <w:noWrap/>
            <w:vAlign w:val="center"/>
          </w:tcPr>
          <w:p w14:paraId="4F73314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-0,9</w:t>
            </w:r>
          </w:p>
        </w:tc>
        <w:tc>
          <w:tcPr>
            <w:tcW w:w="603" w:type="pct"/>
            <w:tcBorders>
              <w:top w:val="nil"/>
              <w:left w:val="nil"/>
              <w:bottom w:val="nil"/>
              <w:right w:val="nil"/>
            </w:tcBorders>
            <w:shd w:val="clear" w:color="auto" w:fill="auto"/>
            <w:noWrap/>
            <w:vAlign w:val="center"/>
          </w:tcPr>
          <w:p w14:paraId="11374951"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-0,2</w:t>
            </w:r>
          </w:p>
        </w:tc>
        <w:tc>
          <w:tcPr>
            <w:tcW w:w="600" w:type="pct"/>
            <w:tcBorders>
              <w:top w:val="nil"/>
              <w:left w:val="nil"/>
              <w:bottom w:val="nil"/>
              <w:right w:val="nil"/>
            </w:tcBorders>
            <w:shd w:val="clear" w:color="auto" w:fill="auto"/>
            <w:noWrap/>
            <w:vAlign w:val="center"/>
          </w:tcPr>
          <w:p w14:paraId="110462F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0,1</w:t>
            </w:r>
          </w:p>
        </w:tc>
      </w:tr>
      <w:tr w:rsidR="009367BB" w:rsidRPr="0062711C" w14:paraId="23D6A6C7" w14:textId="77777777" w:rsidTr="009367BB">
        <w:trPr>
          <w:trHeight w:val="281"/>
          <w:jc w:val="center"/>
        </w:trPr>
        <w:tc>
          <w:tcPr>
            <w:tcW w:w="2590" w:type="pct"/>
            <w:shd w:val="clear" w:color="auto" w:fill="E7E6E6" w:themeFill="background2"/>
            <w:noWrap/>
            <w:vAlign w:val="center"/>
            <w:hideMark/>
          </w:tcPr>
          <w:p w14:paraId="7C4E21F7" w14:textId="77777777" w:rsidR="009367BB" w:rsidRPr="0062711C" w:rsidRDefault="009367BB" w:rsidP="009367BB">
            <w:pPr>
              <w:jc w:val="left"/>
              <w:rPr>
                <w:rFonts w:eastAsia="Calibri" w:cstheme="minorHAnsi"/>
                <w:bCs/>
                <w:color w:val="002060"/>
                <w:sz w:val="18"/>
                <w:szCs w:val="18"/>
                <w:lang w:val="sr-Cyrl-RS"/>
              </w:rPr>
            </w:pPr>
            <w:r w:rsidRPr="0062711C">
              <w:rPr>
                <w:rFonts w:eastAsia="Calibri" w:cstheme="minorHAnsi"/>
                <w:iCs/>
                <w:color w:val="002060"/>
                <w:sz w:val="18"/>
                <w:szCs w:val="18"/>
                <w:lang w:val="sr-Cyrl-RS"/>
              </w:rPr>
              <w:t>Раст БДВ по секторима и нето пореза, %</w:t>
            </w:r>
          </w:p>
        </w:tc>
        <w:tc>
          <w:tcPr>
            <w:tcW w:w="603" w:type="pct"/>
            <w:tcBorders>
              <w:top w:val="nil"/>
              <w:left w:val="nil"/>
              <w:bottom w:val="nil"/>
              <w:right w:val="nil"/>
            </w:tcBorders>
            <w:shd w:val="clear" w:color="000000" w:fill="E7E6E6"/>
            <w:vAlign w:val="center"/>
          </w:tcPr>
          <w:p w14:paraId="5C79F23F"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4" w:type="pct"/>
            <w:tcBorders>
              <w:top w:val="nil"/>
              <w:left w:val="nil"/>
              <w:bottom w:val="nil"/>
              <w:right w:val="nil"/>
            </w:tcBorders>
            <w:shd w:val="clear" w:color="000000" w:fill="E7E6E6"/>
            <w:vAlign w:val="center"/>
          </w:tcPr>
          <w:p w14:paraId="4D4F3BEB"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3" w:type="pct"/>
            <w:tcBorders>
              <w:top w:val="nil"/>
              <w:left w:val="nil"/>
              <w:bottom w:val="nil"/>
              <w:right w:val="nil"/>
            </w:tcBorders>
            <w:shd w:val="clear" w:color="000000" w:fill="E7E6E6"/>
            <w:vAlign w:val="center"/>
          </w:tcPr>
          <w:p w14:paraId="73BA88D3"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0" w:type="pct"/>
            <w:tcBorders>
              <w:top w:val="nil"/>
              <w:left w:val="nil"/>
              <w:bottom w:val="nil"/>
              <w:right w:val="nil"/>
            </w:tcBorders>
            <w:shd w:val="clear" w:color="000000" w:fill="E7E6E6"/>
            <w:vAlign w:val="center"/>
          </w:tcPr>
          <w:p w14:paraId="561FFA6A"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r>
      <w:tr w:rsidR="009367BB" w:rsidRPr="0062711C" w14:paraId="1F654192" w14:textId="77777777" w:rsidTr="009367BB">
        <w:trPr>
          <w:trHeight w:val="281"/>
          <w:jc w:val="center"/>
        </w:trPr>
        <w:tc>
          <w:tcPr>
            <w:tcW w:w="2590" w:type="pct"/>
            <w:noWrap/>
            <w:vAlign w:val="center"/>
            <w:hideMark/>
          </w:tcPr>
          <w:p w14:paraId="7CC8D3D7"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Пољопривреда</w:t>
            </w:r>
          </w:p>
        </w:tc>
        <w:tc>
          <w:tcPr>
            <w:tcW w:w="603" w:type="pct"/>
            <w:tcBorders>
              <w:top w:val="nil"/>
              <w:left w:val="nil"/>
              <w:bottom w:val="nil"/>
              <w:right w:val="nil"/>
            </w:tcBorders>
            <w:shd w:val="clear" w:color="auto" w:fill="auto"/>
            <w:noWrap/>
            <w:vAlign w:val="center"/>
          </w:tcPr>
          <w:p w14:paraId="3F73DE1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-0,8</w:t>
            </w:r>
          </w:p>
        </w:tc>
        <w:tc>
          <w:tcPr>
            <w:tcW w:w="604" w:type="pct"/>
            <w:tcBorders>
              <w:top w:val="nil"/>
              <w:left w:val="nil"/>
              <w:bottom w:val="nil"/>
              <w:right w:val="nil"/>
            </w:tcBorders>
            <w:shd w:val="clear" w:color="auto" w:fill="auto"/>
            <w:noWrap/>
            <w:vAlign w:val="center"/>
          </w:tcPr>
          <w:p w14:paraId="5B1CAD8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0,2</w:t>
            </w:r>
          </w:p>
        </w:tc>
        <w:tc>
          <w:tcPr>
            <w:tcW w:w="603" w:type="pct"/>
            <w:tcBorders>
              <w:top w:val="nil"/>
              <w:left w:val="nil"/>
              <w:bottom w:val="nil"/>
              <w:right w:val="nil"/>
            </w:tcBorders>
            <w:shd w:val="clear" w:color="auto" w:fill="auto"/>
            <w:noWrap/>
            <w:vAlign w:val="center"/>
          </w:tcPr>
          <w:p w14:paraId="76397685"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c>
          <w:tcPr>
            <w:tcW w:w="600" w:type="pct"/>
            <w:tcBorders>
              <w:top w:val="nil"/>
              <w:left w:val="nil"/>
              <w:bottom w:val="nil"/>
              <w:right w:val="nil"/>
            </w:tcBorders>
            <w:shd w:val="clear" w:color="auto" w:fill="auto"/>
            <w:noWrap/>
            <w:vAlign w:val="center"/>
          </w:tcPr>
          <w:p w14:paraId="1584B6CB"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r>
      <w:tr w:rsidR="009367BB" w:rsidRPr="0062711C" w14:paraId="1D8267BA" w14:textId="77777777" w:rsidTr="009367BB">
        <w:trPr>
          <w:trHeight w:val="281"/>
          <w:jc w:val="center"/>
        </w:trPr>
        <w:tc>
          <w:tcPr>
            <w:tcW w:w="2590" w:type="pct"/>
            <w:noWrap/>
            <w:vAlign w:val="center"/>
            <w:hideMark/>
          </w:tcPr>
          <w:p w14:paraId="0A913DE2"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Индустрија</w:t>
            </w:r>
          </w:p>
        </w:tc>
        <w:tc>
          <w:tcPr>
            <w:tcW w:w="603" w:type="pct"/>
            <w:tcBorders>
              <w:top w:val="nil"/>
              <w:left w:val="nil"/>
              <w:bottom w:val="nil"/>
              <w:right w:val="nil"/>
            </w:tcBorders>
            <w:shd w:val="clear" w:color="auto" w:fill="auto"/>
            <w:noWrap/>
            <w:vAlign w:val="center"/>
          </w:tcPr>
          <w:p w14:paraId="00FFB14A"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2,8</w:t>
            </w:r>
          </w:p>
        </w:tc>
        <w:tc>
          <w:tcPr>
            <w:tcW w:w="604" w:type="pct"/>
            <w:tcBorders>
              <w:top w:val="nil"/>
              <w:left w:val="nil"/>
              <w:bottom w:val="nil"/>
              <w:right w:val="nil"/>
            </w:tcBorders>
            <w:shd w:val="clear" w:color="auto" w:fill="auto"/>
            <w:noWrap/>
            <w:vAlign w:val="center"/>
          </w:tcPr>
          <w:p w14:paraId="6C412179"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4,4</w:t>
            </w:r>
          </w:p>
        </w:tc>
        <w:tc>
          <w:tcPr>
            <w:tcW w:w="603" w:type="pct"/>
            <w:tcBorders>
              <w:top w:val="nil"/>
              <w:left w:val="nil"/>
              <w:bottom w:val="nil"/>
              <w:right w:val="nil"/>
            </w:tcBorders>
            <w:shd w:val="clear" w:color="auto" w:fill="auto"/>
            <w:noWrap/>
            <w:vAlign w:val="center"/>
          </w:tcPr>
          <w:p w14:paraId="19AE04A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4,5</w:t>
            </w:r>
          </w:p>
        </w:tc>
        <w:tc>
          <w:tcPr>
            <w:tcW w:w="600" w:type="pct"/>
            <w:tcBorders>
              <w:top w:val="nil"/>
              <w:left w:val="nil"/>
              <w:bottom w:val="nil"/>
              <w:right w:val="nil"/>
            </w:tcBorders>
            <w:shd w:val="clear" w:color="auto" w:fill="auto"/>
            <w:noWrap/>
            <w:vAlign w:val="center"/>
          </w:tcPr>
          <w:p w14:paraId="43F4B2F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4,6</w:t>
            </w:r>
          </w:p>
        </w:tc>
      </w:tr>
      <w:tr w:rsidR="009367BB" w:rsidRPr="0062711C" w14:paraId="0D25A39B" w14:textId="77777777" w:rsidTr="009367BB">
        <w:trPr>
          <w:trHeight w:val="281"/>
          <w:jc w:val="center"/>
        </w:trPr>
        <w:tc>
          <w:tcPr>
            <w:tcW w:w="2590" w:type="pct"/>
            <w:noWrap/>
            <w:vAlign w:val="center"/>
            <w:hideMark/>
          </w:tcPr>
          <w:p w14:paraId="2ED214AD"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Грађевинарство</w:t>
            </w:r>
          </w:p>
        </w:tc>
        <w:tc>
          <w:tcPr>
            <w:tcW w:w="603" w:type="pct"/>
            <w:tcBorders>
              <w:top w:val="nil"/>
              <w:left w:val="nil"/>
              <w:bottom w:val="nil"/>
              <w:right w:val="nil"/>
            </w:tcBorders>
            <w:shd w:val="clear" w:color="auto" w:fill="auto"/>
            <w:noWrap/>
            <w:vAlign w:val="center"/>
          </w:tcPr>
          <w:p w14:paraId="4C6FFCF9"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9,1</w:t>
            </w:r>
          </w:p>
        </w:tc>
        <w:tc>
          <w:tcPr>
            <w:tcW w:w="604" w:type="pct"/>
            <w:tcBorders>
              <w:top w:val="nil"/>
              <w:left w:val="nil"/>
              <w:bottom w:val="nil"/>
              <w:right w:val="nil"/>
            </w:tcBorders>
            <w:shd w:val="clear" w:color="auto" w:fill="auto"/>
            <w:noWrap/>
            <w:vAlign w:val="center"/>
          </w:tcPr>
          <w:p w14:paraId="7F48CB4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8,4</w:t>
            </w:r>
          </w:p>
        </w:tc>
        <w:tc>
          <w:tcPr>
            <w:tcW w:w="603" w:type="pct"/>
            <w:tcBorders>
              <w:top w:val="nil"/>
              <w:left w:val="nil"/>
              <w:bottom w:val="nil"/>
              <w:right w:val="nil"/>
            </w:tcBorders>
            <w:shd w:val="clear" w:color="auto" w:fill="auto"/>
            <w:noWrap/>
            <w:vAlign w:val="center"/>
          </w:tcPr>
          <w:p w14:paraId="26AB2F1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7,3</w:t>
            </w:r>
          </w:p>
        </w:tc>
        <w:tc>
          <w:tcPr>
            <w:tcW w:w="600" w:type="pct"/>
            <w:tcBorders>
              <w:top w:val="nil"/>
              <w:left w:val="nil"/>
              <w:bottom w:val="nil"/>
              <w:right w:val="nil"/>
            </w:tcBorders>
            <w:shd w:val="clear" w:color="auto" w:fill="auto"/>
            <w:noWrap/>
            <w:vAlign w:val="center"/>
          </w:tcPr>
          <w:p w14:paraId="10399C1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7,2</w:t>
            </w:r>
          </w:p>
        </w:tc>
      </w:tr>
      <w:tr w:rsidR="009367BB" w:rsidRPr="0062711C" w14:paraId="49A776BF" w14:textId="77777777" w:rsidTr="009367BB">
        <w:trPr>
          <w:trHeight w:val="281"/>
          <w:jc w:val="center"/>
        </w:trPr>
        <w:tc>
          <w:tcPr>
            <w:tcW w:w="2590" w:type="pct"/>
            <w:noWrap/>
            <w:vAlign w:val="center"/>
            <w:hideMark/>
          </w:tcPr>
          <w:p w14:paraId="780219D7"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Услуге</w:t>
            </w:r>
          </w:p>
        </w:tc>
        <w:tc>
          <w:tcPr>
            <w:tcW w:w="603" w:type="pct"/>
            <w:tcBorders>
              <w:top w:val="nil"/>
              <w:left w:val="nil"/>
              <w:bottom w:val="nil"/>
              <w:right w:val="nil"/>
            </w:tcBorders>
            <w:shd w:val="clear" w:color="auto" w:fill="auto"/>
            <w:noWrap/>
            <w:vAlign w:val="center"/>
          </w:tcPr>
          <w:p w14:paraId="03A6579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4,0</w:t>
            </w:r>
          </w:p>
        </w:tc>
        <w:tc>
          <w:tcPr>
            <w:tcW w:w="604" w:type="pct"/>
            <w:tcBorders>
              <w:top w:val="nil"/>
              <w:left w:val="nil"/>
              <w:bottom w:val="nil"/>
              <w:right w:val="nil"/>
            </w:tcBorders>
            <w:shd w:val="clear" w:color="auto" w:fill="auto"/>
            <w:noWrap/>
            <w:vAlign w:val="center"/>
          </w:tcPr>
          <w:p w14:paraId="1F7A6FA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4,1</w:t>
            </w:r>
          </w:p>
        </w:tc>
        <w:tc>
          <w:tcPr>
            <w:tcW w:w="603" w:type="pct"/>
            <w:tcBorders>
              <w:top w:val="nil"/>
              <w:left w:val="nil"/>
              <w:bottom w:val="nil"/>
              <w:right w:val="nil"/>
            </w:tcBorders>
            <w:shd w:val="clear" w:color="auto" w:fill="auto"/>
            <w:noWrap/>
            <w:vAlign w:val="center"/>
          </w:tcPr>
          <w:p w14:paraId="371A3DE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4,2</w:t>
            </w:r>
          </w:p>
        </w:tc>
        <w:tc>
          <w:tcPr>
            <w:tcW w:w="600" w:type="pct"/>
            <w:tcBorders>
              <w:top w:val="nil"/>
              <w:left w:val="nil"/>
              <w:bottom w:val="nil"/>
              <w:right w:val="nil"/>
            </w:tcBorders>
            <w:shd w:val="clear" w:color="auto" w:fill="auto"/>
            <w:noWrap/>
            <w:vAlign w:val="center"/>
          </w:tcPr>
          <w:p w14:paraId="04C661E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4,3</w:t>
            </w:r>
          </w:p>
        </w:tc>
      </w:tr>
      <w:tr w:rsidR="009367BB" w:rsidRPr="0062711C" w14:paraId="119D9F15" w14:textId="77777777" w:rsidTr="009367BB">
        <w:trPr>
          <w:trHeight w:val="281"/>
          <w:jc w:val="center"/>
        </w:trPr>
        <w:tc>
          <w:tcPr>
            <w:tcW w:w="2590" w:type="pct"/>
            <w:noWrap/>
            <w:vAlign w:val="center"/>
          </w:tcPr>
          <w:p w14:paraId="38835953"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Нето порези</w:t>
            </w:r>
          </w:p>
        </w:tc>
        <w:tc>
          <w:tcPr>
            <w:tcW w:w="603" w:type="pct"/>
            <w:tcBorders>
              <w:top w:val="nil"/>
              <w:left w:val="nil"/>
              <w:bottom w:val="nil"/>
              <w:right w:val="nil"/>
            </w:tcBorders>
            <w:shd w:val="clear" w:color="auto" w:fill="auto"/>
            <w:noWrap/>
            <w:vAlign w:val="center"/>
          </w:tcPr>
          <w:p w14:paraId="22069A2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3,6</w:t>
            </w:r>
          </w:p>
        </w:tc>
        <w:tc>
          <w:tcPr>
            <w:tcW w:w="604" w:type="pct"/>
            <w:tcBorders>
              <w:top w:val="nil"/>
              <w:left w:val="nil"/>
              <w:bottom w:val="nil"/>
              <w:right w:val="nil"/>
            </w:tcBorders>
            <w:shd w:val="clear" w:color="auto" w:fill="auto"/>
            <w:noWrap/>
            <w:vAlign w:val="center"/>
          </w:tcPr>
          <w:p w14:paraId="72537059"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3,9</w:t>
            </w:r>
          </w:p>
        </w:tc>
        <w:tc>
          <w:tcPr>
            <w:tcW w:w="603" w:type="pct"/>
            <w:tcBorders>
              <w:top w:val="nil"/>
              <w:left w:val="nil"/>
              <w:bottom w:val="nil"/>
              <w:right w:val="nil"/>
            </w:tcBorders>
            <w:shd w:val="clear" w:color="auto" w:fill="auto"/>
            <w:noWrap/>
            <w:vAlign w:val="center"/>
          </w:tcPr>
          <w:p w14:paraId="060A056A"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3,7</w:t>
            </w:r>
          </w:p>
        </w:tc>
        <w:tc>
          <w:tcPr>
            <w:tcW w:w="600" w:type="pct"/>
            <w:tcBorders>
              <w:top w:val="nil"/>
              <w:left w:val="nil"/>
              <w:bottom w:val="nil"/>
              <w:right w:val="nil"/>
            </w:tcBorders>
            <w:shd w:val="clear" w:color="auto" w:fill="auto"/>
            <w:noWrap/>
            <w:vAlign w:val="center"/>
          </w:tcPr>
          <w:p w14:paraId="497E696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3,4</w:t>
            </w:r>
          </w:p>
        </w:tc>
      </w:tr>
      <w:tr w:rsidR="009367BB" w:rsidRPr="0062711C" w14:paraId="1F0C019F" w14:textId="77777777" w:rsidTr="009367BB">
        <w:trPr>
          <w:trHeight w:val="281"/>
          <w:jc w:val="center"/>
        </w:trPr>
        <w:tc>
          <w:tcPr>
            <w:tcW w:w="2590" w:type="pct"/>
            <w:shd w:val="clear" w:color="auto" w:fill="E7E6E6" w:themeFill="background2"/>
            <w:noWrap/>
            <w:vAlign w:val="center"/>
            <w:hideMark/>
          </w:tcPr>
          <w:p w14:paraId="66ECB13B" w14:textId="77777777" w:rsidR="009367BB" w:rsidRPr="0062711C" w:rsidRDefault="009367BB" w:rsidP="009367BB">
            <w:pPr>
              <w:jc w:val="left"/>
              <w:rPr>
                <w:rFonts w:eastAsia="Calibri" w:cstheme="minorHAnsi"/>
                <w:bCs/>
                <w:color w:val="002060"/>
                <w:sz w:val="18"/>
                <w:szCs w:val="18"/>
                <w:lang w:val="sr-Cyrl-RS"/>
              </w:rPr>
            </w:pPr>
            <w:r w:rsidRPr="0062711C">
              <w:rPr>
                <w:rFonts w:eastAsia="Calibri" w:cstheme="minorHAnsi"/>
                <w:iCs/>
                <w:color w:val="002060"/>
                <w:sz w:val="18"/>
                <w:szCs w:val="18"/>
                <w:lang w:val="sr-Cyrl-RS"/>
              </w:rPr>
              <w:t>Допринос расту БДП, процентни поени</w:t>
            </w:r>
          </w:p>
        </w:tc>
        <w:tc>
          <w:tcPr>
            <w:tcW w:w="603" w:type="pct"/>
            <w:tcBorders>
              <w:top w:val="nil"/>
              <w:left w:val="nil"/>
              <w:bottom w:val="nil"/>
              <w:right w:val="nil"/>
            </w:tcBorders>
            <w:shd w:val="clear" w:color="000000" w:fill="E7E6E6"/>
            <w:vAlign w:val="center"/>
          </w:tcPr>
          <w:p w14:paraId="21582503"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4" w:type="pct"/>
            <w:tcBorders>
              <w:top w:val="nil"/>
              <w:left w:val="nil"/>
              <w:bottom w:val="nil"/>
              <w:right w:val="nil"/>
            </w:tcBorders>
            <w:shd w:val="clear" w:color="000000" w:fill="E7E6E6"/>
            <w:vAlign w:val="center"/>
          </w:tcPr>
          <w:p w14:paraId="4D90B23D"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3" w:type="pct"/>
            <w:tcBorders>
              <w:top w:val="nil"/>
              <w:left w:val="nil"/>
              <w:bottom w:val="nil"/>
              <w:right w:val="nil"/>
            </w:tcBorders>
            <w:shd w:val="clear" w:color="000000" w:fill="E7E6E6"/>
            <w:vAlign w:val="center"/>
          </w:tcPr>
          <w:p w14:paraId="4312B94F"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c>
          <w:tcPr>
            <w:tcW w:w="600" w:type="pct"/>
            <w:tcBorders>
              <w:top w:val="nil"/>
              <w:left w:val="nil"/>
              <w:bottom w:val="nil"/>
              <w:right w:val="nil"/>
            </w:tcBorders>
            <w:shd w:val="clear" w:color="000000" w:fill="E7E6E6"/>
            <w:vAlign w:val="center"/>
          </w:tcPr>
          <w:p w14:paraId="405BDBCC" w14:textId="77777777" w:rsidR="009367BB" w:rsidRPr="0062711C" w:rsidRDefault="009367BB" w:rsidP="009367BB">
            <w:pPr>
              <w:jc w:val="center"/>
              <w:rPr>
                <w:rFonts w:eastAsia="Calibri" w:cstheme="minorHAnsi"/>
                <w:bCs/>
                <w:color w:val="002060"/>
                <w:sz w:val="18"/>
                <w:szCs w:val="18"/>
                <w:lang w:val="sr-Cyrl-RS"/>
              </w:rPr>
            </w:pPr>
            <w:r w:rsidRPr="0062711C">
              <w:rPr>
                <w:rFonts w:ascii="Calibri" w:hAnsi="Calibri" w:cs="Calibri"/>
                <w:color w:val="002060"/>
                <w:sz w:val="18"/>
                <w:szCs w:val="18"/>
                <w:lang w:val="sr-Cyrl-RS"/>
              </w:rPr>
              <w:t> </w:t>
            </w:r>
          </w:p>
        </w:tc>
      </w:tr>
      <w:tr w:rsidR="009367BB" w:rsidRPr="0062711C" w14:paraId="3E59C7B9" w14:textId="77777777" w:rsidTr="009367BB">
        <w:trPr>
          <w:trHeight w:val="281"/>
          <w:jc w:val="center"/>
        </w:trPr>
        <w:tc>
          <w:tcPr>
            <w:tcW w:w="2590" w:type="pct"/>
            <w:noWrap/>
            <w:vAlign w:val="center"/>
            <w:hideMark/>
          </w:tcPr>
          <w:p w14:paraId="2AA6E271"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Пољопривреда</w:t>
            </w:r>
          </w:p>
        </w:tc>
        <w:tc>
          <w:tcPr>
            <w:tcW w:w="603" w:type="pct"/>
            <w:tcBorders>
              <w:top w:val="nil"/>
              <w:left w:val="nil"/>
              <w:bottom w:val="nil"/>
              <w:right w:val="nil"/>
            </w:tcBorders>
            <w:shd w:val="clear" w:color="auto" w:fill="auto"/>
            <w:noWrap/>
            <w:vAlign w:val="center"/>
          </w:tcPr>
          <w:p w14:paraId="5F49CCEF"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-0,1</w:t>
            </w:r>
          </w:p>
        </w:tc>
        <w:tc>
          <w:tcPr>
            <w:tcW w:w="604" w:type="pct"/>
            <w:tcBorders>
              <w:top w:val="nil"/>
              <w:left w:val="nil"/>
              <w:bottom w:val="nil"/>
              <w:right w:val="nil"/>
            </w:tcBorders>
            <w:shd w:val="clear" w:color="auto" w:fill="auto"/>
            <w:noWrap/>
            <w:vAlign w:val="center"/>
          </w:tcPr>
          <w:p w14:paraId="2D47DC65"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c>
          <w:tcPr>
            <w:tcW w:w="603" w:type="pct"/>
            <w:tcBorders>
              <w:top w:val="nil"/>
              <w:left w:val="nil"/>
              <w:bottom w:val="nil"/>
              <w:right w:val="nil"/>
            </w:tcBorders>
            <w:shd w:val="clear" w:color="auto" w:fill="auto"/>
            <w:noWrap/>
            <w:vAlign w:val="center"/>
          </w:tcPr>
          <w:p w14:paraId="38DED3E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c>
          <w:tcPr>
            <w:tcW w:w="600" w:type="pct"/>
            <w:tcBorders>
              <w:top w:val="nil"/>
              <w:left w:val="nil"/>
              <w:bottom w:val="nil"/>
              <w:right w:val="nil"/>
            </w:tcBorders>
            <w:shd w:val="clear" w:color="auto" w:fill="auto"/>
            <w:noWrap/>
            <w:vAlign w:val="center"/>
          </w:tcPr>
          <w:p w14:paraId="5774FEA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0,0</w:t>
            </w:r>
          </w:p>
        </w:tc>
      </w:tr>
      <w:tr w:rsidR="009367BB" w:rsidRPr="0062711C" w14:paraId="69EAE78D" w14:textId="77777777" w:rsidTr="009367BB">
        <w:trPr>
          <w:trHeight w:val="281"/>
          <w:jc w:val="center"/>
        </w:trPr>
        <w:tc>
          <w:tcPr>
            <w:tcW w:w="2590" w:type="pct"/>
            <w:noWrap/>
            <w:vAlign w:val="center"/>
            <w:hideMark/>
          </w:tcPr>
          <w:p w14:paraId="154FDE80"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Индустрија</w:t>
            </w:r>
          </w:p>
        </w:tc>
        <w:tc>
          <w:tcPr>
            <w:tcW w:w="603" w:type="pct"/>
            <w:tcBorders>
              <w:top w:val="nil"/>
              <w:left w:val="nil"/>
              <w:bottom w:val="nil"/>
              <w:right w:val="nil"/>
            </w:tcBorders>
            <w:shd w:val="clear" w:color="auto" w:fill="auto"/>
            <w:noWrap/>
            <w:vAlign w:val="center"/>
          </w:tcPr>
          <w:p w14:paraId="3417834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0,6</w:t>
            </w:r>
          </w:p>
        </w:tc>
        <w:tc>
          <w:tcPr>
            <w:tcW w:w="604" w:type="pct"/>
            <w:tcBorders>
              <w:top w:val="nil"/>
              <w:left w:val="nil"/>
              <w:bottom w:val="nil"/>
              <w:right w:val="nil"/>
            </w:tcBorders>
            <w:shd w:val="clear" w:color="auto" w:fill="auto"/>
            <w:noWrap/>
            <w:vAlign w:val="center"/>
          </w:tcPr>
          <w:p w14:paraId="05133BA5"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0,9</w:t>
            </w:r>
          </w:p>
        </w:tc>
        <w:tc>
          <w:tcPr>
            <w:tcW w:w="603" w:type="pct"/>
            <w:tcBorders>
              <w:top w:val="nil"/>
              <w:left w:val="nil"/>
              <w:bottom w:val="nil"/>
              <w:right w:val="nil"/>
            </w:tcBorders>
            <w:shd w:val="clear" w:color="auto" w:fill="auto"/>
            <w:noWrap/>
            <w:vAlign w:val="center"/>
          </w:tcPr>
          <w:p w14:paraId="4DE3D30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0,9</w:t>
            </w:r>
          </w:p>
        </w:tc>
        <w:tc>
          <w:tcPr>
            <w:tcW w:w="600" w:type="pct"/>
            <w:tcBorders>
              <w:top w:val="nil"/>
              <w:left w:val="nil"/>
              <w:bottom w:val="nil"/>
              <w:right w:val="nil"/>
            </w:tcBorders>
            <w:shd w:val="clear" w:color="auto" w:fill="auto"/>
            <w:noWrap/>
            <w:vAlign w:val="center"/>
          </w:tcPr>
          <w:p w14:paraId="382476B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0,9</w:t>
            </w:r>
          </w:p>
        </w:tc>
      </w:tr>
      <w:tr w:rsidR="009367BB" w:rsidRPr="0062711C" w14:paraId="520B6128" w14:textId="77777777" w:rsidTr="009367BB">
        <w:trPr>
          <w:trHeight w:val="281"/>
          <w:jc w:val="center"/>
        </w:trPr>
        <w:tc>
          <w:tcPr>
            <w:tcW w:w="2590" w:type="pct"/>
            <w:noWrap/>
            <w:vAlign w:val="center"/>
            <w:hideMark/>
          </w:tcPr>
          <w:p w14:paraId="73C1F857"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Грађевинарство</w:t>
            </w:r>
          </w:p>
        </w:tc>
        <w:tc>
          <w:tcPr>
            <w:tcW w:w="603" w:type="pct"/>
            <w:tcBorders>
              <w:top w:val="nil"/>
              <w:left w:val="nil"/>
              <w:bottom w:val="nil"/>
              <w:right w:val="nil"/>
            </w:tcBorders>
            <w:shd w:val="clear" w:color="auto" w:fill="auto"/>
            <w:noWrap/>
            <w:vAlign w:val="center"/>
          </w:tcPr>
          <w:p w14:paraId="736125ED"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0,5</w:t>
            </w:r>
          </w:p>
        </w:tc>
        <w:tc>
          <w:tcPr>
            <w:tcW w:w="604" w:type="pct"/>
            <w:tcBorders>
              <w:top w:val="nil"/>
              <w:left w:val="nil"/>
              <w:bottom w:val="nil"/>
              <w:right w:val="nil"/>
            </w:tcBorders>
            <w:shd w:val="clear" w:color="auto" w:fill="auto"/>
            <w:noWrap/>
            <w:vAlign w:val="center"/>
          </w:tcPr>
          <w:p w14:paraId="70F8ECE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0,5</w:t>
            </w:r>
          </w:p>
        </w:tc>
        <w:tc>
          <w:tcPr>
            <w:tcW w:w="603" w:type="pct"/>
            <w:tcBorders>
              <w:top w:val="nil"/>
              <w:left w:val="nil"/>
              <w:bottom w:val="nil"/>
              <w:right w:val="nil"/>
            </w:tcBorders>
            <w:shd w:val="clear" w:color="auto" w:fill="auto"/>
            <w:noWrap/>
            <w:vAlign w:val="center"/>
          </w:tcPr>
          <w:p w14:paraId="18A56B35"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0,4</w:t>
            </w:r>
          </w:p>
        </w:tc>
        <w:tc>
          <w:tcPr>
            <w:tcW w:w="600" w:type="pct"/>
            <w:tcBorders>
              <w:top w:val="nil"/>
              <w:left w:val="nil"/>
              <w:bottom w:val="nil"/>
              <w:right w:val="nil"/>
            </w:tcBorders>
            <w:shd w:val="clear" w:color="auto" w:fill="auto"/>
            <w:noWrap/>
            <w:vAlign w:val="center"/>
          </w:tcPr>
          <w:p w14:paraId="1D0E8B8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0,4</w:t>
            </w:r>
          </w:p>
        </w:tc>
      </w:tr>
      <w:tr w:rsidR="009367BB" w:rsidRPr="0062711C" w14:paraId="73EC5AA3" w14:textId="77777777" w:rsidTr="009367BB">
        <w:trPr>
          <w:trHeight w:val="281"/>
          <w:jc w:val="center"/>
        </w:trPr>
        <w:tc>
          <w:tcPr>
            <w:tcW w:w="2590" w:type="pct"/>
            <w:noWrap/>
            <w:vAlign w:val="center"/>
            <w:hideMark/>
          </w:tcPr>
          <w:p w14:paraId="199B0E54"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Услуге</w:t>
            </w:r>
          </w:p>
        </w:tc>
        <w:tc>
          <w:tcPr>
            <w:tcW w:w="603" w:type="pct"/>
            <w:tcBorders>
              <w:top w:val="nil"/>
              <w:left w:val="nil"/>
              <w:bottom w:val="nil"/>
              <w:right w:val="nil"/>
            </w:tcBorders>
            <w:shd w:val="clear" w:color="auto" w:fill="auto"/>
            <w:noWrap/>
            <w:vAlign w:val="center"/>
          </w:tcPr>
          <w:p w14:paraId="6C817B5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2,0</w:t>
            </w:r>
          </w:p>
        </w:tc>
        <w:tc>
          <w:tcPr>
            <w:tcW w:w="604" w:type="pct"/>
            <w:tcBorders>
              <w:top w:val="nil"/>
              <w:left w:val="nil"/>
              <w:bottom w:val="nil"/>
              <w:right w:val="nil"/>
            </w:tcBorders>
            <w:shd w:val="clear" w:color="auto" w:fill="auto"/>
            <w:noWrap/>
            <w:vAlign w:val="center"/>
          </w:tcPr>
          <w:p w14:paraId="3E6595BE"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2,1</w:t>
            </w:r>
          </w:p>
        </w:tc>
        <w:tc>
          <w:tcPr>
            <w:tcW w:w="603" w:type="pct"/>
            <w:tcBorders>
              <w:top w:val="nil"/>
              <w:left w:val="nil"/>
              <w:bottom w:val="nil"/>
              <w:right w:val="nil"/>
            </w:tcBorders>
            <w:shd w:val="clear" w:color="auto" w:fill="auto"/>
            <w:noWrap/>
            <w:vAlign w:val="center"/>
          </w:tcPr>
          <w:p w14:paraId="5A2E6B7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2,1</w:t>
            </w:r>
          </w:p>
        </w:tc>
        <w:tc>
          <w:tcPr>
            <w:tcW w:w="600" w:type="pct"/>
            <w:tcBorders>
              <w:top w:val="nil"/>
              <w:left w:val="nil"/>
              <w:bottom w:val="nil"/>
              <w:right w:val="nil"/>
            </w:tcBorders>
            <w:shd w:val="clear" w:color="auto" w:fill="auto"/>
            <w:noWrap/>
            <w:vAlign w:val="center"/>
          </w:tcPr>
          <w:p w14:paraId="41DDC571"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2,2</w:t>
            </w:r>
          </w:p>
        </w:tc>
      </w:tr>
      <w:tr w:rsidR="009367BB" w:rsidRPr="0062711C" w14:paraId="3934910E" w14:textId="77777777" w:rsidTr="009367BB">
        <w:trPr>
          <w:trHeight w:val="281"/>
          <w:jc w:val="center"/>
        </w:trPr>
        <w:tc>
          <w:tcPr>
            <w:tcW w:w="2590" w:type="pct"/>
            <w:noWrap/>
            <w:vAlign w:val="center"/>
          </w:tcPr>
          <w:p w14:paraId="4D5E1035"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Нето порези</w:t>
            </w:r>
          </w:p>
        </w:tc>
        <w:tc>
          <w:tcPr>
            <w:tcW w:w="603" w:type="pct"/>
            <w:tcBorders>
              <w:top w:val="nil"/>
              <w:left w:val="nil"/>
              <w:bottom w:val="nil"/>
              <w:right w:val="nil"/>
            </w:tcBorders>
            <w:shd w:val="clear" w:color="auto" w:fill="auto"/>
            <w:noWrap/>
            <w:vAlign w:val="center"/>
          </w:tcPr>
          <w:p w14:paraId="2CA097CC"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0,7</w:t>
            </w:r>
          </w:p>
        </w:tc>
        <w:tc>
          <w:tcPr>
            <w:tcW w:w="604" w:type="pct"/>
            <w:tcBorders>
              <w:top w:val="nil"/>
              <w:left w:val="nil"/>
              <w:bottom w:val="nil"/>
              <w:right w:val="nil"/>
            </w:tcBorders>
            <w:shd w:val="clear" w:color="auto" w:fill="auto"/>
            <w:noWrap/>
            <w:vAlign w:val="center"/>
          </w:tcPr>
          <w:p w14:paraId="27EC3F15"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0,7</w:t>
            </w:r>
          </w:p>
        </w:tc>
        <w:tc>
          <w:tcPr>
            <w:tcW w:w="603" w:type="pct"/>
            <w:tcBorders>
              <w:top w:val="nil"/>
              <w:left w:val="nil"/>
              <w:bottom w:val="nil"/>
              <w:right w:val="nil"/>
            </w:tcBorders>
            <w:shd w:val="clear" w:color="auto" w:fill="auto"/>
            <w:noWrap/>
            <w:vAlign w:val="center"/>
          </w:tcPr>
          <w:p w14:paraId="2D3CD78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0,6</w:t>
            </w:r>
          </w:p>
        </w:tc>
        <w:tc>
          <w:tcPr>
            <w:tcW w:w="600" w:type="pct"/>
            <w:tcBorders>
              <w:top w:val="nil"/>
              <w:left w:val="nil"/>
              <w:bottom w:val="nil"/>
              <w:right w:val="nil"/>
            </w:tcBorders>
            <w:shd w:val="clear" w:color="auto" w:fill="auto"/>
            <w:noWrap/>
            <w:vAlign w:val="center"/>
          </w:tcPr>
          <w:p w14:paraId="12253A26"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0,6</w:t>
            </w:r>
          </w:p>
        </w:tc>
      </w:tr>
      <w:tr w:rsidR="009367BB" w:rsidRPr="0062711C" w14:paraId="1F27636A" w14:textId="77777777" w:rsidTr="009367BB">
        <w:trPr>
          <w:trHeight w:val="281"/>
          <w:jc w:val="center"/>
        </w:trPr>
        <w:tc>
          <w:tcPr>
            <w:tcW w:w="2590" w:type="pct"/>
            <w:shd w:val="clear" w:color="auto" w:fill="E7E6E6" w:themeFill="background2"/>
            <w:noWrap/>
            <w:vAlign w:val="center"/>
            <w:hideMark/>
          </w:tcPr>
          <w:p w14:paraId="30ADAA57" w14:textId="77777777" w:rsidR="009367BB" w:rsidRPr="0062711C" w:rsidRDefault="009367BB" w:rsidP="009367BB">
            <w:pPr>
              <w:jc w:val="left"/>
              <w:rPr>
                <w:rFonts w:eastAsia="Calibri" w:cstheme="minorHAnsi"/>
                <w:bCs/>
                <w:iCs/>
                <w:color w:val="002060"/>
                <w:sz w:val="18"/>
                <w:szCs w:val="18"/>
                <w:lang w:val="sr-Cyrl-RS"/>
              </w:rPr>
            </w:pPr>
            <w:r w:rsidRPr="0062711C">
              <w:rPr>
                <w:rFonts w:eastAsia="Calibri" w:cstheme="minorHAnsi"/>
                <w:iCs/>
                <w:color w:val="002060"/>
                <w:sz w:val="18"/>
                <w:szCs w:val="18"/>
                <w:lang w:val="sr-Cyrl-RS"/>
              </w:rPr>
              <w:t>Кретање цена, %</w:t>
            </w:r>
          </w:p>
        </w:tc>
        <w:tc>
          <w:tcPr>
            <w:tcW w:w="603" w:type="pct"/>
            <w:tcBorders>
              <w:top w:val="nil"/>
              <w:left w:val="nil"/>
              <w:bottom w:val="nil"/>
              <w:right w:val="nil"/>
            </w:tcBorders>
            <w:shd w:val="clear" w:color="000000" w:fill="E7E6E6"/>
            <w:noWrap/>
            <w:vAlign w:val="center"/>
          </w:tcPr>
          <w:p w14:paraId="116CA6CC" w14:textId="77777777" w:rsidR="009367BB" w:rsidRPr="0062711C" w:rsidRDefault="009367BB" w:rsidP="009367BB">
            <w:pPr>
              <w:jc w:val="center"/>
              <w:rPr>
                <w:rFonts w:eastAsia="Calibri" w:cstheme="minorHAnsi"/>
                <w:iCs/>
                <w:color w:val="002060"/>
                <w:sz w:val="18"/>
                <w:szCs w:val="18"/>
                <w:lang w:val="sr-Cyrl-RS"/>
              </w:rPr>
            </w:pPr>
            <w:r w:rsidRPr="0062711C">
              <w:rPr>
                <w:rFonts w:ascii="Calibri" w:hAnsi="Calibri" w:cs="Calibri"/>
                <w:color w:val="002060"/>
                <w:sz w:val="18"/>
                <w:szCs w:val="18"/>
                <w:lang w:val="sr-Cyrl-RS"/>
              </w:rPr>
              <w:t> </w:t>
            </w:r>
          </w:p>
        </w:tc>
        <w:tc>
          <w:tcPr>
            <w:tcW w:w="604" w:type="pct"/>
            <w:tcBorders>
              <w:top w:val="nil"/>
              <w:left w:val="nil"/>
              <w:bottom w:val="nil"/>
              <w:right w:val="nil"/>
            </w:tcBorders>
            <w:shd w:val="clear" w:color="000000" w:fill="E7E6E6"/>
            <w:noWrap/>
            <w:vAlign w:val="center"/>
          </w:tcPr>
          <w:p w14:paraId="104795C3"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3" w:type="pct"/>
            <w:tcBorders>
              <w:top w:val="nil"/>
              <w:left w:val="nil"/>
              <w:bottom w:val="nil"/>
              <w:right w:val="nil"/>
            </w:tcBorders>
            <w:shd w:val="clear" w:color="000000" w:fill="E7E6E6"/>
            <w:noWrap/>
            <w:vAlign w:val="center"/>
          </w:tcPr>
          <w:p w14:paraId="25490F6A"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0" w:type="pct"/>
            <w:tcBorders>
              <w:top w:val="nil"/>
              <w:left w:val="nil"/>
              <w:bottom w:val="nil"/>
              <w:right w:val="nil"/>
            </w:tcBorders>
            <w:shd w:val="clear" w:color="000000" w:fill="E7E6E6"/>
            <w:noWrap/>
            <w:vAlign w:val="center"/>
          </w:tcPr>
          <w:p w14:paraId="7EE12A79"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r>
      <w:tr w:rsidR="009367BB" w:rsidRPr="0062711C" w14:paraId="66F6A15A" w14:textId="77777777" w:rsidTr="009367BB">
        <w:trPr>
          <w:trHeight w:val="281"/>
          <w:jc w:val="center"/>
        </w:trPr>
        <w:tc>
          <w:tcPr>
            <w:tcW w:w="2590" w:type="pct"/>
            <w:noWrap/>
            <w:vAlign w:val="center"/>
            <w:hideMark/>
          </w:tcPr>
          <w:p w14:paraId="451D8BEF"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БДП дефлатор</w:t>
            </w:r>
          </w:p>
        </w:tc>
        <w:tc>
          <w:tcPr>
            <w:tcW w:w="603" w:type="pct"/>
            <w:tcBorders>
              <w:top w:val="nil"/>
              <w:left w:val="nil"/>
              <w:bottom w:val="nil"/>
              <w:right w:val="nil"/>
            </w:tcBorders>
            <w:shd w:val="clear" w:color="auto" w:fill="auto"/>
            <w:noWrap/>
            <w:vAlign w:val="center"/>
          </w:tcPr>
          <w:p w14:paraId="198E330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5,7</w:t>
            </w:r>
          </w:p>
        </w:tc>
        <w:tc>
          <w:tcPr>
            <w:tcW w:w="604" w:type="pct"/>
            <w:tcBorders>
              <w:top w:val="nil"/>
              <w:left w:val="nil"/>
              <w:bottom w:val="nil"/>
              <w:right w:val="nil"/>
            </w:tcBorders>
            <w:shd w:val="clear" w:color="auto" w:fill="auto"/>
            <w:noWrap/>
            <w:vAlign w:val="center"/>
          </w:tcPr>
          <w:p w14:paraId="7F48804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3,3</w:t>
            </w:r>
          </w:p>
        </w:tc>
        <w:tc>
          <w:tcPr>
            <w:tcW w:w="603" w:type="pct"/>
            <w:tcBorders>
              <w:top w:val="nil"/>
              <w:left w:val="nil"/>
              <w:bottom w:val="nil"/>
              <w:right w:val="nil"/>
            </w:tcBorders>
            <w:shd w:val="clear" w:color="auto" w:fill="auto"/>
            <w:noWrap/>
            <w:vAlign w:val="center"/>
          </w:tcPr>
          <w:p w14:paraId="1B6D79B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3,2</w:t>
            </w:r>
          </w:p>
        </w:tc>
        <w:tc>
          <w:tcPr>
            <w:tcW w:w="600" w:type="pct"/>
            <w:tcBorders>
              <w:top w:val="nil"/>
              <w:left w:val="nil"/>
              <w:bottom w:val="nil"/>
              <w:right w:val="nil"/>
            </w:tcBorders>
            <w:shd w:val="clear" w:color="auto" w:fill="auto"/>
            <w:noWrap/>
            <w:vAlign w:val="center"/>
          </w:tcPr>
          <w:p w14:paraId="51E2056A"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3,1</w:t>
            </w:r>
          </w:p>
        </w:tc>
      </w:tr>
      <w:tr w:rsidR="009367BB" w:rsidRPr="0062711C" w14:paraId="46A08F40" w14:textId="77777777" w:rsidTr="009367BB">
        <w:trPr>
          <w:trHeight w:val="281"/>
          <w:jc w:val="center"/>
        </w:trPr>
        <w:tc>
          <w:tcPr>
            <w:tcW w:w="2590" w:type="pct"/>
            <w:noWrap/>
            <w:vAlign w:val="center"/>
            <w:hideMark/>
          </w:tcPr>
          <w:p w14:paraId="1E98DE7A"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Потрошачке цене (годишњи просек)</w:t>
            </w:r>
          </w:p>
        </w:tc>
        <w:tc>
          <w:tcPr>
            <w:tcW w:w="603" w:type="pct"/>
            <w:tcBorders>
              <w:top w:val="nil"/>
              <w:left w:val="nil"/>
              <w:bottom w:val="nil"/>
              <w:right w:val="nil"/>
            </w:tcBorders>
            <w:shd w:val="clear" w:color="auto" w:fill="auto"/>
            <w:noWrap/>
            <w:vAlign w:val="center"/>
          </w:tcPr>
          <w:p w14:paraId="699BAD8F"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4,9</w:t>
            </w:r>
          </w:p>
        </w:tc>
        <w:tc>
          <w:tcPr>
            <w:tcW w:w="604" w:type="pct"/>
            <w:tcBorders>
              <w:top w:val="nil"/>
              <w:left w:val="nil"/>
              <w:bottom w:val="nil"/>
              <w:right w:val="nil"/>
            </w:tcBorders>
            <w:shd w:val="clear" w:color="auto" w:fill="auto"/>
            <w:noWrap/>
            <w:vAlign w:val="center"/>
          </w:tcPr>
          <w:p w14:paraId="145E2C7B"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3,5</w:t>
            </w:r>
          </w:p>
        </w:tc>
        <w:tc>
          <w:tcPr>
            <w:tcW w:w="603" w:type="pct"/>
            <w:tcBorders>
              <w:top w:val="nil"/>
              <w:left w:val="nil"/>
              <w:bottom w:val="nil"/>
              <w:right w:val="nil"/>
            </w:tcBorders>
            <w:shd w:val="clear" w:color="auto" w:fill="auto"/>
            <w:noWrap/>
            <w:vAlign w:val="center"/>
          </w:tcPr>
          <w:p w14:paraId="7BDD22E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3,5</w:t>
            </w:r>
          </w:p>
        </w:tc>
        <w:tc>
          <w:tcPr>
            <w:tcW w:w="600" w:type="pct"/>
            <w:tcBorders>
              <w:top w:val="nil"/>
              <w:left w:val="nil"/>
              <w:bottom w:val="nil"/>
              <w:right w:val="nil"/>
            </w:tcBorders>
            <w:shd w:val="clear" w:color="auto" w:fill="auto"/>
            <w:noWrap/>
            <w:vAlign w:val="center"/>
          </w:tcPr>
          <w:p w14:paraId="6D8FF46B"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3,5</w:t>
            </w:r>
          </w:p>
        </w:tc>
      </w:tr>
      <w:tr w:rsidR="009367BB" w:rsidRPr="0062711C" w14:paraId="096C4E6E" w14:textId="77777777" w:rsidTr="009367BB">
        <w:trPr>
          <w:trHeight w:val="281"/>
          <w:jc w:val="center"/>
        </w:trPr>
        <w:tc>
          <w:tcPr>
            <w:tcW w:w="2590" w:type="pct"/>
            <w:shd w:val="clear" w:color="auto" w:fill="E7E6E6" w:themeFill="background2"/>
            <w:noWrap/>
            <w:vAlign w:val="center"/>
            <w:hideMark/>
          </w:tcPr>
          <w:p w14:paraId="18A47720" w14:textId="77777777" w:rsidR="009367BB" w:rsidRPr="0062711C" w:rsidRDefault="009367BB" w:rsidP="009367BB">
            <w:pPr>
              <w:jc w:val="left"/>
              <w:rPr>
                <w:rFonts w:eastAsia="Calibri" w:cstheme="minorHAnsi"/>
                <w:bCs/>
                <w:iCs/>
                <w:color w:val="002060"/>
                <w:sz w:val="18"/>
                <w:szCs w:val="18"/>
                <w:lang w:val="sr-Cyrl-RS"/>
              </w:rPr>
            </w:pPr>
            <w:r w:rsidRPr="0062711C">
              <w:rPr>
                <w:rFonts w:eastAsia="Calibri" w:cstheme="minorHAnsi"/>
                <w:iCs/>
                <w:color w:val="002060"/>
                <w:sz w:val="18"/>
                <w:szCs w:val="18"/>
                <w:lang w:val="sr-Cyrl-RS"/>
              </w:rPr>
              <w:t>Кретања у спољном сектору, % БДП</w:t>
            </w:r>
          </w:p>
        </w:tc>
        <w:tc>
          <w:tcPr>
            <w:tcW w:w="603" w:type="pct"/>
            <w:tcBorders>
              <w:top w:val="nil"/>
              <w:left w:val="nil"/>
              <w:bottom w:val="nil"/>
              <w:right w:val="nil"/>
            </w:tcBorders>
            <w:shd w:val="clear" w:color="000000" w:fill="E7E6E6"/>
            <w:noWrap/>
            <w:vAlign w:val="center"/>
          </w:tcPr>
          <w:p w14:paraId="787AB72D"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4" w:type="pct"/>
            <w:tcBorders>
              <w:top w:val="nil"/>
              <w:left w:val="nil"/>
              <w:bottom w:val="nil"/>
              <w:right w:val="nil"/>
            </w:tcBorders>
            <w:shd w:val="clear" w:color="000000" w:fill="E7E6E6"/>
            <w:noWrap/>
            <w:vAlign w:val="center"/>
          </w:tcPr>
          <w:p w14:paraId="16D22E2A"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3" w:type="pct"/>
            <w:tcBorders>
              <w:top w:val="nil"/>
              <w:left w:val="nil"/>
              <w:bottom w:val="nil"/>
              <w:right w:val="nil"/>
            </w:tcBorders>
            <w:shd w:val="clear" w:color="000000" w:fill="E7E6E6"/>
            <w:noWrap/>
            <w:vAlign w:val="center"/>
          </w:tcPr>
          <w:p w14:paraId="1841BBA1"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c>
          <w:tcPr>
            <w:tcW w:w="600" w:type="pct"/>
            <w:tcBorders>
              <w:top w:val="nil"/>
              <w:left w:val="nil"/>
              <w:bottom w:val="nil"/>
              <w:right w:val="nil"/>
            </w:tcBorders>
            <w:shd w:val="clear" w:color="000000" w:fill="E7E6E6"/>
            <w:noWrap/>
            <w:vAlign w:val="center"/>
          </w:tcPr>
          <w:p w14:paraId="2CC7D612" w14:textId="77777777" w:rsidR="009367BB" w:rsidRPr="0062711C" w:rsidRDefault="009367BB" w:rsidP="009367BB">
            <w:pPr>
              <w:jc w:val="center"/>
              <w:rPr>
                <w:rFonts w:eastAsia="Calibri" w:cstheme="minorHAnsi"/>
                <w:color w:val="002060"/>
                <w:sz w:val="18"/>
                <w:szCs w:val="18"/>
                <w:lang w:val="sr-Cyrl-RS"/>
              </w:rPr>
            </w:pPr>
            <w:r w:rsidRPr="0062711C">
              <w:rPr>
                <w:rFonts w:ascii="Calibri" w:hAnsi="Calibri" w:cs="Calibri"/>
                <w:color w:val="002060"/>
                <w:sz w:val="18"/>
                <w:szCs w:val="18"/>
                <w:lang w:val="sr-Cyrl-RS"/>
              </w:rPr>
              <w:t> </w:t>
            </w:r>
          </w:p>
        </w:tc>
      </w:tr>
      <w:tr w:rsidR="009367BB" w:rsidRPr="0062711C" w14:paraId="7A9AA40E" w14:textId="77777777" w:rsidTr="009367BB">
        <w:trPr>
          <w:trHeight w:val="281"/>
          <w:jc w:val="center"/>
        </w:trPr>
        <w:tc>
          <w:tcPr>
            <w:tcW w:w="2590" w:type="pct"/>
            <w:noWrap/>
            <w:vAlign w:val="center"/>
            <w:hideMark/>
          </w:tcPr>
          <w:p w14:paraId="1B0975EE"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Салдо роба и услуга</w:t>
            </w:r>
          </w:p>
        </w:tc>
        <w:tc>
          <w:tcPr>
            <w:tcW w:w="603" w:type="pct"/>
            <w:tcBorders>
              <w:top w:val="nil"/>
              <w:left w:val="nil"/>
              <w:bottom w:val="nil"/>
              <w:right w:val="nil"/>
            </w:tcBorders>
            <w:shd w:val="clear" w:color="auto" w:fill="auto"/>
            <w:noWrap/>
            <w:vAlign w:val="center"/>
          </w:tcPr>
          <w:p w14:paraId="54FDE621"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-5,6</w:t>
            </w:r>
          </w:p>
        </w:tc>
        <w:tc>
          <w:tcPr>
            <w:tcW w:w="604" w:type="pct"/>
            <w:tcBorders>
              <w:top w:val="nil"/>
              <w:left w:val="nil"/>
              <w:bottom w:val="nil"/>
              <w:right w:val="nil"/>
            </w:tcBorders>
            <w:shd w:val="clear" w:color="auto" w:fill="auto"/>
            <w:noWrap/>
            <w:vAlign w:val="center"/>
          </w:tcPr>
          <w:p w14:paraId="2B72627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-5,5</w:t>
            </w:r>
          </w:p>
        </w:tc>
        <w:tc>
          <w:tcPr>
            <w:tcW w:w="603" w:type="pct"/>
            <w:tcBorders>
              <w:top w:val="nil"/>
              <w:left w:val="nil"/>
              <w:bottom w:val="nil"/>
              <w:right w:val="nil"/>
            </w:tcBorders>
            <w:shd w:val="clear" w:color="auto" w:fill="auto"/>
            <w:noWrap/>
            <w:vAlign w:val="center"/>
          </w:tcPr>
          <w:p w14:paraId="5E377CD0"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-5,2</w:t>
            </w:r>
          </w:p>
        </w:tc>
        <w:tc>
          <w:tcPr>
            <w:tcW w:w="600" w:type="pct"/>
            <w:tcBorders>
              <w:top w:val="nil"/>
              <w:left w:val="nil"/>
              <w:bottom w:val="nil"/>
              <w:right w:val="nil"/>
            </w:tcBorders>
            <w:shd w:val="clear" w:color="auto" w:fill="auto"/>
            <w:noWrap/>
            <w:vAlign w:val="center"/>
          </w:tcPr>
          <w:p w14:paraId="11BC29C2"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-4,5</w:t>
            </w:r>
          </w:p>
        </w:tc>
      </w:tr>
      <w:tr w:rsidR="009367BB" w:rsidRPr="0062711C" w14:paraId="3EF16E62" w14:textId="77777777" w:rsidTr="009367BB">
        <w:trPr>
          <w:trHeight w:val="281"/>
          <w:jc w:val="center"/>
        </w:trPr>
        <w:tc>
          <w:tcPr>
            <w:tcW w:w="2590" w:type="pct"/>
            <w:noWrap/>
            <w:vAlign w:val="center"/>
            <w:hideMark/>
          </w:tcPr>
          <w:p w14:paraId="1994B037"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Салдо текућег рачуна</w:t>
            </w:r>
          </w:p>
        </w:tc>
        <w:tc>
          <w:tcPr>
            <w:tcW w:w="603" w:type="pct"/>
            <w:tcBorders>
              <w:top w:val="nil"/>
              <w:left w:val="nil"/>
              <w:bottom w:val="nil"/>
              <w:right w:val="nil"/>
            </w:tcBorders>
            <w:shd w:val="clear" w:color="auto" w:fill="auto"/>
            <w:noWrap/>
            <w:vAlign w:val="center"/>
          </w:tcPr>
          <w:p w14:paraId="7838DCA8"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-4,1</w:t>
            </w:r>
          </w:p>
        </w:tc>
        <w:tc>
          <w:tcPr>
            <w:tcW w:w="604" w:type="pct"/>
            <w:tcBorders>
              <w:top w:val="nil"/>
              <w:left w:val="nil"/>
              <w:bottom w:val="nil"/>
              <w:right w:val="nil"/>
            </w:tcBorders>
            <w:shd w:val="clear" w:color="auto" w:fill="auto"/>
            <w:noWrap/>
            <w:vAlign w:val="center"/>
          </w:tcPr>
          <w:p w14:paraId="38761F74"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-4,7</w:t>
            </w:r>
          </w:p>
        </w:tc>
        <w:tc>
          <w:tcPr>
            <w:tcW w:w="603" w:type="pct"/>
            <w:tcBorders>
              <w:top w:val="nil"/>
              <w:left w:val="nil"/>
              <w:bottom w:val="nil"/>
              <w:right w:val="nil"/>
            </w:tcBorders>
            <w:shd w:val="clear" w:color="auto" w:fill="auto"/>
            <w:noWrap/>
            <w:vAlign w:val="center"/>
          </w:tcPr>
          <w:p w14:paraId="26A179E3"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-5,0</w:t>
            </w:r>
          </w:p>
        </w:tc>
        <w:tc>
          <w:tcPr>
            <w:tcW w:w="600" w:type="pct"/>
            <w:tcBorders>
              <w:top w:val="nil"/>
              <w:left w:val="nil"/>
              <w:bottom w:val="nil"/>
              <w:right w:val="nil"/>
            </w:tcBorders>
            <w:shd w:val="clear" w:color="auto" w:fill="auto"/>
            <w:noWrap/>
            <w:vAlign w:val="center"/>
          </w:tcPr>
          <w:p w14:paraId="1BCDBDA7" w14:textId="77777777" w:rsidR="009367BB" w:rsidRPr="0062711C" w:rsidRDefault="009367BB" w:rsidP="009367BB">
            <w:pPr>
              <w:jc w:val="center"/>
              <w:rPr>
                <w:color w:val="002060"/>
                <w:sz w:val="18"/>
                <w:lang w:val="sr-Cyrl-RS"/>
              </w:rPr>
            </w:pPr>
            <w:r w:rsidRPr="0062711C">
              <w:rPr>
                <w:rFonts w:ascii="Calibri" w:hAnsi="Calibri" w:cs="Calibri"/>
                <w:color w:val="002060"/>
                <w:sz w:val="18"/>
                <w:szCs w:val="18"/>
                <w:lang w:val="sr-Cyrl-RS"/>
              </w:rPr>
              <w:t>-4,7</w:t>
            </w:r>
          </w:p>
        </w:tc>
      </w:tr>
      <w:tr w:rsidR="009367BB" w:rsidRPr="0062711C" w14:paraId="0E555E08" w14:textId="77777777" w:rsidTr="009367BB">
        <w:trPr>
          <w:trHeight w:val="283"/>
          <w:jc w:val="center"/>
        </w:trPr>
        <w:tc>
          <w:tcPr>
            <w:tcW w:w="2590" w:type="pct"/>
            <w:shd w:val="clear" w:color="auto" w:fill="E7E6E6" w:themeFill="background2"/>
            <w:noWrap/>
            <w:vAlign w:val="center"/>
            <w:hideMark/>
          </w:tcPr>
          <w:p w14:paraId="4F2480B7" w14:textId="77777777" w:rsidR="009367BB" w:rsidRPr="0062711C" w:rsidRDefault="009367BB" w:rsidP="00953528">
            <w:pPr>
              <w:jc w:val="left"/>
              <w:rPr>
                <w:rFonts w:eastAsia="Calibri" w:cstheme="minorHAnsi"/>
                <w:bCs/>
                <w:iCs/>
                <w:color w:val="002060"/>
                <w:sz w:val="18"/>
                <w:szCs w:val="18"/>
                <w:lang w:val="sr-Cyrl-RS"/>
              </w:rPr>
            </w:pPr>
            <w:r w:rsidRPr="0062711C">
              <w:rPr>
                <w:rFonts w:eastAsia="Calibri" w:cstheme="minorHAnsi"/>
                <w:iCs/>
                <w:color w:val="002060"/>
                <w:sz w:val="18"/>
                <w:szCs w:val="18"/>
                <w:lang w:val="sr-Cyrl-RS"/>
              </w:rPr>
              <w:t>Фискални индикатори, % БДП</w:t>
            </w:r>
          </w:p>
        </w:tc>
        <w:tc>
          <w:tcPr>
            <w:tcW w:w="603" w:type="pct"/>
            <w:shd w:val="clear" w:color="auto" w:fill="E7E6E6" w:themeFill="background2"/>
            <w:noWrap/>
            <w:vAlign w:val="center"/>
          </w:tcPr>
          <w:p w14:paraId="466AC186" w14:textId="77777777" w:rsidR="009367BB" w:rsidRPr="0062711C" w:rsidRDefault="009367BB" w:rsidP="009367BB">
            <w:pPr>
              <w:jc w:val="center"/>
              <w:rPr>
                <w:rFonts w:eastAsia="Calibri" w:cstheme="minorHAnsi"/>
                <w:iCs/>
                <w:color w:val="002060"/>
                <w:sz w:val="18"/>
                <w:szCs w:val="18"/>
                <w:lang w:val="sr-Cyrl-RS"/>
              </w:rPr>
            </w:pPr>
          </w:p>
        </w:tc>
        <w:tc>
          <w:tcPr>
            <w:tcW w:w="604" w:type="pct"/>
            <w:shd w:val="clear" w:color="auto" w:fill="E7E6E6" w:themeFill="background2"/>
            <w:noWrap/>
            <w:vAlign w:val="center"/>
          </w:tcPr>
          <w:p w14:paraId="088F11BE" w14:textId="77777777" w:rsidR="009367BB" w:rsidRPr="0062711C" w:rsidRDefault="009367BB" w:rsidP="009367BB">
            <w:pPr>
              <w:jc w:val="center"/>
              <w:rPr>
                <w:rFonts w:eastAsia="Calibri" w:cstheme="minorHAnsi"/>
                <w:color w:val="002060"/>
                <w:sz w:val="18"/>
                <w:szCs w:val="18"/>
                <w:lang w:val="sr-Cyrl-RS"/>
              </w:rPr>
            </w:pPr>
          </w:p>
        </w:tc>
        <w:tc>
          <w:tcPr>
            <w:tcW w:w="603" w:type="pct"/>
            <w:shd w:val="clear" w:color="auto" w:fill="E7E6E6" w:themeFill="background2"/>
            <w:noWrap/>
            <w:vAlign w:val="center"/>
          </w:tcPr>
          <w:p w14:paraId="73A85440" w14:textId="77777777" w:rsidR="009367BB" w:rsidRPr="0062711C" w:rsidRDefault="009367BB" w:rsidP="009367BB">
            <w:pPr>
              <w:jc w:val="center"/>
              <w:rPr>
                <w:rFonts w:eastAsia="Calibri" w:cstheme="minorHAnsi"/>
                <w:color w:val="002060"/>
                <w:sz w:val="18"/>
                <w:szCs w:val="18"/>
                <w:lang w:val="sr-Cyrl-RS"/>
              </w:rPr>
            </w:pPr>
          </w:p>
        </w:tc>
        <w:tc>
          <w:tcPr>
            <w:tcW w:w="600" w:type="pct"/>
            <w:shd w:val="clear" w:color="auto" w:fill="E7E6E6" w:themeFill="background2"/>
            <w:noWrap/>
            <w:vAlign w:val="center"/>
          </w:tcPr>
          <w:p w14:paraId="1BB51E3A" w14:textId="77777777" w:rsidR="009367BB" w:rsidRPr="0062711C" w:rsidRDefault="009367BB" w:rsidP="009367BB">
            <w:pPr>
              <w:jc w:val="center"/>
              <w:rPr>
                <w:rFonts w:eastAsia="Calibri" w:cstheme="minorHAnsi"/>
                <w:color w:val="002060"/>
                <w:sz w:val="18"/>
                <w:szCs w:val="18"/>
                <w:lang w:val="sr-Cyrl-RS"/>
              </w:rPr>
            </w:pPr>
          </w:p>
        </w:tc>
      </w:tr>
      <w:tr w:rsidR="009367BB" w:rsidRPr="0062711C" w14:paraId="2DD48848" w14:textId="77777777" w:rsidTr="009367BB">
        <w:trPr>
          <w:trHeight w:val="281"/>
          <w:jc w:val="center"/>
        </w:trPr>
        <w:tc>
          <w:tcPr>
            <w:tcW w:w="2590" w:type="pct"/>
            <w:noWrap/>
            <w:vAlign w:val="center"/>
            <w:hideMark/>
          </w:tcPr>
          <w:p w14:paraId="7C050CE7"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Фискални резултат сектора државе</w:t>
            </w:r>
          </w:p>
        </w:tc>
        <w:tc>
          <w:tcPr>
            <w:tcW w:w="603" w:type="pct"/>
            <w:tcBorders>
              <w:top w:val="nil"/>
              <w:left w:val="nil"/>
              <w:bottom w:val="nil"/>
              <w:right w:val="nil"/>
            </w:tcBorders>
            <w:shd w:val="clear" w:color="auto" w:fill="auto"/>
            <w:noWrap/>
            <w:vAlign w:val="center"/>
          </w:tcPr>
          <w:p w14:paraId="68CCFC5E" w14:textId="77777777" w:rsidR="009367BB" w:rsidRPr="0062711C" w:rsidRDefault="009367BB" w:rsidP="009367BB">
            <w:pPr>
              <w:jc w:val="center"/>
              <w:rPr>
                <w:rFonts w:cstheme="minorHAnsi"/>
                <w:color w:val="002060"/>
                <w:sz w:val="18"/>
                <w:lang w:val="sr-Cyrl-RS"/>
              </w:rPr>
            </w:pPr>
            <w:r w:rsidRPr="0062711C">
              <w:rPr>
                <w:rFonts w:cstheme="minorHAnsi"/>
                <w:color w:val="002060"/>
                <w:sz w:val="18"/>
                <w:szCs w:val="18"/>
                <w:lang w:val="sr-Cyrl-RS"/>
              </w:rPr>
              <w:t>-2,2</w:t>
            </w:r>
          </w:p>
        </w:tc>
        <w:tc>
          <w:tcPr>
            <w:tcW w:w="604" w:type="pct"/>
            <w:tcBorders>
              <w:top w:val="nil"/>
              <w:left w:val="nil"/>
              <w:bottom w:val="nil"/>
              <w:right w:val="nil"/>
            </w:tcBorders>
            <w:shd w:val="clear" w:color="auto" w:fill="auto"/>
            <w:noWrap/>
            <w:vAlign w:val="center"/>
          </w:tcPr>
          <w:p w14:paraId="1AFA8522" w14:textId="77777777" w:rsidR="009367BB" w:rsidRPr="0062711C" w:rsidRDefault="009367BB" w:rsidP="009367BB">
            <w:pPr>
              <w:jc w:val="center"/>
              <w:rPr>
                <w:rFonts w:cstheme="minorHAnsi"/>
                <w:color w:val="002060"/>
                <w:sz w:val="18"/>
                <w:lang w:val="sr-Cyrl-RS"/>
              </w:rPr>
            </w:pPr>
            <w:r w:rsidRPr="0062711C">
              <w:rPr>
                <w:rFonts w:cstheme="minorHAnsi"/>
                <w:color w:val="002060"/>
                <w:sz w:val="18"/>
                <w:szCs w:val="18"/>
                <w:lang w:val="sr-Cyrl-RS"/>
              </w:rPr>
              <w:t>-2,5</w:t>
            </w:r>
          </w:p>
        </w:tc>
        <w:tc>
          <w:tcPr>
            <w:tcW w:w="603" w:type="pct"/>
            <w:tcBorders>
              <w:top w:val="nil"/>
              <w:left w:val="nil"/>
              <w:bottom w:val="nil"/>
              <w:right w:val="nil"/>
            </w:tcBorders>
            <w:shd w:val="clear" w:color="auto" w:fill="auto"/>
            <w:noWrap/>
            <w:vAlign w:val="center"/>
          </w:tcPr>
          <w:p w14:paraId="17D21ACF" w14:textId="77777777" w:rsidR="009367BB" w:rsidRPr="0062711C" w:rsidRDefault="009367BB" w:rsidP="009367BB">
            <w:pPr>
              <w:jc w:val="center"/>
              <w:rPr>
                <w:rFonts w:cstheme="minorHAnsi"/>
                <w:color w:val="002060"/>
                <w:sz w:val="18"/>
                <w:lang w:val="sr-Cyrl-RS"/>
              </w:rPr>
            </w:pPr>
            <w:r w:rsidRPr="0062711C">
              <w:rPr>
                <w:rFonts w:cstheme="minorHAnsi"/>
                <w:color w:val="002060"/>
                <w:sz w:val="18"/>
                <w:szCs w:val="18"/>
                <w:lang w:val="sr-Cyrl-RS"/>
              </w:rPr>
              <w:t>-2,3</w:t>
            </w:r>
          </w:p>
        </w:tc>
        <w:tc>
          <w:tcPr>
            <w:tcW w:w="600" w:type="pct"/>
            <w:tcBorders>
              <w:top w:val="nil"/>
              <w:left w:val="nil"/>
              <w:bottom w:val="nil"/>
              <w:right w:val="nil"/>
            </w:tcBorders>
            <w:shd w:val="clear" w:color="auto" w:fill="auto"/>
            <w:noWrap/>
            <w:vAlign w:val="center"/>
          </w:tcPr>
          <w:p w14:paraId="725B262D" w14:textId="77777777" w:rsidR="009367BB" w:rsidRPr="0062711C" w:rsidRDefault="009367BB" w:rsidP="009367BB">
            <w:pPr>
              <w:jc w:val="center"/>
              <w:rPr>
                <w:rFonts w:cstheme="minorHAnsi"/>
                <w:color w:val="002060"/>
                <w:sz w:val="18"/>
                <w:lang w:val="sr-Cyrl-RS"/>
              </w:rPr>
            </w:pPr>
            <w:r w:rsidRPr="0062711C">
              <w:rPr>
                <w:rFonts w:cstheme="minorHAnsi"/>
                <w:color w:val="002060"/>
                <w:sz w:val="18"/>
                <w:szCs w:val="18"/>
                <w:lang w:val="sr-Cyrl-RS"/>
              </w:rPr>
              <w:t>-2,3</w:t>
            </w:r>
          </w:p>
        </w:tc>
      </w:tr>
      <w:tr w:rsidR="009367BB" w:rsidRPr="0062711C" w14:paraId="62360F06" w14:textId="77777777" w:rsidTr="009367BB">
        <w:trPr>
          <w:trHeight w:val="281"/>
          <w:jc w:val="center"/>
        </w:trPr>
        <w:tc>
          <w:tcPr>
            <w:tcW w:w="2590" w:type="pct"/>
            <w:noWrap/>
            <w:vAlign w:val="center"/>
            <w:hideMark/>
          </w:tcPr>
          <w:p w14:paraId="4D7CF66A"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Консолидовани приходи</w:t>
            </w:r>
          </w:p>
        </w:tc>
        <w:tc>
          <w:tcPr>
            <w:tcW w:w="603" w:type="pct"/>
            <w:tcBorders>
              <w:top w:val="nil"/>
              <w:left w:val="nil"/>
              <w:bottom w:val="nil"/>
              <w:right w:val="nil"/>
            </w:tcBorders>
            <w:shd w:val="clear" w:color="auto" w:fill="auto"/>
            <w:noWrap/>
            <w:vAlign w:val="center"/>
          </w:tcPr>
          <w:p w14:paraId="4E062C8E"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42,7</w:t>
            </w:r>
          </w:p>
        </w:tc>
        <w:tc>
          <w:tcPr>
            <w:tcW w:w="604" w:type="pct"/>
            <w:tcBorders>
              <w:top w:val="nil"/>
              <w:left w:val="nil"/>
              <w:bottom w:val="nil"/>
              <w:right w:val="nil"/>
            </w:tcBorders>
            <w:shd w:val="clear" w:color="auto" w:fill="auto"/>
            <w:noWrap/>
            <w:vAlign w:val="center"/>
          </w:tcPr>
          <w:p w14:paraId="5DE81A94"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42,6</w:t>
            </w:r>
          </w:p>
        </w:tc>
        <w:tc>
          <w:tcPr>
            <w:tcW w:w="603" w:type="pct"/>
            <w:tcBorders>
              <w:top w:val="nil"/>
              <w:left w:val="nil"/>
              <w:bottom w:val="nil"/>
              <w:right w:val="nil"/>
            </w:tcBorders>
            <w:shd w:val="clear" w:color="auto" w:fill="auto"/>
            <w:noWrap/>
            <w:vAlign w:val="center"/>
          </w:tcPr>
          <w:p w14:paraId="2C50752F"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42,4</w:t>
            </w:r>
          </w:p>
        </w:tc>
        <w:tc>
          <w:tcPr>
            <w:tcW w:w="600" w:type="pct"/>
            <w:tcBorders>
              <w:top w:val="nil"/>
              <w:left w:val="nil"/>
              <w:bottom w:val="nil"/>
              <w:right w:val="nil"/>
            </w:tcBorders>
            <w:shd w:val="clear" w:color="auto" w:fill="auto"/>
            <w:noWrap/>
            <w:vAlign w:val="center"/>
          </w:tcPr>
          <w:p w14:paraId="25AC689D"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42,1</w:t>
            </w:r>
          </w:p>
        </w:tc>
      </w:tr>
      <w:tr w:rsidR="009367BB" w:rsidRPr="0062711C" w14:paraId="21BC10D6" w14:textId="77777777" w:rsidTr="009367BB">
        <w:trPr>
          <w:trHeight w:val="281"/>
          <w:jc w:val="center"/>
        </w:trPr>
        <w:tc>
          <w:tcPr>
            <w:tcW w:w="2590" w:type="pct"/>
            <w:noWrap/>
            <w:vAlign w:val="center"/>
            <w:hideMark/>
          </w:tcPr>
          <w:p w14:paraId="4EEB37AA" w14:textId="77777777" w:rsidR="009367BB" w:rsidRPr="0062711C" w:rsidRDefault="009367BB" w:rsidP="009367BB">
            <w:pPr>
              <w:ind w:left="113"/>
              <w:jc w:val="left"/>
              <w:rPr>
                <w:rFonts w:eastAsia="Calibri" w:cstheme="minorHAnsi"/>
                <w:color w:val="002060"/>
                <w:sz w:val="18"/>
                <w:szCs w:val="18"/>
                <w:lang w:val="sr-Cyrl-RS"/>
              </w:rPr>
            </w:pPr>
            <w:r w:rsidRPr="0062711C">
              <w:rPr>
                <w:rFonts w:eastAsia="Calibri" w:cstheme="minorHAnsi"/>
                <w:color w:val="002060"/>
                <w:sz w:val="18"/>
                <w:szCs w:val="18"/>
                <w:lang w:val="sr-Cyrl-RS"/>
              </w:rPr>
              <w:t>Консолидовани расходи</w:t>
            </w:r>
          </w:p>
        </w:tc>
        <w:tc>
          <w:tcPr>
            <w:tcW w:w="603" w:type="pct"/>
            <w:tcBorders>
              <w:top w:val="nil"/>
              <w:left w:val="nil"/>
              <w:right w:val="nil"/>
            </w:tcBorders>
            <w:shd w:val="clear" w:color="auto" w:fill="auto"/>
            <w:noWrap/>
            <w:vAlign w:val="center"/>
          </w:tcPr>
          <w:p w14:paraId="30C35079"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44,9</w:t>
            </w:r>
          </w:p>
        </w:tc>
        <w:tc>
          <w:tcPr>
            <w:tcW w:w="604" w:type="pct"/>
            <w:tcBorders>
              <w:top w:val="nil"/>
              <w:left w:val="nil"/>
              <w:right w:val="nil"/>
            </w:tcBorders>
            <w:shd w:val="clear" w:color="auto" w:fill="auto"/>
            <w:noWrap/>
            <w:vAlign w:val="center"/>
          </w:tcPr>
          <w:p w14:paraId="4FF2F205"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45,1</w:t>
            </w:r>
          </w:p>
        </w:tc>
        <w:tc>
          <w:tcPr>
            <w:tcW w:w="603" w:type="pct"/>
            <w:tcBorders>
              <w:top w:val="nil"/>
              <w:left w:val="nil"/>
              <w:right w:val="nil"/>
            </w:tcBorders>
            <w:shd w:val="clear" w:color="auto" w:fill="auto"/>
            <w:noWrap/>
            <w:vAlign w:val="center"/>
          </w:tcPr>
          <w:p w14:paraId="363B8F45"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44,6</w:t>
            </w:r>
          </w:p>
        </w:tc>
        <w:tc>
          <w:tcPr>
            <w:tcW w:w="600" w:type="pct"/>
            <w:tcBorders>
              <w:top w:val="nil"/>
              <w:left w:val="nil"/>
              <w:right w:val="nil"/>
            </w:tcBorders>
            <w:shd w:val="clear" w:color="auto" w:fill="auto"/>
            <w:noWrap/>
            <w:vAlign w:val="center"/>
          </w:tcPr>
          <w:p w14:paraId="25F421A9"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44,4</w:t>
            </w:r>
          </w:p>
        </w:tc>
      </w:tr>
      <w:tr w:rsidR="009367BB" w:rsidRPr="0062711C" w14:paraId="1E3573BF" w14:textId="77777777" w:rsidTr="009367BB">
        <w:trPr>
          <w:trHeight w:val="281"/>
          <w:jc w:val="center"/>
        </w:trPr>
        <w:tc>
          <w:tcPr>
            <w:tcW w:w="2590" w:type="pct"/>
            <w:tcBorders>
              <w:bottom w:val="single" w:sz="4" w:space="0" w:color="002060"/>
            </w:tcBorders>
            <w:noWrap/>
            <w:vAlign w:val="center"/>
            <w:hideMark/>
          </w:tcPr>
          <w:p w14:paraId="46DE9D4F" w14:textId="77777777" w:rsidR="009367BB" w:rsidRPr="0062711C" w:rsidRDefault="009367BB" w:rsidP="009367BB">
            <w:pPr>
              <w:ind w:left="113"/>
              <w:jc w:val="left"/>
              <w:rPr>
                <w:rFonts w:eastAsia="Calibri" w:cstheme="minorHAnsi"/>
                <w:bCs/>
                <w:color w:val="002060"/>
                <w:sz w:val="18"/>
                <w:szCs w:val="18"/>
                <w:lang w:val="sr-Cyrl-RS"/>
              </w:rPr>
            </w:pPr>
            <w:r w:rsidRPr="0062711C">
              <w:rPr>
                <w:rFonts w:eastAsia="Calibri" w:cstheme="minorHAnsi"/>
                <w:color w:val="002060"/>
                <w:sz w:val="18"/>
                <w:szCs w:val="18"/>
                <w:lang w:val="sr-Cyrl-RS"/>
              </w:rPr>
              <w:t>Бруто дуг сектора државе</w:t>
            </w:r>
          </w:p>
        </w:tc>
        <w:tc>
          <w:tcPr>
            <w:tcW w:w="603" w:type="pct"/>
            <w:tcBorders>
              <w:top w:val="nil"/>
              <w:left w:val="nil"/>
              <w:bottom w:val="single" w:sz="4" w:space="0" w:color="002060"/>
              <w:right w:val="nil"/>
            </w:tcBorders>
            <w:shd w:val="clear" w:color="auto" w:fill="auto"/>
            <w:noWrap/>
            <w:vAlign w:val="center"/>
          </w:tcPr>
          <w:p w14:paraId="6545C90C"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52,0</w:t>
            </w:r>
          </w:p>
        </w:tc>
        <w:tc>
          <w:tcPr>
            <w:tcW w:w="604" w:type="pct"/>
            <w:tcBorders>
              <w:top w:val="nil"/>
              <w:left w:val="nil"/>
              <w:bottom w:val="single" w:sz="4" w:space="0" w:color="002060"/>
              <w:right w:val="nil"/>
            </w:tcBorders>
            <w:shd w:val="clear" w:color="auto" w:fill="auto"/>
            <w:noWrap/>
            <w:vAlign w:val="center"/>
          </w:tcPr>
          <w:p w14:paraId="413EBA09"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51,6</w:t>
            </w:r>
          </w:p>
        </w:tc>
        <w:tc>
          <w:tcPr>
            <w:tcW w:w="603" w:type="pct"/>
            <w:tcBorders>
              <w:top w:val="nil"/>
              <w:left w:val="nil"/>
              <w:bottom w:val="single" w:sz="4" w:space="0" w:color="002060"/>
              <w:right w:val="nil"/>
            </w:tcBorders>
            <w:shd w:val="clear" w:color="auto" w:fill="auto"/>
            <w:noWrap/>
            <w:vAlign w:val="center"/>
          </w:tcPr>
          <w:p w14:paraId="1E73BB98"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51,0</w:t>
            </w:r>
          </w:p>
        </w:tc>
        <w:tc>
          <w:tcPr>
            <w:tcW w:w="600" w:type="pct"/>
            <w:tcBorders>
              <w:top w:val="nil"/>
              <w:left w:val="nil"/>
              <w:bottom w:val="single" w:sz="4" w:space="0" w:color="002060"/>
              <w:right w:val="nil"/>
            </w:tcBorders>
            <w:shd w:val="clear" w:color="auto" w:fill="auto"/>
            <w:noWrap/>
            <w:vAlign w:val="center"/>
          </w:tcPr>
          <w:p w14:paraId="58F08544" w14:textId="77777777" w:rsidR="009367BB" w:rsidRPr="0062711C" w:rsidRDefault="009367BB" w:rsidP="009367BB">
            <w:pPr>
              <w:jc w:val="center"/>
              <w:rPr>
                <w:rFonts w:cstheme="minorHAnsi"/>
                <w:color w:val="002060"/>
                <w:sz w:val="18"/>
                <w:szCs w:val="18"/>
                <w:lang w:val="sr-Cyrl-RS"/>
              </w:rPr>
            </w:pPr>
            <w:r w:rsidRPr="0062711C">
              <w:rPr>
                <w:rFonts w:cstheme="minorHAnsi"/>
                <w:color w:val="002060"/>
                <w:sz w:val="18"/>
                <w:szCs w:val="18"/>
                <w:lang w:val="sr-Cyrl-RS"/>
              </w:rPr>
              <w:t>50,5</w:t>
            </w:r>
          </w:p>
        </w:tc>
      </w:tr>
      <w:bookmarkEnd w:id="99"/>
      <w:bookmarkEnd w:id="100"/>
      <w:bookmarkEnd w:id="101"/>
      <w:bookmarkEnd w:id="102"/>
      <w:bookmarkEnd w:id="103"/>
      <w:bookmarkEnd w:id="104"/>
      <w:bookmarkEnd w:id="105"/>
    </w:tbl>
    <w:p w14:paraId="56A332BF" w14:textId="77777777" w:rsidR="00D96A25" w:rsidRPr="0062711C" w:rsidRDefault="00D96A25" w:rsidP="00B51BEB">
      <w:pPr>
        <w:spacing w:after="0"/>
        <w:rPr>
          <w:color w:val="002060"/>
          <w:lang w:val="sr-Cyrl-RS"/>
        </w:rPr>
      </w:pPr>
    </w:p>
    <w:p w14:paraId="4DDEA89F" w14:textId="77777777" w:rsidR="00D96A25" w:rsidRPr="0062711C" w:rsidRDefault="00D96A25" w:rsidP="00B51BEB">
      <w:pPr>
        <w:rPr>
          <w:rFonts w:ascii="Calibri" w:eastAsia="Calibri" w:hAnsi="Calibri" w:cs="Calibri"/>
          <w:color w:val="44546A"/>
          <w:lang w:val="sr-Cyrl-RS"/>
        </w:rPr>
        <w:sectPr w:rsidR="00D96A25" w:rsidRPr="0062711C" w:rsidSect="00F45C01">
          <w:type w:val="continuous"/>
          <w:pgSz w:w="12240" w:h="15840" w:code="1"/>
          <w:pgMar w:top="1440" w:right="1440" w:bottom="1440" w:left="1440" w:header="720" w:footer="720" w:gutter="0"/>
          <w:cols w:space="720"/>
          <w:titlePg/>
          <w:docGrid w:linePitch="360"/>
        </w:sectPr>
      </w:pPr>
    </w:p>
    <w:p w14:paraId="71F7B06E" w14:textId="77777777" w:rsidR="00D96A25" w:rsidRPr="0062711C" w:rsidRDefault="00D96A25" w:rsidP="00B51BEB">
      <w:pPr>
        <w:spacing w:after="0"/>
        <w:rPr>
          <w:color w:val="2F5496" w:themeColor="accent1" w:themeShade="BF"/>
          <w:sz w:val="14"/>
          <w:szCs w:val="26"/>
          <w:lang w:val="sr-Cyrl-RS"/>
        </w:rPr>
      </w:pPr>
      <w:bookmarkStart w:id="106" w:name="_Toc72394589"/>
      <w:bookmarkStart w:id="107" w:name="_Toc86923731"/>
    </w:p>
    <w:p w14:paraId="38506730" w14:textId="77777777" w:rsidR="00281F47" w:rsidRPr="0062711C" w:rsidRDefault="00281F47" w:rsidP="007F06ED">
      <w:pPr>
        <w:keepNext/>
        <w:keepLines/>
        <w:spacing w:before="40"/>
        <w:outlineLvl w:val="0"/>
        <w:rPr>
          <w:rFonts w:eastAsiaTheme="majorEastAsia" w:cstheme="minorHAnsi"/>
          <w:color w:val="002060"/>
          <w:sz w:val="24"/>
          <w:szCs w:val="26"/>
          <w:lang w:val="sr-Cyrl-RS"/>
        </w:rPr>
      </w:pPr>
      <w:bookmarkStart w:id="108" w:name="_Toc104899615"/>
      <w:bookmarkStart w:id="109" w:name="_Toc170722314"/>
      <w:bookmarkStart w:id="110" w:name="_Toc119654153"/>
      <w:bookmarkStart w:id="111" w:name="_Toc135994510"/>
      <w:bookmarkStart w:id="112" w:name="_Toc103598562"/>
      <w:bookmarkStart w:id="113" w:name="_Toc146277924"/>
      <w:bookmarkStart w:id="114" w:name="_Toc148431277"/>
      <w:r w:rsidRPr="0062711C">
        <w:rPr>
          <w:rFonts w:eastAsiaTheme="majorEastAsia" w:cstheme="minorHAnsi"/>
          <w:color w:val="002060"/>
          <w:sz w:val="24"/>
          <w:szCs w:val="26"/>
          <w:lang w:val="sr-Cyrl-RS"/>
        </w:rPr>
        <w:t>Прилог 2 – Фискални оквир сектора државе у 2025. години</w:t>
      </w:r>
      <w:bookmarkEnd w:id="108"/>
      <w:bookmarkEnd w:id="109"/>
    </w:p>
    <w:tbl>
      <w:tblPr>
        <w:tblStyle w:val="ListTable1Light-Accent3"/>
        <w:tblW w:w="4916" w:type="pct"/>
        <w:tblLook w:val="04A0" w:firstRow="1" w:lastRow="0" w:firstColumn="1" w:lastColumn="0" w:noHBand="0" w:noVBand="1"/>
      </w:tblPr>
      <w:tblGrid>
        <w:gridCol w:w="2925"/>
        <w:gridCol w:w="1042"/>
        <w:gridCol w:w="1042"/>
        <w:gridCol w:w="1054"/>
        <w:gridCol w:w="1019"/>
        <w:gridCol w:w="1088"/>
        <w:gridCol w:w="1032"/>
        <w:gridCol w:w="1087"/>
        <w:gridCol w:w="1087"/>
        <w:gridCol w:w="1087"/>
        <w:gridCol w:w="1087"/>
        <w:gridCol w:w="909"/>
      </w:tblGrid>
      <w:tr w:rsidR="00281F47" w:rsidRPr="0062711C" w14:paraId="20E0E638" w14:textId="77777777" w:rsidTr="007F06ED">
        <w:trPr>
          <w:cnfStyle w:val="100000000000" w:firstRow="1" w:lastRow="0" w:firstColumn="0" w:lastColumn="0" w:oddVBand="0" w:evenVBand="0" w:oddHBand="0" w:evenHBand="0" w:firstRowFirstColumn="0" w:firstRowLastColumn="0" w:lastRowFirstColumn="0" w:lastRowLastColumn="0"/>
          <w:trHeight w:val="687"/>
        </w:trPr>
        <w:tc>
          <w:tcPr>
            <w:cnfStyle w:val="001000000000" w:firstRow="0" w:lastRow="0" w:firstColumn="1" w:lastColumn="0" w:oddVBand="0" w:evenVBand="0" w:oddHBand="0" w:evenHBand="0" w:firstRowFirstColumn="0" w:firstRowLastColumn="0" w:lastRowFirstColumn="0" w:lastRowLastColumn="0"/>
            <w:tcW w:w="1011" w:type="pct"/>
            <w:tcBorders>
              <w:top w:val="single" w:sz="4" w:space="0" w:color="auto"/>
              <w:bottom w:val="single" w:sz="4" w:space="0" w:color="auto"/>
            </w:tcBorders>
            <w:noWrap/>
            <w:hideMark/>
          </w:tcPr>
          <w:p w14:paraId="7F936DE2" w14:textId="77777777" w:rsidR="00281F47" w:rsidRPr="0062711C" w:rsidRDefault="00281F47" w:rsidP="007F06ED">
            <w:pPr>
              <w:tabs>
                <w:tab w:val="center" w:pos="4680"/>
                <w:tab w:val="right" w:pos="9360"/>
              </w:tabs>
              <w:rPr>
                <w:rFonts w:ascii="Calibri" w:hAnsi="Calibri" w:cs="Calibri"/>
                <w:color w:val="002060"/>
                <w:sz w:val="14"/>
                <w:szCs w:val="14"/>
                <w:lang w:val="sr-Cyrl-RS"/>
              </w:rPr>
            </w:pPr>
            <w:r w:rsidRPr="0062711C">
              <w:rPr>
                <w:rFonts w:ascii="Calibri" w:hAnsi="Calibri" w:cs="Calibri"/>
                <w:color w:val="002060"/>
                <w:sz w:val="14"/>
                <w:szCs w:val="14"/>
                <w:lang w:val="sr-Cyrl-RS"/>
              </w:rPr>
              <w:t> </w:t>
            </w:r>
          </w:p>
        </w:tc>
        <w:tc>
          <w:tcPr>
            <w:tcW w:w="360" w:type="pct"/>
            <w:tcBorders>
              <w:top w:val="single" w:sz="4" w:space="0" w:color="auto"/>
              <w:bottom w:val="single" w:sz="4" w:space="0" w:color="auto"/>
            </w:tcBorders>
            <w:vAlign w:val="center"/>
            <w:hideMark/>
          </w:tcPr>
          <w:p w14:paraId="55EB61F3"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Сектор државе*</w:t>
            </w:r>
          </w:p>
        </w:tc>
        <w:tc>
          <w:tcPr>
            <w:tcW w:w="360" w:type="pct"/>
            <w:tcBorders>
              <w:top w:val="single" w:sz="4" w:space="0" w:color="auto"/>
              <w:bottom w:val="single" w:sz="4" w:space="0" w:color="auto"/>
            </w:tcBorders>
            <w:vAlign w:val="center"/>
            <w:hideMark/>
          </w:tcPr>
          <w:p w14:paraId="42198204"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Буџет Републике</w:t>
            </w:r>
          </w:p>
        </w:tc>
        <w:tc>
          <w:tcPr>
            <w:tcW w:w="364" w:type="pct"/>
            <w:tcBorders>
              <w:top w:val="single" w:sz="4" w:space="0" w:color="auto"/>
              <w:bottom w:val="single" w:sz="4" w:space="0" w:color="auto"/>
            </w:tcBorders>
            <w:vAlign w:val="center"/>
            <w:hideMark/>
          </w:tcPr>
          <w:p w14:paraId="679DAC04"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Јединице локалне самоуправе</w:t>
            </w:r>
          </w:p>
        </w:tc>
        <w:tc>
          <w:tcPr>
            <w:tcW w:w="352" w:type="pct"/>
            <w:tcBorders>
              <w:top w:val="single" w:sz="4" w:space="0" w:color="auto"/>
              <w:bottom w:val="single" w:sz="4" w:space="0" w:color="auto"/>
            </w:tcBorders>
            <w:vAlign w:val="center"/>
            <w:hideMark/>
          </w:tcPr>
          <w:p w14:paraId="26DD0A1E"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Градови и општине</w:t>
            </w:r>
          </w:p>
        </w:tc>
        <w:tc>
          <w:tcPr>
            <w:tcW w:w="376" w:type="pct"/>
            <w:tcBorders>
              <w:top w:val="single" w:sz="4" w:space="0" w:color="auto"/>
              <w:bottom w:val="single" w:sz="4" w:space="0" w:color="auto"/>
            </w:tcBorders>
            <w:noWrap/>
            <w:vAlign w:val="center"/>
            <w:hideMark/>
          </w:tcPr>
          <w:p w14:paraId="08D9F39F"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AП Војводина</w:t>
            </w:r>
          </w:p>
        </w:tc>
        <w:tc>
          <w:tcPr>
            <w:tcW w:w="357" w:type="pct"/>
            <w:tcBorders>
              <w:top w:val="single" w:sz="4" w:space="0" w:color="auto"/>
              <w:bottom w:val="single" w:sz="4" w:space="0" w:color="auto"/>
            </w:tcBorders>
            <w:vAlign w:val="center"/>
            <w:hideMark/>
          </w:tcPr>
          <w:p w14:paraId="2C63E29F"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Ванбуџетски корисници**</w:t>
            </w:r>
          </w:p>
        </w:tc>
        <w:tc>
          <w:tcPr>
            <w:tcW w:w="376" w:type="pct"/>
            <w:tcBorders>
              <w:top w:val="single" w:sz="4" w:space="0" w:color="auto"/>
              <w:bottom w:val="single" w:sz="4" w:space="0" w:color="auto"/>
            </w:tcBorders>
            <w:noWrap/>
            <w:vAlign w:val="center"/>
            <w:hideMark/>
          </w:tcPr>
          <w:p w14:paraId="0EF9A8A9"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ООСО</w:t>
            </w:r>
          </w:p>
        </w:tc>
        <w:tc>
          <w:tcPr>
            <w:tcW w:w="376" w:type="pct"/>
            <w:tcBorders>
              <w:top w:val="single" w:sz="4" w:space="0" w:color="auto"/>
              <w:bottom w:val="single" w:sz="4" w:space="0" w:color="auto"/>
            </w:tcBorders>
            <w:noWrap/>
            <w:vAlign w:val="center"/>
            <w:hideMark/>
          </w:tcPr>
          <w:p w14:paraId="1AC80608"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Фонд ПИО</w:t>
            </w:r>
          </w:p>
        </w:tc>
        <w:tc>
          <w:tcPr>
            <w:tcW w:w="376" w:type="pct"/>
            <w:tcBorders>
              <w:top w:val="single" w:sz="4" w:space="0" w:color="auto"/>
              <w:bottom w:val="single" w:sz="4" w:space="0" w:color="auto"/>
            </w:tcBorders>
            <w:noWrap/>
            <w:vAlign w:val="center"/>
            <w:hideMark/>
          </w:tcPr>
          <w:p w14:paraId="069C21F3"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РФЗО</w:t>
            </w:r>
          </w:p>
        </w:tc>
        <w:tc>
          <w:tcPr>
            <w:tcW w:w="376" w:type="pct"/>
            <w:tcBorders>
              <w:top w:val="single" w:sz="4" w:space="0" w:color="auto"/>
              <w:bottom w:val="single" w:sz="4" w:space="0" w:color="auto"/>
            </w:tcBorders>
            <w:noWrap/>
            <w:vAlign w:val="center"/>
            <w:hideMark/>
          </w:tcPr>
          <w:p w14:paraId="2ECF0DDE"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НСЗ</w:t>
            </w:r>
          </w:p>
        </w:tc>
        <w:tc>
          <w:tcPr>
            <w:tcW w:w="314" w:type="pct"/>
            <w:tcBorders>
              <w:top w:val="single" w:sz="4" w:space="0" w:color="auto"/>
              <w:bottom w:val="single" w:sz="4" w:space="0" w:color="auto"/>
            </w:tcBorders>
            <w:noWrap/>
            <w:vAlign w:val="center"/>
            <w:hideMark/>
          </w:tcPr>
          <w:p w14:paraId="5853C607" w14:textId="77777777" w:rsidR="00281F47" w:rsidRPr="0062711C" w:rsidRDefault="00281F47" w:rsidP="007F06ED">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color w:val="002060"/>
                <w:sz w:val="14"/>
                <w:szCs w:val="14"/>
                <w:lang w:val="sr-Cyrl-RS"/>
              </w:rPr>
            </w:pPr>
            <w:r w:rsidRPr="0062711C">
              <w:rPr>
                <w:rFonts w:ascii="Calibri" w:hAnsi="Calibri" w:cs="Calibri"/>
                <w:b w:val="0"/>
                <w:color w:val="002060"/>
                <w:sz w:val="14"/>
                <w:szCs w:val="14"/>
                <w:lang w:val="sr-Cyrl-RS"/>
              </w:rPr>
              <w:t>Фонд СОВО</w:t>
            </w:r>
          </w:p>
        </w:tc>
      </w:tr>
      <w:tr w:rsidR="00281F47" w:rsidRPr="0062711C" w14:paraId="6013E6E3" w14:textId="77777777" w:rsidTr="007F06ED">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1011" w:type="pct"/>
            <w:tcBorders>
              <w:top w:val="single" w:sz="4" w:space="0" w:color="auto"/>
              <w:bottom w:val="single" w:sz="4" w:space="0" w:color="auto"/>
            </w:tcBorders>
            <w:shd w:val="clear" w:color="auto" w:fill="auto"/>
            <w:noWrap/>
            <w:hideMark/>
          </w:tcPr>
          <w:p w14:paraId="6EECA67E" w14:textId="77777777" w:rsidR="00281F47" w:rsidRPr="0062711C" w:rsidRDefault="00281F47" w:rsidP="007F06ED">
            <w:pPr>
              <w:tabs>
                <w:tab w:val="center" w:pos="4680"/>
                <w:tab w:val="right" w:pos="9360"/>
              </w:tabs>
              <w:rPr>
                <w:rFonts w:ascii="Calibri" w:hAnsi="Calibri" w:cs="Calibri"/>
                <w:color w:val="002060"/>
                <w:sz w:val="14"/>
                <w:szCs w:val="14"/>
                <w:lang w:val="sr-Cyrl-RS"/>
              </w:rPr>
            </w:pPr>
            <w:r w:rsidRPr="0062711C">
              <w:rPr>
                <w:rFonts w:ascii="Calibri" w:hAnsi="Calibri" w:cs="Calibri"/>
                <w:color w:val="002060"/>
                <w:sz w:val="14"/>
                <w:szCs w:val="14"/>
                <w:lang w:val="sr-Cyrl-RS"/>
              </w:rPr>
              <w:t> </w:t>
            </w:r>
          </w:p>
        </w:tc>
        <w:tc>
          <w:tcPr>
            <w:tcW w:w="360" w:type="pct"/>
            <w:tcBorders>
              <w:top w:val="single" w:sz="4" w:space="0" w:color="auto"/>
              <w:bottom w:val="single" w:sz="4" w:space="0" w:color="auto"/>
            </w:tcBorders>
            <w:shd w:val="clear" w:color="auto" w:fill="auto"/>
            <w:hideMark/>
          </w:tcPr>
          <w:p w14:paraId="07BC19CD"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1=2+3+6+7</w:t>
            </w:r>
          </w:p>
        </w:tc>
        <w:tc>
          <w:tcPr>
            <w:tcW w:w="360" w:type="pct"/>
            <w:tcBorders>
              <w:top w:val="single" w:sz="4" w:space="0" w:color="auto"/>
              <w:bottom w:val="single" w:sz="4" w:space="0" w:color="auto"/>
            </w:tcBorders>
            <w:shd w:val="clear" w:color="auto" w:fill="auto"/>
            <w:hideMark/>
          </w:tcPr>
          <w:p w14:paraId="563681D9"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2</w:t>
            </w:r>
          </w:p>
        </w:tc>
        <w:tc>
          <w:tcPr>
            <w:tcW w:w="364" w:type="pct"/>
            <w:tcBorders>
              <w:top w:val="single" w:sz="4" w:space="0" w:color="auto"/>
              <w:bottom w:val="single" w:sz="4" w:space="0" w:color="auto"/>
            </w:tcBorders>
            <w:shd w:val="clear" w:color="auto" w:fill="auto"/>
            <w:hideMark/>
          </w:tcPr>
          <w:p w14:paraId="04203A67"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3=4+5</w:t>
            </w:r>
          </w:p>
        </w:tc>
        <w:tc>
          <w:tcPr>
            <w:tcW w:w="352" w:type="pct"/>
            <w:tcBorders>
              <w:top w:val="single" w:sz="4" w:space="0" w:color="auto"/>
              <w:bottom w:val="single" w:sz="4" w:space="0" w:color="auto"/>
            </w:tcBorders>
            <w:shd w:val="clear" w:color="auto" w:fill="auto"/>
            <w:hideMark/>
          </w:tcPr>
          <w:p w14:paraId="636D295A"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4</w:t>
            </w:r>
          </w:p>
        </w:tc>
        <w:tc>
          <w:tcPr>
            <w:tcW w:w="376" w:type="pct"/>
            <w:tcBorders>
              <w:top w:val="single" w:sz="4" w:space="0" w:color="auto"/>
              <w:bottom w:val="single" w:sz="4" w:space="0" w:color="auto"/>
            </w:tcBorders>
            <w:shd w:val="clear" w:color="auto" w:fill="auto"/>
            <w:noWrap/>
            <w:hideMark/>
          </w:tcPr>
          <w:p w14:paraId="6DD85AC7"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5</w:t>
            </w:r>
          </w:p>
        </w:tc>
        <w:tc>
          <w:tcPr>
            <w:tcW w:w="357" w:type="pct"/>
            <w:tcBorders>
              <w:top w:val="single" w:sz="4" w:space="0" w:color="auto"/>
              <w:bottom w:val="single" w:sz="4" w:space="0" w:color="auto"/>
            </w:tcBorders>
            <w:shd w:val="clear" w:color="auto" w:fill="auto"/>
            <w:noWrap/>
            <w:hideMark/>
          </w:tcPr>
          <w:p w14:paraId="201F7284"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6</w:t>
            </w:r>
          </w:p>
        </w:tc>
        <w:tc>
          <w:tcPr>
            <w:tcW w:w="376" w:type="pct"/>
            <w:tcBorders>
              <w:top w:val="single" w:sz="4" w:space="0" w:color="auto"/>
              <w:bottom w:val="single" w:sz="4" w:space="0" w:color="auto"/>
            </w:tcBorders>
            <w:shd w:val="clear" w:color="auto" w:fill="auto"/>
            <w:noWrap/>
            <w:hideMark/>
          </w:tcPr>
          <w:p w14:paraId="7178ECEB"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7=8+9+10+11</w:t>
            </w:r>
          </w:p>
        </w:tc>
        <w:tc>
          <w:tcPr>
            <w:tcW w:w="376" w:type="pct"/>
            <w:tcBorders>
              <w:top w:val="single" w:sz="4" w:space="0" w:color="auto"/>
              <w:bottom w:val="single" w:sz="4" w:space="0" w:color="auto"/>
            </w:tcBorders>
            <w:shd w:val="clear" w:color="auto" w:fill="auto"/>
            <w:noWrap/>
            <w:hideMark/>
          </w:tcPr>
          <w:p w14:paraId="4725F1B3"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8</w:t>
            </w:r>
          </w:p>
        </w:tc>
        <w:tc>
          <w:tcPr>
            <w:tcW w:w="376" w:type="pct"/>
            <w:tcBorders>
              <w:top w:val="single" w:sz="4" w:space="0" w:color="auto"/>
              <w:bottom w:val="single" w:sz="4" w:space="0" w:color="auto"/>
            </w:tcBorders>
            <w:shd w:val="clear" w:color="auto" w:fill="auto"/>
            <w:noWrap/>
            <w:hideMark/>
          </w:tcPr>
          <w:p w14:paraId="15B64376" w14:textId="77777777" w:rsidR="00281F47" w:rsidRPr="0062711C" w:rsidRDefault="00281F47" w:rsidP="007F06ED">
            <w:pPr>
              <w:tabs>
                <w:tab w:val="center" w:pos="4680"/>
                <w:tab w:val="right" w:pos="9360"/>
              </w:tabs>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9</w:t>
            </w:r>
          </w:p>
        </w:tc>
        <w:tc>
          <w:tcPr>
            <w:tcW w:w="376" w:type="pct"/>
            <w:tcBorders>
              <w:top w:val="single" w:sz="4" w:space="0" w:color="auto"/>
              <w:bottom w:val="single" w:sz="4" w:space="0" w:color="auto"/>
            </w:tcBorders>
            <w:shd w:val="clear" w:color="auto" w:fill="auto"/>
            <w:noWrap/>
            <w:hideMark/>
          </w:tcPr>
          <w:p w14:paraId="0C46BAC5" w14:textId="77777777" w:rsidR="00281F47" w:rsidRPr="0062711C" w:rsidRDefault="00281F47" w:rsidP="007F06ED">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10</w:t>
            </w:r>
          </w:p>
        </w:tc>
        <w:tc>
          <w:tcPr>
            <w:tcW w:w="314" w:type="pct"/>
            <w:tcBorders>
              <w:top w:val="single" w:sz="4" w:space="0" w:color="auto"/>
              <w:bottom w:val="single" w:sz="4" w:space="0" w:color="auto"/>
            </w:tcBorders>
            <w:shd w:val="clear" w:color="auto" w:fill="auto"/>
            <w:noWrap/>
            <w:hideMark/>
          </w:tcPr>
          <w:p w14:paraId="1077D430" w14:textId="77777777" w:rsidR="00281F47" w:rsidRPr="0062711C" w:rsidRDefault="00281F47" w:rsidP="007F06ED">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2060"/>
                <w:sz w:val="14"/>
                <w:szCs w:val="14"/>
                <w:lang w:val="sr-Cyrl-RS"/>
              </w:rPr>
            </w:pPr>
            <w:r w:rsidRPr="0062711C">
              <w:rPr>
                <w:rFonts w:ascii="Calibri" w:hAnsi="Calibri" w:cs="Calibri"/>
                <w:color w:val="002060"/>
                <w:sz w:val="14"/>
                <w:szCs w:val="14"/>
                <w:lang w:val="sr-Cyrl-RS"/>
              </w:rPr>
              <w:t>11</w:t>
            </w:r>
          </w:p>
        </w:tc>
      </w:tr>
      <w:tr w:rsidR="001F1B9F" w:rsidRPr="0062711C" w14:paraId="504CC3B7"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single" w:sz="4" w:space="0" w:color="auto"/>
            </w:tcBorders>
            <w:shd w:val="clear" w:color="auto" w:fill="BFBFBF" w:themeFill="background1" w:themeFillShade="BF"/>
            <w:noWrap/>
            <w:vAlign w:val="bottom"/>
            <w:hideMark/>
          </w:tcPr>
          <w:p w14:paraId="768D8E2B" w14:textId="77777777" w:rsidR="00281F47" w:rsidRPr="0062711C" w:rsidRDefault="00281F47" w:rsidP="007F06ED">
            <w:pPr>
              <w:tabs>
                <w:tab w:val="center" w:pos="4680"/>
                <w:tab w:val="right" w:pos="9360"/>
              </w:tabs>
              <w:rPr>
                <w:rFonts w:cstheme="minorHAnsi"/>
                <w:color w:val="002060"/>
                <w:sz w:val="14"/>
                <w:szCs w:val="14"/>
                <w:lang w:val="sr-Cyrl-RS"/>
              </w:rPr>
            </w:pPr>
            <w:r w:rsidRPr="0062711C">
              <w:rPr>
                <w:rFonts w:cstheme="minorHAnsi"/>
                <w:color w:val="002060"/>
                <w:sz w:val="14"/>
                <w:szCs w:val="14"/>
                <w:lang w:val="sr-Cyrl-RS"/>
              </w:rPr>
              <w:t>Јавни приходи</w:t>
            </w:r>
          </w:p>
        </w:tc>
        <w:tc>
          <w:tcPr>
            <w:tcW w:w="360" w:type="pct"/>
            <w:tcBorders>
              <w:top w:val="single" w:sz="4" w:space="0" w:color="auto"/>
            </w:tcBorders>
            <w:shd w:val="clear" w:color="auto" w:fill="BFBFBF" w:themeFill="background1" w:themeFillShade="BF"/>
            <w:noWrap/>
            <w:hideMark/>
          </w:tcPr>
          <w:p w14:paraId="2F94038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4.104,6</w:t>
            </w:r>
          </w:p>
        </w:tc>
        <w:tc>
          <w:tcPr>
            <w:tcW w:w="360" w:type="pct"/>
            <w:tcBorders>
              <w:top w:val="single" w:sz="4" w:space="0" w:color="auto"/>
            </w:tcBorders>
            <w:shd w:val="clear" w:color="auto" w:fill="BFBFBF" w:themeFill="background1" w:themeFillShade="BF"/>
            <w:noWrap/>
            <w:hideMark/>
          </w:tcPr>
          <w:p w14:paraId="5C5922D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2.165,5</w:t>
            </w:r>
          </w:p>
        </w:tc>
        <w:tc>
          <w:tcPr>
            <w:tcW w:w="364" w:type="pct"/>
            <w:tcBorders>
              <w:top w:val="single" w:sz="4" w:space="0" w:color="auto"/>
            </w:tcBorders>
            <w:shd w:val="clear" w:color="auto" w:fill="BFBFBF" w:themeFill="background1" w:themeFillShade="BF"/>
            <w:noWrap/>
            <w:hideMark/>
          </w:tcPr>
          <w:p w14:paraId="629AA48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499,1</w:t>
            </w:r>
          </w:p>
        </w:tc>
        <w:tc>
          <w:tcPr>
            <w:tcW w:w="352" w:type="pct"/>
            <w:tcBorders>
              <w:top w:val="single" w:sz="4" w:space="0" w:color="auto"/>
            </w:tcBorders>
            <w:shd w:val="clear" w:color="auto" w:fill="BFBFBF" w:themeFill="background1" w:themeFillShade="BF"/>
            <w:noWrap/>
            <w:hideMark/>
          </w:tcPr>
          <w:p w14:paraId="61A632F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449,3</w:t>
            </w:r>
          </w:p>
        </w:tc>
        <w:tc>
          <w:tcPr>
            <w:tcW w:w="376" w:type="pct"/>
            <w:tcBorders>
              <w:top w:val="single" w:sz="4" w:space="0" w:color="auto"/>
            </w:tcBorders>
            <w:shd w:val="clear" w:color="auto" w:fill="BFBFBF" w:themeFill="background1" w:themeFillShade="BF"/>
            <w:noWrap/>
            <w:hideMark/>
          </w:tcPr>
          <w:p w14:paraId="3FFD435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49,8</w:t>
            </w:r>
          </w:p>
        </w:tc>
        <w:tc>
          <w:tcPr>
            <w:tcW w:w="357" w:type="pct"/>
            <w:tcBorders>
              <w:top w:val="single" w:sz="4" w:space="0" w:color="auto"/>
            </w:tcBorders>
            <w:shd w:val="clear" w:color="auto" w:fill="BFBFBF" w:themeFill="background1" w:themeFillShade="BF"/>
            <w:noWrap/>
            <w:hideMark/>
          </w:tcPr>
          <w:p w14:paraId="720CF06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79,1</w:t>
            </w:r>
          </w:p>
        </w:tc>
        <w:tc>
          <w:tcPr>
            <w:tcW w:w="376" w:type="pct"/>
            <w:tcBorders>
              <w:top w:val="single" w:sz="4" w:space="0" w:color="auto"/>
            </w:tcBorders>
            <w:shd w:val="clear" w:color="auto" w:fill="BFBFBF" w:themeFill="background1" w:themeFillShade="BF"/>
            <w:noWrap/>
            <w:hideMark/>
          </w:tcPr>
          <w:p w14:paraId="756FF8D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1.360,9</w:t>
            </w:r>
          </w:p>
        </w:tc>
        <w:tc>
          <w:tcPr>
            <w:tcW w:w="376" w:type="pct"/>
            <w:tcBorders>
              <w:top w:val="single" w:sz="4" w:space="0" w:color="auto"/>
            </w:tcBorders>
            <w:shd w:val="clear" w:color="auto" w:fill="BFBFBF" w:themeFill="background1" w:themeFillShade="BF"/>
            <w:noWrap/>
            <w:hideMark/>
          </w:tcPr>
          <w:p w14:paraId="63AAEE8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911,0</w:t>
            </w:r>
          </w:p>
        </w:tc>
        <w:tc>
          <w:tcPr>
            <w:tcW w:w="376" w:type="pct"/>
            <w:tcBorders>
              <w:top w:val="single" w:sz="4" w:space="0" w:color="auto"/>
            </w:tcBorders>
            <w:shd w:val="clear" w:color="auto" w:fill="BFBFBF" w:themeFill="background1" w:themeFillShade="BF"/>
            <w:noWrap/>
            <w:hideMark/>
          </w:tcPr>
          <w:p w14:paraId="2F8EA75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415,4</w:t>
            </w:r>
          </w:p>
        </w:tc>
        <w:tc>
          <w:tcPr>
            <w:tcW w:w="376" w:type="pct"/>
            <w:tcBorders>
              <w:top w:val="single" w:sz="4" w:space="0" w:color="auto"/>
            </w:tcBorders>
            <w:shd w:val="clear" w:color="auto" w:fill="BFBFBF" w:themeFill="background1" w:themeFillShade="BF"/>
            <w:noWrap/>
            <w:hideMark/>
          </w:tcPr>
          <w:p w14:paraId="0EB566D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29,5</w:t>
            </w:r>
          </w:p>
        </w:tc>
        <w:tc>
          <w:tcPr>
            <w:tcW w:w="314" w:type="pct"/>
            <w:tcBorders>
              <w:top w:val="single" w:sz="4" w:space="0" w:color="auto"/>
            </w:tcBorders>
            <w:shd w:val="clear" w:color="auto" w:fill="BFBFBF" w:themeFill="background1" w:themeFillShade="BF"/>
            <w:noWrap/>
            <w:hideMark/>
          </w:tcPr>
          <w:p w14:paraId="60379B4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4,9</w:t>
            </w:r>
          </w:p>
        </w:tc>
      </w:tr>
      <w:tr w:rsidR="001F1B9F" w:rsidRPr="0062711C" w14:paraId="022D86D9"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BFD23EA"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Текући приходи</w:t>
            </w:r>
          </w:p>
        </w:tc>
        <w:tc>
          <w:tcPr>
            <w:tcW w:w="360" w:type="pct"/>
            <w:tcBorders>
              <w:top w:val="nil"/>
            </w:tcBorders>
            <w:shd w:val="clear" w:color="auto" w:fill="FFFFFF" w:themeFill="background1"/>
            <w:noWrap/>
            <w:hideMark/>
          </w:tcPr>
          <w:p w14:paraId="2957991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4.064,2</w:t>
            </w:r>
          </w:p>
        </w:tc>
        <w:tc>
          <w:tcPr>
            <w:tcW w:w="360" w:type="pct"/>
            <w:tcBorders>
              <w:top w:val="nil"/>
            </w:tcBorders>
            <w:shd w:val="clear" w:color="auto" w:fill="FFFFFF" w:themeFill="background1"/>
            <w:noWrap/>
            <w:hideMark/>
          </w:tcPr>
          <w:p w14:paraId="209882A3"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2.128,5</w:t>
            </w:r>
          </w:p>
        </w:tc>
        <w:tc>
          <w:tcPr>
            <w:tcW w:w="364" w:type="pct"/>
            <w:tcBorders>
              <w:top w:val="nil"/>
            </w:tcBorders>
            <w:shd w:val="clear" w:color="auto" w:fill="FFFFFF" w:themeFill="background1"/>
            <w:noWrap/>
            <w:hideMark/>
          </w:tcPr>
          <w:p w14:paraId="15D8700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496,6</w:t>
            </w:r>
          </w:p>
        </w:tc>
        <w:tc>
          <w:tcPr>
            <w:tcW w:w="352" w:type="pct"/>
            <w:tcBorders>
              <w:top w:val="nil"/>
            </w:tcBorders>
            <w:shd w:val="clear" w:color="auto" w:fill="FFFFFF" w:themeFill="background1"/>
            <w:noWrap/>
            <w:hideMark/>
          </w:tcPr>
          <w:p w14:paraId="2B4F451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446,8</w:t>
            </w:r>
          </w:p>
        </w:tc>
        <w:tc>
          <w:tcPr>
            <w:tcW w:w="376" w:type="pct"/>
            <w:tcBorders>
              <w:top w:val="nil"/>
            </w:tcBorders>
            <w:shd w:val="clear" w:color="auto" w:fill="FFFFFF" w:themeFill="background1"/>
            <w:noWrap/>
            <w:hideMark/>
          </w:tcPr>
          <w:p w14:paraId="1B1B51B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49,8</w:t>
            </w:r>
          </w:p>
        </w:tc>
        <w:tc>
          <w:tcPr>
            <w:tcW w:w="357" w:type="pct"/>
            <w:tcBorders>
              <w:top w:val="nil"/>
            </w:tcBorders>
            <w:shd w:val="clear" w:color="auto" w:fill="FFFFFF" w:themeFill="background1"/>
            <w:noWrap/>
            <w:hideMark/>
          </w:tcPr>
          <w:p w14:paraId="021992D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79,1</w:t>
            </w:r>
          </w:p>
        </w:tc>
        <w:tc>
          <w:tcPr>
            <w:tcW w:w="376" w:type="pct"/>
            <w:tcBorders>
              <w:top w:val="nil"/>
            </w:tcBorders>
            <w:shd w:val="clear" w:color="auto" w:fill="FFFFFF" w:themeFill="background1"/>
            <w:noWrap/>
            <w:hideMark/>
          </w:tcPr>
          <w:p w14:paraId="2A23545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1.360,0</w:t>
            </w:r>
          </w:p>
        </w:tc>
        <w:tc>
          <w:tcPr>
            <w:tcW w:w="376" w:type="pct"/>
            <w:tcBorders>
              <w:top w:val="nil"/>
            </w:tcBorders>
            <w:shd w:val="clear" w:color="auto" w:fill="FFFFFF" w:themeFill="background1"/>
            <w:noWrap/>
            <w:hideMark/>
          </w:tcPr>
          <w:p w14:paraId="2868633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911,0</w:t>
            </w:r>
          </w:p>
        </w:tc>
        <w:tc>
          <w:tcPr>
            <w:tcW w:w="376" w:type="pct"/>
            <w:tcBorders>
              <w:top w:val="nil"/>
            </w:tcBorders>
            <w:shd w:val="clear" w:color="auto" w:fill="FFFFFF" w:themeFill="background1"/>
            <w:noWrap/>
            <w:hideMark/>
          </w:tcPr>
          <w:p w14:paraId="47B2B68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415,0</w:t>
            </w:r>
          </w:p>
        </w:tc>
        <w:tc>
          <w:tcPr>
            <w:tcW w:w="376" w:type="pct"/>
            <w:tcBorders>
              <w:top w:val="nil"/>
            </w:tcBorders>
            <w:shd w:val="clear" w:color="auto" w:fill="FFFFFF" w:themeFill="background1"/>
            <w:noWrap/>
            <w:hideMark/>
          </w:tcPr>
          <w:p w14:paraId="2E12384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29,0</w:t>
            </w:r>
          </w:p>
        </w:tc>
        <w:tc>
          <w:tcPr>
            <w:tcW w:w="314" w:type="pct"/>
            <w:tcBorders>
              <w:top w:val="nil"/>
            </w:tcBorders>
            <w:shd w:val="clear" w:color="auto" w:fill="FFFFFF" w:themeFill="background1"/>
            <w:noWrap/>
            <w:hideMark/>
          </w:tcPr>
          <w:p w14:paraId="0C06F68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4,9</w:t>
            </w:r>
          </w:p>
        </w:tc>
      </w:tr>
      <w:tr w:rsidR="001F1B9F" w:rsidRPr="0062711C" w14:paraId="7C3C989E"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79ADD78"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Порески приходи</w:t>
            </w:r>
          </w:p>
        </w:tc>
        <w:tc>
          <w:tcPr>
            <w:tcW w:w="360" w:type="pct"/>
            <w:tcBorders>
              <w:top w:val="nil"/>
            </w:tcBorders>
            <w:shd w:val="clear" w:color="auto" w:fill="FFFFFF" w:themeFill="background1"/>
            <w:noWrap/>
            <w:hideMark/>
          </w:tcPr>
          <w:p w14:paraId="7B2F05A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3.666,4</w:t>
            </w:r>
          </w:p>
        </w:tc>
        <w:tc>
          <w:tcPr>
            <w:tcW w:w="360" w:type="pct"/>
            <w:tcBorders>
              <w:top w:val="nil"/>
            </w:tcBorders>
            <w:shd w:val="clear" w:color="auto" w:fill="FFFFFF" w:themeFill="background1"/>
            <w:noWrap/>
            <w:hideMark/>
          </w:tcPr>
          <w:p w14:paraId="55F7FBC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1.940,9</w:t>
            </w:r>
          </w:p>
        </w:tc>
        <w:tc>
          <w:tcPr>
            <w:tcW w:w="364" w:type="pct"/>
            <w:tcBorders>
              <w:top w:val="nil"/>
            </w:tcBorders>
            <w:shd w:val="clear" w:color="auto" w:fill="FFFFFF" w:themeFill="background1"/>
            <w:noWrap/>
            <w:hideMark/>
          </w:tcPr>
          <w:p w14:paraId="2583F3A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411,0</w:t>
            </w:r>
          </w:p>
        </w:tc>
        <w:tc>
          <w:tcPr>
            <w:tcW w:w="352" w:type="pct"/>
            <w:tcBorders>
              <w:top w:val="nil"/>
            </w:tcBorders>
            <w:shd w:val="clear" w:color="auto" w:fill="FFFFFF" w:themeFill="background1"/>
            <w:noWrap/>
            <w:hideMark/>
          </w:tcPr>
          <w:p w14:paraId="522794D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368,6</w:t>
            </w:r>
          </w:p>
        </w:tc>
        <w:tc>
          <w:tcPr>
            <w:tcW w:w="376" w:type="pct"/>
            <w:tcBorders>
              <w:top w:val="nil"/>
            </w:tcBorders>
            <w:shd w:val="clear" w:color="auto" w:fill="FFFFFF" w:themeFill="background1"/>
            <w:noWrap/>
            <w:hideMark/>
          </w:tcPr>
          <w:p w14:paraId="53855B3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42,3</w:t>
            </w:r>
          </w:p>
        </w:tc>
        <w:tc>
          <w:tcPr>
            <w:tcW w:w="357" w:type="pct"/>
            <w:tcBorders>
              <w:top w:val="nil"/>
            </w:tcBorders>
            <w:shd w:val="clear" w:color="auto" w:fill="FFFFFF" w:themeFill="background1"/>
            <w:noWrap/>
          </w:tcPr>
          <w:p w14:paraId="3E090A6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BE1A8F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1.314,6</w:t>
            </w:r>
          </w:p>
        </w:tc>
        <w:tc>
          <w:tcPr>
            <w:tcW w:w="376" w:type="pct"/>
            <w:tcBorders>
              <w:top w:val="nil"/>
            </w:tcBorders>
            <w:shd w:val="clear" w:color="auto" w:fill="FFFFFF" w:themeFill="background1"/>
            <w:noWrap/>
            <w:hideMark/>
          </w:tcPr>
          <w:p w14:paraId="1B1C4D3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911,1</w:t>
            </w:r>
          </w:p>
        </w:tc>
        <w:tc>
          <w:tcPr>
            <w:tcW w:w="376" w:type="pct"/>
            <w:tcBorders>
              <w:top w:val="nil"/>
            </w:tcBorders>
            <w:shd w:val="clear" w:color="auto" w:fill="FFFFFF" w:themeFill="background1"/>
            <w:noWrap/>
            <w:hideMark/>
          </w:tcPr>
          <w:p w14:paraId="27CA510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371,8</w:t>
            </w:r>
          </w:p>
        </w:tc>
        <w:tc>
          <w:tcPr>
            <w:tcW w:w="376" w:type="pct"/>
            <w:tcBorders>
              <w:top w:val="nil"/>
            </w:tcBorders>
            <w:shd w:val="clear" w:color="auto" w:fill="FFFFFF" w:themeFill="background1"/>
            <w:noWrap/>
            <w:hideMark/>
          </w:tcPr>
          <w:p w14:paraId="1792650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27,5</w:t>
            </w:r>
          </w:p>
        </w:tc>
        <w:tc>
          <w:tcPr>
            <w:tcW w:w="314" w:type="pct"/>
            <w:tcBorders>
              <w:top w:val="nil"/>
            </w:tcBorders>
            <w:shd w:val="clear" w:color="auto" w:fill="FFFFFF" w:themeFill="background1"/>
            <w:noWrap/>
            <w:hideMark/>
          </w:tcPr>
          <w:p w14:paraId="663AE3A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4,2</w:t>
            </w:r>
          </w:p>
        </w:tc>
      </w:tr>
      <w:tr w:rsidR="001F1B9F" w:rsidRPr="0062711C" w14:paraId="2A45CB78"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BB7D784"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Порез на доходак</w:t>
            </w:r>
          </w:p>
        </w:tc>
        <w:tc>
          <w:tcPr>
            <w:tcW w:w="360" w:type="pct"/>
            <w:tcBorders>
              <w:top w:val="nil"/>
            </w:tcBorders>
            <w:shd w:val="clear" w:color="auto" w:fill="FFFFFF" w:themeFill="background1"/>
            <w:noWrap/>
            <w:hideMark/>
          </w:tcPr>
          <w:p w14:paraId="16D3AF0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415,7</w:t>
            </w:r>
          </w:p>
        </w:tc>
        <w:tc>
          <w:tcPr>
            <w:tcW w:w="360" w:type="pct"/>
            <w:tcBorders>
              <w:top w:val="nil"/>
            </w:tcBorders>
            <w:shd w:val="clear" w:color="auto" w:fill="FFFFFF" w:themeFill="background1"/>
            <w:noWrap/>
            <w:hideMark/>
          </w:tcPr>
          <w:p w14:paraId="51EDA13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136,8</w:t>
            </w:r>
          </w:p>
        </w:tc>
        <w:tc>
          <w:tcPr>
            <w:tcW w:w="364" w:type="pct"/>
            <w:tcBorders>
              <w:top w:val="nil"/>
            </w:tcBorders>
            <w:shd w:val="clear" w:color="auto" w:fill="FFFFFF" w:themeFill="background1"/>
            <w:noWrap/>
            <w:hideMark/>
          </w:tcPr>
          <w:p w14:paraId="244E8B6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278,9</w:t>
            </w:r>
          </w:p>
        </w:tc>
        <w:tc>
          <w:tcPr>
            <w:tcW w:w="352" w:type="pct"/>
            <w:tcBorders>
              <w:top w:val="nil"/>
            </w:tcBorders>
            <w:shd w:val="clear" w:color="auto" w:fill="FFFFFF" w:themeFill="background1"/>
            <w:noWrap/>
            <w:hideMark/>
          </w:tcPr>
          <w:p w14:paraId="7445DE4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265,2</w:t>
            </w:r>
          </w:p>
        </w:tc>
        <w:tc>
          <w:tcPr>
            <w:tcW w:w="376" w:type="pct"/>
            <w:tcBorders>
              <w:top w:val="nil"/>
            </w:tcBorders>
            <w:shd w:val="clear" w:color="auto" w:fill="FFFFFF" w:themeFill="background1"/>
            <w:noWrap/>
            <w:hideMark/>
          </w:tcPr>
          <w:p w14:paraId="376C518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13,7</w:t>
            </w:r>
          </w:p>
        </w:tc>
        <w:tc>
          <w:tcPr>
            <w:tcW w:w="357" w:type="pct"/>
            <w:tcBorders>
              <w:top w:val="nil"/>
            </w:tcBorders>
            <w:shd w:val="clear" w:color="auto" w:fill="FFFFFF" w:themeFill="background1"/>
            <w:noWrap/>
          </w:tcPr>
          <w:p w14:paraId="5180BA3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2752B8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74136F1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899ED7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438EBB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06B6B4E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53CDF1BF"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29B891E"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Доприноси</w:t>
            </w:r>
          </w:p>
        </w:tc>
        <w:tc>
          <w:tcPr>
            <w:tcW w:w="360" w:type="pct"/>
            <w:tcBorders>
              <w:top w:val="nil"/>
            </w:tcBorders>
            <w:shd w:val="clear" w:color="auto" w:fill="FFFFFF" w:themeFill="background1"/>
            <w:noWrap/>
            <w:hideMark/>
          </w:tcPr>
          <w:p w14:paraId="33E82B8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1.314,6</w:t>
            </w:r>
          </w:p>
        </w:tc>
        <w:tc>
          <w:tcPr>
            <w:tcW w:w="360" w:type="pct"/>
            <w:tcBorders>
              <w:top w:val="nil"/>
            </w:tcBorders>
            <w:shd w:val="clear" w:color="auto" w:fill="FFFFFF" w:themeFill="background1"/>
            <w:noWrap/>
            <w:hideMark/>
          </w:tcPr>
          <w:p w14:paraId="6CDA958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18A78B2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6E921DA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6894CC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tcPr>
          <w:p w14:paraId="0C52C9A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F0EEC6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1.314,6</w:t>
            </w:r>
          </w:p>
        </w:tc>
        <w:tc>
          <w:tcPr>
            <w:tcW w:w="376" w:type="pct"/>
            <w:tcBorders>
              <w:top w:val="nil"/>
            </w:tcBorders>
            <w:shd w:val="clear" w:color="auto" w:fill="FFFFFF" w:themeFill="background1"/>
            <w:noWrap/>
            <w:hideMark/>
          </w:tcPr>
          <w:p w14:paraId="5A8FF20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911,1</w:t>
            </w:r>
          </w:p>
        </w:tc>
        <w:tc>
          <w:tcPr>
            <w:tcW w:w="376" w:type="pct"/>
            <w:tcBorders>
              <w:top w:val="nil"/>
            </w:tcBorders>
            <w:shd w:val="clear" w:color="auto" w:fill="FFFFFF" w:themeFill="background1"/>
            <w:noWrap/>
            <w:hideMark/>
          </w:tcPr>
          <w:p w14:paraId="5F43C7E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371,8</w:t>
            </w:r>
          </w:p>
        </w:tc>
        <w:tc>
          <w:tcPr>
            <w:tcW w:w="376" w:type="pct"/>
            <w:tcBorders>
              <w:top w:val="nil"/>
            </w:tcBorders>
            <w:shd w:val="clear" w:color="auto" w:fill="FFFFFF" w:themeFill="background1"/>
            <w:noWrap/>
            <w:hideMark/>
          </w:tcPr>
          <w:p w14:paraId="465819C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27,5</w:t>
            </w:r>
          </w:p>
        </w:tc>
        <w:tc>
          <w:tcPr>
            <w:tcW w:w="314" w:type="pct"/>
            <w:tcBorders>
              <w:top w:val="nil"/>
            </w:tcBorders>
            <w:shd w:val="clear" w:color="auto" w:fill="FFFFFF" w:themeFill="background1"/>
            <w:noWrap/>
            <w:hideMark/>
          </w:tcPr>
          <w:p w14:paraId="3CE261C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4,2</w:t>
            </w:r>
          </w:p>
        </w:tc>
      </w:tr>
      <w:tr w:rsidR="001F1B9F" w:rsidRPr="0062711C" w14:paraId="546B8C40"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1EC02027"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Порез на добит </w:t>
            </w:r>
          </w:p>
        </w:tc>
        <w:tc>
          <w:tcPr>
            <w:tcW w:w="360" w:type="pct"/>
            <w:tcBorders>
              <w:top w:val="nil"/>
            </w:tcBorders>
            <w:shd w:val="clear" w:color="auto" w:fill="FFFFFF" w:themeFill="background1"/>
            <w:noWrap/>
            <w:hideMark/>
          </w:tcPr>
          <w:p w14:paraId="4B9E43F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272,7</w:t>
            </w:r>
          </w:p>
        </w:tc>
        <w:tc>
          <w:tcPr>
            <w:tcW w:w="360" w:type="pct"/>
            <w:tcBorders>
              <w:top w:val="nil"/>
            </w:tcBorders>
            <w:shd w:val="clear" w:color="auto" w:fill="FFFFFF" w:themeFill="background1"/>
            <w:noWrap/>
            <w:hideMark/>
          </w:tcPr>
          <w:p w14:paraId="11A3609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244,1</w:t>
            </w:r>
          </w:p>
        </w:tc>
        <w:tc>
          <w:tcPr>
            <w:tcW w:w="364" w:type="pct"/>
            <w:tcBorders>
              <w:top w:val="nil"/>
            </w:tcBorders>
            <w:shd w:val="clear" w:color="auto" w:fill="FFFFFF" w:themeFill="background1"/>
            <w:noWrap/>
            <w:hideMark/>
          </w:tcPr>
          <w:p w14:paraId="43BD10E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28,7</w:t>
            </w:r>
          </w:p>
        </w:tc>
        <w:tc>
          <w:tcPr>
            <w:tcW w:w="352" w:type="pct"/>
            <w:tcBorders>
              <w:top w:val="nil"/>
            </w:tcBorders>
            <w:shd w:val="clear" w:color="auto" w:fill="FFFFFF" w:themeFill="background1"/>
            <w:noWrap/>
          </w:tcPr>
          <w:p w14:paraId="473DCFB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956BE5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28,7</w:t>
            </w:r>
          </w:p>
        </w:tc>
        <w:tc>
          <w:tcPr>
            <w:tcW w:w="357" w:type="pct"/>
            <w:tcBorders>
              <w:top w:val="nil"/>
            </w:tcBorders>
            <w:shd w:val="clear" w:color="auto" w:fill="FFFFFF" w:themeFill="background1"/>
            <w:noWrap/>
          </w:tcPr>
          <w:p w14:paraId="7FD0795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7BCC4D8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67C8351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06A9EB4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FB4E66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19F7D9C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5C18C740"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CF059FA"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ПДВ</w:t>
            </w:r>
          </w:p>
        </w:tc>
        <w:tc>
          <w:tcPr>
            <w:tcW w:w="360" w:type="pct"/>
            <w:tcBorders>
              <w:top w:val="nil"/>
            </w:tcBorders>
            <w:shd w:val="clear" w:color="auto" w:fill="FFFFFF" w:themeFill="background1"/>
            <w:noWrap/>
            <w:hideMark/>
          </w:tcPr>
          <w:p w14:paraId="6BB8A6C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1.030,8</w:t>
            </w:r>
          </w:p>
        </w:tc>
        <w:tc>
          <w:tcPr>
            <w:tcW w:w="360" w:type="pct"/>
            <w:tcBorders>
              <w:top w:val="nil"/>
            </w:tcBorders>
            <w:shd w:val="clear" w:color="auto" w:fill="FFFFFF" w:themeFill="background1"/>
            <w:noWrap/>
            <w:hideMark/>
          </w:tcPr>
          <w:p w14:paraId="25E3342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1.030,8</w:t>
            </w:r>
          </w:p>
        </w:tc>
        <w:tc>
          <w:tcPr>
            <w:tcW w:w="364" w:type="pct"/>
            <w:tcBorders>
              <w:top w:val="nil"/>
            </w:tcBorders>
            <w:shd w:val="clear" w:color="auto" w:fill="FFFFFF" w:themeFill="background1"/>
            <w:noWrap/>
          </w:tcPr>
          <w:p w14:paraId="1853980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tcPr>
          <w:p w14:paraId="59FB12D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100D951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741DAA4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1199F7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F06501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03BA2B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ADDA22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63A2155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20F38B42"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DA0C1A2"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Акцизе</w:t>
            </w:r>
          </w:p>
        </w:tc>
        <w:tc>
          <w:tcPr>
            <w:tcW w:w="360" w:type="pct"/>
            <w:tcBorders>
              <w:top w:val="nil"/>
            </w:tcBorders>
            <w:shd w:val="clear" w:color="auto" w:fill="FFFFFF" w:themeFill="background1"/>
            <w:noWrap/>
            <w:hideMark/>
          </w:tcPr>
          <w:p w14:paraId="5B31467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415,8</w:t>
            </w:r>
          </w:p>
        </w:tc>
        <w:tc>
          <w:tcPr>
            <w:tcW w:w="360" w:type="pct"/>
            <w:tcBorders>
              <w:top w:val="nil"/>
            </w:tcBorders>
            <w:shd w:val="clear" w:color="auto" w:fill="FFFFFF" w:themeFill="background1"/>
            <w:noWrap/>
            <w:hideMark/>
          </w:tcPr>
          <w:p w14:paraId="0C68D1D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415,8</w:t>
            </w:r>
          </w:p>
        </w:tc>
        <w:tc>
          <w:tcPr>
            <w:tcW w:w="364" w:type="pct"/>
            <w:tcBorders>
              <w:top w:val="nil"/>
            </w:tcBorders>
            <w:shd w:val="clear" w:color="auto" w:fill="FFFFFF" w:themeFill="background1"/>
            <w:noWrap/>
          </w:tcPr>
          <w:p w14:paraId="2C470F0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3D195FC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117C516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694AA1E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F32B09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06ADE3E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80DEF2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99CDF9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023AB30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6D7220C1"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A3229C9"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Царине</w:t>
            </w:r>
          </w:p>
        </w:tc>
        <w:tc>
          <w:tcPr>
            <w:tcW w:w="360" w:type="pct"/>
            <w:tcBorders>
              <w:top w:val="nil"/>
            </w:tcBorders>
            <w:shd w:val="clear" w:color="auto" w:fill="FFFFFF" w:themeFill="background1"/>
            <w:noWrap/>
            <w:hideMark/>
          </w:tcPr>
          <w:p w14:paraId="3179E77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97,7</w:t>
            </w:r>
          </w:p>
        </w:tc>
        <w:tc>
          <w:tcPr>
            <w:tcW w:w="360" w:type="pct"/>
            <w:tcBorders>
              <w:top w:val="nil"/>
            </w:tcBorders>
            <w:shd w:val="clear" w:color="auto" w:fill="FFFFFF" w:themeFill="background1"/>
            <w:noWrap/>
            <w:hideMark/>
          </w:tcPr>
          <w:p w14:paraId="2CB1020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97,7</w:t>
            </w:r>
          </w:p>
        </w:tc>
        <w:tc>
          <w:tcPr>
            <w:tcW w:w="364" w:type="pct"/>
            <w:tcBorders>
              <w:top w:val="nil"/>
            </w:tcBorders>
            <w:shd w:val="clear" w:color="auto" w:fill="FFFFFF" w:themeFill="background1"/>
            <w:noWrap/>
          </w:tcPr>
          <w:p w14:paraId="1DA81C9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555E8AD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701A28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04C55DB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2A8868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63CBA9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2CFD1E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09B485F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6D839ED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77CE3FCE"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E5F8D37"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Остали порески приходи</w:t>
            </w:r>
          </w:p>
        </w:tc>
        <w:tc>
          <w:tcPr>
            <w:tcW w:w="360" w:type="pct"/>
            <w:tcBorders>
              <w:top w:val="nil"/>
            </w:tcBorders>
            <w:shd w:val="clear" w:color="auto" w:fill="FFFFFF" w:themeFill="background1"/>
            <w:noWrap/>
            <w:hideMark/>
          </w:tcPr>
          <w:p w14:paraId="42B94F9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119,2</w:t>
            </w:r>
          </w:p>
        </w:tc>
        <w:tc>
          <w:tcPr>
            <w:tcW w:w="360" w:type="pct"/>
            <w:tcBorders>
              <w:top w:val="nil"/>
            </w:tcBorders>
            <w:shd w:val="clear" w:color="auto" w:fill="FFFFFF" w:themeFill="background1"/>
            <w:noWrap/>
            <w:hideMark/>
          </w:tcPr>
          <w:p w14:paraId="5A305C0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15,8</w:t>
            </w:r>
          </w:p>
        </w:tc>
        <w:tc>
          <w:tcPr>
            <w:tcW w:w="364" w:type="pct"/>
            <w:tcBorders>
              <w:top w:val="nil"/>
            </w:tcBorders>
            <w:shd w:val="clear" w:color="auto" w:fill="FFFFFF" w:themeFill="background1"/>
            <w:noWrap/>
            <w:hideMark/>
          </w:tcPr>
          <w:p w14:paraId="0C476D8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103,4</w:t>
            </w:r>
          </w:p>
        </w:tc>
        <w:tc>
          <w:tcPr>
            <w:tcW w:w="352" w:type="pct"/>
            <w:tcBorders>
              <w:top w:val="nil"/>
            </w:tcBorders>
            <w:shd w:val="clear" w:color="auto" w:fill="FFFFFF" w:themeFill="background1"/>
            <w:noWrap/>
            <w:hideMark/>
          </w:tcPr>
          <w:p w14:paraId="2B40DC7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103,4</w:t>
            </w:r>
          </w:p>
        </w:tc>
        <w:tc>
          <w:tcPr>
            <w:tcW w:w="376" w:type="pct"/>
            <w:tcBorders>
              <w:top w:val="nil"/>
            </w:tcBorders>
            <w:shd w:val="clear" w:color="auto" w:fill="FFFFFF" w:themeFill="background1"/>
            <w:noWrap/>
            <w:hideMark/>
          </w:tcPr>
          <w:p w14:paraId="7256523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749DD0E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5648A6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D1F8DA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1E8B1F6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A3FBDE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5A6535D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7C513F78"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E72BA79"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Непорески приходи</w:t>
            </w:r>
          </w:p>
        </w:tc>
        <w:tc>
          <w:tcPr>
            <w:tcW w:w="360" w:type="pct"/>
            <w:tcBorders>
              <w:top w:val="nil"/>
            </w:tcBorders>
            <w:shd w:val="clear" w:color="auto" w:fill="FFFFFF" w:themeFill="background1"/>
            <w:noWrap/>
            <w:hideMark/>
          </w:tcPr>
          <w:p w14:paraId="5268788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397,8</w:t>
            </w:r>
          </w:p>
        </w:tc>
        <w:tc>
          <w:tcPr>
            <w:tcW w:w="360" w:type="pct"/>
            <w:tcBorders>
              <w:top w:val="nil"/>
            </w:tcBorders>
            <w:shd w:val="clear" w:color="auto" w:fill="FFFFFF" w:themeFill="background1"/>
            <w:noWrap/>
            <w:hideMark/>
          </w:tcPr>
          <w:p w14:paraId="0CE4418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187,6</w:t>
            </w:r>
          </w:p>
        </w:tc>
        <w:tc>
          <w:tcPr>
            <w:tcW w:w="364" w:type="pct"/>
            <w:tcBorders>
              <w:top w:val="nil"/>
            </w:tcBorders>
            <w:shd w:val="clear" w:color="auto" w:fill="FFFFFF" w:themeFill="background1"/>
            <w:noWrap/>
            <w:hideMark/>
          </w:tcPr>
          <w:p w14:paraId="2BB2051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85,6</w:t>
            </w:r>
          </w:p>
        </w:tc>
        <w:tc>
          <w:tcPr>
            <w:tcW w:w="352" w:type="pct"/>
            <w:tcBorders>
              <w:top w:val="nil"/>
            </w:tcBorders>
            <w:shd w:val="clear" w:color="auto" w:fill="FFFFFF" w:themeFill="background1"/>
            <w:noWrap/>
            <w:hideMark/>
          </w:tcPr>
          <w:p w14:paraId="677A66F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78,2</w:t>
            </w:r>
          </w:p>
        </w:tc>
        <w:tc>
          <w:tcPr>
            <w:tcW w:w="376" w:type="pct"/>
            <w:tcBorders>
              <w:top w:val="nil"/>
            </w:tcBorders>
            <w:shd w:val="clear" w:color="auto" w:fill="FFFFFF" w:themeFill="background1"/>
            <w:noWrap/>
            <w:hideMark/>
          </w:tcPr>
          <w:p w14:paraId="5DCE397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7,4</w:t>
            </w:r>
          </w:p>
        </w:tc>
        <w:tc>
          <w:tcPr>
            <w:tcW w:w="357" w:type="pct"/>
            <w:tcBorders>
              <w:top w:val="nil"/>
            </w:tcBorders>
            <w:shd w:val="clear" w:color="auto" w:fill="FFFFFF" w:themeFill="background1"/>
            <w:noWrap/>
            <w:hideMark/>
          </w:tcPr>
          <w:p w14:paraId="4B7ED16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79,1</w:t>
            </w:r>
          </w:p>
        </w:tc>
        <w:tc>
          <w:tcPr>
            <w:tcW w:w="376" w:type="pct"/>
            <w:tcBorders>
              <w:top w:val="nil"/>
            </w:tcBorders>
            <w:shd w:val="clear" w:color="auto" w:fill="FFFFFF" w:themeFill="background1"/>
            <w:noWrap/>
            <w:hideMark/>
          </w:tcPr>
          <w:p w14:paraId="5B35754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45,4</w:t>
            </w:r>
          </w:p>
        </w:tc>
        <w:tc>
          <w:tcPr>
            <w:tcW w:w="376" w:type="pct"/>
            <w:tcBorders>
              <w:top w:val="nil"/>
            </w:tcBorders>
            <w:shd w:val="clear" w:color="auto" w:fill="FFFFFF" w:themeFill="background1"/>
            <w:noWrap/>
          </w:tcPr>
          <w:p w14:paraId="2CE1ECF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24D232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43,2</w:t>
            </w:r>
          </w:p>
        </w:tc>
        <w:tc>
          <w:tcPr>
            <w:tcW w:w="376" w:type="pct"/>
            <w:tcBorders>
              <w:top w:val="nil"/>
            </w:tcBorders>
            <w:shd w:val="clear" w:color="auto" w:fill="FFFFFF" w:themeFill="background1"/>
            <w:noWrap/>
            <w:hideMark/>
          </w:tcPr>
          <w:p w14:paraId="1449DA4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1,5</w:t>
            </w:r>
          </w:p>
        </w:tc>
        <w:tc>
          <w:tcPr>
            <w:tcW w:w="314" w:type="pct"/>
            <w:tcBorders>
              <w:top w:val="nil"/>
            </w:tcBorders>
            <w:shd w:val="clear" w:color="auto" w:fill="FFFFFF" w:themeFill="background1"/>
            <w:noWrap/>
            <w:hideMark/>
          </w:tcPr>
          <w:p w14:paraId="704759E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0,8</w:t>
            </w:r>
          </w:p>
        </w:tc>
      </w:tr>
      <w:tr w:rsidR="001F1B9F" w:rsidRPr="0062711C" w14:paraId="31E520A6"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3FCDA4D"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Донације</w:t>
            </w:r>
          </w:p>
        </w:tc>
        <w:tc>
          <w:tcPr>
            <w:tcW w:w="360" w:type="pct"/>
            <w:tcBorders>
              <w:top w:val="nil"/>
            </w:tcBorders>
            <w:shd w:val="clear" w:color="auto" w:fill="FFFFFF" w:themeFill="background1"/>
            <w:noWrap/>
            <w:hideMark/>
          </w:tcPr>
          <w:p w14:paraId="264F919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40,5</w:t>
            </w:r>
          </w:p>
        </w:tc>
        <w:tc>
          <w:tcPr>
            <w:tcW w:w="360" w:type="pct"/>
            <w:tcBorders>
              <w:top w:val="nil"/>
            </w:tcBorders>
            <w:shd w:val="clear" w:color="auto" w:fill="FFFFFF" w:themeFill="background1"/>
            <w:noWrap/>
            <w:hideMark/>
          </w:tcPr>
          <w:p w14:paraId="5592257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37,0</w:t>
            </w:r>
          </w:p>
        </w:tc>
        <w:tc>
          <w:tcPr>
            <w:tcW w:w="364" w:type="pct"/>
            <w:tcBorders>
              <w:top w:val="nil"/>
            </w:tcBorders>
            <w:shd w:val="clear" w:color="auto" w:fill="FFFFFF" w:themeFill="background1"/>
            <w:noWrap/>
            <w:hideMark/>
          </w:tcPr>
          <w:p w14:paraId="62B4934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2,5</w:t>
            </w:r>
          </w:p>
        </w:tc>
        <w:tc>
          <w:tcPr>
            <w:tcW w:w="352" w:type="pct"/>
            <w:tcBorders>
              <w:top w:val="nil"/>
            </w:tcBorders>
            <w:shd w:val="clear" w:color="auto" w:fill="FFFFFF" w:themeFill="background1"/>
            <w:noWrap/>
            <w:hideMark/>
          </w:tcPr>
          <w:p w14:paraId="44841D4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2,5</w:t>
            </w:r>
          </w:p>
        </w:tc>
        <w:tc>
          <w:tcPr>
            <w:tcW w:w="376" w:type="pct"/>
            <w:tcBorders>
              <w:top w:val="nil"/>
            </w:tcBorders>
            <w:shd w:val="clear" w:color="auto" w:fill="FFFFFF" w:themeFill="background1"/>
            <w:noWrap/>
          </w:tcPr>
          <w:p w14:paraId="1B6530D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tcPr>
          <w:p w14:paraId="140FC3C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BD7A0E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w:t>
            </w:r>
          </w:p>
        </w:tc>
        <w:tc>
          <w:tcPr>
            <w:tcW w:w="376" w:type="pct"/>
            <w:tcBorders>
              <w:top w:val="nil"/>
            </w:tcBorders>
            <w:shd w:val="clear" w:color="auto" w:fill="FFFFFF" w:themeFill="background1"/>
            <w:noWrap/>
          </w:tcPr>
          <w:p w14:paraId="5A44D3C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1D7D379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0,5</w:t>
            </w:r>
          </w:p>
        </w:tc>
        <w:tc>
          <w:tcPr>
            <w:tcW w:w="376" w:type="pct"/>
            <w:tcBorders>
              <w:top w:val="nil"/>
            </w:tcBorders>
            <w:shd w:val="clear" w:color="auto" w:fill="FFFFFF" w:themeFill="background1"/>
            <w:noWrap/>
            <w:hideMark/>
          </w:tcPr>
          <w:p w14:paraId="67C9409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0,5</w:t>
            </w:r>
          </w:p>
        </w:tc>
        <w:tc>
          <w:tcPr>
            <w:tcW w:w="314" w:type="pct"/>
            <w:tcBorders>
              <w:top w:val="nil"/>
            </w:tcBorders>
            <w:shd w:val="clear" w:color="auto" w:fill="FFFFFF" w:themeFill="background1"/>
            <w:noWrap/>
            <w:hideMark/>
          </w:tcPr>
          <w:p w14:paraId="2EC0B4C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05FE4049"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BFBFBF" w:themeFill="background1" w:themeFillShade="BF"/>
            <w:noWrap/>
            <w:vAlign w:val="bottom"/>
            <w:hideMark/>
          </w:tcPr>
          <w:p w14:paraId="3E2243AA" w14:textId="77777777" w:rsidR="00281F47" w:rsidRPr="0062711C" w:rsidRDefault="00281F47" w:rsidP="007F06ED">
            <w:pPr>
              <w:tabs>
                <w:tab w:val="center" w:pos="4680"/>
                <w:tab w:val="right" w:pos="9360"/>
              </w:tabs>
              <w:rPr>
                <w:rFonts w:cstheme="minorHAnsi"/>
                <w:color w:val="002060"/>
                <w:sz w:val="14"/>
                <w:szCs w:val="14"/>
                <w:lang w:val="sr-Cyrl-RS"/>
              </w:rPr>
            </w:pPr>
            <w:r w:rsidRPr="0062711C">
              <w:rPr>
                <w:rFonts w:cstheme="minorHAnsi"/>
                <w:color w:val="002060"/>
                <w:sz w:val="14"/>
                <w:szCs w:val="14"/>
                <w:lang w:val="sr-Cyrl-RS"/>
              </w:rPr>
              <w:t>Јавни расходи</w:t>
            </w:r>
          </w:p>
        </w:tc>
        <w:tc>
          <w:tcPr>
            <w:tcW w:w="360" w:type="pct"/>
            <w:tcBorders>
              <w:top w:val="nil"/>
            </w:tcBorders>
            <w:shd w:val="clear" w:color="auto" w:fill="BFBFBF" w:themeFill="background1" w:themeFillShade="BF"/>
            <w:noWrap/>
            <w:hideMark/>
          </w:tcPr>
          <w:p w14:paraId="438AB5E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4.344,7</w:t>
            </w:r>
          </w:p>
        </w:tc>
        <w:tc>
          <w:tcPr>
            <w:tcW w:w="360" w:type="pct"/>
            <w:tcBorders>
              <w:top w:val="nil"/>
            </w:tcBorders>
            <w:shd w:val="clear" w:color="auto" w:fill="BFBFBF" w:themeFill="background1" w:themeFillShade="BF"/>
            <w:noWrap/>
            <w:hideMark/>
          </w:tcPr>
          <w:p w14:paraId="3B718DB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1.940,9</w:t>
            </w:r>
          </w:p>
        </w:tc>
        <w:tc>
          <w:tcPr>
            <w:tcW w:w="364" w:type="pct"/>
            <w:tcBorders>
              <w:top w:val="nil"/>
            </w:tcBorders>
            <w:shd w:val="clear" w:color="auto" w:fill="BFBFBF" w:themeFill="background1" w:themeFillShade="BF"/>
            <w:noWrap/>
            <w:hideMark/>
          </w:tcPr>
          <w:p w14:paraId="0E56E97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588,8</w:t>
            </w:r>
          </w:p>
        </w:tc>
        <w:tc>
          <w:tcPr>
            <w:tcW w:w="352" w:type="pct"/>
            <w:tcBorders>
              <w:top w:val="nil"/>
            </w:tcBorders>
            <w:shd w:val="clear" w:color="auto" w:fill="BFBFBF" w:themeFill="background1" w:themeFillShade="BF"/>
            <w:noWrap/>
            <w:hideMark/>
          </w:tcPr>
          <w:p w14:paraId="3748673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511,2</w:t>
            </w:r>
          </w:p>
        </w:tc>
        <w:tc>
          <w:tcPr>
            <w:tcW w:w="376" w:type="pct"/>
            <w:tcBorders>
              <w:top w:val="nil"/>
            </w:tcBorders>
            <w:shd w:val="clear" w:color="auto" w:fill="BFBFBF" w:themeFill="background1" w:themeFillShade="BF"/>
            <w:noWrap/>
            <w:hideMark/>
          </w:tcPr>
          <w:p w14:paraId="6FAC2D5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77,6</w:t>
            </w:r>
          </w:p>
        </w:tc>
        <w:tc>
          <w:tcPr>
            <w:tcW w:w="357" w:type="pct"/>
            <w:tcBorders>
              <w:top w:val="nil"/>
            </w:tcBorders>
            <w:shd w:val="clear" w:color="auto" w:fill="BFBFBF" w:themeFill="background1" w:themeFillShade="BF"/>
            <w:noWrap/>
            <w:hideMark/>
          </w:tcPr>
          <w:p w14:paraId="3B53B78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119,4</w:t>
            </w:r>
          </w:p>
        </w:tc>
        <w:tc>
          <w:tcPr>
            <w:tcW w:w="376" w:type="pct"/>
            <w:tcBorders>
              <w:top w:val="nil"/>
            </w:tcBorders>
            <w:shd w:val="clear" w:color="auto" w:fill="BFBFBF" w:themeFill="background1" w:themeFillShade="BF"/>
            <w:noWrap/>
            <w:hideMark/>
          </w:tcPr>
          <w:p w14:paraId="15B4589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1.695,5</w:t>
            </w:r>
          </w:p>
        </w:tc>
        <w:tc>
          <w:tcPr>
            <w:tcW w:w="376" w:type="pct"/>
            <w:tcBorders>
              <w:top w:val="nil"/>
            </w:tcBorders>
            <w:shd w:val="clear" w:color="auto" w:fill="BFBFBF" w:themeFill="background1" w:themeFillShade="BF"/>
            <w:noWrap/>
            <w:hideMark/>
          </w:tcPr>
          <w:p w14:paraId="42B7423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1.082,1</w:t>
            </w:r>
          </w:p>
        </w:tc>
        <w:tc>
          <w:tcPr>
            <w:tcW w:w="376" w:type="pct"/>
            <w:tcBorders>
              <w:top w:val="nil"/>
            </w:tcBorders>
            <w:shd w:val="clear" w:color="auto" w:fill="BFBFBF" w:themeFill="background1" w:themeFillShade="BF"/>
            <w:noWrap/>
            <w:hideMark/>
          </w:tcPr>
          <w:p w14:paraId="0B741C0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577,8</w:t>
            </w:r>
          </w:p>
        </w:tc>
        <w:tc>
          <w:tcPr>
            <w:tcW w:w="376" w:type="pct"/>
            <w:tcBorders>
              <w:top w:val="nil"/>
            </w:tcBorders>
            <w:shd w:val="clear" w:color="auto" w:fill="BFBFBF" w:themeFill="background1" w:themeFillShade="BF"/>
            <w:noWrap/>
            <w:hideMark/>
          </w:tcPr>
          <w:p w14:paraId="0063656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26,2</w:t>
            </w:r>
          </w:p>
        </w:tc>
        <w:tc>
          <w:tcPr>
            <w:tcW w:w="314" w:type="pct"/>
            <w:tcBorders>
              <w:top w:val="nil"/>
            </w:tcBorders>
            <w:shd w:val="clear" w:color="auto" w:fill="BFBFBF" w:themeFill="background1" w:themeFillShade="BF"/>
            <w:noWrap/>
            <w:hideMark/>
          </w:tcPr>
          <w:p w14:paraId="0034D5E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9,4</w:t>
            </w:r>
          </w:p>
        </w:tc>
      </w:tr>
      <w:tr w:rsidR="001F1B9F" w:rsidRPr="0062711C" w14:paraId="1EC16AD9"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5F4D1B4"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Текући расходи</w:t>
            </w:r>
          </w:p>
        </w:tc>
        <w:tc>
          <w:tcPr>
            <w:tcW w:w="360" w:type="pct"/>
            <w:tcBorders>
              <w:top w:val="nil"/>
            </w:tcBorders>
            <w:shd w:val="clear" w:color="auto" w:fill="FFFFFF" w:themeFill="background1"/>
            <w:noWrap/>
            <w:hideMark/>
          </w:tcPr>
          <w:p w14:paraId="1C1DA623"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3.597,2</w:t>
            </w:r>
          </w:p>
        </w:tc>
        <w:tc>
          <w:tcPr>
            <w:tcW w:w="360" w:type="pct"/>
            <w:tcBorders>
              <w:top w:val="nil"/>
            </w:tcBorders>
            <w:shd w:val="clear" w:color="auto" w:fill="FFFFFF" w:themeFill="background1"/>
            <w:noWrap/>
            <w:hideMark/>
          </w:tcPr>
          <w:p w14:paraId="387B5E2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1.339,1</w:t>
            </w:r>
          </w:p>
        </w:tc>
        <w:tc>
          <w:tcPr>
            <w:tcW w:w="364" w:type="pct"/>
            <w:tcBorders>
              <w:top w:val="nil"/>
            </w:tcBorders>
            <w:shd w:val="clear" w:color="auto" w:fill="FFFFFF" w:themeFill="background1"/>
            <w:noWrap/>
            <w:hideMark/>
          </w:tcPr>
          <w:p w14:paraId="6FD77DC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477,5</w:t>
            </w:r>
          </w:p>
        </w:tc>
        <w:tc>
          <w:tcPr>
            <w:tcW w:w="352" w:type="pct"/>
            <w:tcBorders>
              <w:top w:val="nil"/>
            </w:tcBorders>
            <w:shd w:val="clear" w:color="auto" w:fill="FFFFFF" w:themeFill="background1"/>
            <w:noWrap/>
            <w:hideMark/>
          </w:tcPr>
          <w:p w14:paraId="3901B21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404,2</w:t>
            </w:r>
          </w:p>
        </w:tc>
        <w:tc>
          <w:tcPr>
            <w:tcW w:w="376" w:type="pct"/>
            <w:tcBorders>
              <w:top w:val="nil"/>
            </w:tcBorders>
            <w:shd w:val="clear" w:color="auto" w:fill="FFFFFF" w:themeFill="background1"/>
            <w:noWrap/>
            <w:hideMark/>
          </w:tcPr>
          <w:p w14:paraId="111A9C3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73,2</w:t>
            </w:r>
          </w:p>
        </w:tc>
        <w:tc>
          <w:tcPr>
            <w:tcW w:w="357" w:type="pct"/>
            <w:tcBorders>
              <w:top w:val="nil"/>
            </w:tcBorders>
            <w:shd w:val="clear" w:color="auto" w:fill="FFFFFF" w:themeFill="background1"/>
            <w:noWrap/>
            <w:hideMark/>
          </w:tcPr>
          <w:p w14:paraId="44E88F4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101,5</w:t>
            </w:r>
          </w:p>
        </w:tc>
        <w:tc>
          <w:tcPr>
            <w:tcW w:w="376" w:type="pct"/>
            <w:tcBorders>
              <w:top w:val="nil"/>
            </w:tcBorders>
            <w:shd w:val="clear" w:color="auto" w:fill="FFFFFF" w:themeFill="background1"/>
            <w:noWrap/>
            <w:hideMark/>
          </w:tcPr>
          <w:p w14:paraId="28CC61D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1.679,2</w:t>
            </w:r>
          </w:p>
        </w:tc>
        <w:tc>
          <w:tcPr>
            <w:tcW w:w="376" w:type="pct"/>
            <w:tcBorders>
              <w:top w:val="nil"/>
            </w:tcBorders>
            <w:shd w:val="clear" w:color="auto" w:fill="FFFFFF" w:themeFill="background1"/>
            <w:noWrap/>
            <w:hideMark/>
          </w:tcPr>
          <w:p w14:paraId="43D25BE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1.081,4</w:t>
            </w:r>
          </w:p>
        </w:tc>
        <w:tc>
          <w:tcPr>
            <w:tcW w:w="376" w:type="pct"/>
            <w:tcBorders>
              <w:top w:val="nil"/>
            </w:tcBorders>
            <w:shd w:val="clear" w:color="auto" w:fill="FFFFFF" w:themeFill="background1"/>
            <w:noWrap/>
            <w:hideMark/>
          </w:tcPr>
          <w:p w14:paraId="781CB53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562,7</w:t>
            </w:r>
          </w:p>
        </w:tc>
        <w:tc>
          <w:tcPr>
            <w:tcW w:w="376" w:type="pct"/>
            <w:tcBorders>
              <w:top w:val="nil"/>
            </w:tcBorders>
            <w:shd w:val="clear" w:color="auto" w:fill="FFFFFF" w:themeFill="background1"/>
            <w:noWrap/>
            <w:hideMark/>
          </w:tcPr>
          <w:p w14:paraId="0060C1F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25,8</w:t>
            </w:r>
          </w:p>
        </w:tc>
        <w:tc>
          <w:tcPr>
            <w:tcW w:w="314" w:type="pct"/>
            <w:tcBorders>
              <w:top w:val="nil"/>
            </w:tcBorders>
            <w:shd w:val="clear" w:color="auto" w:fill="FFFFFF" w:themeFill="background1"/>
            <w:noWrap/>
            <w:hideMark/>
          </w:tcPr>
          <w:p w14:paraId="1AFE098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9,3</w:t>
            </w:r>
          </w:p>
        </w:tc>
      </w:tr>
      <w:tr w:rsidR="001F1B9F" w:rsidRPr="0062711C" w14:paraId="0408716C"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D2CDC06"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Расходи за запослене</w:t>
            </w:r>
          </w:p>
        </w:tc>
        <w:tc>
          <w:tcPr>
            <w:tcW w:w="360" w:type="pct"/>
            <w:tcBorders>
              <w:top w:val="nil"/>
            </w:tcBorders>
            <w:shd w:val="clear" w:color="auto" w:fill="FFFFFF" w:themeFill="background1"/>
            <w:noWrap/>
            <w:hideMark/>
          </w:tcPr>
          <w:p w14:paraId="3D01C02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840,1</w:t>
            </w:r>
          </w:p>
        </w:tc>
        <w:tc>
          <w:tcPr>
            <w:tcW w:w="360" w:type="pct"/>
            <w:tcBorders>
              <w:top w:val="nil"/>
            </w:tcBorders>
            <w:shd w:val="clear" w:color="auto" w:fill="FFFFFF" w:themeFill="background1"/>
            <w:noWrap/>
            <w:hideMark/>
          </w:tcPr>
          <w:p w14:paraId="07364AB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437,2</w:t>
            </w:r>
          </w:p>
        </w:tc>
        <w:tc>
          <w:tcPr>
            <w:tcW w:w="364" w:type="pct"/>
            <w:tcBorders>
              <w:top w:val="nil"/>
            </w:tcBorders>
            <w:shd w:val="clear" w:color="auto" w:fill="FFFFFF" w:themeFill="background1"/>
            <w:noWrap/>
            <w:hideMark/>
          </w:tcPr>
          <w:p w14:paraId="48DC926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129,6</w:t>
            </w:r>
          </w:p>
        </w:tc>
        <w:tc>
          <w:tcPr>
            <w:tcW w:w="352" w:type="pct"/>
            <w:tcBorders>
              <w:top w:val="nil"/>
            </w:tcBorders>
            <w:shd w:val="clear" w:color="auto" w:fill="FFFFFF" w:themeFill="background1"/>
            <w:noWrap/>
            <w:hideMark/>
          </w:tcPr>
          <w:p w14:paraId="50E8C63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89,8</w:t>
            </w:r>
          </w:p>
        </w:tc>
        <w:tc>
          <w:tcPr>
            <w:tcW w:w="376" w:type="pct"/>
            <w:tcBorders>
              <w:top w:val="nil"/>
            </w:tcBorders>
            <w:shd w:val="clear" w:color="auto" w:fill="FFFFFF" w:themeFill="background1"/>
            <w:noWrap/>
            <w:hideMark/>
          </w:tcPr>
          <w:p w14:paraId="0D0A100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39,9</w:t>
            </w:r>
          </w:p>
        </w:tc>
        <w:tc>
          <w:tcPr>
            <w:tcW w:w="357" w:type="pct"/>
            <w:tcBorders>
              <w:top w:val="nil"/>
            </w:tcBorders>
            <w:shd w:val="clear" w:color="auto" w:fill="FFFFFF" w:themeFill="background1"/>
            <w:noWrap/>
            <w:hideMark/>
          </w:tcPr>
          <w:p w14:paraId="56162F7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19,7</w:t>
            </w:r>
          </w:p>
        </w:tc>
        <w:tc>
          <w:tcPr>
            <w:tcW w:w="376" w:type="pct"/>
            <w:tcBorders>
              <w:top w:val="nil"/>
            </w:tcBorders>
            <w:shd w:val="clear" w:color="auto" w:fill="FFFFFF" w:themeFill="background1"/>
            <w:noWrap/>
            <w:hideMark/>
          </w:tcPr>
          <w:p w14:paraId="2C27CE4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253,6</w:t>
            </w:r>
          </w:p>
        </w:tc>
        <w:tc>
          <w:tcPr>
            <w:tcW w:w="376" w:type="pct"/>
            <w:tcBorders>
              <w:top w:val="nil"/>
            </w:tcBorders>
            <w:shd w:val="clear" w:color="auto" w:fill="FFFFFF" w:themeFill="background1"/>
            <w:noWrap/>
            <w:hideMark/>
          </w:tcPr>
          <w:p w14:paraId="0E21892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4,8</w:t>
            </w:r>
          </w:p>
        </w:tc>
        <w:tc>
          <w:tcPr>
            <w:tcW w:w="376" w:type="pct"/>
            <w:tcBorders>
              <w:top w:val="nil"/>
            </w:tcBorders>
            <w:shd w:val="clear" w:color="auto" w:fill="FFFFFF" w:themeFill="background1"/>
            <w:noWrap/>
            <w:hideMark/>
          </w:tcPr>
          <w:p w14:paraId="3796A33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246,3</w:t>
            </w:r>
          </w:p>
        </w:tc>
        <w:tc>
          <w:tcPr>
            <w:tcW w:w="376" w:type="pct"/>
            <w:tcBorders>
              <w:top w:val="nil"/>
            </w:tcBorders>
            <w:shd w:val="clear" w:color="auto" w:fill="FFFFFF" w:themeFill="background1"/>
            <w:noWrap/>
            <w:hideMark/>
          </w:tcPr>
          <w:p w14:paraId="28FF270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2,4</w:t>
            </w:r>
          </w:p>
        </w:tc>
        <w:tc>
          <w:tcPr>
            <w:tcW w:w="314" w:type="pct"/>
            <w:tcBorders>
              <w:top w:val="nil"/>
            </w:tcBorders>
            <w:shd w:val="clear" w:color="auto" w:fill="FFFFFF" w:themeFill="background1"/>
            <w:noWrap/>
          </w:tcPr>
          <w:p w14:paraId="5F881E8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55D1624B"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2F3F52E"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Доприноси на терет послодавца</w:t>
            </w:r>
          </w:p>
        </w:tc>
        <w:tc>
          <w:tcPr>
            <w:tcW w:w="360" w:type="pct"/>
            <w:tcBorders>
              <w:top w:val="nil"/>
            </w:tcBorders>
            <w:shd w:val="clear" w:color="auto" w:fill="FFFFFF" w:themeFill="background1"/>
            <w:noWrap/>
            <w:hideMark/>
          </w:tcPr>
          <w:p w14:paraId="7411C15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130,0</w:t>
            </w:r>
          </w:p>
        </w:tc>
        <w:tc>
          <w:tcPr>
            <w:tcW w:w="360" w:type="pct"/>
            <w:tcBorders>
              <w:top w:val="nil"/>
            </w:tcBorders>
            <w:shd w:val="clear" w:color="auto" w:fill="FFFFFF" w:themeFill="background1"/>
            <w:noWrap/>
            <w:hideMark/>
          </w:tcPr>
          <w:p w14:paraId="683352C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71,9</w:t>
            </w:r>
          </w:p>
        </w:tc>
        <w:tc>
          <w:tcPr>
            <w:tcW w:w="364" w:type="pct"/>
            <w:tcBorders>
              <w:top w:val="nil"/>
            </w:tcBorders>
            <w:shd w:val="clear" w:color="auto" w:fill="FFFFFF" w:themeFill="background1"/>
            <w:noWrap/>
            <w:hideMark/>
          </w:tcPr>
          <w:p w14:paraId="13FBF91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19,3</w:t>
            </w:r>
          </w:p>
        </w:tc>
        <w:tc>
          <w:tcPr>
            <w:tcW w:w="352" w:type="pct"/>
            <w:tcBorders>
              <w:top w:val="nil"/>
            </w:tcBorders>
            <w:shd w:val="clear" w:color="auto" w:fill="FFFFFF" w:themeFill="background1"/>
            <w:noWrap/>
            <w:hideMark/>
          </w:tcPr>
          <w:p w14:paraId="449065F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12,0</w:t>
            </w:r>
          </w:p>
        </w:tc>
        <w:tc>
          <w:tcPr>
            <w:tcW w:w="376" w:type="pct"/>
            <w:tcBorders>
              <w:top w:val="nil"/>
            </w:tcBorders>
            <w:shd w:val="clear" w:color="auto" w:fill="FFFFFF" w:themeFill="background1"/>
            <w:noWrap/>
            <w:hideMark/>
          </w:tcPr>
          <w:p w14:paraId="72A4707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7,2</w:t>
            </w:r>
          </w:p>
        </w:tc>
        <w:tc>
          <w:tcPr>
            <w:tcW w:w="357" w:type="pct"/>
            <w:tcBorders>
              <w:top w:val="nil"/>
            </w:tcBorders>
            <w:shd w:val="clear" w:color="auto" w:fill="FFFFFF" w:themeFill="background1"/>
            <w:noWrap/>
            <w:hideMark/>
          </w:tcPr>
          <w:p w14:paraId="297ABCB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3,4</w:t>
            </w:r>
          </w:p>
        </w:tc>
        <w:tc>
          <w:tcPr>
            <w:tcW w:w="376" w:type="pct"/>
            <w:tcBorders>
              <w:top w:val="nil"/>
            </w:tcBorders>
            <w:shd w:val="clear" w:color="auto" w:fill="FFFFFF" w:themeFill="background1"/>
            <w:noWrap/>
            <w:hideMark/>
          </w:tcPr>
          <w:p w14:paraId="64A5FF7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35,5</w:t>
            </w:r>
          </w:p>
        </w:tc>
        <w:tc>
          <w:tcPr>
            <w:tcW w:w="376" w:type="pct"/>
            <w:tcBorders>
              <w:top w:val="nil"/>
            </w:tcBorders>
            <w:shd w:val="clear" w:color="auto" w:fill="FFFFFF" w:themeFill="background1"/>
            <w:noWrap/>
            <w:hideMark/>
          </w:tcPr>
          <w:p w14:paraId="4F4622F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0,8</w:t>
            </w:r>
          </w:p>
        </w:tc>
        <w:tc>
          <w:tcPr>
            <w:tcW w:w="376" w:type="pct"/>
            <w:tcBorders>
              <w:top w:val="nil"/>
            </w:tcBorders>
            <w:shd w:val="clear" w:color="auto" w:fill="FFFFFF" w:themeFill="background1"/>
            <w:noWrap/>
            <w:hideMark/>
          </w:tcPr>
          <w:p w14:paraId="50B73F8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34,2</w:t>
            </w:r>
          </w:p>
        </w:tc>
        <w:tc>
          <w:tcPr>
            <w:tcW w:w="376" w:type="pct"/>
            <w:tcBorders>
              <w:top w:val="nil"/>
            </w:tcBorders>
            <w:shd w:val="clear" w:color="auto" w:fill="FFFFFF" w:themeFill="background1"/>
            <w:noWrap/>
            <w:hideMark/>
          </w:tcPr>
          <w:p w14:paraId="210E19C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0,5</w:t>
            </w:r>
          </w:p>
        </w:tc>
        <w:tc>
          <w:tcPr>
            <w:tcW w:w="314" w:type="pct"/>
            <w:tcBorders>
              <w:top w:val="nil"/>
            </w:tcBorders>
            <w:shd w:val="clear" w:color="auto" w:fill="FFFFFF" w:themeFill="background1"/>
            <w:noWrap/>
          </w:tcPr>
          <w:p w14:paraId="34FFD66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1B132414"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CB4C384"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Куповина роба и услуга</w:t>
            </w:r>
          </w:p>
        </w:tc>
        <w:tc>
          <w:tcPr>
            <w:tcW w:w="360" w:type="pct"/>
            <w:tcBorders>
              <w:top w:val="nil"/>
            </w:tcBorders>
            <w:shd w:val="clear" w:color="auto" w:fill="FFFFFF" w:themeFill="background1"/>
            <w:noWrap/>
            <w:hideMark/>
          </w:tcPr>
          <w:p w14:paraId="1DBD8AD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710,1</w:t>
            </w:r>
          </w:p>
        </w:tc>
        <w:tc>
          <w:tcPr>
            <w:tcW w:w="360" w:type="pct"/>
            <w:tcBorders>
              <w:top w:val="nil"/>
            </w:tcBorders>
            <w:shd w:val="clear" w:color="auto" w:fill="FFFFFF" w:themeFill="background1"/>
            <w:noWrap/>
            <w:hideMark/>
          </w:tcPr>
          <w:p w14:paraId="0B84964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179,7</w:t>
            </w:r>
          </w:p>
        </w:tc>
        <w:tc>
          <w:tcPr>
            <w:tcW w:w="364" w:type="pct"/>
            <w:tcBorders>
              <w:top w:val="nil"/>
            </w:tcBorders>
            <w:shd w:val="clear" w:color="auto" w:fill="FFFFFF" w:themeFill="background1"/>
            <w:noWrap/>
            <w:hideMark/>
          </w:tcPr>
          <w:p w14:paraId="7884F2E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194,8</w:t>
            </w:r>
          </w:p>
        </w:tc>
        <w:tc>
          <w:tcPr>
            <w:tcW w:w="352" w:type="pct"/>
            <w:tcBorders>
              <w:top w:val="nil"/>
            </w:tcBorders>
            <w:shd w:val="clear" w:color="auto" w:fill="FFFFFF" w:themeFill="background1"/>
            <w:noWrap/>
            <w:hideMark/>
          </w:tcPr>
          <w:p w14:paraId="1F67B06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191,1</w:t>
            </w:r>
          </w:p>
        </w:tc>
        <w:tc>
          <w:tcPr>
            <w:tcW w:w="376" w:type="pct"/>
            <w:tcBorders>
              <w:top w:val="nil"/>
            </w:tcBorders>
            <w:shd w:val="clear" w:color="auto" w:fill="FFFFFF" w:themeFill="background1"/>
            <w:noWrap/>
            <w:hideMark/>
          </w:tcPr>
          <w:p w14:paraId="67E8596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3,7</w:t>
            </w:r>
          </w:p>
        </w:tc>
        <w:tc>
          <w:tcPr>
            <w:tcW w:w="357" w:type="pct"/>
            <w:tcBorders>
              <w:top w:val="nil"/>
            </w:tcBorders>
            <w:shd w:val="clear" w:color="auto" w:fill="FFFFFF" w:themeFill="background1"/>
            <w:noWrap/>
            <w:hideMark/>
          </w:tcPr>
          <w:p w14:paraId="57BBB94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73,4</w:t>
            </w:r>
          </w:p>
        </w:tc>
        <w:tc>
          <w:tcPr>
            <w:tcW w:w="376" w:type="pct"/>
            <w:tcBorders>
              <w:top w:val="nil"/>
            </w:tcBorders>
            <w:shd w:val="clear" w:color="auto" w:fill="FFFFFF" w:themeFill="background1"/>
            <w:noWrap/>
            <w:hideMark/>
          </w:tcPr>
          <w:p w14:paraId="57BF132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262,2</w:t>
            </w:r>
          </w:p>
        </w:tc>
        <w:tc>
          <w:tcPr>
            <w:tcW w:w="376" w:type="pct"/>
            <w:tcBorders>
              <w:top w:val="nil"/>
            </w:tcBorders>
            <w:shd w:val="clear" w:color="auto" w:fill="FFFFFF" w:themeFill="background1"/>
            <w:noWrap/>
            <w:hideMark/>
          </w:tcPr>
          <w:p w14:paraId="584FD5B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4,8</w:t>
            </w:r>
          </w:p>
        </w:tc>
        <w:tc>
          <w:tcPr>
            <w:tcW w:w="376" w:type="pct"/>
            <w:tcBorders>
              <w:top w:val="nil"/>
            </w:tcBorders>
            <w:shd w:val="clear" w:color="auto" w:fill="FFFFFF" w:themeFill="background1"/>
            <w:noWrap/>
            <w:hideMark/>
          </w:tcPr>
          <w:p w14:paraId="09C730B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249,5</w:t>
            </w:r>
          </w:p>
        </w:tc>
        <w:tc>
          <w:tcPr>
            <w:tcW w:w="376" w:type="pct"/>
            <w:tcBorders>
              <w:top w:val="nil"/>
            </w:tcBorders>
            <w:shd w:val="clear" w:color="auto" w:fill="FFFFFF" w:themeFill="background1"/>
            <w:noWrap/>
            <w:hideMark/>
          </w:tcPr>
          <w:p w14:paraId="39A5994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1,2</w:t>
            </w:r>
          </w:p>
        </w:tc>
        <w:tc>
          <w:tcPr>
            <w:tcW w:w="314" w:type="pct"/>
            <w:tcBorders>
              <w:top w:val="nil"/>
            </w:tcBorders>
            <w:shd w:val="clear" w:color="auto" w:fill="FFFFFF" w:themeFill="background1"/>
            <w:noWrap/>
            <w:hideMark/>
          </w:tcPr>
          <w:p w14:paraId="20F611B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6,6</w:t>
            </w:r>
          </w:p>
        </w:tc>
      </w:tr>
      <w:tr w:rsidR="001F1B9F" w:rsidRPr="0062711C" w14:paraId="76286DF7"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85BD162"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Отплата камата</w:t>
            </w:r>
          </w:p>
        </w:tc>
        <w:tc>
          <w:tcPr>
            <w:tcW w:w="360" w:type="pct"/>
            <w:tcBorders>
              <w:top w:val="nil"/>
            </w:tcBorders>
            <w:shd w:val="clear" w:color="auto" w:fill="FFFFFF" w:themeFill="background1"/>
            <w:noWrap/>
            <w:hideMark/>
          </w:tcPr>
          <w:p w14:paraId="057C665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227,4</w:t>
            </w:r>
          </w:p>
        </w:tc>
        <w:tc>
          <w:tcPr>
            <w:tcW w:w="360" w:type="pct"/>
            <w:tcBorders>
              <w:top w:val="nil"/>
            </w:tcBorders>
            <w:shd w:val="clear" w:color="auto" w:fill="FFFFFF" w:themeFill="background1"/>
            <w:noWrap/>
            <w:hideMark/>
          </w:tcPr>
          <w:p w14:paraId="106E9A8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225,0</w:t>
            </w:r>
          </w:p>
        </w:tc>
        <w:tc>
          <w:tcPr>
            <w:tcW w:w="364" w:type="pct"/>
            <w:tcBorders>
              <w:top w:val="nil"/>
            </w:tcBorders>
            <w:shd w:val="clear" w:color="auto" w:fill="FFFFFF" w:themeFill="background1"/>
            <w:noWrap/>
            <w:hideMark/>
          </w:tcPr>
          <w:p w14:paraId="7E2B0A1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2,3</w:t>
            </w:r>
          </w:p>
        </w:tc>
        <w:tc>
          <w:tcPr>
            <w:tcW w:w="352" w:type="pct"/>
            <w:tcBorders>
              <w:top w:val="nil"/>
            </w:tcBorders>
            <w:shd w:val="clear" w:color="auto" w:fill="FFFFFF" w:themeFill="background1"/>
            <w:noWrap/>
            <w:hideMark/>
          </w:tcPr>
          <w:p w14:paraId="542F783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2,0</w:t>
            </w:r>
          </w:p>
        </w:tc>
        <w:tc>
          <w:tcPr>
            <w:tcW w:w="376" w:type="pct"/>
            <w:tcBorders>
              <w:top w:val="nil"/>
            </w:tcBorders>
            <w:shd w:val="clear" w:color="auto" w:fill="FFFFFF" w:themeFill="background1"/>
            <w:noWrap/>
            <w:hideMark/>
          </w:tcPr>
          <w:p w14:paraId="3C2397B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0,3</w:t>
            </w:r>
          </w:p>
        </w:tc>
        <w:tc>
          <w:tcPr>
            <w:tcW w:w="357" w:type="pct"/>
            <w:tcBorders>
              <w:top w:val="nil"/>
            </w:tcBorders>
            <w:shd w:val="clear" w:color="auto" w:fill="FFFFFF" w:themeFill="background1"/>
            <w:noWrap/>
            <w:hideMark/>
          </w:tcPr>
          <w:p w14:paraId="3C7F469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0,1</w:t>
            </w:r>
          </w:p>
        </w:tc>
        <w:tc>
          <w:tcPr>
            <w:tcW w:w="376" w:type="pct"/>
            <w:tcBorders>
              <w:top w:val="nil"/>
            </w:tcBorders>
            <w:shd w:val="clear" w:color="auto" w:fill="FFFFFF" w:themeFill="background1"/>
            <w:noWrap/>
          </w:tcPr>
          <w:p w14:paraId="79C471F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054D96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225727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1A58A4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46B7043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3F62501B"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80FA1CF"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Субвенције</w:t>
            </w:r>
          </w:p>
        </w:tc>
        <w:tc>
          <w:tcPr>
            <w:tcW w:w="360" w:type="pct"/>
            <w:tcBorders>
              <w:top w:val="nil"/>
            </w:tcBorders>
            <w:shd w:val="clear" w:color="auto" w:fill="FFFFFF" w:themeFill="background1"/>
            <w:noWrap/>
            <w:hideMark/>
          </w:tcPr>
          <w:p w14:paraId="5ABF261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217,5</w:t>
            </w:r>
          </w:p>
        </w:tc>
        <w:tc>
          <w:tcPr>
            <w:tcW w:w="360" w:type="pct"/>
            <w:tcBorders>
              <w:top w:val="nil"/>
            </w:tcBorders>
            <w:shd w:val="clear" w:color="auto" w:fill="FFFFFF" w:themeFill="background1"/>
            <w:noWrap/>
            <w:hideMark/>
          </w:tcPr>
          <w:p w14:paraId="72251A6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170,6</w:t>
            </w:r>
          </w:p>
        </w:tc>
        <w:tc>
          <w:tcPr>
            <w:tcW w:w="364" w:type="pct"/>
            <w:tcBorders>
              <w:top w:val="nil"/>
            </w:tcBorders>
            <w:shd w:val="clear" w:color="auto" w:fill="FFFFFF" w:themeFill="background1"/>
            <w:noWrap/>
            <w:hideMark/>
          </w:tcPr>
          <w:p w14:paraId="1473617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46,9</w:t>
            </w:r>
          </w:p>
        </w:tc>
        <w:tc>
          <w:tcPr>
            <w:tcW w:w="352" w:type="pct"/>
            <w:tcBorders>
              <w:top w:val="nil"/>
            </w:tcBorders>
            <w:shd w:val="clear" w:color="auto" w:fill="FFFFFF" w:themeFill="background1"/>
            <w:noWrap/>
            <w:hideMark/>
          </w:tcPr>
          <w:p w14:paraId="296E45E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35,7</w:t>
            </w:r>
          </w:p>
        </w:tc>
        <w:tc>
          <w:tcPr>
            <w:tcW w:w="376" w:type="pct"/>
            <w:tcBorders>
              <w:top w:val="nil"/>
            </w:tcBorders>
            <w:shd w:val="clear" w:color="auto" w:fill="FFFFFF" w:themeFill="background1"/>
            <w:noWrap/>
            <w:hideMark/>
          </w:tcPr>
          <w:p w14:paraId="067B9F0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11,1</w:t>
            </w:r>
          </w:p>
        </w:tc>
        <w:tc>
          <w:tcPr>
            <w:tcW w:w="357" w:type="pct"/>
            <w:tcBorders>
              <w:top w:val="nil"/>
            </w:tcBorders>
            <w:shd w:val="clear" w:color="auto" w:fill="FFFFFF" w:themeFill="background1"/>
            <w:noWrap/>
          </w:tcPr>
          <w:p w14:paraId="4F91BF8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56D063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2944EF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EA60B2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7307DF6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1012E18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18D555D1"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9A7FCC4"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Социјална помоћ и трансфери</w:t>
            </w:r>
          </w:p>
        </w:tc>
        <w:tc>
          <w:tcPr>
            <w:tcW w:w="360" w:type="pct"/>
            <w:tcBorders>
              <w:top w:val="nil"/>
            </w:tcBorders>
            <w:shd w:val="clear" w:color="auto" w:fill="FFFFFF" w:themeFill="background1"/>
            <w:noWrap/>
            <w:hideMark/>
          </w:tcPr>
          <w:p w14:paraId="7C98C6B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1.351,9</w:t>
            </w:r>
          </w:p>
        </w:tc>
        <w:tc>
          <w:tcPr>
            <w:tcW w:w="360" w:type="pct"/>
            <w:tcBorders>
              <w:top w:val="nil"/>
            </w:tcBorders>
            <w:shd w:val="clear" w:color="auto" w:fill="FFFFFF" w:themeFill="background1"/>
            <w:noWrap/>
            <w:hideMark/>
          </w:tcPr>
          <w:p w14:paraId="0C0B45D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184,8</w:t>
            </w:r>
          </w:p>
        </w:tc>
        <w:tc>
          <w:tcPr>
            <w:tcW w:w="364" w:type="pct"/>
            <w:tcBorders>
              <w:top w:val="nil"/>
            </w:tcBorders>
            <w:shd w:val="clear" w:color="auto" w:fill="FFFFFF" w:themeFill="background1"/>
            <w:noWrap/>
            <w:hideMark/>
          </w:tcPr>
          <w:p w14:paraId="27827B1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43,4</w:t>
            </w:r>
          </w:p>
        </w:tc>
        <w:tc>
          <w:tcPr>
            <w:tcW w:w="352" w:type="pct"/>
            <w:tcBorders>
              <w:top w:val="nil"/>
            </w:tcBorders>
            <w:shd w:val="clear" w:color="auto" w:fill="FFFFFF" w:themeFill="background1"/>
            <w:noWrap/>
            <w:hideMark/>
          </w:tcPr>
          <w:p w14:paraId="53B9914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43,1</w:t>
            </w:r>
          </w:p>
        </w:tc>
        <w:tc>
          <w:tcPr>
            <w:tcW w:w="376" w:type="pct"/>
            <w:tcBorders>
              <w:top w:val="nil"/>
            </w:tcBorders>
            <w:shd w:val="clear" w:color="auto" w:fill="FFFFFF" w:themeFill="background1"/>
            <w:noWrap/>
            <w:hideMark/>
          </w:tcPr>
          <w:p w14:paraId="11071BC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0,3</w:t>
            </w:r>
          </w:p>
        </w:tc>
        <w:tc>
          <w:tcPr>
            <w:tcW w:w="357" w:type="pct"/>
            <w:tcBorders>
              <w:top w:val="nil"/>
            </w:tcBorders>
            <w:shd w:val="clear" w:color="auto" w:fill="FFFFFF" w:themeFill="background1"/>
            <w:noWrap/>
          </w:tcPr>
          <w:p w14:paraId="58C2342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D56B9B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1.123,7</w:t>
            </w:r>
          </w:p>
        </w:tc>
        <w:tc>
          <w:tcPr>
            <w:tcW w:w="376" w:type="pct"/>
            <w:tcBorders>
              <w:top w:val="nil"/>
            </w:tcBorders>
            <w:shd w:val="clear" w:color="auto" w:fill="FFFFFF" w:themeFill="background1"/>
            <w:noWrap/>
            <w:hideMark/>
          </w:tcPr>
          <w:p w14:paraId="731F989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1.069,4</w:t>
            </w:r>
          </w:p>
        </w:tc>
        <w:tc>
          <w:tcPr>
            <w:tcW w:w="376" w:type="pct"/>
            <w:tcBorders>
              <w:top w:val="nil"/>
            </w:tcBorders>
            <w:shd w:val="clear" w:color="auto" w:fill="FFFFFF" w:themeFill="background1"/>
            <w:noWrap/>
            <w:hideMark/>
          </w:tcPr>
          <w:p w14:paraId="1E2EB7E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30,7</w:t>
            </w:r>
          </w:p>
        </w:tc>
        <w:tc>
          <w:tcPr>
            <w:tcW w:w="376" w:type="pct"/>
            <w:tcBorders>
              <w:top w:val="nil"/>
            </w:tcBorders>
            <w:shd w:val="clear" w:color="auto" w:fill="FFFFFF" w:themeFill="background1"/>
            <w:noWrap/>
            <w:hideMark/>
          </w:tcPr>
          <w:p w14:paraId="0151A59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21,1</w:t>
            </w:r>
          </w:p>
        </w:tc>
        <w:tc>
          <w:tcPr>
            <w:tcW w:w="314" w:type="pct"/>
            <w:tcBorders>
              <w:top w:val="nil"/>
            </w:tcBorders>
            <w:shd w:val="clear" w:color="auto" w:fill="FFFFFF" w:themeFill="background1"/>
            <w:noWrap/>
            <w:hideMark/>
          </w:tcPr>
          <w:p w14:paraId="344A135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2,5</w:t>
            </w:r>
          </w:p>
        </w:tc>
      </w:tr>
      <w:tr w:rsidR="001F1B9F" w:rsidRPr="0062711C" w14:paraId="6582EBA4"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B49E40A"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i/>
                <w:iCs/>
                <w:color w:val="002060"/>
                <w:sz w:val="14"/>
                <w:szCs w:val="14"/>
                <w:lang w:val="sr-Cyrl-RS"/>
              </w:rPr>
              <w:t xml:space="preserve">             </w:t>
            </w:r>
            <w:r w:rsidRPr="0062711C">
              <w:rPr>
                <w:rFonts w:cstheme="minorHAnsi"/>
                <w:b w:val="0"/>
                <w:iCs/>
                <w:color w:val="002060"/>
                <w:sz w:val="14"/>
                <w:szCs w:val="14"/>
                <w:lang w:val="sr-Cyrl-RS"/>
              </w:rPr>
              <w:t>oд чега пензије</w:t>
            </w:r>
          </w:p>
        </w:tc>
        <w:tc>
          <w:tcPr>
            <w:tcW w:w="360" w:type="pct"/>
            <w:tcBorders>
              <w:top w:val="nil"/>
            </w:tcBorders>
            <w:shd w:val="clear" w:color="auto" w:fill="FFFFFF" w:themeFill="background1"/>
            <w:noWrap/>
            <w:hideMark/>
          </w:tcPr>
          <w:p w14:paraId="6CBE432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1.028,6</w:t>
            </w:r>
          </w:p>
        </w:tc>
        <w:tc>
          <w:tcPr>
            <w:tcW w:w="360" w:type="pct"/>
            <w:tcBorders>
              <w:top w:val="nil"/>
            </w:tcBorders>
            <w:shd w:val="clear" w:color="auto" w:fill="FFFFFF" w:themeFill="background1"/>
            <w:noWrap/>
          </w:tcPr>
          <w:p w14:paraId="5A23773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tcPr>
          <w:p w14:paraId="1DA1C55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621B4E5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C99A6B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3D9C9F8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CA0E5F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1.028,6</w:t>
            </w:r>
          </w:p>
        </w:tc>
        <w:tc>
          <w:tcPr>
            <w:tcW w:w="376" w:type="pct"/>
            <w:tcBorders>
              <w:top w:val="nil"/>
            </w:tcBorders>
            <w:shd w:val="clear" w:color="auto" w:fill="FFFFFF" w:themeFill="background1"/>
            <w:noWrap/>
            <w:hideMark/>
          </w:tcPr>
          <w:p w14:paraId="03A3327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1.028,6</w:t>
            </w:r>
          </w:p>
        </w:tc>
        <w:tc>
          <w:tcPr>
            <w:tcW w:w="376" w:type="pct"/>
            <w:tcBorders>
              <w:top w:val="nil"/>
            </w:tcBorders>
            <w:shd w:val="clear" w:color="auto" w:fill="FFFFFF" w:themeFill="background1"/>
            <w:noWrap/>
          </w:tcPr>
          <w:p w14:paraId="26D3AAC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14AE92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51DEA59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366EFCB7"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6A96DA5A"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Остали текући расходи</w:t>
            </w:r>
          </w:p>
        </w:tc>
        <w:tc>
          <w:tcPr>
            <w:tcW w:w="360" w:type="pct"/>
            <w:tcBorders>
              <w:top w:val="nil"/>
            </w:tcBorders>
            <w:shd w:val="clear" w:color="auto" w:fill="FFFFFF" w:themeFill="background1"/>
            <w:noWrap/>
            <w:hideMark/>
          </w:tcPr>
          <w:p w14:paraId="38439E7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120,3</w:t>
            </w:r>
          </w:p>
        </w:tc>
        <w:tc>
          <w:tcPr>
            <w:tcW w:w="360" w:type="pct"/>
            <w:tcBorders>
              <w:top w:val="nil"/>
            </w:tcBorders>
            <w:shd w:val="clear" w:color="auto" w:fill="FFFFFF" w:themeFill="background1"/>
            <w:noWrap/>
            <w:hideMark/>
          </w:tcPr>
          <w:p w14:paraId="1523FB8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69,9</w:t>
            </w:r>
          </w:p>
        </w:tc>
        <w:tc>
          <w:tcPr>
            <w:tcW w:w="364" w:type="pct"/>
            <w:tcBorders>
              <w:top w:val="nil"/>
            </w:tcBorders>
            <w:shd w:val="clear" w:color="auto" w:fill="FFFFFF" w:themeFill="background1"/>
            <w:noWrap/>
            <w:hideMark/>
          </w:tcPr>
          <w:p w14:paraId="2076176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41,2</w:t>
            </w:r>
          </w:p>
        </w:tc>
        <w:tc>
          <w:tcPr>
            <w:tcW w:w="352" w:type="pct"/>
            <w:tcBorders>
              <w:top w:val="nil"/>
            </w:tcBorders>
            <w:shd w:val="clear" w:color="auto" w:fill="FFFFFF" w:themeFill="background1"/>
            <w:noWrap/>
            <w:hideMark/>
          </w:tcPr>
          <w:p w14:paraId="6D6CB9A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30,5</w:t>
            </w:r>
          </w:p>
        </w:tc>
        <w:tc>
          <w:tcPr>
            <w:tcW w:w="376" w:type="pct"/>
            <w:tcBorders>
              <w:top w:val="nil"/>
            </w:tcBorders>
            <w:shd w:val="clear" w:color="auto" w:fill="FFFFFF" w:themeFill="background1"/>
            <w:noWrap/>
            <w:hideMark/>
          </w:tcPr>
          <w:p w14:paraId="7F1C64A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10,6</w:t>
            </w:r>
          </w:p>
        </w:tc>
        <w:tc>
          <w:tcPr>
            <w:tcW w:w="357" w:type="pct"/>
            <w:tcBorders>
              <w:top w:val="nil"/>
            </w:tcBorders>
            <w:shd w:val="clear" w:color="auto" w:fill="FFFFFF" w:themeFill="background1"/>
            <w:noWrap/>
            <w:hideMark/>
          </w:tcPr>
          <w:p w14:paraId="7F4E8B6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5,1</w:t>
            </w:r>
          </w:p>
        </w:tc>
        <w:tc>
          <w:tcPr>
            <w:tcW w:w="376" w:type="pct"/>
            <w:tcBorders>
              <w:top w:val="nil"/>
            </w:tcBorders>
            <w:shd w:val="clear" w:color="auto" w:fill="FFFFFF" w:themeFill="background1"/>
            <w:noWrap/>
            <w:hideMark/>
          </w:tcPr>
          <w:p w14:paraId="03479AF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4,2</w:t>
            </w:r>
          </w:p>
        </w:tc>
        <w:tc>
          <w:tcPr>
            <w:tcW w:w="376" w:type="pct"/>
            <w:tcBorders>
              <w:top w:val="nil"/>
            </w:tcBorders>
            <w:shd w:val="clear" w:color="auto" w:fill="FFFFFF" w:themeFill="background1"/>
            <w:noWrap/>
            <w:hideMark/>
          </w:tcPr>
          <w:p w14:paraId="6D10720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1,5</w:t>
            </w:r>
          </w:p>
        </w:tc>
        <w:tc>
          <w:tcPr>
            <w:tcW w:w="376" w:type="pct"/>
            <w:tcBorders>
              <w:top w:val="nil"/>
            </w:tcBorders>
            <w:shd w:val="clear" w:color="auto" w:fill="FFFFFF" w:themeFill="background1"/>
            <w:noWrap/>
            <w:hideMark/>
          </w:tcPr>
          <w:p w14:paraId="2AF4871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2,0</w:t>
            </w:r>
          </w:p>
        </w:tc>
        <w:tc>
          <w:tcPr>
            <w:tcW w:w="376" w:type="pct"/>
            <w:tcBorders>
              <w:top w:val="nil"/>
            </w:tcBorders>
            <w:shd w:val="clear" w:color="auto" w:fill="FFFFFF" w:themeFill="background1"/>
            <w:noWrap/>
            <w:hideMark/>
          </w:tcPr>
          <w:p w14:paraId="01F0300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0,6</w:t>
            </w:r>
          </w:p>
        </w:tc>
        <w:tc>
          <w:tcPr>
            <w:tcW w:w="314" w:type="pct"/>
            <w:tcBorders>
              <w:top w:val="nil"/>
            </w:tcBorders>
            <w:shd w:val="clear" w:color="auto" w:fill="FFFFFF" w:themeFill="background1"/>
            <w:noWrap/>
            <w:hideMark/>
          </w:tcPr>
          <w:p w14:paraId="766FB49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0,1</w:t>
            </w:r>
          </w:p>
        </w:tc>
      </w:tr>
      <w:tr w:rsidR="001F1B9F" w:rsidRPr="0062711C" w14:paraId="3EF8E408"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AE1C162"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Капитални расходи</w:t>
            </w:r>
          </w:p>
        </w:tc>
        <w:tc>
          <w:tcPr>
            <w:tcW w:w="360" w:type="pct"/>
            <w:tcBorders>
              <w:top w:val="nil"/>
            </w:tcBorders>
            <w:shd w:val="clear" w:color="auto" w:fill="FFFFFF" w:themeFill="background1"/>
            <w:noWrap/>
            <w:hideMark/>
          </w:tcPr>
          <w:p w14:paraId="21C4C2B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701,4</w:t>
            </w:r>
          </w:p>
        </w:tc>
        <w:tc>
          <w:tcPr>
            <w:tcW w:w="360" w:type="pct"/>
            <w:tcBorders>
              <w:top w:val="nil"/>
            </w:tcBorders>
            <w:shd w:val="clear" w:color="auto" w:fill="FFFFFF" w:themeFill="background1"/>
            <w:noWrap/>
            <w:hideMark/>
          </w:tcPr>
          <w:p w14:paraId="146DBDF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557,9</w:t>
            </w:r>
          </w:p>
        </w:tc>
        <w:tc>
          <w:tcPr>
            <w:tcW w:w="364" w:type="pct"/>
            <w:tcBorders>
              <w:top w:val="nil"/>
            </w:tcBorders>
            <w:shd w:val="clear" w:color="auto" w:fill="FFFFFF" w:themeFill="background1"/>
            <w:noWrap/>
            <w:hideMark/>
          </w:tcPr>
          <w:p w14:paraId="511D996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109,2</w:t>
            </w:r>
          </w:p>
        </w:tc>
        <w:tc>
          <w:tcPr>
            <w:tcW w:w="352" w:type="pct"/>
            <w:tcBorders>
              <w:top w:val="nil"/>
            </w:tcBorders>
            <w:shd w:val="clear" w:color="auto" w:fill="FFFFFF" w:themeFill="background1"/>
            <w:noWrap/>
            <w:hideMark/>
          </w:tcPr>
          <w:p w14:paraId="7791E03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104,8</w:t>
            </w:r>
          </w:p>
        </w:tc>
        <w:tc>
          <w:tcPr>
            <w:tcW w:w="376" w:type="pct"/>
            <w:tcBorders>
              <w:top w:val="nil"/>
            </w:tcBorders>
            <w:shd w:val="clear" w:color="auto" w:fill="FFFFFF" w:themeFill="background1"/>
            <w:noWrap/>
            <w:hideMark/>
          </w:tcPr>
          <w:p w14:paraId="3254D21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4,4</w:t>
            </w:r>
          </w:p>
        </w:tc>
        <w:tc>
          <w:tcPr>
            <w:tcW w:w="357" w:type="pct"/>
            <w:tcBorders>
              <w:top w:val="nil"/>
            </w:tcBorders>
            <w:shd w:val="clear" w:color="auto" w:fill="FFFFFF" w:themeFill="background1"/>
            <w:noWrap/>
            <w:hideMark/>
          </w:tcPr>
          <w:p w14:paraId="7B0B8F5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17,9</w:t>
            </w:r>
          </w:p>
        </w:tc>
        <w:tc>
          <w:tcPr>
            <w:tcW w:w="376" w:type="pct"/>
            <w:tcBorders>
              <w:top w:val="nil"/>
            </w:tcBorders>
            <w:shd w:val="clear" w:color="auto" w:fill="FFFFFF" w:themeFill="background1"/>
            <w:noWrap/>
            <w:hideMark/>
          </w:tcPr>
          <w:p w14:paraId="0587138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16,3</w:t>
            </w:r>
          </w:p>
        </w:tc>
        <w:tc>
          <w:tcPr>
            <w:tcW w:w="376" w:type="pct"/>
            <w:tcBorders>
              <w:top w:val="nil"/>
            </w:tcBorders>
            <w:shd w:val="clear" w:color="auto" w:fill="FFFFFF" w:themeFill="background1"/>
            <w:noWrap/>
            <w:hideMark/>
          </w:tcPr>
          <w:p w14:paraId="2A045BD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0,7</w:t>
            </w:r>
          </w:p>
        </w:tc>
        <w:tc>
          <w:tcPr>
            <w:tcW w:w="376" w:type="pct"/>
            <w:tcBorders>
              <w:top w:val="nil"/>
            </w:tcBorders>
            <w:shd w:val="clear" w:color="auto" w:fill="FFFFFF" w:themeFill="background1"/>
            <w:noWrap/>
            <w:hideMark/>
          </w:tcPr>
          <w:p w14:paraId="0443F30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15,1</w:t>
            </w:r>
          </w:p>
        </w:tc>
        <w:tc>
          <w:tcPr>
            <w:tcW w:w="376" w:type="pct"/>
            <w:tcBorders>
              <w:top w:val="nil"/>
            </w:tcBorders>
            <w:shd w:val="clear" w:color="auto" w:fill="FFFFFF" w:themeFill="background1"/>
            <w:noWrap/>
            <w:hideMark/>
          </w:tcPr>
          <w:p w14:paraId="3DCEA4D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0,4</w:t>
            </w:r>
          </w:p>
        </w:tc>
        <w:tc>
          <w:tcPr>
            <w:tcW w:w="314" w:type="pct"/>
            <w:tcBorders>
              <w:top w:val="nil"/>
            </w:tcBorders>
            <w:shd w:val="clear" w:color="auto" w:fill="FFFFFF" w:themeFill="background1"/>
            <w:noWrap/>
            <w:hideMark/>
          </w:tcPr>
          <w:p w14:paraId="3B9785E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0,1</w:t>
            </w:r>
          </w:p>
        </w:tc>
      </w:tr>
      <w:tr w:rsidR="001F1B9F" w:rsidRPr="0062711C" w14:paraId="7AEB0B76"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6D50DD12"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Нето буџетске позајмице</w:t>
            </w:r>
          </w:p>
        </w:tc>
        <w:tc>
          <w:tcPr>
            <w:tcW w:w="360" w:type="pct"/>
            <w:tcBorders>
              <w:top w:val="nil"/>
            </w:tcBorders>
            <w:shd w:val="clear" w:color="auto" w:fill="FFFFFF" w:themeFill="background1"/>
            <w:noWrap/>
            <w:hideMark/>
          </w:tcPr>
          <w:p w14:paraId="523DF76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17,2</w:t>
            </w:r>
          </w:p>
        </w:tc>
        <w:tc>
          <w:tcPr>
            <w:tcW w:w="360" w:type="pct"/>
            <w:tcBorders>
              <w:top w:val="nil"/>
            </w:tcBorders>
            <w:shd w:val="clear" w:color="auto" w:fill="FFFFFF" w:themeFill="background1"/>
            <w:noWrap/>
            <w:hideMark/>
          </w:tcPr>
          <w:p w14:paraId="2E48C14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15,0</w:t>
            </w:r>
          </w:p>
        </w:tc>
        <w:tc>
          <w:tcPr>
            <w:tcW w:w="364" w:type="pct"/>
            <w:tcBorders>
              <w:top w:val="nil"/>
            </w:tcBorders>
            <w:shd w:val="clear" w:color="auto" w:fill="FFFFFF" w:themeFill="background1"/>
            <w:noWrap/>
          </w:tcPr>
          <w:p w14:paraId="382B5D4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2,2</w:t>
            </w:r>
          </w:p>
        </w:tc>
        <w:tc>
          <w:tcPr>
            <w:tcW w:w="352" w:type="pct"/>
            <w:tcBorders>
              <w:top w:val="nil"/>
            </w:tcBorders>
            <w:shd w:val="clear" w:color="auto" w:fill="FFFFFF" w:themeFill="background1"/>
            <w:noWrap/>
            <w:hideMark/>
          </w:tcPr>
          <w:p w14:paraId="72A5D47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2,2</w:t>
            </w:r>
          </w:p>
        </w:tc>
        <w:tc>
          <w:tcPr>
            <w:tcW w:w="376" w:type="pct"/>
            <w:tcBorders>
              <w:top w:val="nil"/>
            </w:tcBorders>
            <w:shd w:val="clear" w:color="auto" w:fill="FFFFFF" w:themeFill="background1"/>
            <w:noWrap/>
            <w:hideMark/>
          </w:tcPr>
          <w:p w14:paraId="5ED3CB9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7E373AD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7D9777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0,0</w:t>
            </w:r>
          </w:p>
        </w:tc>
        <w:tc>
          <w:tcPr>
            <w:tcW w:w="376" w:type="pct"/>
            <w:tcBorders>
              <w:top w:val="nil"/>
            </w:tcBorders>
            <w:shd w:val="clear" w:color="auto" w:fill="FFFFFF" w:themeFill="background1"/>
            <w:noWrap/>
            <w:hideMark/>
          </w:tcPr>
          <w:p w14:paraId="5CC9DC8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71E63B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3E4253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1273AE1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6356C54B"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6239CEA"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 xml:space="preserve">    Активиране гаранције</w:t>
            </w:r>
          </w:p>
        </w:tc>
        <w:tc>
          <w:tcPr>
            <w:tcW w:w="360" w:type="pct"/>
            <w:tcBorders>
              <w:top w:val="nil"/>
            </w:tcBorders>
            <w:shd w:val="clear" w:color="auto" w:fill="FFFFFF" w:themeFill="background1"/>
            <w:noWrap/>
            <w:hideMark/>
          </w:tcPr>
          <w:p w14:paraId="3F4777F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28,9</w:t>
            </w:r>
          </w:p>
        </w:tc>
        <w:tc>
          <w:tcPr>
            <w:tcW w:w="360" w:type="pct"/>
            <w:tcBorders>
              <w:top w:val="nil"/>
            </w:tcBorders>
            <w:shd w:val="clear" w:color="auto" w:fill="FFFFFF" w:themeFill="background1"/>
            <w:noWrap/>
            <w:hideMark/>
          </w:tcPr>
          <w:p w14:paraId="33D289C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28,9</w:t>
            </w:r>
          </w:p>
        </w:tc>
        <w:tc>
          <w:tcPr>
            <w:tcW w:w="364" w:type="pct"/>
            <w:tcBorders>
              <w:top w:val="nil"/>
            </w:tcBorders>
            <w:shd w:val="clear" w:color="auto" w:fill="FFFFFF" w:themeFill="background1"/>
            <w:noWrap/>
          </w:tcPr>
          <w:p w14:paraId="2EFCC74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3276A24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0C3D28D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21544A7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9B8D3C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02A237E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446E63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EF9C0C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5E64FD5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683CCC44"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BFBFBF" w:themeFill="background1" w:themeFillShade="BF"/>
            <w:noWrap/>
            <w:vAlign w:val="bottom"/>
            <w:hideMark/>
          </w:tcPr>
          <w:p w14:paraId="12DBC948" w14:textId="77777777" w:rsidR="00281F47" w:rsidRPr="0062711C" w:rsidRDefault="00281F47" w:rsidP="007F06ED">
            <w:pPr>
              <w:tabs>
                <w:tab w:val="center" w:pos="4680"/>
                <w:tab w:val="right" w:pos="9360"/>
              </w:tabs>
              <w:rPr>
                <w:rFonts w:cstheme="minorHAnsi"/>
                <w:color w:val="002060"/>
                <w:sz w:val="14"/>
                <w:szCs w:val="14"/>
                <w:lang w:val="sr-Cyrl-RS"/>
              </w:rPr>
            </w:pPr>
            <w:r w:rsidRPr="0062711C">
              <w:rPr>
                <w:rFonts w:cstheme="minorHAnsi"/>
                <w:color w:val="002060"/>
                <w:sz w:val="14"/>
                <w:szCs w:val="14"/>
                <w:lang w:val="sr-Cyrl-RS"/>
              </w:rPr>
              <w:t>Фискални резултат искљ. трансфере</w:t>
            </w:r>
          </w:p>
        </w:tc>
        <w:tc>
          <w:tcPr>
            <w:tcW w:w="360" w:type="pct"/>
            <w:tcBorders>
              <w:top w:val="nil"/>
            </w:tcBorders>
            <w:shd w:val="clear" w:color="auto" w:fill="BFBFBF" w:themeFill="background1" w:themeFillShade="BF"/>
            <w:noWrap/>
            <w:hideMark/>
          </w:tcPr>
          <w:p w14:paraId="14C58C6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-240,0</w:t>
            </w:r>
          </w:p>
        </w:tc>
        <w:tc>
          <w:tcPr>
            <w:tcW w:w="360" w:type="pct"/>
            <w:tcBorders>
              <w:top w:val="nil"/>
            </w:tcBorders>
            <w:shd w:val="clear" w:color="auto" w:fill="BFBFBF" w:themeFill="background1" w:themeFillShade="BF"/>
            <w:noWrap/>
            <w:hideMark/>
          </w:tcPr>
          <w:p w14:paraId="79A701B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224,5</w:t>
            </w:r>
          </w:p>
        </w:tc>
        <w:tc>
          <w:tcPr>
            <w:tcW w:w="364" w:type="pct"/>
            <w:tcBorders>
              <w:top w:val="nil"/>
            </w:tcBorders>
            <w:shd w:val="clear" w:color="auto" w:fill="BFBFBF" w:themeFill="background1" w:themeFillShade="BF"/>
            <w:noWrap/>
            <w:hideMark/>
          </w:tcPr>
          <w:p w14:paraId="16F97DD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-89,8</w:t>
            </w:r>
          </w:p>
        </w:tc>
        <w:tc>
          <w:tcPr>
            <w:tcW w:w="352" w:type="pct"/>
            <w:tcBorders>
              <w:top w:val="nil"/>
            </w:tcBorders>
            <w:shd w:val="clear" w:color="auto" w:fill="BFBFBF" w:themeFill="background1" w:themeFillShade="BF"/>
            <w:noWrap/>
            <w:hideMark/>
          </w:tcPr>
          <w:p w14:paraId="7C5E133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-61,9</w:t>
            </w:r>
          </w:p>
        </w:tc>
        <w:tc>
          <w:tcPr>
            <w:tcW w:w="376" w:type="pct"/>
            <w:tcBorders>
              <w:top w:val="nil"/>
            </w:tcBorders>
            <w:shd w:val="clear" w:color="auto" w:fill="BFBFBF" w:themeFill="background1" w:themeFillShade="BF"/>
            <w:noWrap/>
            <w:hideMark/>
          </w:tcPr>
          <w:p w14:paraId="401360C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-27,9</w:t>
            </w:r>
          </w:p>
        </w:tc>
        <w:tc>
          <w:tcPr>
            <w:tcW w:w="357" w:type="pct"/>
            <w:tcBorders>
              <w:top w:val="nil"/>
            </w:tcBorders>
            <w:shd w:val="clear" w:color="auto" w:fill="BFBFBF" w:themeFill="background1" w:themeFillShade="BF"/>
            <w:noWrap/>
            <w:hideMark/>
          </w:tcPr>
          <w:p w14:paraId="427540D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-40,3</w:t>
            </w:r>
          </w:p>
        </w:tc>
        <w:tc>
          <w:tcPr>
            <w:tcW w:w="376" w:type="pct"/>
            <w:tcBorders>
              <w:top w:val="nil"/>
            </w:tcBorders>
            <w:shd w:val="clear" w:color="auto" w:fill="BFBFBF" w:themeFill="background1" w:themeFillShade="BF"/>
            <w:noWrap/>
            <w:hideMark/>
          </w:tcPr>
          <w:p w14:paraId="27460E1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-334,6</w:t>
            </w:r>
          </w:p>
        </w:tc>
        <w:tc>
          <w:tcPr>
            <w:tcW w:w="376" w:type="pct"/>
            <w:tcBorders>
              <w:top w:val="nil"/>
            </w:tcBorders>
            <w:shd w:val="clear" w:color="auto" w:fill="BFBFBF" w:themeFill="background1" w:themeFillShade="BF"/>
            <w:noWrap/>
            <w:hideMark/>
          </w:tcPr>
          <w:p w14:paraId="45975DD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-171,0</w:t>
            </w:r>
          </w:p>
        </w:tc>
        <w:tc>
          <w:tcPr>
            <w:tcW w:w="376" w:type="pct"/>
            <w:tcBorders>
              <w:top w:val="nil"/>
            </w:tcBorders>
            <w:shd w:val="clear" w:color="auto" w:fill="BFBFBF" w:themeFill="background1" w:themeFillShade="BF"/>
            <w:noWrap/>
            <w:hideMark/>
          </w:tcPr>
          <w:p w14:paraId="5AF8315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-162,3</w:t>
            </w:r>
          </w:p>
        </w:tc>
        <w:tc>
          <w:tcPr>
            <w:tcW w:w="376" w:type="pct"/>
            <w:tcBorders>
              <w:top w:val="nil"/>
            </w:tcBorders>
            <w:shd w:val="clear" w:color="auto" w:fill="BFBFBF" w:themeFill="background1" w:themeFillShade="BF"/>
            <w:noWrap/>
            <w:hideMark/>
          </w:tcPr>
          <w:p w14:paraId="7E89927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3,3</w:t>
            </w:r>
          </w:p>
        </w:tc>
        <w:tc>
          <w:tcPr>
            <w:tcW w:w="314" w:type="pct"/>
            <w:tcBorders>
              <w:top w:val="nil"/>
            </w:tcBorders>
            <w:shd w:val="clear" w:color="auto" w:fill="BFBFBF" w:themeFill="background1" w:themeFillShade="BF"/>
            <w:noWrap/>
            <w:hideMark/>
          </w:tcPr>
          <w:p w14:paraId="7EC50AD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-4,5</w:t>
            </w:r>
          </w:p>
        </w:tc>
      </w:tr>
      <w:tr w:rsidR="001F1B9F" w:rsidRPr="0062711C" w14:paraId="05F567A1"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7F752C88"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Трансфери од других нивоа власти</w:t>
            </w:r>
          </w:p>
        </w:tc>
        <w:tc>
          <w:tcPr>
            <w:tcW w:w="360" w:type="pct"/>
            <w:tcBorders>
              <w:top w:val="nil"/>
            </w:tcBorders>
            <w:shd w:val="clear" w:color="auto" w:fill="FFFFFF" w:themeFill="background1"/>
            <w:noWrap/>
            <w:hideMark/>
          </w:tcPr>
          <w:p w14:paraId="4D3A69D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633,5</w:t>
            </w:r>
          </w:p>
        </w:tc>
        <w:tc>
          <w:tcPr>
            <w:tcW w:w="360" w:type="pct"/>
            <w:tcBorders>
              <w:top w:val="nil"/>
            </w:tcBorders>
            <w:shd w:val="clear" w:color="auto" w:fill="FFFFFF" w:themeFill="background1"/>
            <w:noWrap/>
            <w:hideMark/>
          </w:tcPr>
          <w:p w14:paraId="54FA866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16,2</w:t>
            </w:r>
          </w:p>
        </w:tc>
        <w:tc>
          <w:tcPr>
            <w:tcW w:w="364" w:type="pct"/>
            <w:tcBorders>
              <w:top w:val="nil"/>
            </w:tcBorders>
            <w:shd w:val="clear" w:color="auto" w:fill="FFFFFF" w:themeFill="background1"/>
            <w:noWrap/>
            <w:hideMark/>
          </w:tcPr>
          <w:p w14:paraId="2A03644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123,2</w:t>
            </w:r>
          </w:p>
        </w:tc>
        <w:tc>
          <w:tcPr>
            <w:tcW w:w="352" w:type="pct"/>
            <w:tcBorders>
              <w:top w:val="nil"/>
            </w:tcBorders>
            <w:shd w:val="clear" w:color="auto" w:fill="FFFFFF" w:themeFill="background1"/>
            <w:noWrap/>
            <w:hideMark/>
          </w:tcPr>
          <w:p w14:paraId="5F2AD47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81,4</w:t>
            </w:r>
          </w:p>
        </w:tc>
        <w:tc>
          <w:tcPr>
            <w:tcW w:w="376" w:type="pct"/>
            <w:tcBorders>
              <w:top w:val="nil"/>
            </w:tcBorders>
            <w:shd w:val="clear" w:color="auto" w:fill="FFFFFF" w:themeFill="background1"/>
            <w:noWrap/>
            <w:hideMark/>
          </w:tcPr>
          <w:p w14:paraId="0926409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41,8</w:t>
            </w:r>
          </w:p>
        </w:tc>
        <w:tc>
          <w:tcPr>
            <w:tcW w:w="357" w:type="pct"/>
            <w:tcBorders>
              <w:top w:val="nil"/>
            </w:tcBorders>
            <w:shd w:val="clear" w:color="auto" w:fill="FFFFFF" w:themeFill="background1"/>
            <w:noWrap/>
            <w:hideMark/>
          </w:tcPr>
          <w:p w14:paraId="1B8976E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40,3</w:t>
            </w:r>
          </w:p>
        </w:tc>
        <w:tc>
          <w:tcPr>
            <w:tcW w:w="376" w:type="pct"/>
            <w:tcBorders>
              <w:top w:val="nil"/>
            </w:tcBorders>
            <w:shd w:val="clear" w:color="auto" w:fill="FFFFFF" w:themeFill="background1"/>
            <w:noWrap/>
            <w:hideMark/>
          </w:tcPr>
          <w:p w14:paraId="03A3CB7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453,9</w:t>
            </w:r>
          </w:p>
        </w:tc>
        <w:tc>
          <w:tcPr>
            <w:tcW w:w="376" w:type="pct"/>
            <w:tcBorders>
              <w:top w:val="nil"/>
            </w:tcBorders>
            <w:shd w:val="clear" w:color="auto" w:fill="FFFFFF" w:themeFill="background1"/>
            <w:noWrap/>
            <w:hideMark/>
          </w:tcPr>
          <w:p w14:paraId="3DC199F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278,0</w:t>
            </w:r>
          </w:p>
        </w:tc>
        <w:tc>
          <w:tcPr>
            <w:tcW w:w="376" w:type="pct"/>
            <w:tcBorders>
              <w:top w:val="nil"/>
            </w:tcBorders>
            <w:shd w:val="clear" w:color="auto" w:fill="FFFFFF" w:themeFill="background1"/>
            <w:noWrap/>
            <w:hideMark/>
          </w:tcPr>
          <w:p w14:paraId="473CEE6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168,8</w:t>
            </w:r>
          </w:p>
        </w:tc>
        <w:tc>
          <w:tcPr>
            <w:tcW w:w="376" w:type="pct"/>
            <w:tcBorders>
              <w:top w:val="nil"/>
            </w:tcBorders>
            <w:shd w:val="clear" w:color="auto" w:fill="FFFFFF" w:themeFill="background1"/>
            <w:noWrap/>
            <w:hideMark/>
          </w:tcPr>
          <w:p w14:paraId="0793A6F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w:t>
            </w:r>
          </w:p>
        </w:tc>
        <w:tc>
          <w:tcPr>
            <w:tcW w:w="314" w:type="pct"/>
            <w:tcBorders>
              <w:top w:val="nil"/>
            </w:tcBorders>
            <w:shd w:val="clear" w:color="auto" w:fill="FFFFFF" w:themeFill="background1"/>
            <w:noWrap/>
            <w:hideMark/>
          </w:tcPr>
          <w:p w14:paraId="467808C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4,5</w:t>
            </w:r>
          </w:p>
        </w:tc>
      </w:tr>
      <w:tr w:rsidR="001F1B9F" w:rsidRPr="0062711C" w14:paraId="5C179C58"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2953AD8"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Буџет Републике</w:t>
            </w:r>
          </w:p>
        </w:tc>
        <w:tc>
          <w:tcPr>
            <w:tcW w:w="360" w:type="pct"/>
            <w:tcBorders>
              <w:top w:val="nil"/>
            </w:tcBorders>
            <w:shd w:val="clear" w:color="auto" w:fill="FFFFFF" w:themeFill="background1"/>
            <w:noWrap/>
            <w:hideMark/>
          </w:tcPr>
          <w:p w14:paraId="21FF428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480,7</w:t>
            </w:r>
          </w:p>
        </w:tc>
        <w:tc>
          <w:tcPr>
            <w:tcW w:w="360" w:type="pct"/>
            <w:tcBorders>
              <w:top w:val="nil"/>
            </w:tcBorders>
            <w:shd w:val="clear" w:color="auto" w:fill="FFFFFF" w:themeFill="background1"/>
            <w:noWrap/>
            <w:hideMark/>
          </w:tcPr>
          <w:p w14:paraId="58A797D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3078334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114,8</w:t>
            </w:r>
          </w:p>
        </w:tc>
        <w:tc>
          <w:tcPr>
            <w:tcW w:w="352" w:type="pct"/>
            <w:tcBorders>
              <w:top w:val="nil"/>
            </w:tcBorders>
            <w:shd w:val="clear" w:color="auto" w:fill="FFFFFF" w:themeFill="background1"/>
            <w:noWrap/>
            <w:hideMark/>
          </w:tcPr>
          <w:p w14:paraId="0E53D20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73,0</w:t>
            </w:r>
          </w:p>
        </w:tc>
        <w:tc>
          <w:tcPr>
            <w:tcW w:w="376" w:type="pct"/>
            <w:tcBorders>
              <w:top w:val="nil"/>
            </w:tcBorders>
            <w:shd w:val="clear" w:color="auto" w:fill="FFFFFF" w:themeFill="background1"/>
            <w:noWrap/>
            <w:hideMark/>
          </w:tcPr>
          <w:p w14:paraId="40AE43D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41,8</w:t>
            </w:r>
          </w:p>
        </w:tc>
        <w:tc>
          <w:tcPr>
            <w:tcW w:w="357" w:type="pct"/>
            <w:tcBorders>
              <w:top w:val="nil"/>
            </w:tcBorders>
            <w:shd w:val="clear" w:color="auto" w:fill="FFFFFF" w:themeFill="background1"/>
            <w:noWrap/>
            <w:hideMark/>
          </w:tcPr>
          <w:p w14:paraId="786C95D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40,3</w:t>
            </w:r>
          </w:p>
        </w:tc>
        <w:tc>
          <w:tcPr>
            <w:tcW w:w="376" w:type="pct"/>
            <w:tcBorders>
              <w:top w:val="nil"/>
            </w:tcBorders>
            <w:shd w:val="clear" w:color="auto" w:fill="FFFFFF" w:themeFill="background1"/>
            <w:noWrap/>
            <w:hideMark/>
          </w:tcPr>
          <w:p w14:paraId="78BE69E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325,7</w:t>
            </w:r>
          </w:p>
        </w:tc>
        <w:tc>
          <w:tcPr>
            <w:tcW w:w="376" w:type="pct"/>
            <w:tcBorders>
              <w:top w:val="nil"/>
            </w:tcBorders>
            <w:shd w:val="clear" w:color="auto" w:fill="FFFFFF" w:themeFill="background1"/>
            <w:noWrap/>
            <w:hideMark/>
          </w:tcPr>
          <w:p w14:paraId="3BF166F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267,3</w:t>
            </w:r>
          </w:p>
        </w:tc>
        <w:tc>
          <w:tcPr>
            <w:tcW w:w="376" w:type="pct"/>
            <w:tcBorders>
              <w:top w:val="nil"/>
            </w:tcBorders>
            <w:shd w:val="clear" w:color="auto" w:fill="FFFFFF" w:themeFill="background1"/>
            <w:noWrap/>
            <w:hideMark/>
          </w:tcPr>
          <w:p w14:paraId="3707AD1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55,3</w:t>
            </w:r>
          </w:p>
        </w:tc>
        <w:tc>
          <w:tcPr>
            <w:tcW w:w="376" w:type="pct"/>
            <w:tcBorders>
              <w:top w:val="nil"/>
            </w:tcBorders>
            <w:shd w:val="clear" w:color="auto" w:fill="FFFFFF" w:themeFill="background1"/>
            <w:noWrap/>
            <w:hideMark/>
          </w:tcPr>
          <w:p w14:paraId="3C87BD9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w:t>
            </w:r>
          </w:p>
        </w:tc>
        <w:tc>
          <w:tcPr>
            <w:tcW w:w="314" w:type="pct"/>
            <w:tcBorders>
              <w:top w:val="nil"/>
            </w:tcBorders>
            <w:shd w:val="clear" w:color="auto" w:fill="FFFFFF" w:themeFill="background1"/>
            <w:noWrap/>
            <w:hideMark/>
          </w:tcPr>
          <w:p w14:paraId="3E8053B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0,4</w:t>
            </w:r>
          </w:p>
        </w:tc>
      </w:tr>
      <w:tr w:rsidR="001F1B9F" w:rsidRPr="0062711C" w14:paraId="344DCFE9"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10D5BD27"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Градови и општине</w:t>
            </w:r>
          </w:p>
        </w:tc>
        <w:tc>
          <w:tcPr>
            <w:tcW w:w="360" w:type="pct"/>
            <w:tcBorders>
              <w:top w:val="nil"/>
            </w:tcBorders>
            <w:shd w:val="clear" w:color="auto" w:fill="FFFFFF" w:themeFill="background1"/>
            <w:noWrap/>
          </w:tcPr>
          <w:p w14:paraId="72C64B3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19,6</w:t>
            </w:r>
          </w:p>
        </w:tc>
        <w:tc>
          <w:tcPr>
            <w:tcW w:w="360" w:type="pct"/>
            <w:tcBorders>
              <w:top w:val="nil"/>
            </w:tcBorders>
            <w:shd w:val="clear" w:color="auto" w:fill="FFFFFF" w:themeFill="background1"/>
            <w:noWrap/>
            <w:hideMark/>
          </w:tcPr>
          <w:p w14:paraId="3C3FA8B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16,2</w:t>
            </w:r>
          </w:p>
        </w:tc>
        <w:tc>
          <w:tcPr>
            <w:tcW w:w="364" w:type="pct"/>
            <w:tcBorders>
              <w:top w:val="nil"/>
            </w:tcBorders>
            <w:shd w:val="clear" w:color="auto" w:fill="FFFFFF" w:themeFill="background1"/>
            <w:noWrap/>
            <w:hideMark/>
          </w:tcPr>
          <w:p w14:paraId="7137349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6DE957B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BD7508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7E38989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C43B5D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3,4</w:t>
            </w:r>
          </w:p>
        </w:tc>
        <w:tc>
          <w:tcPr>
            <w:tcW w:w="376" w:type="pct"/>
            <w:tcBorders>
              <w:top w:val="nil"/>
            </w:tcBorders>
            <w:shd w:val="clear" w:color="auto" w:fill="FFFFFF" w:themeFill="background1"/>
            <w:noWrap/>
            <w:hideMark/>
          </w:tcPr>
          <w:p w14:paraId="2CA5092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25CC82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3,4</w:t>
            </w:r>
          </w:p>
        </w:tc>
        <w:tc>
          <w:tcPr>
            <w:tcW w:w="376" w:type="pct"/>
            <w:tcBorders>
              <w:top w:val="nil"/>
            </w:tcBorders>
            <w:shd w:val="clear" w:color="auto" w:fill="FFFFFF" w:themeFill="background1"/>
            <w:noWrap/>
            <w:hideMark/>
          </w:tcPr>
          <w:p w14:paraId="4C784A3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3DC471C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4B993541"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82DF7B6"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AП Војводина</w:t>
            </w:r>
          </w:p>
        </w:tc>
        <w:tc>
          <w:tcPr>
            <w:tcW w:w="360" w:type="pct"/>
            <w:tcBorders>
              <w:top w:val="nil"/>
            </w:tcBorders>
            <w:shd w:val="clear" w:color="auto" w:fill="FFFFFF" w:themeFill="background1"/>
            <w:noWrap/>
          </w:tcPr>
          <w:p w14:paraId="0684C15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13,9</w:t>
            </w:r>
          </w:p>
        </w:tc>
        <w:tc>
          <w:tcPr>
            <w:tcW w:w="360" w:type="pct"/>
            <w:tcBorders>
              <w:top w:val="nil"/>
            </w:tcBorders>
            <w:shd w:val="clear" w:color="auto" w:fill="FFFFFF" w:themeFill="background1"/>
            <w:noWrap/>
            <w:hideMark/>
          </w:tcPr>
          <w:p w14:paraId="2DF9A6E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5D84E1A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8,4</w:t>
            </w:r>
          </w:p>
        </w:tc>
        <w:tc>
          <w:tcPr>
            <w:tcW w:w="352" w:type="pct"/>
            <w:tcBorders>
              <w:top w:val="nil"/>
            </w:tcBorders>
            <w:shd w:val="clear" w:color="auto" w:fill="FFFFFF" w:themeFill="background1"/>
            <w:noWrap/>
            <w:hideMark/>
          </w:tcPr>
          <w:p w14:paraId="4DD0C50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8,4</w:t>
            </w:r>
          </w:p>
        </w:tc>
        <w:tc>
          <w:tcPr>
            <w:tcW w:w="376" w:type="pct"/>
            <w:tcBorders>
              <w:top w:val="nil"/>
            </w:tcBorders>
            <w:shd w:val="clear" w:color="auto" w:fill="FFFFFF" w:themeFill="background1"/>
            <w:noWrap/>
            <w:hideMark/>
          </w:tcPr>
          <w:p w14:paraId="5D23EB8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460F33D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043C55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5,5</w:t>
            </w:r>
          </w:p>
        </w:tc>
        <w:tc>
          <w:tcPr>
            <w:tcW w:w="376" w:type="pct"/>
            <w:tcBorders>
              <w:top w:val="nil"/>
            </w:tcBorders>
            <w:shd w:val="clear" w:color="auto" w:fill="FFFFFF" w:themeFill="background1"/>
            <w:noWrap/>
            <w:hideMark/>
          </w:tcPr>
          <w:p w14:paraId="52F6BAC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E6931A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5,5</w:t>
            </w:r>
          </w:p>
        </w:tc>
        <w:tc>
          <w:tcPr>
            <w:tcW w:w="376" w:type="pct"/>
            <w:tcBorders>
              <w:top w:val="nil"/>
            </w:tcBorders>
            <w:shd w:val="clear" w:color="auto" w:fill="FFFFFF" w:themeFill="background1"/>
            <w:noWrap/>
            <w:hideMark/>
          </w:tcPr>
          <w:p w14:paraId="04A28BB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6AD6C03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10138F9B"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F9CE3D7"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Фонд ПИО</w:t>
            </w:r>
          </w:p>
        </w:tc>
        <w:tc>
          <w:tcPr>
            <w:tcW w:w="360" w:type="pct"/>
            <w:tcBorders>
              <w:top w:val="nil"/>
            </w:tcBorders>
            <w:shd w:val="clear" w:color="auto" w:fill="FFFFFF" w:themeFill="background1"/>
            <w:noWrap/>
            <w:hideMark/>
          </w:tcPr>
          <w:p w14:paraId="50DD982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107,0</w:t>
            </w:r>
          </w:p>
        </w:tc>
        <w:tc>
          <w:tcPr>
            <w:tcW w:w="360" w:type="pct"/>
            <w:tcBorders>
              <w:top w:val="nil"/>
            </w:tcBorders>
            <w:shd w:val="clear" w:color="auto" w:fill="FFFFFF" w:themeFill="background1"/>
            <w:noWrap/>
            <w:hideMark/>
          </w:tcPr>
          <w:p w14:paraId="6023035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3A43B4B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5277917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015422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5A98830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7E8673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107,0</w:t>
            </w:r>
          </w:p>
        </w:tc>
        <w:tc>
          <w:tcPr>
            <w:tcW w:w="376" w:type="pct"/>
            <w:tcBorders>
              <w:top w:val="nil"/>
            </w:tcBorders>
            <w:shd w:val="clear" w:color="auto" w:fill="FFFFFF" w:themeFill="background1"/>
            <w:noWrap/>
          </w:tcPr>
          <w:p w14:paraId="19CD36A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0B64D9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102,9</w:t>
            </w:r>
          </w:p>
        </w:tc>
        <w:tc>
          <w:tcPr>
            <w:tcW w:w="376" w:type="pct"/>
            <w:tcBorders>
              <w:top w:val="nil"/>
            </w:tcBorders>
            <w:shd w:val="clear" w:color="auto" w:fill="FFFFFF" w:themeFill="background1"/>
            <w:noWrap/>
          </w:tcPr>
          <w:p w14:paraId="1CCB075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33E5C06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w:t>
            </w:r>
          </w:p>
        </w:tc>
      </w:tr>
      <w:tr w:rsidR="001F1B9F" w:rsidRPr="0062711C" w14:paraId="627F0602"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978F2C4"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РФЗО</w:t>
            </w:r>
          </w:p>
        </w:tc>
        <w:tc>
          <w:tcPr>
            <w:tcW w:w="360" w:type="pct"/>
            <w:tcBorders>
              <w:top w:val="nil"/>
            </w:tcBorders>
            <w:shd w:val="clear" w:color="auto" w:fill="FFFFFF" w:themeFill="background1"/>
            <w:noWrap/>
            <w:hideMark/>
          </w:tcPr>
          <w:p w14:paraId="100631A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6,5</w:t>
            </w:r>
          </w:p>
        </w:tc>
        <w:tc>
          <w:tcPr>
            <w:tcW w:w="360" w:type="pct"/>
            <w:tcBorders>
              <w:top w:val="nil"/>
            </w:tcBorders>
            <w:shd w:val="clear" w:color="auto" w:fill="FFFFFF" w:themeFill="background1"/>
            <w:noWrap/>
            <w:hideMark/>
          </w:tcPr>
          <w:p w14:paraId="58ABB573"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4E5CD83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5ADE9A5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8D464A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772570F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26AC27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6,5</w:t>
            </w:r>
          </w:p>
        </w:tc>
        <w:tc>
          <w:tcPr>
            <w:tcW w:w="376" w:type="pct"/>
            <w:tcBorders>
              <w:top w:val="nil"/>
            </w:tcBorders>
            <w:shd w:val="clear" w:color="auto" w:fill="FFFFFF" w:themeFill="background1"/>
            <w:noWrap/>
            <w:hideMark/>
          </w:tcPr>
          <w:p w14:paraId="04B22A5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6,5</w:t>
            </w:r>
          </w:p>
        </w:tc>
        <w:tc>
          <w:tcPr>
            <w:tcW w:w="376" w:type="pct"/>
            <w:tcBorders>
              <w:top w:val="nil"/>
            </w:tcBorders>
            <w:shd w:val="clear" w:color="auto" w:fill="FFFFFF" w:themeFill="background1"/>
            <w:noWrap/>
          </w:tcPr>
          <w:p w14:paraId="420E20F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31499A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3856517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104F9FD5"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E167024"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НСЗ</w:t>
            </w:r>
          </w:p>
        </w:tc>
        <w:tc>
          <w:tcPr>
            <w:tcW w:w="360" w:type="pct"/>
            <w:tcBorders>
              <w:top w:val="nil"/>
            </w:tcBorders>
            <w:shd w:val="clear" w:color="auto" w:fill="FFFFFF" w:themeFill="background1"/>
            <w:noWrap/>
            <w:hideMark/>
          </w:tcPr>
          <w:p w14:paraId="7DD8E0C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5,9</w:t>
            </w:r>
          </w:p>
        </w:tc>
        <w:tc>
          <w:tcPr>
            <w:tcW w:w="360" w:type="pct"/>
            <w:tcBorders>
              <w:top w:val="nil"/>
            </w:tcBorders>
            <w:shd w:val="clear" w:color="auto" w:fill="FFFFFF" w:themeFill="background1"/>
            <w:noWrap/>
            <w:hideMark/>
          </w:tcPr>
          <w:p w14:paraId="0433377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3BE4752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466E27B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0AF752B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4D2CA37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487475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5,9</w:t>
            </w:r>
          </w:p>
        </w:tc>
        <w:tc>
          <w:tcPr>
            <w:tcW w:w="376" w:type="pct"/>
            <w:tcBorders>
              <w:top w:val="nil"/>
            </w:tcBorders>
            <w:shd w:val="clear" w:color="auto" w:fill="FFFFFF" w:themeFill="background1"/>
            <w:noWrap/>
            <w:hideMark/>
          </w:tcPr>
          <w:p w14:paraId="14C9E42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4,2</w:t>
            </w:r>
          </w:p>
        </w:tc>
        <w:tc>
          <w:tcPr>
            <w:tcW w:w="376" w:type="pct"/>
            <w:tcBorders>
              <w:top w:val="nil"/>
            </w:tcBorders>
            <w:shd w:val="clear" w:color="auto" w:fill="FFFFFF" w:themeFill="background1"/>
            <w:noWrap/>
            <w:hideMark/>
          </w:tcPr>
          <w:p w14:paraId="2041669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w:t>
            </w:r>
          </w:p>
        </w:tc>
        <w:tc>
          <w:tcPr>
            <w:tcW w:w="376" w:type="pct"/>
            <w:tcBorders>
              <w:top w:val="nil"/>
            </w:tcBorders>
            <w:shd w:val="clear" w:color="auto" w:fill="FFFFFF" w:themeFill="background1"/>
            <w:noWrap/>
          </w:tcPr>
          <w:p w14:paraId="08093C7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656289D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32CE1164"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9B358DD"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Фонд СОВО</w:t>
            </w:r>
          </w:p>
        </w:tc>
        <w:tc>
          <w:tcPr>
            <w:tcW w:w="360" w:type="pct"/>
            <w:tcBorders>
              <w:top w:val="nil"/>
            </w:tcBorders>
            <w:shd w:val="clear" w:color="auto" w:fill="FFFFFF" w:themeFill="background1"/>
            <w:noWrap/>
          </w:tcPr>
          <w:p w14:paraId="5064EFC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60" w:type="pct"/>
            <w:tcBorders>
              <w:top w:val="nil"/>
            </w:tcBorders>
            <w:shd w:val="clear" w:color="auto" w:fill="FFFFFF" w:themeFill="background1"/>
            <w:noWrap/>
            <w:hideMark/>
          </w:tcPr>
          <w:p w14:paraId="4B4E6DF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1ADCA48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1DA15B3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23503F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56E6741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200BA9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1035F6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9704B9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40F95E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54F76AE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6F57F4AE"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67DF682"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Остали нивои</w:t>
            </w:r>
          </w:p>
        </w:tc>
        <w:tc>
          <w:tcPr>
            <w:tcW w:w="360" w:type="pct"/>
            <w:tcBorders>
              <w:top w:val="nil"/>
            </w:tcBorders>
            <w:shd w:val="clear" w:color="auto" w:fill="FFFFFF" w:themeFill="background1"/>
            <w:noWrap/>
          </w:tcPr>
          <w:p w14:paraId="4966902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0" w:type="pct"/>
            <w:tcBorders>
              <w:top w:val="nil"/>
            </w:tcBorders>
            <w:shd w:val="clear" w:color="auto" w:fill="FFFFFF" w:themeFill="background1"/>
            <w:noWrap/>
            <w:hideMark/>
          </w:tcPr>
          <w:p w14:paraId="7EB4E11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7C2CF12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632D048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1132C9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67A1B71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41FA470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9837E3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48D869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4471A97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5780480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1538E449"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1C52A3A2"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Трансфери другим нивоима власти</w:t>
            </w:r>
          </w:p>
        </w:tc>
        <w:tc>
          <w:tcPr>
            <w:tcW w:w="360" w:type="pct"/>
            <w:tcBorders>
              <w:top w:val="nil"/>
            </w:tcBorders>
            <w:shd w:val="clear" w:color="auto" w:fill="FFFFFF" w:themeFill="background1"/>
            <w:noWrap/>
            <w:hideMark/>
          </w:tcPr>
          <w:p w14:paraId="295C516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633,5</w:t>
            </w:r>
          </w:p>
        </w:tc>
        <w:tc>
          <w:tcPr>
            <w:tcW w:w="360" w:type="pct"/>
            <w:tcBorders>
              <w:top w:val="nil"/>
            </w:tcBorders>
            <w:shd w:val="clear" w:color="auto" w:fill="FFFFFF" w:themeFill="background1"/>
            <w:noWrap/>
            <w:hideMark/>
          </w:tcPr>
          <w:p w14:paraId="55AB7DD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480,7</w:t>
            </w:r>
          </w:p>
        </w:tc>
        <w:tc>
          <w:tcPr>
            <w:tcW w:w="364" w:type="pct"/>
            <w:tcBorders>
              <w:top w:val="nil"/>
            </w:tcBorders>
            <w:shd w:val="clear" w:color="auto" w:fill="FFFFFF" w:themeFill="background1"/>
            <w:noWrap/>
            <w:hideMark/>
          </w:tcPr>
          <w:p w14:paraId="2F07550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33,5</w:t>
            </w:r>
          </w:p>
        </w:tc>
        <w:tc>
          <w:tcPr>
            <w:tcW w:w="352" w:type="pct"/>
            <w:tcBorders>
              <w:top w:val="nil"/>
            </w:tcBorders>
            <w:shd w:val="clear" w:color="auto" w:fill="FFFFFF" w:themeFill="background1"/>
            <w:noWrap/>
            <w:hideMark/>
          </w:tcPr>
          <w:p w14:paraId="4755E90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19,6</w:t>
            </w:r>
          </w:p>
        </w:tc>
        <w:tc>
          <w:tcPr>
            <w:tcW w:w="376" w:type="pct"/>
            <w:tcBorders>
              <w:top w:val="nil"/>
            </w:tcBorders>
            <w:shd w:val="clear" w:color="auto" w:fill="FFFFFF" w:themeFill="background1"/>
            <w:noWrap/>
          </w:tcPr>
          <w:p w14:paraId="45D9723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13,9</w:t>
            </w:r>
          </w:p>
        </w:tc>
        <w:tc>
          <w:tcPr>
            <w:tcW w:w="357" w:type="pct"/>
            <w:tcBorders>
              <w:top w:val="nil"/>
            </w:tcBorders>
            <w:shd w:val="clear" w:color="auto" w:fill="FFFFFF" w:themeFill="background1"/>
            <w:noWrap/>
          </w:tcPr>
          <w:p w14:paraId="41FF2BB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53D5B8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119,3</w:t>
            </w:r>
          </w:p>
        </w:tc>
        <w:tc>
          <w:tcPr>
            <w:tcW w:w="376" w:type="pct"/>
            <w:tcBorders>
              <w:top w:val="nil"/>
            </w:tcBorders>
            <w:shd w:val="clear" w:color="auto" w:fill="FFFFFF" w:themeFill="background1"/>
            <w:noWrap/>
            <w:hideMark/>
          </w:tcPr>
          <w:p w14:paraId="4DEE406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107,0</w:t>
            </w:r>
          </w:p>
        </w:tc>
        <w:tc>
          <w:tcPr>
            <w:tcW w:w="376" w:type="pct"/>
            <w:tcBorders>
              <w:top w:val="nil"/>
            </w:tcBorders>
            <w:shd w:val="clear" w:color="auto" w:fill="FFFFFF" w:themeFill="background1"/>
            <w:noWrap/>
            <w:hideMark/>
          </w:tcPr>
          <w:p w14:paraId="4828DBB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6,5</w:t>
            </w:r>
          </w:p>
        </w:tc>
        <w:tc>
          <w:tcPr>
            <w:tcW w:w="376" w:type="pct"/>
            <w:tcBorders>
              <w:top w:val="nil"/>
            </w:tcBorders>
            <w:shd w:val="clear" w:color="auto" w:fill="FFFFFF" w:themeFill="background1"/>
            <w:noWrap/>
            <w:hideMark/>
          </w:tcPr>
          <w:p w14:paraId="6282262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5,9</w:t>
            </w:r>
          </w:p>
        </w:tc>
        <w:tc>
          <w:tcPr>
            <w:tcW w:w="314" w:type="pct"/>
            <w:tcBorders>
              <w:top w:val="nil"/>
            </w:tcBorders>
            <w:shd w:val="clear" w:color="auto" w:fill="FFFFFF" w:themeFill="background1"/>
            <w:noWrap/>
          </w:tcPr>
          <w:p w14:paraId="35FF10E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27AD73B4"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29A80FD"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Буџет Републике</w:t>
            </w:r>
          </w:p>
        </w:tc>
        <w:tc>
          <w:tcPr>
            <w:tcW w:w="360" w:type="pct"/>
            <w:tcBorders>
              <w:top w:val="nil"/>
            </w:tcBorders>
            <w:shd w:val="clear" w:color="auto" w:fill="FFFFFF" w:themeFill="background1"/>
            <w:noWrap/>
            <w:hideMark/>
          </w:tcPr>
          <w:p w14:paraId="3C5333C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16,2</w:t>
            </w:r>
          </w:p>
        </w:tc>
        <w:tc>
          <w:tcPr>
            <w:tcW w:w="360" w:type="pct"/>
            <w:tcBorders>
              <w:top w:val="nil"/>
            </w:tcBorders>
            <w:shd w:val="clear" w:color="auto" w:fill="FFFFFF" w:themeFill="background1"/>
            <w:noWrap/>
            <w:hideMark/>
          </w:tcPr>
          <w:p w14:paraId="5EF6A9F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64" w:type="pct"/>
            <w:tcBorders>
              <w:top w:val="nil"/>
            </w:tcBorders>
            <w:shd w:val="clear" w:color="auto" w:fill="FFFFFF" w:themeFill="background1"/>
            <w:noWrap/>
            <w:hideMark/>
          </w:tcPr>
          <w:p w14:paraId="37E363E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16,2</w:t>
            </w:r>
          </w:p>
        </w:tc>
        <w:tc>
          <w:tcPr>
            <w:tcW w:w="352" w:type="pct"/>
            <w:tcBorders>
              <w:top w:val="nil"/>
            </w:tcBorders>
            <w:shd w:val="clear" w:color="auto" w:fill="FFFFFF" w:themeFill="background1"/>
            <w:noWrap/>
            <w:hideMark/>
          </w:tcPr>
          <w:p w14:paraId="297CD32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16,2</w:t>
            </w:r>
          </w:p>
        </w:tc>
        <w:tc>
          <w:tcPr>
            <w:tcW w:w="376" w:type="pct"/>
            <w:tcBorders>
              <w:top w:val="nil"/>
            </w:tcBorders>
            <w:shd w:val="clear" w:color="auto" w:fill="FFFFFF" w:themeFill="background1"/>
            <w:noWrap/>
            <w:hideMark/>
          </w:tcPr>
          <w:p w14:paraId="34BDACD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6B9D02A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17CC51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AA21B8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8072D3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65F53AA"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0219826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1CA8A73E"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43C8DA5"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Градови и општине</w:t>
            </w:r>
          </w:p>
        </w:tc>
        <w:tc>
          <w:tcPr>
            <w:tcW w:w="360" w:type="pct"/>
            <w:tcBorders>
              <w:top w:val="nil"/>
            </w:tcBorders>
            <w:shd w:val="clear" w:color="auto" w:fill="FFFFFF" w:themeFill="background1"/>
            <w:noWrap/>
            <w:hideMark/>
          </w:tcPr>
          <w:p w14:paraId="6212C7D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81,4</w:t>
            </w:r>
          </w:p>
        </w:tc>
        <w:tc>
          <w:tcPr>
            <w:tcW w:w="360" w:type="pct"/>
            <w:tcBorders>
              <w:top w:val="nil"/>
            </w:tcBorders>
            <w:shd w:val="clear" w:color="auto" w:fill="FFFFFF" w:themeFill="background1"/>
            <w:noWrap/>
            <w:hideMark/>
          </w:tcPr>
          <w:p w14:paraId="05892ED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73,0</w:t>
            </w:r>
          </w:p>
        </w:tc>
        <w:tc>
          <w:tcPr>
            <w:tcW w:w="364" w:type="pct"/>
            <w:tcBorders>
              <w:top w:val="nil"/>
            </w:tcBorders>
            <w:shd w:val="clear" w:color="auto" w:fill="FFFFFF" w:themeFill="background1"/>
            <w:noWrap/>
            <w:hideMark/>
          </w:tcPr>
          <w:p w14:paraId="7AD7B11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8,4</w:t>
            </w:r>
          </w:p>
        </w:tc>
        <w:tc>
          <w:tcPr>
            <w:tcW w:w="352" w:type="pct"/>
            <w:tcBorders>
              <w:top w:val="nil"/>
            </w:tcBorders>
            <w:shd w:val="clear" w:color="auto" w:fill="FFFFFF" w:themeFill="background1"/>
            <w:noWrap/>
          </w:tcPr>
          <w:p w14:paraId="3FB2CE2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99A6FC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8,4</w:t>
            </w:r>
          </w:p>
        </w:tc>
        <w:tc>
          <w:tcPr>
            <w:tcW w:w="357" w:type="pct"/>
            <w:tcBorders>
              <w:top w:val="nil"/>
            </w:tcBorders>
            <w:shd w:val="clear" w:color="auto" w:fill="FFFFFF" w:themeFill="background1"/>
            <w:noWrap/>
            <w:hideMark/>
          </w:tcPr>
          <w:p w14:paraId="44BEEA1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B26D15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B3ABD4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77CBE4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779CE0C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5867AEC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33CEEE08"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D24A9AD"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AП Војводина</w:t>
            </w:r>
          </w:p>
        </w:tc>
        <w:tc>
          <w:tcPr>
            <w:tcW w:w="360" w:type="pct"/>
            <w:tcBorders>
              <w:top w:val="nil"/>
            </w:tcBorders>
            <w:shd w:val="clear" w:color="auto" w:fill="FFFFFF" w:themeFill="background1"/>
            <w:noWrap/>
            <w:hideMark/>
          </w:tcPr>
          <w:p w14:paraId="528E158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41,8</w:t>
            </w:r>
          </w:p>
        </w:tc>
        <w:tc>
          <w:tcPr>
            <w:tcW w:w="360" w:type="pct"/>
            <w:tcBorders>
              <w:top w:val="nil"/>
            </w:tcBorders>
            <w:shd w:val="clear" w:color="auto" w:fill="FFFFFF" w:themeFill="background1"/>
            <w:noWrap/>
            <w:hideMark/>
          </w:tcPr>
          <w:p w14:paraId="2FDBF6E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41,8</w:t>
            </w:r>
          </w:p>
        </w:tc>
        <w:tc>
          <w:tcPr>
            <w:tcW w:w="364" w:type="pct"/>
            <w:tcBorders>
              <w:top w:val="nil"/>
            </w:tcBorders>
            <w:shd w:val="clear" w:color="auto" w:fill="FFFFFF" w:themeFill="background1"/>
            <w:noWrap/>
            <w:hideMark/>
          </w:tcPr>
          <w:p w14:paraId="249B5A6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tcPr>
          <w:p w14:paraId="76E8DA0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E00C42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5E724AB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61A8FE9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B3B8B7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6635A2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C86944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hideMark/>
          </w:tcPr>
          <w:p w14:paraId="61F29F1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799E9AE6"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248E8239"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Фонд ПИО</w:t>
            </w:r>
          </w:p>
        </w:tc>
        <w:tc>
          <w:tcPr>
            <w:tcW w:w="360" w:type="pct"/>
            <w:tcBorders>
              <w:top w:val="nil"/>
            </w:tcBorders>
            <w:shd w:val="clear" w:color="auto" w:fill="FFFFFF" w:themeFill="background1"/>
            <w:noWrap/>
            <w:hideMark/>
          </w:tcPr>
          <w:p w14:paraId="0A268BF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278,0</w:t>
            </w:r>
          </w:p>
        </w:tc>
        <w:tc>
          <w:tcPr>
            <w:tcW w:w="360" w:type="pct"/>
            <w:tcBorders>
              <w:top w:val="nil"/>
            </w:tcBorders>
            <w:shd w:val="clear" w:color="auto" w:fill="FFFFFF" w:themeFill="background1"/>
            <w:noWrap/>
            <w:hideMark/>
          </w:tcPr>
          <w:p w14:paraId="03D4529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267,3</w:t>
            </w:r>
          </w:p>
        </w:tc>
        <w:tc>
          <w:tcPr>
            <w:tcW w:w="364" w:type="pct"/>
            <w:tcBorders>
              <w:top w:val="nil"/>
            </w:tcBorders>
            <w:shd w:val="clear" w:color="auto" w:fill="FFFFFF" w:themeFill="background1"/>
            <w:noWrap/>
            <w:hideMark/>
          </w:tcPr>
          <w:p w14:paraId="0371CFE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tcPr>
          <w:p w14:paraId="4042020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F556F7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4BA2BBD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3D0C1D9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10,6</w:t>
            </w:r>
          </w:p>
        </w:tc>
        <w:tc>
          <w:tcPr>
            <w:tcW w:w="376" w:type="pct"/>
            <w:tcBorders>
              <w:top w:val="nil"/>
            </w:tcBorders>
            <w:shd w:val="clear" w:color="auto" w:fill="FFFFFF" w:themeFill="background1"/>
            <w:noWrap/>
          </w:tcPr>
          <w:p w14:paraId="14D8DDF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EC7FC9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6,5</w:t>
            </w:r>
          </w:p>
        </w:tc>
        <w:tc>
          <w:tcPr>
            <w:tcW w:w="376" w:type="pct"/>
            <w:tcBorders>
              <w:top w:val="nil"/>
            </w:tcBorders>
            <w:shd w:val="clear" w:color="auto" w:fill="FFFFFF" w:themeFill="background1"/>
            <w:noWrap/>
            <w:hideMark/>
          </w:tcPr>
          <w:p w14:paraId="3932C922"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4,2</w:t>
            </w:r>
          </w:p>
        </w:tc>
        <w:tc>
          <w:tcPr>
            <w:tcW w:w="314" w:type="pct"/>
            <w:tcBorders>
              <w:top w:val="nil"/>
            </w:tcBorders>
            <w:shd w:val="clear" w:color="auto" w:fill="FFFFFF" w:themeFill="background1"/>
            <w:noWrap/>
          </w:tcPr>
          <w:p w14:paraId="6C5AFCB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596BC17C"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54A96B41"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РФЗО</w:t>
            </w:r>
          </w:p>
        </w:tc>
        <w:tc>
          <w:tcPr>
            <w:tcW w:w="360" w:type="pct"/>
            <w:tcBorders>
              <w:top w:val="nil"/>
            </w:tcBorders>
            <w:shd w:val="clear" w:color="auto" w:fill="FFFFFF" w:themeFill="background1"/>
            <w:noWrap/>
            <w:hideMark/>
          </w:tcPr>
          <w:p w14:paraId="028486A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159,9</w:t>
            </w:r>
          </w:p>
        </w:tc>
        <w:tc>
          <w:tcPr>
            <w:tcW w:w="360" w:type="pct"/>
            <w:tcBorders>
              <w:top w:val="nil"/>
            </w:tcBorders>
            <w:shd w:val="clear" w:color="auto" w:fill="FFFFFF" w:themeFill="background1"/>
            <w:noWrap/>
            <w:hideMark/>
          </w:tcPr>
          <w:p w14:paraId="312DF5E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55,3</w:t>
            </w:r>
          </w:p>
        </w:tc>
        <w:tc>
          <w:tcPr>
            <w:tcW w:w="364" w:type="pct"/>
            <w:tcBorders>
              <w:top w:val="nil"/>
            </w:tcBorders>
            <w:shd w:val="clear" w:color="auto" w:fill="FFFFFF" w:themeFill="background1"/>
            <w:noWrap/>
            <w:hideMark/>
          </w:tcPr>
          <w:p w14:paraId="4B3E8A5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hideMark/>
          </w:tcPr>
          <w:p w14:paraId="394DEEA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3,4</w:t>
            </w:r>
          </w:p>
        </w:tc>
        <w:tc>
          <w:tcPr>
            <w:tcW w:w="376" w:type="pct"/>
            <w:tcBorders>
              <w:top w:val="nil"/>
            </w:tcBorders>
            <w:shd w:val="clear" w:color="auto" w:fill="FFFFFF" w:themeFill="background1"/>
            <w:noWrap/>
            <w:hideMark/>
          </w:tcPr>
          <w:p w14:paraId="7DC9DF6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5,5</w:t>
            </w:r>
          </w:p>
        </w:tc>
        <w:tc>
          <w:tcPr>
            <w:tcW w:w="357" w:type="pct"/>
            <w:tcBorders>
              <w:top w:val="nil"/>
            </w:tcBorders>
            <w:shd w:val="clear" w:color="auto" w:fill="FFFFFF" w:themeFill="background1"/>
            <w:noWrap/>
            <w:hideMark/>
          </w:tcPr>
          <w:p w14:paraId="448C3E9F"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534B2943"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104,6</w:t>
            </w:r>
          </w:p>
        </w:tc>
        <w:tc>
          <w:tcPr>
            <w:tcW w:w="376" w:type="pct"/>
            <w:tcBorders>
              <w:top w:val="nil"/>
            </w:tcBorders>
            <w:shd w:val="clear" w:color="auto" w:fill="FFFFFF" w:themeFill="background1"/>
            <w:noWrap/>
            <w:hideMark/>
          </w:tcPr>
          <w:p w14:paraId="057ABE7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102,9</w:t>
            </w:r>
          </w:p>
        </w:tc>
        <w:tc>
          <w:tcPr>
            <w:tcW w:w="376" w:type="pct"/>
            <w:tcBorders>
              <w:top w:val="nil"/>
            </w:tcBorders>
            <w:shd w:val="clear" w:color="auto" w:fill="FFFFFF" w:themeFill="background1"/>
            <w:noWrap/>
          </w:tcPr>
          <w:p w14:paraId="50E9ADE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2FC051A1"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w:t>
            </w:r>
          </w:p>
        </w:tc>
        <w:tc>
          <w:tcPr>
            <w:tcW w:w="314" w:type="pct"/>
            <w:tcBorders>
              <w:top w:val="nil"/>
            </w:tcBorders>
            <w:shd w:val="clear" w:color="auto" w:fill="FFFFFF" w:themeFill="background1"/>
            <w:noWrap/>
          </w:tcPr>
          <w:p w14:paraId="00084C82"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37E0D551"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15EA9CF9"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НСЗ</w:t>
            </w:r>
          </w:p>
        </w:tc>
        <w:tc>
          <w:tcPr>
            <w:tcW w:w="360" w:type="pct"/>
            <w:tcBorders>
              <w:top w:val="nil"/>
            </w:tcBorders>
            <w:shd w:val="clear" w:color="auto" w:fill="FFFFFF" w:themeFill="background1"/>
            <w:noWrap/>
            <w:hideMark/>
          </w:tcPr>
          <w:p w14:paraId="6494C54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w:t>
            </w:r>
          </w:p>
        </w:tc>
        <w:tc>
          <w:tcPr>
            <w:tcW w:w="360" w:type="pct"/>
            <w:tcBorders>
              <w:top w:val="nil"/>
            </w:tcBorders>
            <w:shd w:val="clear" w:color="auto" w:fill="FFFFFF" w:themeFill="background1"/>
            <w:noWrap/>
            <w:hideMark/>
          </w:tcPr>
          <w:p w14:paraId="3A6170A4"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2,6</w:t>
            </w:r>
          </w:p>
        </w:tc>
        <w:tc>
          <w:tcPr>
            <w:tcW w:w="364" w:type="pct"/>
            <w:tcBorders>
              <w:top w:val="nil"/>
            </w:tcBorders>
            <w:shd w:val="clear" w:color="auto" w:fill="FFFFFF" w:themeFill="background1"/>
            <w:noWrap/>
            <w:hideMark/>
          </w:tcPr>
          <w:p w14:paraId="472B055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tcPr>
          <w:p w14:paraId="5879AD0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4EF0DDF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0980D59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E8F529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4B60E01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5E81E61D"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3865C7D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33B1679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3B68B4BC"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476451C0"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Фонд СОВО</w:t>
            </w:r>
          </w:p>
        </w:tc>
        <w:tc>
          <w:tcPr>
            <w:tcW w:w="360" w:type="pct"/>
            <w:tcBorders>
              <w:top w:val="nil"/>
            </w:tcBorders>
            <w:shd w:val="clear" w:color="auto" w:fill="FFFFFF" w:themeFill="background1"/>
            <w:noWrap/>
            <w:hideMark/>
          </w:tcPr>
          <w:p w14:paraId="6EA11DF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4,5</w:t>
            </w:r>
          </w:p>
        </w:tc>
        <w:tc>
          <w:tcPr>
            <w:tcW w:w="360" w:type="pct"/>
            <w:tcBorders>
              <w:top w:val="nil"/>
            </w:tcBorders>
            <w:shd w:val="clear" w:color="auto" w:fill="FFFFFF" w:themeFill="background1"/>
            <w:noWrap/>
            <w:hideMark/>
          </w:tcPr>
          <w:p w14:paraId="3607B086"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0,4</w:t>
            </w:r>
          </w:p>
        </w:tc>
        <w:tc>
          <w:tcPr>
            <w:tcW w:w="364" w:type="pct"/>
            <w:tcBorders>
              <w:top w:val="nil"/>
            </w:tcBorders>
            <w:shd w:val="clear" w:color="auto" w:fill="FFFFFF" w:themeFill="background1"/>
            <w:noWrap/>
            <w:hideMark/>
          </w:tcPr>
          <w:p w14:paraId="600BE13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tcPr>
          <w:p w14:paraId="42CBE15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290585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169AC38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hideMark/>
          </w:tcPr>
          <w:p w14:paraId="4A4AC59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w:t>
            </w:r>
          </w:p>
        </w:tc>
        <w:tc>
          <w:tcPr>
            <w:tcW w:w="376" w:type="pct"/>
            <w:tcBorders>
              <w:top w:val="nil"/>
            </w:tcBorders>
            <w:shd w:val="clear" w:color="auto" w:fill="FFFFFF" w:themeFill="background1"/>
            <w:noWrap/>
            <w:hideMark/>
          </w:tcPr>
          <w:p w14:paraId="318A0AC4"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4,1</w:t>
            </w:r>
          </w:p>
        </w:tc>
        <w:tc>
          <w:tcPr>
            <w:tcW w:w="376" w:type="pct"/>
            <w:tcBorders>
              <w:top w:val="nil"/>
            </w:tcBorders>
            <w:shd w:val="clear" w:color="auto" w:fill="FFFFFF" w:themeFill="background1"/>
            <w:noWrap/>
          </w:tcPr>
          <w:p w14:paraId="17CBD8CC"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248CA8D"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3D8F3ECB"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p>
        </w:tc>
      </w:tr>
      <w:tr w:rsidR="001F1B9F" w:rsidRPr="0062711C" w14:paraId="42F9C633"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3AEA699D"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Остали нивои</w:t>
            </w:r>
          </w:p>
        </w:tc>
        <w:tc>
          <w:tcPr>
            <w:tcW w:w="360" w:type="pct"/>
            <w:tcBorders>
              <w:top w:val="nil"/>
            </w:tcBorders>
            <w:shd w:val="clear" w:color="auto" w:fill="FFFFFF" w:themeFill="background1"/>
            <w:noWrap/>
            <w:hideMark/>
          </w:tcPr>
          <w:p w14:paraId="4DE2734B"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40,3</w:t>
            </w:r>
          </w:p>
        </w:tc>
        <w:tc>
          <w:tcPr>
            <w:tcW w:w="360" w:type="pct"/>
            <w:tcBorders>
              <w:top w:val="nil"/>
            </w:tcBorders>
            <w:shd w:val="clear" w:color="auto" w:fill="FFFFFF" w:themeFill="background1"/>
            <w:noWrap/>
            <w:hideMark/>
          </w:tcPr>
          <w:p w14:paraId="036DD42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40,3</w:t>
            </w:r>
          </w:p>
        </w:tc>
        <w:tc>
          <w:tcPr>
            <w:tcW w:w="364" w:type="pct"/>
            <w:tcBorders>
              <w:top w:val="nil"/>
            </w:tcBorders>
            <w:shd w:val="clear" w:color="auto" w:fill="FFFFFF" w:themeFill="background1"/>
            <w:noWrap/>
            <w:hideMark/>
          </w:tcPr>
          <w:p w14:paraId="276F74D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2" w:type="pct"/>
            <w:tcBorders>
              <w:top w:val="nil"/>
            </w:tcBorders>
            <w:shd w:val="clear" w:color="auto" w:fill="FFFFFF" w:themeFill="background1"/>
            <w:noWrap/>
          </w:tcPr>
          <w:p w14:paraId="79E326B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1A501711"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57" w:type="pct"/>
            <w:tcBorders>
              <w:top w:val="nil"/>
            </w:tcBorders>
            <w:shd w:val="clear" w:color="auto" w:fill="FFFFFF" w:themeFill="background1"/>
            <w:noWrap/>
            <w:hideMark/>
          </w:tcPr>
          <w:p w14:paraId="0D9194A9"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500D4B0"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2BEC2DB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1EA3A8A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76" w:type="pct"/>
            <w:tcBorders>
              <w:top w:val="nil"/>
            </w:tcBorders>
            <w:shd w:val="clear" w:color="auto" w:fill="FFFFFF" w:themeFill="background1"/>
            <w:noWrap/>
          </w:tcPr>
          <w:p w14:paraId="0789748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c>
          <w:tcPr>
            <w:tcW w:w="314" w:type="pct"/>
            <w:tcBorders>
              <w:top w:val="nil"/>
            </w:tcBorders>
            <w:shd w:val="clear" w:color="auto" w:fill="FFFFFF" w:themeFill="background1"/>
            <w:noWrap/>
          </w:tcPr>
          <w:p w14:paraId="3F47DD1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color w:val="002060"/>
                <w:sz w:val="14"/>
                <w:szCs w:val="14"/>
                <w:lang w:val="sr-Cyrl-RS"/>
              </w:rPr>
            </w:pPr>
          </w:p>
        </w:tc>
      </w:tr>
      <w:tr w:rsidR="001F1B9F" w:rsidRPr="0062711C" w14:paraId="5D832824" w14:textId="77777777" w:rsidTr="007F06ED">
        <w:trPr>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tcBorders>
            <w:shd w:val="clear" w:color="auto" w:fill="FFFFFF" w:themeFill="background1"/>
            <w:noWrap/>
            <w:vAlign w:val="bottom"/>
            <w:hideMark/>
          </w:tcPr>
          <w:p w14:paraId="03355C43" w14:textId="77777777" w:rsidR="00281F47" w:rsidRPr="0062711C" w:rsidRDefault="00281F47" w:rsidP="007F06ED">
            <w:pPr>
              <w:tabs>
                <w:tab w:val="center" w:pos="4680"/>
                <w:tab w:val="right" w:pos="9360"/>
              </w:tabs>
              <w:rPr>
                <w:rFonts w:cstheme="minorHAnsi"/>
                <w:b w:val="0"/>
                <w:color w:val="002060"/>
                <w:sz w:val="14"/>
                <w:szCs w:val="14"/>
                <w:lang w:val="sr-Cyrl-RS"/>
              </w:rPr>
            </w:pPr>
            <w:r w:rsidRPr="0062711C">
              <w:rPr>
                <w:rFonts w:cstheme="minorHAnsi"/>
                <w:b w:val="0"/>
                <w:color w:val="002060"/>
                <w:sz w:val="14"/>
                <w:szCs w:val="14"/>
                <w:lang w:val="sr-Cyrl-RS"/>
              </w:rPr>
              <w:t>Нето трансфери другим нивоима власти</w:t>
            </w:r>
          </w:p>
        </w:tc>
        <w:tc>
          <w:tcPr>
            <w:tcW w:w="360" w:type="pct"/>
            <w:tcBorders>
              <w:top w:val="nil"/>
            </w:tcBorders>
            <w:shd w:val="clear" w:color="auto" w:fill="FFFFFF" w:themeFill="background1"/>
            <w:noWrap/>
          </w:tcPr>
          <w:p w14:paraId="31211FA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0,0</w:t>
            </w:r>
          </w:p>
        </w:tc>
        <w:tc>
          <w:tcPr>
            <w:tcW w:w="360" w:type="pct"/>
            <w:tcBorders>
              <w:top w:val="nil"/>
            </w:tcBorders>
            <w:shd w:val="clear" w:color="auto" w:fill="FFFFFF" w:themeFill="background1"/>
            <w:noWrap/>
            <w:hideMark/>
          </w:tcPr>
          <w:p w14:paraId="5EC71A30"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-464,6</w:t>
            </w:r>
          </w:p>
        </w:tc>
        <w:tc>
          <w:tcPr>
            <w:tcW w:w="364" w:type="pct"/>
            <w:tcBorders>
              <w:top w:val="nil"/>
            </w:tcBorders>
            <w:shd w:val="clear" w:color="auto" w:fill="FFFFFF" w:themeFill="background1"/>
            <w:noWrap/>
            <w:hideMark/>
          </w:tcPr>
          <w:p w14:paraId="174484D9"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89,7</w:t>
            </w:r>
          </w:p>
        </w:tc>
        <w:tc>
          <w:tcPr>
            <w:tcW w:w="352" w:type="pct"/>
            <w:tcBorders>
              <w:top w:val="nil"/>
            </w:tcBorders>
            <w:shd w:val="clear" w:color="auto" w:fill="FFFFFF" w:themeFill="background1"/>
            <w:noWrap/>
            <w:hideMark/>
          </w:tcPr>
          <w:p w14:paraId="3AA9316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61,9</w:t>
            </w:r>
          </w:p>
        </w:tc>
        <w:tc>
          <w:tcPr>
            <w:tcW w:w="376" w:type="pct"/>
            <w:tcBorders>
              <w:top w:val="nil"/>
            </w:tcBorders>
            <w:shd w:val="clear" w:color="auto" w:fill="FFFFFF" w:themeFill="background1"/>
            <w:noWrap/>
            <w:hideMark/>
          </w:tcPr>
          <w:p w14:paraId="07D91B95"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27,9</w:t>
            </w:r>
          </w:p>
        </w:tc>
        <w:tc>
          <w:tcPr>
            <w:tcW w:w="357" w:type="pct"/>
            <w:tcBorders>
              <w:top w:val="nil"/>
            </w:tcBorders>
            <w:shd w:val="clear" w:color="auto" w:fill="FFFFFF" w:themeFill="background1"/>
            <w:noWrap/>
            <w:hideMark/>
          </w:tcPr>
          <w:p w14:paraId="2F03CA7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40,3</w:t>
            </w:r>
          </w:p>
        </w:tc>
        <w:tc>
          <w:tcPr>
            <w:tcW w:w="376" w:type="pct"/>
            <w:tcBorders>
              <w:top w:val="nil"/>
            </w:tcBorders>
            <w:shd w:val="clear" w:color="auto" w:fill="FFFFFF" w:themeFill="background1"/>
            <w:noWrap/>
            <w:hideMark/>
          </w:tcPr>
          <w:p w14:paraId="3F7B1EE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334,6</w:t>
            </w:r>
          </w:p>
        </w:tc>
        <w:tc>
          <w:tcPr>
            <w:tcW w:w="376" w:type="pct"/>
            <w:tcBorders>
              <w:top w:val="nil"/>
            </w:tcBorders>
            <w:shd w:val="clear" w:color="auto" w:fill="FFFFFF" w:themeFill="background1"/>
            <w:noWrap/>
            <w:hideMark/>
          </w:tcPr>
          <w:p w14:paraId="715E7948"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171,0</w:t>
            </w:r>
          </w:p>
        </w:tc>
        <w:tc>
          <w:tcPr>
            <w:tcW w:w="376" w:type="pct"/>
            <w:tcBorders>
              <w:top w:val="nil"/>
            </w:tcBorders>
            <w:shd w:val="clear" w:color="auto" w:fill="FFFFFF" w:themeFill="background1"/>
            <w:noWrap/>
            <w:hideMark/>
          </w:tcPr>
          <w:p w14:paraId="505FC3C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162,3</w:t>
            </w:r>
          </w:p>
        </w:tc>
        <w:tc>
          <w:tcPr>
            <w:tcW w:w="376" w:type="pct"/>
            <w:tcBorders>
              <w:top w:val="nil"/>
            </w:tcBorders>
            <w:shd w:val="clear" w:color="auto" w:fill="FFFFFF" w:themeFill="background1"/>
            <w:noWrap/>
            <w:hideMark/>
          </w:tcPr>
          <w:p w14:paraId="04E6969E"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-3,3</w:t>
            </w:r>
          </w:p>
        </w:tc>
        <w:tc>
          <w:tcPr>
            <w:tcW w:w="314" w:type="pct"/>
            <w:tcBorders>
              <w:top w:val="nil"/>
            </w:tcBorders>
            <w:shd w:val="clear" w:color="auto" w:fill="FFFFFF" w:themeFill="background1"/>
            <w:noWrap/>
            <w:hideMark/>
          </w:tcPr>
          <w:p w14:paraId="1D2CDF67" w14:textId="77777777" w:rsidR="00281F47" w:rsidRPr="0062711C" w:rsidRDefault="00281F47" w:rsidP="007F06ED">
            <w:pPr>
              <w:tabs>
                <w:tab w:val="center" w:pos="4680"/>
                <w:tab w:val="right" w:pos="9360"/>
              </w:tabs>
              <w:jc w:val="right"/>
              <w:cnfStyle w:val="000000000000" w:firstRow="0" w:lastRow="0" w:firstColumn="0" w:lastColumn="0" w:oddVBand="0" w:evenVBand="0" w:oddHBand="0" w:evenHBand="0" w:firstRowFirstColumn="0" w:firstRowLastColumn="0" w:lastRowFirstColumn="0" w:lastRowLastColumn="0"/>
              <w:rPr>
                <w:rFonts w:cstheme="minorHAnsi"/>
                <w:color w:val="002060"/>
                <w:sz w:val="14"/>
                <w:szCs w:val="14"/>
                <w:lang w:val="sr-Cyrl-RS"/>
              </w:rPr>
            </w:pPr>
            <w:r w:rsidRPr="0062711C">
              <w:rPr>
                <w:rFonts w:cstheme="minorHAnsi"/>
                <w:color w:val="002060"/>
                <w:sz w:val="14"/>
                <w:szCs w:val="14"/>
                <w:lang w:val="sr-Cyrl-RS"/>
              </w:rPr>
              <w:t>4,5</w:t>
            </w:r>
          </w:p>
        </w:tc>
      </w:tr>
      <w:tr w:rsidR="001F1B9F" w:rsidRPr="0062711C" w14:paraId="01B78F30" w14:textId="77777777" w:rsidTr="007F06ED">
        <w:trPr>
          <w:cnfStyle w:val="000000100000" w:firstRow="0" w:lastRow="0" w:firstColumn="0" w:lastColumn="0" w:oddVBand="0" w:evenVBand="0" w:oddHBand="1" w:evenHBand="0" w:firstRowFirstColumn="0" w:firstRowLastColumn="0" w:lastRowFirstColumn="0" w:lastRowLastColumn="0"/>
          <w:trHeight w:val="171"/>
        </w:trPr>
        <w:tc>
          <w:tcPr>
            <w:cnfStyle w:val="001000000000" w:firstRow="0" w:lastRow="0" w:firstColumn="1" w:lastColumn="0" w:oddVBand="0" w:evenVBand="0" w:oddHBand="0" w:evenHBand="0" w:firstRowFirstColumn="0" w:firstRowLastColumn="0" w:lastRowFirstColumn="0" w:lastRowLastColumn="0"/>
            <w:tcW w:w="1011" w:type="pct"/>
            <w:tcBorders>
              <w:top w:val="nil"/>
              <w:bottom w:val="single" w:sz="4" w:space="0" w:color="auto"/>
            </w:tcBorders>
            <w:shd w:val="clear" w:color="auto" w:fill="BFBFBF" w:themeFill="background1" w:themeFillShade="BF"/>
            <w:noWrap/>
            <w:vAlign w:val="bottom"/>
            <w:hideMark/>
          </w:tcPr>
          <w:p w14:paraId="0BA7CFFD" w14:textId="77777777" w:rsidR="00281F47" w:rsidRPr="0062711C" w:rsidRDefault="00281F47" w:rsidP="007F06ED">
            <w:pPr>
              <w:tabs>
                <w:tab w:val="center" w:pos="4680"/>
                <w:tab w:val="right" w:pos="9360"/>
              </w:tabs>
              <w:rPr>
                <w:rFonts w:cstheme="minorHAnsi"/>
                <w:color w:val="002060"/>
                <w:sz w:val="14"/>
                <w:szCs w:val="14"/>
                <w:lang w:val="sr-Cyrl-RS"/>
              </w:rPr>
            </w:pPr>
            <w:r w:rsidRPr="0062711C">
              <w:rPr>
                <w:rFonts w:cstheme="minorHAnsi"/>
                <w:color w:val="002060"/>
                <w:sz w:val="14"/>
                <w:szCs w:val="14"/>
                <w:lang w:val="sr-Cyrl-RS"/>
              </w:rPr>
              <w:t>Фискални резултат</w:t>
            </w:r>
          </w:p>
        </w:tc>
        <w:tc>
          <w:tcPr>
            <w:tcW w:w="360" w:type="pct"/>
            <w:tcBorders>
              <w:top w:val="nil"/>
              <w:bottom w:val="single" w:sz="4" w:space="0" w:color="auto"/>
            </w:tcBorders>
            <w:shd w:val="clear" w:color="auto" w:fill="BFBFBF" w:themeFill="background1" w:themeFillShade="BF"/>
            <w:noWrap/>
            <w:hideMark/>
          </w:tcPr>
          <w:p w14:paraId="3FE2C765"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-240,0</w:t>
            </w:r>
          </w:p>
        </w:tc>
        <w:tc>
          <w:tcPr>
            <w:tcW w:w="360" w:type="pct"/>
            <w:tcBorders>
              <w:top w:val="nil"/>
              <w:bottom w:val="single" w:sz="4" w:space="0" w:color="auto"/>
            </w:tcBorders>
            <w:shd w:val="clear" w:color="auto" w:fill="BFBFBF" w:themeFill="background1" w:themeFillShade="BF"/>
            <w:noWrap/>
            <w:hideMark/>
          </w:tcPr>
          <w:p w14:paraId="7A08472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-240,0</w:t>
            </w:r>
          </w:p>
        </w:tc>
        <w:tc>
          <w:tcPr>
            <w:tcW w:w="364" w:type="pct"/>
            <w:tcBorders>
              <w:top w:val="nil"/>
              <w:bottom w:val="single" w:sz="4" w:space="0" w:color="auto"/>
            </w:tcBorders>
            <w:shd w:val="clear" w:color="auto" w:fill="BFBFBF" w:themeFill="background1" w:themeFillShade="BF"/>
            <w:noWrap/>
            <w:hideMark/>
          </w:tcPr>
          <w:p w14:paraId="2A9E9EBA"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52" w:type="pct"/>
            <w:tcBorders>
              <w:top w:val="nil"/>
              <w:bottom w:val="single" w:sz="4" w:space="0" w:color="auto"/>
            </w:tcBorders>
            <w:shd w:val="clear" w:color="auto" w:fill="BFBFBF" w:themeFill="background1" w:themeFillShade="BF"/>
            <w:noWrap/>
            <w:hideMark/>
          </w:tcPr>
          <w:p w14:paraId="223C0D4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76" w:type="pct"/>
            <w:tcBorders>
              <w:top w:val="nil"/>
              <w:bottom w:val="single" w:sz="4" w:space="0" w:color="auto"/>
            </w:tcBorders>
            <w:shd w:val="clear" w:color="auto" w:fill="BFBFBF" w:themeFill="background1" w:themeFillShade="BF"/>
            <w:noWrap/>
            <w:hideMark/>
          </w:tcPr>
          <w:p w14:paraId="74D6301C"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57" w:type="pct"/>
            <w:tcBorders>
              <w:top w:val="nil"/>
              <w:bottom w:val="single" w:sz="4" w:space="0" w:color="auto"/>
            </w:tcBorders>
            <w:shd w:val="clear" w:color="auto" w:fill="BFBFBF" w:themeFill="background1" w:themeFillShade="BF"/>
            <w:noWrap/>
            <w:hideMark/>
          </w:tcPr>
          <w:p w14:paraId="5800A1C6"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76" w:type="pct"/>
            <w:tcBorders>
              <w:top w:val="nil"/>
              <w:bottom w:val="single" w:sz="4" w:space="0" w:color="auto"/>
            </w:tcBorders>
            <w:shd w:val="clear" w:color="auto" w:fill="BFBFBF" w:themeFill="background1" w:themeFillShade="BF"/>
            <w:noWrap/>
            <w:hideMark/>
          </w:tcPr>
          <w:p w14:paraId="2B4B0FA8"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76" w:type="pct"/>
            <w:tcBorders>
              <w:top w:val="nil"/>
              <w:bottom w:val="single" w:sz="4" w:space="0" w:color="auto"/>
            </w:tcBorders>
            <w:shd w:val="clear" w:color="auto" w:fill="BFBFBF" w:themeFill="background1" w:themeFillShade="BF"/>
            <w:noWrap/>
            <w:hideMark/>
          </w:tcPr>
          <w:p w14:paraId="79A47AF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76" w:type="pct"/>
            <w:tcBorders>
              <w:top w:val="nil"/>
              <w:bottom w:val="single" w:sz="4" w:space="0" w:color="auto"/>
            </w:tcBorders>
            <w:shd w:val="clear" w:color="auto" w:fill="BFBFBF" w:themeFill="background1" w:themeFillShade="BF"/>
            <w:noWrap/>
            <w:hideMark/>
          </w:tcPr>
          <w:p w14:paraId="360F4FBF"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76" w:type="pct"/>
            <w:tcBorders>
              <w:top w:val="nil"/>
              <w:bottom w:val="single" w:sz="4" w:space="0" w:color="auto"/>
            </w:tcBorders>
            <w:shd w:val="clear" w:color="auto" w:fill="BFBFBF" w:themeFill="background1" w:themeFillShade="BF"/>
            <w:noWrap/>
            <w:hideMark/>
          </w:tcPr>
          <w:p w14:paraId="04731467"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c>
          <w:tcPr>
            <w:tcW w:w="314" w:type="pct"/>
            <w:tcBorders>
              <w:top w:val="nil"/>
              <w:bottom w:val="single" w:sz="4" w:space="0" w:color="auto"/>
            </w:tcBorders>
            <w:shd w:val="clear" w:color="auto" w:fill="BFBFBF" w:themeFill="background1" w:themeFillShade="BF"/>
            <w:noWrap/>
            <w:hideMark/>
          </w:tcPr>
          <w:p w14:paraId="4DE267DE" w14:textId="77777777" w:rsidR="00281F47" w:rsidRPr="0062711C" w:rsidRDefault="00281F47" w:rsidP="007F06ED">
            <w:pPr>
              <w:tabs>
                <w:tab w:val="center" w:pos="4680"/>
                <w:tab w:val="right" w:pos="9360"/>
              </w:tabs>
              <w:jc w:val="right"/>
              <w:cnfStyle w:val="000000100000" w:firstRow="0" w:lastRow="0" w:firstColumn="0" w:lastColumn="0" w:oddVBand="0" w:evenVBand="0" w:oddHBand="1" w:evenHBand="0" w:firstRowFirstColumn="0" w:firstRowLastColumn="0" w:lastRowFirstColumn="0" w:lastRowLastColumn="0"/>
              <w:rPr>
                <w:rFonts w:cstheme="minorHAnsi"/>
                <w:b/>
                <w:color w:val="002060"/>
                <w:sz w:val="14"/>
                <w:szCs w:val="14"/>
                <w:lang w:val="sr-Cyrl-RS"/>
              </w:rPr>
            </w:pPr>
            <w:r w:rsidRPr="0062711C">
              <w:rPr>
                <w:rFonts w:cstheme="minorHAnsi"/>
                <w:b/>
                <w:color w:val="002060"/>
                <w:sz w:val="14"/>
                <w:szCs w:val="14"/>
                <w:lang w:val="sr-Cyrl-RS"/>
              </w:rPr>
              <w:t>0,0</w:t>
            </w:r>
          </w:p>
        </w:tc>
      </w:tr>
    </w:tbl>
    <w:p w14:paraId="79FCC840" w14:textId="77777777" w:rsidR="00281F47" w:rsidRPr="0062711C" w:rsidRDefault="00281F47" w:rsidP="00281F47">
      <w:pPr>
        <w:tabs>
          <w:tab w:val="center" w:pos="4680"/>
          <w:tab w:val="right" w:pos="9360"/>
        </w:tabs>
        <w:spacing w:before="40" w:after="60" w:line="240" w:lineRule="auto"/>
        <w:ind w:right="340"/>
        <w:rPr>
          <w:rFonts w:cstheme="minorHAnsi"/>
          <w:sz w:val="16"/>
          <w:szCs w:val="16"/>
          <w:lang w:val="sr-Cyrl-RS"/>
        </w:rPr>
      </w:pPr>
      <w:r w:rsidRPr="0062711C">
        <w:rPr>
          <w:rFonts w:cstheme="minorHAnsi"/>
          <w:sz w:val="16"/>
          <w:szCs w:val="16"/>
          <w:lang w:val="sr-Cyrl-RS"/>
        </w:rPr>
        <w:t>У табели је приказан оквирни износ прихода и расхода у 2025. години који је у већој мери заснован на статистичкој методологији рачуна јавних финансија него на рачуноводственој. Будући да током буџетског процеса може доћи до измена у висини и структури појединих категорија, ови износи нису законски обавезујући.</w:t>
      </w:r>
    </w:p>
    <w:p w14:paraId="719B38B5" w14:textId="77777777" w:rsidR="00281F47" w:rsidRPr="0062711C" w:rsidRDefault="00281F47" w:rsidP="00281F47">
      <w:pPr>
        <w:tabs>
          <w:tab w:val="center" w:pos="4680"/>
          <w:tab w:val="right" w:pos="9360"/>
        </w:tabs>
        <w:spacing w:before="40" w:after="60" w:line="240" w:lineRule="auto"/>
        <w:ind w:right="340"/>
        <w:rPr>
          <w:rFonts w:ascii="Calibri" w:eastAsia="Calibri" w:hAnsi="Calibri" w:cs="Calibri"/>
          <w:bCs/>
          <w:sz w:val="16"/>
          <w:szCs w:val="16"/>
          <w:highlight w:val="darkGray"/>
          <w:lang w:val="sr-Cyrl-RS"/>
        </w:rPr>
      </w:pPr>
      <w:r w:rsidRPr="0062711C">
        <w:rPr>
          <w:rFonts w:cstheme="minorHAnsi"/>
          <w:sz w:val="16"/>
          <w:szCs w:val="16"/>
          <w:lang w:val="sr-Cyrl-RS"/>
        </w:rPr>
        <w:t>* Буџет је приказан без дела сопствених прихода индиректних буџетских корисника и из њих финансираних расхода, који нису обухваћени информационим системом извршења буџета.</w:t>
      </w:r>
    </w:p>
    <w:p w14:paraId="6ADB7974" w14:textId="42BF7AB1" w:rsidR="00281F47" w:rsidRPr="0062711C" w:rsidRDefault="00281F47" w:rsidP="00281F47">
      <w:pPr>
        <w:spacing w:before="40" w:after="60"/>
        <w:rPr>
          <w:sz w:val="16"/>
          <w:szCs w:val="16"/>
          <w:lang w:val="sr-Cyrl-RS"/>
        </w:rPr>
      </w:pPr>
      <w:r w:rsidRPr="0062711C">
        <w:rPr>
          <w:sz w:val="16"/>
          <w:szCs w:val="16"/>
          <w:lang w:val="sr-Cyrl-RS"/>
        </w:rPr>
        <w:t xml:space="preserve">** ЈП Путеви Србије, Коридори, aгенције и институти чији списак </w:t>
      </w:r>
      <w:r w:rsidR="00C12401" w:rsidRPr="0062711C">
        <w:rPr>
          <w:sz w:val="16"/>
          <w:szCs w:val="16"/>
          <w:lang w:val="sr-Cyrl-RS"/>
        </w:rPr>
        <w:t>је</w:t>
      </w:r>
      <w:r w:rsidRPr="0062711C">
        <w:rPr>
          <w:sz w:val="16"/>
          <w:szCs w:val="16"/>
          <w:lang w:val="sr-Cyrl-RS"/>
        </w:rPr>
        <w:t xml:space="preserve"> на сајту Управе за трезор.</w:t>
      </w:r>
      <w:bookmarkEnd w:id="106"/>
      <w:bookmarkEnd w:id="107"/>
      <w:bookmarkEnd w:id="110"/>
      <w:bookmarkEnd w:id="111"/>
      <w:bookmarkEnd w:id="112"/>
      <w:bookmarkEnd w:id="113"/>
      <w:bookmarkEnd w:id="114"/>
    </w:p>
    <w:sectPr w:rsidR="00281F47" w:rsidRPr="0062711C" w:rsidSect="00F45C01">
      <w:pgSz w:w="15840" w:h="12240" w:orient="landscape" w:code="1"/>
      <w:pgMar w:top="680" w:right="567" w:bottom="680" w:left="567" w:header="510" w:footer="397" w:gutter="0"/>
      <w:cols w:space="720"/>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DD1FB2" w14:textId="77777777" w:rsidR="00280859" w:rsidRDefault="00280859" w:rsidP="00BF7F6A">
      <w:pPr>
        <w:spacing w:after="0" w:line="240" w:lineRule="auto"/>
      </w:pPr>
      <w:r>
        <w:separator/>
      </w:r>
    </w:p>
  </w:endnote>
  <w:endnote w:type="continuationSeparator" w:id="0">
    <w:p w14:paraId="45586393" w14:textId="77777777" w:rsidR="00280859" w:rsidRDefault="00280859" w:rsidP="00BF7F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2836409"/>
      <w:docPartObj>
        <w:docPartGallery w:val="Page Numbers (Bottom of Page)"/>
        <w:docPartUnique/>
      </w:docPartObj>
    </w:sdtPr>
    <w:sdtEndPr>
      <w:rPr>
        <w:noProof/>
      </w:rPr>
    </w:sdtEndPr>
    <w:sdtContent>
      <w:p w14:paraId="620199BD" w14:textId="77777777" w:rsidR="004F3F63" w:rsidRDefault="004F3F63">
        <w:pPr>
          <w:pStyle w:val="Footer"/>
        </w:pPr>
        <w:r>
          <w:fldChar w:fldCharType="begin"/>
        </w:r>
        <w:r>
          <w:instrText xml:space="preserve"> PAGE   \* MERGEFORMAT </w:instrText>
        </w:r>
        <w:r>
          <w:fldChar w:fldCharType="separate"/>
        </w:r>
        <w:r>
          <w:rPr>
            <w:noProof/>
          </w:rPr>
          <w:t>2</w:t>
        </w:r>
        <w:r>
          <w:rPr>
            <w:noProof/>
          </w:rPr>
          <w:fldChar w:fldCharType="end"/>
        </w:r>
      </w:p>
    </w:sdtContent>
  </w:sdt>
  <w:p w14:paraId="7273D38E" w14:textId="77777777" w:rsidR="004F3F63" w:rsidRDefault="004F3F6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28470435"/>
      <w:docPartObj>
        <w:docPartGallery w:val="Page Numbers (Bottom of Page)"/>
        <w:docPartUnique/>
      </w:docPartObj>
    </w:sdtPr>
    <w:sdtEndPr>
      <w:rPr>
        <w:noProof/>
      </w:rPr>
    </w:sdtEndPr>
    <w:sdtContent>
      <w:p w14:paraId="1E5FC5B0" w14:textId="760B9F91" w:rsidR="004F3F63" w:rsidRDefault="004F3F63">
        <w:pPr>
          <w:pStyle w:val="Footer"/>
        </w:pPr>
        <w:r>
          <w:fldChar w:fldCharType="begin"/>
        </w:r>
        <w:r>
          <w:instrText xml:space="preserve"> PAGE   \* MERGEFORMAT </w:instrText>
        </w:r>
        <w:r>
          <w:fldChar w:fldCharType="separate"/>
        </w:r>
        <w:r w:rsidR="00865B00">
          <w:rPr>
            <w:noProof/>
          </w:rPr>
          <w:t>2</w:t>
        </w:r>
        <w:r>
          <w:rPr>
            <w:noProof/>
          </w:rPr>
          <w:fldChar w:fldCharType="end"/>
        </w:r>
      </w:p>
    </w:sdtContent>
  </w:sdt>
  <w:p w14:paraId="5B2FC29C" w14:textId="77777777" w:rsidR="004F3F63" w:rsidRDefault="004F3F6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1318995"/>
      <w:docPartObj>
        <w:docPartGallery w:val="Page Numbers (Bottom of Page)"/>
        <w:docPartUnique/>
      </w:docPartObj>
    </w:sdtPr>
    <w:sdtEndPr>
      <w:rPr>
        <w:noProof/>
      </w:rPr>
    </w:sdtEndPr>
    <w:sdtContent>
      <w:p w14:paraId="03D51AEF" w14:textId="77777777" w:rsidR="004F3F63" w:rsidRDefault="004F3F63">
        <w:pPr>
          <w:pStyle w:val="Footer"/>
        </w:pPr>
        <w:r>
          <w:fldChar w:fldCharType="begin"/>
        </w:r>
        <w:r>
          <w:instrText xml:space="preserve"> PAGE   \* MERGEFORMAT </w:instrText>
        </w:r>
        <w:r>
          <w:fldChar w:fldCharType="separate"/>
        </w:r>
        <w:r>
          <w:rPr>
            <w:noProof/>
          </w:rPr>
          <w:t>2</w:t>
        </w:r>
        <w:r>
          <w:rPr>
            <w:noProof/>
          </w:rPr>
          <w:fldChar w:fldCharType="end"/>
        </w:r>
      </w:p>
    </w:sdtContent>
  </w:sdt>
  <w:p w14:paraId="2176F7E0" w14:textId="77777777" w:rsidR="004F3F63" w:rsidRDefault="004F3F6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2492817"/>
      <w:docPartObj>
        <w:docPartGallery w:val="Page Numbers (Bottom of Page)"/>
        <w:docPartUnique/>
      </w:docPartObj>
    </w:sdtPr>
    <w:sdtEndPr>
      <w:rPr>
        <w:noProof/>
      </w:rPr>
    </w:sdtEndPr>
    <w:sdtContent>
      <w:p w14:paraId="02E3C90E" w14:textId="77777777" w:rsidR="004F3F63" w:rsidRDefault="004F3F63">
        <w:pPr>
          <w:pStyle w:val="Footer"/>
        </w:pPr>
        <w:r>
          <w:fldChar w:fldCharType="begin"/>
        </w:r>
        <w:r>
          <w:instrText xml:space="preserve"> PAGE   \* MERGEFORMAT </w:instrText>
        </w:r>
        <w:r>
          <w:fldChar w:fldCharType="separate"/>
        </w:r>
        <w:r>
          <w:rPr>
            <w:noProof/>
          </w:rPr>
          <w:t>1</w:t>
        </w:r>
        <w:r>
          <w:rPr>
            <w:noProof/>
          </w:rPr>
          <w:fldChar w:fldCharType="end"/>
        </w:r>
      </w:p>
    </w:sdtContent>
  </w:sdt>
  <w:p w14:paraId="77A4D71A" w14:textId="77777777" w:rsidR="004F3F63" w:rsidRDefault="004F3F6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6688203"/>
      <w:docPartObj>
        <w:docPartGallery w:val="Page Numbers (Bottom of Page)"/>
        <w:docPartUnique/>
      </w:docPartObj>
    </w:sdtPr>
    <w:sdtEndPr>
      <w:rPr>
        <w:noProof/>
      </w:rPr>
    </w:sdtEndPr>
    <w:sdtContent>
      <w:p w14:paraId="4F0FFC2B" w14:textId="77777777" w:rsidR="004F3F63" w:rsidRDefault="004F3F63">
        <w:pPr>
          <w:pStyle w:val="Footer"/>
          <w:jc w:val="right"/>
        </w:pPr>
        <w:r>
          <w:fldChar w:fldCharType="begin"/>
        </w:r>
        <w:r>
          <w:instrText xml:space="preserve"> PAGE   \* MERGEFORMAT </w:instrText>
        </w:r>
        <w:r>
          <w:fldChar w:fldCharType="separate"/>
        </w:r>
        <w:r>
          <w:rPr>
            <w:noProof/>
          </w:rPr>
          <w:t>6</w:t>
        </w:r>
        <w:r>
          <w:rPr>
            <w:noProof/>
          </w:rPr>
          <w:fldChar w:fldCharType="end"/>
        </w:r>
      </w:p>
    </w:sdtContent>
  </w:sdt>
  <w:p w14:paraId="3349EA1E" w14:textId="77777777" w:rsidR="004F3F63" w:rsidRDefault="004F3F6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63908428"/>
      <w:docPartObj>
        <w:docPartGallery w:val="Page Numbers (Bottom of Page)"/>
        <w:docPartUnique/>
      </w:docPartObj>
    </w:sdtPr>
    <w:sdtEndPr>
      <w:rPr>
        <w:noProof/>
      </w:rPr>
    </w:sdtEndPr>
    <w:sdtContent>
      <w:p w14:paraId="7067D54B" w14:textId="46A1591E" w:rsidR="004F3F63" w:rsidRDefault="004F3F63" w:rsidP="005C539B">
        <w:pPr>
          <w:pStyle w:val="Footer"/>
          <w:jc w:val="left"/>
        </w:pPr>
        <w:r>
          <w:fldChar w:fldCharType="begin"/>
        </w:r>
        <w:r>
          <w:instrText xml:space="preserve"> PAGE   \* MERGEFORMAT </w:instrText>
        </w:r>
        <w:r>
          <w:fldChar w:fldCharType="separate"/>
        </w:r>
        <w:r w:rsidR="00865B00">
          <w:rPr>
            <w:noProof/>
          </w:rPr>
          <w:t>4</w:t>
        </w:r>
        <w:r>
          <w:rPr>
            <w:noProof/>
          </w:rPr>
          <w:fldChar w:fldCharType="end"/>
        </w:r>
      </w:p>
    </w:sdtContent>
  </w:sdt>
  <w:p w14:paraId="5A6EA364" w14:textId="77777777" w:rsidR="004F3F63" w:rsidRDefault="004F3F6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0384799"/>
      <w:docPartObj>
        <w:docPartGallery w:val="Page Numbers (Bottom of Page)"/>
        <w:docPartUnique/>
      </w:docPartObj>
    </w:sdtPr>
    <w:sdtEndPr>
      <w:rPr>
        <w:noProof/>
      </w:rPr>
    </w:sdtEndPr>
    <w:sdtContent>
      <w:p w14:paraId="66A108D2" w14:textId="480E5358" w:rsidR="004F3F63" w:rsidRDefault="004F3F63">
        <w:pPr>
          <w:pStyle w:val="Footer"/>
        </w:pPr>
        <w:r>
          <w:fldChar w:fldCharType="begin"/>
        </w:r>
        <w:r>
          <w:instrText xml:space="preserve"> PAGE   \* MERGEFORMAT </w:instrText>
        </w:r>
        <w:r>
          <w:fldChar w:fldCharType="separate"/>
        </w:r>
        <w:r w:rsidR="00865B00">
          <w:rPr>
            <w:noProof/>
          </w:rPr>
          <w:t>3</w:t>
        </w:r>
        <w:r>
          <w:rPr>
            <w:noProof/>
          </w:rPr>
          <w:fldChar w:fldCharType="end"/>
        </w:r>
      </w:p>
    </w:sdtContent>
  </w:sdt>
  <w:p w14:paraId="4ADC431F" w14:textId="77777777" w:rsidR="004F3F63" w:rsidRDefault="004F3F6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2044388"/>
      <w:docPartObj>
        <w:docPartGallery w:val="Page Numbers (Bottom of Page)"/>
        <w:docPartUnique/>
      </w:docPartObj>
    </w:sdtPr>
    <w:sdtEndPr>
      <w:rPr>
        <w:noProof/>
      </w:rPr>
    </w:sdtEndPr>
    <w:sdtContent>
      <w:p w14:paraId="684930A9" w14:textId="01830736" w:rsidR="004F3F63" w:rsidRDefault="004F3F63">
        <w:pPr>
          <w:pStyle w:val="Footer"/>
        </w:pPr>
        <w:r>
          <w:fldChar w:fldCharType="begin"/>
        </w:r>
        <w:r>
          <w:instrText xml:space="preserve"> PAGE   \* MERGEFORMAT </w:instrText>
        </w:r>
        <w:r>
          <w:fldChar w:fldCharType="separate"/>
        </w:r>
        <w:r w:rsidR="00865B00">
          <w:rPr>
            <w:noProof/>
          </w:rPr>
          <w:t>7</w:t>
        </w:r>
        <w:r>
          <w:rPr>
            <w:noProof/>
          </w:rPr>
          <w:fldChar w:fldCharType="end"/>
        </w:r>
      </w:p>
    </w:sdtContent>
  </w:sdt>
  <w:p w14:paraId="5ADCBEA6" w14:textId="77777777" w:rsidR="004F3F63" w:rsidRPr="00287EFB" w:rsidRDefault="004F3F63" w:rsidP="005C539B">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6B0742" w14:textId="77777777" w:rsidR="004F3F63" w:rsidRDefault="004F3F63">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4846751"/>
      <w:docPartObj>
        <w:docPartGallery w:val="Page Numbers (Bottom of Page)"/>
        <w:docPartUnique/>
      </w:docPartObj>
    </w:sdtPr>
    <w:sdtEndPr>
      <w:rPr>
        <w:noProof/>
      </w:rPr>
    </w:sdtEndPr>
    <w:sdtContent>
      <w:p w14:paraId="3971E7FE" w14:textId="1720F896" w:rsidR="004F3F63" w:rsidRDefault="004F3F63">
        <w:pPr>
          <w:pStyle w:val="Footer"/>
        </w:pPr>
        <w:r>
          <w:fldChar w:fldCharType="begin"/>
        </w:r>
        <w:r>
          <w:instrText xml:space="preserve"> PAGE   \* MERGEFORMAT </w:instrText>
        </w:r>
        <w:r>
          <w:fldChar w:fldCharType="separate"/>
        </w:r>
        <w:r w:rsidR="00865B00">
          <w:rPr>
            <w:noProof/>
          </w:rPr>
          <w:t>8</w:t>
        </w:r>
        <w:r>
          <w:rPr>
            <w:noProof/>
          </w:rPr>
          <w:fldChar w:fldCharType="end"/>
        </w:r>
      </w:p>
    </w:sdtContent>
  </w:sdt>
  <w:p w14:paraId="61DDDB08" w14:textId="77777777" w:rsidR="004F3F63" w:rsidRPr="00287EFB" w:rsidRDefault="004F3F63" w:rsidP="00C130D2">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83892054"/>
      <w:docPartObj>
        <w:docPartGallery w:val="Page Numbers (Bottom of Page)"/>
        <w:docPartUnique/>
      </w:docPartObj>
    </w:sdtPr>
    <w:sdtEndPr>
      <w:rPr>
        <w:noProof/>
      </w:rPr>
    </w:sdtEndPr>
    <w:sdtContent>
      <w:p w14:paraId="3CF06C86" w14:textId="77777777" w:rsidR="004F3F63" w:rsidRDefault="004F3F63">
        <w:pPr>
          <w:pStyle w:val="Footer"/>
        </w:pPr>
        <w:r>
          <w:fldChar w:fldCharType="begin"/>
        </w:r>
        <w:r>
          <w:instrText xml:space="preserve"> PAGE   \* MERGEFORMAT </w:instrText>
        </w:r>
        <w:r>
          <w:fldChar w:fldCharType="separate"/>
        </w:r>
        <w:r>
          <w:rPr>
            <w:noProof/>
          </w:rPr>
          <w:t>30</w:t>
        </w:r>
        <w:r>
          <w:rPr>
            <w:noProof/>
          </w:rPr>
          <w:fldChar w:fldCharType="end"/>
        </w:r>
      </w:p>
    </w:sdtContent>
  </w:sdt>
  <w:p w14:paraId="6E803275" w14:textId="77777777" w:rsidR="004F3F63" w:rsidRDefault="004F3F63">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390821"/>
      <w:docPartObj>
        <w:docPartGallery w:val="Page Numbers (Bottom of Page)"/>
        <w:docPartUnique/>
      </w:docPartObj>
    </w:sdtPr>
    <w:sdtContent>
      <w:p w14:paraId="7ADB6D3A" w14:textId="4D48B3C2" w:rsidR="004F3F63" w:rsidRPr="009A141D" w:rsidRDefault="004F3F63">
        <w:pPr>
          <w:pStyle w:val="Footer"/>
        </w:pPr>
        <w:r w:rsidRPr="009A141D">
          <w:fldChar w:fldCharType="begin"/>
        </w:r>
        <w:r w:rsidRPr="009A141D">
          <w:instrText xml:space="preserve"> PAGE   \* MERGEFORMAT </w:instrText>
        </w:r>
        <w:r w:rsidRPr="009A141D">
          <w:fldChar w:fldCharType="separate"/>
        </w:r>
        <w:r w:rsidR="00865B00">
          <w:rPr>
            <w:noProof/>
          </w:rPr>
          <w:t>14</w:t>
        </w:r>
        <w:r w:rsidRPr="009A141D">
          <w:fldChar w:fldCharType="end"/>
        </w:r>
      </w:p>
    </w:sdtContent>
  </w:sdt>
  <w:p w14:paraId="4EFA3105" w14:textId="77777777" w:rsidR="004F3F63" w:rsidRPr="009A141D" w:rsidRDefault="004F3F63" w:rsidP="00C130D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2901128"/>
      <w:docPartObj>
        <w:docPartGallery w:val="Page Numbers (Bottom of Page)"/>
        <w:docPartUnique/>
      </w:docPartObj>
    </w:sdtPr>
    <w:sdtEndPr>
      <w:rPr>
        <w:noProof/>
      </w:rPr>
    </w:sdtEndPr>
    <w:sdtContent>
      <w:p w14:paraId="42DF3D90" w14:textId="25F5FC0F" w:rsidR="004F3F63" w:rsidRDefault="004F3F63">
        <w:pPr>
          <w:pStyle w:val="Footer"/>
        </w:pPr>
        <w:r>
          <w:fldChar w:fldCharType="begin"/>
        </w:r>
        <w:r>
          <w:instrText xml:space="preserve"> PAGE   \* MERGEFORMAT </w:instrText>
        </w:r>
        <w:r>
          <w:fldChar w:fldCharType="separate"/>
        </w:r>
        <w:r w:rsidR="00865B00">
          <w:rPr>
            <w:noProof/>
          </w:rPr>
          <w:t>18</w:t>
        </w:r>
        <w:r>
          <w:rPr>
            <w:noProof/>
          </w:rPr>
          <w:fldChar w:fldCharType="end"/>
        </w:r>
      </w:p>
    </w:sdtContent>
  </w:sdt>
  <w:p w14:paraId="09499881" w14:textId="77777777" w:rsidR="004F3F63" w:rsidRPr="00287EFB" w:rsidRDefault="004F3F63" w:rsidP="00C130D2">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F2E450" w14:textId="77777777" w:rsidR="004F3F63" w:rsidRDefault="004F3F63">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85421217"/>
      <w:docPartObj>
        <w:docPartGallery w:val="Page Numbers (Bottom of Page)"/>
        <w:docPartUnique/>
      </w:docPartObj>
    </w:sdtPr>
    <w:sdtEndPr>
      <w:rPr>
        <w:noProof/>
      </w:rPr>
    </w:sdtEndPr>
    <w:sdtContent>
      <w:p w14:paraId="681370D0" w14:textId="01FCE85F" w:rsidR="004F3F63" w:rsidRDefault="004F3F63">
        <w:pPr>
          <w:pStyle w:val="Footer"/>
        </w:pPr>
        <w:r>
          <w:fldChar w:fldCharType="begin"/>
        </w:r>
        <w:r>
          <w:instrText xml:space="preserve"> PAGE   \* MERGEFORMAT </w:instrText>
        </w:r>
        <w:r>
          <w:fldChar w:fldCharType="separate"/>
        </w:r>
        <w:r w:rsidR="00865B00">
          <w:rPr>
            <w:noProof/>
          </w:rPr>
          <w:t>23</w:t>
        </w:r>
        <w:r>
          <w:rPr>
            <w:noProof/>
          </w:rPr>
          <w:fldChar w:fldCharType="end"/>
        </w:r>
      </w:p>
    </w:sdtContent>
  </w:sdt>
  <w:p w14:paraId="4CDBC297" w14:textId="77777777" w:rsidR="004F3F63" w:rsidRPr="00287EFB" w:rsidRDefault="004F3F63" w:rsidP="00C130D2">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1559265"/>
      <w:docPartObj>
        <w:docPartGallery w:val="Page Numbers (Bottom of Page)"/>
        <w:docPartUnique/>
      </w:docPartObj>
    </w:sdtPr>
    <w:sdtEndPr>
      <w:rPr>
        <w:noProof/>
      </w:rPr>
    </w:sdtEndPr>
    <w:sdtContent>
      <w:p w14:paraId="5CA3E9BB" w14:textId="1048CB40" w:rsidR="004F3F63" w:rsidRDefault="004F3F63">
        <w:pPr>
          <w:pStyle w:val="Footer"/>
        </w:pPr>
        <w:r>
          <w:fldChar w:fldCharType="begin"/>
        </w:r>
        <w:r>
          <w:instrText xml:space="preserve"> PAGE   \* MERGEFORMAT </w:instrText>
        </w:r>
        <w:r>
          <w:fldChar w:fldCharType="separate"/>
        </w:r>
        <w:r w:rsidR="00865B00">
          <w:rPr>
            <w:noProof/>
          </w:rPr>
          <w:t>29</w:t>
        </w:r>
        <w:r>
          <w:rPr>
            <w:noProof/>
          </w:rPr>
          <w:fldChar w:fldCharType="end"/>
        </w:r>
      </w:p>
    </w:sdtContent>
  </w:sdt>
  <w:p w14:paraId="174A88E5" w14:textId="77777777" w:rsidR="004F3F63" w:rsidRDefault="004F3F63">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34610805"/>
      <w:docPartObj>
        <w:docPartGallery w:val="Page Numbers (Bottom of Page)"/>
        <w:docPartUnique/>
      </w:docPartObj>
    </w:sdtPr>
    <w:sdtEndPr>
      <w:rPr>
        <w:noProof/>
      </w:rPr>
    </w:sdtEndPr>
    <w:sdtContent>
      <w:p w14:paraId="44E07682" w14:textId="77777777" w:rsidR="004F3F63" w:rsidRDefault="00000000">
        <w:pPr>
          <w:pStyle w:val="Footer"/>
        </w:pPr>
      </w:p>
    </w:sdtContent>
  </w:sdt>
  <w:p w14:paraId="722F4066" w14:textId="77777777" w:rsidR="004F3F63" w:rsidRDefault="004F3F63">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68862087"/>
      <w:docPartObj>
        <w:docPartGallery w:val="Page Numbers (Bottom of Page)"/>
        <w:docPartUnique/>
      </w:docPartObj>
    </w:sdtPr>
    <w:sdtEndPr>
      <w:rPr>
        <w:noProof/>
      </w:rPr>
    </w:sdtEndPr>
    <w:sdtContent>
      <w:p w14:paraId="1A3CFCD5"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30BC4455" w14:textId="77777777" w:rsidR="004F3F63" w:rsidRPr="00231623" w:rsidRDefault="004F3F63" w:rsidP="00231623">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4654684"/>
      <w:docPartObj>
        <w:docPartGallery w:val="Page Numbers (Bottom of Page)"/>
        <w:docPartUnique/>
      </w:docPartObj>
    </w:sdtPr>
    <w:sdtEndPr>
      <w:rPr>
        <w:noProof/>
      </w:rPr>
    </w:sdtEndPr>
    <w:sdtContent>
      <w:p w14:paraId="3B1F84A6" w14:textId="77777777" w:rsidR="004F3F63" w:rsidRPr="001B7E15" w:rsidRDefault="004F3F63" w:rsidP="00C130D2">
        <w:pPr>
          <w:pStyle w:val="Footer"/>
        </w:pPr>
        <w:r w:rsidRPr="001B7E15">
          <w:fldChar w:fldCharType="begin"/>
        </w:r>
        <w:r w:rsidRPr="001B7E15">
          <w:instrText xml:space="preserve"> PAGE   \* MERGEFORMAT </w:instrText>
        </w:r>
        <w:r w:rsidRPr="001B7E15">
          <w:fldChar w:fldCharType="separate"/>
        </w:r>
        <w:r>
          <w:rPr>
            <w:noProof/>
          </w:rPr>
          <w:t>28</w:t>
        </w:r>
        <w:r w:rsidRPr="001B7E15">
          <w:rPr>
            <w:noProof/>
          </w:rPr>
          <w:fldChar w:fldCharType="end"/>
        </w:r>
      </w:p>
    </w:sdtContent>
  </w:sdt>
  <w:p w14:paraId="4330AED1" w14:textId="77777777" w:rsidR="004F3F63" w:rsidRPr="00725FF8" w:rsidRDefault="004F3F63" w:rsidP="00C130D2">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1775734"/>
      <w:docPartObj>
        <w:docPartGallery w:val="Page Numbers (Bottom of Page)"/>
        <w:docPartUnique/>
      </w:docPartObj>
    </w:sdtPr>
    <w:sdtEndPr>
      <w:rPr>
        <w:noProof/>
      </w:rPr>
    </w:sdtEndPr>
    <w:sdtContent>
      <w:p w14:paraId="7B5A8505"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5AADF811" w14:textId="77777777" w:rsidR="004F3F63" w:rsidRPr="00231623" w:rsidRDefault="004F3F63" w:rsidP="00231623">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71641143"/>
      <w:docPartObj>
        <w:docPartGallery w:val="Page Numbers (Bottom of Page)"/>
        <w:docPartUnique/>
      </w:docPartObj>
    </w:sdtPr>
    <w:sdtEndPr>
      <w:rPr>
        <w:noProof/>
      </w:rPr>
    </w:sdtEndPr>
    <w:sdtContent>
      <w:p w14:paraId="65399CF3" w14:textId="77777777" w:rsidR="004F3F63" w:rsidRPr="001B7E15" w:rsidRDefault="004F3F63" w:rsidP="00C130D2">
        <w:pPr>
          <w:pStyle w:val="Footer"/>
        </w:pPr>
        <w:r w:rsidRPr="001B7E15">
          <w:fldChar w:fldCharType="begin"/>
        </w:r>
        <w:r w:rsidRPr="001B7E15">
          <w:instrText xml:space="preserve"> PAGE   \* MERGEFORMAT </w:instrText>
        </w:r>
        <w:r w:rsidRPr="001B7E15">
          <w:fldChar w:fldCharType="separate"/>
        </w:r>
        <w:r>
          <w:rPr>
            <w:noProof/>
          </w:rPr>
          <w:t>2</w:t>
        </w:r>
        <w:r w:rsidRPr="001B7E15">
          <w:rPr>
            <w:noProof/>
          </w:rPr>
          <w:fldChar w:fldCharType="end"/>
        </w:r>
      </w:p>
    </w:sdtContent>
  </w:sdt>
  <w:p w14:paraId="6E46F8F5" w14:textId="77777777" w:rsidR="004F3F63" w:rsidRPr="00725FF8" w:rsidRDefault="004F3F63" w:rsidP="00C130D2">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42888015"/>
      <w:docPartObj>
        <w:docPartGallery w:val="Page Numbers (Bottom of Page)"/>
        <w:docPartUnique/>
      </w:docPartObj>
    </w:sdtPr>
    <w:sdtEndPr>
      <w:rPr>
        <w:noProof/>
      </w:rPr>
    </w:sdtEndPr>
    <w:sdtContent>
      <w:p w14:paraId="046399A0"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7C0931D0" w14:textId="77777777" w:rsidR="004F3F63" w:rsidRPr="00231623" w:rsidRDefault="004F3F63" w:rsidP="00C130D2">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27367517"/>
      <w:docPartObj>
        <w:docPartGallery w:val="Page Numbers (Bottom of Page)"/>
        <w:docPartUnique/>
      </w:docPartObj>
    </w:sdtPr>
    <w:sdtEndPr>
      <w:rPr>
        <w:noProof/>
      </w:rPr>
    </w:sdtEndPr>
    <w:sdtContent>
      <w:p w14:paraId="448EE26E" w14:textId="77777777"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Pr>
            <w:noProof/>
          </w:rPr>
          <w:t>1</w:t>
        </w:r>
        <w:r w:rsidRPr="001B7E15">
          <w:rPr>
            <w:noProof/>
          </w:rPr>
          <w:fldChar w:fldCharType="end"/>
        </w:r>
      </w:p>
    </w:sdtContent>
  </w:sdt>
  <w:p w14:paraId="38916AEE" w14:textId="77777777" w:rsidR="004F3F63" w:rsidRPr="00956C60" w:rsidRDefault="004F3F63" w:rsidP="00956C60">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61790631"/>
      <w:docPartObj>
        <w:docPartGallery w:val="Page Numbers (Bottom of Page)"/>
        <w:docPartUnique/>
      </w:docPartObj>
    </w:sdtPr>
    <w:sdtEndPr>
      <w:rPr>
        <w:noProof/>
      </w:rPr>
    </w:sdtEndPr>
    <w:sdtContent>
      <w:p w14:paraId="5B855AF0" w14:textId="1A36B388" w:rsidR="004F3F63" w:rsidRDefault="004F3F63">
        <w:pPr>
          <w:pStyle w:val="Footer"/>
        </w:pPr>
        <w:r>
          <w:fldChar w:fldCharType="begin"/>
        </w:r>
        <w:r>
          <w:instrText xml:space="preserve"> PAGE   \* MERGEFORMAT </w:instrText>
        </w:r>
        <w:r>
          <w:fldChar w:fldCharType="separate"/>
        </w:r>
        <w:r w:rsidR="00865B00">
          <w:rPr>
            <w:noProof/>
          </w:rPr>
          <w:t>31</w:t>
        </w:r>
        <w:r>
          <w:rPr>
            <w:noProof/>
          </w:rPr>
          <w:fldChar w:fldCharType="end"/>
        </w:r>
      </w:p>
    </w:sdtContent>
  </w:sdt>
  <w:p w14:paraId="25FE922A" w14:textId="77777777" w:rsidR="004F3F63" w:rsidRPr="00287EFB" w:rsidRDefault="004F3F63" w:rsidP="00C130D2">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05873835"/>
      <w:docPartObj>
        <w:docPartGallery w:val="Page Numbers (Bottom of Page)"/>
        <w:docPartUnique/>
      </w:docPartObj>
    </w:sdtPr>
    <w:sdtEndPr>
      <w:rPr>
        <w:noProof/>
      </w:rPr>
    </w:sdtEndPr>
    <w:sdtContent>
      <w:p w14:paraId="531F0919" w14:textId="3F18812A" w:rsidR="004F3F63" w:rsidRDefault="004F3F63">
        <w:pPr>
          <w:pStyle w:val="Footer"/>
        </w:pPr>
        <w:r>
          <w:fldChar w:fldCharType="begin"/>
        </w:r>
        <w:r>
          <w:instrText xml:space="preserve"> PAGE   \* MERGEFORMAT </w:instrText>
        </w:r>
        <w:r>
          <w:fldChar w:fldCharType="separate"/>
        </w:r>
        <w:r w:rsidR="00865B00">
          <w:rPr>
            <w:noProof/>
          </w:rPr>
          <w:t>30</w:t>
        </w:r>
        <w:r>
          <w:rPr>
            <w:noProof/>
          </w:rPr>
          <w:fldChar w:fldCharType="end"/>
        </w:r>
      </w:p>
    </w:sdtContent>
  </w:sdt>
  <w:p w14:paraId="68ACF153" w14:textId="77777777" w:rsidR="004F3F63" w:rsidRDefault="004F3F63">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51109205"/>
      <w:docPartObj>
        <w:docPartGallery w:val="Page Numbers (Bottom of Page)"/>
        <w:docPartUnique/>
      </w:docPartObj>
    </w:sdtPr>
    <w:sdtEndPr>
      <w:rPr>
        <w:noProof/>
      </w:rPr>
    </w:sdtEndPr>
    <w:sdtContent>
      <w:p w14:paraId="6685679C"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26E4A956" w14:textId="77777777" w:rsidR="004F3F63" w:rsidRPr="00231623" w:rsidRDefault="004F3F63" w:rsidP="00231623">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05561542"/>
      <w:docPartObj>
        <w:docPartGallery w:val="Page Numbers (Bottom of Page)"/>
        <w:docPartUnique/>
      </w:docPartObj>
    </w:sdtPr>
    <w:sdtEndPr>
      <w:rPr>
        <w:noProof/>
      </w:rPr>
    </w:sdtEndPr>
    <w:sdtContent>
      <w:p w14:paraId="31505028" w14:textId="6455927C" w:rsidR="004F3F63" w:rsidRPr="001B7E15" w:rsidRDefault="004F3F63" w:rsidP="00C130D2">
        <w:pPr>
          <w:pStyle w:val="Footer"/>
        </w:pPr>
        <w:r w:rsidRPr="001B7E15">
          <w:fldChar w:fldCharType="begin"/>
        </w:r>
        <w:r w:rsidRPr="001B7E15">
          <w:instrText xml:space="preserve"> PAGE   \* MERGEFORMAT </w:instrText>
        </w:r>
        <w:r w:rsidRPr="001B7E15">
          <w:fldChar w:fldCharType="separate"/>
        </w:r>
        <w:r w:rsidR="00865B00">
          <w:rPr>
            <w:noProof/>
          </w:rPr>
          <w:t>32</w:t>
        </w:r>
        <w:r w:rsidRPr="001B7E15">
          <w:rPr>
            <w:noProof/>
          </w:rPr>
          <w:fldChar w:fldCharType="end"/>
        </w:r>
      </w:p>
    </w:sdtContent>
  </w:sdt>
  <w:p w14:paraId="711FC97F" w14:textId="77777777" w:rsidR="004F3F63" w:rsidRPr="00725FF8" w:rsidRDefault="004F3F63" w:rsidP="00C130D2">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0008135"/>
      <w:docPartObj>
        <w:docPartGallery w:val="Page Numbers (Bottom of Page)"/>
        <w:docPartUnique/>
      </w:docPartObj>
    </w:sdtPr>
    <w:sdtEndPr>
      <w:rPr>
        <w:noProof/>
      </w:rPr>
    </w:sdtEndPr>
    <w:sdtContent>
      <w:p w14:paraId="4DEEC0F2"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5B6CD31D" w14:textId="77777777" w:rsidR="004F3F63" w:rsidRPr="00231623" w:rsidRDefault="004F3F63" w:rsidP="00231623">
    <w:pPr>
      <w:pStyle w:val="Footer"/>
    </w:pPr>
  </w:p>
  <w:p w14:paraId="78EBD925" w14:textId="77777777" w:rsidR="004F3F63" w:rsidRDefault="004F3F63"/>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73308284"/>
      <w:docPartObj>
        <w:docPartGallery w:val="Page Numbers (Bottom of Page)"/>
        <w:docPartUnique/>
      </w:docPartObj>
    </w:sdtPr>
    <w:sdtEndPr>
      <w:rPr>
        <w:noProof/>
      </w:rPr>
    </w:sdtEndPr>
    <w:sdtContent>
      <w:p w14:paraId="2A4ADBA7" w14:textId="5A4FA2CD" w:rsidR="004F3F63" w:rsidRPr="001B7E15" w:rsidRDefault="004F3F63" w:rsidP="00C130D2">
        <w:pPr>
          <w:pStyle w:val="Footer"/>
        </w:pPr>
        <w:r w:rsidRPr="001B7E15">
          <w:fldChar w:fldCharType="begin"/>
        </w:r>
        <w:r w:rsidRPr="001B7E15">
          <w:instrText xml:space="preserve"> PAGE   \* MERGEFORMAT </w:instrText>
        </w:r>
        <w:r w:rsidRPr="001B7E15">
          <w:fldChar w:fldCharType="separate"/>
        </w:r>
        <w:r w:rsidR="00865B00">
          <w:rPr>
            <w:noProof/>
          </w:rPr>
          <w:t>37</w:t>
        </w:r>
        <w:r w:rsidRPr="001B7E15">
          <w:rPr>
            <w:noProof/>
          </w:rPr>
          <w:fldChar w:fldCharType="end"/>
        </w:r>
      </w:p>
    </w:sdtContent>
  </w:sdt>
  <w:p w14:paraId="73BA49DB" w14:textId="32920E88" w:rsidR="004F3F63" w:rsidRDefault="004F3F63" w:rsidP="009C15BF">
    <w:pPr>
      <w:spacing w:after="0"/>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05564734"/>
      <w:docPartObj>
        <w:docPartGallery w:val="Page Numbers (Bottom of Page)"/>
        <w:docPartUnique/>
      </w:docPartObj>
    </w:sdtPr>
    <w:sdtEndPr>
      <w:rPr>
        <w:noProof/>
      </w:rPr>
    </w:sdtEndPr>
    <w:sdtContent>
      <w:p w14:paraId="1315347E"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2F8B8371" w14:textId="77777777" w:rsidR="004F3F63" w:rsidRPr="00231623" w:rsidRDefault="004F3F63" w:rsidP="00C130D2">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30074376"/>
      <w:docPartObj>
        <w:docPartGallery w:val="Page Numbers (Bottom of Page)"/>
        <w:docPartUnique/>
      </w:docPartObj>
    </w:sdtPr>
    <w:sdtEndPr>
      <w:rPr>
        <w:noProof/>
      </w:rPr>
    </w:sdtEndPr>
    <w:sdtContent>
      <w:p w14:paraId="6F034140" w14:textId="60651731"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Pr>
            <w:noProof/>
          </w:rPr>
          <w:t>38</w:t>
        </w:r>
        <w:r w:rsidRPr="001B7E15">
          <w:rPr>
            <w:noProof/>
          </w:rPr>
          <w:fldChar w:fldCharType="end"/>
        </w:r>
      </w:p>
    </w:sdtContent>
  </w:sdt>
  <w:p w14:paraId="6AEB356D" w14:textId="77777777" w:rsidR="004F3F63" w:rsidRPr="00956C60" w:rsidRDefault="004F3F63" w:rsidP="00956C60">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5217734"/>
      <w:docPartObj>
        <w:docPartGallery w:val="Page Numbers (Bottom of Page)"/>
        <w:docPartUnique/>
      </w:docPartObj>
    </w:sdtPr>
    <w:sdtEndPr>
      <w:rPr>
        <w:noProof/>
      </w:rPr>
    </w:sdtEndPr>
    <w:sdtContent>
      <w:p w14:paraId="0A278F6D"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2AB606A4" w14:textId="77777777" w:rsidR="004F3F63" w:rsidRPr="00231623" w:rsidRDefault="004F3F63" w:rsidP="00C130D2">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22816122"/>
      <w:docPartObj>
        <w:docPartGallery w:val="Page Numbers (Bottom of Page)"/>
        <w:docPartUnique/>
      </w:docPartObj>
    </w:sdtPr>
    <w:sdtEndPr>
      <w:rPr>
        <w:noProof/>
      </w:rPr>
    </w:sdtEndPr>
    <w:sdtContent>
      <w:p w14:paraId="67C6D160" w14:textId="72272637"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sidR="00865B00">
          <w:rPr>
            <w:noProof/>
          </w:rPr>
          <w:t>38</w:t>
        </w:r>
        <w:r w:rsidRPr="001B7E15">
          <w:rPr>
            <w:noProof/>
          </w:rPr>
          <w:fldChar w:fldCharType="end"/>
        </w:r>
      </w:p>
    </w:sdtContent>
  </w:sdt>
  <w:p w14:paraId="515B2C90" w14:textId="77777777" w:rsidR="004F3F63" w:rsidRPr="00956C60" w:rsidRDefault="004F3F63" w:rsidP="00956C60">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38377574"/>
      <w:docPartObj>
        <w:docPartGallery w:val="Page Numbers (Bottom of Page)"/>
        <w:docPartUnique/>
      </w:docPartObj>
    </w:sdtPr>
    <w:sdtEndPr>
      <w:rPr>
        <w:noProof/>
      </w:rPr>
    </w:sdtEndPr>
    <w:sdtContent>
      <w:p w14:paraId="2E2974EA"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10</w:t>
        </w:r>
        <w:r w:rsidRPr="001B7E15">
          <w:rPr>
            <w:noProof/>
          </w:rPr>
          <w:fldChar w:fldCharType="end"/>
        </w:r>
      </w:p>
    </w:sdtContent>
  </w:sdt>
  <w:p w14:paraId="077705C9" w14:textId="77777777" w:rsidR="004F3F63" w:rsidRPr="00231623" w:rsidRDefault="004F3F63" w:rsidP="00C130D2">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26603696"/>
      <w:docPartObj>
        <w:docPartGallery w:val="Page Numbers (Bottom of Page)"/>
        <w:docPartUnique/>
      </w:docPartObj>
    </w:sdtPr>
    <w:sdtEndPr>
      <w:rPr>
        <w:noProof/>
      </w:rPr>
    </w:sdtEndPr>
    <w:sdtContent>
      <w:p w14:paraId="49E45D7B" w14:textId="77777777"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58E3254D" w14:textId="77777777" w:rsidR="004F3F63" w:rsidRPr="00956C60" w:rsidRDefault="004F3F63" w:rsidP="00956C6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1220299"/>
      <w:docPartObj>
        <w:docPartGallery w:val="Page Numbers (Bottom of Page)"/>
        <w:docPartUnique/>
      </w:docPartObj>
    </w:sdtPr>
    <w:sdtEndPr>
      <w:rPr>
        <w:noProof/>
      </w:rPr>
    </w:sdtEndPr>
    <w:sdtContent>
      <w:p w14:paraId="5D04DFD3"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50</w:t>
        </w:r>
        <w:r w:rsidRPr="001B7E15">
          <w:rPr>
            <w:noProof/>
          </w:rPr>
          <w:fldChar w:fldCharType="end"/>
        </w:r>
      </w:p>
    </w:sdtContent>
  </w:sdt>
  <w:p w14:paraId="1F0B8CCD" w14:textId="77777777" w:rsidR="004F3F63" w:rsidRPr="00231623" w:rsidRDefault="004F3F63" w:rsidP="00C130D2">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24446140"/>
      <w:docPartObj>
        <w:docPartGallery w:val="Page Numbers (Bottom of Page)"/>
        <w:docPartUnique/>
      </w:docPartObj>
    </w:sdtPr>
    <w:sdtEndPr>
      <w:rPr>
        <w:noProof/>
      </w:rPr>
    </w:sdtEndPr>
    <w:sdtContent>
      <w:p w14:paraId="4A90158C" w14:textId="77777777"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Pr>
            <w:noProof/>
          </w:rPr>
          <w:t>8</w:t>
        </w:r>
        <w:r w:rsidRPr="001B7E15">
          <w:rPr>
            <w:noProof/>
          </w:rPr>
          <w:fldChar w:fldCharType="end"/>
        </w:r>
      </w:p>
    </w:sdtContent>
  </w:sdt>
  <w:p w14:paraId="149773E7" w14:textId="77777777" w:rsidR="004F3F63" w:rsidRPr="00956C60" w:rsidRDefault="004F3F63" w:rsidP="00956C60">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7659858"/>
      <w:docPartObj>
        <w:docPartGallery w:val="Page Numbers (Bottom of Page)"/>
        <w:docPartUnique/>
      </w:docPartObj>
    </w:sdtPr>
    <w:sdtEndPr>
      <w:rPr>
        <w:noProof/>
      </w:rPr>
    </w:sdtEndPr>
    <w:sdtContent>
      <w:p w14:paraId="229A1002"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0B64ECFA" w14:textId="77777777" w:rsidR="004F3F63" w:rsidRPr="00231623" w:rsidRDefault="004F3F63" w:rsidP="00C130D2">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45535924"/>
      <w:docPartObj>
        <w:docPartGallery w:val="Page Numbers (Bottom of Page)"/>
        <w:docPartUnique/>
      </w:docPartObj>
    </w:sdtPr>
    <w:sdtEndPr>
      <w:rPr>
        <w:noProof/>
      </w:rPr>
    </w:sdtEndPr>
    <w:sdtContent>
      <w:p w14:paraId="7A1D3FB7" w14:textId="4DAC2236"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sidR="00865B00">
          <w:rPr>
            <w:noProof/>
          </w:rPr>
          <w:t>40</w:t>
        </w:r>
        <w:r w:rsidRPr="001B7E15">
          <w:rPr>
            <w:noProof/>
          </w:rPr>
          <w:fldChar w:fldCharType="end"/>
        </w:r>
      </w:p>
    </w:sdtContent>
  </w:sdt>
  <w:p w14:paraId="4F223A7A" w14:textId="77777777" w:rsidR="004F3F63" w:rsidRPr="00956C60" w:rsidRDefault="004F3F63" w:rsidP="00956C60">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36434843"/>
      <w:docPartObj>
        <w:docPartGallery w:val="Page Numbers (Bottom of Page)"/>
        <w:docPartUnique/>
      </w:docPartObj>
    </w:sdtPr>
    <w:sdtEndPr>
      <w:rPr>
        <w:noProof/>
      </w:rPr>
    </w:sdtEndPr>
    <w:sdtContent>
      <w:p w14:paraId="3E171B6D"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4</w:t>
        </w:r>
        <w:r w:rsidRPr="001B7E15">
          <w:rPr>
            <w:noProof/>
          </w:rPr>
          <w:fldChar w:fldCharType="end"/>
        </w:r>
      </w:p>
    </w:sdtContent>
  </w:sdt>
  <w:p w14:paraId="1783F4D9" w14:textId="77777777" w:rsidR="004F3F63" w:rsidRPr="00231623" w:rsidRDefault="004F3F63" w:rsidP="00C130D2">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83149981"/>
      <w:docPartObj>
        <w:docPartGallery w:val="Page Numbers (Bottom of Page)"/>
        <w:docPartUnique/>
      </w:docPartObj>
    </w:sdtPr>
    <w:sdtEndPr>
      <w:rPr>
        <w:noProof/>
      </w:rPr>
    </w:sdtEndPr>
    <w:sdtContent>
      <w:p w14:paraId="21AB10CF" w14:textId="1C1B73E7"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sidR="00865B00">
          <w:rPr>
            <w:noProof/>
          </w:rPr>
          <w:t>45</w:t>
        </w:r>
        <w:r w:rsidRPr="001B7E15">
          <w:rPr>
            <w:noProof/>
          </w:rPr>
          <w:fldChar w:fldCharType="end"/>
        </w:r>
      </w:p>
    </w:sdtContent>
  </w:sdt>
  <w:p w14:paraId="3AB099D6" w14:textId="77777777" w:rsidR="004F3F63" w:rsidRPr="00956C60" w:rsidRDefault="004F3F63" w:rsidP="00956C60">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79490390"/>
      <w:docPartObj>
        <w:docPartGallery w:val="Page Numbers (Bottom of Page)"/>
        <w:docPartUnique/>
      </w:docPartObj>
    </w:sdtPr>
    <w:sdtEndPr>
      <w:rPr>
        <w:noProof/>
      </w:rPr>
    </w:sdtEndPr>
    <w:sdtContent>
      <w:p w14:paraId="52E1F39F" w14:textId="2079751D" w:rsidR="004F3F63" w:rsidRDefault="004F3F63">
        <w:pPr>
          <w:pStyle w:val="Footer"/>
        </w:pPr>
        <w:r>
          <w:fldChar w:fldCharType="begin"/>
        </w:r>
        <w:r>
          <w:instrText xml:space="preserve"> PAGE   \* MERGEFORMAT </w:instrText>
        </w:r>
        <w:r>
          <w:fldChar w:fldCharType="separate"/>
        </w:r>
        <w:r>
          <w:rPr>
            <w:noProof/>
          </w:rPr>
          <w:t>38</w:t>
        </w:r>
        <w:r>
          <w:rPr>
            <w:noProof/>
          </w:rPr>
          <w:fldChar w:fldCharType="end"/>
        </w:r>
      </w:p>
    </w:sdtContent>
  </w:sdt>
  <w:p w14:paraId="414BF3DA" w14:textId="77777777" w:rsidR="004F3F63" w:rsidRDefault="004F3F63">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23391148"/>
      <w:docPartObj>
        <w:docPartGallery w:val="Page Numbers (Bottom of Page)"/>
        <w:docPartUnique/>
      </w:docPartObj>
    </w:sdtPr>
    <w:sdtEndPr>
      <w:rPr>
        <w:noProof/>
      </w:rPr>
    </w:sdtEndPr>
    <w:sdtContent>
      <w:p w14:paraId="05F4B3AB" w14:textId="77777777" w:rsidR="004F3F63" w:rsidRDefault="004F3F63">
        <w:pPr>
          <w:pStyle w:val="Footer"/>
        </w:pPr>
        <w:r>
          <w:fldChar w:fldCharType="begin"/>
        </w:r>
        <w:r>
          <w:instrText xml:space="preserve"> PAGE   \* MERGEFORMAT </w:instrText>
        </w:r>
        <w:r>
          <w:fldChar w:fldCharType="separate"/>
        </w:r>
        <w:r>
          <w:rPr>
            <w:noProof/>
          </w:rPr>
          <w:t>2</w:t>
        </w:r>
        <w:r>
          <w:rPr>
            <w:noProof/>
          </w:rPr>
          <w:fldChar w:fldCharType="end"/>
        </w:r>
      </w:p>
    </w:sdtContent>
  </w:sdt>
  <w:p w14:paraId="179D695C" w14:textId="77777777" w:rsidR="004F3F63" w:rsidRDefault="004F3F63">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40375241"/>
      <w:docPartObj>
        <w:docPartGallery w:val="Page Numbers (Bottom of Page)"/>
        <w:docPartUnique/>
      </w:docPartObj>
    </w:sdtPr>
    <w:sdtEndPr>
      <w:rPr>
        <w:noProof/>
      </w:rPr>
    </w:sdtEndPr>
    <w:sdtContent>
      <w:p w14:paraId="48A49060" w14:textId="77777777" w:rsidR="004F3F63" w:rsidRPr="001B7E15"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12</w:t>
        </w:r>
        <w:r w:rsidRPr="001B7E15">
          <w:rPr>
            <w:noProof/>
          </w:rPr>
          <w:fldChar w:fldCharType="end"/>
        </w:r>
      </w:p>
    </w:sdtContent>
  </w:sdt>
  <w:p w14:paraId="6C438D16" w14:textId="77777777" w:rsidR="004F3F63" w:rsidRPr="00231623" w:rsidRDefault="004F3F63" w:rsidP="00C130D2">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04761709"/>
      <w:docPartObj>
        <w:docPartGallery w:val="Page Numbers (Bottom of Page)"/>
        <w:docPartUnique/>
      </w:docPartObj>
    </w:sdtPr>
    <w:sdtEndPr>
      <w:rPr>
        <w:noProof/>
      </w:rPr>
    </w:sdtEndPr>
    <w:sdtContent>
      <w:p w14:paraId="6CAA3515" w14:textId="1BC55CCA" w:rsidR="004F3F63" w:rsidRDefault="004F3F63" w:rsidP="00C130D2">
        <w:pPr>
          <w:pStyle w:val="Footer"/>
          <w:rPr>
            <w:noProof/>
          </w:rPr>
        </w:pPr>
        <w:r w:rsidRPr="001B7E15">
          <w:fldChar w:fldCharType="begin"/>
        </w:r>
        <w:r w:rsidRPr="001B7E15">
          <w:instrText xml:space="preserve"> PAGE   \* MERGEFORMAT </w:instrText>
        </w:r>
        <w:r w:rsidRPr="001B7E15">
          <w:fldChar w:fldCharType="separate"/>
        </w:r>
        <w:r w:rsidR="00865B00">
          <w:rPr>
            <w:noProof/>
          </w:rPr>
          <w:t>50</w:t>
        </w:r>
        <w:r w:rsidRPr="001B7E15">
          <w:rPr>
            <w:noProof/>
          </w:rPr>
          <w:fldChar w:fldCharType="end"/>
        </w:r>
      </w:p>
    </w:sdtContent>
  </w:sdt>
  <w:p w14:paraId="58C36422" w14:textId="77777777" w:rsidR="004F3F63" w:rsidRPr="00956C60" w:rsidRDefault="004F3F63" w:rsidP="00956C60">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1344506"/>
      <w:docPartObj>
        <w:docPartGallery w:val="Page Numbers (Bottom of Page)"/>
        <w:docPartUnique/>
      </w:docPartObj>
    </w:sdtPr>
    <w:sdtEndPr>
      <w:rPr>
        <w:noProof/>
      </w:rPr>
    </w:sdtEndPr>
    <w:sdtContent>
      <w:p w14:paraId="71AB419A" w14:textId="77777777" w:rsidR="004F3F63" w:rsidRPr="001B7E15" w:rsidRDefault="004F3F63"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5200969F" w14:textId="77777777" w:rsidR="004F3F63" w:rsidRPr="00231623" w:rsidRDefault="004F3F63" w:rsidP="00B51BEB">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41462609"/>
      <w:docPartObj>
        <w:docPartGallery w:val="Page Numbers (Bottom of Page)"/>
        <w:docPartUnique/>
      </w:docPartObj>
    </w:sdtPr>
    <w:sdtEndPr>
      <w:rPr>
        <w:noProof/>
      </w:rPr>
    </w:sdtEndPr>
    <w:sdtContent>
      <w:p w14:paraId="2727244A" w14:textId="6B5B827A" w:rsidR="004F3F63" w:rsidRDefault="004F3F63" w:rsidP="00B51BEB">
        <w:pPr>
          <w:pStyle w:val="Footer"/>
          <w:rPr>
            <w:noProof/>
          </w:rPr>
        </w:pPr>
        <w:r w:rsidRPr="001B7E15">
          <w:fldChar w:fldCharType="begin"/>
        </w:r>
        <w:r w:rsidRPr="001B7E15">
          <w:instrText xml:space="preserve"> PAGE   \* MERGEFORMAT </w:instrText>
        </w:r>
        <w:r w:rsidRPr="001B7E15">
          <w:fldChar w:fldCharType="separate"/>
        </w:r>
        <w:r w:rsidR="00865B00">
          <w:rPr>
            <w:noProof/>
          </w:rPr>
          <w:t>51</w:t>
        </w:r>
        <w:r w:rsidRPr="001B7E15">
          <w:rPr>
            <w:noProof/>
          </w:rPr>
          <w:fldChar w:fldCharType="end"/>
        </w:r>
      </w:p>
    </w:sdtContent>
  </w:sdt>
  <w:p w14:paraId="23A7E375" w14:textId="77777777" w:rsidR="004F3F63" w:rsidRPr="00956C60" w:rsidRDefault="004F3F63" w:rsidP="00B51BEB">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23203351"/>
      <w:docPartObj>
        <w:docPartGallery w:val="Page Numbers (Bottom of Page)"/>
        <w:docPartUnique/>
      </w:docPartObj>
    </w:sdtPr>
    <w:sdtEndPr>
      <w:rPr>
        <w:noProof/>
      </w:rPr>
    </w:sdtEndPr>
    <w:sdtContent>
      <w:p w14:paraId="751E9517" w14:textId="77777777" w:rsidR="004F3F63" w:rsidRPr="001B7E15" w:rsidRDefault="004F3F63"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314A8972" w14:textId="77777777" w:rsidR="004F3F63" w:rsidRPr="00231623" w:rsidRDefault="004F3F63" w:rsidP="00B51BEB">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01712566"/>
      <w:docPartObj>
        <w:docPartGallery w:val="Page Numbers (Bottom of Page)"/>
        <w:docPartUnique/>
      </w:docPartObj>
    </w:sdtPr>
    <w:sdtEndPr>
      <w:rPr>
        <w:noProof/>
      </w:rPr>
    </w:sdtEndPr>
    <w:sdtContent>
      <w:p w14:paraId="53E223E9" w14:textId="63CA4E89" w:rsidR="004F3F63" w:rsidRDefault="004F3F63" w:rsidP="00B51BEB">
        <w:pPr>
          <w:pStyle w:val="Footer"/>
          <w:rPr>
            <w:noProof/>
          </w:rPr>
        </w:pPr>
        <w:r w:rsidRPr="001B7E15">
          <w:fldChar w:fldCharType="begin"/>
        </w:r>
        <w:r w:rsidRPr="001B7E15">
          <w:instrText xml:space="preserve"> PAGE   \* MERGEFORMAT </w:instrText>
        </w:r>
        <w:r w:rsidRPr="001B7E15">
          <w:fldChar w:fldCharType="separate"/>
        </w:r>
        <w:r w:rsidR="00865B00">
          <w:rPr>
            <w:noProof/>
          </w:rPr>
          <w:t>60</w:t>
        </w:r>
        <w:r w:rsidRPr="001B7E15">
          <w:rPr>
            <w:noProof/>
          </w:rPr>
          <w:fldChar w:fldCharType="end"/>
        </w:r>
      </w:p>
    </w:sdtContent>
  </w:sdt>
  <w:p w14:paraId="25888A06" w14:textId="77777777" w:rsidR="004F3F63" w:rsidRPr="00956C60" w:rsidRDefault="004F3F63" w:rsidP="00B51BEB">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17837812"/>
      <w:docPartObj>
        <w:docPartGallery w:val="Page Numbers (Bottom of Page)"/>
        <w:docPartUnique/>
      </w:docPartObj>
    </w:sdtPr>
    <w:sdtEndPr>
      <w:rPr>
        <w:noProof/>
      </w:rPr>
    </w:sdtEndPr>
    <w:sdtContent>
      <w:p w14:paraId="7CA2E2E9" w14:textId="77777777" w:rsidR="004F3F63" w:rsidRPr="001B7E15" w:rsidRDefault="004F3F63" w:rsidP="00B51BEB">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0FE7F0C5" w14:textId="77777777" w:rsidR="004F3F63" w:rsidRPr="00231623" w:rsidRDefault="004F3F63" w:rsidP="00B51BEB">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47911858"/>
      <w:docPartObj>
        <w:docPartGallery w:val="Page Numbers (Bottom of Page)"/>
        <w:docPartUnique/>
      </w:docPartObj>
    </w:sdtPr>
    <w:sdtEndPr>
      <w:rPr>
        <w:noProof/>
      </w:rPr>
    </w:sdtEndPr>
    <w:sdtContent>
      <w:p w14:paraId="07C7956E" w14:textId="1241FD9B" w:rsidR="004F3F63" w:rsidRDefault="004F3F63" w:rsidP="00B51BEB">
        <w:pPr>
          <w:pStyle w:val="Footer"/>
          <w:rPr>
            <w:noProof/>
          </w:rPr>
        </w:pPr>
        <w:r w:rsidRPr="001B7E15">
          <w:fldChar w:fldCharType="begin"/>
        </w:r>
        <w:r w:rsidRPr="001B7E15">
          <w:instrText xml:space="preserve"> PAGE   \* MERGEFORMAT </w:instrText>
        </w:r>
        <w:r w:rsidRPr="001B7E15">
          <w:fldChar w:fldCharType="separate"/>
        </w:r>
        <w:r w:rsidR="00865B00">
          <w:rPr>
            <w:noProof/>
          </w:rPr>
          <w:t>73</w:t>
        </w:r>
        <w:r w:rsidRPr="001B7E15">
          <w:rPr>
            <w:noProof/>
          </w:rPr>
          <w:fldChar w:fldCharType="end"/>
        </w:r>
      </w:p>
    </w:sdtContent>
  </w:sdt>
  <w:p w14:paraId="0EBC4F64" w14:textId="77777777" w:rsidR="004F3F63" w:rsidRPr="00956C60" w:rsidRDefault="004F3F63" w:rsidP="00B51BEB">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0594641"/>
      <w:docPartObj>
        <w:docPartGallery w:val="Page Numbers (Bottom of Page)"/>
        <w:docPartUnique/>
      </w:docPartObj>
    </w:sdtPr>
    <w:sdtEndPr>
      <w:rPr>
        <w:noProof/>
      </w:rPr>
    </w:sdtEndPr>
    <w:sdtContent>
      <w:p w14:paraId="327EC64F" w14:textId="77777777" w:rsidR="004F3F63" w:rsidRPr="001B7E15" w:rsidRDefault="004F3F63"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448A9D7D" w14:textId="77777777" w:rsidR="004F3F63" w:rsidRPr="00231623" w:rsidRDefault="004F3F63" w:rsidP="00D500A7">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1081999"/>
      <w:docPartObj>
        <w:docPartGallery w:val="Page Numbers (Bottom of Page)"/>
        <w:docPartUnique/>
      </w:docPartObj>
    </w:sdtPr>
    <w:sdtEndPr>
      <w:rPr>
        <w:noProof/>
      </w:rPr>
    </w:sdtEndPr>
    <w:sdtContent>
      <w:p w14:paraId="70D31EC1" w14:textId="2CB10F44" w:rsidR="004F3F63" w:rsidRDefault="004F3F63" w:rsidP="00D500A7">
        <w:pPr>
          <w:pStyle w:val="Footer"/>
          <w:rPr>
            <w:noProof/>
          </w:rPr>
        </w:pPr>
        <w:r w:rsidRPr="001B7E15">
          <w:fldChar w:fldCharType="begin"/>
        </w:r>
        <w:r w:rsidRPr="001B7E15">
          <w:instrText xml:space="preserve"> PAGE   \* MERGEFORMAT </w:instrText>
        </w:r>
        <w:r w:rsidRPr="001B7E15">
          <w:fldChar w:fldCharType="separate"/>
        </w:r>
        <w:r w:rsidR="00865B00">
          <w:rPr>
            <w:noProof/>
          </w:rPr>
          <w:t>74</w:t>
        </w:r>
        <w:r w:rsidRPr="001B7E15">
          <w:rPr>
            <w:noProof/>
          </w:rPr>
          <w:fldChar w:fldCharType="end"/>
        </w:r>
      </w:p>
    </w:sdtContent>
  </w:sdt>
  <w:p w14:paraId="6E4FC174" w14:textId="77777777" w:rsidR="004F3F63" w:rsidRPr="00956C60" w:rsidRDefault="004F3F63" w:rsidP="00D500A7">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7254257"/>
      <w:docPartObj>
        <w:docPartGallery w:val="Page Numbers (Bottom of Page)"/>
        <w:docPartUnique/>
      </w:docPartObj>
    </w:sdtPr>
    <w:sdtEndPr>
      <w:rPr>
        <w:noProof/>
      </w:rPr>
    </w:sdtEndPr>
    <w:sdtContent>
      <w:p w14:paraId="07021C7A" w14:textId="77777777" w:rsidR="004F3F63" w:rsidRPr="001B7E15" w:rsidRDefault="004F3F63" w:rsidP="00D500A7">
        <w:pPr>
          <w:pStyle w:val="Footer"/>
          <w:jc w:val="right"/>
        </w:pPr>
        <w:r w:rsidRPr="001B7E15">
          <w:fldChar w:fldCharType="begin"/>
        </w:r>
        <w:r w:rsidRPr="001B7E15">
          <w:instrText xml:space="preserve"> PAGE   \* MERGEFORMAT </w:instrText>
        </w:r>
        <w:r w:rsidRPr="001B7E15">
          <w:fldChar w:fldCharType="separate"/>
        </w:r>
        <w:r>
          <w:rPr>
            <w:noProof/>
          </w:rPr>
          <w:t>58</w:t>
        </w:r>
        <w:r w:rsidRPr="001B7E15">
          <w:rPr>
            <w:noProof/>
          </w:rPr>
          <w:fldChar w:fldCharType="end"/>
        </w:r>
      </w:p>
    </w:sdtContent>
  </w:sdt>
  <w:p w14:paraId="770B23D2" w14:textId="77777777" w:rsidR="004F3F63" w:rsidRPr="00231623" w:rsidRDefault="004F3F63" w:rsidP="00D500A7">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25409187"/>
      <w:docPartObj>
        <w:docPartGallery w:val="Page Numbers (Bottom of Page)"/>
        <w:docPartUnique/>
      </w:docPartObj>
    </w:sdtPr>
    <w:sdtEndPr>
      <w:rPr>
        <w:noProof/>
      </w:rPr>
    </w:sdtEndPr>
    <w:sdtContent>
      <w:p w14:paraId="62987BEA" w14:textId="431DB114" w:rsidR="004F3F63" w:rsidRDefault="004F3F63" w:rsidP="00D500A7">
        <w:pPr>
          <w:pStyle w:val="Footer"/>
          <w:rPr>
            <w:noProof/>
          </w:rPr>
        </w:pPr>
        <w:r w:rsidRPr="001B7E15">
          <w:fldChar w:fldCharType="begin"/>
        </w:r>
        <w:r w:rsidRPr="001B7E15">
          <w:instrText xml:space="preserve"> PAGE   \* MERGEFORMAT </w:instrText>
        </w:r>
        <w:r w:rsidRPr="001B7E15">
          <w:fldChar w:fldCharType="separate"/>
        </w:r>
        <w:r w:rsidR="00865B00">
          <w:rPr>
            <w:noProof/>
          </w:rPr>
          <w:t>79</w:t>
        </w:r>
        <w:r w:rsidRPr="001B7E15">
          <w:rPr>
            <w:noProof/>
          </w:rPr>
          <w:fldChar w:fldCharType="end"/>
        </w:r>
      </w:p>
    </w:sdtContent>
  </w:sdt>
  <w:p w14:paraId="0ED6A7B7" w14:textId="77777777" w:rsidR="004F3F63" w:rsidRPr="00956C60" w:rsidRDefault="004F3F63" w:rsidP="00D500A7">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0547478"/>
      <w:docPartObj>
        <w:docPartGallery w:val="Page Numbers (Bottom of Page)"/>
        <w:docPartUnique/>
      </w:docPartObj>
    </w:sdtPr>
    <w:sdtEndPr>
      <w:rPr>
        <w:noProof/>
      </w:rPr>
    </w:sdtEndPr>
    <w:sdtContent>
      <w:sdt>
        <w:sdtPr>
          <w:id w:val="991600081"/>
          <w:docPartObj>
            <w:docPartGallery w:val="Page Numbers (Bottom of Page)"/>
            <w:docPartUnique/>
          </w:docPartObj>
        </w:sdtPr>
        <w:sdtEndPr>
          <w:rPr>
            <w:noProof/>
          </w:rPr>
        </w:sdtEndPr>
        <w:sdtContent>
          <w:p w14:paraId="4B769F5A" w14:textId="77777777" w:rsidR="004F3F63" w:rsidRPr="00F061F2" w:rsidRDefault="004F3F63" w:rsidP="00C130D2">
            <w:pPr>
              <w:pStyle w:val="Footer"/>
              <w:jc w:val="right"/>
            </w:pPr>
            <w:r w:rsidRPr="001B7E15">
              <w:fldChar w:fldCharType="begin"/>
            </w:r>
            <w:r w:rsidRPr="001B7E15">
              <w:instrText xml:space="preserve"> PAGE   \* MERGEFORMAT </w:instrText>
            </w:r>
            <w:r w:rsidRPr="001B7E15">
              <w:fldChar w:fldCharType="separate"/>
            </w:r>
            <w:r>
              <w:rPr>
                <w:noProof/>
              </w:rPr>
              <w:t>88</w:t>
            </w:r>
            <w:r w:rsidRPr="001B7E15">
              <w:rPr>
                <w:noProof/>
              </w:rPr>
              <w:fldChar w:fldCharType="end"/>
            </w:r>
          </w:p>
        </w:sdtContent>
      </w:sdt>
    </w:sdtContent>
  </w:sdt>
  <w:p w14:paraId="20CC1F3B" w14:textId="77777777" w:rsidR="004F3F63" w:rsidRDefault="004F3F63" w:rsidP="00542CA2">
    <w:pPr>
      <w:spacing w:after="0"/>
    </w:pPr>
  </w:p>
  <w:p w14:paraId="51D6E49D" w14:textId="77777777" w:rsidR="004F3F63" w:rsidRDefault="004F3F63"/>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6752272"/>
      <w:docPartObj>
        <w:docPartGallery w:val="Page Numbers (Bottom of Page)"/>
        <w:docPartUnique/>
      </w:docPartObj>
    </w:sdtPr>
    <w:sdtEndPr>
      <w:rPr>
        <w:noProof/>
      </w:rPr>
    </w:sdtEndPr>
    <w:sdtContent>
      <w:sdt>
        <w:sdtPr>
          <w:id w:val="529988748"/>
          <w:docPartObj>
            <w:docPartGallery w:val="Page Numbers (Bottom of Page)"/>
            <w:docPartUnique/>
          </w:docPartObj>
        </w:sdtPr>
        <w:sdtEndPr>
          <w:rPr>
            <w:noProof/>
          </w:rPr>
        </w:sdtEndPr>
        <w:sdtContent>
          <w:p w14:paraId="60AF92AF" w14:textId="6E2685B9" w:rsidR="004F3F63" w:rsidRPr="00F061F2" w:rsidRDefault="004F3F63" w:rsidP="00B51BEB">
            <w:pPr>
              <w:pStyle w:val="Footer"/>
              <w:rPr>
                <w:noProof/>
              </w:rPr>
            </w:pPr>
            <w:r w:rsidRPr="001B7E15">
              <w:fldChar w:fldCharType="begin"/>
            </w:r>
            <w:r w:rsidRPr="001B7E15">
              <w:instrText xml:space="preserve"> PAGE   \* MERGEFORMAT </w:instrText>
            </w:r>
            <w:r w:rsidRPr="001B7E15">
              <w:fldChar w:fldCharType="separate"/>
            </w:r>
            <w:r w:rsidR="00865B00">
              <w:rPr>
                <w:noProof/>
              </w:rPr>
              <w:t>88</w:t>
            </w:r>
            <w:r w:rsidRPr="001B7E15">
              <w:rPr>
                <w:noProof/>
              </w:rPr>
              <w:fldChar w:fldCharType="end"/>
            </w:r>
          </w:p>
        </w:sdtContent>
      </w:sdt>
    </w:sdtContent>
  </w:sdt>
  <w:p w14:paraId="4A9B3697" w14:textId="77777777" w:rsidR="004F3F63" w:rsidRDefault="004F3F63" w:rsidP="00B51BEB">
    <w:pPr>
      <w:spacing w:after="0"/>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D3BA5" w14:textId="77777777" w:rsidR="004F3F63" w:rsidRDefault="004F3F63">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53361313"/>
      <w:docPartObj>
        <w:docPartGallery w:val="Page Numbers (Bottom of Page)"/>
        <w:docPartUnique/>
      </w:docPartObj>
    </w:sdtPr>
    <w:sdtEndPr>
      <w:rPr>
        <w:noProof/>
      </w:rPr>
    </w:sdtEndPr>
    <w:sdtContent>
      <w:p w14:paraId="20BE23F1" w14:textId="276E0988" w:rsidR="004F3F63" w:rsidRDefault="004F3F63">
        <w:pPr>
          <w:pStyle w:val="Footer"/>
        </w:pPr>
        <w:r>
          <w:fldChar w:fldCharType="begin"/>
        </w:r>
        <w:r>
          <w:instrText xml:space="preserve"> PAGE   \* MERGEFORMAT </w:instrText>
        </w:r>
        <w:r>
          <w:fldChar w:fldCharType="separate"/>
        </w:r>
        <w:r w:rsidR="00865B00">
          <w:rPr>
            <w:noProof/>
          </w:rPr>
          <w:t>94</w:t>
        </w:r>
        <w:r>
          <w:rPr>
            <w:noProof/>
          </w:rPr>
          <w:fldChar w:fldCharType="end"/>
        </w:r>
      </w:p>
    </w:sdtContent>
  </w:sdt>
  <w:p w14:paraId="3975A194" w14:textId="77777777" w:rsidR="004F3F63" w:rsidRPr="00287EFB" w:rsidRDefault="004F3F63" w:rsidP="00C130D2">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33508765"/>
      <w:docPartObj>
        <w:docPartGallery w:val="Page Numbers (Bottom of Page)"/>
        <w:docPartUnique/>
      </w:docPartObj>
    </w:sdtPr>
    <w:sdtEndPr>
      <w:rPr>
        <w:noProof/>
      </w:rPr>
    </w:sdtEndPr>
    <w:sdtContent>
      <w:p w14:paraId="3C8D9216" w14:textId="4DDAE3B9" w:rsidR="004F3F63" w:rsidRDefault="004F3F63">
        <w:pPr>
          <w:pStyle w:val="Footer"/>
        </w:pPr>
        <w:r>
          <w:fldChar w:fldCharType="begin"/>
        </w:r>
        <w:r>
          <w:instrText xml:space="preserve"> PAGE   \* MERGEFORMAT </w:instrText>
        </w:r>
        <w:r>
          <w:fldChar w:fldCharType="separate"/>
        </w:r>
        <w:r w:rsidR="00865B00">
          <w:rPr>
            <w:noProof/>
          </w:rPr>
          <w:t>95</w:t>
        </w:r>
        <w:r>
          <w:rPr>
            <w:noProof/>
          </w:rPr>
          <w:fldChar w:fldCharType="end"/>
        </w:r>
      </w:p>
    </w:sdtContent>
  </w:sdt>
  <w:p w14:paraId="1E2A3108" w14:textId="77777777" w:rsidR="004F3F63" w:rsidRDefault="004F3F6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47E324" w14:textId="77777777" w:rsidR="00280859" w:rsidRDefault="00280859" w:rsidP="00BF7F6A">
      <w:pPr>
        <w:spacing w:after="0" w:line="240" w:lineRule="auto"/>
      </w:pPr>
      <w:r>
        <w:separator/>
      </w:r>
    </w:p>
  </w:footnote>
  <w:footnote w:type="continuationSeparator" w:id="0">
    <w:p w14:paraId="672B638F" w14:textId="77777777" w:rsidR="00280859" w:rsidRDefault="00280859" w:rsidP="00BF7F6A">
      <w:pPr>
        <w:spacing w:after="0" w:line="240" w:lineRule="auto"/>
      </w:pPr>
      <w:r>
        <w:continuationSeparator/>
      </w:r>
    </w:p>
  </w:footnote>
  <w:footnote w:id="1">
    <w:p w14:paraId="67C4DE27" w14:textId="77777777" w:rsidR="004F3F63" w:rsidRPr="0084550C" w:rsidRDefault="004F3F63">
      <w:pPr>
        <w:pStyle w:val="FootnoteText"/>
        <w:rPr>
          <w:sz w:val="16"/>
        </w:rPr>
      </w:pPr>
      <w:r w:rsidRPr="009A141D">
        <w:rPr>
          <w:rStyle w:val="FootnoteReference"/>
          <w:sz w:val="16"/>
        </w:rPr>
        <w:footnoteRef/>
      </w:r>
      <w:r w:rsidRPr="009A141D">
        <w:rPr>
          <w:sz w:val="16"/>
        </w:rPr>
        <w:t xml:space="preserve"> Методологија обрачуна индикатора дата је у раду „Модел за процену месечног БДП применом техника темпоралне дезагрегације” који је објављен на веб страници Министарства финансија: </w:t>
      </w:r>
      <w:hyperlink r:id="rId1" w:history="1">
        <w:r w:rsidRPr="009A141D">
          <w:rPr>
            <w:rStyle w:val="Hyperlink"/>
            <w:sz w:val="16"/>
          </w:rPr>
          <w:t>https://www.mfin.gov.rs//upload/media/ZzkTpV_601696edb3a9a.pdf</w:t>
        </w:r>
      </w:hyperlink>
    </w:p>
  </w:footnote>
  <w:footnote w:id="2">
    <w:p w14:paraId="16CD9EFC" w14:textId="77777777" w:rsidR="004F3F63" w:rsidRPr="00B422BC" w:rsidRDefault="004F3F63">
      <w:pPr>
        <w:pStyle w:val="FootnoteText"/>
        <w:rPr>
          <w:lang w:val="sr-Cyrl-RS"/>
        </w:rPr>
      </w:pPr>
      <w:r w:rsidRPr="00B422BC">
        <w:rPr>
          <w:rStyle w:val="FootnoteReference"/>
          <w:lang w:val="sr-Cyrl-RS"/>
        </w:rPr>
        <w:footnoteRef/>
      </w:r>
      <w:r w:rsidRPr="00B422BC">
        <w:rPr>
          <w:lang w:val="sr-Cyrl-RS"/>
        </w:rPr>
        <w:t xml:space="preserve"> </w:t>
      </w:r>
      <w:r w:rsidRPr="00B422BC">
        <w:rPr>
          <w:sz w:val="16"/>
          <w:lang w:val="sr-Cyrl-RS"/>
        </w:rPr>
        <w:t>Подаци се односе збирно за Народну Републику Кину, Макао, Хонг Конг и Кинеску Провинцију Тајван.</w:t>
      </w:r>
    </w:p>
  </w:footnote>
  <w:footnote w:id="3">
    <w:p w14:paraId="3D80B5B6" w14:textId="0508C93D" w:rsidR="004F3F63" w:rsidRPr="000B7C51" w:rsidRDefault="004F3F63">
      <w:pPr>
        <w:pStyle w:val="FootnoteText"/>
        <w:rPr>
          <w:sz w:val="16"/>
          <w:szCs w:val="16"/>
          <w:lang w:val="sr-Cyrl-RS"/>
        </w:rPr>
      </w:pPr>
      <w:r w:rsidRPr="000B7C51">
        <w:rPr>
          <w:rStyle w:val="FootnoteReference"/>
          <w:sz w:val="16"/>
          <w:szCs w:val="16"/>
        </w:rPr>
        <w:footnoteRef/>
      </w:r>
      <w:r w:rsidRPr="000979D4">
        <w:rPr>
          <w:sz w:val="16"/>
          <w:szCs w:val="16"/>
          <w:lang w:val="sr-Cyrl-RS"/>
        </w:rPr>
        <w:t xml:space="preserve"> </w:t>
      </w:r>
      <w:r>
        <w:rPr>
          <w:sz w:val="16"/>
          <w:szCs w:val="16"/>
          <w:lang w:val="sr-Cyrl-RS"/>
        </w:rPr>
        <w:t>Нови ентите</w:t>
      </w:r>
      <w:r w:rsidRPr="000B7C51">
        <w:rPr>
          <w:sz w:val="16"/>
          <w:szCs w:val="16"/>
          <w:lang w:val="sr-Cyrl-RS"/>
        </w:rPr>
        <w:t>ти могу се укључити или искључити из обухвата сектора државе у складу са статистичким критеријумима и међународним стандардима који их одређују.</w:t>
      </w:r>
    </w:p>
  </w:footnote>
  <w:footnote w:id="4">
    <w:p w14:paraId="31FB3E39" w14:textId="77777777" w:rsidR="004F3F63" w:rsidRPr="002F6B52" w:rsidRDefault="004F3F63" w:rsidP="00132FA9">
      <w:pPr>
        <w:pStyle w:val="FootnoteText"/>
        <w:rPr>
          <w:rFonts w:cstheme="minorHAnsi"/>
          <w:spacing w:val="-2"/>
          <w:sz w:val="16"/>
          <w:szCs w:val="16"/>
          <w:lang w:val="sr-Cyrl-RS"/>
        </w:rPr>
      </w:pPr>
      <w:r w:rsidRPr="00CB04CB">
        <w:rPr>
          <w:rStyle w:val="FootnoteReference"/>
          <w:rFonts w:cstheme="minorHAnsi"/>
          <w:spacing w:val="-2"/>
          <w:sz w:val="16"/>
          <w:szCs w:val="16"/>
          <w:lang w:val="sr-Cyrl-RS"/>
        </w:rPr>
        <w:footnoteRef/>
      </w:r>
      <w:r w:rsidRPr="00CB04CB">
        <w:rPr>
          <w:rFonts w:cstheme="minorHAnsi"/>
          <w:spacing w:val="-2"/>
          <w:sz w:val="16"/>
          <w:szCs w:val="16"/>
          <w:lang w:val="sr-Cyrl-RS"/>
        </w:rPr>
        <w:t xml:space="preserve"> Детаљнији приказ структурних реформи по приоритетним областима је саставни део Програма економских реформи у периоду 202</w:t>
      </w:r>
      <w:r>
        <w:rPr>
          <w:rFonts w:cstheme="minorHAnsi"/>
          <w:spacing w:val="-2"/>
          <w:sz w:val="16"/>
          <w:szCs w:val="16"/>
          <w:lang w:val="sr-Cyrl-RS"/>
        </w:rPr>
        <w:t>4</w:t>
      </w:r>
      <w:r w:rsidRPr="00CB04CB">
        <w:rPr>
          <w:rFonts w:cstheme="minorHAnsi"/>
          <w:spacing w:val="-2"/>
          <w:sz w:val="16"/>
          <w:szCs w:val="16"/>
          <w:lang w:val="sr-Cyrl-RS"/>
        </w:rPr>
        <w:t>–202</w:t>
      </w:r>
      <w:r>
        <w:rPr>
          <w:rFonts w:cstheme="minorHAnsi"/>
          <w:spacing w:val="-2"/>
          <w:sz w:val="16"/>
          <w:szCs w:val="16"/>
          <w:lang w:val="sr-Cyrl-RS"/>
        </w:rPr>
        <w:t>6</w:t>
      </w:r>
      <w:r w:rsidRPr="00CB04CB">
        <w:rPr>
          <w:rFonts w:cstheme="minorHAnsi"/>
          <w:spacing w:val="-2"/>
          <w:sz w:val="16"/>
          <w:szCs w:val="16"/>
          <w:lang w:val="sr-Cyrl-RS"/>
        </w:rPr>
        <w:t>.</w:t>
      </w:r>
    </w:p>
  </w:footnote>
  <w:footnote w:id="5">
    <w:p w14:paraId="58D0C9B5" w14:textId="77777777" w:rsidR="004F3F63" w:rsidRDefault="004F3F63" w:rsidP="00DF0C87">
      <w:pPr>
        <w:pStyle w:val="FootnoteText"/>
        <w:rPr>
          <w:rFonts w:cstheme="minorHAnsi"/>
          <w:sz w:val="16"/>
          <w:szCs w:val="16"/>
          <w:lang w:val="sr-Cyrl-RS"/>
        </w:rPr>
      </w:pPr>
      <w:r>
        <w:rPr>
          <w:rStyle w:val="FootnoteReference"/>
          <w:rFonts w:cstheme="minorHAnsi"/>
          <w:sz w:val="16"/>
          <w:szCs w:val="16"/>
          <w:lang w:val="sr-Cyrl-RS"/>
        </w:rPr>
        <w:footnoteRef/>
      </w:r>
      <w:r>
        <w:rPr>
          <w:rFonts w:cstheme="minorHAnsi"/>
          <w:sz w:val="16"/>
          <w:szCs w:val="16"/>
          <w:lang w:val="sr-Cyrl-RS"/>
        </w:rPr>
        <w:t xml:space="preserve"> Закон о јавном дугу („Службени гласник РС”, бр. 61/05, 107/09, 78/11, 68/15, 95/18, 91/19 и 149/20).</w:t>
      </w:r>
    </w:p>
  </w:footnote>
  <w:footnote w:id="6">
    <w:p w14:paraId="5CD70CD4" w14:textId="28AAFE36" w:rsidR="004F3F63" w:rsidRPr="00D121C1" w:rsidRDefault="004F3F63" w:rsidP="00DF0C87">
      <w:pPr>
        <w:pStyle w:val="FootnoteText"/>
        <w:rPr>
          <w:sz w:val="16"/>
          <w:szCs w:val="16"/>
          <w:lang w:val="sr-Cyrl-RS"/>
        </w:rPr>
      </w:pPr>
      <w:r>
        <w:rPr>
          <w:rStyle w:val="FootnoteReference"/>
          <w:sz w:val="16"/>
          <w:szCs w:val="16"/>
        </w:rPr>
        <w:footnoteRef/>
      </w:r>
      <w:r>
        <w:rPr>
          <w:sz w:val="16"/>
          <w:szCs w:val="16"/>
        </w:rPr>
        <w:t xml:space="preserve"> </w:t>
      </w:r>
      <w:r>
        <w:rPr>
          <w:sz w:val="16"/>
          <w:szCs w:val="16"/>
          <w:lang w:val="sr-Cyrl-RS"/>
        </w:rPr>
        <w:t>Процењен БДП за 2024. годину је 8.946,2 млрд динара (Министарство финансија)</w:t>
      </w:r>
    </w:p>
  </w:footnote>
  <w:footnote w:id="7">
    <w:p w14:paraId="151BC735" w14:textId="77777777" w:rsidR="004F3F63" w:rsidRPr="003805B7" w:rsidRDefault="004F3F63" w:rsidP="00E124CF">
      <w:pPr>
        <w:spacing w:after="0"/>
        <w:rPr>
          <w:lang w:val="sr-Cyrl-RS"/>
        </w:rPr>
      </w:pPr>
      <w:r w:rsidRPr="00CD1400">
        <w:rPr>
          <w:rStyle w:val="FootnoteReference"/>
          <w:rFonts w:cstheme="minorHAnsi"/>
          <w:sz w:val="16"/>
          <w:szCs w:val="16"/>
          <w:lang w:val="sr-Cyrl-RS"/>
        </w:rPr>
        <w:footnoteRef/>
      </w:r>
      <w:r w:rsidRPr="00CD1400">
        <w:rPr>
          <w:rFonts w:cstheme="minorHAnsi"/>
          <w:sz w:val="16"/>
          <w:szCs w:val="16"/>
          <w:lang w:val="sr-Cyrl-RS"/>
        </w:rPr>
        <w:t xml:space="preserve"> </w:t>
      </w:r>
      <w:r w:rsidRPr="00CD1400">
        <w:rPr>
          <w:rFonts w:eastAsia="Times New Roman" w:cstheme="minorHAnsi"/>
          <w:bCs/>
          <w:sz w:val="16"/>
          <w:szCs w:val="16"/>
          <w:lang w:val="sr-Cyrl-RS"/>
        </w:rPr>
        <w:t>Детаљнији опис коришћене методологије и резултата могу се пронаћи у Фискалној стратегији за 2013. годину са пројекцијама за 2014. и 2015. годину или путем линка</w:t>
      </w:r>
      <w:r w:rsidRPr="00CD1400">
        <w:rPr>
          <w:rFonts w:cstheme="minorHAnsi"/>
          <w:sz w:val="16"/>
          <w:szCs w:val="16"/>
          <w:lang w:val="sr-Cyrl-RS"/>
        </w:rPr>
        <w:t xml:space="preserve"> </w:t>
      </w:r>
      <w:hyperlink r:id="rId2" w:history="1">
        <w:r w:rsidRPr="00CD1400">
          <w:rPr>
            <w:rStyle w:val="Hyperlink"/>
            <w:color w:val="44546A" w:themeColor="text2"/>
            <w:sz w:val="16"/>
            <w:szCs w:val="16"/>
            <w:u w:val="none"/>
          </w:rPr>
          <w:t>https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www</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mfin</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gov</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rs</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upload</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media</w:t>
        </w:r>
        <w:r w:rsidRPr="003805B7">
          <w:rPr>
            <w:rStyle w:val="Hyperlink"/>
            <w:color w:val="44546A" w:themeColor="text2"/>
            <w:sz w:val="16"/>
            <w:szCs w:val="16"/>
            <w:u w:val="none"/>
            <w:lang w:val="sr-Cyrl-RS"/>
          </w:rPr>
          <w:t>/</w:t>
        </w:r>
        <w:r w:rsidRPr="00CD1400">
          <w:rPr>
            <w:rStyle w:val="Hyperlink"/>
            <w:color w:val="44546A" w:themeColor="text2"/>
            <w:sz w:val="16"/>
            <w:szCs w:val="16"/>
            <w:u w:val="none"/>
          </w:rPr>
          <w:t>jzsbpL</w:t>
        </w:r>
        <w:r w:rsidRPr="003805B7">
          <w:rPr>
            <w:rStyle w:val="Hyperlink"/>
            <w:color w:val="44546A" w:themeColor="text2"/>
            <w:sz w:val="16"/>
            <w:szCs w:val="16"/>
            <w:u w:val="none"/>
            <w:lang w:val="sr-Cyrl-RS"/>
          </w:rPr>
          <w:t>_601</w:t>
        </w:r>
        <w:r w:rsidRPr="00CD1400">
          <w:rPr>
            <w:rStyle w:val="Hyperlink"/>
            <w:color w:val="44546A" w:themeColor="text2"/>
            <w:sz w:val="16"/>
            <w:szCs w:val="16"/>
            <w:u w:val="none"/>
          </w:rPr>
          <w:t>ab</w:t>
        </w:r>
        <w:r w:rsidRPr="003805B7">
          <w:rPr>
            <w:rStyle w:val="Hyperlink"/>
            <w:color w:val="44546A" w:themeColor="text2"/>
            <w:sz w:val="16"/>
            <w:szCs w:val="16"/>
            <w:u w:val="none"/>
            <w:lang w:val="sr-Cyrl-RS"/>
          </w:rPr>
          <w:t>1585</w:t>
        </w:r>
        <w:r w:rsidRPr="00CD1400">
          <w:rPr>
            <w:rStyle w:val="Hyperlink"/>
            <w:color w:val="44546A" w:themeColor="text2"/>
            <w:sz w:val="16"/>
            <w:szCs w:val="16"/>
            <w:u w:val="none"/>
          </w:rPr>
          <w:t>ca</w:t>
        </w:r>
        <w:r w:rsidRPr="003805B7">
          <w:rPr>
            <w:rStyle w:val="Hyperlink"/>
            <w:color w:val="44546A" w:themeColor="text2"/>
            <w:sz w:val="16"/>
            <w:szCs w:val="16"/>
            <w:u w:val="none"/>
            <w:lang w:val="sr-Cyrl-RS"/>
          </w:rPr>
          <w:t>02.</w:t>
        </w:r>
        <w:r w:rsidRPr="00CD1400">
          <w:rPr>
            <w:rStyle w:val="Hyperlink"/>
            <w:color w:val="44546A" w:themeColor="text2"/>
            <w:sz w:val="16"/>
            <w:szCs w:val="16"/>
            <w:u w:val="none"/>
          </w:rPr>
          <w:t>pdf</w:t>
        </w:r>
      </w:hyperlink>
    </w:p>
  </w:footnote>
  <w:footnote w:id="8">
    <w:p w14:paraId="64633C85" w14:textId="77777777" w:rsidR="004F3F63" w:rsidRPr="002F6B52" w:rsidRDefault="004F3F63" w:rsidP="00B51BEB">
      <w:pPr>
        <w:pStyle w:val="FootnoteText"/>
        <w:rPr>
          <w:rStyle w:val="FootnoteReference"/>
          <w:rFonts w:cs="Times New Roman"/>
          <w:sz w:val="16"/>
          <w:szCs w:val="16"/>
          <w:vertAlign w:val="baseline"/>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АТМ (</w:t>
      </w:r>
      <w:r w:rsidRPr="002F6B52">
        <w:rPr>
          <w:rStyle w:val="FootnoteReference"/>
          <w:i/>
          <w:sz w:val="16"/>
          <w:szCs w:val="16"/>
          <w:vertAlign w:val="baseline"/>
          <w:lang w:val="sr-Cyrl-RS"/>
        </w:rPr>
        <w:t>Average Time to Maturity</w:t>
      </w:r>
      <w:r w:rsidRPr="002F6B52">
        <w:rPr>
          <w:rStyle w:val="FootnoteReference"/>
          <w:sz w:val="16"/>
          <w:szCs w:val="16"/>
          <w:vertAlign w:val="baseline"/>
          <w:lang w:val="sr-Cyrl-RS"/>
        </w:rPr>
        <w:t>) – енглеска скраћеница за просечно време до доспећа.</w:t>
      </w:r>
    </w:p>
  </w:footnote>
  <w:footnote w:id="9">
    <w:p w14:paraId="4E15A34A" w14:textId="77777777" w:rsidR="004F3F63" w:rsidRPr="002F6B52" w:rsidRDefault="004F3F63" w:rsidP="00B51BEB">
      <w:pPr>
        <w:pStyle w:val="FootnoteText"/>
        <w:rPr>
          <w:lang w:val="sr-Cyrl-RS"/>
        </w:rPr>
      </w:pPr>
      <w:r w:rsidRPr="002F6B52">
        <w:rPr>
          <w:rStyle w:val="FootnoteReference"/>
          <w:sz w:val="16"/>
          <w:szCs w:val="16"/>
          <w:lang w:val="sr-Cyrl-RS"/>
        </w:rPr>
        <w:footnoteRef/>
      </w:r>
      <w:r w:rsidRPr="002F6B52">
        <w:rPr>
          <w:rStyle w:val="FootnoteReference"/>
          <w:sz w:val="16"/>
          <w:szCs w:val="16"/>
          <w:vertAlign w:val="baseline"/>
          <w:lang w:val="sr-Cyrl-RS"/>
        </w:rPr>
        <w:t xml:space="preserve"> АТR (</w:t>
      </w:r>
      <w:r w:rsidRPr="002F6B52">
        <w:rPr>
          <w:rStyle w:val="FootnoteReference"/>
          <w:i/>
          <w:sz w:val="16"/>
          <w:szCs w:val="16"/>
          <w:vertAlign w:val="baseline"/>
          <w:lang w:val="sr-Cyrl-RS"/>
        </w:rPr>
        <w:t>Average Time to Refixing</w:t>
      </w:r>
      <w:r w:rsidRPr="002F6B52">
        <w:rPr>
          <w:rStyle w:val="FootnoteReference"/>
          <w:sz w:val="16"/>
          <w:szCs w:val="16"/>
          <w:vertAlign w:val="baseline"/>
          <w:lang w:val="sr-Cyrl-RS"/>
        </w:rPr>
        <w:t>) – енглеска скраћеница за просечно време до промене каматних стопа.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154DE7" w14:textId="77777777" w:rsidR="004F3F63" w:rsidRDefault="004F3F63" w:rsidP="005C539B">
    <w:pPr>
      <w:pStyle w:val="Header"/>
      <w:jc w:val="center"/>
    </w:pPr>
    <w:r w:rsidRPr="00A010B6">
      <w:rPr>
        <w:lang w:val="sr-Cyrl-RS"/>
      </w:rPr>
      <w:t>Фискална стратегија за 2024. годину са пројекцијама за 2025. и 2026. годину</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4C7809" w14:textId="65E3DDBE" w:rsidR="004F3F63" w:rsidRPr="00865B00" w:rsidRDefault="004F3F63" w:rsidP="00865B0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BF19EB" w14:textId="77777777" w:rsidR="004F3F63" w:rsidRPr="00521A99" w:rsidRDefault="004F3F63" w:rsidP="005C539B">
    <w:pPr>
      <w:pStyle w:val="Header"/>
      <w:jc w:val="center"/>
      <w:rPr>
        <w:lang w:val="sr-Cyrl-RS"/>
      </w:rPr>
    </w:pPr>
    <w:r w:rsidRPr="006C57DB">
      <w:rPr>
        <w:lang w:val="sr-Cyrl-RS"/>
      </w:rPr>
      <w:t xml:space="preserve">Фискална </w:t>
    </w:r>
    <w:r w:rsidRPr="000C433F">
      <w:rPr>
        <w:lang w:val="sr-Cyrl-RS"/>
      </w:rPr>
      <w:t>стратегија за 2020. годину са пројекцијама за 2021. и 2022. годину</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69FD0B" w14:textId="3ED8B6DA" w:rsidR="004F3F63" w:rsidRPr="00865B00" w:rsidRDefault="004F3F63" w:rsidP="00865B0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91C839" w14:textId="77777777" w:rsidR="004F3F63" w:rsidRDefault="004F3F6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4F702" w14:textId="77777777" w:rsidR="004F3F63" w:rsidRPr="00471B1E" w:rsidRDefault="004F3F63" w:rsidP="005C539B">
    <w:pPr>
      <w:pStyle w:val="Header"/>
      <w:jc w:val="center"/>
      <w:rPr>
        <w:lang w:val="en-GB"/>
      </w:rPr>
    </w:pPr>
    <w:r w:rsidRPr="00AD7FBD">
      <w:rPr>
        <w:lang w:val="sr-Cyrl-RS"/>
      </w:rPr>
      <w:t xml:space="preserve">Ревидирана </w:t>
    </w: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B5CF5" w14:textId="081967F9" w:rsidR="004F3F63" w:rsidRPr="00865B00" w:rsidRDefault="004F3F63" w:rsidP="00865B00">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CE66C" w14:textId="77777777" w:rsidR="004F3F63" w:rsidRPr="009A141D" w:rsidRDefault="004F3F63" w:rsidP="005C539B">
    <w:pPr>
      <w:pStyle w:val="Header"/>
      <w:jc w:val="center"/>
    </w:pPr>
    <w:r w:rsidRPr="009A141D">
      <w:t>Фискална стратегија за 2025. годину са пројекцијама за 2026. и 2027. годину</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407787" w14:textId="77777777" w:rsidR="004F3F63" w:rsidRPr="00915447" w:rsidRDefault="004F3F63" w:rsidP="005C539B">
    <w:pPr>
      <w:pStyle w:val="Header"/>
      <w:jc w:val="center"/>
      <w:rPr>
        <w:lang w:val="en-GB"/>
      </w:rPr>
    </w:pPr>
    <w:r>
      <w:rPr>
        <w:lang w:val="sr-Cyrl-RS"/>
      </w:rPr>
      <w:t>Фискална стратегија за 202</w:t>
    </w:r>
    <w:r>
      <w:rPr>
        <w:lang w:val="en-GB"/>
      </w:rPr>
      <w:t>5</w:t>
    </w:r>
    <w:r>
      <w:rPr>
        <w:lang w:val="sr-Cyrl-RS"/>
      </w:rPr>
      <w:t>. годину са пројекцијама за 202</w:t>
    </w:r>
    <w:r>
      <w:rPr>
        <w:lang w:val="en-GB"/>
      </w:rPr>
      <w:t>6</w:t>
    </w:r>
    <w:r>
      <w:rPr>
        <w:lang w:val="sr-Cyrl-RS"/>
      </w:rPr>
      <w:t>. и 202</w:t>
    </w:r>
    <w:r>
      <w:rPr>
        <w:lang w:val="en-GB"/>
      </w:rPr>
      <w:t>7</w:t>
    </w:r>
    <w:r>
      <w:rPr>
        <w:lang w:val="sr-Cyrl-RS"/>
      </w:rPr>
      <w:t>. годину</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E88B2D" w14:textId="77777777" w:rsidR="004F3F63" w:rsidRDefault="004F3F63">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8AFDD6" w14:textId="30F186A8" w:rsidR="004F3F63" w:rsidRPr="00865B00" w:rsidRDefault="004F3F63" w:rsidP="00865B0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84D281" w14:textId="77777777" w:rsidR="004F3F63" w:rsidRPr="00471B1E" w:rsidRDefault="004F3F63" w:rsidP="005C539B">
    <w:pPr>
      <w:pStyle w:val="Header"/>
      <w:jc w:val="center"/>
      <w:rPr>
        <w:lang w:val="en-GB"/>
      </w:rPr>
    </w:pPr>
    <w:r w:rsidRPr="00730D89">
      <w:rPr>
        <w:lang w:val="sr-Cyrl-RS"/>
      </w:rPr>
      <w:t xml:space="preserve">Ревидирана </w:t>
    </w:r>
    <w:r>
      <w:rPr>
        <w:lang w:val="sr-Cyrl-RS"/>
      </w:rPr>
      <w:t>Фискална стратегија за 202</w:t>
    </w:r>
    <w:r>
      <w:rPr>
        <w:lang w:val="en-GB"/>
      </w:rPr>
      <w:t>4</w:t>
    </w:r>
    <w:r>
      <w:rPr>
        <w:lang w:val="sr-Cyrl-RS"/>
      </w:rPr>
      <w:t>. годину са пројекцијама за 202</w:t>
    </w:r>
    <w:r>
      <w:rPr>
        <w:lang w:val="en-GB"/>
      </w:rPr>
      <w:t>5</w:t>
    </w:r>
    <w:r>
      <w:rPr>
        <w:lang w:val="sr-Cyrl-RS"/>
      </w:rPr>
      <w:t>. и 202</w:t>
    </w:r>
    <w:r>
      <w:rPr>
        <w:lang w:val="en-GB"/>
      </w:rPr>
      <w:t>6</w:t>
    </w:r>
    <w:r>
      <w:rPr>
        <w:lang w:val="sr-Cyrl-RS"/>
      </w:rPr>
      <w:t>. годину</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3BD2C2" w14:textId="77777777" w:rsidR="004F3F63" w:rsidRPr="00F061F2" w:rsidRDefault="004F3F63" w:rsidP="00C130D2">
    <w:pPr>
      <w:pStyle w:val="Header"/>
      <w:jc w:val="center"/>
    </w:pPr>
    <w:r>
      <w:rPr>
        <w:lang w:val="sr-Cyrl-RS"/>
      </w:rPr>
      <w:t>Фискална стратегија за 202</w:t>
    </w:r>
    <w:r>
      <w:t>1</w:t>
    </w:r>
    <w:r>
      <w:rPr>
        <w:lang w:val="sr-Cyrl-RS"/>
      </w:rPr>
      <w:t>. годину са пројекцијама за 202</w:t>
    </w:r>
    <w:r>
      <w:t>2</w:t>
    </w:r>
    <w:r>
      <w:rPr>
        <w:lang w:val="sr-Cyrl-RS"/>
      </w:rPr>
      <w:t>. и 202</w:t>
    </w:r>
    <w:r>
      <w:t>3</w:t>
    </w:r>
    <w:r w:rsidRPr="00F061F2">
      <w:rPr>
        <w:lang w:val="sr-Cyrl-RS"/>
      </w:rPr>
      <w:t>. годину</w:t>
    </w:r>
  </w:p>
  <w:p w14:paraId="1F114707" w14:textId="77777777" w:rsidR="004F3F63" w:rsidRPr="004F72C4" w:rsidRDefault="004F3F63" w:rsidP="004F72C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351F2" w14:textId="088874C6" w:rsidR="004F3F63" w:rsidRPr="00865B00" w:rsidRDefault="004F3F63" w:rsidP="00865B00">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AF03A" w14:textId="77777777" w:rsidR="004F3F63" w:rsidRPr="00F061F2" w:rsidRDefault="004F3F63" w:rsidP="005D42AC">
    <w:pPr>
      <w:pStyle w:val="Header"/>
      <w:jc w:val="center"/>
    </w:pPr>
    <w:r>
      <w:t>Фискална стратегија за 2021. годину са пројекцијама за 2022. и 2023</w:t>
    </w:r>
    <w:r w:rsidRPr="00F061F2">
      <w:t>. годину</w:t>
    </w:r>
  </w:p>
  <w:p w14:paraId="1F0EB36B" w14:textId="77777777" w:rsidR="004F3F63" w:rsidRPr="004F72C4" w:rsidRDefault="004F3F63" w:rsidP="004F72C4">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B8F5C1" w14:textId="77777777" w:rsidR="004F3F63" w:rsidRPr="00863D40" w:rsidRDefault="004F3F63" w:rsidP="003F1BD3">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A40987" w14:textId="77777777" w:rsidR="004F3F63" w:rsidRPr="00BF7F6A" w:rsidRDefault="004F3F63" w:rsidP="00BD7EB6">
    <w:pPr>
      <w:pStyle w:val="Header"/>
      <w:jc w:val="center"/>
    </w:pPr>
    <w:r>
      <w:t>Фискална стратегија за 2019. годину са пројекцијама за 2020. и 2021. годину</w:t>
    </w:r>
  </w:p>
  <w:p w14:paraId="3F0E541D" w14:textId="77777777" w:rsidR="004F3F63" w:rsidRDefault="004F3F63">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AB75C7" w14:textId="77777777" w:rsidR="004F3F63" w:rsidRPr="00F061F2" w:rsidRDefault="004F3F63"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42D2427D" w14:textId="77777777" w:rsidR="004F3F63" w:rsidRDefault="004F3F6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EDF969" w14:textId="77777777" w:rsidR="004F3F63" w:rsidRDefault="004F3F63" w:rsidP="00D500A7">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A1CAF1" w14:textId="4FAB41FA" w:rsidR="004F3F63" w:rsidRDefault="004F3F63" w:rsidP="00D500A7">
    <w:pPr>
      <w:pStyle w:val="Header"/>
      <w:jc w:val="center"/>
    </w:pPr>
    <w:r>
      <w:rPr>
        <w:lang w:val="sr-Cyrl-RS"/>
      </w:rPr>
      <w:t>Фискална стратегија за 20</w:t>
    </w:r>
    <w:r>
      <w:rPr>
        <w:lang w:val="sr-Latn-RS"/>
      </w:rPr>
      <w:t>2</w:t>
    </w:r>
    <w:r>
      <w:rPr>
        <w:lang w:val="sr-Cyrl-RS"/>
      </w:rPr>
      <w:t>5. годину са пројекцијама за 2026</w:t>
    </w:r>
    <w:r>
      <w:rPr>
        <w:lang w:val="sr-Latn-RS"/>
      </w:rPr>
      <w:t>.</w:t>
    </w:r>
    <w:r>
      <w:rPr>
        <w:lang w:val="sr-Cyrl-RS"/>
      </w:rPr>
      <w:t xml:space="preserve"> и 2027. годину</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C6B73" w14:textId="7334C94E" w:rsidR="004F3F63" w:rsidRPr="00865B00" w:rsidRDefault="004F3F63" w:rsidP="00865B00">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2E2648" w14:textId="1CF03F9F" w:rsidR="004F3F63" w:rsidRPr="00865B00" w:rsidRDefault="004F3F63" w:rsidP="00865B00">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56114" w14:textId="77777777" w:rsidR="004F3F63" w:rsidRPr="00F061F2" w:rsidRDefault="004F3F63" w:rsidP="005D42AC">
    <w:pPr>
      <w:pStyle w:val="Header"/>
      <w:jc w:val="center"/>
    </w:pPr>
    <w:r>
      <w:t>Фискална стратегија за 2021. годину са пројекцијама за 2022. и 2023</w:t>
    </w:r>
    <w:r w:rsidRPr="00F061F2">
      <w:t>. годину</w:t>
    </w:r>
  </w:p>
  <w:p w14:paraId="327A0506" w14:textId="77777777" w:rsidR="004F3F63" w:rsidRPr="004F72C4" w:rsidRDefault="004F3F63" w:rsidP="004F72C4">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08800" w14:textId="61DA5439" w:rsidR="004F3F63" w:rsidRPr="00865B00" w:rsidRDefault="004F3F63" w:rsidP="00865B00">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EB7A8" w14:textId="77777777" w:rsidR="004F3F63" w:rsidRPr="00F061F2" w:rsidRDefault="004F3F63"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24D8A9BC" w14:textId="77777777" w:rsidR="004F3F63" w:rsidRPr="004F72C4" w:rsidRDefault="004F3F63" w:rsidP="004F72C4">
    <w:pPr>
      <w:pStyle w:val="Header"/>
    </w:pPr>
  </w:p>
  <w:p w14:paraId="26F454F5" w14:textId="77777777" w:rsidR="004F3F63" w:rsidRDefault="004F3F63"/>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E1D60C" w14:textId="0476B8BF" w:rsidR="004F3F63" w:rsidRPr="00865B00" w:rsidRDefault="004F3F63" w:rsidP="00865B00">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BBD987" w14:textId="77777777" w:rsidR="004F3F63" w:rsidRPr="00BF7F6A" w:rsidRDefault="004F3F63" w:rsidP="00BD7EB6">
    <w:pPr>
      <w:pStyle w:val="Header"/>
      <w:jc w:val="center"/>
    </w:pPr>
    <w:r>
      <w:t>Фискална стратегија за 2019. годину са пројекцијама за 2020. и 2021. годину</w:t>
    </w:r>
  </w:p>
  <w:p w14:paraId="0494DE6C" w14:textId="77777777" w:rsidR="004F3F63" w:rsidRDefault="004F3F63">
    <w:pPr>
      <w:pStyle w:val="Header"/>
    </w:pPr>
  </w:p>
  <w:p w14:paraId="5E25888F" w14:textId="77777777" w:rsidR="004F3F63" w:rsidRDefault="004F3F63"/>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786DFE" w14:textId="77777777" w:rsidR="004F3F63" w:rsidRPr="00F061F2" w:rsidRDefault="004F3F63"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2F2076C0" w14:textId="77777777" w:rsidR="004F3F63" w:rsidRDefault="004F3F63">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68A7B0" w14:textId="4E9EBC35" w:rsidR="004F3F63" w:rsidRPr="00865B00" w:rsidRDefault="004F3F63" w:rsidP="00865B00">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9C09A" w14:textId="77777777" w:rsidR="004F3F63" w:rsidRPr="00BF7F6A" w:rsidRDefault="004F3F63" w:rsidP="00BD7EB6">
    <w:pPr>
      <w:pStyle w:val="Header"/>
      <w:jc w:val="center"/>
      <w:rPr>
        <w:lang w:val="sr-Cyrl-RS"/>
      </w:rPr>
    </w:pPr>
    <w:r>
      <w:rPr>
        <w:lang w:val="sr-Cyrl-RS"/>
      </w:rPr>
      <w:t>Фискална стратегија за 2019. годину са пројекцијама за 2020. и 2021. годину</w:t>
    </w:r>
  </w:p>
  <w:p w14:paraId="043ED460" w14:textId="77777777" w:rsidR="004F3F63" w:rsidRDefault="004F3F63">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FC2A1F" w14:textId="77777777" w:rsidR="004F3F63" w:rsidRPr="00F061F2" w:rsidRDefault="004F3F63" w:rsidP="00C130D2">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F061F2">
      <w:rPr>
        <w:lang w:val="sr-Cyrl-RS"/>
      </w:rPr>
      <w:t>. годину</w:t>
    </w:r>
  </w:p>
  <w:p w14:paraId="0AE8D4E3" w14:textId="77777777" w:rsidR="004F3F63" w:rsidRDefault="004F3F63">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312068" w14:textId="77777777" w:rsidR="004F3F63" w:rsidRPr="00A401B9" w:rsidRDefault="004F3F63" w:rsidP="00D500A7">
    <w:pPr>
      <w:pStyle w:val="Header"/>
      <w:jc w:val="center"/>
      <w:rPr>
        <w:lang w:val="sr-Cyrl-RS"/>
      </w:rPr>
    </w:pPr>
    <w:r>
      <w:rPr>
        <w:lang w:val="sr-Cyrl-RS"/>
      </w:rPr>
      <w:t>Фискална стратегија за 2024. годину са пројекцијама за 2025. и 2026. годину</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C9F61F" w14:textId="77777777" w:rsidR="004F3F63" w:rsidRPr="00F061F2" w:rsidRDefault="004F3F63" w:rsidP="00C130D2">
    <w:pPr>
      <w:pStyle w:val="Header"/>
      <w:jc w:val="center"/>
    </w:pPr>
    <w:r w:rsidRPr="00724C89">
      <w:t xml:space="preserve">Ревидирана фискална </w:t>
    </w:r>
    <w:r>
      <w:t>стратегија за 2020. годину са пројекцијама за 2021. и 2022</w:t>
    </w:r>
    <w:r w:rsidRPr="00F061F2">
      <w:t>. годину</w:t>
    </w:r>
  </w:p>
  <w:p w14:paraId="31F3E5DE" w14:textId="77777777" w:rsidR="004F3F63" w:rsidRDefault="004F3F63">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1DBD7E" w14:textId="6F845FAB" w:rsidR="004F3F63" w:rsidRPr="00865B00" w:rsidRDefault="004F3F63" w:rsidP="00865B00">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A47039" w14:textId="77777777" w:rsidR="004F3F63" w:rsidRPr="00BF7F6A" w:rsidRDefault="004F3F63" w:rsidP="00BD7EB6">
    <w:pPr>
      <w:pStyle w:val="Header"/>
      <w:jc w:val="center"/>
    </w:pPr>
    <w:r>
      <w:t>Фискална стратегија за 2019. годину са пројекцијама за 2020. и 2021. годину</w:t>
    </w:r>
  </w:p>
  <w:p w14:paraId="1871F8C0" w14:textId="77777777" w:rsidR="004F3F63" w:rsidRDefault="004F3F63">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FA955D" w14:textId="77777777" w:rsidR="004F3F63" w:rsidRPr="00F061F2" w:rsidRDefault="004F3F63" w:rsidP="00C130D2">
    <w:pPr>
      <w:pStyle w:val="Header"/>
      <w:jc w:val="center"/>
    </w:pPr>
    <w:r w:rsidRPr="006C57DB">
      <w:t xml:space="preserve">Фискална </w:t>
    </w:r>
    <w:r>
      <w:t>стратегија за 2020. годину са пројекцијама за 2021. и 2022</w:t>
    </w:r>
    <w:r w:rsidRPr="00F061F2">
      <w:t>. годину</w:t>
    </w:r>
  </w:p>
  <w:p w14:paraId="2840C71C" w14:textId="77777777" w:rsidR="004F3F63" w:rsidRDefault="004F3F63">
    <w:pPr>
      <w:pStyle w:val="Heade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8300A" w14:textId="77777777" w:rsidR="004F3F63" w:rsidRPr="00BF7F6A" w:rsidRDefault="004F3F63" w:rsidP="00BD7EB6">
    <w:pPr>
      <w:pStyle w:val="Header"/>
      <w:jc w:val="center"/>
    </w:pPr>
    <w:r>
      <w:t>Фискална стратегија за 2019. годину са пројекцијама за 2020. и 2021. годину</w:t>
    </w:r>
  </w:p>
  <w:p w14:paraId="2877DB3B" w14:textId="77777777" w:rsidR="004F3F63" w:rsidRDefault="004F3F63">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534138" w14:textId="77777777" w:rsidR="004F3F63" w:rsidRPr="003C3685" w:rsidRDefault="004F3F63" w:rsidP="003F1BD3">
    <w:pPr>
      <w:pStyle w:val="Header"/>
      <w:jc w:val="center"/>
    </w:pPr>
    <w:r>
      <w:rPr>
        <w:lang w:val="sr-Cyrl-RS"/>
      </w:rPr>
      <w:t>Фискална стратегија за 20</w:t>
    </w:r>
    <w:r>
      <w:rPr>
        <w:lang w:val="sr-Latn-RS"/>
      </w:rPr>
      <w:t>25</w:t>
    </w:r>
    <w:r>
      <w:rPr>
        <w:lang w:val="sr-Cyrl-RS"/>
      </w:rPr>
      <w:t>. годину са пројекцијама за 202</w:t>
    </w:r>
    <w:r>
      <w:rPr>
        <w:lang w:val="sr-Latn-RS"/>
      </w:rPr>
      <w:t>6.</w:t>
    </w:r>
    <w:r>
      <w:rPr>
        <w:lang w:val="sr-Cyrl-RS"/>
      </w:rPr>
      <w:t xml:space="preserve"> и 202</w:t>
    </w:r>
    <w:r>
      <w:rPr>
        <w:lang w:val="sr-Latn-RS"/>
      </w:rPr>
      <w:t>7</w:t>
    </w:r>
    <w:r>
      <w:rPr>
        <w:lang w:val="sr-Cyrl-RS"/>
      </w:rPr>
      <w:t>. годину</w:t>
    </w:r>
  </w:p>
  <w:p w14:paraId="6BF9D8C8" w14:textId="77777777" w:rsidR="004F3F63" w:rsidRDefault="004F3F63">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674EAB" w14:textId="77777777" w:rsidR="004F3F63" w:rsidRPr="00BF7F6A" w:rsidRDefault="004F3F63" w:rsidP="00BD7EB6">
    <w:pPr>
      <w:pStyle w:val="Header"/>
      <w:jc w:val="center"/>
      <w:rPr>
        <w:lang w:val="sr-Cyrl-RS"/>
      </w:rPr>
    </w:pPr>
    <w:r>
      <w:rPr>
        <w:lang w:val="sr-Cyrl-RS"/>
      </w:rPr>
      <w:t>Фискална стратегија за 2019. годину са пројекцијама за 2020. и 2021. годину</w:t>
    </w:r>
  </w:p>
  <w:p w14:paraId="1C41CD6A" w14:textId="77777777" w:rsidR="004F3F63" w:rsidRDefault="004F3F63">
    <w:pPr>
      <w:pStyle w:val="Heade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5B100D" w14:textId="77777777" w:rsidR="004F3F63" w:rsidRPr="003C384E" w:rsidRDefault="004F3F63" w:rsidP="003F1BD3">
    <w:pPr>
      <w:pStyle w:val="Header"/>
      <w:jc w:val="center"/>
    </w:pPr>
    <w:r>
      <w:rPr>
        <w:lang w:val="sr-Cyrl-RS"/>
      </w:rPr>
      <w:t xml:space="preserve">Ревидирана </w:t>
    </w:r>
    <w:r>
      <w:t>Фискална стратегија за 20</w:t>
    </w:r>
    <w:r>
      <w:rPr>
        <w:lang w:val="sr-Cyrl-RS"/>
      </w:rPr>
      <w:t>24</w:t>
    </w:r>
    <w:r>
      <w:t>. годину са пројекцијама за 202</w:t>
    </w:r>
    <w:r>
      <w:rPr>
        <w:lang w:val="sr-Cyrl-RS"/>
      </w:rPr>
      <w:t>5</w:t>
    </w:r>
    <w:r>
      <w:t>. и 202</w:t>
    </w:r>
    <w:r>
      <w:rPr>
        <w:lang w:val="sr-Cyrl-RS"/>
      </w:rPr>
      <w:t>6</w:t>
    </w:r>
    <w:r>
      <w:t>. годину</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A2076" w14:textId="77777777" w:rsidR="004F3F63" w:rsidRDefault="004F3F63" w:rsidP="00815831">
    <w:pPr>
      <w:pStyle w:val="Header"/>
      <w:jc w:val="center"/>
    </w:pPr>
    <w:r w:rsidRPr="00724C89">
      <w:t xml:space="preserve">Ревидирана фискална </w:t>
    </w:r>
    <w:r>
      <w:t>стратегија за 2020. годину са пројекцијама за 2021. и 2022</w:t>
    </w:r>
    <w:r w:rsidRPr="00F061F2">
      <w:t>. годину</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3286EC" w14:textId="77777777" w:rsidR="004F3F63" w:rsidRPr="00BF7F6A" w:rsidRDefault="004F3F63" w:rsidP="00BD7EB6">
    <w:pPr>
      <w:pStyle w:val="Header"/>
      <w:jc w:val="center"/>
    </w:pPr>
    <w:r>
      <w:t>Фискална стратегија за 2019. годину са пројекцијама за 2020. и 2021. годину</w:t>
    </w:r>
  </w:p>
  <w:p w14:paraId="6F6EC859" w14:textId="77777777" w:rsidR="004F3F63" w:rsidRDefault="004F3F63">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ECA73A" w14:textId="77777777" w:rsidR="004F3F63" w:rsidRPr="003B6D80" w:rsidRDefault="004F3F63"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242FAC" w14:textId="77777777" w:rsidR="004F3F63" w:rsidRPr="00BF7F6A" w:rsidRDefault="004F3F63" w:rsidP="00B51BEB">
    <w:pPr>
      <w:pStyle w:val="Header"/>
      <w:jc w:val="center"/>
      <w:rPr>
        <w:lang w:val="sr-Cyrl-RS"/>
      </w:rPr>
    </w:pPr>
    <w:r>
      <w:rPr>
        <w:lang w:val="sr-Cyrl-RS"/>
      </w:rPr>
      <w:t>Фискална стратегија за 2019. годину са пројекцијама за 2020. и 2021. годину</w:t>
    </w:r>
  </w:p>
  <w:p w14:paraId="2445C143" w14:textId="77777777" w:rsidR="004F3F63" w:rsidRDefault="004F3F63">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088FB4" w14:textId="77777777" w:rsidR="004F3F63" w:rsidRPr="003B6D80" w:rsidRDefault="004F3F63"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084C06" w14:textId="77777777" w:rsidR="004F3F63" w:rsidRPr="00BF7F6A" w:rsidRDefault="004F3F63" w:rsidP="00B51BEB">
    <w:pPr>
      <w:pStyle w:val="Header"/>
      <w:jc w:val="center"/>
      <w:rPr>
        <w:lang w:val="sr-Cyrl-RS"/>
      </w:rPr>
    </w:pPr>
    <w:r>
      <w:rPr>
        <w:lang w:val="sr-Cyrl-RS"/>
      </w:rPr>
      <w:t>Фискална стратегија за 2019. годину са пројекцијама за 2020. и 2021. годину</w:t>
    </w:r>
  </w:p>
  <w:p w14:paraId="49594C5C" w14:textId="77777777" w:rsidR="004F3F63" w:rsidRDefault="004F3F63">
    <w:pPr>
      <w:pStyle w:val="Heade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9E82F3" w14:textId="77777777" w:rsidR="004F3F63" w:rsidRPr="003B6D80" w:rsidRDefault="004F3F63" w:rsidP="00B51BEB">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C89A58" w14:textId="77777777" w:rsidR="004F3F63" w:rsidRPr="00BF7F6A" w:rsidRDefault="004F3F63" w:rsidP="00B51BEB">
    <w:pPr>
      <w:pStyle w:val="Header"/>
      <w:jc w:val="center"/>
      <w:rPr>
        <w:lang w:val="sr-Cyrl-RS"/>
      </w:rPr>
    </w:pPr>
    <w:r>
      <w:rPr>
        <w:lang w:val="sr-Cyrl-RS"/>
      </w:rPr>
      <w:t>Фискална стратегија за 2019. годину са пројекцијама за 2020. и 2021. годину</w:t>
    </w:r>
  </w:p>
  <w:p w14:paraId="1CD5EAF4" w14:textId="77777777" w:rsidR="004F3F63" w:rsidRDefault="004F3F63">
    <w:pPr>
      <w:pStyle w:val="Header"/>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1ED620" w14:textId="77777777" w:rsidR="004F3F63" w:rsidRPr="003B6D80" w:rsidRDefault="004F3F63"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5829E3" w14:textId="77777777" w:rsidR="004F3F63" w:rsidRPr="00BF7F6A" w:rsidRDefault="004F3F63" w:rsidP="00D500A7">
    <w:pPr>
      <w:pStyle w:val="Header"/>
      <w:jc w:val="center"/>
      <w:rPr>
        <w:lang w:val="sr-Cyrl-RS"/>
      </w:rPr>
    </w:pPr>
    <w:r>
      <w:rPr>
        <w:lang w:val="sr-Cyrl-RS"/>
      </w:rPr>
      <w:t>Фискална стратегија за 2019. годину са пројекцијама за 2020. и 2021. годину</w:t>
    </w:r>
  </w:p>
  <w:p w14:paraId="754BD535" w14:textId="77777777" w:rsidR="004F3F63" w:rsidRDefault="004F3F63">
    <w:pPr>
      <w:pStyle w:val="Heade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1E486C" w14:textId="77777777" w:rsidR="004F3F63" w:rsidRPr="003B6D80" w:rsidRDefault="004F3F63" w:rsidP="00D500A7">
    <w:pPr>
      <w:pStyle w:val="Header"/>
      <w:jc w:val="center"/>
    </w:pPr>
    <w:r w:rsidRPr="006C57DB">
      <w:rPr>
        <w:lang w:val="sr-Cyrl-RS"/>
      </w:rPr>
      <w:t xml:space="preserve">Фискална </w:t>
    </w:r>
    <w:r w:rsidRPr="00724C89">
      <w:t>стратегија за 2020. годину са пројекцијама за 2021. и 2022. годину</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69DF3E" w14:textId="77777777" w:rsidR="004F3F63" w:rsidRPr="00BF7F6A" w:rsidRDefault="004F3F63" w:rsidP="00D500A7">
    <w:pPr>
      <w:pStyle w:val="Header"/>
      <w:jc w:val="center"/>
      <w:rPr>
        <w:lang w:val="sr-Cyrl-RS"/>
      </w:rPr>
    </w:pPr>
    <w:r>
      <w:rPr>
        <w:lang w:val="sr-Cyrl-RS"/>
      </w:rPr>
      <w:t>Фискална стратегија за 2019. годину са пројекцијама за 2020. и 2021. годину</w:t>
    </w:r>
  </w:p>
  <w:p w14:paraId="0CA603A0" w14:textId="77777777" w:rsidR="004F3F63" w:rsidRDefault="004F3F63">
    <w:pPr>
      <w:pStyle w:val="Header"/>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263A15" w14:textId="77777777" w:rsidR="004F3F63" w:rsidRDefault="004F3F63" w:rsidP="005158F5">
    <w:pPr>
      <w:pStyle w:val="Header"/>
      <w:jc w:val="center"/>
    </w:pPr>
    <w:r w:rsidRPr="006C57DB">
      <w:rPr>
        <w:lang w:val="sr-Cyrl-RS"/>
      </w:rPr>
      <w:t xml:space="preserve">Фискална </w:t>
    </w:r>
    <w:r>
      <w:rPr>
        <w:lang w:val="sr-Cyrl-RS"/>
      </w:rPr>
      <w:t>стратегија за 2020. годину са пројекцијама за 2021. и 2022</w:t>
    </w:r>
    <w:r w:rsidRPr="00361C29">
      <w:rPr>
        <w:lang w:val="sr-Cyrl-RS"/>
      </w:rPr>
      <w:t>. годину</w:t>
    </w:r>
  </w:p>
  <w:p w14:paraId="688EF631" w14:textId="77777777" w:rsidR="004F3F63" w:rsidRDefault="004F3F63"/>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784BE5" w14:textId="57C5C2EF" w:rsidR="004F3F63" w:rsidRPr="00865B00" w:rsidRDefault="004F3F63" w:rsidP="00865B00">
    <w:pPr>
      <w:pStyle w:val="Header"/>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D6E25D" w14:textId="6DD1ED0D" w:rsidR="004F3F63" w:rsidRPr="00865B00" w:rsidRDefault="004F3F63" w:rsidP="00865B00">
    <w:pPr>
      <w:pStyle w:val="Header"/>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7A437" w14:textId="77777777" w:rsidR="004F3F63" w:rsidRDefault="004F3F6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C328B3"/>
    <w:multiLevelType w:val="hybridMultilevel"/>
    <w:tmpl w:val="4B800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7C45D5"/>
    <w:multiLevelType w:val="hybridMultilevel"/>
    <w:tmpl w:val="9756494C"/>
    <w:lvl w:ilvl="0" w:tplc="281A0001">
      <w:start w:val="1"/>
      <w:numFmt w:val="bullet"/>
      <w:lvlText w:val=""/>
      <w:lvlJc w:val="left"/>
      <w:pPr>
        <w:ind w:left="720" w:hanging="360"/>
      </w:pPr>
      <w:rPr>
        <w:rFonts w:ascii="Symbol" w:hAnsi="Symbol"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 w15:restartNumberingAfterBreak="0">
    <w:nsid w:val="20FA5E91"/>
    <w:multiLevelType w:val="hybridMultilevel"/>
    <w:tmpl w:val="5DF4BD4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11B23A4"/>
    <w:multiLevelType w:val="hybridMultilevel"/>
    <w:tmpl w:val="0F4E72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14850F7"/>
    <w:multiLevelType w:val="hybridMultilevel"/>
    <w:tmpl w:val="9D58C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B5F6A1A"/>
    <w:multiLevelType w:val="hybridMultilevel"/>
    <w:tmpl w:val="6358C0B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F974621"/>
    <w:multiLevelType w:val="hybridMultilevel"/>
    <w:tmpl w:val="3D1E1176"/>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3817CF4"/>
    <w:multiLevelType w:val="hybridMultilevel"/>
    <w:tmpl w:val="BBAC36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A85611"/>
    <w:multiLevelType w:val="multilevel"/>
    <w:tmpl w:val="18667D1A"/>
    <w:lvl w:ilvl="0">
      <w:start w:val="1"/>
      <w:numFmt w:val="decimal"/>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15:restartNumberingAfterBreak="0">
    <w:nsid w:val="4D6972A3"/>
    <w:multiLevelType w:val="hybridMultilevel"/>
    <w:tmpl w:val="3750566E"/>
    <w:lvl w:ilvl="0" w:tplc="04090005">
      <w:start w:val="1"/>
      <w:numFmt w:val="bullet"/>
      <w:lvlText w:val=""/>
      <w:lvlJc w:val="left"/>
      <w:pPr>
        <w:ind w:left="1077" w:hanging="360"/>
      </w:pPr>
      <w:rPr>
        <w:rFonts w:ascii="Wingdings" w:hAnsi="Wingdings" w:hint="default"/>
      </w:rPr>
    </w:lvl>
    <w:lvl w:ilvl="1" w:tplc="04090003">
      <w:start w:val="1"/>
      <w:numFmt w:val="bullet"/>
      <w:lvlText w:val="o"/>
      <w:lvlJc w:val="left"/>
      <w:pPr>
        <w:ind w:left="1797" w:hanging="360"/>
      </w:pPr>
      <w:rPr>
        <w:rFonts w:ascii="Courier New" w:hAnsi="Courier New" w:cs="Courier New" w:hint="default"/>
      </w:rPr>
    </w:lvl>
    <w:lvl w:ilvl="2" w:tplc="04090005">
      <w:start w:val="1"/>
      <w:numFmt w:val="bullet"/>
      <w:lvlText w:val=""/>
      <w:lvlJc w:val="left"/>
      <w:pPr>
        <w:ind w:left="2517" w:hanging="360"/>
      </w:pPr>
      <w:rPr>
        <w:rFonts w:ascii="Wingdings" w:hAnsi="Wingdings" w:hint="default"/>
      </w:rPr>
    </w:lvl>
    <w:lvl w:ilvl="3" w:tplc="04090001">
      <w:start w:val="1"/>
      <w:numFmt w:val="bullet"/>
      <w:lvlText w:val=""/>
      <w:lvlJc w:val="left"/>
      <w:pPr>
        <w:ind w:left="3237" w:hanging="360"/>
      </w:pPr>
      <w:rPr>
        <w:rFonts w:ascii="Symbol" w:hAnsi="Symbol" w:hint="default"/>
      </w:rPr>
    </w:lvl>
    <w:lvl w:ilvl="4" w:tplc="04090003">
      <w:start w:val="1"/>
      <w:numFmt w:val="bullet"/>
      <w:lvlText w:val="o"/>
      <w:lvlJc w:val="left"/>
      <w:pPr>
        <w:ind w:left="3957" w:hanging="360"/>
      </w:pPr>
      <w:rPr>
        <w:rFonts w:ascii="Courier New" w:hAnsi="Courier New" w:cs="Courier New" w:hint="default"/>
      </w:rPr>
    </w:lvl>
    <w:lvl w:ilvl="5" w:tplc="04090005">
      <w:start w:val="1"/>
      <w:numFmt w:val="bullet"/>
      <w:lvlText w:val=""/>
      <w:lvlJc w:val="left"/>
      <w:pPr>
        <w:ind w:left="4677" w:hanging="360"/>
      </w:pPr>
      <w:rPr>
        <w:rFonts w:ascii="Wingdings" w:hAnsi="Wingdings" w:hint="default"/>
      </w:rPr>
    </w:lvl>
    <w:lvl w:ilvl="6" w:tplc="04090001">
      <w:start w:val="1"/>
      <w:numFmt w:val="bullet"/>
      <w:lvlText w:val=""/>
      <w:lvlJc w:val="left"/>
      <w:pPr>
        <w:ind w:left="5397" w:hanging="360"/>
      </w:pPr>
      <w:rPr>
        <w:rFonts w:ascii="Symbol" w:hAnsi="Symbol" w:hint="default"/>
      </w:rPr>
    </w:lvl>
    <w:lvl w:ilvl="7" w:tplc="04090003">
      <w:start w:val="1"/>
      <w:numFmt w:val="bullet"/>
      <w:lvlText w:val="o"/>
      <w:lvlJc w:val="left"/>
      <w:pPr>
        <w:ind w:left="6117" w:hanging="360"/>
      </w:pPr>
      <w:rPr>
        <w:rFonts w:ascii="Courier New" w:hAnsi="Courier New" w:cs="Courier New" w:hint="default"/>
      </w:rPr>
    </w:lvl>
    <w:lvl w:ilvl="8" w:tplc="04090005">
      <w:start w:val="1"/>
      <w:numFmt w:val="bullet"/>
      <w:lvlText w:val=""/>
      <w:lvlJc w:val="left"/>
      <w:pPr>
        <w:ind w:left="6837" w:hanging="360"/>
      </w:pPr>
      <w:rPr>
        <w:rFonts w:ascii="Wingdings" w:hAnsi="Wingdings" w:hint="default"/>
      </w:rPr>
    </w:lvl>
  </w:abstractNum>
  <w:abstractNum w:abstractNumId="10" w15:restartNumberingAfterBreak="0">
    <w:nsid w:val="4E321928"/>
    <w:multiLevelType w:val="hybridMultilevel"/>
    <w:tmpl w:val="7D3273FE"/>
    <w:lvl w:ilvl="0" w:tplc="04090005">
      <w:start w:val="1"/>
      <w:numFmt w:val="bullet"/>
      <w:lvlText w:val=""/>
      <w:lvlJc w:val="left"/>
      <w:pPr>
        <w:ind w:left="1797" w:hanging="360"/>
      </w:pPr>
      <w:rPr>
        <w:rFonts w:ascii="Wingdings" w:hAnsi="Wingdings" w:hint="default"/>
      </w:rPr>
    </w:lvl>
    <w:lvl w:ilvl="1" w:tplc="04090003">
      <w:start w:val="1"/>
      <w:numFmt w:val="bullet"/>
      <w:lvlText w:val="o"/>
      <w:lvlJc w:val="left"/>
      <w:pPr>
        <w:ind w:left="2517" w:hanging="360"/>
      </w:pPr>
      <w:rPr>
        <w:rFonts w:ascii="Courier New" w:hAnsi="Courier New" w:cs="Courier New" w:hint="default"/>
      </w:rPr>
    </w:lvl>
    <w:lvl w:ilvl="2" w:tplc="04090005">
      <w:start w:val="1"/>
      <w:numFmt w:val="bullet"/>
      <w:lvlText w:val=""/>
      <w:lvlJc w:val="left"/>
      <w:pPr>
        <w:ind w:left="3237" w:hanging="360"/>
      </w:pPr>
      <w:rPr>
        <w:rFonts w:ascii="Wingdings" w:hAnsi="Wingdings" w:hint="default"/>
      </w:rPr>
    </w:lvl>
    <w:lvl w:ilvl="3" w:tplc="04090001">
      <w:start w:val="1"/>
      <w:numFmt w:val="bullet"/>
      <w:lvlText w:val=""/>
      <w:lvlJc w:val="left"/>
      <w:pPr>
        <w:ind w:left="3957" w:hanging="360"/>
      </w:pPr>
      <w:rPr>
        <w:rFonts w:ascii="Symbol" w:hAnsi="Symbol" w:hint="default"/>
      </w:rPr>
    </w:lvl>
    <w:lvl w:ilvl="4" w:tplc="04090003">
      <w:start w:val="1"/>
      <w:numFmt w:val="bullet"/>
      <w:lvlText w:val="o"/>
      <w:lvlJc w:val="left"/>
      <w:pPr>
        <w:ind w:left="4677" w:hanging="360"/>
      </w:pPr>
      <w:rPr>
        <w:rFonts w:ascii="Courier New" w:hAnsi="Courier New" w:cs="Courier New" w:hint="default"/>
      </w:rPr>
    </w:lvl>
    <w:lvl w:ilvl="5" w:tplc="04090005">
      <w:start w:val="1"/>
      <w:numFmt w:val="bullet"/>
      <w:lvlText w:val=""/>
      <w:lvlJc w:val="left"/>
      <w:pPr>
        <w:ind w:left="5397" w:hanging="360"/>
      </w:pPr>
      <w:rPr>
        <w:rFonts w:ascii="Wingdings" w:hAnsi="Wingdings" w:hint="default"/>
      </w:rPr>
    </w:lvl>
    <w:lvl w:ilvl="6" w:tplc="04090001">
      <w:start w:val="1"/>
      <w:numFmt w:val="bullet"/>
      <w:lvlText w:val=""/>
      <w:lvlJc w:val="left"/>
      <w:pPr>
        <w:ind w:left="6117" w:hanging="360"/>
      </w:pPr>
      <w:rPr>
        <w:rFonts w:ascii="Symbol" w:hAnsi="Symbol" w:hint="default"/>
      </w:rPr>
    </w:lvl>
    <w:lvl w:ilvl="7" w:tplc="04090003">
      <w:start w:val="1"/>
      <w:numFmt w:val="bullet"/>
      <w:lvlText w:val="o"/>
      <w:lvlJc w:val="left"/>
      <w:pPr>
        <w:ind w:left="6837" w:hanging="360"/>
      </w:pPr>
      <w:rPr>
        <w:rFonts w:ascii="Courier New" w:hAnsi="Courier New" w:cs="Courier New" w:hint="default"/>
      </w:rPr>
    </w:lvl>
    <w:lvl w:ilvl="8" w:tplc="04090005">
      <w:start w:val="1"/>
      <w:numFmt w:val="bullet"/>
      <w:lvlText w:val=""/>
      <w:lvlJc w:val="left"/>
      <w:pPr>
        <w:ind w:left="7557" w:hanging="360"/>
      </w:pPr>
      <w:rPr>
        <w:rFonts w:ascii="Wingdings" w:hAnsi="Wingdings" w:hint="default"/>
      </w:rPr>
    </w:lvl>
  </w:abstractNum>
  <w:abstractNum w:abstractNumId="11" w15:restartNumberingAfterBreak="0">
    <w:nsid w:val="54592C15"/>
    <w:multiLevelType w:val="hybridMultilevel"/>
    <w:tmpl w:val="CC3CD6FE"/>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C003055"/>
    <w:multiLevelType w:val="hybridMultilevel"/>
    <w:tmpl w:val="DB8ACF72"/>
    <w:lvl w:ilvl="0" w:tplc="04090005">
      <w:start w:val="1"/>
      <w:numFmt w:val="bullet"/>
      <w:lvlText w:val=""/>
      <w:lvlJc w:val="left"/>
      <w:pPr>
        <w:ind w:left="720" w:hanging="360"/>
      </w:pPr>
      <w:rPr>
        <w:rFonts w:ascii="Wingdings" w:hAnsi="Wingdings" w:hint="default"/>
      </w:rPr>
    </w:lvl>
    <w:lvl w:ilvl="1" w:tplc="CE94C130">
      <w:start w:val="6"/>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A75434"/>
    <w:multiLevelType w:val="hybridMultilevel"/>
    <w:tmpl w:val="1F682A80"/>
    <w:lvl w:ilvl="0" w:tplc="1DFCD06E">
      <w:start w:val="1"/>
      <w:numFmt w:val="bullet"/>
      <w:lvlText w:val=""/>
      <w:lvlJc w:val="left"/>
      <w:pPr>
        <w:ind w:left="720" w:hanging="360"/>
      </w:pPr>
      <w:rPr>
        <w:rFonts w:ascii="Wingdings" w:hAnsi="Wingdings" w:hint="default"/>
        <w:color w:val="44546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F667808"/>
    <w:multiLevelType w:val="hybridMultilevel"/>
    <w:tmpl w:val="38E0640C"/>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430566"/>
    <w:multiLevelType w:val="hybridMultilevel"/>
    <w:tmpl w:val="8BBC2DA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44B4078"/>
    <w:multiLevelType w:val="hybridMultilevel"/>
    <w:tmpl w:val="E1122C1A"/>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B74E8F"/>
    <w:multiLevelType w:val="hybridMultilevel"/>
    <w:tmpl w:val="335221A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8869C2"/>
    <w:multiLevelType w:val="hybridMultilevel"/>
    <w:tmpl w:val="F64093A4"/>
    <w:lvl w:ilvl="0" w:tplc="04090005">
      <w:start w:val="1"/>
      <w:numFmt w:val="bullet"/>
      <w:lvlText w:val=""/>
      <w:lvlJc w:val="left"/>
      <w:pPr>
        <w:ind w:left="720" w:hanging="360"/>
      </w:pPr>
      <w:rPr>
        <w:rFonts w:ascii="Wingdings" w:hAnsi="Wingdings" w:hint="default"/>
      </w:rPr>
    </w:lvl>
    <w:lvl w:ilvl="1" w:tplc="8828E634">
      <w:start w:val="6"/>
      <w:numFmt w:val="bullet"/>
      <w:lvlText w:val="•"/>
      <w:lvlJc w:val="left"/>
      <w:pPr>
        <w:ind w:left="1440" w:hanging="360"/>
      </w:pPr>
      <w:rPr>
        <w:rFonts w:ascii="Calibri" w:eastAsiaTheme="minorHAns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73773555">
    <w:abstractNumId w:val="3"/>
  </w:num>
  <w:num w:numId="2" w16cid:durableId="1630473128">
    <w:abstractNumId w:val="9"/>
  </w:num>
  <w:num w:numId="3" w16cid:durableId="1630941814">
    <w:abstractNumId w:val="10"/>
  </w:num>
  <w:num w:numId="4" w16cid:durableId="452287911">
    <w:abstractNumId w:val="15"/>
  </w:num>
  <w:num w:numId="5" w16cid:durableId="694502653">
    <w:abstractNumId w:val="7"/>
  </w:num>
  <w:num w:numId="6" w16cid:durableId="1568222618">
    <w:abstractNumId w:val="18"/>
  </w:num>
  <w:num w:numId="7" w16cid:durableId="211844814">
    <w:abstractNumId w:val="6"/>
  </w:num>
  <w:num w:numId="8" w16cid:durableId="584189784">
    <w:abstractNumId w:val="12"/>
  </w:num>
  <w:num w:numId="9" w16cid:durableId="1037043228">
    <w:abstractNumId w:val="17"/>
  </w:num>
  <w:num w:numId="10" w16cid:durableId="1753354397">
    <w:abstractNumId w:val="11"/>
  </w:num>
  <w:num w:numId="11" w16cid:durableId="1542595505">
    <w:abstractNumId w:val="14"/>
  </w:num>
  <w:num w:numId="12" w16cid:durableId="655189792">
    <w:abstractNumId w:val="16"/>
  </w:num>
  <w:num w:numId="13" w16cid:durableId="1459109652">
    <w:abstractNumId w:val="5"/>
  </w:num>
  <w:num w:numId="14" w16cid:durableId="268045217">
    <w:abstractNumId w:val="13"/>
  </w:num>
  <w:num w:numId="15" w16cid:durableId="938296063">
    <w:abstractNumId w:val="0"/>
  </w:num>
  <w:num w:numId="16" w16cid:durableId="1666394944">
    <w:abstractNumId w:val="1"/>
  </w:num>
  <w:num w:numId="17" w16cid:durableId="291836463">
    <w:abstractNumId w:val="2"/>
  </w:num>
  <w:num w:numId="18" w16cid:durableId="1757820082">
    <w:abstractNumId w:val="8"/>
  </w:num>
  <w:num w:numId="19" w16cid:durableId="861092004">
    <w:abstractNumId w:val="4"/>
  </w:num>
  <w:num w:numId="20" w16cid:durableId="5317740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QzMTS2sDAxNzYwM7RU0lEKTi0uzszPAykwrQUAdftuaCwAAAA="/>
  </w:docVars>
  <w:rsids>
    <w:rsidRoot w:val="00570694"/>
    <w:rsid w:val="00000738"/>
    <w:rsid w:val="000024E4"/>
    <w:rsid w:val="00003DDE"/>
    <w:rsid w:val="00005A98"/>
    <w:rsid w:val="00005B4B"/>
    <w:rsid w:val="000070D4"/>
    <w:rsid w:val="00007166"/>
    <w:rsid w:val="00007450"/>
    <w:rsid w:val="00007DCD"/>
    <w:rsid w:val="0001031F"/>
    <w:rsid w:val="0001068B"/>
    <w:rsid w:val="00010C73"/>
    <w:rsid w:val="00011441"/>
    <w:rsid w:val="00011F40"/>
    <w:rsid w:val="00011F7A"/>
    <w:rsid w:val="00012A00"/>
    <w:rsid w:val="000137D6"/>
    <w:rsid w:val="000142EA"/>
    <w:rsid w:val="0001436A"/>
    <w:rsid w:val="0001456F"/>
    <w:rsid w:val="000146BD"/>
    <w:rsid w:val="0001479F"/>
    <w:rsid w:val="00014BA1"/>
    <w:rsid w:val="00014BF7"/>
    <w:rsid w:val="0001518F"/>
    <w:rsid w:val="00015AF3"/>
    <w:rsid w:val="00016599"/>
    <w:rsid w:val="000176BA"/>
    <w:rsid w:val="00017CE7"/>
    <w:rsid w:val="00017FEA"/>
    <w:rsid w:val="0002040E"/>
    <w:rsid w:val="00020F32"/>
    <w:rsid w:val="0002394D"/>
    <w:rsid w:val="00023CAD"/>
    <w:rsid w:val="000248EF"/>
    <w:rsid w:val="00024B73"/>
    <w:rsid w:val="00025B30"/>
    <w:rsid w:val="00025DEA"/>
    <w:rsid w:val="00026799"/>
    <w:rsid w:val="00030428"/>
    <w:rsid w:val="00030ED7"/>
    <w:rsid w:val="00031215"/>
    <w:rsid w:val="000312CC"/>
    <w:rsid w:val="0003151D"/>
    <w:rsid w:val="0003267D"/>
    <w:rsid w:val="00032ABE"/>
    <w:rsid w:val="00033236"/>
    <w:rsid w:val="0003520F"/>
    <w:rsid w:val="00036174"/>
    <w:rsid w:val="0003624C"/>
    <w:rsid w:val="000373BC"/>
    <w:rsid w:val="000378CD"/>
    <w:rsid w:val="00040A56"/>
    <w:rsid w:val="00040D82"/>
    <w:rsid w:val="00040FBC"/>
    <w:rsid w:val="0004265A"/>
    <w:rsid w:val="00043D88"/>
    <w:rsid w:val="0004446C"/>
    <w:rsid w:val="00044DE8"/>
    <w:rsid w:val="00044F53"/>
    <w:rsid w:val="00045DA2"/>
    <w:rsid w:val="0004786A"/>
    <w:rsid w:val="00047F32"/>
    <w:rsid w:val="00047F55"/>
    <w:rsid w:val="00050D40"/>
    <w:rsid w:val="00050E4C"/>
    <w:rsid w:val="00051446"/>
    <w:rsid w:val="00051E16"/>
    <w:rsid w:val="000520C7"/>
    <w:rsid w:val="0005265C"/>
    <w:rsid w:val="000526AB"/>
    <w:rsid w:val="00052880"/>
    <w:rsid w:val="00053791"/>
    <w:rsid w:val="00053E30"/>
    <w:rsid w:val="00053E87"/>
    <w:rsid w:val="00054089"/>
    <w:rsid w:val="000544FF"/>
    <w:rsid w:val="00054623"/>
    <w:rsid w:val="00054A7A"/>
    <w:rsid w:val="00055075"/>
    <w:rsid w:val="000554B1"/>
    <w:rsid w:val="00055FE2"/>
    <w:rsid w:val="00056DF7"/>
    <w:rsid w:val="00057424"/>
    <w:rsid w:val="000579BB"/>
    <w:rsid w:val="00061EA4"/>
    <w:rsid w:val="000623F6"/>
    <w:rsid w:val="000628F2"/>
    <w:rsid w:val="00063AC2"/>
    <w:rsid w:val="00063E59"/>
    <w:rsid w:val="0006488B"/>
    <w:rsid w:val="000662DC"/>
    <w:rsid w:val="000676C7"/>
    <w:rsid w:val="00067B90"/>
    <w:rsid w:val="00071191"/>
    <w:rsid w:val="000718C2"/>
    <w:rsid w:val="000727B2"/>
    <w:rsid w:val="00073179"/>
    <w:rsid w:val="00073336"/>
    <w:rsid w:val="000766DD"/>
    <w:rsid w:val="00076EF0"/>
    <w:rsid w:val="000771A0"/>
    <w:rsid w:val="000771A3"/>
    <w:rsid w:val="00077230"/>
    <w:rsid w:val="00077663"/>
    <w:rsid w:val="00077711"/>
    <w:rsid w:val="00080CB4"/>
    <w:rsid w:val="000814C2"/>
    <w:rsid w:val="00081C1E"/>
    <w:rsid w:val="00082B03"/>
    <w:rsid w:val="000836F4"/>
    <w:rsid w:val="00084201"/>
    <w:rsid w:val="000857D1"/>
    <w:rsid w:val="00085D4A"/>
    <w:rsid w:val="00085ECE"/>
    <w:rsid w:val="00086B41"/>
    <w:rsid w:val="0008731A"/>
    <w:rsid w:val="00087CD9"/>
    <w:rsid w:val="00091211"/>
    <w:rsid w:val="000919A1"/>
    <w:rsid w:val="00092123"/>
    <w:rsid w:val="000931AB"/>
    <w:rsid w:val="00094ACF"/>
    <w:rsid w:val="00095B36"/>
    <w:rsid w:val="00095C15"/>
    <w:rsid w:val="000964C9"/>
    <w:rsid w:val="000966AF"/>
    <w:rsid w:val="00097B64"/>
    <w:rsid w:val="000A00D2"/>
    <w:rsid w:val="000A051C"/>
    <w:rsid w:val="000A125C"/>
    <w:rsid w:val="000A357F"/>
    <w:rsid w:val="000A3BA4"/>
    <w:rsid w:val="000A3DA9"/>
    <w:rsid w:val="000A46FE"/>
    <w:rsid w:val="000A55CF"/>
    <w:rsid w:val="000A5C49"/>
    <w:rsid w:val="000A6F14"/>
    <w:rsid w:val="000A72D6"/>
    <w:rsid w:val="000A772F"/>
    <w:rsid w:val="000A7AA9"/>
    <w:rsid w:val="000A7CCE"/>
    <w:rsid w:val="000B062E"/>
    <w:rsid w:val="000B24C5"/>
    <w:rsid w:val="000B282B"/>
    <w:rsid w:val="000B2BAB"/>
    <w:rsid w:val="000B3520"/>
    <w:rsid w:val="000B3E5D"/>
    <w:rsid w:val="000B43F5"/>
    <w:rsid w:val="000B44BA"/>
    <w:rsid w:val="000B4AC5"/>
    <w:rsid w:val="000B4B5F"/>
    <w:rsid w:val="000B5582"/>
    <w:rsid w:val="000C08A1"/>
    <w:rsid w:val="000C20F5"/>
    <w:rsid w:val="000C255B"/>
    <w:rsid w:val="000C2568"/>
    <w:rsid w:val="000C433F"/>
    <w:rsid w:val="000C4E9D"/>
    <w:rsid w:val="000C5A76"/>
    <w:rsid w:val="000C7AEF"/>
    <w:rsid w:val="000C7D6F"/>
    <w:rsid w:val="000D0A45"/>
    <w:rsid w:val="000D1073"/>
    <w:rsid w:val="000D2FC6"/>
    <w:rsid w:val="000D35C5"/>
    <w:rsid w:val="000D3B88"/>
    <w:rsid w:val="000D408C"/>
    <w:rsid w:val="000D477E"/>
    <w:rsid w:val="000D571E"/>
    <w:rsid w:val="000D5A02"/>
    <w:rsid w:val="000D63DF"/>
    <w:rsid w:val="000D6511"/>
    <w:rsid w:val="000D6FF5"/>
    <w:rsid w:val="000E05E0"/>
    <w:rsid w:val="000E1901"/>
    <w:rsid w:val="000E1A99"/>
    <w:rsid w:val="000E2AEF"/>
    <w:rsid w:val="000E2C4E"/>
    <w:rsid w:val="000E3193"/>
    <w:rsid w:val="000E3344"/>
    <w:rsid w:val="000E343C"/>
    <w:rsid w:val="000E376B"/>
    <w:rsid w:val="000E4558"/>
    <w:rsid w:val="000E5961"/>
    <w:rsid w:val="000E608D"/>
    <w:rsid w:val="000E61F4"/>
    <w:rsid w:val="000E651E"/>
    <w:rsid w:val="000E72F0"/>
    <w:rsid w:val="000F0F1A"/>
    <w:rsid w:val="000F1CF3"/>
    <w:rsid w:val="000F1EB4"/>
    <w:rsid w:val="000F33F8"/>
    <w:rsid w:val="000F3E46"/>
    <w:rsid w:val="000F4BFA"/>
    <w:rsid w:val="000F4E58"/>
    <w:rsid w:val="000F4F17"/>
    <w:rsid w:val="000F58B5"/>
    <w:rsid w:val="000F6048"/>
    <w:rsid w:val="00100B11"/>
    <w:rsid w:val="00101649"/>
    <w:rsid w:val="00105AE6"/>
    <w:rsid w:val="00105FA7"/>
    <w:rsid w:val="00107CFA"/>
    <w:rsid w:val="00107E08"/>
    <w:rsid w:val="00110235"/>
    <w:rsid w:val="0011038F"/>
    <w:rsid w:val="00111810"/>
    <w:rsid w:val="00111833"/>
    <w:rsid w:val="00111DAF"/>
    <w:rsid w:val="0011303A"/>
    <w:rsid w:val="00113079"/>
    <w:rsid w:val="00114519"/>
    <w:rsid w:val="0011480F"/>
    <w:rsid w:val="001152C5"/>
    <w:rsid w:val="00116920"/>
    <w:rsid w:val="00117192"/>
    <w:rsid w:val="00117933"/>
    <w:rsid w:val="001200FD"/>
    <w:rsid w:val="00120DA0"/>
    <w:rsid w:val="00122265"/>
    <w:rsid w:val="001228F9"/>
    <w:rsid w:val="0012307B"/>
    <w:rsid w:val="001239A8"/>
    <w:rsid w:val="00123E26"/>
    <w:rsid w:val="001259A9"/>
    <w:rsid w:val="001275CF"/>
    <w:rsid w:val="0012767A"/>
    <w:rsid w:val="001315A6"/>
    <w:rsid w:val="0013170E"/>
    <w:rsid w:val="00131B29"/>
    <w:rsid w:val="00131C9F"/>
    <w:rsid w:val="00132FA9"/>
    <w:rsid w:val="00133AB2"/>
    <w:rsid w:val="00133CD9"/>
    <w:rsid w:val="00133D9B"/>
    <w:rsid w:val="00133EBC"/>
    <w:rsid w:val="001359FB"/>
    <w:rsid w:val="00135A8B"/>
    <w:rsid w:val="00135AAB"/>
    <w:rsid w:val="001367C0"/>
    <w:rsid w:val="00136A9D"/>
    <w:rsid w:val="00137CAB"/>
    <w:rsid w:val="00140BC2"/>
    <w:rsid w:val="00140BCF"/>
    <w:rsid w:val="00140F69"/>
    <w:rsid w:val="00141A18"/>
    <w:rsid w:val="00142BB2"/>
    <w:rsid w:val="0014307F"/>
    <w:rsid w:val="00144189"/>
    <w:rsid w:val="001441C8"/>
    <w:rsid w:val="00144472"/>
    <w:rsid w:val="00144545"/>
    <w:rsid w:val="00144917"/>
    <w:rsid w:val="00144C44"/>
    <w:rsid w:val="0014561B"/>
    <w:rsid w:val="0014585F"/>
    <w:rsid w:val="00146101"/>
    <w:rsid w:val="00146506"/>
    <w:rsid w:val="001476C8"/>
    <w:rsid w:val="00147925"/>
    <w:rsid w:val="00147C55"/>
    <w:rsid w:val="0015014A"/>
    <w:rsid w:val="00150351"/>
    <w:rsid w:val="00150B26"/>
    <w:rsid w:val="00151DA1"/>
    <w:rsid w:val="001527EE"/>
    <w:rsid w:val="0015290B"/>
    <w:rsid w:val="00152A98"/>
    <w:rsid w:val="00152FE9"/>
    <w:rsid w:val="00153636"/>
    <w:rsid w:val="0015375D"/>
    <w:rsid w:val="0015484A"/>
    <w:rsid w:val="00154CBB"/>
    <w:rsid w:val="00155570"/>
    <w:rsid w:val="00156088"/>
    <w:rsid w:val="00156BFA"/>
    <w:rsid w:val="001604B9"/>
    <w:rsid w:val="00160DC2"/>
    <w:rsid w:val="00161001"/>
    <w:rsid w:val="00162A08"/>
    <w:rsid w:val="00163ABC"/>
    <w:rsid w:val="00163E9D"/>
    <w:rsid w:val="00164283"/>
    <w:rsid w:val="0016494D"/>
    <w:rsid w:val="001654B4"/>
    <w:rsid w:val="001658DB"/>
    <w:rsid w:val="00165FA9"/>
    <w:rsid w:val="00166017"/>
    <w:rsid w:val="00166653"/>
    <w:rsid w:val="0017035F"/>
    <w:rsid w:val="0017154C"/>
    <w:rsid w:val="00171E52"/>
    <w:rsid w:val="00172947"/>
    <w:rsid w:val="00173CF3"/>
    <w:rsid w:val="0017431E"/>
    <w:rsid w:val="0017465F"/>
    <w:rsid w:val="001748A7"/>
    <w:rsid w:val="001753B7"/>
    <w:rsid w:val="00175A72"/>
    <w:rsid w:val="00176F75"/>
    <w:rsid w:val="001773CD"/>
    <w:rsid w:val="001808BA"/>
    <w:rsid w:val="00180DF6"/>
    <w:rsid w:val="00182173"/>
    <w:rsid w:val="001829CE"/>
    <w:rsid w:val="00182A86"/>
    <w:rsid w:val="00183A2A"/>
    <w:rsid w:val="00183C60"/>
    <w:rsid w:val="00184007"/>
    <w:rsid w:val="00187838"/>
    <w:rsid w:val="001901A5"/>
    <w:rsid w:val="001901FC"/>
    <w:rsid w:val="00190616"/>
    <w:rsid w:val="00190661"/>
    <w:rsid w:val="0019112F"/>
    <w:rsid w:val="00191645"/>
    <w:rsid w:val="001940DA"/>
    <w:rsid w:val="00194321"/>
    <w:rsid w:val="00195054"/>
    <w:rsid w:val="00195D34"/>
    <w:rsid w:val="00195EED"/>
    <w:rsid w:val="0019659D"/>
    <w:rsid w:val="00196FF3"/>
    <w:rsid w:val="00197D5B"/>
    <w:rsid w:val="001A0255"/>
    <w:rsid w:val="001A0449"/>
    <w:rsid w:val="001A06AE"/>
    <w:rsid w:val="001A108B"/>
    <w:rsid w:val="001A1730"/>
    <w:rsid w:val="001A25EA"/>
    <w:rsid w:val="001A2C4E"/>
    <w:rsid w:val="001A342B"/>
    <w:rsid w:val="001A35AD"/>
    <w:rsid w:val="001A4391"/>
    <w:rsid w:val="001A4FAD"/>
    <w:rsid w:val="001A57BB"/>
    <w:rsid w:val="001A7C3B"/>
    <w:rsid w:val="001B0D1E"/>
    <w:rsid w:val="001B0E94"/>
    <w:rsid w:val="001B200E"/>
    <w:rsid w:val="001B2B9F"/>
    <w:rsid w:val="001B3294"/>
    <w:rsid w:val="001B39B1"/>
    <w:rsid w:val="001B3F5A"/>
    <w:rsid w:val="001B4899"/>
    <w:rsid w:val="001B5A30"/>
    <w:rsid w:val="001B5D92"/>
    <w:rsid w:val="001B65DD"/>
    <w:rsid w:val="001B6CF0"/>
    <w:rsid w:val="001B7B6D"/>
    <w:rsid w:val="001B7F07"/>
    <w:rsid w:val="001C31E8"/>
    <w:rsid w:val="001C37C3"/>
    <w:rsid w:val="001C3BCE"/>
    <w:rsid w:val="001C3EB8"/>
    <w:rsid w:val="001C5986"/>
    <w:rsid w:val="001C5C26"/>
    <w:rsid w:val="001C5E46"/>
    <w:rsid w:val="001C624A"/>
    <w:rsid w:val="001C6D5F"/>
    <w:rsid w:val="001C7486"/>
    <w:rsid w:val="001C7944"/>
    <w:rsid w:val="001D12AA"/>
    <w:rsid w:val="001D1BC3"/>
    <w:rsid w:val="001D254C"/>
    <w:rsid w:val="001D2764"/>
    <w:rsid w:val="001D3241"/>
    <w:rsid w:val="001D3262"/>
    <w:rsid w:val="001D3316"/>
    <w:rsid w:val="001D3A04"/>
    <w:rsid w:val="001D528E"/>
    <w:rsid w:val="001D52A6"/>
    <w:rsid w:val="001D530B"/>
    <w:rsid w:val="001D5B47"/>
    <w:rsid w:val="001D5B59"/>
    <w:rsid w:val="001D5D32"/>
    <w:rsid w:val="001D6890"/>
    <w:rsid w:val="001D6BAB"/>
    <w:rsid w:val="001D6C6B"/>
    <w:rsid w:val="001D7587"/>
    <w:rsid w:val="001E0313"/>
    <w:rsid w:val="001E1EFD"/>
    <w:rsid w:val="001E2B90"/>
    <w:rsid w:val="001E3C08"/>
    <w:rsid w:val="001E43C2"/>
    <w:rsid w:val="001E44C9"/>
    <w:rsid w:val="001E499B"/>
    <w:rsid w:val="001E5B42"/>
    <w:rsid w:val="001E71AB"/>
    <w:rsid w:val="001F0A52"/>
    <w:rsid w:val="001F1B9F"/>
    <w:rsid w:val="001F1F84"/>
    <w:rsid w:val="001F46AD"/>
    <w:rsid w:val="001F4750"/>
    <w:rsid w:val="001F4A1C"/>
    <w:rsid w:val="001F4FBB"/>
    <w:rsid w:val="001F5118"/>
    <w:rsid w:val="001F52FB"/>
    <w:rsid w:val="001F5CF6"/>
    <w:rsid w:val="001F5D30"/>
    <w:rsid w:val="001F6AEA"/>
    <w:rsid w:val="001F72DE"/>
    <w:rsid w:val="001F796C"/>
    <w:rsid w:val="00201099"/>
    <w:rsid w:val="00201586"/>
    <w:rsid w:val="0020165D"/>
    <w:rsid w:val="002016D9"/>
    <w:rsid w:val="00201771"/>
    <w:rsid w:val="002025D1"/>
    <w:rsid w:val="002027E9"/>
    <w:rsid w:val="00203391"/>
    <w:rsid w:val="0020373B"/>
    <w:rsid w:val="002048DF"/>
    <w:rsid w:val="00204F22"/>
    <w:rsid w:val="00205098"/>
    <w:rsid w:val="00205636"/>
    <w:rsid w:val="00206FBA"/>
    <w:rsid w:val="0020757D"/>
    <w:rsid w:val="0020784A"/>
    <w:rsid w:val="0021016A"/>
    <w:rsid w:val="00213C53"/>
    <w:rsid w:val="00214CFC"/>
    <w:rsid w:val="002152C6"/>
    <w:rsid w:val="0021538A"/>
    <w:rsid w:val="002165A3"/>
    <w:rsid w:val="002166F8"/>
    <w:rsid w:val="00216CA0"/>
    <w:rsid w:val="00220291"/>
    <w:rsid w:val="00220B7B"/>
    <w:rsid w:val="00222C42"/>
    <w:rsid w:val="00223388"/>
    <w:rsid w:val="00223E15"/>
    <w:rsid w:val="00224E76"/>
    <w:rsid w:val="0022573C"/>
    <w:rsid w:val="00225A4E"/>
    <w:rsid w:val="0022630A"/>
    <w:rsid w:val="0022672A"/>
    <w:rsid w:val="0022712C"/>
    <w:rsid w:val="00227CB2"/>
    <w:rsid w:val="0023004A"/>
    <w:rsid w:val="00230F86"/>
    <w:rsid w:val="00231623"/>
    <w:rsid w:val="00231D59"/>
    <w:rsid w:val="0023268B"/>
    <w:rsid w:val="00232965"/>
    <w:rsid w:val="00236619"/>
    <w:rsid w:val="0023793B"/>
    <w:rsid w:val="0024018B"/>
    <w:rsid w:val="002406BD"/>
    <w:rsid w:val="002408F9"/>
    <w:rsid w:val="00240E2E"/>
    <w:rsid w:val="00240E86"/>
    <w:rsid w:val="00242481"/>
    <w:rsid w:val="00242716"/>
    <w:rsid w:val="002427B0"/>
    <w:rsid w:val="00242C1B"/>
    <w:rsid w:val="00244274"/>
    <w:rsid w:val="00245B06"/>
    <w:rsid w:val="0024608F"/>
    <w:rsid w:val="002478B5"/>
    <w:rsid w:val="00250469"/>
    <w:rsid w:val="002514DB"/>
    <w:rsid w:val="0025163B"/>
    <w:rsid w:val="00252092"/>
    <w:rsid w:val="002520BF"/>
    <w:rsid w:val="002520F2"/>
    <w:rsid w:val="00253BCE"/>
    <w:rsid w:val="00253CF6"/>
    <w:rsid w:val="00254447"/>
    <w:rsid w:val="002545C4"/>
    <w:rsid w:val="002556EE"/>
    <w:rsid w:val="00255D7F"/>
    <w:rsid w:val="002567C7"/>
    <w:rsid w:val="00256C5B"/>
    <w:rsid w:val="00260796"/>
    <w:rsid w:val="002607ED"/>
    <w:rsid w:val="002608D1"/>
    <w:rsid w:val="00260C97"/>
    <w:rsid w:val="00261423"/>
    <w:rsid w:val="0026168D"/>
    <w:rsid w:val="0026272F"/>
    <w:rsid w:val="002646A6"/>
    <w:rsid w:val="00264858"/>
    <w:rsid w:val="00265394"/>
    <w:rsid w:val="002654A4"/>
    <w:rsid w:val="00266355"/>
    <w:rsid w:val="0026711B"/>
    <w:rsid w:val="00270566"/>
    <w:rsid w:val="00270862"/>
    <w:rsid w:val="00271D98"/>
    <w:rsid w:val="00273106"/>
    <w:rsid w:val="00273E35"/>
    <w:rsid w:val="0027402D"/>
    <w:rsid w:val="002745EB"/>
    <w:rsid w:val="00274FD8"/>
    <w:rsid w:val="002754E6"/>
    <w:rsid w:val="00276744"/>
    <w:rsid w:val="002769E9"/>
    <w:rsid w:val="00276C75"/>
    <w:rsid w:val="00276FCA"/>
    <w:rsid w:val="00277E7D"/>
    <w:rsid w:val="00280859"/>
    <w:rsid w:val="00280B97"/>
    <w:rsid w:val="00281F47"/>
    <w:rsid w:val="00282BAA"/>
    <w:rsid w:val="00285087"/>
    <w:rsid w:val="00285491"/>
    <w:rsid w:val="00285CFC"/>
    <w:rsid w:val="002864D9"/>
    <w:rsid w:val="00286602"/>
    <w:rsid w:val="00287721"/>
    <w:rsid w:val="0029002D"/>
    <w:rsid w:val="00291A64"/>
    <w:rsid w:val="00291CA6"/>
    <w:rsid w:val="00291ED0"/>
    <w:rsid w:val="00292465"/>
    <w:rsid w:val="00292A4F"/>
    <w:rsid w:val="002931F2"/>
    <w:rsid w:val="00293770"/>
    <w:rsid w:val="00293B19"/>
    <w:rsid w:val="002944BB"/>
    <w:rsid w:val="00297111"/>
    <w:rsid w:val="002976D7"/>
    <w:rsid w:val="002A0B31"/>
    <w:rsid w:val="002A0D22"/>
    <w:rsid w:val="002A11EE"/>
    <w:rsid w:val="002A2849"/>
    <w:rsid w:val="002A3DF9"/>
    <w:rsid w:val="002A4AC6"/>
    <w:rsid w:val="002A5107"/>
    <w:rsid w:val="002A5D8B"/>
    <w:rsid w:val="002A65F6"/>
    <w:rsid w:val="002A7D0E"/>
    <w:rsid w:val="002B0A81"/>
    <w:rsid w:val="002B0ADB"/>
    <w:rsid w:val="002B0D7A"/>
    <w:rsid w:val="002B161B"/>
    <w:rsid w:val="002B1A52"/>
    <w:rsid w:val="002B373F"/>
    <w:rsid w:val="002B46CB"/>
    <w:rsid w:val="002B60EF"/>
    <w:rsid w:val="002B644D"/>
    <w:rsid w:val="002B7144"/>
    <w:rsid w:val="002C0021"/>
    <w:rsid w:val="002C13B8"/>
    <w:rsid w:val="002C1D90"/>
    <w:rsid w:val="002C1FBC"/>
    <w:rsid w:val="002C216B"/>
    <w:rsid w:val="002C3192"/>
    <w:rsid w:val="002C3568"/>
    <w:rsid w:val="002C4D04"/>
    <w:rsid w:val="002C5CC6"/>
    <w:rsid w:val="002C675F"/>
    <w:rsid w:val="002D0316"/>
    <w:rsid w:val="002D0A04"/>
    <w:rsid w:val="002D0E7B"/>
    <w:rsid w:val="002D1432"/>
    <w:rsid w:val="002D14FC"/>
    <w:rsid w:val="002D29FF"/>
    <w:rsid w:val="002D37F1"/>
    <w:rsid w:val="002D5C73"/>
    <w:rsid w:val="002D5E21"/>
    <w:rsid w:val="002D6257"/>
    <w:rsid w:val="002D6307"/>
    <w:rsid w:val="002D65A5"/>
    <w:rsid w:val="002D7900"/>
    <w:rsid w:val="002D7C40"/>
    <w:rsid w:val="002E1402"/>
    <w:rsid w:val="002E15A1"/>
    <w:rsid w:val="002E1612"/>
    <w:rsid w:val="002E197B"/>
    <w:rsid w:val="002E2376"/>
    <w:rsid w:val="002E320D"/>
    <w:rsid w:val="002E3A44"/>
    <w:rsid w:val="002E4487"/>
    <w:rsid w:val="002E4662"/>
    <w:rsid w:val="002E46A2"/>
    <w:rsid w:val="002E4759"/>
    <w:rsid w:val="002E47F1"/>
    <w:rsid w:val="002E4A8C"/>
    <w:rsid w:val="002E4BCE"/>
    <w:rsid w:val="002E51AD"/>
    <w:rsid w:val="002E527B"/>
    <w:rsid w:val="002E52CA"/>
    <w:rsid w:val="002E58F2"/>
    <w:rsid w:val="002E5BAB"/>
    <w:rsid w:val="002E61D1"/>
    <w:rsid w:val="002E6657"/>
    <w:rsid w:val="002E6AEF"/>
    <w:rsid w:val="002E6EF0"/>
    <w:rsid w:val="002E7633"/>
    <w:rsid w:val="002E7C10"/>
    <w:rsid w:val="002E7E1E"/>
    <w:rsid w:val="002F02EE"/>
    <w:rsid w:val="002F0472"/>
    <w:rsid w:val="002F175A"/>
    <w:rsid w:val="002F2261"/>
    <w:rsid w:val="002F2AEF"/>
    <w:rsid w:val="002F3901"/>
    <w:rsid w:val="002F3CE6"/>
    <w:rsid w:val="002F42FE"/>
    <w:rsid w:val="002F451B"/>
    <w:rsid w:val="002F558D"/>
    <w:rsid w:val="002F5833"/>
    <w:rsid w:val="002F5CFE"/>
    <w:rsid w:val="002F6B52"/>
    <w:rsid w:val="002F7235"/>
    <w:rsid w:val="002F7460"/>
    <w:rsid w:val="00300901"/>
    <w:rsid w:val="00302ADE"/>
    <w:rsid w:val="00302B46"/>
    <w:rsid w:val="00302E90"/>
    <w:rsid w:val="00303B83"/>
    <w:rsid w:val="00303C2E"/>
    <w:rsid w:val="00303D95"/>
    <w:rsid w:val="0030419E"/>
    <w:rsid w:val="00304E27"/>
    <w:rsid w:val="00304ECA"/>
    <w:rsid w:val="003050C6"/>
    <w:rsid w:val="00305241"/>
    <w:rsid w:val="003058D5"/>
    <w:rsid w:val="00305E01"/>
    <w:rsid w:val="00306BE8"/>
    <w:rsid w:val="00307F73"/>
    <w:rsid w:val="00310B9F"/>
    <w:rsid w:val="00311ADB"/>
    <w:rsid w:val="00312646"/>
    <w:rsid w:val="003126F7"/>
    <w:rsid w:val="003128B5"/>
    <w:rsid w:val="00313A94"/>
    <w:rsid w:val="00314629"/>
    <w:rsid w:val="00314A83"/>
    <w:rsid w:val="0031567B"/>
    <w:rsid w:val="00315856"/>
    <w:rsid w:val="00315D1D"/>
    <w:rsid w:val="00316892"/>
    <w:rsid w:val="00316B7E"/>
    <w:rsid w:val="00316FEE"/>
    <w:rsid w:val="003170C0"/>
    <w:rsid w:val="003171D3"/>
    <w:rsid w:val="003207C4"/>
    <w:rsid w:val="00320855"/>
    <w:rsid w:val="00320C28"/>
    <w:rsid w:val="003213AE"/>
    <w:rsid w:val="003214DF"/>
    <w:rsid w:val="00321BDF"/>
    <w:rsid w:val="00323A26"/>
    <w:rsid w:val="00324199"/>
    <w:rsid w:val="00324DF0"/>
    <w:rsid w:val="00324EBE"/>
    <w:rsid w:val="00326508"/>
    <w:rsid w:val="00326551"/>
    <w:rsid w:val="00327FC8"/>
    <w:rsid w:val="00330B52"/>
    <w:rsid w:val="003313B5"/>
    <w:rsid w:val="00331854"/>
    <w:rsid w:val="0033215B"/>
    <w:rsid w:val="00332E3E"/>
    <w:rsid w:val="0033359D"/>
    <w:rsid w:val="00333942"/>
    <w:rsid w:val="00333B2E"/>
    <w:rsid w:val="00335B68"/>
    <w:rsid w:val="00336934"/>
    <w:rsid w:val="00337862"/>
    <w:rsid w:val="00341069"/>
    <w:rsid w:val="00341D14"/>
    <w:rsid w:val="00342910"/>
    <w:rsid w:val="00342D1C"/>
    <w:rsid w:val="003431A6"/>
    <w:rsid w:val="00343872"/>
    <w:rsid w:val="003438A0"/>
    <w:rsid w:val="00343A94"/>
    <w:rsid w:val="00344AF8"/>
    <w:rsid w:val="00345423"/>
    <w:rsid w:val="00346311"/>
    <w:rsid w:val="003472D1"/>
    <w:rsid w:val="00350002"/>
    <w:rsid w:val="00350B37"/>
    <w:rsid w:val="0035103D"/>
    <w:rsid w:val="003524B2"/>
    <w:rsid w:val="0035264B"/>
    <w:rsid w:val="003528CF"/>
    <w:rsid w:val="00352961"/>
    <w:rsid w:val="00354453"/>
    <w:rsid w:val="00354DC3"/>
    <w:rsid w:val="0035521E"/>
    <w:rsid w:val="00356647"/>
    <w:rsid w:val="003567E9"/>
    <w:rsid w:val="00357300"/>
    <w:rsid w:val="003609A6"/>
    <w:rsid w:val="0036106C"/>
    <w:rsid w:val="00361C29"/>
    <w:rsid w:val="00361F64"/>
    <w:rsid w:val="0036237E"/>
    <w:rsid w:val="00362E17"/>
    <w:rsid w:val="00363ACB"/>
    <w:rsid w:val="00363FDA"/>
    <w:rsid w:val="00363FE4"/>
    <w:rsid w:val="00365A06"/>
    <w:rsid w:val="00365A0C"/>
    <w:rsid w:val="00367B4C"/>
    <w:rsid w:val="00370BD6"/>
    <w:rsid w:val="00370D2D"/>
    <w:rsid w:val="00370F51"/>
    <w:rsid w:val="00371E4D"/>
    <w:rsid w:val="00372639"/>
    <w:rsid w:val="0037429D"/>
    <w:rsid w:val="00374B60"/>
    <w:rsid w:val="003755DE"/>
    <w:rsid w:val="0037637C"/>
    <w:rsid w:val="003763EB"/>
    <w:rsid w:val="00376D86"/>
    <w:rsid w:val="00377801"/>
    <w:rsid w:val="003778C7"/>
    <w:rsid w:val="00377A6F"/>
    <w:rsid w:val="00377BFC"/>
    <w:rsid w:val="003811C4"/>
    <w:rsid w:val="00382036"/>
    <w:rsid w:val="003825BA"/>
    <w:rsid w:val="0038330F"/>
    <w:rsid w:val="003848B5"/>
    <w:rsid w:val="00384EC9"/>
    <w:rsid w:val="003851DF"/>
    <w:rsid w:val="00386678"/>
    <w:rsid w:val="0038706A"/>
    <w:rsid w:val="003875C2"/>
    <w:rsid w:val="003900BE"/>
    <w:rsid w:val="003901E7"/>
    <w:rsid w:val="0039057A"/>
    <w:rsid w:val="003906A5"/>
    <w:rsid w:val="0039113B"/>
    <w:rsid w:val="0039118D"/>
    <w:rsid w:val="003934C1"/>
    <w:rsid w:val="0039350E"/>
    <w:rsid w:val="00393534"/>
    <w:rsid w:val="00395E09"/>
    <w:rsid w:val="00395F56"/>
    <w:rsid w:val="0039693A"/>
    <w:rsid w:val="00397D63"/>
    <w:rsid w:val="003A02CA"/>
    <w:rsid w:val="003A1553"/>
    <w:rsid w:val="003A1B75"/>
    <w:rsid w:val="003A1EC2"/>
    <w:rsid w:val="003A3457"/>
    <w:rsid w:val="003A3F4B"/>
    <w:rsid w:val="003A3F7F"/>
    <w:rsid w:val="003A4087"/>
    <w:rsid w:val="003A4697"/>
    <w:rsid w:val="003A4F0F"/>
    <w:rsid w:val="003A4FB0"/>
    <w:rsid w:val="003A58F2"/>
    <w:rsid w:val="003A5A50"/>
    <w:rsid w:val="003A5BB2"/>
    <w:rsid w:val="003A75B2"/>
    <w:rsid w:val="003B0E3D"/>
    <w:rsid w:val="003B1963"/>
    <w:rsid w:val="003B2341"/>
    <w:rsid w:val="003B31C0"/>
    <w:rsid w:val="003B33D2"/>
    <w:rsid w:val="003B3426"/>
    <w:rsid w:val="003B345C"/>
    <w:rsid w:val="003B3DC1"/>
    <w:rsid w:val="003B46C2"/>
    <w:rsid w:val="003B4A2C"/>
    <w:rsid w:val="003B4C3D"/>
    <w:rsid w:val="003B7D18"/>
    <w:rsid w:val="003C1760"/>
    <w:rsid w:val="003C1E44"/>
    <w:rsid w:val="003C26A8"/>
    <w:rsid w:val="003C2754"/>
    <w:rsid w:val="003C325A"/>
    <w:rsid w:val="003C3685"/>
    <w:rsid w:val="003C48B9"/>
    <w:rsid w:val="003C6192"/>
    <w:rsid w:val="003C66D7"/>
    <w:rsid w:val="003C6B14"/>
    <w:rsid w:val="003C7D26"/>
    <w:rsid w:val="003D058D"/>
    <w:rsid w:val="003D0615"/>
    <w:rsid w:val="003D0AB3"/>
    <w:rsid w:val="003D2059"/>
    <w:rsid w:val="003D21F5"/>
    <w:rsid w:val="003D2901"/>
    <w:rsid w:val="003D3667"/>
    <w:rsid w:val="003D402A"/>
    <w:rsid w:val="003D4203"/>
    <w:rsid w:val="003D6EFD"/>
    <w:rsid w:val="003D7413"/>
    <w:rsid w:val="003E09E6"/>
    <w:rsid w:val="003E10D3"/>
    <w:rsid w:val="003E166B"/>
    <w:rsid w:val="003E2525"/>
    <w:rsid w:val="003E2EFC"/>
    <w:rsid w:val="003E7579"/>
    <w:rsid w:val="003E75A7"/>
    <w:rsid w:val="003E7703"/>
    <w:rsid w:val="003F04D6"/>
    <w:rsid w:val="003F128E"/>
    <w:rsid w:val="003F1AC5"/>
    <w:rsid w:val="003F1BD3"/>
    <w:rsid w:val="003F1D6A"/>
    <w:rsid w:val="003F1F8C"/>
    <w:rsid w:val="003F3BF5"/>
    <w:rsid w:val="003F3C4D"/>
    <w:rsid w:val="003F3CA3"/>
    <w:rsid w:val="003F4751"/>
    <w:rsid w:val="003F4E09"/>
    <w:rsid w:val="003F5542"/>
    <w:rsid w:val="003F5D06"/>
    <w:rsid w:val="003F5F46"/>
    <w:rsid w:val="003F7B20"/>
    <w:rsid w:val="003F7BDB"/>
    <w:rsid w:val="00400E19"/>
    <w:rsid w:val="00401885"/>
    <w:rsid w:val="00402E3B"/>
    <w:rsid w:val="004044DC"/>
    <w:rsid w:val="0040477D"/>
    <w:rsid w:val="00404B0E"/>
    <w:rsid w:val="00405574"/>
    <w:rsid w:val="00405B9F"/>
    <w:rsid w:val="00406314"/>
    <w:rsid w:val="0040647C"/>
    <w:rsid w:val="004065FD"/>
    <w:rsid w:val="00407313"/>
    <w:rsid w:val="00410830"/>
    <w:rsid w:val="00411215"/>
    <w:rsid w:val="004121B6"/>
    <w:rsid w:val="004127CC"/>
    <w:rsid w:val="00412E79"/>
    <w:rsid w:val="004134F8"/>
    <w:rsid w:val="004138CA"/>
    <w:rsid w:val="00416B5D"/>
    <w:rsid w:val="004173FC"/>
    <w:rsid w:val="00417419"/>
    <w:rsid w:val="004200F6"/>
    <w:rsid w:val="004201B0"/>
    <w:rsid w:val="004209B8"/>
    <w:rsid w:val="00421DC4"/>
    <w:rsid w:val="00422B7E"/>
    <w:rsid w:val="00422D28"/>
    <w:rsid w:val="00423472"/>
    <w:rsid w:val="0042379E"/>
    <w:rsid w:val="004243B9"/>
    <w:rsid w:val="0042607B"/>
    <w:rsid w:val="00427276"/>
    <w:rsid w:val="004273B8"/>
    <w:rsid w:val="004275BE"/>
    <w:rsid w:val="00427829"/>
    <w:rsid w:val="00430AB5"/>
    <w:rsid w:val="00433D97"/>
    <w:rsid w:val="00434194"/>
    <w:rsid w:val="00434A28"/>
    <w:rsid w:val="00434D42"/>
    <w:rsid w:val="00435184"/>
    <w:rsid w:val="0043564D"/>
    <w:rsid w:val="00436726"/>
    <w:rsid w:val="00436A9B"/>
    <w:rsid w:val="00437576"/>
    <w:rsid w:val="004376E1"/>
    <w:rsid w:val="00437E7E"/>
    <w:rsid w:val="00440D31"/>
    <w:rsid w:val="00440F0C"/>
    <w:rsid w:val="00441BAD"/>
    <w:rsid w:val="00441C39"/>
    <w:rsid w:val="004427A5"/>
    <w:rsid w:val="004437A3"/>
    <w:rsid w:val="00443C0C"/>
    <w:rsid w:val="00443E1E"/>
    <w:rsid w:val="00445557"/>
    <w:rsid w:val="00446503"/>
    <w:rsid w:val="00446736"/>
    <w:rsid w:val="00446FCF"/>
    <w:rsid w:val="00447320"/>
    <w:rsid w:val="004478A8"/>
    <w:rsid w:val="00447A83"/>
    <w:rsid w:val="00447C3A"/>
    <w:rsid w:val="0045088D"/>
    <w:rsid w:val="00451097"/>
    <w:rsid w:val="004518DA"/>
    <w:rsid w:val="00451DCA"/>
    <w:rsid w:val="004523FE"/>
    <w:rsid w:val="0045264B"/>
    <w:rsid w:val="00453DB6"/>
    <w:rsid w:val="004543DA"/>
    <w:rsid w:val="0045496D"/>
    <w:rsid w:val="00454B55"/>
    <w:rsid w:val="00455783"/>
    <w:rsid w:val="0045597B"/>
    <w:rsid w:val="00455EB5"/>
    <w:rsid w:val="004562C1"/>
    <w:rsid w:val="0045670B"/>
    <w:rsid w:val="00457864"/>
    <w:rsid w:val="0046074A"/>
    <w:rsid w:val="00460E02"/>
    <w:rsid w:val="00460E5A"/>
    <w:rsid w:val="004614F8"/>
    <w:rsid w:val="00462CF3"/>
    <w:rsid w:val="00463868"/>
    <w:rsid w:val="0046394A"/>
    <w:rsid w:val="00464617"/>
    <w:rsid w:val="00465014"/>
    <w:rsid w:val="004650FD"/>
    <w:rsid w:val="00465410"/>
    <w:rsid w:val="004657F5"/>
    <w:rsid w:val="00465E4D"/>
    <w:rsid w:val="00465F14"/>
    <w:rsid w:val="00465FE6"/>
    <w:rsid w:val="004662E0"/>
    <w:rsid w:val="00467107"/>
    <w:rsid w:val="004671E9"/>
    <w:rsid w:val="004710A1"/>
    <w:rsid w:val="0047251C"/>
    <w:rsid w:val="00472E77"/>
    <w:rsid w:val="00472FF1"/>
    <w:rsid w:val="0047345F"/>
    <w:rsid w:val="004743A7"/>
    <w:rsid w:val="00474B98"/>
    <w:rsid w:val="00474C78"/>
    <w:rsid w:val="00474C81"/>
    <w:rsid w:val="00476481"/>
    <w:rsid w:val="0047671B"/>
    <w:rsid w:val="00476DFD"/>
    <w:rsid w:val="004773C3"/>
    <w:rsid w:val="00480402"/>
    <w:rsid w:val="00481258"/>
    <w:rsid w:val="00481D90"/>
    <w:rsid w:val="0048215F"/>
    <w:rsid w:val="00482D55"/>
    <w:rsid w:val="00483CA8"/>
    <w:rsid w:val="0048453A"/>
    <w:rsid w:val="00485369"/>
    <w:rsid w:val="00485382"/>
    <w:rsid w:val="00485CEA"/>
    <w:rsid w:val="00486102"/>
    <w:rsid w:val="00486812"/>
    <w:rsid w:val="00486A4A"/>
    <w:rsid w:val="00486C6D"/>
    <w:rsid w:val="00486DB9"/>
    <w:rsid w:val="00486F60"/>
    <w:rsid w:val="00487177"/>
    <w:rsid w:val="00487392"/>
    <w:rsid w:val="004877B6"/>
    <w:rsid w:val="00487A72"/>
    <w:rsid w:val="00487F67"/>
    <w:rsid w:val="00490293"/>
    <w:rsid w:val="00490411"/>
    <w:rsid w:val="004905BA"/>
    <w:rsid w:val="00490D10"/>
    <w:rsid w:val="00491949"/>
    <w:rsid w:val="004920E0"/>
    <w:rsid w:val="00492511"/>
    <w:rsid w:val="004931BE"/>
    <w:rsid w:val="00493500"/>
    <w:rsid w:val="0049459A"/>
    <w:rsid w:val="00494D28"/>
    <w:rsid w:val="00495319"/>
    <w:rsid w:val="00495C4D"/>
    <w:rsid w:val="004966D7"/>
    <w:rsid w:val="00496856"/>
    <w:rsid w:val="00496975"/>
    <w:rsid w:val="00496AB9"/>
    <w:rsid w:val="00497252"/>
    <w:rsid w:val="00497F7C"/>
    <w:rsid w:val="004A0011"/>
    <w:rsid w:val="004A0713"/>
    <w:rsid w:val="004A0B95"/>
    <w:rsid w:val="004A0CB2"/>
    <w:rsid w:val="004A3CBD"/>
    <w:rsid w:val="004A3F6C"/>
    <w:rsid w:val="004A615F"/>
    <w:rsid w:val="004A66E3"/>
    <w:rsid w:val="004A6826"/>
    <w:rsid w:val="004A715B"/>
    <w:rsid w:val="004A74E7"/>
    <w:rsid w:val="004B073E"/>
    <w:rsid w:val="004B1180"/>
    <w:rsid w:val="004B175D"/>
    <w:rsid w:val="004B192B"/>
    <w:rsid w:val="004B197B"/>
    <w:rsid w:val="004B1AEE"/>
    <w:rsid w:val="004B28B5"/>
    <w:rsid w:val="004B2AEA"/>
    <w:rsid w:val="004B3BC2"/>
    <w:rsid w:val="004B3FB4"/>
    <w:rsid w:val="004B49D5"/>
    <w:rsid w:val="004B56B4"/>
    <w:rsid w:val="004B69DB"/>
    <w:rsid w:val="004B7C27"/>
    <w:rsid w:val="004B7EB2"/>
    <w:rsid w:val="004B7FB2"/>
    <w:rsid w:val="004C0ACF"/>
    <w:rsid w:val="004C206D"/>
    <w:rsid w:val="004C3E16"/>
    <w:rsid w:val="004C4667"/>
    <w:rsid w:val="004C4C0F"/>
    <w:rsid w:val="004C58CF"/>
    <w:rsid w:val="004C5E9F"/>
    <w:rsid w:val="004C6845"/>
    <w:rsid w:val="004C77F5"/>
    <w:rsid w:val="004D0C9A"/>
    <w:rsid w:val="004D25B1"/>
    <w:rsid w:val="004D26BF"/>
    <w:rsid w:val="004D4748"/>
    <w:rsid w:val="004D4B24"/>
    <w:rsid w:val="004D51A8"/>
    <w:rsid w:val="004D52F8"/>
    <w:rsid w:val="004D5CF1"/>
    <w:rsid w:val="004D694B"/>
    <w:rsid w:val="004D72FF"/>
    <w:rsid w:val="004D75A3"/>
    <w:rsid w:val="004E030B"/>
    <w:rsid w:val="004E0E6B"/>
    <w:rsid w:val="004E0F92"/>
    <w:rsid w:val="004E1EC6"/>
    <w:rsid w:val="004E3106"/>
    <w:rsid w:val="004E3225"/>
    <w:rsid w:val="004E3705"/>
    <w:rsid w:val="004E3C3C"/>
    <w:rsid w:val="004E4676"/>
    <w:rsid w:val="004E46D6"/>
    <w:rsid w:val="004E4814"/>
    <w:rsid w:val="004E4EE4"/>
    <w:rsid w:val="004E58FD"/>
    <w:rsid w:val="004E661B"/>
    <w:rsid w:val="004E66CD"/>
    <w:rsid w:val="004E76C7"/>
    <w:rsid w:val="004E7959"/>
    <w:rsid w:val="004F073A"/>
    <w:rsid w:val="004F0E01"/>
    <w:rsid w:val="004F1FBA"/>
    <w:rsid w:val="004F2238"/>
    <w:rsid w:val="004F3761"/>
    <w:rsid w:val="004F3F63"/>
    <w:rsid w:val="004F41C7"/>
    <w:rsid w:val="004F4B48"/>
    <w:rsid w:val="004F4E32"/>
    <w:rsid w:val="004F4F5A"/>
    <w:rsid w:val="004F5279"/>
    <w:rsid w:val="004F7089"/>
    <w:rsid w:val="004F72C4"/>
    <w:rsid w:val="0050096A"/>
    <w:rsid w:val="0050101D"/>
    <w:rsid w:val="00502DA2"/>
    <w:rsid w:val="00503015"/>
    <w:rsid w:val="00503173"/>
    <w:rsid w:val="00504364"/>
    <w:rsid w:val="00504B69"/>
    <w:rsid w:val="00504BBD"/>
    <w:rsid w:val="0050507E"/>
    <w:rsid w:val="00506397"/>
    <w:rsid w:val="00507709"/>
    <w:rsid w:val="005106B7"/>
    <w:rsid w:val="00510D82"/>
    <w:rsid w:val="005111A6"/>
    <w:rsid w:val="00511A02"/>
    <w:rsid w:val="00511A74"/>
    <w:rsid w:val="0051301A"/>
    <w:rsid w:val="005158F5"/>
    <w:rsid w:val="0051621D"/>
    <w:rsid w:val="005162BA"/>
    <w:rsid w:val="00516843"/>
    <w:rsid w:val="0051790E"/>
    <w:rsid w:val="00517C76"/>
    <w:rsid w:val="00517C7D"/>
    <w:rsid w:val="0052061C"/>
    <w:rsid w:val="00520856"/>
    <w:rsid w:val="00521148"/>
    <w:rsid w:val="00521A99"/>
    <w:rsid w:val="00521DA4"/>
    <w:rsid w:val="00521EB9"/>
    <w:rsid w:val="0052228A"/>
    <w:rsid w:val="005226A8"/>
    <w:rsid w:val="0052313D"/>
    <w:rsid w:val="00523867"/>
    <w:rsid w:val="005238EC"/>
    <w:rsid w:val="00523F2B"/>
    <w:rsid w:val="005242EC"/>
    <w:rsid w:val="00524F75"/>
    <w:rsid w:val="005255CB"/>
    <w:rsid w:val="00525761"/>
    <w:rsid w:val="00525A10"/>
    <w:rsid w:val="0053001A"/>
    <w:rsid w:val="005300AF"/>
    <w:rsid w:val="00530698"/>
    <w:rsid w:val="00530706"/>
    <w:rsid w:val="00530A9A"/>
    <w:rsid w:val="00530ACA"/>
    <w:rsid w:val="005311D2"/>
    <w:rsid w:val="005312AB"/>
    <w:rsid w:val="00531681"/>
    <w:rsid w:val="005329B5"/>
    <w:rsid w:val="00533625"/>
    <w:rsid w:val="00533F12"/>
    <w:rsid w:val="005340DC"/>
    <w:rsid w:val="00534E19"/>
    <w:rsid w:val="00535017"/>
    <w:rsid w:val="00535489"/>
    <w:rsid w:val="005354D3"/>
    <w:rsid w:val="0053608E"/>
    <w:rsid w:val="005368CB"/>
    <w:rsid w:val="00540213"/>
    <w:rsid w:val="005403FC"/>
    <w:rsid w:val="00542CA2"/>
    <w:rsid w:val="00542E6D"/>
    <w:rsid w:val="00543BEB"/>
    <w:rsid w:val="00544704"/>
    <w:rsid w:val="005459CF"/>
    <w:rsid w:val="005469A1"/>
    <w:rsid w:val="00550482"/>
    <w:rsid w:val="005516BC"/>
    <w:rsid w:val="005518F3"/>
    <w:rsid w:val="00551A53"/>
    <w:rsid w:val="00551C37"/>
    <w:rsid w:val="0055266C"/>
    <w:rsid w:val="0055482B"/>
    <w:rsid w:val="005556DC"/>
    <w:rsid w:val="0055757E"/>
    <w:rsid w:val="0055787A"/>
    <w:rsid w:val="00560132"/>
    <w:rsid w:val="005606ED"/>
    <w:rsid w:val="00560817"/>
    <w:rsid w:val="00561164"/>
    <w:rsid w:val="00561B66"/>
    <w:rsid w:val="00561D71"/>
    <w:rsid w:val="00562159"/>
    <w:rsid w:val="005621B8"/>
    <w:rsid w:val="005623C1"/>
    <w:rsid w:val="0056244A"/>
    <w:rsid w:val="00562681"/>
    <w:rsid w:val="00562F03"/>
    <w:rsid w:val="00565398"/>
    <w:rsid w:val="00565F27"/>
    <w:rsid w:val="0056605A"/>
    <w:rsid w:val="00566FFA"/>
    <w:rsid w:val="005671BE"/>
    <w:rsid w:val="0056783C"/>
    <w:rsid w:val="00567A3C"/>
    <w:rsid w:val="00567BB6"/>
    <w:rsid w:val="005701A2"/>
    <w:rsid w:val="0057022A"/>
    <w:rsid w:val="00570560"/>
    <w:rsid w:val="00570694"/>
    <w:rsid w:val="00570B3E"/>
    <w:rsid w:val="00570BDD"/>
    <w:rsid w:val="00571A05"/>
    <w:rsid w:val="005726C0"/>
    <w:rsid w:val="00573995"/>
    <w:rsid w:val="00574642"/>
    <w:rsid w:val="00574B64"/>
    <w:rsid w:val="0057670C"/>
    <w:rsid w:val="00577A3B"/>
    <w:rsid w:val="00580DE1"/>
    <w:rsid w:val="00581D29"/>
    <w:rsid w:val="00582122"/>
    <w:rsid w:val="00582D52"/>
    <w:rsid w:val="0058317B"/>
    <w:rsid w:val="005833E6"/>
    <w:rsid w:val="005845FD"/>
    <w:rsid w:val="00584EBD"/>
    <w:rsid w:val="0058502B"/>
    <w:rsid w:val="0058512D"/>
    <w:rsid w:val="00585281"/>
    <w:rsid w:val="00585AB5"/>
    <w:rsid w:val="00586765"/>
    <w:rsid w:val="00587B1C"/>
    <w:rsid w:val="00591A00"/>
    <w:rsid w:val="00591CA5"/>
    <w:rsid w:val="00592092"/>
    <w:rsid w:val="00592106"/>
    <w:rsid w:val="005933F9"/>
    <w:rsid w:val="00593E7B"/>
    <w:rsid w:val="00594AC2"/>
    <w:rsid w:val="00594BCB"/>
    <w:rsid w:val="00595E68"/>
    <w:rsid w:val="00595FF9"/>
    <w:rsid w:val="005965A5"/>
    <w:rsid w:val="005A0A68"/>
    <w:rsid w:val="005A0EB4"/>
    <w:rsid w:val="005A184B"/>
    <w:rsid w:val="005A20B3"/>
    <w:rsid w:val="005A24CD"/>
    <w:rsid w:val="005A3CA5"/>
    <w:rsid w:val="005A4A41"/>
    <w:rsid w:val="005A4AFC"/>
    <w:rsid w:val="005A52A6"/>
    <w:rsid w:val="005A5D3D"/>
    <w:rsid w:val="005A64A7"/>
    <w:rsid w:val="005B00AD"/>
    <w:rsid w:val="005B01D9"/>
    <w:rsid w:val="005B04E0"/>
    <w:rsid w:val="005B1B23"/>
    <w:rsid w:val="005B5934"/>
    <w:rsid w:val="005B5B2A"/>
    <w:rsid w:val="005B6B35"/>
    <w:rsid w:val="005B6DB4"/>
    <w:rsid w:val="005B7570"/>
    <w:rsid w:val="005B7B61"/>
    <w:rsid w:val="005C051A"/>
    <w:rsid w:val="005C0A05"/>
    <w:rsid w:val="005C10E6"/>
    <w:rsid w:val="005C17AD"/>
    <w:rsid w:val="005C1814"/>
    <w:rsid w:val="005C298B"/>
    <w:rsid w:val="005C2D35"/>
    <w:rsid w:val="005C34A0"/>
    <w:rsid w:val="005C3A15"/>
    <w:rsid w:val="005C421C"/>
    <w:rsid w:val="005C475C"/>
    <w:rsid w:val="005C539B"/>
    <w:rsid w:val="005C67D4"/>
    <w:rsid w:val="005C6DCF"/>
    <w:rsid w:val="005C78D4"/>
    <w:rsid w:val="005D0D9E"/>
    <w:rsid w:val="005D135B"/>
    <w:rsid w:val="005D1410"/>
    <w:rsid w:val="005D18CE"/>
    <w:rsid w:val="005D1F22"/>
    <w:rsid w:val="005D3372"/>
    <w:rsid w:val="005D3E3F"/>
    <w:rsid w:val="005D40B3"/>
    <w:rsid w:val="005D4150"/>
    <w:rsid w:val="005D42AC"/>
    <w:rsid w:val="005D471C"/>
    <w:rsid w:val="005D635E"/>
    <w:rsid w:val="005D70C3"/>
    <w:rsid w:val="005D7980"/>
    <w:rsid w:val="005E01E3"/>
    <w:rsid w:val="005E0233"/>
    <w:rsid w:val="005E0E99"/>
    <w:rsid w:val="005E111A"/>
    <w:rsid w:val="005E1AB4"/>
    <w:rsid w:val="005E209A"/>
    <w:rsid w:val="005E3C9F"/>
    <w:rsid w:val="005E46AC"/>
    <w:rsid w:val="005E54B2"/>
    <w:rsid w:val="005E5FBA"/>
    <w:rsid w:val="005E663F"/>
    <w:rsid w:val="005F3096"/>
    <w:rsid w:val="005F3E77"/>
    <w:rsid w:val="005F572E"/>
    <w:rsid w:val="005F5F71"/>
    <w:rsid w:val="005F5FB2"/>
    <w:rsid w:val="005F6FCC"/>
    <w:rsid w:val="005F74AF"/>
    <w:rsid w:val="0060082B"/>
    <w:rsid w:val="00601314"/>
    <w:rsid w:val="00601E97"/>
    <w:rsid w:val="00602707"/>
    <w:rsid w:val="006047AC"/>
    <w:rsid w:val="00606F2B"/>
    <w:rsid w:val="00607233"/>
    <w:rsid w:val="00607829"/>
    <w:rsid w:val="00610691"/>
    <w:rsid w:val="00611243"/>
    <w:rsid w:val="00611407"/>
    <w:rsid w:val="006115E3"/>
    <w:rsid w:val="00612122"/>
    <w:rsid w:val="0061294E"/>
    <w:rsid w:val="00612ABB"/>
    <w:rsid w:val="00614D23"/>
    <w:rsid w:val="006152A4"/>
    <w:rsid w:val="006159C6"/>
    <w:rsid w:val="006163D6"/>
    <w:rsid w:val="006211AD"/>
    <w:rsid w:val="0062189A"/>
    <w:rsid w:val="00621B4A"/>
    <w:rsid w:val="006223AC"/>
    <w:rsid w:val="00622743"/>
    <w:rsid w:val="00622A1D"/>
    <w:rsid w:val="006236E0"/>
    <w:rsid w:val="006238CA"/>
    <w:rsid w:val="006239CC"/>
    <w:rsid w:val="006239F9"/>
    <w:rsid w:val="00623D63"/>
    <w:rsid w:val="00623E62"/>
    <w:rsid w:val="00624634"/>
    <w:rsid w:val="0062573C"/>
    <w:rsid w:val="0062653B"/>
    <w:rsid w:val="00626E7B"/>
    <w:rsid w:val="0062711C"/>
    <w:rsid w:val="006274AF"/>
    <w:rsid w:val="00627CC7"/>
    <w:rsid w:val="00630A81"/>
    <w:rsid w:val="006317DC"/>
    <w:rsid w:val="006323F3"/>
    <w:rsid w:val="00632DDC"/>
    <w:rsid w:val="00633B01"/>
    <w:rsid w:val="00633E27"/>
    <w:rsid w:val="00633E59"/>
    <w:rsid w:val="00635D55"/>
    <w:rsid w:val="00635FB8"/>
    <w:rsid w:val="006366A2"/>
    <w:rsid w:val="00637897"/>
    <w:rsid w:val="0064006B"/>
    <w:rsid w:val="00640813"/>
    <w:rsid w:val="00640C2E"/>
    <w:rsid w:val="00641D83"/>
    <w:rsid w:val="00642143"/>
    <w:rsid w:val="00642D38"/>
    <w:rsid w:val="00642DA6"/>
    <w:rsid w:val="00643204"/>
    <w:rsid w:val="00643705"/>
    <w:rsid w:val="0064418F"/>
    <w:rsid w:val="00644B03"/>
    <w:rsid w:val="006451A0"/>
    <w:rsid w:val="006459B9"/>
    <w:rsid w:val="006459CC"/>
    <w:rsid w:val="00645A77"/>
    <w:rsid w:val="00646358"/>
    <w:rsid w:val="00646BC4"/>
    <w:rsid w:val="00647469"/>
    <w:rsid w:val="00647661"/>
    <w:rsid w:val="0065080C"/>
    <w:rsid w:val="006539A1"/>
    <w:rsid w:val="00653A8B"/>
    <w:rsid w:val="00653CBF"/>
    <w:rsid w:val="00653D81"/>
    <w:rsid w:val="00654C94"/>
    <w:rsid w:val="00654D69"/>
    <w:rsid w:val="00655402"/>
    <w:rsid w:val="0065552D"/>
    <w:rsid w:val="00655667"/>
    <w:rsid w:val="00656716"/>
    <w:rsid w:val="00657F55"/>
    <w:rsid w:val="00661CA0"/>
    <w:rsid w:val="00662A2F"/>
    <w:rsid w:val="00663DA8"/>
    <w:rsid w:val="00663DB0"/>
    <w:rsid w:val="0066425F"/>
    <w:rsid w:val="00664623"/>
    <w:rsid w:val="0066483F"/>
    <w:rsid w:val="00664EEB"/>
    <w:rsid w:val="0066526F"/>
    <w:rsid w:val="006652B3"/>
    <w:rsid w:val="006653CA"/>
    <w:rsid w:val="00665AE5"/>
    <w:rsid w:val="00665C9F"/>
    <w:rsid w:val="00666A4F"/>
    <w:rsid w:val="00667DE7"/>
    <w:rsid w:val="00670AA4"/>
    <w:rsid w:val="00671A44"/>
    <w:rsid w:val="00671BBD"/>
    <w:rsid w:val="00671CEB"/>
    <w:rsid w:val="00671DF9"/>
    <w:rsid w:val="00671F5D"/>
    <w:rsid w:val="0067261A"/>
    <w:rsid w:val="006731F0"/>
    <w:rsid w:val="0067422F"/>
    <w:rsid w:val="00676EF0"/>
    <w:rsid w:val="00681648"/>
    <w:rsid w:val="006827A9"/>
    <w:rsid w:val="00683313"/>
    <w:rsid w:val="0068345D"/>
    <w:rsid w:val="00684083"/>
    <w:rsid w:val="00684329"/>
    <w:rsid w:val="006845F5"/>
    <w:rsid w:val="0068496E"/>
    <w:rsid w:val="006854A8"/>
    <w:rsid w:val="006858DE"/>
    <w:rsid w:val="00687377"/>
    <w:rsid w:val="006873BE"/>
    <w:rsid w:val="0069037E"/>
    <w:rsid w:val="00690953"/>
    <w:rsid w:val="00691521"/>
    <w:rsid w:val="00692290"/>
    <w:rsid w:val="00692557"/>
    <w:rsid w:val="0069344A"/>
    <w:rsid w:val="00693B83"/>
    <w:rsid w:val="00693CD4"/>
    <w:rsid w:val="00694B47"/>
    <w:rsid w:val="006950DE"/>
    <w:rsid w:val="00695460"/>
    <w:rsid w:val="006959FA"/>
    <w:rsid w:val="00695D98"/>
    <w:rsid w:val="0069633F"/>
    <w:rsid w:val="00696B61"/>
    <w:rsid w:val="0069782B"/>
    <w:rsid w:val="00697C00"/>
    <w:rsid w:val="006A090A"/>
    <w:rsid w:val="006A0D22"/>
    <w:rsid w:val="006A0FAB"/>
    <w:rsid w:val="006A12BC"/>
    <w:rsid w:val="006A2834"/>
    <w:rsid w:val="006A3282"/>
    <w:rsid w:val="006A3DC2"/>
    <w:rsid w:val="006A3E66"/>
    <w:rsid w:val="006A4FE4"/>
    <w:rsid w:val="006A526E"/>
    <w:rsid w:val="006A5646"/>
    <w:rsid w:val="006A5680"/>
    <w:rsid w:val="006A57A1"/>
    <w:rsid w:val="006A5824"/>
    <w:rsid w:val="006A6230"/>
    <w:rsid w:val="006A6AE5"/>
    <w:rsid w:val="006A7574"/>
    <w:rsid w:val="006B0391"/>
    <w:rsid w:val="006B09DC"/>
    <w:rsid w:val="006B1CF8"/>
    <w:rsid w:val="006B230B"/>
    <w:rsid w:val="006B4AB1"/>
    <w:rsid w:val="006B5AB7"/>
    <w:rsid w:val="006B5D72"/>
    <w:rsid w:val="006B6229"/>
    <w:rsid w:val="006B68DD"/>
    <w:rsid w:val="006B7258"/>
    <w:rsid w:val="006B753C"/>
    <w:rsid w:val="006C0018"/>
    <w:rsid w:val="006C057C"/>
    <w:rsid w:val="006C0D02"/>
    <w:rsid w:val="006C1036"/>
    <w:rsid w:val="006C1A3D"/>
    <w:rsid w:val="006C1A59"/>
    <w:rsid w:val="006C1E7B"/>
    <w:rsid w:val="006C335B"/>
    <w:rsid w:val="006C3A7E"/>
    <w:rsid w:val="006C45A5"/>
    <w:rsid w:val="006C47DD"/>
    <w:rsid w:val="006C48AD"/>
    <w:rsid w:val="006C57DB"/>
    <w:rsid w:val="006C6F5F"/>
    <w:rsid w:val="006D045B"/>
    <w:rsid w:val="006D2F2E"/>
    <w:rsid w:val="006D322D"/>
    <w:rsid w:val="006D361A"/>
    <w:rsid w:val="006D3788"/>
    <w:rsid w:val="006D3FE2"/>
    <w:rsid w:val="006D4A78"/>
    <w:rsid w:val="006D4B54"/>
    <w:rsid w:val="006D5C20"/>
    <w:rsid w:val="006D6CF3"/>
    <w:rsid w:val="006D7B5B"/>
    <w:rsid w:val="006D7F9D"/>
    <w:rsid w:val="006E037B"/>
    <w:rsid w:val="006E22C0"/>
    <w:rsid w:val="006E2422"/>
    <w:rsid w:val="006E272E"/>
    <w:rsid w:val="006E3102"/>
    <w:rsid w:val="006E3720"/>
    <w:rsid w:val="006E3D4E"/>
    <w:rsid w:val="006E480E"/>
    <w:rsid w:val="006E4FB8"/>
    <w:rsid w:val="006E5C68"/>
    <w:rsid w:val="006E5F7A"/>
    <w:rsid w:val="006F0448"/>
    <w:rsid w:val="006F0487"/>
    <w:rsid w:val="006F09FD"/>
    <w:rsid w:val="006F0A45"/>
    <w:rsid w:val="006F0C50"/>
    <w:rsid w:val="006F18F8"/>
    <w:rsid w:val="006F3279"/>
    <w:rsid w:val="006F331C"/>
    <w:rsid w:val="006F363F"/>
    <w:rsid w:val="006F704E"/>
    <w:rsid w:val="006F7C44"/>
    <w:rsid w:val="00701330"/>
    <w:rsid w:val="007017B2"/>
    <w:rsid w:val="00701A80"/>
    <w:rsid w:val="00702E9C"/>
    <w:rsid w:val="00702FDB"/>
    <w:rsid w:val="007034A0"/>
    <w:rsid w:val="00706142"/>
    <w:rsid w:val="00706309"/>
    <w:rsid w:val="007067AD"/>
    <w:rsid w:val="00706BDA"/>
    <w:rsid w:val="00706CBD"/>
    <w:rsid w:val="0070727F"/>
    <w:rsid w:val="007077DE"/>
    <w:rsid w:val="007103B3"/>
    <w:rsid w:val="00710858"/>
    <w:rsid w:val="00711E47"/>
    <w:rsid w:val="0071314A"/>
    <w:rsid w:val="007136A7"/>
    <w:rsid w:val="00713FFE"/>
    <w:rsid w:val="0071446C"/>
    <w:rsid w:val="007147CC"/>
    <w:rsid w:val="007154E3"/>
    <w:rsid w:val="00717295"/>
    <w:rsid w:val="00717FCD"/>
    <w:rsid w:val="0072011A"/>
    <w:rsid w:val="00720593"/>
    <w:rsid w:val="0072065C"/>
    <w:rsid w:val="00721BBE"/>
    <w:rsid w:val="007221D9"/>
    <w:rsid w:val="00724228"/>
    <w:rsid w:val="00724A41"/>
    <w:rsid w:val="00724BF6"/>
    <w:rsid w:val="00724CE5"/>
    <w:rsid w:val="00725470"/>
    <w:rsid w:val="00725FF8"/>
    <w:rsid w:val="007270EC"/>
    <w:rsid w:val="00727646"/>
    <w:rsid w:val="00730036"/>
    <w:rsid w:val="007301C2"/>
    <w:rsid w:val="00730FF2"/>
    <w:rsid w:val="00731670"/>
    <w:rsid w:val="00731BA1"/>
    <w:rsid w:val="00731D79"/>
    <w:rsid w:val="007327FF"/>
    <w:rsid w:val="00732E56"/>
    <w:rsid w:val="00732E8C"/>
    <w:rsid w:val="00733A91"/>
    <w:rsid w:val="007359B5"/>
    <w:rsid w:val="00735A07"/>
    <w:rsid w:val="00736B73"/>
    <w:rsid w:val="00737168"/>
    <w:rsid w:val="00737E1F"/>
    <w:rsid w:val="00740460"/>
    <w:rsid w:val="0074062C"/>
    <w:rsid w:val="00740755"/>
    <w:rsid w:val="00740854"/>
    <w:rsid w:val="00742999"/>
    <w:rsid w:val="00742B39"/>
    <w:rsid w:val="00743774"/>
    <w:rsid w:val="007437EA"/>
    <w:rsid w:val="00743A5A"/>
    <w:rsid w:val="00743EDC"/>
    <w:rsid w:val="00744077"/>
    <w:rsid w:val="007451D1"/>
    <w:rsid w:val="00745F06"/>
    <w:rsid w:val="007465D2"/>
    <w:rsid w:val="00746699"/>
    <w:rsid w:val="0074685C"/>
    <w:rsid w:val="00747061"/>
    <w:rsid w:val="007470C3"/>
    <w:rsid w:val="007474AD"/>
    <w:rsid w:val="007474FE"/>
    <w:rsid w:val="007521EA"/>
    <w:rsid w:val="007568A5"/>
    <w:rsid w:val="00757680"/>
    <w:rsid w:val="007603D5"/>
    <w:rsid w:val="0076040A"/>
    <w:rsid w:val="007607C7"/>
    <w:rsid w:val="00760A36"/>
    <w:rsid w:val="007611EF"/>
    <w:rsid w:val="007619D0"/>
    <w:rsid w:val="0076214E"/>
    <w:rsid w:val="00762304"/>
    <w:rsid w:val="0076301D"/>
    <w:rsid w:val="007635E3"/>
    <w:rsid w:val="0076376F"/>
    <w:rsid w:val="00765266"/>
    <w:rsid w:val="00765F8D"/>
    <w:rsid w:val="007666F4"/>
    <w:rsid w:val="00766984"/>
    <w:rsid w:val="00766A90"/>
    <w:rsid w:val="00767483"/>
    <w:rsid w:val="00767491"/>
    <w:rsid w:val="00767598"/>
    <w:rsid w:val="00773406"/>
    <w:rsid w:val="00773C84"/>
    <w:rsid w:val="0077420A"/>
    <w:rsid w:val="007744FC"/>
    <w:rsid w:val="00774F69"/>
    <w:rsid w:val="00776442"/>
    <w:rsid w:val="00776AA7"/>
    <w:rsid w:val="00776E13"/>
    <w:rsid w:val="00777619"/>
    <w:rsid w:val="00781D8F"/>
    <w:rsid w:val="00783759"/>
    <w:rsid w:val="00783F09"/>
    <w:rsid w:val="0078423E"/>
    <w:rsid w:val="00784307"/>
    <w:rsid w:val="00784540"/>
    <w:rsid w:val="00784D33"/>
    <w:rsid w:val="0078544E"/>
    <w:rsid w:val="00785BB0"/>
    <w:rsid w:val="00785ED4"/>
    <w:rsid w:val="00786E90"/>
    <w:rsid w:val="0078739F"/>
    <w:rsid w:val="007873F7"/>
    <w:rsid w:val="00791B25"/>
    <w:rsid w:val="00791D58"/>
    <w:rsid w:val="00791E85"/>
    <w:rsid w:val="00792EA4"/>
    <w:rsid w:val="00792F54"/>
    <w:rsid w:val="00793EB9"/>
    <w:rsid w:val="00795506"/>
    <w:rsid w:val="007962CB"/>
    <w:rsid w:val="00797ED3"/>
    <w:rsid w:val="007A0432"/>
    <w:rsid w:val="007A09DE"/>
    <w:rsid w:val="007A1C93"/>
    <w:rsid w:val="007A273A"/>
    <w:rsid w:val="007A2CD8"/>
    <w:rsid w:val="007A323B"/>
    <w:rsid w:val="007A379E"/>
    <w:rsid w:val="007A3B29"/>
    <w:rsid w:val="007A3DAD"/>
    <w:rsid w:val="007A3DE8"/>
    <w:rsid w:val="007A46F8"/>
    <w:rsid w:val="007A4CE6"/>
    <w:rsid w:val="007A4CEB"/>
    <w:rsid w:val="007A529E"/>
    <w:rsid w:val="007A5583"/>
    <w:rsid w:val="007A583B"/>
    <w:rsid w:val="007A5B91"/>
    <w:rsid w:val="007A62CE"/>
    <w:rsid w:val="007A6302"/>
    <w:rsid w:val="007A67B0"/>
    <w:rsid w:val="007A68D3"/>
    <w:rsid w:val="007A6FFE"/>
    <w:rsid w:val="007A737C"/>
    <w:rsid w:val="007A77AC"/>
    <w:rsid w:val="007A7960"/>
    <w:rsid w:val="007B1B37"/>
    <w:rsid w:val="007B1BB4"/>
    <w:rsid w:val="007B54B7"/>
    <w:rsid w:val="007B5F3B"/>
    <w:rsid w:val="007B60D6"/>
    <w:rsid w:val="007B6265"/>
    <w:rsid w:val="007B65C0"/>
    <w:rsid w:val="007B6DF7"/>
    <w:rsid w:val="007B6E26"/>
    <w:rsid w:val="007B6EAB"/>
    <w:rsid w:val="007B7D06"/>
    <w:rsid w:val="007C01E6"/>
    <w:rsid w:val="007C066B"/>
    <w:rsid w:val="007C1DF7"/>
    <w:rsid w:val="007C3499"/>
    <w:rsid w:val="007C7286"/>
    <w:rsid w:val="007C73FF"/>
    <w:rsid w:val="007D0989"/>
    <w:rsid w:val="007D1393"/>
    <w:rsid w:val="007D2189"/>
    <w:rsid w:val="007D2BE3"/>
    <w:rsid w:val="007D2CAE"/>
    <w:rsid w:val="007D3E9D"/>
    <w:rsid w:val="007D4AE5"/>
    <w:rsid w:val="007D4CA5"/>
    <w:rsid w:val="007D4D2F"/>
    <w:rsid w:val="007D5EE6"/>
    <w:rsid w:val="007D6891"/>
    <w:rsid w:val="007D6AA0"/>
    <w:rsid w:val="007D6C1B"/>
    <w:rsid w:val="007D6E53"/>
    <w:rsid w:val="007D6F8E"/>
    <w:rsid w:val="007D7182"/>
    <w:rsid w:val="007D723C"/>
    <w:rsid w:val="007E0255"/>
    <w:rsid w:val="007E0A53"/>
    <w:rsid w:val="007E131A"/>
    <w:rsid w:val="007E13E3"/>
    <w:rsid w:val="007E1689"/>
    <w:rsid w:val="007E1AAF"/>
    <w:rsid w:val="007E1ACF"/>
    <w:rsid w:val="007E34FF"/>
    <w:rsid w:val="007E384A"/>
    <w:rsid w:val="007E3854"/>
    <w:rsid w:val="007E42E9"/>
    <w:rsid w:val="007E6465"/>
    <w:rsid w:val="007E66F5"/>
    <w:rsid w:val="007E6A5F"/>
    <w:rsid w:val="007E6EA3"/>
    <w:rsid w:val="007E701F"/>
    <w:rsid w:val="007E753D"/>
    <w:rsid w:val="007E770D"/>
    <w:rsid w:val="007E7DD5"/>
    <w:rsid w:val="007F031C"/>
    <w:rsid w:val="007F06ED"/>
    <w:rsid w:val="007F1594"/>
    <w:rsid w:val="007F1E4F"/>
    <w:rsid w:val="007F2AE5"/>
    <w:rsid w:val="007F31F7"/>
    <w:rsid w:val="007F6DAC"/>
    <w:rsid w:val="007F785E"/>
    <w:rsid w:val="007F7B66"/>
    <w:rsid w:val="008003FB"/>
    <w:rsid w:val="008023DB"/>
    <w:rsid w:val="0080289C"/>
    <w:rsid w:val="00802C14"/>
    <w:rsid w:val="00803B46"/>
    <w:rsid w:val="008041DE"/>
    <w:rsid w:val="00804269"/>
    <w:rsid w:val="00805949"/>
    <w:rsid w:val="008066BE"/>
    <w:rsid w:val="008069CF"/>
    <w:rsid w:val="00807B2F"/>
    <w:rsid w:val="00807FC3"/>
    <w:rsid w:val="008110F6"/>
    <w:rsid w:val="008114C4"/>
    <w:rsid w:val="00811807"/>
    <w:rsid w:val="00811BDE"/>
    <w:rsid w:val="00812637"/>
    <w:rsid w:val="00812BAA"/>
    <w:rsid w:val="00812EE2"/>
    <w:rsid w:val="00813312"/>
    <w:rsid w:val="008133E9"/>
    <w:rsid w:val="008139CB"/>
    <w:rsid w:val="00813A2C"/>
    <w:rsid w:val="00815831"/>
    <w:rsid w:val="00815C8F"/>
    <w:rsid w:val="00815CC2"/>
    <w:rsid w:val="0081653B"/>
    <w:rsid w:val="008174B3"/>
    <w:rsid w:val="00817832"/>
    <w:rsid w:val="00821663"/>
    <w:rsid w:val="00821724"/>
    <w:rsid w:val="008217BC"/>
    <w:rsid w:val="008218E5"/>
    <w:rsid w:val="008221D2"/>
    <w:rsid w:val="00822BB3"/>
    <w:rsid w:val="00822F4C"/>
    <w:rsid w:val="008237F3"/>
    <w:rsid w:val="0082585E"/>
    <w:rsid w:val="008260FE"/>
    <w:rsid w:val="00826638"/>
    <w:rsid w:val="00826B52"/>
    <w:rsid w:val="00827961"/>
    <w:rsid w:val="0083046B"/>
    <w:rsid w:val="00830EFF"/>
    <w:rsid w:val="00831927"/>
    <w:rsid w:val="00832A91"/>
    <w:rsid w:val="008333A1"/>
    <w:rsid w:val="00833E90"/>
    <w:rsid w:val="008347B0"/>
    <w:rsid w:val="00834D22"/>
    <w:rsid w:val="008351E2"/>
    <w:rsid w:val="008354FF"/>
    <w:rsid w:val="00835C79"/>
    <w:rsid w:val="008360F3"/>
    <w:rsid w:val="00836657"/>
    <w:rsid w:val="008366FA"/>
    <w:rsid w:val="00836DC9"/>
    <w:rsid w:val="00837020"/>
    <w:rsid w:val="008370F9"/>
    <w:rsid w:val="00837AAA"/>
    <w:rsid w:val="00837C44"/>
    <w:rsid w:val="0084022E"/>
    <w:rsid w:val="00840D0E"/>
    <w:rsid w:val="00840D9B"/>
    <w:rsid w:val="0084203C"/>
    <w:rsid w:val="008420D4"/>
    <w:rsid w:val="00842EE5"/>
    <w:rsid w:val="00842F07"/>
    <w:rsid w:val="008443FC"/>
    <w:rsid w:val="008444A1"/>
    <w:rsid w:val="0084671D"/>
    <w:rsid w:val="0084792D"/>
    <w:rsid w:val="00847F35"/>
    <w:rsid w:val="008519F8"/>
    <w:rsid w:val="00851C8B"/>
    <w:rsid w:val="00852421"/>
    <w:rsid w:val="00852767"/>
    <w:rsid w:val="008527D6"/>
    <w:rsid w:val="00852B88"/>
    <w:rsid w:val="00852FA3"/>
    <w:rsid w:val="00853EDC"/>
    <w:rsid w:val="008542E1"/>
    <w:rsid w:val="0085433B"/>
    <w:rsid w:val="008545BF"/>
    <w:rsid w:val="00854A37"/>
    <w:rsid w:val="00854F1F"/>
    <w:rsid w:val="00855141"/>
    <w:rsid w:val="008556C5"/>
    <w:rsid w:val="008558CE"/>
    <w:rsid w:val="00855D6C"/>
    <w:rsid w:val="00855EC9"/>
    <w:rsid w:val="0085631E"/>
    <w:rsid w:val="00856998"/>
    <w:rsid w:val="00856EF6"/>
    <w:rsid w:val="00860124"/>
    <w:rsid w:val="00860144"/>
    <w:rsid w:val="00860FBE"/>
    <w:rsid w:val="00862088"/>
    <w:rsid w:val="008626AA"/>
    <w:rsid w:val="00862B04"/>
    <w:rsid w:val="00863E55"/>
    <w:rsid w:val="00864726"/>
    <w:rsid w:val="00865B00"/>
    <w:rsid w:val="00867B49"/>
    <w:rsid w:val="00867C77"/>
    <w:rsid w:val="00871445"/>
    <w:rsid w:val="00871703"/>
    <w:rsid w:val="00872EFD"/>
    <w:rsid w:val="00873228"/>
    <w:rsid w:val="00874A3E"/>
    <w:rsid w:val="00875AD1"/>
    <w:rsid w:val="00876CF0"/>
    <w:rsid w:val="00876E75"/>
    <w:rsid w:val="0087767C"/>
    <w:rsid w:val="00877BA4"/>
    <w:rsid w:val="008816A0"/>
    <w:rsid w:val="008819B4"/>
    <w:rsid w:val="00882040"/>
    <w:rsid w:val="0088396E"/>
    <w:rsid w:val="0088477E"/>
    <w:rsid w:val="008848FE"/>
    <w:rsid w:val="00884956"/>
    <w:rsid w:val="0088756B"/>
    <w:rsid w:val="008875A3"/>
    <w:rsid w:val="00887C06"/>
    <w:rsid w:val="00887F8A"/>
    <w:rsid w:val="008903A8"/>
    <w:rsid w:val="008914B1"/>
    <w:rsid w:val="00891B6C"/>
    <w:rsid w:val="008946CE"/>
    <w:rsid w:val="008947B2"/>
    <w:rsid w:val="00895137"/>
    <w:rsid w:val="008953A3"/>
    <w:rsid w:val="00895C1B"/>
    <w:rsid w:val="00895CD6"/>
    <w:rsid w:val="00895F64"/>
    <w:rsid w:val="008966FE"/>
    <w:rsid w:val="00896B97"/>
    <w:rsid w:val="0089779B"/>
    <w:rsid w:val="008979D4"/>
    <w:rsid w:val="008A1568"/>
    <w:rsid w:val="008A20AD"/>
    <w:rsid w:val="008A2849"/>
    <w:rsid w:val="008A48AA"/>
    <w:rsid w:val="008A58C5"/>
    <w:rsid w:val="008A5A56"/>
    <w:rsid w:val="008A5B9A"/>
    <w:rsid w:val="008A6F70"/>
    <w:rsid w:val="008B0271"/>
    <w:rsid w:val="008B1221"/>
    <w:rsid w:val="008B1F84"/>
    <w:rsid w:val="008B2E6D"/>
    <w:rsid w:val="008B3904"/>
    <w:rsid w:val="008B3B5E"/>
    <w:rsid w:val="008B4CB5"/>
    <w:rsid w:val="008B605A"/>
    <w:rsid w:val="008B6487"/>
    <w:rsid w:val="008B7387"/>
    <w:rsid w:val="008B7BCC"/>
    <w:rsid w:val="008B7C88"/>
    <w:rsid w:val="008C2B7F"/>
    <w:rsid w:val="008C2C80"/>
    <w:rsid w:val="008C36EA"/>
    <w:rsid w:val="008C484F"/>
    <w:rsid w:val="008C5626"/>
    <w:rsid w:val="008C57F6"/>
    <w:rsid w:val="008C5CF2"/>
    <w:rsid w:val="008C6D92"/>
    <w:rsid w:val="008C74AD"/>
    <w:rsid w:val="008C7A01"/>
    <w:rsid w:val="008C7C0C"/>
    <w:rsid w:val="008D0230"/>
    <w:rsid w:val="008D05F1"/>
    <w:rsid w:val="008D1425"/>
    <w:rsid w:val="008D1D33"/>
    <w:rsid w:val="008D2DC7"/>
    <w:rsid w:val="008D3291"/>
    <w:rsid w:val="008D38D5"/>
    <w:rsid w:val="008D3DBC"/>
    <w:rsid w:val="008D436F"/>
    <w:rsid w:val="008D55A9"/>
    <w:rsid w:val="008D6ABE"/>
    <w:rsid w:val="008D6C4D"/>
    <w:rsid w:val="008D7495"/>
    <w:rsid w:val="008D7A2E"/>
    <w:rsid w:val="008E0382"/>
    <w:rsid w:val="008E0CD7"/>
    <w:rsid w:val="008E0E4A"/>
    <w:rsid w:val="008E1883"/>
    <w:rsid w:val="008E2003"/>
    <w:rsid w:val="008E219D"/>
    <w:rsid w:val="008E22B5"/>
    <w:rsid w:val="008E2FD8"/>
    <w:rsid w:val="008E347C"/>
    <w:rsid w:val="008E3631"/>
    <w:rsid w:val="008E368C"/>
    <w:rsid w:val="008E4992"/>
    <w:rsid w:val="008E4C48"/>
    <w:rsid w:val="008E563E"/>
    <w:rsid w:val="008E6192"/>
    <w:rsid w:val="008E61D1"/>
    <w:rsid w:val="008E65D2"/>
    <w:rsid w:val="008E6687"/>
    <w:rsid w:val="008E6892"/>
    <w:rsid w:val="008E7638"/>
    <w:rsid w:val="008E79FE"/>
    <w:rsid w:val="008E7C20"/>
    <w:rsid w:val="008F0290"/>
    <w:rsid w:val="008F072D"/>
    <w:rsid w:val="008F1546"/>
    <w:rsid w:val="008F16B8"/>
    <w:rsid w:val="008F3399"/>
    <w:rsid w:val="008F33BB"/>
    <w:rsid w:val="008F34BD"/>
    <w:rsid w:val="008F3628"/>
    <w:rsid w:val="008F3DD7"/>
    <w:rsid w:val="008F57E9"/>
    <w:rsid w:val="008F713F"/>
    <w:rsid w:val="008F72D8"/>
    <w:rsid w:val="008F73A2"/>
    <w:rsid w:val="008F78CD"/>
    <w:rsid w:val="008F7E2A"/>
    <w:rsid w:val="009001BF"/>
    <w:rsid w:val="00900799"/>
    <w:rsid w:val="00900D05"/>
    <w:rsid w:val="00900ECF"/>
    <w:rsid w:val="00902091"/>
    <w:rsid w:val="00902213"/>
    <w:rsid w:val="00904AAE"/>
    <w:rsid w:val="00904B17"/>
    <w:rsid w:val="009054D5"/>
    <w:rsid w:val="00906895"/>
    <w:rsid w:val="00907E3F"/>
    <w:rsid w:val="00910058"/>
    <w:rsid w:val="00910279"/>
    <w:rsid w:val="00910371"/>
    <w:rsid w:val="00910525"/>
    <w:rsid w:val="009114FB"/>
    <w:rsid w:val="0091179A"/>
    <w:rsid w:val="00912695"/>
    <w:rsid w:val="00912C08"/>
    <w:rsid w:val="00912C72"/>
    <w:rsid w:val="00912D11"/>
    <w:rsid w:val="009131FD"/>
    <w:rsid w:val="00913AAF"/>
    <w:rsid w:val="00913D4E"/>
    <w:rsid w:val="0091487A"/>
    <w:rsid w:val="009162E2"/>
    <w:rsid w:val="00916A0F"/>
    <w:rsid w:val="009201A2"/>
    <w:rsid w:val="009202D8"/>
    <w:rsid w:val="00920496"/>
    <w:rsid w:val="00920524"/>
    <w:rsid w:val="00920720"/>
    <w:rsid w:val="00921939"/>
    <w:rsid w:val="00921E8D"/>
    <w:rsid w:val="00921F11"/>
    <w:rsid w:val="00922B97"/>
    <w:rsid w:val="00923503"/>
    <w:rsid w:val="00924166"/>
    <w:rsid w:val="009241A2"/>
    <w:rsid w:val="00924878"/>
    <w:rsid w:val="00925821"/>
    <w:rsid w:val="00926217"/>
    <w:rsid w:val="0092764D"/>
    <w:rsid w:val="00927AEC"/>
    <w:rsid w:val="00927CB1"/>
    <w:rsid w:val="00927D23"/>
    <w:rsid w:val="0093003A"/>
    <w:rsid w:val="0093149E"/>
    <w:rsid w:val="0093197D"/>
    <w:rsid w:val="00931E50"/>
    <w:rsid w:val="00932185"/>
    <w:rsid w:val="00932E21"/>
    <w:rsid w:val="00933B8E"/>
    <w:rsid w:val="00935559"/>
    <w:rsid w:val="009360D0"/>
    <w:rsid w:val="00936480"/>
    <w:rsid w:val="009365E3"/>
    <w:rsid w:val="009367BB"/>
    <w:rsid w:val="009377F8"/>
    <w:rsid w:val="00940807"/>
    <w:rsid w:val="00941230"/>
    <w:rsid w:val="0094136A"/>
    <w:rsid w:val="00943C8F"/>
    <w:rsid w:val="00944DC6"/>
    <w:rsid w:val="009453BD"/>
    <w:rsid w:val="00945653"/>
    <w:rsid w:val="00945CF8"/>
    <w:rsid w:val="009469E5"/>
    <w:rsid w:val="0094755B"/>
    <w:rsid w:val="00947AD8"/>
    <w:rsid w:val="009504B3"/>
    <w:rsid w:val="009505B3"/>
    <w:rsid w:val="00952193"/>
    <w:rsid w:val="00952A15"/>
    <w:rsid w:val="00952B58"/>
    <w:rsid w:val="0095323F"/>
    <w:rsid w:val="00953528"/>
    <w:rsid w:val="009540E2"/>
    <w:rsid w:val="00954105"/>
    <w:rsid w:val="00954D55"/>
    <w:rsid w:val="00954EB9"/>
    <w:rsid w:val="0095673A"/>
    <w:rsid w:val="00956BB3"/>
    <w:rsid w:val="00956C60"/>
    <w:rsid w:val="00956D43"/>
    <w:rsid w:val="009602A3"/>
    <w:rsid w:val="00960ADC"/>
    <w:rsid w:val="009617DC"/>
    <w:rsid w:val="00963021"/>
    <w:rsid w:val="0096352B"/>
    <w:rsid w:val="00964F8A"/>
    <w:rsid w:val="00966211"/>
    <w:rsid w:val="00967907"/>
    <w:rsid w:val="00967BDF"/>
    <w:rsid w:val="0097008D"/>
    <w:rsid w:val="009706A1"/>
    <w:rsid w:val="00970CA4"/>
    <w:rsid w:val="00970CE7"/>
    <w:rsid w:val="0097171C"/>
    <w:rsid w:val="0097203A"/>
    <w:rsid w:val="00972218"/>
    <w:rsid w:val="00972B18"/>
    <w:rsid w:val="00972D75"/>
    <w:rsid w:val="00972DF4"/>
    <w:rsid w:val="00972F4E"/>
    <w:rsid w:val="00973929"/>
    <w:rsid w:val="00973CA1"/>
    <w:rsid w:val="00973E12"/>
    <w:rsid w:val="00976057"/>
    <w:rsid w:val="00976097"/>
    <w:rsid w:val="009803F8"/>
    <w:rsid w:val="00981195"/>
    <w:rsid w:val="009812BD"/>
    <w:rsid w:val="00982156"/>
    <w:rsid w:val="0098343E"/>
    <w:rsid w:val="0098403A"/>
    <w:rsid w:val="0098426E"/>
    <w:rsid w:val="00984686"/>
    <w:rsid w:val="00985E62"/>
    <w:rsid w:val="00986E5E"/>
    <w:rsid w:val="009877EB"/>
    <w:rsid w:val="00987AEE"/>
    <w:rsid w:val="00987DE9"/>
    <w:rsid w:val="00990EF6"/>
    <w:rsid w:val="009910DA"/>
    <w:rsid w:val="00992B5F"/>
    <w:rsid w:val="0099348C"/>
    <w:rsid w:val="00993B30"/>
    <w:rsid w:val="009946BC"/>
    <w:rsid w:val="00994909"/>
    <w:rsid w:val="00994ADD"/>
    <w:rsid w:val="00995B7D"/>
    <w:rsid w:val="00995EBF"/>
    <w:rsid w:val="009962BC"/>
    <w:rsid w:val="00996939"/>
    <w:rsid w:val="00997720"/>
    <w:rsid w:val="00997D8D"/>
    <w:rsid w:val="009A0267"/>
    <w:rsid w:val="009A090E"/>
    <w:rsid w:val="009A0A99"/>
    <w:rsid w:val="009A192D"/>
    <w:rsid w:val="009A1B2D"/>
    <w:rsid w:val="009A1FF2"/>
    <w:rsid w:val="009A206D"/>
    <w:rsid w:val="009A23CE"/>
    <w:rsid w:val="009A3B60"/>
    <w:rsid w:val="009A3F7A"/>
    <w:rsid w:val="009A40C3"/>
    <w:rsid w:val="009A43BF"/>
    <w:rsid w:val="009A4AA4"/>
    <w:rsid w:val="009A65C8"/>
    <w:rsid w:val="009A6C9A"/>
    <w:rsid w:val="009A6F5E"/>
    <w:rsid w:val="009B051B"/>
    <w:rsid w:val="009B1086"/>
    <w:rsid w:val="009B1BE0"/>
    <w:rsid w:val="009B1EA0"/>
    <w:rsid w:val="009B204E"/>
    <w:rsid w:val="009B22D2"/>
    <w:rsid w:val="009B39AA"/>
    <w:rsid w:val="009B3A7E"/>
    <w:rsid w:val="009B45EF"/>
    <w:rsid w:val="009B483C"/>
    <w:rsid w:val="009B49C0"/>
    <w:rsid w:val="009B647D"/>
    <w:rsid w:val="009C15BF"/>
    <w:rsid w:val="009C1683"/>
    <w:rsid w:val="009C1F5E"/>
    <w:rsid w:val="009C2D22"/>
    <w:rsid w:val="009C40DA"/>
    <w:rsid w:val="009C486B"/>
    <w:rsid w:val="009C742C"/>
    <w:rsid w:val="009C773C"/>
    <w:rsid w:val="009C77E9"/>
    <w:rsid w:val="009C7C9B"/>
    <w:rsid w:val="009D147F"/>
    <w:rsid w:val="009D21EA"/>
    <w:rsid w:val="009D3478"/>
    <w:rsid w:val="009D3A37"/>
    <w:rsid w:val="009D3C98"/>
    <w:rsid w:val="009D3F76"/>
    <w:rsid w:val="009D41B7"/>
    <w:rsid w:val="009D465B"/>
    <w:rsid w:val="009D4D6D"/>
    <w:rsid w:val="009D52B2"/>
    <w:rsid w:val="009D547D"/>
    <w:rsid w:val="009D5693"/>
    <w:rsid w:val="009D5857"/>
    <w:rsid w:val="009D593B"/>
    <w:rsid w:val="009E22A8"/>
    <w:rsid w:val="009E35F4"/>
    <w:rsid w:val="009E37ED"/>
    <w:rsid w:val="009E3D35"/>
    <w:rsid w:val="009E44FD"/>
    <w:rsid w:val="009E4B86"/>
    <w:rsid w:val="009E51A6"/>
    <w:rsid w:val="009E5850"/>
    <w:rsid w:val="009E5CB4"/>
    <w:rsid w:val="009E600C"/>
    <w:rsid w:val="009E7041"/>
    <w:rsid w:val="009E7246"/>
    <w:rsid w:val="009E7254"/>
    <w:rsid w:val="009E765D"/>
    <w:rsid w:val="009E7D75"/>
    <w:rsid w:val="009E7F1D"/>
    <w:rsid w:val="009E7F52"/>
    <w:rsid w:val="009F13C7"/>
    <w:rsid w:val="009F1610"/>
    <w:rsid w:val="009F1BA1"/>
    <w:rsid w:val="009F206A"/>
    <w:rsid w:val="009F3697"/>
    <w:rsid w:val="009F3B0F"/>
    <w:rsid w:val="009F4652"/>
    <w:rsid w:val="009F4789"/>
    <w:rsid w:val="009F48B0"/>
    <w:rsid w:val="009F4E44"/>
    <w:rsid w:val="009F5EDD"/>
    <w:rsid w:val="009F6514"/>
    <w:rsid w:val="009F6C93"/>
    <w:rsid w:val="009F70B0"/>
    <w:rsid w:val="00A008E1"/>
    <w:rsid w:val="00A015AB"/>
    <w:rsid w:val="00A01BD8"/>
    <w:rsid w:val="00A02687"/>
    <w:rsid w:val="00A02EFC"/>
    <w:rsid w:val="00A03BD3"/>
    <w:rsid w:val="00A050D4"/>
    <w:rsid w:val="00A05353"/>
    <w:rsid w:val="00A05517"/>
    <w:rsid w:val="00A05730"/>
    <w:rsid w:val="00A06FA2"/>
    <w:rsid w:val="00A0742F"/>
    <w:rsid w:val="00A07B49"/>
    <w:rsid w:val="00A12416"/>
    <w:rsid w:val="00A12984"/>
    <w:rsid w:val="00A12D3E"/>
    <w:rsid w:val="00A13517"/>
    <w:rsid w:val="00A14C5A"/>
    <w:rsid w:val="00A14E12"/>
    <w:rsid w:val="00A153B6"/>
    <w:rsid w:val="00A1564C"/>
    <w:rsid w:val="00A15D80"/>
    <w:rsid w:val="00A16649"/>
    <w:rsid w:val="00A17140"/>
    <w:rsid w:val="00A17907"/>
    <w:rsid w:val="00A20456"/>
    <w:rsid w:val="00A20D97"/>
    <w:rsid w:val="00A21E4E"/>
    <w:rsid w:val="00A224F8"/>
    <w:rsid w:val="00A236FE"/>
    <w:rsid w:val="00A241C0"/>
    <w:rsid w:val="00A24DCE"/>
    <w:rsid w:val="00A251B9"/>
    <w:rsid w:val="00A25F3C"/>
    <w:rsid w:val="00A263AF"/>
    <w:rsid w:val="00A26403"/>
    <w:rsid w:val="00A26E4D"/>
    <w:rsid w:val="00A270A5"/>
    <w:rsid w:val="00A2781D"/>
    <w:rsid w:val="00A31540"/>
    <w:rsid w:val="00A320E3"/>
    <w:rsid w:val="00A33525"/>
    <w:rsid w:val="00A33573"/>
    <w:rsid w:val="00A33807"/>
    <w:rsid w:val="00A34710"/>
    <w:rsid w:val="00A34AB0"/>
    <w:rsid w:val="00A3611E"/>
    <w:rsid w:val="00A378A8"/>
    <w:rsid w:val="00A37BCE"/>
    <w:rsid w:val="00A37C16"/>
    <w:rsid w:val="00A40744"/>
    <w:rsid w:val="00A40811"/>
    <w:rsid w:val="00A41B0F"/>
    <w:rsid w:val="00A42249"/>
    <w:rsid w:val="00A42782"/>
    <w:rsid w:val="00A42944"/>
    <w:rsid w:val="00A45365"/>
    <w:rsid w:val="00A45FCF"/>
    <w:rsid w:val="00A473B0"/>
    <w:rsid w:val="00A50A5E"/>
    <w:rsid w:val="00A51122"/>
    <w:rsid w:val="00A5233F"/>
    <w:rsid w:val="00A52661"/>
    <w:rsid w:val="00A526EE"/>
    <w:rsid w:val="00A52BF9"/>
    <w:rsid w:val="00A52C17"/>
    <w:rsid w:val="00A53E5E"/>
    <w:rsid w:val="00A5591C"/>
    <w:rsid w:val="00A57372"/>
    <w:rsid w:val="00A60628"/>
    <w:rsid w:val="00A60DEC"/>
    <w:rsid w:val="00A61232"/>
    <w:rsid w:val="00A619D1"/>
    <w:rsid w:val="00A635CC"/>
    <w:rsid w:val="00A63FD1"/>
    <w:rsid w:val="00A6479F"/>
    <w:rsid w:val="00A64BCA"/>
    <w:rsid w:val="00A64EDF"/>
    <w:rsid w:val="00A659F4"/>
    <w:rsid w:val="00A65D7B"/>
    <w:rsid w:val="00A66F46"/>
    <w:rsid w:val="00A66FEC"/>
    <w:rsid w:val="00A676A2"/>
    <w:rsid w:val="00A676FA"/>
    <w:rsid w:val="00A67938"/>
    <w:rsid w:val="00A67B04"/>
    <w:rsid w:val="00A67EA7"/>
    <w:rsid w:val="00A70B7A"/>
    <w:rsid w:val="00A70E96"/>
    <w:rsid w:val="00A70EA3"/>
    <w:rsid w:val="00A70F3C"/>
    <w:rsid w:val="00A72FBB"/>
    <w:rsid w:val="00A75915"/>
    <w:rsid w:val="00A77B61"/>
    <w:rsid w:val="00A81BE5"/>
    <w:rsid w:val="00A8223D"/>
    <w:rsid w:val="00A83299"/>
    <w:rsid w:val="00A85589"/>
    <w:rsid w:val="00A8574E"/>
    <w:rsid w:val="00A86002"/>
    <w:rsid w:val="00A87248"/>
    <w:rsid w:val="00A87A10"/>
    <w:rsid w:val="00A87FC1"/>
    <w:rsid w:val="00A928E6"/>
    <w:rsid w:val="00A930E5"/>
    <w:rsid w:val="00A940CE"/>
    <w:rsid w:val="00A963A9"/>
    <w:rsid w:val="00A96B13"/>
    <w:rsid w:val="00A9779E"/>
    <w:rsid w:val="00AA01E6"/>
    <w:rsid w:val="00AA09DD"/>
    <w:rsid w:val="00AA0D20"/>
    <w:rsid w:val="00AA1305"/>
    <w:rsid w:val="00AA16B3"/>
    <w:rsid w:val="00AA20D5"/>
    <w:rsid w:val="00AA2483"/>
    <w:rsid w:val="00AA2A85"/>
    <w:rsid w:val="00AA31B1"/>
    <w:rsid w:val="00AA41EA"/>
    <w:rsid w:val="00AA46B0"/>
    <w:rsid w:val="00AA497B"/>
    <w:rsid w:val="00AA49D0"/>
    <w:rsid w:val="00AA4A6E"/>
    <w:rsid w:val="00AA5C7D"/>
    <w:rsid w:val="00AA6AA2"/>
    <w:rsid w:val="00AA6CD0"/>
    <w:rsid w:val="00AA78BD"/>
    <w:rsid w:val="00AB0E2B"/>
    <w:rsid w:val="00AB121A"/>
    <w:rsid w:val="00AB17F3"/>
    <w:rsid w:val="00AB1EFC"/>
    <w:rsid w:val="00AB22E0"/>
    <w:rsid w:val="00AB398B"/>
    <w:rsid w:val="00AB40B6"/>
    <w:rsid w:val="00AB437C"/>
    <w:rsid w:val="00AB56C1"/>
    <w:rsid w:val="00AB5D49"/>
    <w:rsid w:val="00AB5F4C"/>
    <w:rsid w:val="00AB67D0"/>
    <w:rsid w:val="00AB6DB4"/>
    <w:rsid w:val="00AC0C4C"/>
    <w:rsid w:val="00AC0CDE"/>
    <w:rsid w:val="00AC0D52"/>
    <w:rsid w:val="00AC132D"/>
    <w:rsid w:val="00AC146A"/>
    <w:rsid w:val="00AC1733"/>
    <w:rsid w:val="00AC2E73"/>
    <w:rsid w:val="00AC368C"/>
    <w:rsid w:val="00AC55D2"/>
    <w:rsid w:val="00AC64E3"/>
    <w:rsid w:val="00AC7510"/>
    <w:rsid w:val="00AC7BB7"/>
    <w:rsid w:val="00AD039C"/>
    <w:rsid w:val="00AD1F20"/>
    <w:rsid w:val="00AD3773"/>
    <w:rsid w:val="00AD3F52"/>
    <w:rsid w:val="00AD4C8C"/>
    <w:rsid w:val="00AD4CDC"/>
    <w:rsid w:val="00AD66EF"/>
    <w:rsid w:val="00AD67C7"/>
    <w:rsid w:val="00AD6DF6"/>
    <w:rsid w:val="00AD7E5B"/>
    <w:rsid w:val="00AE074F"/>
    <w:rsid w:val="00AE096F"/>
    <w:rsid w:val="00AE1420"/>
    <w:rsid w:val="00AE15F8"/>
    <w:rsid w:val="00AE21CB"/>
    <w:rsid w:val="00AE36BD"/>
    <w:rsid w:val="00AE40EB"/>
    <w:rsid w:val="00AE54A9"/>
    <w:rsid w:val="00AE606D"/>
    <w:rsid w:val="00AE7163"/>
    <w:rsid w:val="00AE73D8"/>
    <w:rsid w:val="00AE74B3"/>
    <w:rsid w:val="00AE7A6B"/>
    <w:rsid w:val="00AE7CB3"/>
    <w:rsid w:val="00AF04C2"/>
    <w:rsid w:val="00AF0C6F"/>
    <w:rsid w:val="00AF1122"/>
    <w:rsid w:val="00AF1BC1"/>
    <w:rsid w:val="00AF1F0E"/>
    <w:rsid w:val="00AF1FC9"/>
    <w:rsid w:val="00AF2359"/>
    <w:rsid w:val="00AF2675"/>
    <w:rsid w:val="00AF308D"/>
    <w:rsid w:val="00AF4F3C"/>
    <w:rsid w:val="00AF5081"/>
    <w:rsid w:val="00AF678F"/>
    <w:rsid w:val="00AF78EE"/>
    <w:rsid w:val="00B0046D"/>
    <w:rsid w:val="00B0099C"/>
    <w:rsid w:val="00B00EDC"/>
    <w:rsid w:val="00B01111"/>
    <w:rsid w:val="00B011E6"/>
    <w:rsid w:val="00B02B0F"/>
    <w:rsid w:val="00B02B54"/>
    <w:rsid w:val="00B02C5F"/>
    <w:rsid w:val="00B03E27"/>
    <w:rsid w:val="00B0570D"/>
    <w:rsid w:val="00B0714F"/>
    <w:rsid w:val="00B0755E"/>
    <w:rsid w:val="00B077CC"/>
    <w:rsid w:val="00B10C05"/>
    <w:rsid w:val="00B11BCB"/>
    <w:rsid w:val="00B11D45"/>
    <w:rsid w:val="00B124AB"/>
    <w:rsid w:val="00B13181"/>
    <w:rsid w:val="00B1439F"/>
    <w:rsid w:val="00B1479C"/>
    <w:rsid w:val="00B14FC0"/>
    <w:rsid w:val="00B1524D"/>
    <w:rsid w:val="00B152F3"/>
    <w:rsid w:val="00B15566"/>
    <w:rsid w:val="00B15E1F"/>
    <w:rsid w:val="00B1706D"/>
    <w:rsid w:val="00B170A3"/>
    <w:rsid w:val="00B21399"/>
    <w:rsid w:val="00B21475"/>
    <w:rsid w:val="00B23906"/>
    <w:rsid w:val="00B2422D"/>
    <w:rsid w:val="00B24E69"/>
    <w:rsid w:val="00B25928"/>
    <w:rsid w:val="00B25D7F"/>
    <w:rsid w:val="00B27036"/>
    <w:rsid w:val="00B2727E"/>
    <w:rsid w:val="00B275AD"/>
    <w:rsid w:val="00B278FE"/>
    <w:rsid w:val="00B2799F"/>
    <w:rsid w:val="00B279C9"/>
    <w:rsid w:val="00B27DA6"/>
    <w:rsid w:val="00B27DF3"/>
    <w:rsid w:val="00B27E30"/>
    <w:rsid w:val="00B300AD"/>
    <w:rsid w:val="00B30199"/>
    <w:rsid w:val="00B30851"/>
    <w:rsid w:val="00B32115"/>
    <w:rsid w:val="00B33189"/>
    <w:rsid w:val="00B331AE"/>
    <w:rsid w:val="00B33A92"/>
    <w:rsid w:val="00B349BB"/>
    <w:rsid w:val="00B3546C"/>
    <w:rsid w:val="00B35610"/>
    <w:rsid w:val="00B36201"/>
    <w:rsid w:val="00B36623"/>
    <w:rsid w:val="00B366EF"/>
    <w:rsid w:val="00B37C46"/>
    <w:rsid w:val="00B37FDB"/>
    <w:rsid w:val="00B4009D"/>
    <w:rsid w:val="00B4026E"/>
    <w:rsid w:val="00B40628"/>
    <w:rsid w:val="00B4097F"/>
    <w:rsid w:val="00B40EFB"/>
    <w:rsid w:val="00B41B6C"/>
    <w:rsid w:val="00B4201B"/>
    <w:rsid w:val="00B42AD2"/>
    <w:rsid w:val="00B435B3"/>
    <w:rsid w:val="00B43A2E"/>
    <w:rsid w:val="00B442C0"/>
    <w:rsid w:val="00B44908"/>
    <w:rsid w:val="00B454EA"/>
    <w:rsid w:val="00B45B3E"/>
    <w:rsid w:val="00B45E32"/>
    <w:rsid w:val="00B46CA9"/>
    <w:rsid w:val="00B470F9"/>
    <w:rsid w:val="00B51BEB"/>
    <w:rsid w:val="00B51E6D"/>
    <w:rsid w:val="00B51F2D"/>
    <w:rsid w:val="00B529E6"/>
    <w:rsid w:val="00B52A68"/>
    <w:rsid w:val="00B52C64"/>
    <w:rsid w:val="00B535CB"/>
    <w:rsid w:val="00B53CDE"/>
    <w:rsid w:val="00B5476F"/>
    <w:rsid w:val="00B5481C"/>
    <w:rsid w:val="00B54C6C"/>
    <w:rsid w:val="00B56F57"/>
    <w:rsid w:val="00B5763A"/>
    <w:rsid w:val="00B57A13"/>
    <w:rsid w:val="00B6053B"/>
    <w:rsid w:val="00B60CC1"/>
    <w:rsid w:val="00B632B1"/>
    <w:rsid w:val="00B635BF"/>
    <w:rsid w:val="00B64F63"/>
    <w:rsid w:val="00B6529E"/>
    <w:rsid w:val="00B653E2"/>
    <w:rsid w:val="00B65904"/>
    <w:rsid w:val="00B65998"/>
    <w:rsid w:val="00B65F4B"/>
    <w:rsid w:val="00B66238"/>
    <w:rsid w:val="00B66C4B"/>
    <w:rsid w:val="00B67081"/>
    <w:rsid w:val="00B67B22"/>
    <w:rsid w:val="00B71C13"/>
    <w:rsid w:val="00B72AEE"/>
    <w:rsid w:val="00B7310E"/>
    <w:rsid w:val="00B73348"/>
    <w:rsid w:val="00B73646"/>
    <w:rsid w:val="00B73D17"/>
    <w:rsid w:val="00B7401C"/>
    <w:rsid w:val="00B74952"/>
    <w:rsid w:val="00B756F5"/>
    <w:rsid w:val="00B763A0"/>
    <w:rsid w:val="00B77299"/>
    <w:rsid w:val="00B77CBA"/>
    <w:rsid w:val="00B80A5E"/>
    <w:rsid w:val="00B80E26"/>
    <w:rsid w:val="00B80F13"/>
    <w:rsid w:val="00B81587"/>
    <w:rsid w:val="00B81A62"/>
    <w:rsid w:val="00B81DC6"/>
    <w:rsid w:val="00B82DD3"/>
    <w:rsid w:val="00B83321"/>
    <w:rsid w:val="00B84377"/>
    <w:rsid w:val="00B846C6"/>
    <w:rsid w:val="00B8484B"/>
    <w:rsid w:val="00B8517C"/>
    <w:rsid w:val="00B85C6C"/>
    <w:rsid w:val="00B85F20"/>
    <w:rsid w:val="00B875C0"/>
    <w:rsid w:val="00B9124A"/>
    <w:rsid w:val="00B93132"/>
    <w:rsid w:val="00B93D6A"/>
    <w:rsid w:val="00B9480A"/>
    <w:rsid w:val="00B94BFF"/>
    <w:rsid w:val="00B94D14"/>
    <w:rsid w:val="00B956C4"/>
    <w:rsid w:val="00B95B0A"/>
    <w:rsid w:val="00B96271"/>
    <w:rsid w:val="00B97167"/>
    <w:rsid w:val="00BA0A39"/>
    <w:rsid w:val="00BA17A6"/>
    <w:rsid w:val="00BA2D2B"/>
    <w:rsid w:val="00BA36F0"/>
    <w:rsid w:val="00BA3D6D"/>
    <w:rsid w:val="00BA42C3"/>
    <w:rsid w:val="00BA4876"/>
    <w:rsid w:val="00BA51E3"/>
    <w:rsid w:val="00BA5C3A"/>
    <w:rsid w:val="00BA5C82"/>
    <w:rsid w:val="00BA5FB6"/>
    <w:rsid w:val="00BA64E6"/>
    <w:rsid w:val="00BA6EB3"/>
    <w:rsid w:val="00BA7E4B"/>
    <w:rsid w:val="00BB1508"/>
    <w:rsid w:val="00BB1858"/>
    <w:rsid w:val="00BB1E30"/>
    <w:rsid w:val="00BB1E84"/>
    <w:rsid w:val="00BB224C"/>
    <w:rsid w:val="00BB2349"/>
    <w:rsid w:val="00BB2735"/>
    <w:rsid w:val="00BB2F03"/>
    <w:rsid w:val="00BB4494"/>
    <w:rsid w:val="00BB4715"/>
    <w:rsid w:val="00BB55EE"/>
    <w:rsid w:val="00BB590E"/>
    <w:rsid w:val="00BB64CB"/>
    <w:rsid w:val="00BB65B2"/>
    <w:rsid w:val="00BB6B70"/>
    <w:rsid w:val="00BB6CCF"/>
    <w:rsid w:val="00BB777A"/>
    <w:rsid w:val="00BB7A04"/>
    <w:rsid w:val="00BC09A4"/>
    <w:rsid w:val="00BC1466"/>
    <w:rsid w:val="00BC1484"/>
    <w:rsid w:val="00BC1CFA"/>
    <w:rsid w:val="00BC240C"/>
    <w:rsid w:val="00BC2B30"/>
    <w:rsid w:val="00BC3094"/>
    <w:rsid w:val="00BC321E"/>
    <w:rsid w:val="00BC3903"/>
    <w:rsid w:val="00BC4B2A"/>
    <w:rsid w:val="00BC5031"/>
    <w:rsid w:val="00BC5E2E"/>
    <w:rsid w:val="00BC62C2"/>
    <w:rsid w:val="00BC64D1"/>
    <w:rsid w:val="00BC6743"/>
    <w:rsid w:val="00BC799A"/>
    <w:rsid w:val="00BD049D"/>
    <w:rsid w:val="00BD0754"/>
    <w:rsid w:val="00BD2004"/>
    <w:rsid w:val="00BD265C"/>
    <w:rsid w:val="00BD3524"/>
    <w:rsid w:val="00BD39DE"/>
    <w:rsid w:val="00BD40A4"/>
    <w:rsid w:val="00BD45D8"/>
    <w:rsid w:val="00BD46B9"/>
    <w:rsid w:val="00BD47AD"/>
    <w:rsid w:val="00BD4D7E"/>
    <w:rsid w:val="00BD5BBC"/>
    <w:rsid w:val="00BD5E18"/>
    <w:rsid w:val="00BD5E95"/>
    <w:rsid w:val="00BD7244"/>
    <w:rsid w:val="00BD7452"/>
    <w:rsid w:val="00BD7EB6"/>
    <w:rsid w:val="00BE055C"/>
    <w:rsid w:val="00BE0D5F"/>
    <w:rsid w:val="00BE1556"/>
    <w:rsid w:val="00BE2995"/>
    <w:rsid w:val="00BE35B4"/>
    <w:rsid w:val="00BE35CA"/>
    <w:rsid w:val="00BE3C8A"/>
    <w:rsid w:val="00BE451C"/>
    <w:rsid w:val="00BE49BE"/>
    <w:rsid w:val="00BE5311"/>
    <w:rsid w:val="00BE75BF"/>
    <w:rsid w:val="00BF0517"/>
    <w:rsid w:val="00BF1118"/>
    <w:rsid w:val="00BF1392"/>
    <w:rsid w:val="00BF2027"/>
    <w:rsid w:val="00BF2053"/>
    <w:rsid w:val="00BF218E"/>
    <w:rsid w:val="00BF2562"/>
    <w:rsid w:val="00BF2E2E"/>
    <w:rsid w:val="00BF3B45"/>
    <w:rsid w:val="00BF42E7"/>
    <w:rsid w:val="00BF51D5"/>
    <w:rsid w:val="00BF6F8B"/>
    <w:rsid w:val="00BF6FDD"/>
    <w:rsid w:val="00BF7F6A"/>
    <w:rsid w:val="00C0023B"/>
    <w:rsid w:val="00C00783"/>
    <w:rsid w:val="00C008C1"/>
    <w:rsid w:val="00C00B92"/>
    <w:rsid w:val="00C01844"/>
    <w:rsid w:val="00C01E82"/>
    <w:rsid w:val="00C0288F"/>
    <w:rsid w:val="00C029A2"/>
    <w:rsid w:val="00C02BA3"/>
    <w:rsid w:val="00C02FAA"/>
    <w:rsid w:val="00C030A9"/>
    <w:rsid w:val="00C03134"/>
    <w:rsid w:val="00C031A0"/>
    <w:rsid w:val="00C03481"/>
    <w:rsid w:val="00C034AB"/>
    <w:rsid w:val="00C047C1"/>
    <w:rsid w:val="00C04A4A"/>
    <w:rsid w:val="00C0540C"/>
    <w:rsid w:val="00C0619C"/>
    <w:rsid w:val="00C0668A"/>
    <w:rsid w:val="00C066A9"/>
    <w:rsid w:val="00C07D7A"/>
    <w:rsid w:val="00C10FA7"/>
    <w:rsid w:val="00C11337"/>
    <w:rsid w:val="00C11DD0"/>
    <w:rsid w:val="00C12401"/>
    <w:rsid w:val="00C13014"/>
    <w:rsid w:val="00C130D2"/>
    <w:rsid w:val="00C13533"/>
    <w:rsid w:val="00C137CE"/>
    <w:rsid w:val="00C13936"/>
    <w:rsid w:val="00C14421"/>
    <w:rsid w:val="00C17198"/>
    <w:rsid w:val="00C17567"/>
    <w:rsid w:val="00C17601"/>
    <w:rsid w:val="00C201E0"/>
    <w:rsid w:val="00C2087D"/>
    <w:rsid w:val="00C20C6B"/>
    <w:rsid w:val="00C210C2"/>
    <w:rsid w:val="00C237FC"/>
    <w:rsid w:val="00C23DE3"/>
    <w:rsid w:val="00C23F5B"/>
    <w:rsid w:val="00C247C3"/>
    <w:rsid w:val="00C24A3E"/>
    <w:rsid w:val="00C24FA4"/>
    <w:rsid w:val="00C25505"/>
    <w:rsid w:val="00C26107"/>
    <w:rsid w:val="00C2662C"/>
    <w:rsid w:val="00C26685"/>
    <w:rsid w:val="00C26AD1"/>
    <w:rsid w:val="00C26DE3"/>
    <w:rsid w:val="00C2704A"/>
    <w:rsid w:val="00C30334"/>
    <w:rsid w:val="00C31201"/>
    <w:rsid w:val="00C31377"/>
    <w:rsid w:val="00C32098"/>
    <w:rsid w:val="00C32435"/>
    <w:rsid w:val="00C32463"/>
    <w:rsid w:val="00C32486"/>
    <w:rsid w:val="00C32816"/>
    <w:rsid w:val="00C32AA6"/>
    <w:rsid w:val="00C32CA0"/>
    <w:rsid w:val="00C336AD"/>
    <w:rsid w:val="00C33A91"/>
    <w:rsid w:val="00C33F97"/>
    <w:rsid w:val="00C3502D"/>
    <w:rsid w:val="00C42357"/>
    <w:rsid w:val="00C429A1"/>
    <w:rsid w:val="00C42D47"/>
    <w:rsid w:val="00C42FBD"/>
    <w:rsid w:val="00C43860"/>
    <w:rsid w:val="00C43D75"/>
    <w:rsid w:val="00C43FA1"/>
    <w:rsid w:val="00C444BE"/>
    <w:rsid w:val="00C44C7D"/>
    <w:rsid w:val="00C45BBF"/>
    <w:rsid w:val="00C46A53"/>
    <w:rsid w:val="00C47897"/>
    <w:rsid w:val="00C5008A"/>
    <w:rsid w:val="00C50FB0"/>
    <w:rsid w:val="00C52A43"/>
    <w:rsid w:val="00C52C45"/>
    <w:rsid w:val="00C54307"/>
    <w:rsid w:val="00C55095"/>
    <w:rsid w:val="00C55154"/>
    <w:rsid w:val="00C55CE3"/>
    <w:rsid w:val="00C55D27"/>
    <w:rsid w:val="00C566CF"/>
    <w:rsid w:val="00C5692F"/>
    <w:rsid w:val="00C56AD0"/>
    <w:rsid w:val="00C57AFE"/>
    <w:rsid w:val="00C57D99"/>
    <w:rsid w:val="00C601A3"/>
    <w:rsid w:val="00C6059C"/>
    <w:rsid w:val="00C60BFB"/>
    <w:rsid w:val="00C60D74"/>
    <w:rsid w:val="00C60E5A"/>
    <w:rsid w:val="00C6115D"/>
    <w:rsid w:val="00C6140D"/>
    <w:rsid w:val="00C61EEE"/>
    <w:rsid w:val="00C622FA"/>
    <w:rsid w:val="00C62BAB"/>
    <w:rsid w:val="00C640A5"/>
    <w:rsid w:val="00C64A61"/>
    <w:rsid w:val="00C64ED7"/>
    <w:rsid w:val="00C66BA8"/>
    <w:rsid w:val="00C66F1F"/>
    <w:rsid w:val="00C674F2"/>
    <w:rsid w:val="00C708F5"/>
    <w:rsid w:val="00C712E3"/>
    <w:rsid w:val="00C72230"/>
    <w:rsid w:val="00C73719"/>
    <w:rsid w:val="00C738D2"/>
    <w:rsid w:val="00C73C98"/>
    <w:rsid w:val="00C73DDF"/>
    <w:rsid w:val="00C73DEE"/>
    <w:rsid w:val="00C749E7"/>
    <w:rsid w:val="00C74C70"/>
    <w:rsid w:val="00C74EFE"/>
    <w:rsid w:val="00C759CE"/>
    <w:rsid w:val="00C75B41"/>
    <w:rsid w:val="00C75D50"/>
    <w:rsid w:val="00C75F7E"/>
    <w:rsid w:val="00C76469"/>
    <w:rsid w:val="00C76578"/>
    <w:rsid w:val="00C76829"/>
    <w:rsid w:val="00C7694A"/>
    <w:rsid w:val="00C76EA5"/>
    <w:rsid w:val="00C76EEB"/>
    <w:rsid w:val="00C7758C"/>
    <w:rsid w:val="00C77659"/>
    <w:rsid w:val="00C7797A"/>
    <w:rsid w:val="00C77F6D"/>
    <w:rsid w:val="00C8212E"/>
    <w:rsid w:val="00C82842"/>
    <w:rsid w:val="00C82CD2"/>
    <w:rsid w:val="00C82D9F"/>
    <w:rsid w:val="00C833E6"/>
    <w:rsid w:val="00C85FD2"/>
    <w:rsid w:val="00C86F14"/>
    <w:rsid w:val="00C900E6"/>
    <w:rsid w:val="00C911A1"/>
    <w:rsid w:val="00C91F83"/>
    <w:rsid w:val="00C92056"/>
    <w:rsid w:val="00C94383"/>
    <w:rsid w:val="00C9443A"/>
    <w:rsid w:val="00C946F8"/>
    <w:rsid w:val="00C949DD"/>
    <w:rsid w:val="00C95098"/>
    <w:rsid w:val="00C952A7"/>
    <w:rsid w:val="00C95509"/>
    <w:rsid w:val="00C96137"/>
    <w:rsid w:val="00C96220"/>
    <w:rsid w:val="00C96935"/>
    <w:rsid w:val="00C96F24"/>
    <w:rsid w:val="00C9706C"/>
    <w:rsid w:val="00C97381"/>
    <w:rsid w:val="00C97445"/>
    <w:rsid w:val="00CA022E"/>
    <w:rsid w:val="00CA2C93"/>
    <w:rsid w:val="00CA4461"/>
    <w:rsid w:val="00CA50BB"/>
    <w:rsid w:val="00CA56FB"/>
    <w:rsid w:val="00CA57D4"/>
    <w:rsid w:val="00CA5E4B"/>
    <w:rsid w:val="00CA7442"/>
    <w:rsid w:val="00CB0452"/>
    <w:rsid w:val="00CB04CB"/>
    <w:rsid w:val="00CB04E0"/>
    <w:rsid w:val="00CB0C2F"/>
    <w:rsid w:val="00CB0D3F"/>
    <w:rsid w:val="00CB513F"/>
    <w:rsid w:val="00CB61B6"/>
    <w:rsid w:val="00CB7201"/>
    <w:rsid w:val="00CB75DF"/>
    <w:rsid w:val="00CB7D08"/>
    <w:rsid w:val="00CC08C9"/>
    <w:rsid w:val="00CC09B6"/>
    <w:rsid w:val="00CC108C"/>
    <w:rsid w:val="00CC11FD"/>
    <w:rsid w:val="00CC1323"/>
    <w:rsid w:val="00CC28F2"/>
    <w:rsid w:val="00CC2B43"/>
    <w:rsid w:val="00CC2DCA"/>
    <w:rsid w:val="00CC2E94"/>
    <w:rsid w:val="00CC3655"/>
    <w:rsid w:val="00CC3B2C"/>
    <w:rsid w:val="00CC3B31"/>
    <w:rsid w:val="00CC4725"/>
    <w:rsid w:val="00CC4796"/>
    <w:rsid w:val="00CC55E7"/>
    <w:rsid w:val="00CC70D6"/>
    <w:rsid w:val="00CD0020"/>
    <w:rsid w:val="00CD0079"/>
    <w:rsid w:val="00CD03DF"/>
    <w:rsid w:val="00CD148A"/>
    <w:rsid w:val="00CD1E0A"/>
    <w:rsid w:val="00CD2A79"/>
    <w:rsid w:val="00CD2C67"/>
    <w:rsid w:val="00CD2DB6"/>
    <w:rsid w:val="00CD2E2C"/>
    <w:rsid w:val="00CD2E31"/>
    <w:rsid w:val="00CD2FBD"/>
    <w:rsid w:val="00CD3257"/>
    <w:rsid w:val="00CD3D07"/>
    <w:rsid w:val="00CD42B7"/>
    <w:rsid w:val="00CD4F5E"/>
    <w:rsid w:val="00CD6077"/>
    <w:rsid w:val="00CD625C"/>
    <w:rsid w:val="00CD6AD4"/>
    <w:rsid w:val="00CD6E68"/>
    <w:rsid w:val="00CD7341"/>
    <w:rsid w:val="00CE02A2"/>
    <w:rsid w:val="00CE0486"/>
    <w:rsid w:val="00CE1168"/>
    <w:rsid w:val="00CE1358"/>
    <w:rsid w:val="00CE2DC7"/>
    <w:rsid w:val="00CE3449"/>
    <w:rsid w:val="00CE3564"/>
    <w:rsid w:val="00CE3659"/>
    <w:rsid w:val="00CE368A"/>
    <w:rsid w:val="00CE52F1"/>
    <w:rsid w:val="00CE5657"/>
    <w:rsid w:val="00CE5D70"/>
    <w:rsid w:val="00CE5E55"/>
    <w:rsid w:val="00CE63BA"/>
    <w:rsid w:val="00CE6767"/>
    <w:rsid w:val="00CE6D83"/>
    <w:rsid w:val="00CE729E"/>
    <w:rsid w:val="00CE7C14"/>
    <w:rsid w:val="00CF1194"/>
    <w:rsid w:val="00CF1542"/>
    <w:rsid w:val="00CF1AF1"/>
    <w:rsid w:val="00CF1B28"/>
    <w:rsid w:val="00CF2D04"/>
    <w:rsid w:val="00CF2EFE"/>
    <w:rsid w:val="00CF32B2"/>
    <w:rsid w:val="00CF3A3A"/>
    <w:rsid w:val="00CF3FE4"/>
    <w:rsid w:val="00CF41BD"/>
    <w:rsid w:val="00CF4693"/>
    <w:rsid w:val="00CF4839"/>
    <w:rsid w:val="00CF5F95"/>
    <w:rsid w:val="00CF694D"/>
    <w:rsid w:val="00CF7226"/>
    <w:rsid w:val="00CF7919"/>
    <w:rsid w:val="00D0150C"/>
    <w:rsid w:val="00D01AB2"/>
    <w:rsid w:val="00D01F64"/>
    <w:rsid w:val="00D021EF"/>
    <w:rsid w:val="00D0369C"/>
    <w:rsid w:val="00D0416A"/>
    <w:rsid w:val="00D04799"/>
    <w:rsid w:val="00D05062"/>
    <w:rsid w:val="00D0587E"/>
    <w:rsid w:val="00D05C6A"/>
    <w:rsid w:val="00D060F0"/>
    <w:rsid w:val="00D06333"/>
    <w:rsid w:val="00D06B85"/>
    <w:rsid w:val="00D06D24"/>
    <w:rsid w:val="00D10863"/>
    <w:rsid w:val="00D10FE2"/>
    <w:rsid w:val="00D11DC6"/>
    <w:rsid w:val="00D121C1"/>
    <w:rsid w:val="00D12A64"/>
    <w:rsid w:val="00D17055"/>
    <w:rsid w:val="00D202B1"/>
    <w:rsid w:val="00D209DE"/>
    <w:rsid w:val="00D20C27"/>
    <w:rsid w:val="00D22123"/>
    <w:rsid w:val="00D228E5"/>
    <w:rsid w:val="00D22C87"/>
    <w:rsid w:val="00D23514"/>
    <w:rsid w:val="00D239FA"/>
    <w:rsid w:val="00D23AD9"/>
    <w:rsid w:val="00D23BBE"/>
    <w:rsid w:val="00D24882"/>
    <w:rsid w:val="00D24C9F"/>
    <w:rsid w:val="00D24F09"/>
    <w:rsid w:val="00D256C0"/>
    <w:rsid w:val="00D263DF"/>
    <w:rsid w:val="00D267ED"/>
    <w:rsid w:val="00D268D0"/>
    <w:rsid w:val="00D26ACF"/>
    <w:rsid w:val="00D3250D"/>
    <w:rsid w:val="00D334DC"/>
    <w:rsid w:val="00D33E5B"/>
    <w:rsid w:val="00D344A4"/>
    <w:rsid w:val="00D3554D"/>
    <w:rsid w:val="00D35692"/>
    <w:rsid w:val="00D36187"/>
    <w:rsid w:val="00D37C77"/>
    <w:rsid w:val="00D41142"/>
    <w:rsid w:val="00D41FCA"/>
    <w:rsid w:val="00D42008"/>
    <w:rsid w:val="00D42131"/>
    <w:rsid w:val="00D43AB5"/>
    <w:rsid w:val="00D43E25"/>
    <w:rsid w:val="00D441CD"/>
    <w:rsid w:val="00D467D5"/>
    <w:rsid w:val="00D46B2B"/>
    <w:rsid w:val="00D500A7"/>
    <w:rsid w:val="00D50147"/>
    <w:rsid w:val="00D505DF"/>
    <w:rsid w:val="00D50E63"/>
    <w:rsid w:val="00D514CF"/>
    <w:rsid w:val="00D51D3D"/>
    <w:rsid w:val="00D520B2"/>
    <w:rsid w:val="00D525D5"/>
    <w:rsid w:val="00D527AC"/>
    <w:rsid w:val="00D5356D"/>
    <w:rsid w:val="00D53ACB"/>
    <w:rsid w:val="00D53E08"/>
    <w:rsid w:val="00D547CA"/>
    <w:rsid w:val="00D54EE4"/>
    <w:rsid w:val="00D55391"/>
    <w:rsid w:val="00D558B2"/>
    <w:rsid w:val="00D55D44"/>
    <w:rsid w:val="00D56871"/>
    <w:rsid w:val="00D577F2"/>
    <w:rsid w:val="00D57C14"/>
    <w:rsid w:val="00D60787"/>
    <w:rsid w:val="00D6165B"/>
    <w:rsid w:val="00D61867"/>
    <w:rsid w:val="00D61C0C"/>
    <w:rsid w:val="00D624E9"/>
    <w:rsid w:val="00D642C4"/>
    <w:rsid w:val="00D64586"/>
    <w:rsid w:val="00D65162"/>
    <w:rsid w:val="00D651FB"/>
    <w:rsid w:val="00D66705"/>
    <w:rsid w:val="00D66E1B"/>
    <w:rsid w:val="00D67037"/>
    <w:rsid w:val="00D670D2"/>
    <w:rsid w:val="00D67102"/>
    <w:rsid w:val="00D67794"/>
    <w:rsid w:val="00D67A02"/>
    <w:rsid w:val="00D71653"/>
    <w:rsid w:val="00D727F5"/>
    <w:rsid w:val="00D72D84"/>
    <w:rsid w:val="00D72FFB"/>
    <w:rsid w:val="00D73282"/>
    <w:rsid w:val="00D734E6"/>
    <w:rsid w:val="00D73795"/>
    <w:rsid w:val="00D73D3A"/>
    <w:rsid w:val="00D750A8"/>
    <w:rsid w:val="00D751D5"/>
    <w:rsid w:val="00D7592C"/>
    <w:rsid w:val="00D76357"/>
    <w:rsid w:val="00D80BE9"/>
    <w:rsid w:val="00D81397"/>
    <w:rsid w:val="00D81866"/>
    <w:rsid w:val="00D81B9B"/>
    <w:rsid w:val="00D820AD"/>
    <w:rsid w:val="00D82375"/>
    <w:rsid w:val="00D82D2A"/>
    <w:rsid w:val="00D837E2"/>
    <w:rsid w:val="00D83AD5"/>
    <w:rsid w:val="00D843C2"/>
    <w:rsid w:val="00D852EC"/>
    <w:rsid w:val="00D854AD"/>
    <w:rsid w:val="00D862DE"/>
    <w:rsid w:val="00D86352"/>
    <w:rsid w:val="00D8706A"/>
    <w:rsid w:val="00D87123"/>
    <w:rsid w:val="00D8744E"/>
    <w:rsid w:val="00D905D2"/>
    <w:rsid w:val="00D906C8"/>
    <w:rsid w:val="00D91A27"/>
    <w:rsid w:val="00D91BE7"/>
    <w:rsid w:val="00D9391F"/>
    <w:rsid w:val="00D93B01"/>
    <w:rsid w:val="00D93BF4"/>
    <w:rsid w:val="00D93F19"/>
    <w:rsid w:val="00D9550A"/>
    <w:rsid w:val="00D95700"/>
    <w:rsid w:val="00D95DFD"/>
    <w:rsid w:val="00D96A25"/>
    <w:rsid w:val="00D9743C"/>
    <w:rsid w:val="00DA02AB"/>
    <w:rsid w:val="00DA2E40"/>
    <w:rsid w:val="00DA31B7"/>
    <w:rsid w:val="00DA383F"/>
    <w:rsid w:val="00DA3CD4"/>
    <w:rsid w:val="00DA51C2"/>
    <w:rsid w:val="00DA6459"/>
    <w:rsid w:val="00DA6AEB"/>
    <w:rsid w:val="00DB0157"/>
    <w:rsid w:val="00DB0B29"/>
    <w:rsid w:val="00DB0B70"/>
    <w:rsid w:val="00DB116D"/>
    <w:rsid w:val="00DB1200"/>
    <w:rsid w:val="00DB17B8"/>
    <w:rsid w:val="00DB1952"/>
    <w:rsid w:val="00DB229D"/>
    <w:rsid w:val="00DB24EF"/>
    <w:rsid w:val="00DB2CF1"/>
    <w:rsid w:val="00DB2E00"/>
    <w:rsid w:val="00DB33E6"/>
    <w:rsid w:val="00DB3D79"/>
    <w:rsid w:val="00DB4B7A"/>
    <w:rsid w:val="00DB5AF3"/>
    <w:rsid w:val="00DB60FD"/>
    <w:rsid w:val="00DB77D7"/>
    <w:rsid w:val="00DC1D8F"/>
    <w:rsid w:val="00DC365B"/>
    <w:rsid w:val="00DC3DD6"/>
    <w:rsid w:val="00DC4BA2"/>
    <w:rsid w:val="00DC4FF0"/>
    <w:rsid w:val="00DC5118"/>
    <w:rsid w:val="00DC566C"/>
    <w:rsid w:val="00DC597F"/>
    <w:rsid w:val="00DC6C35"/>
    <w:rsid w:val="00DC7950"/>
    <w:rsid w:val="00DD09A9"/>
    <w:rsid w:val="00DD1199"/>
    <w:rsid w:val="00DD1DA0"/>
    <w:rsid w:val="00DD235F"/>
    <w:rsid w:val="00DD37C8"/>
    <w:rsid w:val="00DD507F"/>
    <w:rsid w:val="00DD5C06"/>
    <w:rsid w:val="00DD6317"/>
    <w:rsid w:val="00DD74EA"/>
    <w:rsid w:val="00DE0202"/>
    <w:rsid w:val="00DE058F"/>
    <w:rsid w:val="00DE1CB6"/>
    <w:rsid w:val="00DE1D1F"/>
    <w:rsid w:val="00DE2856"/>
    <w:rsid w:val="00DE3BF8"/>
    <w:rsid w:val="00DE5999"/>
    <w:rsid w:val="00DE5A4C"/>
    <w:rsid w:val="00DE698E"/>
    <w:rsid w:val="00DE6D95"/>
    <w:rsid w:val="00DE7487"/>
    <w:rsid w:val="00DE7A6C"/>
    <w:rsid w:val="00DE7B75"/>
    <w:rsid w:val="00DF0C87"/>
    <w:rsid w:val="00DF1264"/>
    <w:rsid w:val="00DF15A3"/>
    <w:rsid w:val="00DF1806"/>
    <w:rsid w:val="00DF1FDA"/>
    <w:rsid w:val="00DF232B"/>
    <w:rsid w:val="00DF3579"/>
    <w:rsid w:val="00DF3AEC"/>
    <w:rsid w:val="00DF484C"/>
    <w:rsid w:val="00DF5416"/>
    <w:rsid w:val="00DF60D3"/>
    <w:rsid w:val="00DF792A"/>
    <w:rsid w:val="00E000CF"/>
    <w:rsid w:val="00E002F4"/>
    <w:rsid w:val="00E00D36"/>
    <w:rsid w:val="00E014C9"/>
    <w:rsid w:val="00E01654"/>
    <w:rsid w:val="00E028C9"/>
    <w:rsid w:val="00E02BB9"/>
    <w:rsid w:val="00E04D61"/>
    <w:rsid w:val="00E04E29"/>
    <w:rsid w:val="00E051E5"/>
    <w:rsid w:val="00E07895"/>
    <w:rsid w:val="00E07FF8"/>
    <w:rsid w:val="00E108BA"/>
    <w:rsid w:val="00E10ABB"/>
    <w:rsid w:val="00E11391"/>
    <w:rsid w:val="00E11B34"/>
    <w:rsid w:val="00E124CF"/>
    <w:rsid w:val="00E12690"/>
    <w:rsid w:val="00E12942"/>
    <w:rsid w:val="00E13781"/>
    <w:rsid w:val="00E13C52"/>
    <w:rsid w:val="00E148D3"/>
    <w:rsid w:val="00E1507C"/>
    <w:rsid w:val="00E1509E"/>
    <w:rsid w:val="00E16D9F"/>
    <w:rsid w:val="00E17809"/>
    <w:rsid w:val="00E21672"/>
    <w:rsid w:val="00E21806"/>
    <w:rsid w:val="00E22479"/>
    <w:rsid w:val="00E22C5F"/>
    <w:rsid w:val="00E23BD1"/>
    <w:rsid w:val="00E23D3E"/>
    <w:rsid w:val="00E24A82"/>
    <w:rsid w:val="00E255B2"/>
    <w:rsid w:val="00E26389"/>
    <w:rsid w:val="00E2768F"/>
    <w:rsid w:val="00E276B2"/>
    <w:rsid w:val="00E2787D"/>
    <w:rsid w:val="00E27E30"/>
    <w:rsid w:val="00E30000"/>
    <w:rsid w:val="00E30197"/>
    <w:rsid w:val="00E3073F"/>
    <w:rsid w:val="00E30C61"/>
    <w:rsid w:val="00E30F96"/>
    <w:rsid w:val="00E3151F"/>
    <w:rsid w:val="00E319BF"/>
    <w:rsid w:val="00E31C39"/>
    <w:rsid w:val="00E32134"/>
    <w:rsid w:val="00E32159"/>
    <w:rsid w:val="00E32B74"/>
    <w:rsid w:val="00E32DDD"/>
    <w:rsid w:val="00E33066"/>
    <w:rsid w:val="00E3353B"/>
    <w:rsid w:val="00E33648"/>
    <w:rsid w:val="00E336BD"/>
    <w:rsid w:val="00E33ACA"/>
    <w:rsid w:val="00E348E6"/>
    <w:rsid w:val="00E34EEC"/>
    <w:rsid w:val="00E35775"/>
    <w:rsid w:val="00E362BF"/>
    <w:rsid w:val="00E41734"/>
    <w:rsid w:val="00E41D6A"/>
    <w:rsid w:val="00E428AA"/>
    <w:rsid w:val="00E4350D"/>
    <w:rsid w:val="00E4396B"/>
    <w:rsid w:val="00E44599"/>
    <w:rsid w:val="00E452E8"/>
    <w:rsid w:val="00E457DE"/>
    <w:rsid w:val="00E4595A"/>
    <w:rsid w:val="00E462A4"/>
    <w:rsid w:val="00E4657F"/>
    <w:rsid w:val="00E47398"/>
    <w:rsid w:val="00E47606"/>
    <w:rsid w:val="00E516CD"/>
    <w:rsid w:val="00E519D4"/>
    <w:rsid w:val="00E51C06"/>
    <w:rsid w:val="00E51C12"/>
    <w:rsid w:val="00E51E4C"/>
    <w:rsid w:val="00E52AF2"/>
    <w:rsid w:val="00E52F21"/>
    <w:rsid w:val="00E5330A"/>
    <w:rsid w:val="00E53AD7"/>
    <w:rsid w:val="00E53B6C"/>
    <w:rsid w:val="00E54821"/>
    <w:rsid w:val="00E54BF3"/>
    <w:rsid w:val="00E55A7C"/>
    <w:rsid w:val="00E56B4F"/>
    <w:rsid w:val="00E60CC1"/>
    <w:rsid w:val="00E62766"/>
    <w:rsid w:val="00E62D8D"/>
    <w:rsid w:val="00E631AF"/>
    <w:rsid w:val="00E643E2"/>
    <w:rsid w:val="00E64DA8"/>
    <w:rsid w:val="00E654B9"/>
    <w:rsid w:val="00E6728A"/>
    <w:rsid w:val="00E707D1"/>
    <w:rsid w:val="00E71FBC"/>
    <w:rsid w:val="00E72919"/>
    <w:rsid w:val="00E72936"/>
    <w:rsid w:val="00E72CA7"/>
    <w:rsid w:val="00E72D5F"/>
    <w:rsid w:val="00E73114"/>
    <w:rsid w:val="00E73771"/>
    <w:rsid w:val="00E73805"/>
    <w:rsid w:val="00E73C9C"/>
    <w:rsid w:val="00E74834"/>
    <w:rsid w:val="00E7543E"/>
    <w:rsid w:val="00E75F0B"/>
    <w:rsid w:val="00E7608A"/>
    <w:rsid w:val="00E76426"/>
    <w:rsid w:val="00E76D57"/>
    <w:rsid w:val="00E803CD"/>
    <w:rsid w:val="00E8093F"/>
    <w:rsid w:val="00E814E4"/>
    <w:rsid w:val="00E81F81"/>
    <w:rsid w:val="00E831EA"/>
    <w:rsid w:val="00E83664"/>
    <w:rsid w:val="00E8387D"/>
    <w:rsid w:val="00E84443"/>
    <w:rsid w:val="00E84B40"/>
    <w:rsid w:val="00E85631"/>
    <w:rsid w:val="00E8602E"/>
    <w:rsid w:val="00E86608"/>
    <w:rsid w:val="00E86D14"/>
    <w:rsid w:val="00E87329"/>
    <w:rsid w:val="00E87C10"/>
    <w:rsid w:val="00E90149"/>
    <w:rsid w:val="00E909ED"/>
    <w:rsid w:val="00E91C21"/>
    <w:rsid w:val="00E92CC8"/>
    <w:rsid w:val="00E933E7"/>
    <w:rsid w:val="00E94CBF"/>
    <w:rsid w:val="00E94D44"/>
    <w:rsid w:val="00E96528"/>
    <w:rsid w:val="00E979D3"/>
    <w:rsid w:val="00EA01D7"/>
    <w:rsid w:val="00EA0D40"/>
    <w:rsid w:val="00EA3D8C"/>
    <w:rsid w:val="00EA4D3C"/>
    <w:rsid w:val="00EA4DDC"/>
    <w:rsid w:val="00EA5643"/>
    <w:rsid w:val="00EB0283"/>
    <w:rsid w:val="00EB0EE8"/>
    <w:rsid w:val="00EB2095"/>
    <w:rsid w:val="00EB248B"/>
    <w:rsid w:val="00EB2874"/>
    <w:rsid w:val="00EB2EDF"/>
    <w:rsid w:val="00EB38C7"/>
    <w:rsid w:val="00EB41E3"/>
    <w:rsid w:val="00EB570A"/>
    <w:rsid w:val="00EB687C"/>
    <w:rsid w:val="00EB69FF"/>
    <w:rsid w:val="00EB7248"/>
    <w:rsid w:val="00EB7922"/>
    <w:rsid w:val="00EC2645"/>
    <w:rsid w:val="00EC2C1F"/>
    <w:rsid w:val="00EC31D7"/>
    <w:rsid w:val="00EC3E95"/>
    <w:rsid w:val="00EC4017"/>
    <w:rsid w:val="00EC40D7"/>
    <w:rsid w:val="00EC6D62"/>
    <w:rsid w:val="00EC773A"/>
    <w:rsid w:val="00EC79AA"/>
    <w:rsid w:val="00ED0237"/>
    <w:rsid w:val="00ED2F0A"/>
    <w:rsid w:val="00ED375E"/>
    <w:rsid w:val="00ED375F"/>
    <w:rsid w:val="00ED3B05"/>
    <w:rsid w:val="00ED4CD0"/>
    <w:rsid w:val="00ED4F56"/>
    <w:rsid w:val="00ED5804"/>
    <w:rsid w:val="00ED5EDD"/>
    <w:rsid w:val="00ED622D"/>
    <w:rsid w:val="00ED6702"/>
    <w:rsid w:val="00ED727F"/>
    <w:rsid w:val="00ED77D1"/>
    <w:rsid w:val="00ED7D2D"/>
    <w:rsid w:val="00EE04EB"/>
    <w:rsid w:val="00EE0E40"/>
    <w:rsid w:val="00EE0F03"/>
    <w:rsid w:val="00EE1C2C"/>
    <w:rsid w:val="00EE1D12"/>
    <w:rsid w:val="00EE2866"/>
    <w:rsid w:val="00EE3634"/>
    <w:rsid w:val="00EE3744"/>
    <w:rsid w:val="00EE38ED"/>
    <w:rsid w:val="00EE3DDF"/>
    <w:rsid w:val="00EE495C"/>
    <w:rsid w:val="00EE4F1B"/>
    <w:rsid w:val="00EE501A"/>
    <w:rsid w:val="00EE56DE"/>
    <w:rsid w:val="00EE5857"/>
    <w:rsid w:val="00EE6744"/>
    <w:rsid w:val="00EE6905"/>
    <w:rsid w:val="00EE6C26"/>
    <w:rsid w:val="00EE71E1"/>
    <w:rsid w:val="00EE7FB0"/>
    <w:rsid w:val="00EF0AAB"/>
    <w:rsid w:val="00EF0ECC"/>
    <w:rsid w:val="00EF1C87"/>
    <w:rsid w:val="00EF1E95"/>
    <w:rsid w:val="00EF221B"/>
    <w:rsid w:val="00EF4564"/>
    <w:rsid w:val="00EF4A13"/>
    <w:rsid w:val="00EF4AB0"/>
    <w:rsid w:val="00EF4D52"/>
    <w:rsid w:val="00EF5E2D"/>
    <w:rsid w:val="00EF60A0"/>
    <w:rsid w:val="00EF61DC"/>
    <w:rsid w:val="00EF71A6"/>
    <w:rsid w:val="00F00D3B"/>
    <w:rsid w:val="00F010DE"/>
    <w:rsid w:val="00F018EC"/>
    <w:rsid w:val="00F01D65"/>
    <w:rsid w:val="00F01D73"/>
    <w:rsid w:val="00F0394A"/>
    <w:rsid w:val="00F03C70"/>
    <w:rsid w:val="00F041B4"/>
    <w:rsid w:val="00F04347"/>
    <w:rsid w:val="00F04469"/>
    <w:rsid w:val="00F0453E"/>
    <w:rsid w:val="00F066E1"/>
    <w:rsid w:val="00F0714C"/>
    <w:rsid w:val="00F07309"/>
    <w:rsid w:val="00F07EA2"/>
    <w:rsid w:val="00F10ECD"/>
    <w:rsid w:val="00F10F3B"/>
    <w:rsid w:val="00F11336"/>
    <w:rsid w:val="00F11524"/>
    <w:rsid w:val="00F11600"/>
    <w:rsid w:val="00F1181B"/>
    <w:rsid w:val="00F12252"/>
    <w:rsid w:val="00F128EE"/>
    <w:rsid w:val="00F12C0D"/>
    <w:rsid w:val="00F12E24"/>
    <w:rsid w:val="00F14084"/>
    <w:rsid w:val="00F169CC"/>
    <w:rsid w:val="00F204BD"/>
    <w:rsid w:val="00F20588"/>
    <w:rsid w:val="00F20AFD"/>
    <w:rsid w:val="00F23200"/>
    <w:rsid w:val="00F234FA"/>
    <w:rsid w:val="00F25290"/>
    <w:rsid w:val="00F25390"/>
    <w:rsid w:val="00F2558D"/>
    <w:rsid w:val="00F25CBE"/>
    <w:rsid w:val="00F25EDE"/>
    <w:rsid w:val="00F2633C"/>
    <w:rsid w:val="00F26567"/>
    <w:rsid w:val="00F265D4"/>
    <w:rsid w:val="00F26D56"/>
    <w:rsid w:val="00F272DD"/>
    <w:rsid w:val="00F2755C"/>
    <w:rsid w:val="00F30775"/>
    <w:rsid w:val="00F308B3"/>
    <w:rsid w:val="00F315B9"/>
    <w:rsid w:val="00F31747"/>
    <w:rsid w:val="00F31F94"/>
    <w:rsid w:val="00F321C4"/>
    <w:rsid w:val="00F3355D"/>
    <w:rsid w:val="00F3364A"/>
    <w:rsid w:val="00F337C4"/>
    <w:rsid w:val="00F34A4E"/>
    <w:rsid w:val="00F355AE"/>
    <w:rsid w:val="00F35602"/>
    <w:rsid w:val="00F35B57"/>
    <w:rsid w:val="00F37874"/>
    <w:rsid w:val="00F41E5C"/>
    <w:rsid w:val="00F42091"/>
    <w:rsid w:val="00F42DE0"/>
    <w:rsid w:val="00F43C62"/>
    <w:rsid w:val="00F43E07"/>
    <w:rsid w:val="00F44A95"/>
    <w:rsid w:val="00F44DE0"/>
    <w:rsid w:val="00F44EDB"/>
    <w:rsid w:val="00F45707"/>
    <w:rsid w:val="00F45B3B"/>
    <w:rsid w:val="00F45C01"/>
    <w:rsid w:val="00F50927"/>
    <w:rsid w:val="00F52069"/>
    <w:rsid w:val="00F53B85"/>
    <w:rsid w:val="00F54B92"/>
    <w:rsid w:val="00F54EC3"/>
    <w:rsid w:val="00F55D35"/>
    <w:rsid w:val="00F564A2"/>
    <w:rsid w:val="00F56C18"/>
    <w:rsid w:val="00F56DD2"/>
    <w:rsid w:val="00F57649"/>
    <w:rsid w:val="00F57BF1"/>
    <w:rsid w:val="00F57FC3"/>
    <w:rsid w:val="00F61E02"/>
    <w:rsid w:val="00F625CB"/>
    <w:rsid w:val="00F643AF"/>
    <w:rsid w:val="00F6479E"/>
    <w:rsid w:val="00F6575E"/>
    <w:rsid w:val="00F66419"/>
    <w:rsid w:val="00F725A2"/>
    <w:rsid w:val="00F72984"/>
    <w:rsid w:val="00F729B4"/>
    <w:rsid w:val="00F7377B"/>
    <w:rsid w:val="00F73789"/>
    <w:rsid w:val="00F73B9F"/>
    <w:rsid w:val="00F74091"/>
    <w:rsid w:val="00F757A5"/>
    <w:rsid w:val="00F762CA"/>
    <w:rsid w:val="00F76559"/>
    <w:rsid w:val="00F76A09"/>
    <w:rsid w:val="00F81495"/>
    <w:rsid w:val="00F819E0"/>
    <w:rsid w:val="00F81C6A"/>
    <w:rsid w:val="00F826DA"/>
    <w:rsid w:val="00F82BA9"/>
    <w:rsid w:val="00F84C7D"/>
    <w:rsid w:val="00F859CB"/>
    <w:rsid w:val="00F86A8B"/>
    <w:rsid w:val="00F86B87"/>
    <w:rsid w:val="00F87025"/>
    <w:rsid w:val="00F9039D"/>
    <w:rsid w:val="00F9183F"/>
    <w:rsid w:val="00F92649"/>
    <w:rsid w:val="00F92A0F"/>
    <w:rsid w:val="00F94A30"/>
    <w:rsid w:val="00F94C4A"/>
    <w:rsid w:val="00F95A7A"/>
    <w:rsid w:val="00F962DA"/>
    <w:rsid w:val="00F967BE"/>
    <w:rsid w:val="00F9683A"/>
    <w:rsid w:val="00F96DF2"/>
    <w:rsid w:val="00F96E64"/>
    <w:rsid w:val="00F9711F"/>
    <w:rsid w:val="00F97319"/>
    <w:rsid w:val="00F97457"/>
    <w:rsid w:val="00FA0995"/>
    <w:rsid w:val="00FA1F2E"/>
    <w:rsid w:val="00FA2005"/>
    <w:rsid w:val="00FA3D48"/>
    <w:rsid w:val="00FA47F2"/>
    <w:rsid w:val="00FA616C"/>
    <w:rsid w:val="00FA6506"/>
    <w:rsid w:val="00FA6649"/>
    <w:rsid w:val="00FA6BD0"/>
    <w:rsid w:val="00FA6C2A"/>
    <w:rsid w:val="00FA74AA"/>
    <w:rsid w:val="00FB0103"/>
    <w:rsid w:val="00FB0595"/>
    <w:rsid w:val="00FB0E61"/>
    <w:rsid w:val="00FB1119"/>
    <w:rsid w:val="00FB1ACD"/>
    <w:rsid w:val="00FB2B42"/>
    <w:rsid w:val="00FB314A"/>
    <w:rsid w:val="00FB348B"/>
    <w:rsid w:val="00FB3615"/>
    <w:rsid w:val="00FB384A"/>
    <w:rsid w:val="00FB42E1"/>
    <w:rsid w:val="00FB47C0"/>
    <w:rsid w:val="00FB5FEF"/>
    <w:rsid w:val="00FB61AD"/>
    <w:rsid w:val="00FB6489"/>
    <w:rsid w:val="00FB6B61"/>
    <w:rsid w:val="00FB713A"/>
    <w:rsid w:val="00FB7907"/>
    <w:rsid w:val="00FB7FB1"/>
    <w:rsid w:val="00FC0BE0"/>
    <w:rsid w:val="00FC1057"/>
    <w:rsid w:val="00FC1C01"/>
    <w:rsid w:val="00FC2202"/>
    <w:rsid w:val="00FC240E"/>
    <w:rsid w:val="00FC2B71"/>
    <w:rsid w:val="00FC2EB6"/>
    <w:rsid w:val="00FC35A0"/>
    <w:rsid w:val="00FC418C"/>
    <w:rsid w:val="00FC421E"/>
    <w:rsid w:val="00FC4C29"/>
    <w:rsid w:val="00FC54A1"/>
    <w:rsid w:val="00FC57F2"/>
    <w:rsid w:val="00FC60FA"/>
    <w:rsid w:val="00FC65BE"/>
    <w:rsid w:val="00FC692C"/>
    <w:rsid w:val="00FD0A8B"/>
    <w:rsid w:val="00FD0B2E"/>
    <w:rsid w:val="00FD102F"/>
    <w:rsid w:val="00FD171C"/>
    <w:rsid w:val="00FD1750"/>
    <w:rsid w:val="00FD1F33"/>
    <w:rsid w:val="00FD22BC"/>
    <w:rsid w:val="00FD3206"/>
    <w:rsid w:val="00FD372B"/>
    <w:rsid w:val="00FD39E7"/>
    <w:rsid w:val="00FD3AB9"/>
    <w:rsid w:val="00FD4376"/>
    <w:rsid w:val="00FD448E"/>
    <w:rsid w:val="00FD53BE"/>
    <w:rsid w:val="00FD5678"/>
    <w:rsid w:val="00FD5735"/>
    <w:rsid w:val="00FD64D6"/>
    <w:rsid w:val="00FD6750"/>
    <w:rsid w:val="00FD6986"/>
    <w:rsid w:val="00FD782E"/>
    <w:rsid w:val="00FE01AE"/>
    <w:rsid w:val="00FE04CB"/>
    <w:rsid w:val="00FE07A7"/>
    <w:rsid w:val="00FE09EB"/>
    <w:rsid w:val="00FE15B0"/>
    <w:rsid w:val="00FE1A26"/>
    <w:rsid w:val="00FE1B77"/>
    <w:rsid w:val="00FE28C0"/>
    <w:rsid w:val="00FE2D04"/>
    <w:rsid w:val="00FE32E5"/>
    <w:rsid w:val="00FE4613"/>
    <w:rsid w:val="00FE47B2"/>
    <w:rsid w:val="00FE4CBC"/>
    <w:rsid w:val="00FE4DDC"/>
    <w:rsid w:val="00FE551E"/>
    <w:rsid w:val="00FE5A39"/>
    <w:rsid w:val="00FE6ADE"/>
    <w:rsid w:val="00FE6CC1"/>
    <w:rsid w:val="00FE723B"/>
    <w:rsid w:val="00FE774A"/>
    <w:rsid w:val="00FF040B"/>
    <w:rsid w:val="00FF0B4F"/>
    <w:rsid w:val="00FF12FC"/>
    <w:rsid w:val="00FF2460"/>
    <w:rsid w:val="00FF289A"/>
    <w:rsid w:val="00FF34A4"/>
    <w:rsid w:val="00FF3B7E"/>
    <w:rsid w:val="00FF4ACF"/>
    <w:rsid w:val="00FF5668"/>
    <w:rsid w:val="00FF598A"/>
    <w:rsid w:val="00FF634E"/>
    <w:rsid w:val="00FF6648"/>
    <w:rsid w:val="00FF68AE"/>
    <w:rsid w:val="00FF7082"/>
    <w:rsid w:val="00FF7E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B0CF1"/>
  <w15:docId w15:val="{1816C4AC-141A-440B-9215-866A81459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046D"/>
    <w:pPr>
      <w:jc w:val="both"/>
    </w:pPr>
    <w:rPr>
      <w:color w:val="44546A" w:themeColor="text2"/>
      <w:sz w:val="20"/>
    </w:rPr>
  </w:style>
  <w:style w:type="paragraph" w:styleId="Heading1">
    <w:name w:val="heading 1"/>
    <w:basedOn w:val="Normal"/>
    <w:next w:val="Normal"/>
    <w:link w:val="Heading1Char"/>
    <w:uiPriority w:val="9"/>
    <w:qFormat/>
    <w:rsid w:val="00AF23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Podnaslov 2"/>
    <w:basedOn w:val="Normal"/>
    <w:next w:val="Normal"/>
    <w:link w:val="Heading2Char"/>
    <w:uiPriority w:val="9"/>
    <w:unhideWhenUsed/>
    <w:qFormat/>
    <w:rsid w:val="00AF2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70694"/>
    <w:pPr>
      <w:autoSpaceDE w:val="0"/>
      <w:autoSpaceDN w:val="0"/>
      <w:adjustRightInd w:val="0"/>
      <w:spacing w:after="0" w:line="240" w:lineRule="auto"/>
    </w:pPr>
    <w:rPr>
      <w:rFonts w:ascii="Cambria" w:hAnsi="Cambria" w:cs="Cambria"/>
      <w:color w:val="000000"/>
      <w:sz w:val="24"/>
      <w:szCs w:val="24"/>
    </w:rPr>
  </w:style>
  <w:style w:type="paragraph" w:styleId="Header">
    <w:name w:val="header"/>
    <w:basedOn w:val="Normal"/>
    <w:link w:val="HeaderChar"/>
    <w:uiPriority w:val="99"/>
    <w:unhideWhenUsed/>
    <w:rsid w:val="00BF7F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7F6A"/>
  </w:style>
  <w:style w:type="paragraph" w:styleId="Footer">
    <w:name w:val="footer"/>
    <w:basedOn w:val="Normal"/>
    <w:link w:val="FooterChar"/>
    <w:uiPriority w:val="99"/>
    <w:unhideWhenUsed/>
    <w:rsid w:val="00BF7F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7F6A"/>
  </w:style>
  <w:style w:type="character" w:customStyle="1" w:styleId="Heading1Char">
    <w:name w:val="Heading 1 Char"/>
    <w:basedOn w:val="DefaultParagraphFont"/>
    <w:link w:val="Heading1"/>
    <w:uiPriority w:val="9"/>
    <w:rsid w:val="00AF235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AF2359"/>
    <w:pPr>
      <w:outlineLvl w:val="9"/>
    </w:pPr>
  </w:style>
  <w:style w:type="paragraph" w:styleId="TOC1">
    <w:name w:val="toc 1"/>
    <w:basedOn w:val="Normal"/>
    <w:next w:val="Normal"/>
    <w:autoRedefine/>
    <w:uiPriority w:val="39"/>
    <w:unhideWhenUsed/>
    <w:rsid w:val="005311D2"/>
    <w:pPr>
      <w:tabs>
        <w:tab w:val="left" w:pos="270"/>
        <w:tab w:val="right" w:leader="dot" w:pos="9350"/>
      </w:tabs>
      <w:spacing w:after="100"/>
      <w:ind w:firstLine="180"/>
    </w:pPr>
    <w:rPr>
      <w:rFonts w:cstheme="minorHAnsi"/>
      <w:b/>
      <w:bCs/>
      <w:noProof/>
      <w:szCs w:val="20"/>
      <w:lang w:val="sr-Cyrl-RS"/>
    </w:rPr>
  </w:style>
  <w:style w:type="character" w:styleId="Hyperlink">
    <w:name w:val="Hyperlink"/>
    <w:basedOn w:val="DefaultParagraphFont"/>
    <w:uiPriority w:val="99"/>
    <w:unhideWhenUsed/>
    <w:rsid w:val="00AF2359"/>
    <w:rPr>
      <w:color w:val="0563C1" w:themeColor="hyperlink"/>
      <w:u w:val="single"/>
    </w:rPr>
  </w:style>
  <w:style w:type="character" w:customStyle="1" w:styleId="Heading2Char">
    <w:name w:val="Heading 2 Char"/>
    <w:aliases w:val="Podnaslov 2 Char"/>
    <w:basedOn w:val="DefaultParagraphFont"/>
    <w:link w:val="Heading2"/>
    <w:uiPriority w:val="9"/>
    <w:rsid w:val="00AF2359"/>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AF78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72065C"/>
    <w:pPr>
      <w:tabs>
        <w:tab w:val="right" w:leader="dot" w:pos="9350"/>
      </w:tabs>
      <w:spacing w:after="100"/>
      <w:ind w:left="220"/>
    </w:pPr>
    <w:rPr>
      <w:rFonts w:eastAsia="MS PGothic" w:cstheme="minorHAnsi"/>
      <w:b/>
      <w:noProof/>
      <w:lang w:val="sr-Cyrl-RS" w:eastAsia="ja-JP"/>
    </w:rPr>
  </w:style>
  <w:style w:type="paragraph" w:styleId="FootnoteText">
    <w:name w:val="footnote text"/>
    <w:aliases w:val="Footnote Text Char Char Char,Footnote Text Char Char,single space,footnote text,fn,FOOTNOTES,ADB,Footnote Text Char Char Char Char Char,Footnote Text Char Char1,ft,Texto nota pie Car,ft Car,ft Car Car,Texto nota pie2,ft1,f,A,fn1"/>
    <w:basedOn w:val="Normal"/>
    <w:link w:val="FootnoteTextChar"/>
    <w:uiPriority w:val="99"/>
    <w:unhideWhenUsed/>
    <w:qFormat/>
    <w:rsid w:val="005556DC"/>
    <w:pPr>
      <w:spacing w:after="0" w:line="240" w:lineRule="auto"/>
    </w:pPr>
    <w:rPr>
      <w:szCs w:val="20"/>
    </w:rPr>
  </w:style>
  <w:style w:type="character" w:customStyle="1" w:styleId="FootnoteTextChar">
    <w:name w:val="Footnote Text Char"/>
    <w:aliases w:val="Footnote Text Char Char Char Char,Footnote Text Char Char Char1,single space Char,footnote text Char,fn Char,FOOTNOTES Char,ADB Char,Footnote Text Char Char Char Char Char Char,Footnote Text Char Char1 Char,ft Char,ft Car Char,f Char"/>
    <w:basedOn w:val="DefaultParagraphFont"/>
    <w:link w:val="FootnoteText"/>
    <w:uiPriority w:val="99"/>
    <w:qFormat/>
    <w:rsid w:val="005556DC"/>
    <w:rPr>
      <w:sz w:val="20"/>
      <w:szCs w:val="20"/>
    </w:rPr>
  </w:style>
  <w:style w:type="character" w:styleId="FootnoteReference">
    <w:name w:val="footnote reference"/>
    <w:aliases w:val="ftref,Normal + Font:9 Point,Superscript 3 Point Times,SUPERS,EN Footnote Reference,number,Char Char,BVI fnr,Footnote symbol,Footnote reference number,note TESI,ftref Char,BVI fnr Char,BVI fnr Car Char,Char Char Car Char,16 Point Char"/>
    <w:basedOn w:val="DefaultParagraphFont"/>
    <w:link w:val="NumPar1"/>
    <w:uiPriority w:val="99"/>
    <w:unhideWhenUsed/>
    <w:qFormat/>
    <w:rsid w:val="005556DC"/>
    <w:rPr>
      <w:vertAlign w:val="superscript"/>
    </w:rPr>
  </w:style>
  <w:style w:type="character" w:customStyle="1" w:styleId="Hyperlink1">
    <w:name w:val="Hyperlink1"/>
    <w:basedOn w:val="DefaultParagraphFont"/>
    <w:uiPriority w:val="99"/>
    <w:unhideWhenUsed/>
    <w:rsid w:val="005556DC"/>
    <w:rPr>
      <w:color w:val="0563C1"/>
      <w:u w:val="single"/>
    </w:rPr>
  </w:style>
  <w:style w:type="paragraph" w:styleId="Caption">
    <w:name w:val="caption"/>
    <w:basedOn w:val="Normal"/>
    <w:next w:val="Normal"/>
    <w:uiPriority w:val="35"/>
    <w:unhideWhenUsed/>
    <w:qFormat/>
    <w:rsid w:val="004B197B"/>
    <w:pPr>
      <w:jc w:val="center"/>
    </w:pPr>
    <w:rPr>
      <w:b/>
      <w:iCs/>
      <w:color w:val="002060"/>
      <w:szCs w:val="18"/>
    </w:rPr>
  </w:style>
  <w:style w:type="table" w:customStyle="1" w:styleId="GridTable5Dark-Accent51">
    <w:name w:val="Grid Table 5 Dark - Accent 51"/>
    <w:basedOn w:val="TableNormal"/>
    <w:uiPriority w:val="50"/>
    <w:rsid w:val="004351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
    <w:name w:val="Light Shading - Accent 333"/>
    <w:basedOn w:val="TableNormal"/>
    <w:next w:val="LightShading-Accent3"/>
    <w:uiPriority w:val="60"/>
    <w:rsid w:val="00CB0452"/>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3">
    <w:name w:val="Light Shading Accent 3"/>
    <w:basedOn w:val="TableNormal"/>
    <w:uiPriority w:val="60"/>
    <w:semiHidden/>
    <w:unhideWhenUsed/>
    <w:rsid w:val="00CB0452"/>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styleId="CommentReference">
    <w:name w:val="annotation reference"/>
    <w:basedOn w:val="DefaultParagraphFont"/>
    <w:uiPriority w:val="99"/>
    <w:semiHidden/>
    <w:unhideWhenUsed/>
    <w:rsid w:val="00CB0452"/>
    <w:rPr>
      <w:sz w:val="16"/>
      <w:szCs w:val="16"/>
    </w:rPr>
  </w:style>
  <w:style w:type="paragraph" w:styleId="CommentText">
    <w:name w:val="annotation text"/>
    <w:basedOn w:val="Normal"/>
    <w:link w:val="CommentTextChar"/>
    <w:uiPriority w:val="99"/>
    <w:unhideWhenUsed/>
    <w:rsid w:val="00CB0452"/>
    <w:pPr>
      <w:spacing w:line="240" w:lineRule="auto"/>
    </w:pPr>
    <w:rPr>
      <w:szCs w:val="20"/>
    </w:rPr>
  </w:style>
  <w:style w:type="character" w:customStyle="1" w:styleId="CommentTextChar">
    <w:name w:val="Comment Text Char"/>
    <w:basedOn w:val="DefaultParagraphFont"/>
    <w:link w:val="CommentText"/>
    <w:uiPriority w:val="99"/>
    <w:rsid w:val="00CB0452"/>
    <w:rPr>
      <w:sz w:val="20"/>
      <w:szCs w:val="20"/>
    </w:rPr>
  </w:style>
  <w:style w:type="paragraph" w:styleId="CommentSubject">
    <w:name w:val="annotation subject"/>
    <w:basedOn w:val="CommentText"/>
    <w:next w:val="CommentText"/>
    <w:link w:val="CommentSubjectChar"/>
    <w:uiPriority w:val="99"/>
    <w:semiHidden/>
    <w:unhideWhenUsed/>
    <w:rsid w:val="00CB0452"/>
    <w:rPr>
      <w:b/>
      <w:bCs/>
    </w:rPr>
  </w:style>
  <w:style w:type="character" w:customStyle="1" w:styleId="CommentSubjectChar">
    <w:name w:val="Comment Subject Char"/>
    <w:basedOn w:val="CommentTextChar"/>
    <w:link w:val="CommentSubject"/>
    <w:uiPriority w:val="99"/>
    <w:semiHidden/>
    <w:rsid w:val="00CB0452"/>
    <w:rPr>
      <w:b/>
      <w:bCs/>
      <w:sz w:val="20"/>
      <w:szCs w:val="20"/>
    </w:rPr>
  </w:style>
  <w:style w:type="paragraph" w:styleId="BalloonText">
    <w:name w:val="Balloon Text"/>
    <w:basedOn w:val="Normal"/>
    <w:link w:val="BalloonTextChar"/>
    <w:uiPriority w:val="99"/>
    <w:semiHidden/>
    <w:unhideWhenUsed/>
    <w:rsid w:val="00CB04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B0452"/>
    <w:rPr>
      <w:rFonts w:ascii="Segoe UI" w:hAnsi="Segoe UI" w:cs="Segoe UI"/>
      <w:sz w:val="18"/>
      <w:szCs w:val="18"/>
    </w:rPr>
  </w:style>
  <w:style w:type="table" w:customStyle="1" w:styleId="TableGrid2">
    <w:name w:val="Table Grid2"/>
    <w:basedOn w:val="TableNormal"/>
    <w:next w:val="TableGrid"/>
    <w:uiPriority w:val="39"/>
    <w:rsid w:val="008E6892"/>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paragraph" w:styleId="ListParagraph">
    <w:name w:val="List Paragraph"/>
    <w:basedOn w:val="Normal"/>
    <w:link w:val="ListParagraphChar"/>
    <w:uiPriority w:val="34"/>
    <w:qFormat/>
    <w:rsid w:val="0001456F"/>
    <w:pPr>
      <w:ind w:left="720"/>
      <w:contextualSpacing/>
    </w:pPr>
  </w:style>
  <w:style w:type="character" w:customStyle="1" w:styleId="UnresolvedMention1">
    <w:name w:val="Unresolved Mention1"/>
    <w:basedOn w:val="DefaultParagraphFont"/>
    <w:uiPriority w:val="99"/>
    <w:semiHidden/>
    <w:unhideWhenUsed/>
    <w:rsid w:val="002C1D90"/>
    <w:rPr>
      <w:color w:val="605E5C"/>
      <w:shd w:val="clear" w:color="auto" w:fill="E1DFDD"/>
    </w:rPr>
  </w:style>
  <w:style w:type="table" w:customStyle="1" w:styleId="LightShading-Accent335">
    <w:name w:val="Light Shading - Accent 335"/>
    <w:basedOn w:val="TableNormal"/>
    <w:next w:val="LightShading-Accent3"/>
    <w:uiPriority w:val="60"/>
    <w:rsid w:val="009877EB"/>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
    <w:name w:val="No List1"/>
    <w:next w:val="NoList"/>
    <w:uiPriority w:val="99"/>
    <w:semiHidden/>
    <w:unhideWhenUsed/>
    <w:rsid w:val="00BA4876"/>
  </w:style>
  <w:style w:type="table" w:customStyle="1" w:styleId="TableGrid1">
    <w:name w:val="Table Grid1"/>
    <w:basedOn w:val="TableNormal"/>
    <w:next w:val="TableGrid"/>
    <w:uiPriority w:val="59"/>
    <w:rsid w:val="00BA4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0">
    <w:name w:val="Grid Table 5 Dark - Accent 51"/>
    <w:basedOn w:val="TableNormal"/>
    <w:next w:val="GridTable5Dark-Accent51"/>
    <w:uiPriority w:val="50"/>
    <w:rsid w:val="00BA487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
    <w:name w:val="Light Shading - Accent 3331"/>
    <w:basedOn w:val="TableNormal"/>
    <w:next w:val="LightShading-Accent3"/>
    <w:uiPriority w:val="60"/>
    <w:rsid w:val="00BA4876"/>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
    <w:name w:val="Light Shading - Accent 31"/>
    <w:basedOn w:val="TableNormal"/>
    <w:next w:val="LightShading-Accent3"/>
    <w:uiPriority w:val="60"/>
    <w:semiHidden/>
    <w:unhideWhenUsed/>
    <w:rsid w:val="00BA4876"/>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
    <w:name w:val="Table Grid21"/>
    <w:basedOn w:val="TableNormal"/>
    <w:next w:val="TableGrid"/>
    <w:uiPriority w:val="39"/>
    <w:rsid w:val="00BA4876"/>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
    <w:name w:val="Light Shading - Accent 12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
    <w:name w:val="Light Shading - Accent 12"/>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Spacing">
    <w:name w:val="No Spacing"/>
    <w:aliases w:val="Uvodna rečenica"/>
    <w:uiPriority w:val="1"/>
    <w:qFormat/>
    <w:rsid w:val="00BA4876"/>
    <w:pPr>
      <w:spacing w:after="0" w:line="240" w:lineRule="auto"/>
      <w:jc w:val="both"/>
    </w:pPr>
    <w:rPr>
      <w:b/>
      <w:color w:val="2F5496" w:themeColor="accent1" w:themeShade="BF"/>
      <w:sz w:val="20"/>
    </w:rPr>
  </w:style>
  <w:style w:type="table" w:customStyle="1" w:styleId="LightShading-Accent3351">
    <w:name w:val="Light Shading - Accent 3351"/>
    <w:basedOn w:val="TableNormal"/>
    <w:next w:val="LightShading-Accent3"/>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
    <w:name w:val="Light Shading - Accent 1221"/>
    <w:basedOn w:val="TableNormal"/>
    <w:uiPriority w:val="60"/>
    <w:rsid w:val="00BA4876"/>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paragraph" w:styleId="NormalWeb">
    <w:name w:val="Normal (Web)"/>
    <w:basedOn w:val="Normal"/>
    <w:uiPriority w:val="99"/>
    <w:semiHidden/>
    <w:unhideWhenUsed/>
    <w:rsid w:val="00BA48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locked/>
    <w:rsid w:val="00BA4876"/>
  </w:style>
  <w:style w:type="table" w:customStyle="1" w:styleId="LightShading-Accent1211">
    <w:name w:val="Light Shading - Accent 1211"/>
    <w:basedOn w:val="TableNormal"/>
    <w:uiPriority w:val="60"/>
    <w:rsid w:val="00BA4876"/>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
    <w:name w:val="List Table 6 Colorful - Accent 61"/>
    <w:basedOn w:val="TableNormal"/>
    <w:uiPriority w:val="51"/>
    <w:rsid w:val="00BA4876"/>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yperlink2">
    <w:name w:val="Hyperlink2"/>
    <w:basedOn w:val="DefaultParagraphFont"/>
    <w:uiPriority w:val="99"/>
    <w:rsid w:val="00BA4876"/>
    <w:rPr>
      <w:color w:val="0563C1"/>
      <w:u w:val="single"/>
    </w:rPr>
  </w:style>
  <w:style w:type="table" w:customStyle="1" w:styleId="ListTable1Light-Accent61">
    <w:name w:val="List Table 1 Light - Accent 61"/>
    <w:basedOn w:val="TableNormal"/>
    <w:uiPriority w:val="46"/>
    <w:rsid w:val="00BA4876"/>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
    <w:name w:val="Light Shading - Accent 336"/>
    <w:basedOn w:val="TableNormal"/>
    <w:uiPriority w:val="60"/>
    <w:rsid w:val="00BA4876"/>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2">
    <w:name w:val="Unresolved Mention2"/>
    <w:basedOn w:val="DefaultParagraphFont"/>
    <w:uiPriority w:val="99"/>
    <w:semiHidden/>
    <w:unhideWhenUsed/>
    <w:rsid w:val="00BA4876"/>
    <w:rPr>
      <w:color w:val="605E5C"/>
      <w:shd w:val="clear" w:color="auto" w:fill="E1DFDD"/>
    </w:rPr>
  </w:style>
  <w:style w:type="table" w:customStyle="1" w:styleId="LightShading-Accent337">
    <w:name w:val="Light Shading - Accent 337"/>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
    <w:name w:val="Light Shading - Accent 338"/>
    <w:basedOn w:val="TableNormal"/>
    <w:uiPriority w:val="60"/>
    <w:rsid w:val="001E3C08"/>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UnresolvedMention3">
    <w:name w:val="Unresolved Mention3"/>
    <w:basedOn w:val="DefaultParagraphFont"/>
    <w:uiPriority w:val="99"/>
    <w:semiHidden/>
    <w:unhideWhenUsed/>
    <w:rsid w:val="001E3C08"/>
    <w:rPr>
      <w:color w:val="605E5C"/>
      <w:shd w:val="clear" w:color="auto" w:fill="E1DFDD"/>
    </w:rPr>
  </w:style>
  <w:style w:type="table" w:customStyle="1" w:styleId="LightShading-Accent3371">
    <w:name w:val="Light Shading - Accent 337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
    <w:name w:val="No List2"/>
    <w:next w:val="NoList"/>
    <w:uiPriority w:val="99"/>
    <w:semiHidden/>
    <w:unhideWhenUsed/>
    <w:rsid w:val="005C34A0"/>
  </w:style>
  <w:style w:type="table" w:customStyle="1" w:styleId="TableGrid3">
    <w:name w:val="Table Grid3"/>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
    <w:name w:val="Grid Table 5 Dark - Accent 52"/>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
    <w:name w:val="Light Shading - Accent 3332"/>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
    <w:name w:val="Light Shading - Accent 32"/>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
    <w:name w:val="Table Grid22"/>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
    <w:name w:val="Light Shading - Accent 3352"/>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
    <w:name w:val="No List11"/>
    <w:next w:val="NoList"/>
    <w:uiPriority w:val="99"/>
    <w:semiHidden/>
    <w:unhideWhenUsed/>
    <w:rsid w:val="005C34A0"/>
  </w:style>
  <w:style w:type="table" w:customStyle="1" w:styleId="TableGrid11">
    <w:name w:val="Table Grid11"/>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
    <w:name w:val="Grid Table 5 Dark - Accent 511"/>
    <w:basedOn w:val="TableNormal"/>
    <w:next w:val="GridTable5Dark-Accent51"/>
    <w:uiPriority w:val="50"/>
    <w:rsid w:val="005C34A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
    <w:name w:val="Light Shading - Accent 33311"/>
    <w:basedOn w:val="TableNormal"/>
    <w:next w:val="LightShading-Accent3"/>
    <w:uiPriority w:val="60"/>
    <w:rsid w:val="005C34A0"/>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
    <w:name w:val="Light Shading - Accent 311"/>
    <w:basedOn w:val="TableNormal"/>
    <w:next w:val="LightShading-Accent3"/>
    <w:uiPriority w:val="60"/>
    <w:semiHidden/>
    <w:unhideWhenUsed/>
    <w:rsid w:val="005C34A0"/>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
    <w:name w:val="Table Grid211"/>
    <w:basedOn w:val="TableNormal"/>
    <w:next w:val="TableGrid"/>
    <w:uiPriority w:val="39"/>
    <w:rsid w:val="005C34A0"/>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
    <w:name w:val="Light Shading - Accent 121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
    <w:name w:val="Light Shading - Accent 122"/>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
    <w:name w:val="Light Shading - Accent 33511"/>
    <w:basedOn w:val="TableNormal"/>
    <w:next w:val="LightShading-Accent3"/>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
    <w:name w:val="Light Shading - Accent 12211"/>
    <w:basedOn w:val="TableNormal"/>
    <w:uiPriority w:val="60"/>
    <w:rsid w:val="005C34A0"/>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
    <w:name w:val="Light Shading - Accent 12111"/>
    <w:basedOn w:val="TableNormal"/>
    <w:uiPriority w:val="60"/>
    <w:rsid w:val="005C34A0"/>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0">
    <w:name w:val="List Table 6 Colorful - Accent 61"/>
    <w:basedOn w:val="TableNormal"/>
    <w:next w:val="ListTable6Colorful-Accent61"/>
    <w:uiPriority w:val="51"/>
    <w:rsid w:val="005C34A0"/>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
    <w:name w:val="List Table 1 Light - Accent 611"/>
    <w:basedOn w:val="TableNormal"/>
    <w:uiPriority w:val="46"/>
    <w:rsid w:val="005C34A0"/>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
    <w:name w:val="Light Shading - Accent 336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
    <w:name w:val="Light Shading - Accent 3372"/>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
    <w:name w:val="Light Shading - Accent 3381"/>
    <w:basedOn w:val="TableNormal"/>
    <w:uiPriority w:val="60"/>
    <w:rsid w:val="005C34A0"/>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
    <w:name w:val="Table Grid4"/>
    <w:basedOn w:val="TableNormal"/>
    <w:next w:val="TableGrid"/>
    <w:uiPriority w:val="3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5C34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873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51301A"/>
    <w:rPr>
      <w:b/>
      <w:bCs/>
    </w:rPr>
  </w:style>
  <w:style w:type="table" w:customStyle="1" w:styleId="PlainTable41">
    <w:name w:val="Plain Table 41"/>
    <w:basedOn w:val="TableNormal"/>
    <w:uiPriority w:val="44"/>
    <w:rsid w:val="001901F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Accent5">
    <w:name w:val="Grid Table 5 Dark Accent 5"/>
    <w:basedOn w:val="TableNormal"/>
    <w:uiPriority w:val="50"/>
    <w:rsid w:val="00C26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ListTable6Colorful-Accent6">
    <w:name w:val="List Table 6 Colorful Accent 6"/>
    <w:basedOn w:val="TableNormal"/>
    <w:uiPriority w:val="51"/>
    <w:rsid w:val="00C2610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jlqj4b">
    <w:name w:val="jlqj4b"/>
    <w:basedOn w:val="DefaultParagraphFont"/>
    <w:rsid w:val="007A529E"/>
  </w:style>
  <w:style w:type="table" w:styleId="ListTable1Light-Accent3">
    <w:name w:val="List Table 1 Light Accent 3"/>
    <w:basedOn w:val="TableNormal"/>
    <w:uiPriority w:val="46"/>
    <w:rsid w:val="006E4FB8"/>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
    <w:name w:val="Plain Table 411"/>
    <w:basedOn w:val="TableNormal"/>
    <w:uiPriority w:val="44"/>
    <w:rsid w:val="00BB2F0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6Colorful-Accent1">
    <w:name w:val="Grid Table 6 Colorful Accent 1"/>
    <w:basedOn w:val="TableNormal"/>
    <w:uiPriority w:val="51"/>
    <w:rsid w:val="00BB2F03"/>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
    <w:name w:val="Light Shading - Accent 3382"/>
    <w:basedOn w:val="TableNormal"/>
    <w:uiPriority w:val="60"/>
    <w:rsid w:val="00BB2F03"/>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
    <w:name w:val="Light Shading - Accent 12121"/>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
    <w:name w:val="Light Shading - Accent 1222"/>
    <w:basedOn w:val="TableNormal"/>
    <w:uiPriority w:val="60"/>
    <w:rsid w:val="00BB2F03"/>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
    <w:name w:val="Table Grid61"/>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BB2F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
    <w:name w:val="Grid Table 5 Dark - Accent 512"/>
    <w:basedOn w:val="TableNormal"/>
    <w:next w:val="GridTable5Dark-Accent510"/>
    <w:uiPriority w:val="50"/>
    <w:rsid w:val="00E124C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
    <w:name w:val="List Table 6 Colorful - Accent 611"/>
    <w:basedOn w:val="TableNormal"/>
    <w:next w:val="ListTable6Colorful-Accent610"/>
    <w:uiPriority w:val="51"/>
    <w:rsid w:val="00E124CF"/>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593E7B"/>
    <w:rPr>
      <w:color w:val="954F72" w:themeColor="followedHyperlink"/>
      <w:u w:val="single"/>
    </w:rPr>
  </w:style>
  <w:style w:type="paragraph" w:customStyle="1" w:styleId="NumPar1">
    <w:name w:val="NumPar 1"/>
    <w:basedOn w:val="Normal"/>
    <w:next w:val="Normal"/>
    <w:link w:val="FootnoteReference"/>
    <w:uiPriority w:val="99"/>
    <w:rsid w:val="00593E7B"/>
    <w:pPr>
      <w:numPr>
        <w:numId w:val="18"/>
      </w:numPr>
      <w:spacing w:before="120" w:after="120" w:line="240" w:lineRule="auto"/>
    </w:pPr>
    <w:rPr>
      <w:color w:val="auto"/>
      <w:sz w:val="22"/>
      <w:vertAlign w:val="superscript"/>
    </w:rPr>
  </w:style>
  <w:style w:type="paragraph" w:customStyle="1" w:styleId="NumPar2">
    <w:name w:val="NumPar 2"/>
    <w:basedOn w:val="Normal"/>
    <w:next w:val="Normal"/>
    <w:rsid w:val="00593E7B"/>
    <w:pPr>
      <w:numPr>
        <w:ilvl w:val="1"/>
        <w:numId w:val="18"/>
      </w:numPr>
      <w:spacing w:before="120" w:after="120" w:line="240" w:lineRule="auto"/>
    </w:pPr>
    <w:rPr>
      <w:rFonts w:ascii="Tunga" w:eastAsia="Arial Unicode MS" w:hAnsi="Tunga" w:cs="Tunga"/>
      <w:snapToGrid w:val="0"/>
      <w:color w:val="auto"/>
      <w:szCs w:val="20"/>
    </w:rPr>
  </w:style>
  <w:style w:type="paragraph" w:customStyle="1" w:styleId="NumPar3">
    <w:name w:val="NumPar 3"/>
    <w:basedOn w:val="Normal"/>
    <w:next w:val="Normal"/>
    <w:rsid w:val="00593E7B"/>
    <w:pPr>
      <w:numPr>
        <w:ilvl w:val="2"/>
        <w:numId w:val="18"/>
      </w:numPr>
      <w:spacing w:before="120" w:after="120" w:line="240" w:lineRule="auto"/>
    </w:pPr>
    <w:rPr>
      <w:rFonts w:ascii="Tunga" w:eastAsia="Arial Unicode MS" w:hAnsi="Tunga" w:cs="Tunga"/>
      <w:snapToGrid w:val="0"/>
      <w:color w:val="auto"/>
      <w:szCs w:val="20"/>
    </w:rPr>
  </w:style>
  <w:style w:type="paragraph" w:customStyle="1" w:styleId="NumPar4">
    <w:name w:val="NumPar 4"/>
    <w:basedOn w:val="Normal"/>
    <w:next w:val="Normal"/>
    <w:rsid w:val="00593E7B"/>
    <w:pPr>
      <w:numPr>
        <w:ilvl w:val="3"/>
        <w:numId w:val="18"/>
      </w:numPr>
      <w:spacing w:before="120" w:after="120" w:line="240" w:lineRule="auto"/>
    </w:pPr>
    <w:rPr>
      <w:rFonts w:ascii="Tunga" w:eastAsia="Arial Unicode MS" w:hAnsi="Tunga" w:cs="Tunga"/>
      <w:snapToGrid w:val="0"/>
      <w:color w:val="auto"/>
      <w:szCs w:val="20"/>
    </w:rPr>
  </w:style>
  <w:style w:type="paragraph" w:styleId="Revision">
    <w:name w:val="Revision"/>
    <w:hidden/>
    <w:uiPriority w:val="99"/>
    <w:semiHidden/>
    <w:rsid w:val="009377F8"/>
    <w:pPr>
      <w:spacing w:after="0" w:line="240" w:lineRule="auto"/>
    </w:pPr>
    <w:rPr>
      <w:color w:val="44546A" w:themeColor="text2"/>
      <w:sz w:val="20"/>
    </w:rPr>
  </w:style>
  <w:style w:type="character" w:customStyle="1" w:styleId="rynqvb">
    <w:name w:val="rynqvb"/>
    <w:basedOn w:val="DefaultParagraphFont"/>
    <w:rsid w:val="00D8744E"/>
  </w:style>
  <w:style w:type="character" w:customStyle="1" w:styleId="hwtze">
    <w:name w:val="hwtze"/>
    <w:basedOn w:val="DefaultParagraphFont"/>
    <w:rsid w:val="00D8744E"/>
  </w:style>
  <w:style w:type="table" w:customStyle="1" w:styleId="TableGrid621">
    <w:name w:val="Table Grid621"/>
    <w:basedOn w:val="TableNormal"/>
    <w:next w:val="TableGrid"/>
    <w:uiPriority w:val="39"/>
    <w:rsid w:val="00D96A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DF0C87"/>
  </w:style>
  <w:style w:type="table" w:customStyle="1" w:styleId="TableGrid7">
    <w:name w:val="Table Grid7"/>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3">
    <w:name w:val="Grid Table 5 Dark - Accent 513"/>
    <w:basedOn w:val="TableNormal"/>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3">
    <w:name w:val="Light Shading - Accent 3333"/>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
    <w:name w:val="Light Shading - Accent 33"/>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3">
    <w:name w:val="Table Grid23"/>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3">
    <w:name w:val="Light Shading - Accent 3353"/>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2">
    <w:name w:val="No List12"/>
    <w:next w:val="NoList"/>
    <w:uiPriority w:val="99"/>
    <w:semiHidden/>
    <w:unhideWhenUsed/>
    <w:rsid w:val="00DF0C87"/>
  </w:style>
  <w:style w:type="table" w:customStyle="1" w:styleId="TableGrid13">
    <w:name w:val="Table Grid13"/>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4">
    <w:name w:val="Grid Table 5 Dark - Accent 514"/>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2">
    <w:name w:val="Light Shading - Accent 33312"/>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2">
    <w:name w:val="Light Shading - Accent 312"/>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2">
    <w:name w:val="Table Grid212"/>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3">
    <w:name w:val="Light Shading - Accent 121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3">
    <w:name w:val="Light Shading - Accent 12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2">
    <w:name w:val="Light Shading - Accent 33512"/>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2">
    <w:name w:val="Light Shading - Accent 12212"/>
    <w:basedOn w:val="TableNormal"/>
    <w:uiPriority w:val="60"/>
    <w:rsid w:val="00DF0C87"/>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2">
    <w:name w:val="Light Shading - Accent 12112"/>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2">
    <w:name w:val="List Table 6 Colorful - Accent 612"/>
    <w:basedOn w:val="TableNormal"/>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2">
    <w:name w:val="List Table 1 Light - Accent 612"/>
    <w:basedOn w:val="TableNormal"/>
    <w:uiPriority w:val="46"/>
    <w:rsid w:val="00DF0C87"/>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2">
    <w:name w:val="Light Shading - Accent 3362"/>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3">
    <w:name w:val="Light Shading - Accent 3373"/>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3">
    <w:name w:val="Light Shading - Accent 3383"/>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11">
    <w:name w:val="Light Shading - Accent 337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21">
    <w:name w:val="No List21"/>
    <w:next w:val="NoList"/>
    <w:uiPriority w:val="99"/>
    <w:semiHidden/>
    <w:unhideWhenUsed/>
    <w:rsid w:val="00DF0C87"/>
  </w:style>
  <w:style w:type="table" w:customStyle="1" w:styleId="TableGrid31">
    <w:name w:val="Table Grid3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21">
    <w:name w:val="Grid Table 5 Dark - Accent 52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21">
    <w:name w:val="Light Shading - Accent 33321"/>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21">
    <w:name w:val="Light Shading - Accent 321"/>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21">
    <w:name w:val="Table Grid221"/>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33521">
    <w:name w:val="Light Shading - Accent 33521"/>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numbering" w:customStyle="1" w:styleId="NoList111">
    <w:name w:val="No List111"/>
    <w:next w:val="NoList"/>
    <w:uiPriority w:val="99"/>
    <w:semiHidden/>
    <w:unhideWhenUsed/>
    <w:rsid w:val="00DF0C87"/>
  </w:style>
  <w:style w:type="table" w:customStyle="1" w:styleId="TableGrid111">
    <w:name w:val="Table Grid111"/>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11">
    <w:name w:val="Grid Table 5 Dark - Accent 511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ghtShading-Accent333111">
    <w:name w:val="Light Shading - Accent 333111"/>
    <w:basedOn w:val="TableNormal"/>
    <w:next w:val="LightShading-Accent3"/>
    <w:uiPriority w:val="60"/>
    <w:rsid w:val="00DF0C87"/>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111">
    <w:name w:val="Light Shading - Accent 3111"/>
    <w:basedOn w:val="TableNormal"/>
    <w:next w:val="LightShading-Accent3"/>
    <w:uiPriority w:val="60"/>
    <w:semiHidden/>
    <w:unhideWhenUsed/>
    <w:rsid w:val="00DF0C87"/>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customStyle="1" w:styleId="TableGrid2111">
    <w:name w:val="Table Grid2111"/>
    <w:basedOn w:val="TableNormal"/>
    <w:next w:val="TableGrid"/>
    <w:uiPriority w:val="39"/>
    <w:rsid w:val="00DF0C87"/>
    <w:pPr>
      <w:spacing w:before="120" w:after="120" w:line="264" w:lineRule="auto"/>
      <w:ind w:left="115" w:right="115"/>
    </w:pPr>
    <w:rPr>
      <w:rFonts w:eastAsia="MS PGothic"/>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jc w:val="center"/>
      </w:pPr>
      <w:rPr>
        <w:b/>
        <w:i w:val="0"/>
        <w:sz w:val="22"/>
      </w:rPr>
    </w:tblStylePr>
    <w:tblStylePr w:type="lastRow">
      <w:rPr>
        <w:b/>
        <w:i w:val="0"/>
        <w:sz w:val="22"/>
      </w:rPr>
      <w:tblPr/>
      <w:tcPr>
        <w:tcBorders>
          <w:top w:val="double" w:sz="4" w:space="0" w:color="auto"/>
          <w:left w:val="single" w:sz="4" w:space="0" w:color="auto"/>
          <w:bottom w:val="single" w:sz="18" w:space="0" w:color="auto"/>
          <w:right w:val="single" w:sz="4" w:space="0" w:color="auto"/>
          <w:insideH w:val="nil"/>
          <w:insideV w:val="single" w:sz="4" w:space="0" w:color="auto"/>
          <w:tl2br w:val="nil"/>
          <w:tr2bl w:val="nil"/>
        </w:tcBorders>
      </w:tcPr>
    </w:tblStylePr>
  </w:style>
  <w:style w:type="table" w:customStyle="1" w:styleId="LightShading-Accent12122">
    <w:name w:val="Light Shading - Accent 12122"/>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3">
    <w:name w:val="Light Shading - Accent 1223"/>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335111">
    <w:name w:val="Light Shading - Accent 335111"/>
    <w:basedOn w:val="TableNormal"/>
    <w:next w:val="LightShading-Accent3"/>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2111">
    <w:name w:val="Light Shading - Accent 122111"/>
    <w:basedOn w:val="TableNormal"/>
    <w:uiPriority w:val="60"/>
    <w:rsid w:val="00DF0C87"/>
    <w:pPr>
      <w:spacing w:after="0" w:line="240"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1111">
    <w:name w:val="Light Shading - Accent 12111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Borders>
        <w:top w:val="single" w:sz="8" w:space="0" w:color="D16349"/>
        <w:bottom w:val="single" w:sz="8" w:space="0" w:color="D16349"/>
      </w:tblBorders>
    </w:tblPr>
    <w:tblStylePr w:type="fir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0" w:after="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stTable6Colorful-Accent613">
    <w:name w:val="List Table 6 Colorful - Accent 613"/>
    <w:basedOn w:val="TableNormal"/>
    <w:next w:val="ListTable6Colorful-Accent610"/>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6111">
    <w:name w:val="List Table 1 Light - Accent 6111"/>
    <w:basedOn w:val="TableNormal"/>
    <w:uiPriority w:val="46"/>
    <w:rsid w:val="00DF0C87"/>
    <w:pPr>
      <w:spacing w:after="0" w:line="240" w:lineRule="auto"/>
    </w:p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ghtShading-Accent33611">
    <w:name w:val="Light Shading - Accent 336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721">
    <w:name w:val="Light Shading - Accent 3372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33811">
    <w:name w:val="Light Shading - Accent 3381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41">
    <w:name w:val="Table Grid4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5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2">
    <w:name w:val="Plain Table 412"/>
    <w:basedOn w:val="TableNormal"/>
    <w:uiPriority w:val="44"/>
    <w:rsid w:val="00DF0C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5Dark-Accent53">
    <w:name w:val="Grid Table 5 Dark - Accent 53"/>
    <w:basedOn w:val="TableNormal"/>
    <w:next w:val="GridTable5Dark-Accent5"/>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2">
    <w:name w:val="List Table 6 Colorful - Accent 62"/>
    <w:basedOn w:val="TableNormal"/>
    <w:next w:val="ListTable6Colorful-Accent6"/>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31">
    <w:name w:val="List Table 1 Light - Accent 31"/>
    <w:basedOn w:val="TableNormal"/>
    <w:next w:val="ListTable1Light-Accent3"/>
    <w:uiPriority w:val="46"/>
    <w:rsid w:val="00DF0C87"/>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PlainTable4111">
    <w:name w:val="Plain Table 4111"/>
    <w:basedOn w:val="TableNormal"/>
    <w:uiPriority w:val="44"/>
    <w:rsid w:val="00DF0C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6Colorful-Accent11">
    <w:name w:val="Grid Table 6 Colorful - Accent 11"/>
    <w:basedOn w:val="TableNormal"/>
    <w:next w:val="GridTable6Colorful-Accent1"/>
    <w:uiPriority w:val="51"/>
    <w:rsid w:val="00DF0C87"/>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ghtShading-Accent33821">
    <w:name w:val="Light Shading - Accent 33821"/>
    <w:basedOn w:val="TableNormal"/>
    <w:uiPriority w:val="60"/>
    <w:rsid w:val="00DF0C87"/>
    <w:pPr>
      <w:spacing w:after="0" w:line="240" w:lineRule="auto"/>
    </w:pPr>
    <w:rPr>
      <w:rFonts w:ascii="Arial" w:eastAsia="Calibri" w:hAnsi="Arial" w:cs="Times New Roman"/>
      <w:color w:val="474747"/>
      <w:sz w:val="20"/>
      <w:szCs w:val="20"/>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LightShading-Accent121211">
    <w:name w:val="Light Shading - Accent 12121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LightShading-Accent12221">
    <w:name w:val="Light Shading - Accent 12221"/>
    <w:basedOn w:val="TableNormal"/>
    <w:uiPriority w:val="60"/>
    <w:rsid w:val="00DF0C87"/>
    <w:pPr>
      <w:spacing w:after="0" w:line="264" w:lineRule="auto"/>
    </w:pPr>
    <w:rPr>
      <w:rFonts w:ascii="Cambria" w:eastAsia="Calibri" w:hAnsi="Cambria" w:cs="Times New Roman"/>
      <w:color w:val="A8422A"/>
      <w:sz w:val="20"/>
      <w:szCs w:val="20"/>
      <w:lang w:val="en-GB" w:eastAsia="sr-Cyrl-CS"/>
    </w:rPr>
    <w:tblPr>
      <w:tblStyleRowBandSize w:val="1"/>
      <w:tblStyleColBandSize w:val="1"/>
      <w:tblInd w:w="0" w:type="nil"/>
      <w:tblBorders>
        <w:top w:val="single" w:sz="8" w:space="0" w:color="D16349"/>
        <w:bottom w:val="single" w:sz="8" w:space="0" w:color="D16349"/>
      </w:tblBorders>
    </w:tblPr>
    <w:tblStylePr w:type="fir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D16349"/>
          <w:left w:val="nil"/>
          <w:bottom w:val="single" w:sz="8" w:space="0" w:color="D1634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8D2"/>
      </w:tcPr>
    </w:tblStylePr>
    <w:tblStylePr w:type="band1Horz">
      <w:tblPr/>
      <w:tcPr>
        <w:tcBorders>
          <w:left w:val="nil"/>
          <w:right w:val="nil"/>
          <w:insideH w:val="nil"/>
          <w:insideV w:val="nil"/>
        </w:tcBorders>
        <w:shd w:val="clear" w:color="auto" w:fill="F3D8D2"/>
      </w:tcPr>
    </w:tblStylePr>
  </w:style>
  <w:style w:type="table" w:customStyle="1" w:styleId="TableGrid611">
    <w:name w:val="Table Grid61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
    <w:name w:val="Table Grid622"/>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21">
    <w:name w:val="Grid Table 5 Dark - Accent 5121"/>
    <w:basedOn w:val="TableNormal"/>
    <w:next w:val="GridTable5Dark-Accent510"/>
    <w:uiPriority w:val="50"/>
    <w:rsid w:val="00DF0C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ListTable6Colorful-Accent6111">
    <w:name w:val="List Table 6 Colorful - Accent 6111"/>
    <w:basedOn w:val="TableNormal"/>
    <w:next w:val="ListTable6Colorful-Accent610"/>
    <w:uiPriority w:val="51"/>
    <w:rsid w:val="00DF0C87"/>
    <w:pPr>
      <w:spacing w:after="0" w:line="240" w:lineRule="auto"/>
    </w:pPr>
    <w:rPr>
      <w:color w:val="538135" w:themeColor="accent6" w:themeShade="BF"/>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eGrid6211">
    <w:name w:val="Table Grid6211"/>
    <w:basedOn w:val="TableNormal"/>
    <w:next w:val="TableGrid"/>
    <w:uiPriority w:val="39"/>
    <w:rsid w:val="00DF0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paragraph"/>
    <w:basedOn w:val="Normal"/>
    <w:rsid w:val="00DF0C87"/>
    <w:pPr>
      <w:spacing w:before="100" w:beforeAutospacing="1" w:after="100" w:afterAutospacing="1" w:line="240" w:lineRule="auto"/>
      <w:jc w:val="left"/>
    </w:pPr>
    <w:rPr>
      <w:rFonts w:ascii="Times New Roman" w:hAnsi="Times New Roman"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62937">
      <w:bodyDiv w:val="1"/>
      <w:marLeft w:val="0"/>
      <w:marRight w:val="0"/>
      <w:marTop w:val="0"/>
      <w:marBottom w:val="0"/>
      <w:divBdr>
        <w:top w:val="none" w:sz="0" w:space="0" w:color="auto"/>
        <w:left w:val="none" w:sz="0" w:space="0" w:color="auto"/>
        <w:bottom w:val="none" w:sz="0" w:space="0" w:color="auto"/>
        <w:right w:val="none" w:sz="0" w:space="0" w:color="auto"/>
      </w:divBdr>
    </w:div>
    <w:div w:id="224491268">
      <w:bodyDiv w:val="1"/>
      <w:marLeft w:val="0"/>
      <w:marRight w:val="0"/>
      <w:marTop w:val="0"/>
      <w:marBottom w:val="0"/>
      <w:divBdr>
        <w:top w:val="none" w:sz="0" w:space="0" w:color="auto"/>
        <w:left w:val="none" w:sz="0" w:space="0" w:color="auto"/>
        <w:bottom w:val="none" w:sz="0" w:space="0" w:color="auto"/>
        <w:right w:val="none" w:sz="0" w:space="0" w:color="auto"/>
      </w:divBdr>
    </w:div>
    <w:div w:id="327100904">
      <w:bodyDiv w:val="1"/>
      <w:marLeft w:val="0"/>
      <w:marRight w:val="0"/>
      <w:marTop w:val="0"/>
      <w:marBottom w:val="0"/>
      <w:divBdr>
        <w:top w:val="none" w:sz="0" w:space="0" w:color="auto"/>
        <w:left w:val="none" w:sz="0" w:space="0" w:color="auto"/>
        <w:bottom w:val="none" w:sz="0" w:space="0" w:color="auto"/>
        <w:right w:val="none" w:sz="0" w:space="0" w:color="auto"/>
      </w:divBdr>
    </w:div>
    <w:div w:id="405343483">
      <w:bodyDiv w:val="1"/>
      <w:marLeft w:val="0"/>
      <w:marRight w:val="0"/>
      <w:marTop w:val="0"/>
      <w:marBottom w:val="0"/>
      <w:divBdr>
        <w:top w:val="none" w:sz="0" w:space="0" w:color="auto"/>
        <w:left w:val="none" w:sz="0" w:space="0" w:color="auto"/>
        <w:bottom w:val="none" w:sz="0" w:space="0" w:color="auto"/>
        <w:right w:val="none" w:sz="0" w:space="0" w:color="auto"/>
      </w:divBdr>
    </w:div>
    <w:div w:id="496309330">
      <w:bodyDiv w:val="1"/>
      <w:marLeft w:val="0"/>
      <w:marRight w:val="0"/>
      <w:marTop w:val="0"/>
      <w:marBottom w:val="0"/>
      <w:divBdr>
        <w:top w:val="none" w:sz="0" w:space="0" w:color="auto"/>
        <w:left w:val="none" w:sz="0" w:space="0" w:color="auto"/>
        <w:bottom w:val="none" w:sz="0" w:space="0" w:color="auto"/>
        <w:right w:val="none" w:sz="0" w:space="0" w:color="auto"/>
      </w:divBdr>
    </w:div>
    <w:div w:id="496505828">
      <w:bodyDiv w:val="1"/>
      <w:marLeft w:val="0"/>
      <w:marRight w:val="0"/>
      <w:marTop w:val="0"/>
      <w:marBottom w:val="0"/>
      <w:divBdr>
        <w:top w:val="none" w:sz="0" w:space="0" w:color="auto"/>
        <w:left w:val="none" w:sz="0" w:space="0" w:color="auto"/>
        <w:bottom w:val="none" w:sz="0" w:space="0" w:color="auto"/>
        <w:right w:val="none" w:sz="0" w:space="0" w:color="auto"/>
      </w:divBdr>
    </w:div>
    <w:div w:id="502202553">
      <w:bodyDiv w:val="1"/>
      <w:marLeft w:val="0"/>
      <w:marRight w:val="0"/>
      <w:marTop w:val="0"/>
      <w:marBottom w:val="0"/>
      <w:divBdr>
        <w:top w:val="none" w:sz="0" w:space="0" w:color="auto"/>
        <w:left w:val="none" w:sz="0" w:space="0" w:color="auto"/>
        <w:bottom w:val="none" w:sz="0" w:space="0" w:color="auto"/>
        <w:right w:val="none" w:sz="0" w:space="0" w:color="auto"/>
      </w:divBdr>
    </w:div>
    <w:div w:id="707607753">
      <w:bodyDiv w:val="1"/>
      <w:marLeft w:val="0"/>
      <w:marRight w:val="0"/>
      <w:marTop w:val="0"/>
      <w:marBottom w:val="0"/>
      <w:divBdr>
        <w:top w:val="none" w:sz="0" w:space="0" w:color="auto"/>
        <w:left w:val="none" w:sz="0" w:space="0" w:color="auto"/>
        <w:bottom w:val="none" w:sz="0" w:space="0" w:color="auto"/>
        <w:right w:val="none" w:sz="0" w:space="0" w:color="auto"/>
      </w:divBdr>
    </w:div>
    <w:div w:id="758334793">
      <w:bodyDiv w:val="1"/>
      <w:marLeft w:val="0"/>
      <w:marRight w:val="0"/>
      <w:marTop w:val="0"/>
      <w:marBottom w:val="0"/>
      <w:divBdr>
        <w:top w:val="none" w:sz="0" w:space="0" w:color="auto"/>
        <w:left w:val="none" w:sz="0" w:space="0" w:color="auto"/>
        <w:bottom w:val="none" w:sz="0" w:space="0" w:color="auto"/>
        <w:right w:val="none" w:sz="0" w:space="0" w:color="auto"/>
      </w:divBdr>
    </w:div>
    <w:div w:id="815489490">
      <w:bodyDiv w:val="1"/>
      <w:marLeft w:val="0"/>
      <w:marRight w:val="0"/>
      <w:marTop w:val="0"/>
      <w:marBottom w:val="0"/>
      <w:divBdr>
        <w:top w:val="none" w:sz="0" w:space="0" w:color="auto"/>
        <w:left w:val="none" w:sz="0" w:space="0" w:color="auto"/>
        <w:bottom w:val="none" w:sz="0" w:space="0" w:color="auto"/>
        <w:right w:val="none" w:sz="0" w:space="0" w:color="auto"/>
      </w:divBdr>
    </w:div>
    <w:div w:id="988559316">
      <w:bodyDiv w:val="1"/>
      <w:marLeft w:val="0"/>
      <w:marRight w:val="0"/>
      <w:marTop w:val="0"/>
      <w:marBottom w:val="0"/>
      <w:divBdr>
        <w:top w:val="none" w:sz="0" w:space="0" w:color="auto"/>
        <w:left w:val="none" w:sz="0" w:space="0" w:color="auto"/>
        <w:bottom w:val="none" w:sz="0" w:space="0" w:color="auto"/>
        <w:right w:val="none" w:sz="0" w:space="0" w:color="auto"/>
      </w:divBdr>
    </w:div>
    <w:div w:id="1221474541">
      <w:bodyDiv w:val="1"/>
      <w:marLeft w:val="0"/>
      <w:marRight w:val="0"/>
      <w:marTop w:val="0"/>
      <w:marBottom w:val="0"/>
      <w:divBdr>
        <w:top w:val="none" w:sz="0" w:space="0" w:color="auto"/>
        <w:left w:val="none" w:sz="0" w:space="0" w:color="auto"/>
        <w:bottom w:val="none" w:sz="0" w:space="0" w:color="auto"/>
        <w:right w:val="none" w:sz="0" w:space="0" w:color="auto"/>
      </w:divBdr>
    </w:div>
    <w:div w:id="1241981220">
      <w:bodyDiv w:val="1"/>
      <w:marLeft w:val="0"/>
      <w:marRight w:val="0"/>
      <w:marTop w:val="0"/>
      <w:marBottom w:val="0"/>
      <w:divBdr>
        <w:top w:val="none" w:sz="0" w:space="0" w:color="auto"/>
        <w:left w:val="none" w:sz="0" w:space="0" w:color="auto"/>
        <w:bottom w:val="none" w:sz="0" w:space="0" w:color="auto"/>
        <w:right w:val="none" w:sz="0" w:space="0" w:color="auto"/>
      </w:divBdr>
    </w:div>
    <w:div w:id="1285890058">
      <w:bodyDiv w:val="1"/>
      <w:marLeft w:val="0"/>
      <w:marRight w:val="0"/>
      <w:marTop w:val="0"/>
      <w:marBottom w:val="0"/>
      <w:divBdr>
        <w:top w:val="none" w:sz="0" w:space="0" w:color="auto"/>
        <w:left w:val="none" w:sz="0" w:space="0" w:color="auto"/>
        <w:bottom w:val="none" w:sz="0" w:space="0" w:color="auto"/>
        <w:right w:val="none" w:sz="0" w:space="0" w:color="auto"/>
      </w:divBdr>
    </w:div>
    <w:div w:id="1579943587">
      <w:bodyDiv w:val="1"/>
      <w:marLeft w:val="0"/>
      <w:marRight w:val="0"/>
      <w:marTop w:val="0"/>
      <w:marBottom w:val="0"/>
      <w:divBdr>
        <w:top w:val="none" w:sz="0" w:space="0" w:color="auto"/>
        <w:left w:val="none" w:sz="0" w:space="0" w:color="auto"/>
        <w:bottom w:val="none" w:sz="0" w:space="0" w:color="auto"/>
        <w:right w:val="none" w:sz="0" w:space="0" w:color="auto"/>
      </w:divBdr>
    </w:div>
    <w:div w:id="1613324982">
      <w:bodyDiv w:val="1"/>
      <w:marLeft w:val="0"/>
      <w:marRight w:val="0"/>
      <w:marTop w:val="0"/>
      <w:marBottom w:val="0"/>
      <w:divBdr>
        <w:top w:val="none" w:sz="0" w:space="0" w:color="auto"/>
        <w:left w:val="none" w:sz="0" w:space="0" w:color="auto"/>
        <w:bottom w:val="none" w:sz="0" w:space="0" w:color="auto"/>
        <w:right w:val="none" w:sz="0" w:space="0" w:color="auto"/>
      </w:divBdr>
    </w:div>
    <w:div w:id="1678337853">
      <w:bodyDiv w:val="1"/>
      <w:marLeft w:val="0"/>
      <w:marRight w:val="0"/>
      <w:marTop w:val="0"/>
      <w:marBottom w:val="0"/>
      <w:divBdr>
        <w:top w:val="none" w:sz="0" w:space="0" w:color="auto"/>
        <w:left w:val="none" w:sz="0" w:space="0" w:color="auto"/>
        <w:bottom w:val="none" w:sz="0" w:space="0" w:color="auto"/>
        <w:right w:val="none" w:sz="0" w:space="0" w:color="auto"/>
      </w:divBdr>
    </w:div>
    <w:div w:id="1697268533">
      <w:bodyDiv w:val="1"/>
      <w:marLeft w:val="0"/>
      <w:marRight w:val="0"/>
      <w:marTop w:val="0"/>
      <w:marBottom w:val="0"/>
      <w:divBdr>
        <w:top w:val="none" w:sz="0" w:space="0" w:color="auto"/>
        <w:left w:val="none" w:sz="0" w:space="0" w:color="auto"/>
        <w:bottom w:val="none" w:sz="0" w:space="0" w:color="auto"/>
        <w:right w:val="none" w:sz="0" w:space="0" w:color="auto"/>
      </w:divBdr>
    </w:div>
    <w:div w:id="1741367302">
      <w:bodyDiv w:val="1"/>
      <w:marLeft w:val="0"/>
      <w:marRight w:val="0"/>
      <w:marTop w:val="0"/>
      <w:marBottom w:val="0"/>
      <w:divBdr>
        <w:top w:val="none" w:sz="0" w:space="0" w:color="auto"/>
        <w:left w:val="none" w:sz="0" w:space="0" w:color="auto"/>
        <w:bottom w:val="none" w:sz="0" w:space="0" w:color="auto"/>
        <w:right w:val="none" w:sz="0" w:space="0" w:color="auto"/>
      </w:divBdr>
    </w:div>
    <w:div w:id="1750691447">
      <w:bodyDiv w:val="1"/>
      <w:marLeft w:val="0"/>
      <w:marRight w:val="0"/>
      <w:marTop w:val="0"/>
      <w:marBottom w:val="0"/>
      <w:divBdr>
        <w:top w:val="none" w:sz="0" w:space="0" w:color="auto"/>
        <w:left w:val="none" w:sz="0" w:space="0" w:color="auto"/>
        <w:bottom w:val="none" w:sz="0" w:space="0" w:color="auto"/>
        <w:right w:val="none" w:sz="0" w:space="0" w:color="auto"/>
      </w:divBdr>
    </w:div>
    <w:div w:id="1980568835">
      <w:bodyDiv w:val="1"/>
      <w:marLeft w:val="0"/>
      <w:marRight w:val="0"/>
      <w:marTop w:val="0"/>
      <w:marBottom w:val="0"/>
      <w:divBdr>
        <w:top w:val="none" w:sz="0" w:space="0" w:color="auto"/>
        <w:left w:val="none" w:sz="0" w:space="0" w:color="auto"/>
        <w:bottom w:val="none" w:sz="0" w:space="0" w:color="auto"/>
        <w:right w:val="none" w:sz="0" w:space="0" w:color="auto"/>
      </w:divBdr>
    </w:div>
    <w:div w:id="2078817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17.xml"/><Relationship Id="rId42" Type="http://schemas.openxmlformats.org/officeDocument/2006/relationships/header" Target="header6.xml"/><Relationship Id="rId63" Type="http://schemas.openxmlformats.org/officeDocument/2006/relationships/chart" Target="charts/chart23.xml"/><Relationship Id="rId84" Type="http://schemas.openxmlformats.org/officeDocument/2006/relationships/header" Target="header9.xml"/><Relationship Id="rId138" Type="http://schemas.openxmlformats.org/officeDocument/2006/relationships/header" Target="header28.xml"/><Relationship Id="rId159" Type="http://schemas.openxmlformats.org/officeDocument/2006/relationships/footer" Target="footer38.xml"/><Relationship Id="rId170" Type="http://schemas.openxmlformats.org/officeDocument/2006/relationships/footer" Target="footer44.xml"/><Relationship Id="rId191" Type="http://schemas.openxmlformats.org/officeDocument/2006/relationships/header" Target="header49.xml"/><Relationship Id="rId205" Type="http://schemas.openxmlformats.org/officeDocument/2006/relationships/header" Target="header53.xml"/><Relationship Id="rId226" Type="http://schemas.openxmlformats.org/officeDocument/2006/relationships/footer" Target="footer60.xml"/><Relationship Id="rId107" Type="http://schemas.openxmlformats.org/officeDocument/2006/relationships/chart" Target="charts/chart57.xml"/><Relationship Id="rId11" Type="http://schemas.openxmlformats.org/officeDocument/2006/relationships/footer" Target="footer3.xml"/><Relationship Id="rId32" Type="http://schemas.openxmlformats.org/officeDocument/2006/relationships/chart" Target="charts/chart2.xml"/><Relationship Id="rId53" Type="http://schemas.openxmlformats.org/officeDocument/2006/relationships/chart" Target="charts/chart13.xml"/><Relationship Id="rId74" Type="http://schemas.openxmlformats.org/officeDocument/2006/relationships/chart" Target="charts/chart33.xml"/><Relationship Id="rId128" Type="http://schemas.openxmlformats.org/officeDocument/2006/relationships/header" Target="header24.xml"/><Relationship Id="rId149" Type="http://schemas.openxmlformats.org/officeDocument/2006/relationships/chart" Target="charts/chart61.xml"/><Relationship Id="rId5" Type="http://schemas.openxmlformats.org/officeDocument/2006/relationships/webSettings" Target="webSettings.xml"/><Relationship Id="rId95" Type="http://schemas.openxmlformats.org/officeDocument/2006/relationships/chart" Target="charts/chart46.xml"/><Relationship Id="rId160" Type="http://schemas.openxmlformats.org/officeDocument/2006/relationships/footer" Target="footer39.xml"/><Relationship Id="rId181" Type="http://schemas.openxmlformats.org/officeDocument/2006/relationships/footer" Target="footer49.xml"/><Relationship Id="rId216" Type="http://schemas.openxmlformats.org/officeDocument/2006/relationships/image" Target="media/image10.emf"/><Relationship Id="rId43" Type="http://schemas.openxmlformats.org/officeDocument/2006/relationships/footer" Target="footer11.xml"/><Relationship Id="rId64" Type="http://schemas.openxmlformats.org/officeDocument/2006/relationships/image" Target="media/image2.png"/><Relationship Id="rId118" Type="http://schemas.openxmlformats.org/officeDocument/2006/relationships/header" Target="header18.xml"/><Relationship Id="rId139" Type="http://schemas.openxmlformats.org/officeDocument/2006/relationships/header" Target="header29.xml"/><Relationship Id="rId85" Type="http://schemas.openxmlformats.org/officeDocument/2006/relationships/chart" Target="charts/chart42.xml"/><Relationship Id="rId150" Type="http://schemas.openxmlformats.org/officeDocument/2006/relationships/header" Target="header33.xml"/><Relationship Id="rId171" Type="http://schemas.openxmlformats.org/officeDocument/2006/relationships/footer" Target="footer45.xml"/><Relationship Id="rId192" Type="http://schemas.openxmlformats.org/officeDocument/2006/relationships/footer" Target="footer52.xml"/><Relationship Id="rId206" Type="http://schemas.openxmlformats.org/officeDocument/2006/relationships/header" Target="header54.xml"/><Relationship Id="rId227" Type="http://schemas.openxmlformats.org/officeDocument/2006/relationships/chart" Target="charts/chart75.xml"/><Relationship Id="rId12" Type="http://schemas.openxmlformats.org/officeDocument/2006/relationships/header" Target="header2.xml"/><Relationship Id="rId33" Type="http://schemas.openxmlformats.org/officeDocument/2006/relationships/chart" Target="charts/chart3.xml"/><Relationship Id="rId108" Type="http://schemas.openxmlformats.org/officeDocument/2006/relationships/footer" Target="footer17.xml"/><Relationship Id="rId129" Type="http://schemas.openxmlformats.org/officeDocument/2006/relationships/footer" Target="footer26.xml"/><Relationship Id="rId54" Type="http://schemas.openxmlformats.org/officeDocument/2006/relationships/chart" Target="charts/chart14.xml"/><Relationship Id="rId75" Type="http://schemas.openxmlformats.org/officeDocument/2006/relationships/chart" Target="charts/chart34.xml"/><Relationship Id="rId96" Type="http://schemas.openxmlformats.org/officeDocument/2006/relationships/chart" Target="charts/chart47.xml"/><Relationship Id="rId140" Type="http://schemas.openxmlformats.org/officeDocument/2006/relationships/footer" Target="footer30.xml"/><Relationship Id="rId161" Type="http://schemas.openxmlformats.org/officeDocument/2006/relationships/header" Target="header38.xml"/><Relationship Id="rId182" Type="http://schemas.openxmlformats.org/officeDocument/2006/relationships/header" Target="header46.xml"/><Relationship Id="rId217" Type="http://schemas.openxmlformats.org/officeDocument/2006/relationships/image" Target="media/image11.emf"/><Relationship Id="rId6" Type="http://schemas.openxmlformats.org/officeDocument/2006/relationships/footnotes" Target="footnotes.xml"/><Relationship Id="rId119" Type="http://schemas.openxmlformats.org/officeDocument/2006/relationships/header" Target="header19.xml"/><Relationship Id="rId44" Type="http://schemas.openxmlformats.org/officeDocument/2006/relationships/header" Target="header7.xml"/><Relationship Id="rId65" Type="http://schemas.openxmlformats.org/officeDocument/2006/relationships/chart" Target="charts/chart24.xml"/><Relationship Id="rId86" Type="http://schemas.openxmlformats.org/officeDocument/2006/relationships/chart" Target="charts/chart43.xml"/><Relationship Id="rId130" Type="http://schemas.openxmlformats.org/officeDocument/2006/relationships/footer" Target="footer27.xml"/><Relationship Id="rId151" Type="http://schemas.openxmlformats.org/officeDocument/2006/relationships/header" Target="header34.xml"/><Relationship Id="rId172" Type="http://schemas.openxmlformats.org/officeDocument/2006/relationships/header" Target="header42.xml"/><Relationship Id="rId193" Type="http://schemas.openxmlformats.org/officeDocument/2006/relationships/footer" Target="footer53.xml"/><Relationship Id="rId207" Type="http://schemas.openxmlformats.org/officeDocument/2006/relationships/footer" Target="footer56.xml"/><Relationship Id="rId228" Type="http://schemas.openxmlformats.org/officeDocument/2006/relationships/chart" Target="charts/chart76.xml"/><Relationship Id="rId13" Type="http://schemas.openxmlformats.org/officeDocument/2006/relationships/footer" Target="footer4.xml"/><Relationship Id="rId109" Type="http://schemas.openxmlformats.org/officeDocument/2006/relationships/header" Target="header13.xml"/><Relationship Id="rId34" Type="http://schemas.openxmlformats.org/officeDocument/2006/relationships/image" Target="media/image1.png"/><Relationship Id="rId55" Type="http://schemas.openxmlformats.org/officeDocument/2006/relationships/chart" Target="charts/chart15.xml"/><Relationship Id="rId76" Type="http://schemas.openxmlformats.org/officeDocument/2006/relationships/chart" Target="charts/chart35.xml"/><Relationship Id="rId97" Type="http://schemas.openxmlformats.org/officeDocument/2006/relationships/chart" Target="charts/chart48.xml"/><Relationship Id="rId120" Type="http://schemas.openxmlformats.org/officeDocument/2006/relationships/footer" Target="footer22.xml"/><Relationship Id="rId141" Type="http://schemas.openxmlformats.org/officeDocument/2006/relationships/footer" Target="footer31.xml"/><Relationship Id="rId7" Type="http://schemas.openxmlformats.org/officeDocument/2006/relationships/endnotes" Target="endnotes.xml"/><Relationship Id="rId162" Type="http://schemas.openxmlformats.org/officeDocument/2006/relationships/chart" Target="charts/chart62.xml"/><Relationship Id="rId183" Type="http://schemas.openxmlformats.org/officeDocument/2006/relationships/header" Target="header47.xml"/><Relationship Id="rId218" Type="http://schemas.openxmlformats.org/officeDocument/2006/relationships/image" Target="media/image12.emf"/><Relationship Id="rId45" Type="http://schemas.openxmlformats.org/officeDocument/2006/relationships/footer" Target="footer12.xml"/><Relationship Id="rId66" Type="http://schemas.openxmlformats.org/officeDocument/2006/relationships/chart" Target="charts/chart25.xml"/><Relationship Id="rId87" Type="http://schemas.openxmlformats.org/officeDocument/2006/relationships/chart" Target="charts/chart44.xml"/><Relationship Id="rId110" Type="http://schemas.openxmlformats.org/officeDocument/2006/relationships/footer" Target="footer18.xml"/><Relationship Id="rId131" Type="http://schemas.openxmlformats.org/officeDocument/2006/relationships/chart" Target="charts/chart58.xml"/><Relationship Id="rId152" Type="http://schemas.openxmlformats.org/officeDocument/2006/relationships/footer" Target="footer34.xml"/><Relationship Id="rId173" Type="http://schemas.openxmlformats.org/officeDocument/2006/relationships/header" Target="header43.xml"/><Relationship Id="rId194" Type="http://schemas.openxmlformats.org/officeDocument/2006/relationships/header" Target="header50.xml"/><Relationship Id="rId208" Type="http://schemas.openxmlformats.org/officeDocument/2006/relationships/footer" Target="footer57.xml"/><Relationship Id="rId229" Type="http://schemas.openxmlformats.org/officeDocument/2006/relationships/chart" Target="charts/chart77.xml"/><Relationship Id="rId35" Type="http://schemas.openxmlformats.org/officeDocument/2006/relationships/footer" Target="footer8.xml"/><Relationship Id="rId56" Type="http://schemas.openxmlformats.org/officeDocument/2006/relationships/chart" Target="charts/chart16.xml"/><Relationship Id="rId77" Type="http://schemas.openxmlformats.org/officeDocument/2006/relationships/chart" Target="charts/chart36.xml"/><Relationship Id="rId100" Type="http://schemas.openxmlformats.org/officeDocument/2006/relationships/chart" Target="charts/chart51.xml"/><Relationship Id="rId8" Type="http://schemas.openxmlformats.org/officeDocument/2006/relationships/footer" Target="footer1.xml"/><Relationship Id="rId51" Type="http://schemas.openxmlformats.org/officeDocument/2006/relationships/chart" Target="charts/chart11.xml"/><Relationship Id="rId72" Type="http://schemas.openxmlformats.org/officeDocument/2006/relationships/chart" Target="charts/chart31.xml"/><Relationship Id="rId93" Type="http://schemas.openxmlformats.org/officeDocument/2006/relationships/header" Target="header12.xml"/><Relationship Id="rId98" Type="http://schemas.openxmlformats.org/officeDocument/2006/relationships/chart" Target="charts/chart49.xml"/><Relationship Id="rId121" Type="http://schemas.openxmlformats.org/officeDocument/2006/relationships/footer" Target="footer23.xml"/><Relationship Id="rId142" Type="http://schemas.openxmlformats.org/officeDocument/2006/relationships/header" Target="header30.xml"/><Relationship Id="rId163" Type="http://schemas.openxmlformats.org/officeDocument/2006/relationships/footer" Target="footer40.xml"/><Relationship Id="rId184" Type="http://schemas.openxmlformats.org/officeDocument/2006/relationships/footer" Target="footer50.xml"/><Relationship Id="rId189" Type="http://schemas.openxmlformats.org/officeDocument/2006/relationships/image" Target="media/image6.png"/><Relationship Id="rId219" Type="http://schemas.openxmlformats.org/officeDocument/2006/relationships/image" Target="media/image13.emf"/><Relationship Id="rId3" Type="http://schemas.openxmlformats.org/officeDocument/2006/relationships/styles" Target="styles.xml"/><Relationship Id="rId214" Type="http://schemas.openxmlformats.org/officeDocument/2006/relationships/image" Target="media/image8.emf"/><Relationship Id="rId230" Type="http://schemas.openxmlformats.org/officeDocument/2006/relationships/image" Target="media/image17.emf"/><Relationship Id="rId25" Type="http://schemas.openxmlformats.org/officeDocument/2006/relationships/image" Target="media/image2.gif"/><Relationship Id="rId46" Type="http://schemas.openxmlformats.org/officeDocument/2006/relationships/header" Target="header8.xml"/><Relationship Id="rId67" Type="http://schemas.openxmlformats.org/officeDocument/2006/relationships/chart" Target="charts/chart26.xml"/><Relationship Id="rId116" Type="http://schemas.openxmlformats.org/officeDocument/2006/relationships/footer" Target="footer21.xml"/><Relationship Id="rId137" Type="http://schemas.openxmlformats.org/officeDocument/2006/relationships/header" Target="header27.xml"/><Relationship Id="rId158" Type="http://schemas.openxmlformats.org/officeDocument/2006/relationships/header" Target="header37.xml"/><Relationship Id="rId41" Type="http://schemas.openxmlformats.org/officeDocument/2006/relationships/footer" Target="footer10.xml"/><Relationship Id="rId62" Type="http://schemas.openxmlformats.org/officeDocument/2006/relationships/chart" Target="charts/chart22.xml"/><Relationship Id="rId83" Type="http://schemas.openxmlformats.org/officeDocument/2006/relationships/footer" Target="footer13.xml"/><Relationship Id="rId88" Type="http://schemas.openxmlformats.org/officeDocument/2006/relationships/chart" Target="charts/chart45.xml"/><Relationship Id="rId111" Type="http://schemas.openxmlformats.org/officeDocument/2006/relationships/footer" Target="footer19.xml"/><Relationship Id="rId132" Type="http://schemas.openxmlformats.org/officeDocument/2006/relationships/image" Target="media/image3.png"/><Relationship Id="rId153" Type="http://schemas.openxmlformats.org/officeDocument/2006/relationships/footer" Target="footer35.xml"/><Relationship Id="rId174" Type="http://schemas.openxmlformats.org/officeDocument/2006/relationships/footer" Target="footer46.xml"/><Relationship Id="rId179" Type="http://schemas.openxmlformats.org/officeDocument/2006/relationships/header" Target="header45.xml"/><Relationship Id="rId195" Type="http://schemas.openxmlformats.org/officeDocument/2006/relationships/chart" Target="charts/chart66.xml"/><Relationship Id="rId209" Type="http://schemas.openxmlformats.org/officeDocument/2006/relationships/header" Target="header55.xml"/><Relationship Id="rId190" Type="http://schemas.openxmlformats.org/officeDocument/2006/relationships/chart" Target="charts/chart65.xml"/><Relationship Id="rId204" Type="http://schemas.openxmlformats.org/officeDocument/2006/relationships/chart" Target="charts/chart71.xml"/><Relationship Id="rId220" Type="http://schemas.openxmlformats.org/officeDocument/2006/relationships/image" Target="media/image14.emf"/><Relationship Id="rId225" Type="http://schemas.openxmlformats.org/officeDocument/2006/relationships/footer" Target="footer59.xml"/><Relationship Id="rId36" Type="http://schemas.openxmlformats.org/officeDocument/2006/relationships/chart" Target="charts/chart4.xml"/><Relationship Id="rId57" Type="http://schemas.openxmlformats.org/officeDocument/2006/relationships/chart" Target="charts/chart17.xml"/><Relationship Id="rId106" Type="http://schemas.openxmlformats.org/officeDocument/2006/relationships/chart" Target="charts/chart56.xml"/><Relationship Id="rId127" Type="http://schemas.openxmlformats.org/officeDocument/2006/relationships/header" Target="header23.xml"/><Relationship Id="rId10" Type="http://schemas.openxmlformats.org/officeDocument/2006/relationships/header" Target="header1.xml"/><Relationship Id="rId31" Type="http://schemas.openxmlformats.org/officeDocument/2006/relationships/chart" Target="charts/chart1.xml"/><Relationship Id="rId52" Type="http://schemas.openxmlformats.org/officeDocument/2006/relationships/chart" Target="charts/chart12.xml"/><Relationship Id="rId73" Type="http://schemas.openxmlformats.org/officeDocument/2006/relationships/chart" Target="charts/chart32.xml"/><Relationship Id="rId78" Type="http://schemas.openxmlformats.org/officeDocument/2006/relationships/chart" Target="charts/chart37.xml"/><Relationship Id="rId94" Type="http://schemas.openxmlformats.org/officeDocument/2006/relationships/footer" Target="footer16.xml"/><Relationship Id="rId99" Type="http://schemas.openxmlformats.org/officeDocument/2006/relationships/chart" Target="charts/chart50.xml"/><Relationship Id="rId101" Type="http://schemas.openxmlformats.org/officeDocument/2006/relationships/chart" Target="charts/chart52.xml"/><Relationship Id="rId122" Type="http://schemas.openxmlformats.org/officeDocument/2006/relationships/header" Target="header20.xml"/><Relationship Id="rId143" Type="http://schemas.openxmlformats.org/officeDocument/2006/relationships/header" Target="header31.xml"/><Relationship Id="rId148" Type="http://schemas.openxmlformats.org/officeDocument/2006/relationships/chart" Target="charts/chart60.xml"/><Relationship Id="rId164" Type="http://schemas.openxmlformats.org/officeDocument/2006/relationships/footer" Target="footer41.xml"/><Relationship Id="rId169" Type="http://schemas.openxmlformats.org/officeDocument/2006/relationships/header" Target="header41.xml"/><Relationship Id="rId185" Type="http://schemas.openxmlformats.org/officeDocument/2006/relationships/footer" Target="footer51.xml"/><Relationship Id="rId4" Type="http://schemas.openxmlformats.org/officeDocument/2006/relationships/settings" Target="settings.xml"/><Relationship Id="rId9" Type="http://schemas.openxmlformats.org/officeDocument/2006/relationships/footer" Target="footer2.xml"/><Relationship Id="rId180" Type="http://schemas.openxmlformats.org/officeDocument/2006/relationships/footer" Target="footer48.xml"/><Relationship Id="rId210" Type="http://schemas.openxmlformats.org/officeDocument/2006/relationships/chart" Target="charts/chart72.xml"/><Relationship Id="rId215" Type="http://schemas.openxmlformats.org/officeDocument/2006/relationships/image" Target="media/image9.emf"/><Relationship Id="rId26" Type="http://schemas.openxmlformats.org/officeDocument/2006/relationships/header" Target="header3.xml"/><Relationship Id="rId231" Type="http://schemas.openxmlformats.org/officeDocument/2006/relationships/image" Target="media/image18.emf"/><Relationship Id="rId47" Type="http://schemas.openxmlformats.org/officeDocument/2006/relationships/chart" Target="charts/chart7.xml"/><Relationship Id="rId68" Type="http://schemas.openxmlformats.org/officeDocument/2006/relationships/chart" Target="charts/chart27.xml"/><Relationship Id="rId89" Type="http://schemas.openxmlformats.org/officeDocument/2006/relationships/header" Target="header10.xml"/><Relationship Id="rId112" Type="http://schemas.openxmlformats.org/officeDocument/2006/relationships/header" Target="header14.xml"/><Relationship Id="rId133" Type="http://schemas.openxmlformats.org/officeDocument/2006/relationships/header" Target="header25.xml"/><Relationship Id="rId154" Type="http://schemas.openxmlformats.org/officeDocument/2006/relationships/header" Target="header35.xml"/><Relationship Id="rId175" Type="http://schemas.openxmlformats.org/officeDocument/2006/relationships/footer" Target="footer47.xml"/><Relationship Id="rId196" Type="http://schemas.openxmlformats.org/officeDocument/2006/relationships/chart" Target="charts/chart67.xml"/><Relationship Id="rId200" Type="http://schemas.openxmlformats.org/officeDocument/2006/relationships/footer" Target="footer55.xml"/><Relationship Id="rId221" Type="http://schemas.openxmlformats.org/officeDocument/2006/relationships/image" Target="media/image15.emf"/><Relationship Id="rId37" Type="http://schemas.openxmlformats.org/officeDocument/2006/relationships/chart" Target="charts/chart5.xml"/><Relationship Id="rId58" Type="http://schemas.openxmlformats.org/officeDocument/2006/relationships/chart" Target="charts/chart18.xml"/><Relationship Id="rId79" Type="http://schemas.openxmlformats.org/officeDocument/2006/relationships/chart" Target="charts/chart38.xml"/><Relationship Id="rId102" Type="http://schemas.openxmlformats.org/officeDocument/2006/relationships/chart" Target="charts/chart53.xml"/><Relationship Id="rId123" Type="http://schemas.openxmlformats.org/officeDocument/2006/relationships/header" Target="header21.xml"/><Relationship Id="rId144" Type="http://schemas.openxmlformats.org/officeDocument/2006/relationships/footer" Target="footer32.xml"/><Relationship Id="rId90" Type="http://schemas.openxmlformats.org/officeDocument/2006/relationships/header" Target="header11.xml"/><Relationship Id="rId165" Type="http://schemas.openxmlformats.org/officeDocument/2006/relationships/header" Target="header39.xml"/><Relationship Id="rId186" Type="http://schemas.openxmlformats.org/officeDocument/2006/relationships/header" Target="header48.xml"/><Relationship Id="rId211" Type="http://schemas.openxmlformats.org/officeDocument/2006/relationships/chart" Target="charts/chart73.xml"/><Relationship Id="rId232" Type="http://schemas.openxmlformats.org/officeDocument/2006/relationships/fontTable" Target="fontTable.xml"/><Relationship Id="rId27" Type="http://schemas.openxmlformats.org/officeDocument/2006/relationships/header" Target="header4.xml"/><Relationship Id="rId48" Type="http://schemas.openxmlformats.org/officeDocument/2006/relationships/chart" Target="charts/chart8.xml"/><Relationship Id="rId69" Type="http://schemas.openxmlformats.org/officeDocument/2006/relationships/chart" Target="charts/chart28.xml"/><Relationship Id="rId113" Type="http://schemas.openxmlformats.org/officeDocument/2006/relationships/header" Target="header15.xml"/><Relationship Id="rId134" Type="http://schemas.openxmlformats.org/officeDocument/2006/relationships/header" Target="header26.xml"/><Relationship Id="rId80" Type="http://schemas.openxmlformats.org/officeDocument/2006/relationships/chart" Target="charts/chart39.xml"/><Relationship Id="rId155" Type="http://schemas.openxmlformats.org/officeDocument/2006/relationships/header" Target="header36.xml"/><Relationship Id="rId176" Type="http://schemas.openxmlformats.org/officeDocument/2006/relationships/header" Target="header44.xml"/><Relationship Id="rId197" Type="http://schemas.openxmlformats.org/officeDocument/2006/relationships/chart" Target="charts/chart68.xml"/><Relationship Id="rId201" Type="http://schemas.openxmlformats.org/officeDocument/2006/relationships/header" Target="header52.xml"/><Relationship Id="rId222" Type="http://schemas.openxmlformats.org/officeDocument/2006/relationships/image" Target="media/image16.emf"/><Relationship Id="rId38" Type="http://schemas.openxmlformats.org/officeDocument/2006/relationships/chart" Target="charts/chart6.xml"/><Relationship Id="rId59" Type="http://schemas.openxmlformats.org/officeDocument/2006/relationships/chart" Target="charts/chart19.xml"/><Relationship Id="rId103" Type="http://schemas.openxmlformats.org/officeDocument/2006/relationships/image" Target="media/image4.gif"/><Relationship Id="rId124" Type="http://schemas.openxmlformats.org/officeDocument/2006/relationships/footer" Target="footer24.xml"/><Relationship Id="rId70" Type="http://schemas.openxmlformats.org/officeDocument/2006/relationships/chart" Target="charts/chart29.xml"/><Relationship Id="rId91" Type="http://schemas.openxmlformats.org/officeDocument/2006/relationships/footer" Target="footer14.xml"/><Relationship Id="rId145" Type="http://schemas.openxmlformats.org/officeDocument/2006/relationships/footer" Target="footer33.xml"/><Relationship Id="rId166" Type="http://schemas.openxmlformats.org/officeDocument/2006/relationships/footer" Target="footer42.xml"/><Relationship Id="rId187" Type="http://schemas.openxmlformats.org/officeDocument/2006/relationships/chart" Target="charts/chart64.xml"/><Relationship Id="rId1" Type="http://schemas.openxmlformats.org/officeDocument/2006/relationships/customXml" Target="../customXml/item1.xml"/><Relationship Id="rId212" Type="http://schemas.openxmlformats.org/officeDocument/2006/relationships/chart" Target="charts/chart74.xml"/><Relationship Id="rId233" Type="http://schemas.openxmlformats.org/officeDocument/2006/relationships/theme" Target="theme/theme1.xml"/><Relationship Id="rId28" Type="http://schemas.openxmlformats.org/officeDocument/2006/relationships/footer" Target="footer5.xml"/><Relationship Id="rId49" Type="http://schemas.openxmlformats.org/officeDocument/2006/relationships/chart" Target="charts/chart9.xml"/><Relationship Id="rId114" Type="http://schemas.openxmlformats.org/officeDocument/2006/relationships/header" Target="header16.xml"/><Relationship Id="rId60" Type="http://schemas.openxmlformats.org/officeDocument/2006/relationships/chart" Target="charts/chart20.xml"/><Relationship Id="rId81" Type="http://schemas.openxmlformats.org/officeDocument/2006/relationships/chart" Target="charts/chart40.xml"/><Relationship Id="rId135" Type="http://schemas.openxmlformats.org/officeDocument/2006/relationships/footer" Target="footer28.xml"/><Relationship Id="rId156" Type="http://schemas.openxmlformats.org/officeDocument/2006/relationships/footer" Target="footer36.xml"/><Relationship Id="rId177" Type="http://schemas.openxmlformats.org/officeDocument/2006/relationships/image" Target="media/image4.png"/><Relationship Id="rId198" Type="http://schemas.openxmlformats.org/officeDocument/2006/relationships/header" Target="header51.xml"/><Relationship Id="rId202" Type="http://schemas.openxmlformats.org/officeDocument/2006/relationships/chart" Target="charts/chart69.xml"/><Relationship Id="rId223" Type="http://schemas.openxmlformats.org/officeDocument/2006/relationships/header" Target="header56.xml"/><Relationship Id="rId39" Type="http://schemas.openxmlformats.org/officeDocument/2006/relationships/header" Target="header5.xml"/><Relationship Id="rId50" Type="http://schemas.openxmlformats.org/officeDocument/2006/relationships/chart" Target="charts/chart10.xml"/><Relationship Id="rId104" Type="http://schemas.openxmlformats.org/officeDocument/2006/relationships/chart" Target="charts/chart54.xml"/><Relationship Id="rId125" Type="http://schemas.openxmlformats.org/officeDocument/2006/relationships/header" Target="header22.xml"/><Relationship Id="rId146" Type="http://schemas.openxmlformats.org/officeDocument/2006/relationships/header" Target="header32.xml"/><Relationship Id="rId167" Type="http://schemas.openxmlformats.org/officeDocument/2006/relationships/header" Target="header40.xml"/><Relationship Id="rId188" Type="http://schemas.openxmlformats.org/officeDocument/2006/relationships/image" Target="media/image5.png"/><Relationship Id="rId71" Type="http://schemas.openxmlformats.org/officeDocument/2006/relationships/chart" Target="charts/chart30.xml"/><Relationship Id="rId92" Type="http://schemas.openxmlformats.org/officeDocument/2006/relationships/footer" Target="footer15.xml"/><Relationship Id="rId213" Type="http://schemas.openxmlformats.org/officeDocument/2006/relationships/image" Target="media/image7.emf"/><Relationship Id="rId2" Type="http://schemas.openxmlformats.org/officeDocument/2006/relationships/numbering" Target="numbering.xml"/><Relationship Id="rId29" Type="http://schemas.openxmlformats.org/officeDocument/2006/relationships/footer" Target="footer6.xml"/><Relationship Id="rId40" Type="http://schemas.openxmlformats.org/officeDocument/2006/relationships/footer" Target="footer9.xml"/><Relationship Id="rId115" Type="http://schemas.openxmlformats.org/officeDocument/2006/relationships/footer" Target="footer20.xml"/><Relationship Id="rId136" Type="http://schemas.openxmlformats.org/officeDocument/2006/relationships/footer" Target="footer29.xml"/><Relationship Id="rId157" Type="http://schemas.openxmlformats.org/officeDocument/2006/relationships/footer" Target="footer37.xml"/><Relationship Id="rId178" Type="http://schemas.openxmlformats.org/officeDocument/2006/relationships/chart" Target="charts/chart63.xml"/><Relationship Id="rId61" Type="http://schemas.openxmlformats.org/officeDocument/2006/relationships/chart" Target="charts/chart21.xml"/><Relationship Id="rId82" Type="http://schemas.openxmlformats.org/officeDocument/2006/relationships/chart" Target="charts/chart41.xml"/><Relationship Id="rId199" Type="http://schemas.openxmlformats.org/officeDocument/2006/relationships/footer" Target="footer54.xml"/><Relationship Id="rId203" Type="http://schemas.openxmlformats.org/officeDocument/2006/relationships/chart" Target="charts/chart70.xml"/><Relationship Id="rId224" Type="http://schemas.openxmlformats.org/officeDocument/2006/relationships/footer" Target="footer58.xml"/><Relationship Id="rId30" Type="http://schemas.openxmlformats.org/officeDocument/2006/relationships/footer" Target="footer7.xml"/><Relationship Id="rId105" Type="http://schemas.openxmlformats.org/officeDocument/2006/relationships/chart" Target="charts/chart55.xml"/><Relationship Id="rId126" Type="http://schemas.openxmlformats.org/officeDocument/2006/relationships/footer" Target="footer25.xml"/><Relationship Id="rId147" Type="http://schemas.openxmlformats.org/officeDocument/2006/relationships/chart" Target="charts/chart59.xml"/><Relationship Id="rId168" Type="http://schemas.openxmlformats.org/officeDocument/2006/relationships/footer" Target="footer43.xml"/></Relationships>
</file>

<file path=word/_rels/footnotes.xml.rels><?xml version="1.0" encoding="UTF-8" standalone="yes"?>
<Relationships xmlns="http://schemas.openxmlformats.org/package/2006/relationships"><Relationship Id="rId2" Type="http://schemas.openxmlformats.org/officeDocument/2006/relationships/hyperlink" Target="https://www.mfin.gov.rs//upload/media/jzsbpL_601ab1585ca02.pdf" TargetMode="External"/><Relationship Id="rId1" Type="http://schemas.openxmlformats.org/officeDocument/2006/relationships/hyperlink" Target="https://www.mfin.gov.rs//upload/media/ZzkTpV_601696edb3a9a.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sara.radulovic\Dropbox\Makro%20sektor\6.2.%20Fiskalna%202025-2027\Makro%20radni%20fajlovi\GRAFIKONI_MAKRO_maj24.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sara.radulovic\Dropbox\Makro%20sektor\6.2.%20Fiskalna%202025-2027\Makro%20radni%20fajlovi\GRAFIKONI_MAKRO_maj24.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sara.radulovic\Dropbox\Makro%20sektor\6.2.%20Fiskalna%202025-2027\Makro%20radni%20fajlovi\GRAFIKONI_MAKRO_maj24.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C:\Users\sara.radulovic\Dropbox\Makro%20sektor\6.2.%20Fiskalna%202025-2027\Makro%20radni%20fajlovi\GRAFIKONI_MAKRO_maj24.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sara.radulovic\Dropbox\Makro%20sektor\6.2.%20Fiskalna%202025-2027\Makro%20radni%20fajlovi\GRAFIKONI_MAKRO_maj24.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1.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sara.radulovic\Dropbox\Makro%20sektor\6.2.%20Fiskalna%202025-2027\Makro%20radni%20fajlovi\GRAFIKONI_MAKRO_maj24.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7.xml"/><Relationship Id="rId1" Type="http://schemas.microsoft.com/office/2011/relationships/chartStyle" Target="style7.xml"/><Relationship Id="rId5" Type="http://schemas.openxmlformats.org/officeDocument/2006/relationships/chartUserShapes" Target="../drawings/drawing2.xml"/><Relationship Id="rId4" Type="http://schemas.openxmlformats.org/officeDocument/2006/relationships/oleObject" Target="file:///C:\Users\jovana.djeric\Dropbox\Makro%20sektor\6.2.%20Fiskalna%202025-2027\Makro%20radni%20fajlovi\GRAFIKONI_MAKRO_maj24.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5" Type="http://schemas.openxmlformats.org/officeDocument/2006/relationships/chartUserShapes" Target="../drawings/drawing3.xml"/><Relationship Id="rId4" Type="http://schemas.openxmlformats.org/officeDocument/2006/relationships/oleObject" Target="file:///C:\Users\jovana.djeric\Dropbox\Makro%20sektor\6.2.%20Fiskalna%202025-2027\Makro%20radni%20fajlovi\GRAFIKONI_MAKRO_maj24.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4.xml"/><Relationship Id="rId4" Type="http://schemas.openxmlformats.org/officeDocument/2006/relationships/oleObject" Target="file:///C:\Users\jovana.djeric\Dropbox\Makro%20sektor\6.2.%20Fiskalna%202025-2027\Makro%20radni%20fajlovi\GRAFIKONI_MAKRO_maj24.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5.xml"/><Relationship Id="rId4" Type="http://schemas.openxmlformats.org/officeDocument/2006/relationships/oleObject" Target="file:///C:\Users\jovana.djeric\Dropbox\Makro%20sektor\6.2.%20Fiskalna%202025-2027\Makro%20radni%20fajlovi\GRAFIKONI_MAKRO_maj24.xlsx" TargetMode="Externa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jovana.djeric\Dropbox\Makro%20sektor\6.2.%20Fiskalna%202025-2027\Makro%20radni%20fajlovi\GRAFIKONI_MAKRO_maj24.xlsx" TargetMode="External"/><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jovana.djeric\Dropbox\Makro%20sektor\6.2.%20Fiskalna%202025-2027\Makro%20radni%20fajlovi\GRAFIKONI_MAKRO_maj24.xlsx" TargetMode="External"/><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8.xml"/><Relationship Id="rId4" Type="http://schemas.openxmlformats.org/officeDocument/2006/relationships/oleObject" Target="file:///C:\Users\jovana.djeric\Dropbox\Makro%20sektor\6.2.%20Fiskalna%202025-2027\Makro%20radni%20fajlovi\GRAFIKONI_MAKRO_maj24.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9.xml"/><Relationship Id="rId4" Type="http://schemas.openxmlformats.org/officeDocument/2006/relationships/oleObject" Target="file:///C:\Users\jovana.djeric\Dropbox\Makro%20sektor\6.2.%20Fiskalna%202025-2027\Makro%20radni%20fajlovi\GRAFIKONI_MAKRO_maj24.xlsx" TargetMode="Externa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jovana.djeric\Dropbox\Makro%20sektor\6.2.%20Fiskalna%202025-2027\Makro%20radni%20fajlovi\GRAFIKONI_MAKRO_maj24.xlsx" TargetMode="External"/><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jovana.djeric\Dropbox\Makro%20sektor\6.2.%20Fiskalna%202025-2027\Makro%20radni%20fajlovi\GRAFIKONI_MAKRO_maj24.xlsx" TargetMode="External"/><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C:\Users\jovana.djeric\Dropbox\Makro%20sektor\6.2.%20Fiskalna%202025-2027\Makro%20radni%20fajlovi\GRAFIKONI_MAKRO_maj24.xlsx"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C:\Users\jovana.djeric\Dropbox\Makro%20sektor\6.2.%20Fiskalna%202025-2027\Makro%20radni%20fajlovi\GRAFIKONI_MAKRO_maj24.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C:\Users\rade.ciric\Dropbox\Makro%20sektor\6.2.%20Fiskalna%202025-2027\Makro%20radni%20fajlovi\GRAFIKONI_MAKRO_maj24.xlsx" TargetMode="External"/></Relationships>
</file>

<file path=word/charts/_rels/chart20.xml.rels><?xml version="1.0" encoding="UTF-8" standalone="yes"?>
<Relationships xmlns="http://schemas.openxmlformats.org/package/2006/relationships"><Relationship Id="rId2" Type="http://schemas.openxmlformats.org/officeDocument/2006/relationships/oleObject" Target="file:///C:\Users\rade.ciric\Dropbox\Makro%20sektor\6.2.%20Fiskalna%202025-2027\Makro%20radni%20fajlovi\GRAFIKONI_MAKRO_maj24.xlsx" TargetMode="External"/><Relationship Id="rId1" Type="http://schemas.openxmlformats.org/officeDocument/2006/relationships/themeOverride" Target="../theme/themeOverride17.xm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4.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25.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file:///C:\Users\jovana.djeric\Dropbox\Makro%20sektor\6.2.%20Fiskalna%202025-2027\Makro%20radni%20fajlovi\GRAFIKONI_MAKRO_maj24.xlsx" TargetMode="External"/></Relationships>
</file>

<file path=word/charts/_rels/chart29.xml.rels><?xml version="1.0" encoding="UTF-8" standalone="yes"?>
<Relationships xmlns="http://schemas.openxmlformats.org/package/2006/relationships"><Relationship Id="rId3" Type="http://schemas.openxmlformats.org/officeDocument/2006/relationships/themeOverride" Target="../theme/themeOverride26.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28.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2.xml.rels><?xml version="1.0" encoding="UTF-8" standalone="yes"?>
<Relationships xmlns="http://schemas.openxmlformats.org/package/2006/relationships"><Relationship Id="rId3" Type="http://schemas.openxmlformats.org/officeDocument/2006/relationships/themeOverride" Target="../theme/themeOverride29.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31.xml"/><Relationship Id="rId2" Type="http://schemas.microsoft.com/office/2011/relationships/chartColorStyle" Target="colors29.xml"/><Relationship Id="rId1" Type="http://schemas.microsoft.com/office/2011/relationships/chartStyle" Target="style29.xml"/><Relationship Id="rId5" Type="http://schemas.openxmlformats.org/officeDocument/2006/relationships/chartUserShapes" Target="../drawings/drawing12.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5.xml.rels><?xml version="1.0" encoding="UTF-8" standalone="yes"?>
<Relationships xmlns="http://schemas.openxmlformats.org/package/2006/relationships"><Relationship Id="rId3" Type="http://schemas.openxmlformats.org/officeDocument/2006/relationships/themeOverride" Target="../theme/themeOverride32.xm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6.xml.rels><?xml version="1.0" encoding="UTF-8" standalone="yes"?>
<Relationships xmlns="http://schemas.openxmlformats.org/package/2006/relationships"><Relationship Id="rId3" Type="http://schemas.openxmlformats.org/officeDocument/2006/relationships/themeOverride" Target="../theme/themeOverride33.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34.xm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35.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oleObject" Target="file:///C:\Users\jovana.djeric\Dropbox\Makro%20sektor\6.2.%20Fiskalna%202025-2027\Makro%20radni%20fajlovi\GRAFIKONI_MAKRO_maj24.xlsx" TargetMode="Externa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36.xml"/><Relationship Id="rId2" Type="http://schemas.microsoft.com/office/2011/relationships/chartColorStyle" Target="colors34.xml"/><Relationship Id="rId1" Type="http://schemas.microsoft.com/office/2011/relationships/chartStyle" Target="style34.xml"/><Relationship Id="rId4" Type="http://schemas.openxmlformats.org/officeDocument/2006/relationships/oleObject" Target="file:///C:\Users\jovana.djeric\Dropbox\Makro%20sektor\6.2.%20Fiskalna%202025-2027\Makro%20radni%20fajlovi\GRAFIKONI_MAKRO_maj24.xlsx" TargetMode="Externa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37.xml"/><Relationship Id="rId2" Type="http://schemas.microsoft.com/office/2011/relationships/chartColorStyle" Target="colors35.xml"/><Relationship Id="rId1" Type="http://schemas.microsoft.com/office/2011/relationships/chartStyle" Target="style35.xml"/><Relationship Id="rId4" Type="http://schemas.openxmlformats.org/officeDocument/2006/relationships/oleObject" Target="file:///C:\Users\jovana.djeric\Dropbox\Makro%20sektor\6.2.%20Fiskalna%202025-2027\Makro%20radni%20fajlovi\GRAFIKONI_MAKRO_maj24.xlsx" TargetMode="External"/></Relationships>
</file>

<file path=word/charts/_rels/chart41.xml.rels><?xml version="1.0" encoding="UTF-8" standalone="yes"?>
<Relationships xmlns="http://schemas.openxmlformats.org/package/2006/relationships"><Relationship Id="rId3" Type="http://schemas.openxmlformats.org/officeDocument/2006/relationships/oleObject" Target="file:///C:\Users\rade.ciric\Dropbox\Makro%20sektor\1.%20Baze%20makro\BDP\Projekcija\6.%20BDP%20(dynamic%20fan%20chart).xlsx" TargetMode="External"/><Relationship Id="rId2" Type="http://schemas.microsoft.com/office/2011/relationships/chartColorStyle" Target="colors36.xml"/><Relationship Id="rId1" Type="http://schemas.microsoft.com/office/2011/relationships/chartStyle" Target="style36.xml"/></Relationships>
</file>

<file path=word/charts/_rels/chart42.xml.rels><?xml version="1.0" encoding="UTF-8" standalone="yes"?>
<Relationships xmlns="http://schemas.openxmlformats.org/package/2006/relationships"><Relationship Id="rId3" Type="http://schemas.openxmlformats.org/officeDocument/2006/relationships/themeOverride" Target="../theme/themeOverride38.xml"/><Relationship Id="rId2" Type="http://schemas.microsoft.com/office/2011/relationships/chartColorStyle" Target="colors37.xml"/><Relationship Id="rId1" Type="http://schemas.microsoft.com/office/2011/relationships/chartStyle" Target="style37.xml"/><Relationship Id="rId5" Type="http://schemas.openxmlformats.org/officeDocument/2006/relationships/chartUserShapes" Target="../drawings/drawing13.xml"/><Relationship Id="rId4" Type="http://schemas.openxmlformats.org/officeDocument/2006/relationships/oleObject" Target="file:///C:\Users\jovana.djeric\Dropbox\Makro%20sektor\6.2.%20Fiskalna%202025-2027\Makro%20radni%20fajlovi\GRAFIKONI_MAKRO_maj24.xlsx" TargetMode="External"/></Relationships>
</file>

<file path=word/charts/_rels/chart43.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38.xml"/><Relationship Id="rId1" Type="http://schemas.microsoft.com/office/2011/relationships/chartStyle" Target="style38.xml"/><Relationship Id="rId5" Type="http://schemas.openxmlformats.org/officeDocument/2006/relationships/chartUserShapes" Target="../drawings/drawing14.xml"/><Relationship Id="rId4" Type="http://schemas.openxmlformats.org/officeDocument/2006/relationships/oleObject" Target="file:///C:\Users\jovana.djeric\Dropbox\Makro%20sektor\6.2.%20Fiskalna%202025-2027\Makro%20radni%20fajlovi\GRAFIKONI_MAKRO_maj24.xlsx" TargetMode="Externa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40.xml"/><Relationship Id="rId2" Type="http://schemas.microsoft.com/office/2011/relationships/chartColorStyle" Target="colors39.xml"/><Relationship Id="rId1" Type="http://schemas.microsoft.com/office/2011/relationships/chartStyle" Target="style39.xml"/><Relationship Id="rId4" Type="http://schemas.openxmlformats.org/officeDocument/2006/relationships/package" Target="../embeddings/Microsoft_Excel_Worksheet.xlsx"/></Relationships>
</file>

<file path=word/charts/_rels/chart45.xml.rels><?xml version="1.0" encoding="UTF-8" standalone="yes"?>
<Relationships xmlns="http://schemas.openxmlformats.org/package/2006/relationships"><Relationship Id="rId3" Type="http://schemas.openxmlformats.org/officeDocument/2006/relationships/themeOverride" Target="../theme/themeOverride41.xml"/><Relationship Id="rId2" Type="http://schemas.microsoft.com/office/2011/relationships/chartColorStyle" Target="colors40.xml"/><Relationship Id="rId1" Type="http://schemas.microsoft.com/office/2011/relationships/chartStyle" Target="style40.xml"/><Relationship Id="rId5" Type="http://schemas.openxmlformats.org/officeDocument/2006/relationships/chartUserShapes" Target="../drawings/drawing15.xml"/><Relationship Id="rId4" Type="http://schemas.openxmlformats.org/officeDocument/2006/relationships/oleObject" Target="file:///C:\Users\rade.ciric\Dropbox\Makro%20sektor\6.2.%20Fiskalna%202025-2027\Makro%20radni%20fajlovi\GRAFIKONI_MAKRO_maj24.xlsx" TargetMode="External"/></Relationships>
</file>

<file path=word/charts/_rels/chart46.xml.rels><?xml version="1.0" encoding="UTF-8" standalone="yes"?>
<Relationships xmlns="http://schemas.openxmlformats.org/package/2006/relationships"><Relationship Id="rId3" Type="http://schemas.openxmlformats.org/officeDocument/2006/relationships/themeOverride" Target="../theme/themeOverride42.xml"/><Relationship Id="rId2" Type="http://schemas.microsoft.com/office/2011/relationships/chartColorStyle" Target="colors41.xml"/><Relationship Id="rId1" Type="http://schemas.microsoft.com/office/2011/relationships/chartStyle" Target="style41.xml"/><Relationship Id="rId4" Type="http://schemas.openxmlformats.org/officeDocument/2006/relationships/oleObject" Target="file:///C:\Users\marko.lisica\Dropbox\Makro%20sektor\6.2.%20Fiskalna%202025-2027\Makro%20radni%20fajlovi\GRAFIKONI_MAKRO_maj24.xlsx" TargetMode="External"/></Relationships>
</file>

<file path=word/charts/_rels/chart47.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file:///C:\Users\marko.lisica\Dropbox\Makro%20sektor\6.2.%20Fiskalna%202025-2027\Makro%20radni%20fajlovi\GRAFIKONI_MAKRO_maj24.xlsx" TargetMode="External"/><Relationship Id="rId1" Type="http://schemas.openxmlformats.org/officeDocument/2006/relationships/themeOverride" Target="../theme/themeOverride43.xml"/></Relationships>
</file>

<file path=word/charts/_rels/chart48.xml.rels><?xml version="1.0" encoding="UTF-8" standalone="yes"?>
<Relationships xmlns="http://schemas.openxmlformats.org/package/2006/relationships"><Relationship Id="rId3" Type="http://schemas.openxmlformats.org/officeDocument/2006/relationships/themeOverride" Target="../theme/themeOverride44.xml"/><Relationship Id="rId2" Type="http://schemas.microsoft.com/office/2011/relationships/chartColorStyle" Target="colors42.xml"/><Relationship Id="rId1" Type="http://schemas.microsoft.com/office/2011/relationships/chartStyle" Target="style42.xml"/><Relationship Id="rId4" Type="http://schemas.openxmlformats.org/officeDocument/2006/relationships/oleObject" Target="file:///C:\Users\marko.lisica\Dropbox\Makro%20sektor\6.2.%20Fiskalna%202025-2027\Makro%20radni%20fajlovi\GRAFIKONI_MAKRO_maj24.xlsx" TargetMode="External"/></Relationships>
</file>

<file path=word/charts/_rels/chart49.xml.rels><?xml version="1.0" encoding="UTF-8" standalone="yes"?>
<Relationships xmlns="http://schemas.openxmlformats.org/package/2006/relationships"><Relationship Id="rId3" Type="http://schemas.openxmlformats.org/officeDocument/2006/relationships/themeOverride" Target="../theme/themeOverride45.xml"/><Relationship Id="rId2" Type="http://schemas.microsoft.com/office/2011/relationships/chartColorStyle" Target="colors43.xml"/><Relationship Id="rId1" Type="http://schemas.microsoft.com/office/2011/relationships/chartStyle" Target="style43.xml"/><Relationship Id="rId4" Type="http://schemas.openxmlformats.org/officeDocument/2006/relationships/oleObject" Target="file:///C:\Users\marko.lisica\Dropbox\Makro%20sektor\6.2.%20Fiskalna%202025-2027\Makro%20radni%20fajlovi\GRAFIKONI_MAKRO_maj24.xlsx" TargetMode="External"/></Relationships>
</file>

<file path=word/charts/_rels/chart50.xml.rels><?xml version="1.0" encoding="UTF-8" standalone="yes"?>
<Relationships xmlns="http://schemas.openxmlformats.org/package/2006/relationships"><Relationship Id="rId3" Type="http://schemas.openxmlformats.org/officeDocument/2006/relationships/themeOverride" Target="../theme/themeOverride46.xml"/><Relationship Id="rId2" Type="http://schemas.microsoft.com/office/2011/relationships/chartColorStyle" Target="colors44.xml"/><Relationship Id="rId1" Type="http://schemas.microsoft.com/office/2011/relationships/chartStyle" Target="style44.xml"/><Relationship Id="rId4" Type="http://schemas.openxmlformats.org/officeDocument/2006/relationships/oleObject" Target="file:///C:\Users\marko.lisica\Dropbox\Makro%20sektor\6.2.%20Fiskalna%202025-2027\Makro%20radni%20fajlovi\GRAFIKONI_MAKRO_maj24.xlsx" TargetMode="External"/></Relationships>
</file>

<file path=word/charts/_rels/chart51.xml.rels><?xml version="1.0" encoding="UTF-8" standalone="yes"?>
<Relationships xmlns="http://schemas.openxmlformats.org/package/2006/relationships"><Relationship Id="rId3" Type="http://schemas.openxmlformats.org/officeDocument/2006/relationships/themeOverride" Target="../theme/themeOverride47.xml"/><Relationship Id="rId2" Type="http://schemas.microsoft.com/office/2011/relationships/chartColorStyle" Target="colors45.xml"/><Relationship Id="rId1" Type="http://schemas.microsoft.com/office/2011/relationships/chartStyle" Target="style45.xml"/><Relationship Id="rId4" Type="http://schemas.openxmlformats.org/officeDocument/2006/relationships/oleObject" Target="file:///C:\Users\marko.lisica\Dropbox\Makro%20sektor\6.2.%20Fiskalna%202025-2027\Makro%20radni%20fajlovi\GRAFIKONI_MAKRO_maj24.xlsx" TargetMode="External"/></Relationships>
</file>

<file path=word/charts/_rels/chart52.xml.rels><?xml version="1.0" encoding="UTF-8" standalone="yes"?>
<Relationships xmlns="http://schemas.openxmlformats.org/package/2006/relationships"><Relationship Id="rId3" Type="http://schemas.openxmlformats.org/officeDocument/2006/relationships/themeOverride" Target="../theme/themeOverride48.xml"/><Relationship Id="rId2" Type="http://schemas.microsoft.com/office/2011/relationships/chartColorStyle" Target="colors46.xml"/><Relationship Id="rId1" Type="http://schemas.microsoft.com/office/2011/relationships/chartStyle" Target="style46.xml"/><Relationship Id="rId5" Type="http://schemas.openxmlformats.org/officeDocument/2006/relationships/chartUserShapes" Target="../drawings/drawing17.xml"/><Relationship Id="rId4" Type="http://schemas.openxmlformats.org/officeDocument/2006/relationships/oleObject" Target="file:///C:\Users\marko.lisica\Dropbox\Makro%20sektor\6.2.%20Fiskalna%202025-2027\Makro%20radni%20fajlovi\GRAFIKONI_MAKRO_maj24.xlsx" TargetMode="External"/></Relationships>
</file>

<file path=word/charts/_rels/chart53.xml.rels><?xml version="1.0" encoding="UTF-8" standalone="yes"?>
<Relationships xmlns="http://schemas.openxmlformats.org/package/2006/relationships"><Relationship Id="rId3" Type="http://schemas.openxmlformats.org/officeDocument/2006/relationships/themeOverride" Target="../theme/themeOverride49.xml"/><Relationship Id="rId2" Type="http://schemas.microsoft.com/office/2011/relationships/chartColorStyle" Target="colors47.xml"/><Relationship Id="rId1" Type="http://schemas.microsoft.com/office/2011/relationships/chartStyle" Target="style47.xml"/><Relationship Id="rId5" Type="http://schemas.openxmlformats.org/officeDocument/2006/relationships/chartUserShapes" Target="../drawings/drawing18.xml"/><Relationship Id="rId4" Type="http://schemas.openxmlformats.org/officeDocument/2006/relationships/oleObject" Target="file:///C:\Users\jovana.djeric\Dropbox\Makro%20sektor\6.2.%20Fiskalna%202025-2027\Makro%20radni%20fajlovi\GRAFIKONI_MAKRO_maj24.xlsx" TargetMode="External"/></Relationships>
</file>

<file path=word/charts/_rels/chart54.xml.rels><?xml version="1.0" encoding="UTF-8" standalone="yes"?>
<Relationships xmlns="http://schemas.openxmlformats.org/package/2006/relationships"><Relationship Id="rId3" Type="http://schemas.openxmlformats.org/officeDocument/2006/relationships/themeOverride" Target="../theme/themeOverride50.xml"/><Relationship Id="rId2" Type="http://schemas.microsoft.com/office/2011/relationships/chartColorStyle" Target="colors48.xml"/><Relationship Id="rId1" Type="http://schemas.microsoft.com/office/2011/relationships/chartStyle" Target="style48.xml"/><Relationship Id="rId4" Type="http://schemas.openxmlformats.org/officeDocument/2006/relationships/oleObject" Target="file:///C:\Users\milos.gligorijevic\Dropbox\Makro%20sektor\6.2.%20Fiskalna%202025-2027\Makro%20radni%20fajlovi\GRAFIKONI_MAKRO_maj24.xlsx" TargetMode="External"/></Relationships>
</file>

<file path=word/charts/_rels/chart55.xml.rels><?xml version="1.0" encoding="UTF-8" standalone="yes"?>
<Relationships xmlns="http://schemas.openxmlformats.org/package/2006/relationships"><Relationship Id="rId2" Type="http://schemas.openxmlformats.org/officeDocument/2006/relationships/oleObject" Target="file:///C:\Users\milos.gligorijevic\Dropbox\Makro%20sektor\6.2.%20Fiskalna%202025-2027\Makro%20radni%20fajlovi\GRAFIKONI_MAKRO_maj24.xlsx" TargetMode="External"/><Relationship Id="rId1" Type="http://schemas.openxmlformats.org/officeDocument/2006/relationships/themeOverride" Target="../theme/themeOverride51.xml"/></Relationships>
</file>

<file path=word/charts/_rels/chart56.xml.rels><?xml version="1.0" encoding="UTF-8" standalone="yes"?>
<Relationships xmlns="http://schemas.openxmlformats.org/package/2006/relationships"><Relationship Id="rId3" Type="http://schemas.openxmlformats.org/officeDocument/2006/relationships/oleObject" Target="file:///C:\Users\sara.radulovic\Dropbox\Makro%20sektor\6.2.%20Fiskalna%202025-2027\Makro%20radni%20fajlovi\GRAFIKONI_MAKRO_maj24.xlsx" TargetMode="External"/><Relationship Id="rId2" Type="http://schemas.microsoft.com/office/2011/relationships/chartColorStyle" Target="colors49.xml"/><Relationship Id="rId1" Type="http://schemas.microsoft.com/office/2011/relationships/chartStyle" Target="style49.xml"/><Relationship Id="rId4" Type="http://schemas.openxmlformats.org/officeDocument/2006/relationships/chartUserShapes" Target="../drawings/drawing19.xml"/></Relationships>
</file>

<file path=word/charts/_rels/chart57.xml.rels><?xml version="1.0" encoding="UTF-8" standalone="yes"?>
<Relationships xmlns="http://schemas.openxmlformats.org/package/2006/relationships"><Relationship Id="rId3" Type="http://schemas.openxmlformats.org/officeDocument/2006/relationships/oleObject" Target="file:///C:\Users\sara.radulovic\Dropbox\Makro%20sektor\6.2.%20Fiskalna%202025-2027\Makro%20radni%20fajlovi\GRAFIKONI_MAKRO_maj24.xlsx" TargetMode="External"/><Relationship Id="rId2" Type="http://schemas.microsoft.com/office/2011/relationships/chartColorStyle" Target="colors50.xml"/><Relationship Id="rId1" Type="http://schemas.microsoft.com/office/2011/relationships/chartStyle" Target="style50.xml"/><Relationship Id="rId4" Type="http://schemas.openxmlformats.org/officeDocument/2006/relationships/chartUserShapes" Target="../drawings/drawing20.xml"/></Relationships>
</file>

<file path=word/charts/_rels/chart58.xml.rels><?xml version="1.0" encoding="UTF-8" standalone="yes"?>
<Relationships xmlns="http://schemas.openxmlformats.org/package/2006/relationships"><Relationship Id="rId3" Type="http://schemas.openxmlformats.org/officeDocument/2006/relationships/oleObject" Target="file:///C:\Users\vladimir.malbasic\Desktop\Novi%20RFZO%20Za%20bazu-%20GFS,%20SS%20bs%20,%20MMF%20table\GFS%20CONSOLIDATION_za%20analizu%20radni%20fajl-2080mq1.xlsx" TargetMode="External"/><Relationship Id="rId2" Type="http://schemas.microsoft.com/office/2011/relationships/chartColorStyle" Target="colors51.xml"/><Relationship Id="rId1" Type="http://schemas.microsoft.com/office/2011/relationships/chartStyle" Target="style51.xml"/></Relationships>
</file>

<file path=word/charts/_rels/chart59.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S0%202023%20final.xlsx" TargetMode="External"/><Relationship Id="rId2" Type="http://schemas.microsoft.com/office/2011/relationships/chartColorStyle" Target="colors52.xml"/><Relationship Id="rId1" Type="http://schemas.microsoft.com/office/2011/relationships/chartStyle" Target="style52.xml"/><Relationship Id="rId4" Type="http://schemas.openxmlformats.org/officeDocument/2006/relationships/chartUserShapes" Target="../drawings/drawing21.xml"/></Relationships>
</file>

<file path=word/charts/_rels/chart60.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S0%202023%20final.xlsx" TargetMode="External"/><Relationship Id="rId2" Type="http://schemas.microsoft.com/office/2011/relationships/chartColorStyle" Target="colors53.xml"/><Relationship Id="rId1" Type="http://schemas.microsoft.com/office/2011/relationships/chartStyle" Target="style53.xml"/><Relationship Id="rId4" Type="http://schemas.openxmlformats.org/officeDocument/2006/relationships/chartUserShapes" Target="../drawings/drawing22.xml"/></Relationships>
</file>

<file path=word/charts/_rels/chart61.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S0%202023%20final.xlsx" TargetMode="External"/><Relationship Id="rId2" Type="http://schemas.microsoft.com/office/2011/relationships/chartColorStyle" Target="colors54.xml"/><Relationship Id="rId1" Type="http://schemas.microsoft.com/office/2011/relationships/chartStyle" Target="style54.xml"/></Relationships>
</file>

<file path=word/charts/_rels/chart62.xml.rels><?xml version="1.0" encoding="UTF-8" standalone="yes"?>
<Relationships xmlns="http://schemas.openxmlformats.org/package/2006/relationships"><Relationship Id="rId2" Type="http://schemas.openxmlformats.org/officeDocument/2006/relationships/chartUserShapes" Target="../drawings/drawing23.xml"/><Relationship Id="rId1" Type="http://schemas.openxmlformats.org/officeDocument/2006/relationships/oleObject" Target="file:///C:\Users\ognjen.jancic\Dropbox\Makro%20sektor\6.2.%20Fiskalna%202025-2027\Fiskal%20radni%20fajlovi%20ver%202.5\ognjen\za%20grafikone%20def,dug%20baseline%20i%20sa%20merama.xlsx" TargetMode="External"/></Relationships>
</file>

<file path=word/charts/_rels/chart63.xml.rels><?xml version="1.0" encoding="UTF-8" standalone="yes"?>
<Relationships xmlns="http://schemas.openxmlformats.org/package/2006/relationships"><Relationship Id="rId3" Type="http://schemas.openxmlformats.org/officeDocument/2006/relationships/themeOverride" Target="../theme/themeOverride52.xml"/><Relationship Id="rId2" Type="http://schemas.microsoft.com/office/2011/relationships/chartColorStyle" Target="colors55.xml"/><Relationship Id="rId1" Type="http://schemas.microsoft.com/office/2011/relationships/chartStyle" Target="style55.xml"/><Relationship Id="rId4" Type="http://schemas.openxmlformats.org/officeDocument/2006/relationships/package" Target="../embeddings/Microsoft_Excel_Worksheet1.xlsx"/></Relationships>
</file>

<file path=word/charts/_rels/chart64.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56.xml"/><Relationship Id="rId1" Type="http://schemas.microsoft.com/office/2011/relationships/chartStyle" Target="style56.xml"/><Relationship Id="rId4" Type="http://schemas.openxmlformats.org/officeDocument/2006/relationships/package" Target="../embeddings/Microsoft_Excel_Worksheet2.xlsx"/></Relationships>
</file>

<file path=word/charts/_rels/chart65.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57.xml"/><Relationship Id="rId1" Type="http://schemas.microsoft.com/office/2011/relationships/chartStyle" Target="style57.xml"/><Relationship Id="rId5" Type="http://schemas.openxmlformats.org/officeDocument/2006/relationships/chartUserShapes" Target="../drawings/drawing24.xml"/><Relationship Id="rId4" Type="http://schemas.openxmlformats.org/officeDocument/2006/relationships/package" Target="../embeddings/Microsoft_Excel_Worksheet3.xlsx"/></Relationships>
</file>

<file path=word/charts/_rels/chart66.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Grafikoni%20ciklicnog%20deficita,%20poreske%20elasticnosti%20i%20osetljivost%20balansa%20rev%20februar%202024,%20izvrsenje%202023.xlsx" TargetMode="External"/><Relationship Id="rId2" Type="http://schemas.microsoft.com/office/2011/relationships/chartColorStyle" Target="colors58.xml"/><Relationship Id="rId1" Type="http://schemas.microsoft.com/office/2011/relationships/chartStyle" Target="style58.xml"/><Relationship Id="rId4" Type="http://schemas.openxmlformats.org/officeDocument/2006/relationships/chartUserShapes" Target="../drawings/drawing25.xml"/></Relationships>
</file>

<file path=word/charts/_rels/chart67.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Grafikoni%20ciklicnog%20deficita,%20poreske%20elasticnosti%20i%20osetljivost%20balansa%20rev%20februar%202024,%20izvrsenje%202023.xlsx" TargetMode="External"/><Relationship Id="rId2" Type="http://schemas.microsoft.com/office/2011/relationships/chartColorStyle" Target="colors59.xml"/><Relationship Id="rId1" Type="http://schemas.microsoft.com/office/2011/relationships/chartStyle" Target="style59.xml"/><Relationship Id="rId4" Type="http://schemas.openxmlformats.org/officeDocument/2006/relationships/chartUserShapes" Target="../drawings/drawing26.xml"/></Relationships>
</file>

<file path=word/charts/_rels/chart68.xml.rels><?xml version="1.0" encoding="UTF-8" standalone="yes"?>
<Relationships xmlns="http://schemas.openxmlformats.org/package/2006/relationships"><Relationship Id="rId3" Type="http://schemas.openxmlformats.org/officeDocument/2006/relationships/chartUserShapes" Target="../drawings/drawing27.xml"/><Relationship Id="rId2" Type="http://schemas.openxmlformats.org/officeDocument/2006/relationships/oleObject" Target="file:///C:\Users\vladimir.malbasic\Dropbox\Makro%20sektor\6.2.%20Fiskalna%202025-2027\Fiskal%20radni%20fajlovi\Grafikoni%20ciklicnog%20deficita,%20poreske%20elasticnosti%20i%20osetljivost%20balansa%20rev%20februar%202023,%20izvrsenje%202022.xlsx" TargetMode="External"/><Relationship Id="rId1" Type="http://schemas.openxmlformats.org/officeDocument/2006/relationships/themeOverride" Target="../theme/themeOverride55.xml"/></Relationships>
</file>

<file path=word/charts/_rels/chart69.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Scenarija%20javni%20dug%20fiskalno%20prilagodjavanje.xlsx" TargetMode="External"/><Relationship Id="rId2" Type="http://schemas.microsoft.com/office/2011/relationships/chartColorStyle" Target="colors60.xml"/><Relationship Id="rId1" Type="http://schemas.microsoft.com/office/2011/relationships/chartStyle" Target="style60.xml"/></Relationships>
</file>

<file path=word/charts/_rels/chart70.xml.rels><?xml version="1.0" encoding="UTF-8" standalone="yes"?>
<Relationships xmlns="http://schemas.openxmlformats.org/package/2006/relationships"><Relationship Id="rId3" Type="http://schemas.openxmlformats.org/officeDocument/2006/relationships/oleObject" Target="file:///C:\Users\vladimir.malbasic\Dropbox\Makro%20sektor\2.%20F%20%20I%20%20S%20%20K%20%20A%20%20L\GFS%20fajl%20i%20konsolidacija\GFS%20CONSOLIDATION_za%20analizu%20radni%20fajl-2080mq1.xlsx" TargetMode="External"/><Relationship Id="rId2" Type="http://schemas.microsoft.com/office/2011/relationships/chartColorStyle" Target="colors61.xml"/><Relationship Id="rId1" Type="http://schemas.microsoft.com/office/2011/relationships/chartStyle" Target="style61.xml"/></Relationships>
</file>

<file path=word/charts/_rels/chart71.xml.rels><?xml version="1.0" encoding="UTF-8" standalone="yes"?>
<Relationships xmlns="http://schemas.openxmlformats.org/package/2006/relationships"><Relationship Id="rId3" Type="http://schemas.openxmlformats.org/officeDocument/2006/relationships/oleObject" Target="file:///C:\Users\vladimir.malbasic\Dropbox\Makro%20sektor\6.2.%20Fiskalna%202025-2027\Fiskal%20radni%20fajlovi%20ver%202.5\Scenarija%20javni%20dug%20fiskalno%20prilagodjavanje.xlsx" TargetMode="External"/><Relationship Id="rId2" Type="http://schemas.microsoft.com/office/2011/relationships/chartColorStyle" Target="colors62.xml"/><Relationship Id="rId1" Type="http://schemas.microsoft.com/office/2011/relationships/chartStyle" Target="style62.xml"/><Relationship Id="rId4" Type="http://schemas.openxmlformats.org/officeDocument/2006/relationships/chartUserShapes" Target="../drawings/drawing28.xm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56.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7.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58.xml"/></Relationships>
</file>

<file path=word/charts/_rels/chart75.xml.rels><?xml version="1.0" encoding="UTF-8" standalone="yes"?>
<Relationships xmlns="http://schemas.openxmlformats.org/package/2006/relationships"><Relationship Id="rId2" Type="http://schemas.openxmlformats.org/officeDocument/2006/relationships/oleObject" Target="file:///C:\Users\Milena\Desktop\Ou-gi\%23\!RI%202024-03\!%20Risk%20Pokazatelji\2024-03\!Strategija%202025-2027\MTDS%202024-2026%20V2%20.2_17052024.xlsm" TargetMode="External"/><Relationship Id="rId1" Type="http://schemas.openxmlformats.org/officeDocument/2006/relationships/themeOverride" Target="../theme/themeOverride59.xml"/></Relationships>
</file>

<file path=word/charts/_rels/chart76.xml.rels><?xml version="1.0" encoding="UTF-8" standalone="yes"?>
<Relationships xmlns="http://schemas.openxmlformats.org/package/2006/relationships"><Relationship Id="rId1" Type="http://schemas.openxmlformats.org/officeDocument/2006/relationships/oleObject" Target="file:///C:\Users\Milena\Desktop\Ou-gi\%23\!RI%202024-03\!%20Risk%20Pokazatelji\2024-03\!Strategija%202025-2027\MTDS%202024-2026%20V2%20.2_17052024.xlsm" TargetMode="External"/></Relationships>
</file>

<file path=word/charts/_rels/chart77.xml.rels><?xml version="1.0" encoding="UTF-8" standalone="yes"?>
<Relationships xmlns="http://schemas.openxmlformats.org/package/2006/relationships"><Relationship Id="rId3" Type="http://schemas.openxmlformats.org/officeDocument/2006/relationships/oleObject" Target="file:///C:\Users\Oliver%20Mini&#263;\Desktop\STRATEGIJA%202025-2027\AZURIRANA\STRAT20233-2025.xlsx" TargetMode="External"/><Relationship Id="rId2" Type="http://schemas.microsoft.com/office/2011/relationships/chartColorStyle" Target="colors63.xml"/><Relationship Id="rId1" Type="http://schemas.microsoft.com/office/2011/relationships/chartStyle" Target="style6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5979221347331585E-2"/>
          <c:y val="5.0925925925925923E-2"/>
          <c:w val="0.91179855643044616"/>
          <c:h val="0.55948245614035086"/>
        </c:manualLayout>
      </c:layout>
      <c:barChart>
        <c:barDir val="col"/>
        <c:grouping val="stacked"/>
        <c:varyColors val="0"/>
        <c:ser>
          <c:idx val="0"/>
          <c:order val="0"/>
          <c:tx>
            <c:strRef>
              <c:f>'WEO_ekon. rast'!$B$25</c:f>
              <c:strCache>
                <c:ptCount val="1"/>
                <c:pt idx="0">
                  <c:v>Развијене економије искључујући САД и ЕУ</c:v>
                </c:pt>
              </c:strCache>
            </c:strRef>
          </c:tx>
          <c:spPr>
            <a:solidFill>
              <a:srgbClr val="10103C"/>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rast'!$G$25:$O$25</c:f>
              <c:numCache>
                <c:formatCode>0.00</c:formatCode>
                <c:ptCount val="9"/>
                <c:pt idx="0">
                  <c:v>8.1833180000000005E-2</c:v>
                </c:pt>
                <c:pt idx="1">
                  <c:v>-0.49296636000000033</c:v>
                </c:pt>
                <c:pt idx="2">
                  <c:v>0.58673420000000043</c:v>
                </c:pt>
                <c:pt idx="3">
                  <c:v>0.25446906000000014</c:v>
                </c:pt>
                <c:pt idx="4">
                  <c:v>0.19710366999999979</c:v>
                </c:pt>
                <c:pt idx="5">
                  <c:v>0.12902240999999998</c:v>
                </c:pt>
                <c:pt idx="6">
                  <c:v>0.17544229999999988</c:v>
                </c:pt>
                <c:pt idx="7">
                  <c:v>0.15521192000000006</c:v>
                </c:pt>
                <c:pt idx="8">
                  <c:v>0.14287170000000005</c:v>
                </c:pt>
              </c:numCache>
            </c:numRef>
          </c:val>
          <c:extLst>
            <c:ext xmlns:c16="http://schemas.microsoft.com/office/drawing/2014/chart" uri="{C3380CC4-5D6E-409C-BE32-E72D297353CC}">
              <c16:uniqueId val="{00000000-197D-41DD-803C-E211B454FDA3}"/>
            </c:ext>
          </c:extLst>
        </c:ser>
        <c:ser>
          <c:idx val="1"/>
          <c:order val="1"/>
          <c:tx>
            <c:strRef>
              <c:f>'WEO_ekon. rast'!$B$26</c:f>
              <c:strCache>
                <c:ptCount val="1"/>
                <c:pt idx="0">
                  <c:v>САД</c:v>
                </c:pt>
              </c:strCache>
            </c:strRef>
          </c:tx>
          <c:spPr>
            <a:solidFill>
              <a:srgbClr val="2A489A"/>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rast'!$G$26:$O$26</c:f>
              <c:numCache>
                <c:formatCode>0.00</c:formatCode>
                <c:ptCount val="9"/>
                <c:pt idx="0">
                  <c:v>0.39092082000000006</c:v>
                </c:pt>
                <c:pt idx="1">
                  <c:v>-0.35328798</c:v>
                </c:pt>
                <c:pt idx="2">
                  <c:v>0.92028599999999994</c:v>
                </c:pt>
                <c:pt idx="3">
                  <c:v>0.30294527999999998</c:v>
                </c:pt>
                <c:pt idx="4">
                  <c:v>0.39389953000000005</c:v>
                </c:pt>
                <c:pt idx="5">
                  <c:v>0.42240225000000003</c:v>
                </c:pt>
                <c:pt idx="6">
                  <c:v>0.28783062000000004</c:v>
                </c:pt>
                <c:pt idx="7">
                  <c:v>0.30699863999999999</c:v>
                </c:pt>
                <c:pt idx="8">
                  <c:v>0.31785160000000001</c:v>
                </c:pt>
              </c:numCache>
            </c:numRef>
          </c:val>
          <c:extLst>
            <c:ext xmlns:c16="http://schemas.microsoft.com/office/drawing/2014/chart" uri="{C3380CC4-5D6E-409C-BE32-E72D297353CC}">
              <c16:uniqueId val="{00000001-197D-41DD-803C-E211B454FDA3}"/>
            </c:ext>
          </c:extLst>
        </c:ser>
        <c:ser>
          <c:idx val="2"/>
          <c:order val="2"/>
          <c:tx>
            <c:strRef>
              <c:f>'WEO_ekon. rast'!$B$27</c:f>
              <c:strCache>
                <c:ptCount val="1"/>
                <c:pt idx="0">
                  <c:v>ЕУ</c:v>
                </c:pt>
              </c:strCache>
            </c:strRef>
          </c:tx>
          <c:spPr>
            <a:solidFill>
              <a:srgbClr val="2183C4"/>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rast'!$G$27:$O$27</c:f>
              <c:numCache>
                <c:formatCode>0.00</c:formatCode>
                <c:ptCount val="9"/>
                <c:pt idx="0">
                  <c:v>0.30059231999999997</c:v>
                </c:pt>
                <c:pt idx="1">
                  <c:v>-0.82306385999999987</c:v>
                </c:pt>
                <c:pt idx="2">
                  <c:v>0.90132859999999992</c:v>
                </c:pt>
                <c:pt idx="3">
                  <c:v>0.53881604999999999</c:v>
                </c:pt>
                <c:pt idx="4">
                  <c:v>8.0230800000000005E-2</c:v>
                </c:pt>
                <c:pt idx="5">
                  <c:v>0.15571731</c:v>
                </c:pt>
                <c:pt idx="6">
                  <c:v>0.24643080000000001</c:v>
                </c:pt>
                <c:pt idx="7">
                  <c:v>0.2389452</c:v>
                </c:pt>
                <c:pt idx="8">
                  <c:v>0.21902927000000003</c:v>
                </c:pt>
              </c:numCache>
            </c:numRef>
          </c:val>
          <c:extLst>
            <c:ext xmlns:c16="http://schemas.microsoft.com/office/drawing/2014/chart" uri="{C3380CC4-5D6E-409C-BE32-E72D297353CC}">
              <c16:uniqueId val="{00000002-197D-41DD-803C-E211B454FDA3}"/>
            </c:ext>
          </c:extLst>
        </c:ser>
        <c:ser>
          <c:idx val="3"/>
          <c:order val="3"/>
          <c:tx>
            <c:strRef>
              <c:f>'WEO_ekon. rast'!$B$28</c:f>
              <c:strCache>
                <c:ptCount val="1"/>
                <c:pt idx="0">
                  <c:v>Земље у успону Азијског континента без Кине</c:v>
                </c:pt>
              </c:strCache>
            </c:strRef>
          </c:tx>
          <c:spPr>
            <a:solidFill>
              <a:srgbClr val="51BBE7"/>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rast'!$G$28:$O$28</c:f>
              <c:numCache>
                <c:formatCode>0.00</c:formatCode>
                <c:ptCount val="9"/>
                <c:pt idx="0">
                  <c:v>0.61838391999999986</c:v>
                </c:pt>
                <c:pt idx="1">
                  <c:v>-0.56113522000000005</c:v>
                </c:pt>
                <c:pt idx="2">
                  <c:v>0.91781737000000008</c:v>
                </c:pt>
                <c:pt idx="3">
                  <c:v>0.88486173000000024</c:v>
                </c:pt>
                <c:pt idx="4">
                  <c:v>0.9034036999999997</c:v>
                </c:pt>
                <c:pt idx="5">
                  <c:v>0.89367513999999981</c:v>
                </c:pt>
                <c:pt idx="6">
                  <c:v>0.90371708999999978</c:v>
                </c:pt>
                <c:pt idx="7">
                  <c:v>0.93024127999999962</c:v>
                </c:pt>
                <c:pt idx="8">
                  <c:v>0.95400160000000001</c:v>
                </c:pt>
              </c:numCache>
            </c:numRef>
          </c:val>
          <c:extLst>
            <c:ext xmlns:c16="http://schemas.microsoft.com/office/drawing/2014/chart" uri="{C3380CC4-5D6E-409C-BE32-E72D297353CC}">
              <c16:uniqueId val="{00000003-197D-41DD-803C-E211B454FDA3}"/>
            </c:ext>
          </c:extLst>
        </c:ser>
        <c:ser>
          <c:idx val="4"/>
          <c:order val="4"/>
          <c:tx>
            <c:strRef>
              <c:f>'WEO_ekon. rast'!$B$29</c:f>
              <c:strCache>
                <c:ptCount val="1"/>
                <c:pt idx="0">
                  <c:v>Кина</c:v>
                </c:pt>
              </c:strCache>
            </c:strRef>
          </c:tx>
          <c:spPr>
            <a:solidFill>
              <a:srgbClr val="90CAE2"/>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rast'!$G$29:$O$29</c:f>
              <c:numCache>
                <c:formatCode>0.00</c:formatCode>
                <c:ptCount val="9"/>
                <c:pt idx="0">
                  <c:v>1.0212511100000001</c:v>
                </c:pt>
                <c:pt idx="1">
                  <c:v>0.40510698000000001</c:v>
                </c:pt>
                <c:pt idx="2">
                  <c:v>1.5563209999999998</c:v>
                </c:pt>
                <c:pt idx="3">
                  <c:v>0.54851138999999993</c:v>
                </c:pt>
                <c:pt idx="4">
                  <c:v>0.98166160000000025</c:v>
                </c:pt>
                <c:pt idx="5">
                  <c:v>0.88230494000000004</c:v>
                </c:pt>
                <c:pt idx="6">
                  <c:v>0.78324534000000012</c:v>
                </c:pt>
                <c:pt idx="7">
                  <c:v>0.72715760000000007</c:v>
                </c:pt>
                <c:pt idx="8">
                  <c:v>0.69307951999999995</c:v>
                </c:pt>
              </c:numCache>
            </c:numRef>
          </c:val>
          <c:extLst>
            <c:ext xmlns:c16="http://schemas.microsoft.com/office/drawing/2014/chart" uri="{C3380CC4-5D6E-409C-BE32-E72D297353CC}">
              <c16:uniqueId val="{00000004-197D-41DD-803C-E211B454FDA3}"/>
            </c:ext>
          </c:extLst>
        </c:ser>
        <c:ser>
          <c:idx val="5"/>
          <c:order val="5"/>
          <c:tx>
            <c:strRef>
              <c:f>'WEO_ekon. rast'!$B$30</c:f>
              <c:strCache>
                <c:ptCount val="1"/>
                <c:pt idx="0">
                  <c:v>Остале земље у успону</c:v>
                </c:pt>
              </c:strCache>
            </c:strRef>
          </c:tx>
          <c:spPr>
            <a:solidFill>
              <a:srgbClr val="C9E4EB"/>
            </a:solidFill>
            <a:ln>
              <a:noFill/>
            </a:ln>
            <a:effectLst/>
          </c:spPr>
          <c:invertIfNegative val="0"/>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rast'!$G$30:$O$30</c:f>
              <c:numCache>
                <c:formatCode>0.00</c:formatCode>
                <c:ptCount val="9"/>
                <c:pt idx="0">
                  <c:v>0.42401865000000027</c:v>
                </c:pt>
                <c:pt idx="1">
                  <c:v>-0.8646535599999996</c:v>
                </c:pt>
                <c:pt idx="2">
                  <c:v>1.5895128300000003</c:v>
                </c:pt>
                <c:pt idx="3">
                  <c:v>0.9293964899999998</c:v>
                </c:pt>
                <c:pt idx="4">
                  <c:v>0.65770069999999992</c:v>
                </c:pt>
                <c:pt idx="5">
                  <c:v>0.69587794999999986</c:v>
                </c:pt>
                <c:pt idx="6">
                  <c:v>0.83733385000000027</c:v>
                </c:pt>
                <c:pt idx="7">
                  <c:v>0.79844536000000055</c:v>
                </c:pt>
                <c:pt idx="8">
                  <c:v>0.81016631000000006</c:v>
                </c:pt>
              </c:numCache>
            </c:numRef>
          </c:val>
          <c:extLst>
            <c:ext xmlns:c16="http://schemas.microsoft.com/office/drawing/2014/chart" uri="{C3380CC4-5D6E-409C-BE32-E72D297353CC}">
              <c16:uniqueId val="{00000005-197D-41DD-803C-E211B454FDA3}"/>
            </c:ext>
          </c:extLst>
        </c:ser>
        <c:dLbls>
          <c:showLegendKey val="0"/>
          <c:showVal val="0"/>
          <c:showCatName val="0"/>
          <c:showSerName val="0"/>
          <c:showPercent val="0"/>
          <c:showBubbleSize val="0"/>
        </c:dLbls>
        <c:gapWidth val="30"/>
        <c:overlap val="100"/>
        <c:axId val="1642271680"/>
        <c:axId val="1642274400"/>
      </c:barChart>
      <c:lineChart>
        <c:grouping val="standard"/>
        <c:varyColors val="0"/>
        <c:ser>
          <c:idx val="6"/>
          <c:order val="6"/>
          <c:tx>
            <c:strRef>
              <c:f>'WEO_ekon. rast'!$B$31</c:f>
              <c:strCache>
                <c:ptCount val="1"/>
                <c:pt idx="0">
                  <c:v>Светски раст</c:v>
                </c:pt>
              </c:strCache>
            </c:strRef>
          </c:tx>
          <c:spPr>
            <a:ln w="25400" cap="rnd">
              <a:solidFill>
                <a:srgbClr val="FF0000"/>
              </a:solidFill>
              <a:round/>
            </a:ln>
            <a:effectLst/>
          </c:spPr>
          <c:marker>
            <c:symbol val="none"/>
          </c:marker>
          <c:dLbls>
            <c:dLbl>
              <c:idx val="1"/>
              <c:layout>
                <c:manualLayout>
                  <c:x val="-6.6898148148148151E-2"/>
                  <c:y val="4.55033416875522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97D-41DD-803C-E211B454FDA3}"/>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rast'!$G$31:$O$31</c:f>
              <c:numCache>
                <c:formatCode>0.0</c:formatCode>
                <c:ptCount val="9"/>
                <c:pt idx="0">
                  <c:v>2.8370000000000002</c:v>
                </c:pt>
                <c:pt idx="1">
                  <c:v>-2.69</c:v>
                </c:pt>
                <c:pt idx="2">
                  <c:v>6.4720000000000004</c:v>
                </c:pt>
                <c:pt idx="3">
                  <c:v>3.4590000000000001</c:v>
                </c:pt>
                <c:pt idx="4">
                  <c:v>3.214</c:v>
                </c:pt>
                <c:pt idx="5">
                  <c:v>3.1789999999999998</c:v>
                </c:pt>
                <c:pt idx="6">
                  <c:v>3.234</c:v>
                </c:pt>
                <c:pt idx="7">
                  <c:v>3.157</c:v>
                </c:pt>
                <c:pt idx="8">
                  <c:v>3.137</c:v>
                </c:pt>
              </c:numCache>
            </c:numRef>
          </c:val>
          <c:smooth val="0"/>
          <c:extLst>
            <c:ext xmlns:c16="http://schemas.microsoft.com/office/drawing/2014/chart" uri="{C3380CC4-5D6E-409C-BE32-E72D297353CC}">
              <c16:uniqueId val="{00000007-197D-41DD-803C-E211B454FDA3}"/>
            </c:ext>
          </c:extLst>
        </c:ser>
        <c:ser>
          <c:idx val="7"/>
          <c:order val="7"/>
          <c:tx>
            <c:strRef>
              <c:f>'WEO_ekon. rast'!$B$32</c:f>
              <c:strCache>
                <c:ptCount val="1"/>
              </c:strCache>
            </c:strRef>
          </c:tx>
          <c:spPr>
            <a:ln w="28575" cap="rnd">
              <a:noFill/>
              <a:round/>
            </a:ln>
            <a:effectLst/>
          </c:spPr>
          <c:marker>
            <c:symbol val="none"/>
          </c:marker>
          <c:dLbls>
            <c:dLbl>
              <c:idx val="1"/>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b"/>
              <c:showLegendKey val="0"/>
              <c:showVal val="0"/>
              <c:showCatName val="1"/>
              <c:showSerName val="0"/>
              <c:showPercent val="0"/>
              <c:showBubbleSize val="0"/>
              <c:extLst>
                <c:ext xmlns:c16="http://schemas.microsoft.com/office/drawing/2014/chart" uri="{C3380CC4-5D6E-409C-BE32-E72D297353CC}">
                  <c16:uniqueId val="{00000008-197D-41DD-803C-E211B454FDA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'WEO_ekon. rast'!$G$24:$O$24</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'WEO_ekon. rast'!$G$32:$O$32</c:f>
              <c:numCache>
                <c:formatCode>General</c:formatCode>
                <c:ptCount val="9"/>
                <c:pt idx="0">
                  <c:v>0</c:v>
                </c:pt>
                <c:pt idx="1">
                  <c:v>0</c:v>
                </c:pt>
                <c:pt idx="2">
                  <c:v>0</c:v>
                </c:pt>
                <c:pt idx="3">
                  <c:v>0</c:v>
                </c:pt>
                <c:pt idx="4">
                  <c:v>0</c:v>
                </c:pt>
                <c:pt idx="5">
                  <c:v>0</c:v>
                </c:pt>
                <c:pt idx="6">
                  <c:v>0</c:v>
                </c:pt>
                <c:pt idx="7">
                  <c:v>0</c:v>
                </c:pt>
                <c:pt idx="8">
                  <c:v>0</c:v>
                </c:pt>
              </c:numCache>
            </c:numRef>
          </c:val>
          <c:smooth val="0"/>
          <c:extLst>
            <c:ext xmlns:c16="http://schemas.microsoft.com/office/drawing/2014/chart" uri="{C3380CC4-5D6E-409C-BE32-E72D297353CC}">
              <c16:uniqueId val="{00000009-197D-41DD-803C-E211B454FDA3}"/>
            </c:ext>
          </c:extLst>
        </c:ser>
        <c:dLbls>
          <c:showLegendKey val="0"/>
          <c:showVal val="0"/>
          <c:showCatName val="0"/>
          <c:showSerName val="0"/>
          <c:showPercent val="0"/>
          <c:showBubbleSize val="0"/>
        </c:dLbls>
        <c:marker val="1"/>
        <c:smooth val="0"/>
        <c:axId val="1642271680"/>
        <c:axId val="1642274400"/>
      </c:lineChart>
      <c:catAx>
        <c:axId val="164227168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4400"/>
        <c:crosses val="autoZero"/>
        <c:auto val="1"/>
        <c:lblAlgn val="ctr"/>
        <c:lblOffset val="100"/>
        <c:noMultiLvlLbl val="0"/>
      </c:catAx>
      <c:valAx>
        <c:axId val="1642274400"/>
        <c:scaling>
          <c:orientation val="minMax"/>
          <c:min val="-4.5"/>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42271680"/>
        <c:crosses val="autoZero"/>
        <c:crossBetween val="between"/>
        <c:majorUnit val="1.5"/>
      </c:valAx>
      <c:spPr>
        <a:noFill/>
        <a:ln>
          <a:noFill/>
        </a:ln>
        <a:effectLst/>
      </c:spPr>
    </c:plotArea>
    <c:legend>
      <c:legendPos val="b"/>
      <c:legendEntry>
        <c:idx val="7"/>
        <c:delete val="1"/>
      </c:legendEntry>
      <c:layout>
        <c:manualLayout>
          <c:xMode val="edge"/>
          <c:yMode val="edge"/>
          <c:x val="2.7777777777777776E-2"/>
          <c:y val="0.68199498746867171"/>
          <c:w val="0.94944444444444465"/>
          <c:h val="0.3180050125313283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r>
              <a:rPr lang="sr-Cyrl-RS" sz="800">
                <a:solidFill>
                  <a:schemeClr val="tx2"/>
                </a:solidFill>
                <a:latin typeface="+mn-lt"/>
              </a:rPr>
              <a:t>Раст БДП у Немачкој, %</a:t>
            </a:r>
          </a:p>
        </c:rich>
      </c:tx>
      <c:layout>
        <c:manualLayout>
          <c:xMode val="edge"/>
          <c:yMode val="edge"/>
          <c:x val="0.34036781190010201"/>
          <c:y val="5.7538083633503889E-3"/>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rast'!$A$13</c:f>
              <c:strCache>
                <c:ptCount val="1"/>
                <c:pt idx="0">
                  <c:v>апр. 2023.</c:v>
                </c:pt>
              </c:strCache>
            </c:strRef>
          </c:tx>
          <c:spPr>
            <a:ln w="25400" cap="rnd">
              <a:solidFill>
                <a:schemeClr val="accent4"/>
              </a:solidFill>
              <a:prstDash val="sysDot"/>
              <a:round/>
            </a:ln>
            <a:effectLst/>
          </c:spPr>
          <c:marker>
            <c:symbol val="none"/>
          </c:marker>
          <c:dLbls>
            <c:dLbl>
              <c:idx val="0"/>
              <c:layout>
                <c:manualLayout>
                  <c:x val="-8.7254153316581082E-2"/>
                  <c:y val="-7.200935607092821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D56-41E6-BF82-D1C045CD0FD9}"/>
                </c:ext>
              </c:extLst>
            </c:dLbl>
            <c:dLbl>
              <c:idx val="1"/>
              <c:layout>
                <c:manualLayout>
                  <c:x val="-5.9496546065137809E-2"/>
                  <c:y val="-6.83060109289617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56-41E6-BF82-D1C045CD0FD9}"/>
                </c:ext>
              </c:extLst>
            </c:dLbl>
            <c:dLbl>
              <c:idx val="2"/>
              <c:layout>
                <c:manualLayout>
                  <c:x val="-5.5170744138634049E-2"/>
                  <c:y val="-5.70129629629630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D56-41E6-BF82-D1C045CD0FD9}"/>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rast'!$D$13:$F$13</c:f>
              <c:numCache>
                <c:formatCode>0.0</c:formatCode>
                <c:ptCount val="3"/>
                <c:pt idx="0">
                  <c:v>-0.109</c:v>
                </c:pt>
                <c:pt idx="1">
                  <c:v>1.0980000000000001</c:v>
                </c:pt>
                <c:pt idx="2">
                  <c:v>2.044</c:v>
                </c:pt>
              </c:numCache>
            </c:numRef>
          </c:val>
          <c:smooth val="0"/>
          <c:extLst>
            <c:ext xmlns:c16="http://schemas.microsoft.com/office/drawing/2014/chart" uri="{C3380CC4-5D6E-409C-BE32-E72D297353CC}">
              <c16:uniqueId val="{00000003-4D56-41E6-BF82-D1C045CD0FD9}"/>
            </c:ext>
          </c:extLst>
        </c:ser>
        <c:ser>
          <c:idx val="1"/>
          <c:order val="1"/>
          <c:tx>
            <c:strRef>
              <c:f>'Nemacka, Italija, realni rast'!$A$14</c:f>
              <c:strCache>
                <c:ptCount val="1"/>
                <c:pt idx="0">
                  <c:v>окт. 2023.</c:v>
                </c:pt>
              </c:strCache>
            </c:strRef>
          </c:tx>
          <c:spPr>
            <a:ln w="22225" cap="rnd">
              <a:solidFill>
                <a:srgbClr val="002060"/>
              </a:solidFill>
              <a:prstDash val="sysDash"/>
              <a:round/>
            </a:ln>
            <a:effectLst/>
          </c:spPr>
          <c:marker>
            <c:symbol val="none"/>
          </c:marker>
          <c:dLbls>
            <c:dLbl>
              <c:idx val="0"/>
              <c:layout>
                <c:manualLayout>
                  <c:x val="-6.4118970028659961E-2"/>
                  <c:y val="5.312689738919246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D56-41E6-BF82-D1C045CD0FD9}"/>
                </c:ext>
              </c:extLst>
            </c:dLbl>
            <c:dLbl>
              <c:idx val="1"/>
              <c:layout>
                <c:manualLayout>
                  <c:x val="-4.0881082224515038E-2"/>
                  <c:y val="5.105859376867508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D56-41E6-BF82-D1C045CD0FD9}"/>
                </c:ext>
              </c:extLst>
            </c:dLbl>
            <c:dLbl>
              <c:idx val="2"/>
              <c:layout>
                <c:manualLayout>
                  <c:x val="-3.6613259117007829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D56-41E6-BF82-D1C045CD0FD9}"/>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rast'!$D$14:$F$14</c:f>
              <c:numCache>
                <c:formatCode>0.0</c:formatCode>
                <c:ptCount val="3"/>
                <c:pt idx="0">
                  <c:v>-0.53500000000000003</c:v>
                </c:pt>
                <c:pt idx="1">
                  <c:v>0.91500000000000004</c:v>
                </c:pt>
                <c:pt idx="2">
                  <c:v>1.9930000000000001</c:v>
                </c:pt>
              </c:numCache>
            </c:numRef>
          </c:val>
          <c:smooth val="0"/>
          <c:extLst>
            <c:ext xmlns:c16="http://schemas.microsoft.com/office/drawing/2014/chart" uri="{C3380CC4-5D6E-409C-BE32-E72D297353CC}">
              <c16:uniqueId val="{00000007-4D56-41E6-BF82-D1C045CD0FD9}"/>
            </c:ext>
          </c:extLst>
        </c:ser>
        <c:ser>
          <c:idx val="2"/>
          <c:order val="2"/>
          <c:tx>
            <c:strRef>
              <c:f>'Nemacka, Italija, realni rast'!$A$15</c:f>
              <c:strCache>
                <c:ptCount val="1"/>
                <c:pt idx="0">
                  <c:v>апр 2024.</c:v>
                </c:pt>
              </c:strCache>
            </c:strRef>
          </c:tx>
          <c:spPr>
            <a:ln w="28575" cap="rnd">
              <a:solidFill>
                <a:srgbClr val="FF0000"/>
              </a:solidFill>
              <a:round/>
            </a:ln>
            <a:effectLst/>
          </c:spPr>
          <c:marker>
            <c:symbol val="circle"/>
            <c:size val="13"/>
            <c:spPr>
              <a:solidFill>
                <a:srgbClr val="FF0000"/>
              </a:solidFill>
              <a:ln w="9525">
                <a:noFill/>
              </a:ln>
              <a:effectLst/>
            </c:spPr>
          </c:marker>
          <c:dLbls>
            <c:dLbl>
              <c:idx val="0"/>
              <c:layout>
                <c:manualLayout>
                  <c:x val="-8.6979553873203552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D56-41E6-BF82-D1C045CD0FD9}"/>
                </c:ext>
              </c:extLst>
            </c:dLbl>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rast'!$D$12:$F$12</c:f>
              <c:numCache>
                <c:formatCode>General</c:formatCode>
                <c:ptCount val="3"/>
                <c:pt idx="0">
                  <c:v>2023</c:v>
                </c:pt>
                <c:pt idx="1">
                  <c:v>2024</c:v>
                </c:pt>
                <c:pt idx="2">
                  <c:v>2025</c:v>
                </c:pt>
              </c:numCache>
            </c:numRef>
          </c:cat>
          <c:val>
            <c:numRef>
              <c:f>'Nemacka, Italija, realni rast'!$D$15:$F$15</c:f>
              <c:numCache>
                <c:formatCode>0.0</c:formatCode>
                <c:ptCount val="3"/>
                <c:pt idx="0">
                  <c:v>-0.30499999999999999</c:v>
                </c:pt>
                <c:pt idx="1">
                  <c:v>0.15</c:v>
                </c:pt>
                <c:pt idx="2">
                  <c:v>1.3260000000000001</c:v>
                </c:pt>
              </c:numCache>
            </c:numRef>
          </c:val>
          <c:smooth val="0"/>
          <c:extLst>
            <c:ext xmlns:c16="http://schemas.microsoft.com/office/drawing/2014/chart" uri="{C3380CC4-5D6E-409C-BE32-E72D297353CC}">
              <c16:uniqueId val="{00000009-4D56-41E6-BF82-D1C045CD0FD9}"/>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majorUnit val="1"/>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r>
              <a:rPr lang="sr-Cyrl-RS"/>
              <a:t>Раст БДП у Италији, %</a:t>
            </a:r>
          </a:p>
        </c:rich>
      </c:tx>
      <c:layout>
        <c:manualLayout>
          <c:xMode val="edge"/>
          <c:yMode val="edge"/>
          <c:x val="0.3266378600823045"/>
          <c:y val="2.1166666666666667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2"/>
              </a:solidFill>
              <a:latin typeface="+mn-lt"/>
              <a:ea typeface="+mn-ea"/>
              <a:cs typeface="Times New Roman" panose="02020603050405020304" pitchFamily="18" charset="0"/>
            </a:defRPr>
          </a:pPr>
          <a:endParaRPr lang="sr-Latn-RS"/>
        </a:p>
      </c:txPr>
    </c:title>
    <c:autoTitleDeleted val="0"/>
    <c:plotArea>
      <c:layout>
        <c:manualLayout>
          <c:layoutTarget val="inner"/>
          <c:xMode val="edge"/>
          <c:yMode val="edge"/>
          <c:x val="7.8862457404076075E-2"/>
          <c:y val="0.1857688888888889"/>
          <c:w val="0.88876071125802292"/>
          <c:h val="0.69037833333333332"/>
        </c:manualLayout>
      </c:layout>
      <c:lineChart>
        <c:grouping val="standard"/>
        <c:varyColors val="0"/>
        <c:ser>
          <c:idx val="0"/>
          <c:order val="0"/>
          <c:tx>
            <c:strRef>
              <c:f>'Nemacka, Italija, realni rast'!$A$20</c:f>
              <c:strCache>
                <c:ptCount val="1"/>
                <c:pt idx="0">
                  <c:v>апр. 2023.</c:v>
                </c:pt>
              </c:strCache>
            </c:strRef>
          </c:tx>
          <c:spPr>
            <a:ln w="25400" cap="rnd">
              <a:solidFill>
                <a:schemeClr val="accent4"/>
              </a:solidFill>
              <a:prstDash val="sysDot"/>
              <a:round/>
            </a:ln>
            <a:effectLst/>
          </c:spPr>
          <c:marker>
            <c:symbol val="none"/>
          </c:marker>
          <c:dLbls>
            <c:dLbl>
              <c:idx val="0"/>
              <c:layout>
                <c:manualLayout>
                  <c:x val="-7.8288553953691609E-2"/>
                  <c:y val="7.09646201406830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820-46E8-B297-6F4F6F1F9ED2}"/>
                </c:ext>
              </c:extLst>
            </c:dLbl>
            <c:dLbl>
              <c:idx val="1"/>
              <c:layout>
                <c:manualLayout>
                  <c:x val="-6.9470656764234751E-2"/>
                  <c:y val="-5.04828327782673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820-46E8-B297-6F4F6F1F9ED2}"/>
                </c:ext>
              </c:extLst>
            </c:dLbl>
            <c:dLbl>
              <c:idx val="2"/>
              <c:layout>
                <c:manualLayout>
                  <c:x val="-5.9794306101645552E-2"/>
                  <c:y val="-6.37283714723321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820-46E8-B297-6F4F6F1F9ED2}"/>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accent4">
                        <a:lumMod val="75000"/>
                      </a:schemeClr>
                    </a:solidFill>
                    <a:latin typeface="+mn-lt"/>
                    <a:ea typeface="+mn-ea"/>
                    <a:cs typeface="Times New Roman" panose="02020603050405020304" pitchFamily="18"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rast'!$D$20:$F$20</c:f>
              <c:numCache>
                <c:formatCode>0.0</c:formatCode>
                <c:ptCount val="3"/>
                <c:pt idx="0">
                  <c:v>0.65200000000000002</c:v>
                </c:pt>
                <c:pt idx="1">
                  <c:v>0.78</c:v>
                </c:pt>
                <c:pt idx="2">
                  <c:v>1.2290000000000001</c:v>
                </c:pt>
              </c:numCache>
            </c:numRef>
          </c:val>
          <c:smooth val="0"/>
          <c:extLst>
            <c:ext xmlns:c16="http://schemas.microsoft.com/office/drawing/2014/chart" uri="{C3380CC4-5D6E-409C-BE32-E72D297353CC}">
              <c16:uniqueId val="{00000003-5820-46E8-B297-6F4F6F1F9ED2}"/>
            </c:ext>
          </c:extLst>
        </c:ser>
        <c:ser>
          <c:idx val="1"/>
          <c:order val="1"/>
          <c:tx>
            <c:strRef>
              <c:f>'Nemacka, Italija, realni rast'!$A$21</c:f>
              <c:strCache>
                <c:ptCount val="1"/>
                <c:pt idx="0">
                  <c:v>окт. 2023.</c:v>
                </c:pt>
              </c:strCache>
            </c:strRef>
          </c:tx>
          <c:spPr>
            <a:ln w="22225" cap="rnd">
              <a:solidFill>
                <a:srgbClr val="002060"/>
              </a:solidFill>
              <a:prstDash val="sysDash"/>
              <a:round/>
            </a:ln>
            <a:effectLst/>
          </c:spPr>
          <c:marker>
            <c:symbol val="none"/>
          </c:marker>
          <c:dLbls>
            <c:dLbl>
              <c:idx val="0"/>
              <c:layout>
                <c:manualLayout>
                  <c:x val="-9.6470438328236513E-2"/>
                  <c:y val="-1.51734643587867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820-46E8-B297-6F4F6F1F9ED2}"/>
                </c:ext>
              </c:extLst>
            </c:dLbl>
            <c:dLbl>
              <c:idx val="1"/>
              <c:layout>
                <c:manualLayout>
                  <c:x val="-5.9875330057457245E-2"/>
                  <c:y val="5.5820236127437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820-46E8-B297-6F4F6F1F9ED2}"/>
                </c:ext>
              </c:extLst>
            </c:dLbl>
            <c:dLbl>
              <c:idx val="2"/>
              <c:layout>
                <c:manualLayout>
                  <c:x val="-2.7429372360565023E-2"/>
                  <c:y val="-4.6691258830031009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820-46E8-B297-6F4F6F1F9ED2}"/>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rgbClr val="002060"/>
                    </a:solidFill>
                    <a:latin typeface="+mn-lt"/>
                    <a:ea typeface="+mn-ea"/>
                    <a:cs typeface="Times New Roman" panose="02020603050405020304" pitchFamily="18" charset="0"/>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rast'!$D$21:$F$21</c:f>
              <c:numCache>
                <c:formatCode>0.0</c:formatCode>
                <c:ptCount val="3"/>
                <c:pt idx="0">
                  <c:v>0.67300000000000004</c:v>
                </c:pt>
                <c:pt idx="1">
                  <c:v>0.65500000000000003</c:v>
                </c:pt>
                <c:pt idx="2">
                  <c:v>1.044</c:v>
                </c:pt>
              </c:numCache>
            </c:numRef>
          </c:val>
          <c:smooth val="0"/>
          <c:extLst>
            <c:ext xmlns:c16="http://schemas.microsoft.com/office/drawing/2014/chart" uri="{C3380CC4-5D6E-409C-BE32-E72D297353CC}">
              <c16:uniqueId val="{00000007-5820-46E8-B297-6F4F6F1F9ED2}"/>
            </c:ext>
          </c:extLst>
        </c:ser>
        <c:ser>
          <c:idx val="2"/>
          <c:order val="2"/>
          <c:tx>
            <c:strRef>
              <c:f>'Nemacka, Italija, realni rast'!$A$22</c:f>
              <c:strCache>
                <c:ptCount val="1"/>
                <c:pt idx="0">
                  <c:v>апр 2024.</c:v>
                </c:pt>
              </c:strCache>
            </c:strRef>
          </c:tx>
          <c:spPr>
            <a:ln w="28575" cap="rnd">
              <a:solidFill>
                <a:srgbClr val="FF0000"/>
              </a:solidFill>
              <a:round/>
            </a:ln>
            <a:effectLst/>
          </c:spPr>
          <c:marker>
            <c:symbol val="circle"/>
            <c:size val="13"/>
            <c:spPr>
              <a:solidFill>
                <a:srgbClr val="FF0000"/>
              </a:solidFill>
              <a:ln w="9525">
                <a:noFill/>
              </a:ln>
              <a:effectLst/>
            </c:spPr>
          </c:marker>
          <c:dLbls>
            <c:dLbl>
              <c:idx val="1"/>
              <c:layout>
                <c:manualLayout>
                  <c:x val="-7.828855395369165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820-46E8-B297-6F4F6F1F9ED2}"/>
                </c:ext>
              </c:extLst>
            </c:dLbl>
            <c:spPr>
              <a:noFill/>
              <a:ln>
                <a:noFill/>
              </a:ln>
              <a:effectLst/>
            </c:spPr>
            <c:txPr>
              <a:bodyPr rot="0" spcFirstLastPara="1" vertOverflow="ellipsis" vert="horz" wrap="square" anchor="ctr" anchorCtr="1"/>
              <a:lstStyle/>
              <a:p>
                <a:pPr>
                  <a:defRPr sz="700" b="0" i="0" u="none" strike="noStrike" kern="1200" baseline="0">
                    <a:solidFill>
                      <a:schemeClr val="bg1"/>
                    </a:solidFill>
                    <a:latin typeface="+mn-lt"/>
                    <a:ea typeface="+mn-ea"/>
                    <a:cs typeface="Times New Roman" panose="02020603050405020304" pitchFamily="18" charset="0"/>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'Nemacka, Italija, realni rast'!$D$19:$F$19</c:f>
              <c:numCache>
                <c:formatCode>General</c:formatCode>
                <c:ptCount val="3"/>
                <c:pt idx="0">
                  <c:v>2023</c:v>
                </c:pt>
                <c:pt idx="1">
                  <c:v>2024</c:v>
                </c:pt>
                <c:pt idx="2">
                  <c:v>2025</c:v>
                </c:pt>
              </c:numCache>
            </c:numRef>
          </c:cat>
          <c:val>
            <c:numRef>
              <c:f>'Nemacka, Italija, realni rast'!$D$22:$F$22</c:f>
              <c:numCache>
                <c:formatCode>0.0</c:formatCode>
                <c:ptCount val="3"/>
                <c:pt idx="0">
                  <c:v>0.92100000000000004</c:v>
                </c:pt>
                <c:pt idx="1">
                  <c:v>0.70899999999999996</c:v>
                </c:pt>
                <c:pt idx="2">
                  <c:v>0.71399999999999997</c:v>
                </c:pt>
              </c:numCache>
            </c:numRef>
          </c:val>
          <c:smooth val="0"/>
          <c:extLst>
            <c:ext xmlns:c16="http://schemas.microsoft.com/office/drawing/2014/chart" uri="{C3380CC4-5D6E-409C-BE32-E72D297353CC}">
              <c16:uniqueId val="{00000009-5820-46E8-B297-6F4F6F1F9ED2}"/>
            </c:ext>
          </c:extLst>
        </c:ser>
        <c:dLbls>
          <c:showLegendKey val="0"/>
          <c:showVal val="0"/>
          <c:showCatName val="0"/>
          <c:showSerName val="0"/>
          <c:showPercent val="0"/>
          <c:showBubbleSize val="0"/>
        </c:dLbls>
        <c:smooth val="0"/>
        <c:axId val="852001664"/>
        <c:axId val="852012064"/>
      </c:lineChart>
      <c:catAx>
        <c:axId val="852001664"/>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12064"/>
        <c:crosses val="autoZero"/>
        <c:auto val="1"/>
        <c:lblAlgn val="ctr"/>
        <c:lblOffset val="100"/>
        <c:noMultiLvlLbl val="0"/>
      </c:catAx>
      <c:valAx>
        <c:axId val="852012064"/>
        <c:scaling>
          <c:orientation val="minMax"/>
        </c:scaling>
        <c:delete val="0"/>
        <c:axPos val="l"/>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Times New Roman" panose="02020603050405020304" pitchFamily="18" charset="0"/>
              </a:defRPr>
            </a:pPr>
            <a:endParaRPr lang="sr-Latn-RS"/>
          </a:p>
        </c:txPr>
        <c:crossAx val="8520016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sr-Latn-R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652245513160466E-2"/>
          <c:y val="3.6405005688282137E-2"/>
          <c:w val="0.87031860600758237"/>
          <c:h val="0.72146846846846846"/>
        </c:manualLayout>
      </c:layout>
      <c:lineChart>
        <c:grouping val="standard"/>
        <c:varyColors val="0"/>
        <c:ser>
          <c:idx val="0"/>
          <c:order val="0"/>
          <c:tx>
            <c:strRef>
              <c:f>Commodities!$P$6</c:f>
              <c:strCache>
                <c:ptCount val="1"/>
                <c:pt idx="0">
                  <c:v>Сви производи</c:v>
                </c:pt>
              </c:strCache>
            </c:strRef>
          </c:tx>
          <c:spPr>
            <a:ln w="22225" cap="rnd">
              <a:solidFill>
                <a:srgbClr val="003891"/>
              </a:solidFill>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Commodities!$P$20:$P$127</c:f>
              <c:numCache>
                <c:formatCode>0.0</c:formatCode>
                <c:ptCount val="108"/>
                <c:pt idx="0">
                  <c:v>117.101</c:v>
                </c:pt>
                <c:pt idx="1">
                  <c:v>119.893</c:v>
                </c:pt>
                <c:pt idx="2">
                  <c:v>115.166</c:v>
                </c:pt>
                <c:pt idx="3">
                  <c:v>116.28400000000001</c:v>
                </c:pt>
                <c:pt idx="4">
                  <c:v>119.268</c:v>
                </c:pt>
                <c:pt idx="5">
                  <c:v>116.46</c:v>
                </c:pt>
                <c:pt idx="6">
                  <c:v>109.998</c:v>
                </c:pt>
                <c:pt idx="7">
                  <c:v>103.128</c:v>
                </c:pt>
                <c:pt idx="8">
                  <c:v>102.812</c:v>
                </c:pt>
                <c:pt idx="9">
                  <c:v>103.01900000000001</c:v>
                </c:pt>
                <c:pt idx="10">
                  <c:v>97.135000000000005</c:v>
                </c:pt>
                <c:pt idx="11">
                  <c:v>91.948999999999998</c:v>
                </c:pt>
                <c:pt idx="12">
                  <c:v>86.426000000000002</c:v>
                </c:pt>
                <c:pt idx="13">
                  <c:v>88.117999999999995</c:v>
                </c:pt>
                <c:pt idx="14">
                  <c:v>94.376999999999995</c:v>
                </c:pt>
                <c:pt idx="15">
                  <c:v>97.275000000000006</c:v>
                </c:pt>
                <c:pt idx="16">
                  <c:v>100.786</c:v>
                </c:pt>
                <c:pt idx="17">
                  <c:v>103.128</c:v>
                </c:pt>
                <c:pt idx="18">
                  <c:v>102.57599999999999</c:v>
                </c:pt>
                <c:pt idx="19">
                  <c:v>102.843</c:v>
                </c:pt>
                <c:pt idx="20">
                  <c:v>102.619</c:v>
                </c:pt>
                <c:pt idx="21">
                  <c:v>106.009</c:v>
                </c:pt>
                <c:pt idx="22">
                  <c:v>104.985</c:v>
                </c:pt>
                <c:pt idx="23">
                  <c:v>110.857</c:v>
                </c:pt>
                <c:pt idx="24">
                  <c:v>114.408</c:v>
                </c:pt>
                <c:pt idx="25">
                  <c:v>114.667</c:v>
                </c:pt>
                <c:pt idx="26">
                  <c:v>109.16800000000001</c:v>
                </c:pt>
                <c:pt idx="27">
                  <c:v>109.111</c:v>
                </c:pt>
                <c:pt idx="28">
                  <c:v>106.873</c:v>
                </c:pt>
                <c:pt idx="29">
                  <c:v>103.58799999999999</c:v>
                </c:pt>
                <c:pt idx="30">
                  <c:v>106.164</c:v>
                </c:pt>
                <c:pt idx="31">
                  <c:v>108.601</c:v>
                </c:pt>
                <c:pt idx="32">
                  <c:v>110.996</c:v>
                </c:pt>
                <c:pt idx="33">
                  <c:v>112.496</c:v>
                </c:pt>
                <c:pt idx="34">
                  <c:v>117.3</c:v>
                </c:pt>
                <c:pt idx="35">
                  <c:v>118.822</c:v>
                </c:pt>
                <c:pt idx="36">
                  <c:v>124.44499999999999</c:v>
                </c:pt>
                <c:pt idx="37">
                  <c:v>121.846</c:v>
                </c:pt>
                <c:pt idx="38">
                  <c:v>121.348</c:v>
                </c:pt>
                <c:pt idx="39">
                  <c:v>122.752</c:v>
                </c:pt>
                <c:pt idx="40">
                  <c:v>126.78</c:v>
                </c:pt>
                <c:pt idx="41">
                  <c:v>125.444</c:v>
                </c:pt>
                <c:pt idx="42">
                  <c:v>123.71599999999999</c:v>
                </c:pt>
                <c:pt idx="43">
                  <c:v>121.419</c:v>
                </c:pt>
                <c:pt idx="44">
                  <c:v>125.291</c:v>
                </c:pt>
                <c:pt idx="45">
                  <c:v>126.11199999999999</c:v>
                </c:pt>
                <c:pt idx="46">
                  <c:v>115.71</c:v>
                </c:pt>
                <c:pt idx="47">
                  <c:v>110.77200000000001</c:v>
                </c:pt>
                <c:pt idx="48">
                  <c:v>111.629</c:v>
                </c:pt>
                <c:pt idx="49">
                  <c:v>112.798</c:v>
                </c:pt>
                <c:pt idx="50">
                  <c:v>112.751</c:v>
                </c:pt>
                <c:pt idx="51">
                  <c:v>115.366</c:v>
                </c:pt>
                <c:pt idx="52">
                  <c:v>112.17700000000001</c:v>
                </c:pt>
                <c:pt idx="53">
                  <c:v>107.68</c:v>
                </c:pt>
                <c:pt idx="54">
                  <c:v>109.848</c:v>
                </c:pt>
                <c:pt idx="55">
                  <c:v>104.86</c:v>
                </c:pt>
                <c:pt idx="56">
                  <c:v>106.68</c:v>
                </c:pt>
                <c:pt idx="57">
                  <c:v>105.111</c:v>
                </c:pt>
                <c:pt idx="58">
                  <c:v>108.691</c:v>
                </c:pt>
                <c:pt idx="59">
                  <c:v>111.473</c:v>
                </c:pt>
                <c:pt idx="60">
                  <c:v>110.589</c:v>
                </c:pt>
                <c:pt idx="61">
                  <c:v>102.235</c:v>
                </c:pt>
                <c:pt idx="62">
                  <c:v>86.674000000000007</c:v>
                </c:pt>
                <c:pt idx="63">
                  <c:v>79.652000000000001</c:v>
                </c:pt>
                <c:pt idx="64">
                  <c:v>85.894999999999996</c:v>
                </c:pt>
                <c:pt idx="65">
                  <c:v>93.042000000000002</c:v>
                </c:pt>
                <c:pt idx="66">
                  <c:v>95.349000000000004</c:v>
                </c:pt>
                <c:pt idx="67">
                  <c:v>100.401</c:v>
                </c:pt>
                <c:pt idx="68">
                  <c:v>99.936999999999998</c:v>
                </c:pt>
                <c:pt idx="69">
                  <c:v>102.586</c:v>
                </c:pt>
                <c:pt idx="70">
                  <c:v>106.32599999999999</c:v>
                </c:pt>
                <c:pt idx="71">
                  <c:v>115.464</c:v>
                </c:pt>
                <c:pt idx="72">
                  <c:v>125.72</c:v>
                </c:pt>
                <c:pt idx="73">
                  <c:v>125.967</c:v>
                </c:pt>
                <c:pt idx="74">
                  <c:v>127.824</c:v>
                </c:pt>
                <c:pt idx="75">
                  <c:v>130.59200000000001</c:v>
                </c:pt>
                <c:pt idx="76">
                  <c:v>138.43100000000001</c:v>
                </c:pt>
                <c:pt idx="77">
                  <c:v>142.078</c:v>
                </c:pt>
                <c:pt idx="78">
                  <c:v>144.97200000000001</c:v>
                </c:pt>
                <c:pt idx="79">
                  <c:v>143.227</c:v>
                </c:pt>
                <c:pt idx="80">
                  <c:v>150.185</c:v>
                </c:pt>
                <c:pt idx="81">
                  <c:v>166.25</c:v>
                </c:pt>
                <c:pt idx="82">
                  <c:v>158.16900000000001</c:v>
                </c:pt>
                <c:pt idx="83">
                  <c:v>160.78800000000001</c:v>
                </c:pt>
                <c:pt idx="84">
                  <c:v>164.19300000000001</c:v>
                </c:pt>
                <c:pt idx="85">
                  <c:v>172.233</c:v>
                </c:pt>
                <c:pt idx="86">
                  <c:v>200.328</c:v>
                </c:pt>
                <c:pt idx="87">
                  <c:v>189.584</c:v>
                </c:pt>
                <c:pt idx="88">
                  <c:v>185.93299999999999</c:v>
                </c:pt>
                <c:pt idx="89">
                  <c:v>187.68100000000001</c:v>
                </c:pt>
                <c:pt idx="90">
                  <c:v>185.95500000000001</c:v>
                </c:pt>
                <c:pt idx="91">
                  <c:v>196.13300000000001</c:v>
                </c:pt>
                <c:pt idx="92">
                  <c:v>177.995</c:v>
                </c:pt>
                <c:pt idx="93">
                  <c:v>154.19</c:v>
                </c:pt>
                <c:pt idx="94">
                  <c:v>154.923</c:v>
                </c:pt>
                <c:pt idx="95">
                  <c:v>157.23400000000001</c:v>
                </c:pt>
                <c:pt idx="96">
                  <c:v>146.58600000000001</c:v>
                </c:pt>
                <c:pt idx="97">
                  <c:v>139.327</c:v>
                </c:pt>
                <c:pt idx="98">
                  <c:v>133.887</c:v>
                </c:pt>
                <c:pt idx="99">
                  <c:v>135.16300000000001</c:v>
                </c:pt>
                <c:pt idx="100">
                  <c:v>124.062</c:v>
                </c:pt>
                <c:pt idx="101">
                  <c:v>121.251</c:v>
                </c:pt>
                <c:pt idx="102">
                  <c:v>124.036</c:v>
                </c:pt>
                <c:pt idx="103">
                  <c:v>126.127</c:v>
                </c:pt>
                <c:pt idx="104">
                  <c:v>131.53700000000001</c:v>
                </c:pt>
                <c:pt idx="105">
                  <c:v>131.04300000000001</c:v>
                </c:pt>
                <c:pt idx="106">
                  <c:v>129.124</c:v>
                </c:pt>
                <c:pt idx="107">
                  <c:v>124.88200000000001</c:v>
                </c:pt>
              </c:numCache>
            </c:numRef>
          </c:val>
          <c:smooth val="0"/>
          <c:extLst>
            <c:ext xmlns:c16="http://schemas.microsoft.com/office/drawing/2014/chart" uri="{C3380CC4-5D6E-409C-BE32-E72D297353CC}">
              <c16:uniqueId val="{00000000-778A-4D68-B45D-8BAE9ED61DC1}"/>
            </c:ext>
          </c:extLst>
        </c:ser>
        <c:ser>
          <c:idx val="1"/>
          <c:order val="1"/>
          <c:tx>
            <c:strRef>
              <c:f>Commodities!$Q$6</c:f>
              <c:strCache>
                <c:ptCount val="1"/>
                <c:pt idx="0">
                  <c:v>Основни метали</c:v>
                </c:pt>
              </c:strCache>
            </c:strRef>
          </c:tx>
          <c:spPr>
            <a:ln w="22225" cap="rnd">
              <a:solidFill>
                <a:srgbClr val="EC008C"/>
              </a:solidFill>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Commodities!$Q$20:$Q$127</c:f>
              <c:numCache>
                <c:formatCode>0.0</c:formatCode>
                <c:ptCount val="108"/>
                <c:pt idx="0">
                  <c:v>123.56</c:v>
                </c:pt>
                <c:pt idx="1">
                  <c:v>118.464</c:v>
                </c:pt>
                <c:pt idx="2">
                  <c:v>115.14100000000001</c:v>
                </c:pt>
                <c:pt idx="3">
                  <c:v>112.718</c:v>
                </c:pt>
                <c:pt idx="4">
                  <c:v>118.148</c:v>
                </c:pt>
                <c:pt idx="5">
                  <c:v>112.65300000000001</c:v>
                </c:pt>
                <c:pt idx="6">
                  <c:v>102.738</c:v>
                </c:pt>
                <c:pt idx="7">
                  <c:v>101.44799999999999</c:v>
                </c:pt>
                <c:pt idx="8">
                  <c:v>101.696</c:v>
                </c:pt>
                <c:pt idx="9">
                  <c:v>99.009</c:v>
                </c:pt>
                <c:pt idx="10">
                  <c:v>91.266000000000005</c:v>
                </c:pt>
                <c:pt idx="11">
                  <c:v>87.314999999999998</c:v>
                </c:pt>
                <c:pt idx="12">
                  <c:v>86.406000000000006</c:v>
                </c:pt>
                <c:pt idx="13">
                  <c:v>90.448999999999998</c:v>
                </c:pt>
                <c:pt idx="14">
                  <c:v>97.722999999999999</c:v>
                </c:pt>
                <c:pt idx="15">
                  <c:v>99.415999999999997</c:v>
                </c:pt>
                <c:pt idx="16">
                  <c:v>95.78</c:v>
                </c:pt>
                <c:pt idx="17">
                  <c:v>94.653999999999996</c:v>
                </c:pt>
                <c:pt idx="18">
                  <c:v>100.22199999999999</c:v>
                </c:pt>
                <c:pt idx="19">
                  <c:v>101.925</c:v>
                </c:pt>
                <c:pt idx="20">
                  <c:v>99.459000000000003</c:v>
                </c:pt>
                <c:pt idx="21">
                  <c:v>100.45</c:v>
                </c:pt>
                <c:pt idx="22">
                  <c:v>114.64</c:v>
                </c:pt>
                <c:pt idx="23">
                  <c:v>118.876</c:v>
                </c:pt>
                <c:pt idx="24">
                  <c:v>120.002</c:v>
                </c:pt>
                <c:pt idx="25">
                  <c:v>126.874</c:v>
                </c:pt>
                <c:pt idx="26">
                  <c:v>125.285</c:v>
                </c:pt>
                <c:pt idx="27">
                  <c:v>114.779</c:v>
                </c:pt>
                <c:pt idx="28">
                  <c:v>109.553</c:v>
                </c:pt>
                <c:pt idx="29">
                  <c:v>107.684</c:v>
                </c:pt>
                <c:pt idx="30">
                  <c:v>114.946</c:v>
                </c:pt>
                <c:pt idx="31">
                  <c:v>124.214</c:v>
                </c:pt>
                <c:pt idx="32">
                  <c:v>122.672</c:v>
                </c:pt>
                <c:pt idx="33">
                  <c:v>120.93</c:v>
                </c:pt>
                <c:pt idx="34">
                  <c:v>122.426</c:v>
                </c:pt>
                <c:pt idx="35">
                  <c:v>126.83799999999999</c:v>
                </c:pt>
                <c:pt idx="36">
                  <c:v>132.333</c:v>
                </c:pt>
                <c:pt idx="37">
                  <c:v>132.70699999999999</c:v>
                </c:pt>
                <c:pt idx="38">
                  <c:v>127.45</c:v>
                </c:pt>
                <c:pt idx="39">
                  <c:v>128.31200000000001</c:v>
                </c:pt>
                <c:pt idx="40">
                  <c:v>128.21700000000001</c:v>
                </c:pt>
                <c:pt idx="41">
                  <c:v>128.93299999999999</c:v>
                </c:pt>
                <c:pt idx="42">
                  <c:v>120.91500000000001</c:v>
                </c:pt>
                <c:pt idx="43">
                  <c:v>119.125</c:v>
                </c:pt>
                <c:pt idx="44">
                  <c:v>118.44</c:v>
                </c:pt>
                <c:pt idx="45">
                  <c:v>121.232</c:v>
                </c:pt>
                <c:pt idx="46">
                  <c:v>119.928</c:v>
                </c:pt>
                <c:pt idx="47">
                  <c:v>117.637</c:v>
                </c:pt>
                <c:pt idx="48">
                  <c:v>119.158</c:v>
                </c:pt>
                <c:pt idx="49">
                  <c:v>127.883</c:v>
                </c:pt>
                <c:pt idx="50">
                  <c:v>128.72300000000001</c:v>
                </c:pt>
                <c:pt idx="51">
                  <c:v>131.40600000000001</c:v>
                </c:pt>
                <c:pt idx="52">
                  <c:v>130.309</c:v>
                </c:pt>
                <c:pt idx="53">
                  <c:v>132.56700000000001</c:v>
                </c:pt>
                <c:pt idx="54">
                  <c:v>138.316</c:v>
                </c:pt>
                <c:pt idx="55">
                  <c:v>124.70699999999999</c:v>
                </c:pt>
                <c:pt idx="56">
                  <c:v>126.023</c:v>
                </c:pt>
                <c:pt idx="57">
                  <c:v>123.657</c:v>
                </c:pt>
                <c:pt idx="58">
                  <c:v>119.767</c:v>
                </c:pt>
                <c:pt idx="59">
                  <c:v>122.48399999999999</c:v>
                </c:pt>
                <c:pt idx="60">
                  <c:v>123.807</c:v>
                </c:pt>
                <c:pt idx="61">
                  <c:v>116.724</c:v>
                </c:pt>
                <c:pt idx="62">
                  <c:v>113.041</c:v>
                </c:pt>
                <c:pt idx="63">
                  <c:v>108.678</c:v>
                </c:pt>
                <c:pt idx="64">
                  <c:v>113.512</c:v>
                </c:pt>
                <c:pt idx="65">
                  <c:v>123.206</c:v>
                </c:pt>
                <c:pt idx="66">
                  <c:v>129.70500000000001</c:v>
                </c:pt>
                <c:pt idx="67">
                  <c:v>137.708</c:v>
                </c:pt>
                <c:pt idx="68">
                  <c:v>140.232</c:v>
                </c:pt>
                <c:pt idx="69">
                  <c:v>139.232</c:v>
                </c:pt>
                <c:pt idx="70">
                  <c:v>145.92699999999999</c:v>
                </c:pt>
                <c:pt idx="71">
                  <c:v>165.99100000000001</c:v>
                </c:pt>
                <c:pt idx="72">
                  <c:v>173.97800000000001</c:v>
                </c:pt>
                <c:pt idx="73">
                  <c:v>175.874</c:v>
                </c:pt>
                <c:pt idx="74">
                  <c:v>180.03399999999999</c:v>
                </c:pt>
                <c:pt idx="75">
                  <c:v>187.12100000000001</c:v>
                </c:pt>
                <c:pt idx="76">
                  <c:v>204.316</c:v>
                </c:pt>
                <c:pt idx="77">
                  <c:v>209.785</c:v>
                </c:pt>
                <c:pt idx="78">
                  <c:v>210.006</c:v>
                </c:pt>
                <c:pt idx="79">
                  <c:v>186.27500000000001</c:v>
                </c:pt>
                <c:pt idx="80">
                  <c:v>167.559</c:v>
                </c:pt>
                <c:pt idx="81">
                  <c:v>170.55799999999999</c:v>
                </c:pt>
                <c:pt idx="82">
                  <c:v>155.542</c:v>
                </c:pt>
                <c:pt idx="83">
                  <c:v>164.131</c:v>
                </c:pt>
                <c:pt idx="84">
                  <c:v>178.398</c:v>
                </c:pt>
                <c:pt idx="85">
                  <c:v>183.34299999999999</c:v>
                </c:pt>
                <c:pt idx="86">
                  <c:v>194.94399999999999</c:v>
                </c:pt>
                <c:pt idx="87">
                  <c:v>192.20699999999999</c:v>
                </c:pt>
                <c:pt idx="88">
                  <c:v>170.93100000000001</c:v>
                </c:pt>
                <c:pt idx="89">
                  <c:v>162.27500000000001</c:v>
                </c:pt>
                <c:pt idx="90">
                  <c:v>139.768</c:v>
                </c:pt>
                <c:pt idx="91">
                  <c:v>141.65899999999999</c:v>
                </c:pt>
                <c:pt idx="92">
                  <c:v>134.17699999999999</c:v>
                </c:pt>
                <c:pt idx="93">
                  <c:v>130.209</c:v>
                </c:pt>
                <c:pt idx="94">
                  <c:v>136.303</c:v>
                </c:pt>
                <c:pt idx="95">
                  <c:v>149.09899999999999</c:v>
                </c:pt>
                <c:pt idx="96">
                  <c:v>159.566</c:v>
                </c:pt>
                <c:pt idx="97">
                  <c:v>166.88900000000001</c:v>
                </c:pt>
                <c:pt idx="98">
                  <c:v>161.94499999999999</c:v>
                </c:pt>
                <c:pt idx="99">
                  <c:v>154.75700000000001</c:v>
                </c:pt>
                <c:pt idx="100">
                  <c:v>140.67400000000001</c:v>
                </c:pt>
                <c:pt idx="101">
                  <c:v>140.84399999999999</c:v>
                </c:pt>
                <c:pt idx="102">
                  <c:v>141.28899999999999</c:v>
                </c:pt>
                <c:pt idx="103">
                  <c:v>137.80699999999999</c:v>
                </c:pt>
                <c:pt idx="104">
                  <c:v>142.54599999999999</c:v>
                </c:pt>
                <c:pt idx="105">
                  <c:v>140.614</c:v>
                </c:pt>
                <c:pt idx="106">
                  <c:v>147.262</c:v>
                </c:pt>
                <c:pt idx="107">
                  <c:v>149.535</c:v>
                </c:pt>
              </c:numCache>
            </c:numRef>
          </c:val>
          <c:smooth val="0"/>
          <c:extLst>
            <c:ext xmlns:c16="http://schemas.microsoft.com/office/drawing/2014/chart" uri="{C3380CC4-5D6E-409C-BE32-E72D297353CC}">
              <c16:uniqueId val="{00000001-778A-4D68-B45D-8BAE9ED61DC1}"/>
            </c:ext>
          </c:extLst>
        </c:ser>
        <c:ser>
          <c:idx val="2"/>
          <c:order val="2"/>
          <c:tx>
            <c:strRef>
              <c:f>Commodities!$R$6</c:f>
              <c:strCache>
                <c:ptCount val="1"/>
                <c:pt idx="0">
                  <c:v>Храна</c:v>
                </c:pt>
              </c:strCache>
            </c:strRef>
          </c:tx>
          <c:spPr>
            <a:ln w="22225" cap="rnd">
              <a:solidFill>
                <a:srgbClr val="7F3F98"/>
              </a:solidFill>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Commodities!$R$20:$R$127</c:f>
              <c:numCache>
                <c:formatCode>0.0</c:formatCode>
                <c:ptCount val="108"/>
                <c:pt idx="0">
                  <c:v>107.374</c:v>
                </c:pt>
                <c:pt idx="1">
                  <c:v>103.83499999999999</c:v>
                </c:pt>
                <c:pt idx="2">
                  <c:v>100.601</c:v>
                </c:pt>
                <c:pt idx="3">
                  <c:v>102.355</c:v>
                </c:pt>
                <c:pt idx="4">
                  <c:v>101.717</c:v>
                </c:pt>
                <c:pt idx="5">
                  <c:v>100.895</c:v>
                </c:pt>
                <c:pt idx="6">
                  <c:v>100.741</c:v>
                </c:pt>
                <c:pt idx="7">
                  <c:v>97.793000000000006</c:v>
                </c:pt>
                <c:pt idx="8">
                  <c:v>97.141999999999996</c:v>
                </c:pt>
                <c:pt idx="9">
                  <c:v>97.724000000000004</c:v>
                </c:pt>
                <c:pt idx="10">
                  <c:v>93.831999999999994</c:v>
                </c:pt>
                <c:pt idx="11">
                  <c:v>93.728999999999999</c:v>
                </c:pt>
                <c:pt idx="12">
                  <c:v>93.54</c:v>
                </c:pt>
                <c:pt idx="13">
                  <c:v>94.789000000000001</c:v>
                </c:pt>
                <c:pt idx="14">
                  <c:v>97.864999999999995</c:v>
                </c:pt>
                <c:pt idx="15">
                  <c:v>100.399</c:v>
                </c:pt>
                <c:pt idx="16">
                  <c:v>101.36499999999999</c:v>
                </c:pt>
                <c:pt idx="17">
                  <c:v>103.16200000000001</c:v>
                </c:pt>
                <c:pt idx="18">
                  <c:v>103.633</c:v>
                </c:pt>
                <c:pt idx="19">
                  <c:v>101.786</c:v>
                </c:pt>
                <c:pt idx="20">
                  <c:v>101.126</c:v>
                </c:pt>
                <c:pt idx="21">
                  <c:v>99.944000000000003</c:v>
                </c:pt>
                <c:pt idx="22">
                  <c:v>100.649</c:v>
                </c:pt>
                <c:pt idx="23">
                  <c:v>101.741</c:v>
                </c:pt>
                <c:pt idx="24">
                  <c:v>105.313</c:v>
                </c:pt>
                <c:pt idx="25">
                  <c:v>105.462</c:v>
                </c:pt>
                <c:pt idx="26">
                  <c:v>101.84399999999999</c:v>
                </c:pt>
                <c:pt idx="27">
                  <c:v>100.92400000000001</c:v>
                </c:pt>
                <c:pt idx="28">
                  <c:v>103.205</c:v>
                </c:pt>
                <c:pt idx="29">
                  <c:v>102.42400000000001</c:v>
                </c:pt>
                <c:pt idx="30">
                  <c:v>104.79600000000001</c:v>
                </c:pt>
                <c:pt idx="31">
                  <c:v>99.807000000000002</c:v>
                </c:pt>
                <c:pt idx="32">
                  <c:v>98.082999999999998</c:v>
                </c:pt>
                <c:pt idx="33">
                  <c:v>98.927000000000007</c:v>
                </c:pt>
                <c:pt idx="34">
                  <c:v>99.546000000000006</c:v>
                </c:pt>
                <c:pt idx="35">
                  <c:v>99.596000000000004</c:v>
                </c:pt>
                <c:pt idx="36">
                  <c:v>102.48</c:v>
                </c:pt>
                <c:pt idx="37">
                  <c:v>102.09099999999999</c:v>
                </c:pt>
                <c:pt idx="38">
                  <c:v>102.834</c:v>
                </c:pt>
                <c:pt idx="39">
                  <c:v>102.248</c:v>
                </c:pt>
                <c:pt idx="40">
                  <c:v>103.393</c:v>
                </c:pt>
                <c:pt idx="41">
                  <c:v>99.149000000000001</c:v>
                </c:pt>
                <c:pt idx="42">
                  <c:v>96.522999999999996</c:v>
                </c:pt>
                <c:pt idx="43">
                  <c:v>92.691000000000003</c:v>
                </c:pt>
                <c:pt idx="44">
                  <c:v>93.786000000000001</c:v>
                </c:pt>
                <c:pt idx="45">
                  <c:v>95.323999999999998</c:v>
                </c:pt>
                <c:pt idx="46">
                  <c:v>91.296000000000006</c:v>
                </c:pt>
                <c:pt idx="47">
                  <c:v>94.296999999999997</c:v>
                </c:pt>
                <c:pt idx="48">
                  <c:v>95.811999999999998</c:v>
                </c:pt>
                <c:pt idx="49">
                  <c:v>93.799000000000007</c:v>
                </c:pt>
                <c:pt idx="50">
                  <c:v>92.603999999999999</c:v>
                </c:pt>
                <c:pt idx="51">
                  <c:v>95.409000000000006</c:v>
                </c:pt>
                <c:pt idx="52">
                  <c:v>91.948999999999998</c:v>
                </c:pt>
                <c:pt idx="53">
                  <c:v>93.915999999999997</c:v>
                </c:pt>
                <c:pt idx="54">
                  <c:v>93.814999999999998</c:v>
                </c:pt>
                <c:pt idx="55">
                  <c:v>91.938000000000002</c:v>
                </c:pt>
                <c:pt idx="56">
                  <c:v>89.802000000000007</c:v>
                </c:pt>
                <c:pt idx="57">
                  <c:v>89.903999999999996</c:v>
                </c:pt>
                <c:pt idx="58">
                  <c:v>93.587999999999994</c:v>
                </c:pt>
                <c:pt idx="59">
                  <c:v>97.168000000000006</c:v>
                </c:pt>
                <c:pt idx="60">
                  <c:v>98.08</c:v>
                </c:pt>
                <c:pt idx="61">
                  <c:v>93.83</c:v>
                </c:pt>
                <c:pt idx="62">
                  <c:v>90.397000000000006</c:v>
                </c:pt>
                <c:pt idx="63">
                  <c:v>87.010999999999996</c:v>
                </c:pt>
                <c:pt idx="64">
                  <c:v>90.364000000000004</c:v>
                </c:pt>
                <c:pt idx="65">
                  <c:v>92.935000000000002</c:v>
                </c:pt>
                <c:pt idx="66">
                  <c:v>90.456999999999994</c:v>
                </c:pt>
                <c:pt idx="67">
                  <c:v>91.084999999999994</c:v>
                </c:pt>
                <c:pt idx="68">
                  <c:v>92.207999999999998</c:v>
                </c:pt>
                <c:pt idx="69">
                  <c:v>97.042000000000002</c:v>
                </c:pt>
                <c:pt idx="70">
                  <c:v>100.33</c:v>
                </c:pt>
                <c:pt idx="71">
                  <c:v>101.292</c:v>
                </c:pt>
                <c:pt idx="72">
                  <c:v>107.30200000000001</c:v>
                </c:pt>
                <c:pt idx="73">
                  <c:v>109.3</c:v>
                </c:pt>
                <c:pt idx="74">
                  <c:v>110.992</c:v>
                </c:pt>
                <c:pt idx="75">
                  <c:v>116.929</c:v>
                </c:pt>
                <c:pt idx="76">
                  <c:v>121.59699999999999</c:v>
                </c:pt>
                <c:pt idx="77">
                  <c:v>113.89400000000001</c:v>
                </c:pt>
                <c:pt idx="78">
                  <c:v>113.82299999999999</c:v>
                </c:pt>
                <c:pt idx="79">
                  <c:v>115.735</c:v>
                </c:pt>
                <c:pt idx="80">
                  <c:v>111.999</c:v>
                </c:pt>
                <c:pt idx="81">
                  <c:v>112.386</c:v>
                </c:pt>
                <c:pt idx="82">
                  <c:v>113.636</c:v>
                </c:pt>
                <c:pt idx="83">
                  <c:v>116.535</c:v>
                </c:pt>
                <c:pt idx="84">
                  <c:v>121.11199999999999</c:v>
                </c:pt>
                <c:pt idx="85">
                  <c:v>125.834</c:v>
                </c:pt>
                <c:pt idx="86">
                  <c:v>134.38200000000001</c:v>
                </c:pt>
                <c:pt idx="87">
                  <c:v>137.62200000000001</c:v>
                </c:pt>
                <c:pt idx="88">
                  <c:v>133.47499999999999</c:v>
                </c:pt>
                <c:pt idx="89">
                  <c:v>126.47199999999999</c:v>
                </c:pt>
                <c:pt idx="90">
                  <c:v>116.85299999999999</c:v>
                </c:pt>
                <c:pt idx="91">
                  <c:v>113.66800000000001</c:v>
                </c:pt>
                <c:pt idx="92">
                  <c:v>109.563</c:v>
                </c:pt>
                <c:pt idx="93">
                  <c:v>111.38800000000001</c:v>
                </c:pt>
                <c:pt idx="94">
                  <c:v>111.496</c:v>
                </c:pt>
                <c:pt idx="95">
                  <c:v>110.34</c:v>
                </c:pt>
                <c:pt idx="96">
                  <c:v>111.02800000000001</c:v>
                </c:pt>
                <c:pt idx="97">
                  <c:v>113.81</c:v>
                </c:pt>
                <c:pt idx="98">
                  <c:v>116.27800000000001</c:v>
                </c:pt>
                <c:pt idx="99">
                  <c:v>115.642</c:v>
                </c:pt>
                <c:pt idx="100">
                  <c:v>109.443</c:v>
                </c:pt>
                <c:pt idx="101">
                  <c:v>107.05800000000001</c:v>
                </c:pt>
                <c:pt idx="102">
                  <c:v>107.32599999999999</c:v>
                </c:pt>
                <c:pt idx="103">
                  <c:v>102.657</c:v>
                </c:pt>
                <c:pt idx="104">
                  <c:v>102.24299999999999</c:v>
                </c:pt>
                <c:pt idx="105">
                  <c:v>103.34099999999999</c:v>
                </c:pt>
                <c:pt idx="106">
                  <c:v>106.146</c:v>
                </c:pt>
                <c:pt idx="107">
                  <c:v>104.776</c:v>
                </c:pt>
              </c:numCache>
            </c:numRef>
          </c:val>
          <c:smooth val="0"/>
          <c:extLst>
            <c:ext xmlns:c16="http://schemas.microsoft.com/office/drawing/2014/chart" uri="{C3380CC4-5D6E-409C-BE32-E72D297353CC}">
              <c16:uniqueId val="{00000002-778A-4D68-B45D-8BAE9ED61DC1}"/>
            </c:ext>
          </c:extLst>
        </c:ser>
        <c:ser>
          <c:idx val="4"/>
          <c:order val="3"/>
          <c:tx>
            <c:strRef>
              <c:f>Commodities!$S$6</c:f>
              <c:strCache>
                <c:ptCount val="1"/>
                <c:pt idx="0">
                  <c:v>Енергија</c:v>
                </c:pt>
              </c:strCache>
            </c:strRef>
          </c:tx>
          <c:spPr>
            <a:ln w="22225" cap="rnd">
              <a:solidFill>
                <a:srgbClr val="00A651"/>
              </a:solidFill>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Commodities!$S$20:$S$127</c:f>
              <c:numCache>
                <c:formatCode>0.0</c:formatCode>
                <c:ptCount val="108"/>
                <c:pt idx="0">
                  <c:v>125.429</c:v>
                </c:pt>
                <c:pt idx="1">
                  <c:v>136.76900000000001</c:v>
                </c:pt>
                <c:pt idx="2">
                  <c:v>130.52799999999999</c:v>
                </c:pt>
                <c:pt idx="3">
                  <c:v>132.518</c:v>
                </c:pt>
                <c:pt idx="4">
                  <c:v>138.87100000000001</c:v>
                </c:pt>
                <c:pt idx="5">
                  <c:v>135.03800000000001</c:v>
                </c:pt>
                <c:pt idx="6">
                  <c:v>123.738</c:v>
                </c:pt>
                <c:pt idx="7">
                  <c:v>110.093</c:v>
                </c:pt>
                <c:pt idx="8">
                  <c:v>110.06100000000001</c:v>
                </c:pt>
                <c:pt idx="9">
                  <c:v>109.983</c:v>
                </c:pt>
                <c:pt idx="10">
                  <c:v>102.49</c:v>
                </c:pt>
                <c:pt idx="11">
                  <c:v>91.671999999999997</c:v>
                </c:pt>
                <c:pt idx="12">
                  <c:v>78.712999999999994</c:v>
                </c:pt>
                <c:pt idx="13">
                  <c:v>78.804000000000002</c:v>
                </c:pt>
                <c:pt idx="14">
                  <c:v>88.429000000000002</c:v>
                </c:pt>
                <c:pt idx="15">
                  <c:v>92.909000000000006</c:v>
                </c:pt>
                <c:pt idx="16">
                  <c:v>101.474</c:v>
                </c:pt>
                <c:pt idx="17">
                  <c:v>106.333</c:v>
                </c:pt>
                <c:pt idx="18">
                  <c:v>101.59399999999999</c:v>
                </c:pt>
                <c:pt idx="19">
                  <c:v>103.1</c:v>
                </c:pt>
                <c:pt idx="20">
                  <c:v>104.104</c:v>
                </c:pt>
                <c:pt idx="21">
                  <c:v>114.53400000000001</c:v>
                </c:pt>
                <c:pt idx="22">
                  <c:v>107.929</c:v>
                </c:pt>
                <c:pt idx="23">
                  <c:v>122.078</c:v>
                </c:pt>
                <c:pt idx="24">
                  <c:v>126.44</c:v>
                </c:pt>
                <c:pt idx="25">
                  <c:v>123.86499999999999</c:v>
                </c:pt>
                <c:pt idx="26">
                  <c:v>114.065</c:v>
                </c:pt>
                <c:pt idx="27">
                  <c:v>117.12</c:v>
                </c:pt>
                <c:pt idx="28">
                  <c:v>112.345</c:v>
                </c:pt>
                <c:pt idx="29">
                  <c:v>105.81399999999999</c:v>
                </c:pt>
                <c:pt idx="30">
                  <c:v>109.19</c:v>
                </c:pt>
                <c:pt idx="31">
                  <c:v>115.078</c:v>
                </c:pt>
                <c:pt idx="32">
                  <c:v>122.208</c:v>
                </c:pt>
                <c:pt idx="33">
                  <c:v>126.523</c:v>
                </c:pt>
                <c:pt idx="34">
                  <c:v>137.077</c:v>
                </c:pt>
                <c:pt idx="35">
                  <c:v>139.95599999999999</c:v>
                </c:pt>
                <c:pt idx="36">
                  <c:v>148.089</c:v>
                </c:pt>
                <c:pt idx="37">
                  <c:v>142.02699999999999</c:v>
                </c:pt>
                <c:pt idx="38">
                  <c:v>141.76499999999999</c:v>
                </c:pt>
                <c:pt idx="39">
                  <c:v>145.49299999999999</c:v>
                </c:pt>
                <c:pt idx="40">
                  <c:v>155.52799999999999</c:v>
                </c:pt>
                <c:pt idx="41">
                  <c:v>155.54400000000001</c:v>
                </c:pt>
                <c:pt idx="42">
                  <c:v>156.77099999999999</c:v>
                </c:pt>
                <c:pt idx="43">
                  <c:v>155.441</c:v>
                </c:pt>
                <c:pt idx="44">
                  <c:v>164.24100000000001</c:v>
                </c:pt>
                <c:pt idx="45">
                  <c:v>163.649</c:v>
                </c:pt>
                <c:pt idx="46">
                  <c:v>141.09299999999999</c:v>
                </c:pt>
                <c:pt idx="47">
                  <c:v>126.869</c:v>
                </c:pt>
                <c:pt idx="48">
                  <c:v>126.765</c:v>
                </c:pt>
                <c:pt idx="49">
                  <c:v>128.465</c:v>
                </c:pt>
                <c:pt idx="50">
                  <c:v>129.584</c:v>
                </c:pt>
                <c:pt idx="51">
                  <c:v>134.113</c:v>
                </c:pt>
                <c:pt idx="52">
                  <c:v>129.12299999999999</c:v>
                </c:pt>
                <c:pt idx="53">
                  <c:v>114.48</c:v>
                </c:pt>
                <c:pt idx="54">
                  <c:v>117.712</c:v>
                </c:pt>
                <c:pt idx="55">
                  <c:v>109.672</c:v>
                </c:pt>
                <c:pt idx="56">
                  <c:v>114.54300000000001</c:v>
                </c:pt>
                <c:pt idx="57">
                  <c:v>111.818</c:v>
                </c:pt>
                <c:pt idx="58">
                  <c:v>119.194</c:v>
                </c:pt>
                <c:pt idx="59">
                  <c:v>122.54900000000001</c:v>
                </c:pt>
                <c:pt idx="60">
                  <c:v>117.455</c:v>
                </c:pt>
                <c:pt idx="61">
                  <c:v>101.485</c:v>
                </c:pt>
                <c:pt idx="62">
                  <c:v>67.929000000000002</c:v>
                </c:pt>
                <c:pt idx="63">
                  <c:v>52.363</c:v>
                </c:pt>
                <c:pt idx="64">
                  <c:v>63.716999999999999</c:v>
                </c:pt>
                <c:pt idx="65">
                  <c:v>76.775000000000006</c:v>
                </c:pt>
                <c:pt idx="66">
                  <c:v>80.114000000000004</c:v>
                </c:pt>
                <c:pt idx="67">
                  <c:v>86.156999999999996</c:v>
                </c:pt>
                <c:pt idx="68">
                  <c:v>84.256</c:v>
                </c:pt>
                <c:pt idx="69">
                  <c:v>88.007999999999996</c:v>
                </c:pt>
                <c:pt idx="70">
                  <c:v>93.132000000000005</c:v>
                </c:pt>
                <c:pt idx="71">
                  <c:v>109.273</c:v>
                </c:pt>
                <c:pt idx="72">
                  <c:v>127.13200000000001</c:v>
                </c:pt>
                <c:pt idx="73">
                  <c:v>125.726</c:v>
                </c:pt>
                <c:pt idx="74">
                  <c:v>128.89699999999999</c:v>
                </c:pt>
                <c:pt idx="75">
                  <c:v>128.797</c:v>
                </c:pt>
                <c:pt idx="76">
                  <c:v>137.91300000000001</c:v>
                </c:pt>
                <c:pt idx="77">
                  <c:v>151.08799999999999</c:v>
                </c:pt>
                <c:pt idx="78">
                  <c:v>159.56299999999999</c:v>
                </c:pt>
                <c:pt idx="79">
                  <c:v>161.39099999999999</c:v>
                </c:pt>
                <c:pt idx="80">
                  <c:v>186.41200000000001</c:v>
                </c:pt>
                <c:pt idx="81">
                  <c:v>222.72499999999999</c:v>
                </c:pt>
                <c:pt idx="82">
                  <c:v>203.68</c:v>
                </c:pt>
                <c:pt idx="83">
                  <c:v>206.767</c:v>
                </c:pt>
                <c:pt idx="84">
                  <c:v>206.226</c:v>
                </c:pt>
                <c:pt idx="85">
                  <c:v>220.167</c:v>
                </c:pt>
                <c:pt idx="86">
                  <c:v>277.2</c:v>
                </c:pt>
                <c:pt idx="87">
                  <c:v>249.697</c:v>
                </c:pt>
                <c:pt idx="88">
                  <c:v>252.02199999999999</c:v>
                </c:pt>
                <c:pt idx="89">
                  <c:v>265.99400000000003</c:v>
                </c:pt>
                <c:pt idx="90">
                  <c:v>278.74299999999999</c:v>
                </c:pt>
                <c:pt idx="91">
                  <c:v>305.28300000000002</c:v>
                </c:pt>
                <c:pt idx="92">
                  <c:v>267.18799999999999</c:v>
                </c:pt>
                <c:pt idx="93">
                  <c:v>209.453</c:v>
                </c:pt>
                <c:pt idx="94">
                  <c:v>207.245</c:v>
                </c:pt>
                <c:pt idx="95">
                  <c:v>209.21199999999999</c:v>
                </c:pt>
                <c:pt idx="96">
                  <c:v>179.267</c:v>
                </c:pt>
                <c:pt idx="97">
                  <c:v>161.06200000000001</c:v>
                </c:pt>
                <c:pt idx="98">
                  <c:v>148.04</c:v>
                </c:pt>
                <c:pt idx="99">
                  <c:v>152.31899999999999</c:v>
                </c:pt>
                <c:pt idx="100">
                  <c:v>133.65799999999999</c:v>
                </c:pt>
                <c:pt idx="101">
                  <c:v>130.548</c:v>
                </c:pt>
                <c:pt idx="102">
                  <c:v>137.49299999999999</c:v>
                </c:pt>
                <c:pt idx="103">
                  <c:v>147.25700000000001</c:v>
                </c:pt>
                <c:pt idx="104">
                  <c:v>159.637</c:v>
                </c:pt>
                <c:pt idx="105">
                  <c:v>158.40100000000001</c:v>
                </c:pt>
                <c:pt idx="106">
                  <c:v>148.48099999999999</c:v>
                </c:pt>
                <c:pt idx="107">
                  <c:v>137.18199999999999</c:v>
                </c:pt>
              </c:numCache>
            </c:numRef>
          </c:val>
          <c:smooth val="0"/>
          <c:extLst>
            <c:ext xmlns:c16="http://schemas.microsoft.com/office/drawing/2014/chart" uri="{C3380CC4-5D6E-409C-BE32-E72D297353CC}">
              <c16:uniqueId val="{00000003-778A-4D68-B45D-8BAE9ED61DC1}"/>
            </c:ext>
          </c:extLst>
        </c:ser>
        <c:ser>
          <c:idx val="6"/>
          <c:order val="4"/>
          <c:tx>
            <c:strRef>
              <c:f>Commodities!$T$6</c:f>
              <c:strCache>
                <c:ptCount val="1"/>
                <c:pt idx="0">
                  <c:v>Сви производи</c:v>
                </c:pt>
              </c:strCache>
            </c:strRef>
          </c:tx>
          <c:spPr>
            <a:ln w="22225" cap="rnd">
              <a:solidFill>
                <a:srgbClr val="003891"/>
              </a:solidFill>
              <a:prstDash val="sysDash"/>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Commodities!$T$20:$T$135</c:f>
              <c:numCache>
                <c:formatCode>General</c:formatCode>
                <c:ptCount val="116"/>
                <c:pt idx="107" formatCode="0.0">
                  <c:v>124.88200000000001</c:v>
                </c:pt>
                <c:pt idx="108" formatCode="0.0">
                  <c:v>123.94499999999999</c:v>
                </c:pt>
                <c:pt idx="109" formatCode="0.0">
                  <c:v>123.538</c:v>
                </c:pt>
                <c:pt idx="110" formatCode="0.0">
                  <c:v>122.527</c:v>
                </c:pt>
                <c:pt idx="111" formatCode="0.0">
                  <c:v>122.63200000000001</c:v>
                </c:pt>
                <c:pt idx="112" formatCode="0.0">
                  <c:v>123.07599999999999</c:v>
                </c:pt>
                <c:pt idx="113" formatCode="0.0">
                  <c:v>121.426</c:v>
                </c:pt>
                <c:pt idx="114" formatCode="0.0">
                  <c:v>121.202</c:v>
                </c:pt>
                <c:pt idx="115" formatCode="0.0">
                  <c:v>121.574</c:v>
                </c:pt>
              </c:numCache>
            </c:numRef>
          </c:val>
          <c:smooth val="0"/>
          <c:extLst>
            <c:ext xmlns:c16="http://schemas.microsoft.com/office/drawing/2014/chart" uri="{C3380CC4-5D6E-409C-BE32-E72D297353CC}">
              <c16:uniqueId val="{00000004-778A-4D68-B45D-8BAE9ED61DC1}"/>
            </c:ext>
          </c:extLst>
        </c:ser>
        <c:ser>
          <c:idx val="7"/>
          <c:order val="5"/>
          <c:tx>
            <c:strRef>
              <c:f>Commodities!$U$6</c:f>
              <c:strCache>
                <c:ptCount val="1"/>
                <c:pt idx="0">
                  <c:v>Основни метали</c:v>
                </c:pt>
              </c:strCache>
            </c:strRef>
          </c:tx>
          <c:spPr>
            <a:ln w="22225" cap="rnd">
              <a:solidFill>
                <a:srgbClr val="EC008C"/>
              </a:solidFill>
              <a:prstDash val="sysDash"/>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Commodities!$U$20:$U$135</c:f>
              <c:numCache>
                <c:formatCode>General</c:formatCode>
                <c:ptCount val="116"/>
                <c:pt idx="107" formatCode="0.0">
                  <c:v>149.535</c:v>
                </c:pt>
                <c:pt idx="108" formatCode="0.0">
                  <c:v>146.48699999999999</c:v>
                </c:pt>
                <c:pt idx="109" formatCode="0.0">
                  <c:v>144.256</c:v>
                </c:pt>
                <c:pt idx="110" formatCode="0.0">
                  <c:v>143.51499999999999</c:v>
                </c:pt>
                <c:pt idx="111" formatCode="0.0">
                  <c:v>142.553</c:v>
                </c:pt>
                <c:pt idx="112" formatCode="0.0">
                  <c:v>142.59200000000001</c:v>
                </c:pt>
                <c:pt idx="113" formatCode="0.0">
                  <c:v>141.03100000000001</c:v>
                </c:pt>
                <c:pt idx="114" formatCode="0.0">
                  <c:v>139.74199999999999</c:v>
                </c:pt>
                <c:pt idx="115" formatCode="0.0">
                  <c:v>138.65199999999999</c:v>
                </c:pt>
              </c:numCache>
            </c:numRef>
          </c:val>
          <c:smooth val="0"/>
          <c:extLst>
            <c:ext xmlns:c16="http://schemas.microsoft.com/office/drawing/2014/chart" uri="{C3380CC4-5D6E-409C-BE32-E72D297353CC}">
              <c16:uniqueId val="{00000005-778A-4D68-B45D-8BAE9ED61DC1}"/>
            </c:ext>
          </c:extLst>
        </c:ser>
        <c:ser>
          <c:idx val="8"/>
          <c:order val="6"/>
          <c:tx>
            <c:strRef>
              <c:f>Commodities!$V$6</c:f>
              <c:strCache>
                <c:ptCount val="1"/>
                <c:pt idx="0">
                  <c:v>Храна</c:v>
                </c:pt>
              </c:strCache>
            </c:strRef>
          </c:tx>
          <c:spPr>
            <a:ln w="22225" cap="rnd">
              <a:solidFill>
                <a:srgbClr val="7F3F98"/>
              </a:solidFill>
              <a:prstDash val="sysDash"/>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Commodities!$V$20:$V$135</c:f>
              <c:numCache>
                <c:formatCode>General</c:formatCode>
                <c:ptCount val="116"/>
                <c:pt idx="107" formatCode="0.0">
                  <c:v>104.776</c:v>
                </c:pt>
                <c:pt idx="108" formatCode="0.0">
                  <c:v>105.209</c:v>
                </c:pt>
                <c:pt idx="109" formatCode="0.0">
                  <c:v>106.51900000000001</c:v>
                </c:pt>
                <c:pt idx="110" formatCode="0.0">
                  <c:v>103.99</c:v>
                </c:pt>
                <c:pt idx="111" formatCode="0.0">
                  <c:v>102.93600000000001</c:v>
                </c:pt>
                <c:pt idx="112" formatCode="0.0">
                  <c:v>103.333</c:v>
                </c:pt>
                <c:pt idx="113" formatCode="0.0">
                  <c:v>103.834</c:v>
                </c:pt>
                <c:pt idx="114" formatCode="0.0">
                  <c:v>104.05800000000001</c:v>
                </c:pt>
                <c:pt idx="115" formatCode="0.0">
                  <c:v>103.979</c:v>
                </c:pt>
              </c:numCache>
            </c:numRef>
          </c:val>
          <c:smooth val="0"/>
          <c:extLst>
            <c:ext xmlns:c16="http://schemas.microsoft.com/office/drawing/2014/chart" uri="{C3380CC4-5D6E-409C-BE32-E72D297353CC}">
              <c16:uniqueId val="{00000006-778A-4D68-B45D-8BAE9ED61DC1}"/>
            </c:ext>
          </c:extLst>
        </c:ser>
        <c:ser>
          <c:idx val="9"/>
          <c:order val="7"/>
          <c:tx>
            <c:strRef>
              <c:f>Commodities!$W$6</c:f>
              <c:strCache>
                <c:ptCount val="1"/>
                <c:pt idx="0">
                  <c:v>Енергија</c:v>
                </c:pt>
              </c:strCache>
            </c:strRef>
          </c:tx>
          <c:spPr>
            <a:ln w="22225" cap="rnd">
              <a:solidFill>
                <a:srgbClr val="00A651"/>
              </a:solidFill>
              <a:prstDash val="sysDash"/>
              <a:round/>
            </a:ln>
            <a:effectLst/>
          </c:spPr>
          <c:marker>
            <c:symbol val="none"/>
          </c:marker>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Commodities!$W$20:$W$135</c:f>
              <c:numCache>
                <c:formatCode>General</c:formatCode>
                <c:ptCount val="116"/>
                <c:pt idx="107" formatCode="0.0">
                  <c:v>137.18199999999999</c:v>
                </c:pt>
                <c:pt idx="108" formatCode="0.0">
                  <c:v>134.87</c:v>
                </c:pt>
                <c:pt idx="109" formatCode="0.0">
                  <c:v>132.81299999999999</c:v>
                </c:pt>
                <c:pt idx="110" formatCode="0.0">
                  <c:v>132.084</c:v>
                </c:pt>
                <c:pt idx="111" formatCode="0.0">
                  <c:v>133.32400000000001</c:v>
                </c:pt>
                <c:pt idx="112" formatCode="0.0">
                  <c:v>133.863</c:v>
                </c:pt>
                <c:pt idx="113" formatCode="0.0">
                  <c:v>129.64599999999999</c:v>
                </c:pt>
                <c:pt idx="114" formatCode="0.0">
                  <c:v>129.065</c:v>
                </c:pt>
                <c:pt idx="115" formatCode="0.0">
                  <c:v>130.131</c:v>
                </c:pt>
              </c:numCache>
            </c:numRef>
          </c:val>
          <c:smooth val="0"/>
          <c:extLst>
            <c:ext xmlns:c16="http://schemas.microsoft.com/office/drawing/2014/chart" uri="{C3380CC4-5D6E-409C-BE32-E72D297353CC}">
              <c16:uniqueId val="{00000007-778A-4D68-B45D-8BAE9ED61DC1}"/>
            </c:ext>
          </c:extLst>
        </c:ser>
        <c:ser>
          <c:idx val="3"/>
          <c:order val="8"/>
          <c:tx>
            <c:strRef>
              <c:f>Commodities!$X$6</c:f>
              <c:strCache>
                <c:ptCount val="1"/>
                <c:pt idx="0">
                  <c:v>100</c:v>
                </c:pt>
              </c:strCache>
            </c:strRef>
          </c:tx>
          <c:spPr>
            <a:ln w="6350" cap="rnd">
              <a:solidFill>
                <a:srgbClr val="898989"/>
              </a:solidFill>
              <a:round/>
            </a:ln>
            <a:effectLst/>
          </c:spPr>
          <c:marker>
            <c:symbol val="none"/>
          </c:marker>
          <c:dPt>
            <c:idx val="0"/>
            <c:marker>
              <c:symbol val="none"/>
            </c:marker>
            <c:bubble3D val="0"/>
            <c:extLst>
              <c:ext xmlns:c16="http://schemas.microsoft.com/office/drawing/2014/chart" uri="{C3380CC4-5D6E-409C-BE32-E72D297353CC}">
                <c16:uniqueId val="{00000008-778A-4D68-B45D-8BAE9ED61DC1}"/>
              </c:ext>
            </c:extLst>
          </c:dPt>
          <c:dPt>
            <c:idx val="12"/>
            <c:marker>
              <c:symbol val="none"/>
            </c:marker>
            <c:bubble3D val="0"/>
            <c:extLst>
              <c:ext xmlns:c16="http://schemas.microsoft.com/office/drawing/2014/chart" uri="{C3380CC4-5D6E-409C-BE32-E72D297353CC}">
                <c16:uniqueId val="{00000009-778A-4D68-B45D-8BAE9ED61DC1}"/>
              </c:ext>
            </c:extLst>
          </c:dPt>
          <c:dPt>
            <c:idx val="24"/>
            <c:marker>
              <c:symbol val="none"/>
            </c:marker>
            <c:bubble3D val="0"/>
            <c:extLst>
              <c:ext xmlns:c16="http://schemas.microsoft.com/office/drawing/2014/chart" uri="{C3380CC4-5D6E-409C-BE32-E72D297353CC}">
                <c16:uniqueId val="{0000000A-778A-4D68-B45D-8BAE9ED61DC1}"/>
              </c:ext>
            </c:extLst>
          </c:dPt>
          <c:dPt>
            <c:idx val="36"/>
            <c:marker>
              <c:symbol val="none"/>
            </c:marker>
            <c:bubble3D val="0"/>
            <c:extLst>
              <c:ext xmlns:c16="http://schemas.microsoft.com/office/drawing/2014/chart" uri="{C3380CC4-5D6E-409C-BE32-E72D297353CC}">
                <c16:uniqueId val="{0000000B-778A-4D68-B45D-8BAE9ED61DC1}"/>
              </c:ext>
            </c:extLst>
          </c:dPt>
          <c:dPt>
            <c:idx val="48"/>
            <c:marker>
              <c:symbol val="none"/>
            </c:marker>
            <c:bubble3D val="0"/>
            <c:extLst>
              <c:ext xmlns:c16="http://schemas.microsoft.com/office/drawing/2014/chart" uri="{C3380CC4-5D6E-409C-BE32-E72D297353CC}">
                <c16:uniqueId val="{0000000C-778A-4D68-B45D-8BAE9ED61DC1}"/>
              </c:ext>
            </c:extLst>
          </c:dPt>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Commodities!$X$20:$X$135</c:f>
              <c:numCache>
                <c:formatCode>General</c:formatCode>
                <c:ptCount val="116"/>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pt idx="17">
                  <c:v>100</c:v>
                </c:pt>
                <c:pt idx="18">
                  <c:v>100</c:v>
                </c:pt>
                <c:pt idx="19">
                  <c:v>100</c:v>
                </c:pt>
                <c:pt idx="20">
                  <c:v>100</c:v>
                </c:pt>
                <c:pt idx="21">
                  <c:v>100</c:v>
                </c:pt>
                <c:pt idx="22">
                  <c:v>100</c:v>
                </c:pt>
                <c:pt idx="23">
                  <c:v>100</c:v>
                </c:pt>
                <c:pt idx="24">
                  <c:v>100</c:v>
                </c:pt>
                <c:pt idx="25">
                  <c:v>100</c:v>
                </c:pt>
                <c:pt idx="26">
                  <c:v>100</c:v>
                </c:pt>
                <c:pt idx="27">
                  <c:v>100</c:v>
                </c:pt>
                <c:pt idx="28">
                  <c:v>100</c:v>
                </c:pt>
                <c:pt idx="29">
                  <c:v>100</c:v>
                </c:pt>
                <c:pt idx="30">
                  <c:v>100</c:v>
                </c:pt>
                <c:pt idx="31">
                  <c:v>100</c:v>
                </c:pt>
                <c:pt idx="32">
                  <c:v>100</c:v>
                </c:pt>
                <c:pt idx="33">
                  <c:v>100</c:v>
                </c:pt>
                <c:pt idx="34">
                  <c:v>100</c:v>
                </c:pt>
                <c:pt idx="35">
                  <c:v>100</c:v>
                </c:pt>
                <c:pt idx="36">
                  <c:v>100</c:v>
                </c:pt>
                <c:pt idx="37">
                  <c:v>100</c:v>
                </c:pt>
                <c:pt idx="38">
                  <c:v>100</c:v>
                </c:pt>
                <c:pt idx="39">
                  <c:v>100</c:v>
                </c:pt>
                <c:pt idx="40">
                  <c:v>100</c:v>
                </c:pt>
                <c:pt idx="41">
                  <c:v>100</c:v>
                </c:pt>
                <c:pt idx="42">
                  <c:v>100</c:v>
                </c:pt>
                <c:pt idx="43">
                  <c:v>100</c:v>
                </c:pt>
                <c:pt idx="44">
                  <c:v>100</c:v>
                </c:pt>
                <c:pt idx="45">
                  <c:v>100</c:v>
                </c:pt>
                <c:pt idx="46">
                  <c:v>100</c:v>
                </c:pt>
                <c:pt idx="47">
                  <c:v>100</c:v>
                </c:pt>
                <c:pt idx="48">
                  <c:v>100</c:v>
                </c:pt>
                <c:pt idx="49">
                  <c:v>100</c:v>
                </c:pt>
                <c:pt idx="50">
                  <c:v>100</c:v>
                </c:pt>
                <c:pt idx="51">
                  <c:v>100</c:v>
                </c:pt>
                <c:pt idx="52">
                  <c:v>100</c:v>
                </c:pt>
                <c:pt idx="53">
                  <c:v>100</c:v>
                </c:pt>
                <c:pt idx="54">
                  <c:v>100</c:v>
                </c:pt>
                <c:pt idx="55">
                  <c:v>100</c:v>
                </c:pt>
                <c:pt idx="56">
                  <c:v>100</c:v>
                </c:pt>
                <c:pt idx="57">
                  <c:v>100</c:v>
                </c:pt>
                <c:pt idx="58">
                  <c:v>100</c:v>
                </c:pt>
                <c:pt idx="59">
                  <c:v>100</c:v>
                </c:pt>
                <c:pt idx="60">
                  <c:v>100</c:v>
                </c:pt>
                <c:pt idx="61">
                  <c:v>100</c:v>
                </c:pt>
                <c:pt idx="62">
                  <c:v>100</c:v>
                </c:pt>
                <c:pt idx="63">
                  <c:v>100</c:v>
                </c:pt>
                <c:pt idx="64">
                  <c:v>100</c:v>
                </c:pt>
                <c:pt idx="65">
                  <c:v>100</c:v>
                </c:pt>
                <c:pt idx="66">
                  <c:v>100</c:v>
                </c:pt>
                <c:pt idx="67">
                  <c:v>100</c:v>
                </c:pt>
                <c:pt idx="68">
                  <c:v>100</c:v>
                </c:pt>
                <c:pt idx="69">
                  <c:v>100</c:v>
                </c:pt>
                <c:pt idx="70">
                  <c:v>100</c:v>
                </c:pt>
                <c:pt idx="71">
                  <c:v>100</c:v>
                </c:pt>
                <c:pt idx="72">
                  <c:v>100</c:v>
                </c:pt>
                <c:pt idx="73">
                  <c:v>100</c:v>
                </c:pt>
                <c:pt idx="74">
                  <c:v>100</c:v>
                </c:pt>
                <c:pt idx="75">
                  <c:v>100</c:v>
                </c:pt>
                <c:pt idx="76">
                  <c:v>100</c:v>
                </c:pt>
                <c:pt idx="77">
                  <c:v>100</c:v>
                </c:pt>
                <c:pt idx="78">
                  <c:v>100</c:v>
                </c:pt>
                <c:pt idx="79">
                  <c:v>100</c:v>
                </c:pt>
                <c:pt idx="80">
                  <c:v>100</c:v>
                </c:pt>
                <c:pt idx="81">
                  <c:v>100</c:v>
                </c:pt>
                <c:pt idx="82">
                  <c:v>100</c:v>
                </c:pt>
                <c:pt idx="83">
                  <c:v>100</c:v>
                </c:pt>
                <c:pt idx="84">
                  <c:v>100</c:v>
                </c:pt>
                <c:pt idx="85">
                  <c:v>100</c:v>
                </c:pt>
                <c:pt idx="86">
                  <c:v>100</c:v>
                </c:pt>
                <c:pt idx="87">
                  <c:v>100</c:v>
                </c:pt>
                <c:pt idx="88">
                  <c:v>100</c:v>
                </c:pt>
                <c:pt idx="89">
                  <c:v>100</c:v>
                </c:pt>
                <c:pt idx="90">
                  <c:v>100</c:v>
                </c:pt>
                <c:pt idx="91">
                  <c:v>100</c:v>
                </c:pt>
                <c:pt idx="92">
                  <c:v>100</c:v>
                </c:pt>
                <c:pt idx="93">
                  <c:v>100</c:v>
                </c:pt>
                <c:pt idx="94">
                  <c:v>100</c:v>
                </c:pt>
                <c:pt idx="95">
                  <c:v>100</c:v>
                </c:pt>
                <c:pt idx="96">
                  <c:v>100</c:v>
                </c:pt>
                <c:pt idx="97">
                  <c:v>100</c:v>
                </c:pt>
                <c:pt idx="98">
                  <c:v>100</c:v>
                </c:pt>
                <c:pt idx="99">
                  <c:v>100</c:v>
                </c:pt>
                <c:pt idx="100">
                  <c:v>100</c:v>
                </c:pt>
                <c:pt idx="101">
                  <c:v>100</c:v>
                </c:pt>
                <c:pt idx="102">
                  <c:v>100</c:v>
                </c:pt>
                <c:pt idx="103">
                  <c:v>100</c:v>
                </c:pt>
                <c:pt idx="104">
                  <c:v>100</c:v>
                </c:pt>
                <c:pt idx="105">
                  <c:v>100</c:v>
                </c:pt>
                <c:pt idx="106">
                  <c:v>100</c:v>
                </c:pt>
                <c:pt idx="107">
                  <c:v>100</c:v>
                </c:pt>
                <c:pt idx="108">
                  <c:v>100</c:v>
                </c:pt>
                <c:pt idx="109">
                  <c:v>100</c:v>
                </c:pt>
                <c:pt idx="110">
                  <c:v>100</c:v>
                </c:pt>
                <c:pt idx="111">
                  <c:v>100</c:v>
                </c:pt>
                <c:pt idx="112">
                  <c:v>100</c:v>
                </c:pt>
                <c:pt idx="113">
                  <c:v>100</c:v>
                </c:pt>
                <c:pt idx="114">
                  <c:v>100</c:v>
                </c:pt>
                <c:pt idx="115">
                  <c:v>100</c:v>
                </c:pt>
              </c:numCache>
            </c:numRef>
          </c:val>
          <c:smooth val="0"/>
          <c:extLst>
            <c:ext xmlns:c16="http://schemas.microsoft.com/office/drawing/2014/chart" uri="{C3380CC4-5D6E-409C-BE32-E72D297353CC}">
              <c16:uniqueId val="{0000000D-778A-4D68-B45D-8BAE9ED61DC1}"/>
            </c:ext>
          </c:extLst>
        </c:ser>
        <c:ser>
          <c:idx val="5"/>
          <c:order val="9"/>
          <c:tx>
            <c:strRef>
              <c:f>Commodities!$Y$6</c:f>
              <c:strCache>
                <c:ptCount val="1"/>
                <c:pt idx="0">
                  <c:v>Series 4</c:v>
                </c:pt>
              </c:strCache>
            </c:strRef>
          </c:tx>
          <c:spPr>
            <a:ln w="28575" cap="rnd">
              <a:noFill/>
              <a:round/>
            </a:ln>
            <a:effectLst/>
          </c:spPr>
          <c:marker>
            <c:symbol val="square"/>
            <c:size val="3"/>
            <c:spPr>
              <a:solidFill>
                <a:schemeClr val="bg1"/>
              </a:solidFill>
              <a:ln w="9525">
                <a:noFill/>
              </a:ln>
              <a:effectLst/>
            </c:spPr>
          </c:marker>
          <c:dLbls>
            <c:dLbl>
              <c:idx val="0"/>
              <c:layout>
                <c:manualLayout>
                  <c:x val="-3.7505861656176379E-2"/>
                  <c:y val="7.3590840840840846E-2"/>
                </c:manualLayout>
              </c:layout>
              <c:dLblPos val="r"/>
              <c:showLegendKey val="0"/>
              <c:showVal val="0"/>
              <c:showCatName val="1"/>
              <c:showSerName val="0"/>
              <c:showPercent val="0"/>
              <c:showBubbleSize val="0"/>
              <c:extLst>
                <c:ext xmlns:c15="http://schemas.microsoft.com/office/drawing/2012/chart" uri="{CE6537A1-D6FC-4f65-9D91-7224C49458BB}">
                  <c15:layout>
                    <c:manualLayout>
                      <c:w val="0.11669545489230061"/>
                      <c:h val="7.7261761761761749E-2"/>
                    </c:manualLayout>
                  </c15:layout>
                </c:ext>
                <c:ext xmlns:c16="http://schemas.microsoft.com/office/drawing/2014/chart" uri="{C3380CC4-5D6E-409C-BE32-E72D297353CC}">
                  <c16:uniqueId val="{0000000E-778A-4D68-B45D-8BAE9ED61DC1}"/>
                </c:ext>
              </c:extLst>
            </c:dLbl>
            <c:dLbl>
              <c:idx val="12"/>
              <c:layout>
                <c:manualLayout>
                  <c:x val="-2.8248054359058798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778A-4D68-B45D-8BAE9ED61DC1}"/>
                </c:ext>
              </c:extLst>
            </c:dLbl>
            <c:dLbl>
              <c:idx val="24"/>
              <c:layout>
                <c:manualLayout>
                  <c:x val="-2.823352255681801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0-778A-4D68-B45D-8BAE9ED61DC1}"/>
                </c:ext>
              </c:extLst>
            </c:dLbl>
            <c:dLbl>
              <c:idx val="36"/>
              <c:layout>
                <c:manualLayout>
                  <c:x val="-2.359698892911542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778A-4D68-B45D-8BAE9ED61DC1}"/>
                </c:ext>
              </c:extLst>
            </c:dLbl>
            <c:dLbl>
              <c:idx val="48"/>
              <c:layout>
                <c:manualLayout>
                  <c:x val="-2.358970736864793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2-778A-4D68-B45D-8BAE9ED61DC1}"/>
                </c:ext>
              </c:extLst>
            </c:dLbl>
            <c:dLbl>
              <c:idx val="60"/>
              <c:layout>
                <c:manualLayout>
                  <c:x val="-2.3595532617021957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3-778A-4D68-B45D-8BAE9ED61DC1}"/>
                </c:ext>
              </c:extLst>
            </c:dLbl>
            <c:dLbl>
              <c:idx val="72"/>
              <c:layout>
                <c:manualLayout>
                  <c:x val="-2.8225065616797985E-2"/>
                  <c:y val="7.359095099008251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4-778A-4D68-B45D-8BAE9ED61DC1}"/>
                </c:ext>
              </c:extLst>
            </c:dLbl>
            <c:dLbl>
              <c:idx val="84"/>
              <c:layout>
                <c:manualLayout>
                  <c:x val="-2.3663383540472076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5-778A-4D68-B45D-8BAE9ED61DC1}"/>
                </c:ext>
              </c:extLst>
            </c:dLbl>
            <c:dLbl>
              <c:idx val="96"/>
              <c:layout>
                <c:manualLayout>
                  <c:x val="-2.361118797202715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6-778A-4D68-B45D-8BAE9ED61DC1}"/>
                </c:ext>
              </c:extLst>
            </c:dLbl>
            <c:dLbl>
              <c:idx val="100"/>
              <c:layout>
                <c:manualLayout>
                  <c:x val="-1.592435091954969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7-778A-4D68-B45D-8BAE9ED61DC1}"/>
                </c:ext>
              </c:extLst>
            </c:dLbl>
            <c:dLbl>
              <c:idx val="108"/>
              <c:layout>
                <c:manualLayout>
                  <c:x val="-3.0439432382398015E-2"/>
                  <c:y val="7.35910910910910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8-778A-4D68-B45D-8BAE9ED61DC1}"/>
                </c:ext>
              </c:extLst>
            </c:dLbl>
            <c:dLbl>
              <c:idx val="112"/>
              <c:layout>
                <c:manualLayout>
                  <c:x val="-1.657225138524351E-2"/>
                  <c:y val="7.359082689329127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9-778A-4D68-B45D-8BAE9ED61DC1}"/>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Arial" panose="020B0604020202020204" pitchFamily="34" charset="0"/>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Commodities!$I$20:$I$135</c:f>
              <c:numCache>
                <c:formatCode>yyyy</c:formatCode>
                <c:ptCount val="116"/>
                <c:pt idx="0">
                  <c:v>42005</c:v>
                </c:pt>
                <c:pt idx="1">
                  <c:v>42036</c:v>
                </c:pt>
                <c:pt idx="2">
                  <c:v>42064</c:v>
                </c:pt>
                <c:pt idx="3">
                  <c:v>42095</c:v>
                </c:pt>
                <c:pt idx="4">
                  <c:v>42125</c:v>
                </c:pt>
                <c:pt idx="5">
                  <c:v>42156</c:v>
                </c:pt>
                <c:pt idx="6">
                  <c:v>42186</c:v>
                </c:pt>
                <c:pt idx="7">
                  <c:v>42217</c:v>
                </c:pt>
                <c:pt idx="8">
                  <c:v>42248</c:v>
                </c:pt>
                <c:pt idx="9">
                  <c:v>42278</c:v>
                </c:pt>
                <c:pt idx="10">
                  <c:v>42309</c:v>
                </c:pt>
                <c:pt idx="11">
                  <c:v>42339</c:v>
                </c:pt>
                <c:pt idx="12">
                  <c:v>42370</c:v>
                </c:pt>
                <c:pt idx="13">
                  <c:v>42401</c:v>
                </c:pt>
                <c:pt idx="14">
                  <c:v>42430</c:v>
                </c:pt>
                <c:pt idx="15">
                  <c:v>42461</c:v>
                </c:pt>
                <c:pt idx="16">
                  <c:v>42491</c:v>
                </c:pt>
                <c:pt idx="17">
                  <c:v>42522</c:v>
                </c:pt>
                <c:pt idx="18">
                  <c:v>42552</c:v>
                </c:pt>
                <c:pt idx="19">
                  <c:v>42583</c:v>
                </c:pt>
                <c:pt idx="20">
                  <c:v>42614</c:v>
                </c:pt>
                <c:pt idx="21">
                  <c:v>42644</c:v>
                </c:pt>
                <c:pt idx="22">
                  <c:v>42675</c:v>
                </c:pt>
                <c:pt idx="23">
                  <c:v>42705</c:v>
                </c:pt>
                <c:pt idx="24">
                  <c:v>42736</c:v>
                </c:pt>
                <c:pt idx="25">
                  <c:v>42767</c:v>
                </c:pt>
                <c:pt idx="26">
                  <c:v>42795</c:v>
                </c:pt>
                <c:pt idx="27">
                  <c:v>42826</c:v>
                </c:pt>
                <c:pt idx="28">
                  <c:v>42856</c:v>
                </c:pt>
                <c:pt idx="29">
                  <c:v>42887</c:v>
                </c:pt>
                <c:pt idx="30">
                  <c:v>42917</c:v>
                </c:pt>
                <c:pt idx="31">
                  <c:v>42948</c:v>
                </c:pt>
                <c:pt idx="32">
                  <c:v>42979</c:v>
                </c:pt>
                <c:pt idx="33">
                  <c:v>43009</c:v>
                </c:pt>
                <c:pt idx="34">
                  <c:v>43040</c:v>
                </c:pt>
                <c:pt idx="35">
                  <c:v>43070</c:v>
                </c:pt>
                <c:pt idx="36">
                  <c:v>43101</c:v>
                </c:pt>
                <c:pt idx="37">
                  <c:v>43132</c:v>
                </c:pt>
                <c:pt idx="38">
                  <c:v>43160</c:v>
                </c:pt>
                <c:pt idx="39">
                  <c:v>43191</c:v>
                </c:pt>
                <c:pt idx="40">
                  <c:v>43221</c:v>
                </c:pt>
                <c:pt idx="41">
                  <c:v>43252</c:v>
                </c:pt>
                <c:pt idx="42">
                  <c:v>43282</c:v>
                </c:pt>
                <c:pt idx="43">
                  <c:v>43313</c:v>
                </c:pt>
                <c:pt idx="44">
                  <c:v>43344</c:v>
                </c:pt>
                <c:pt idx="45">
                  <c:v>43374</c:v>
                </c:pt>
                <c:pt idx="46">
                  <c:v>43405</c:v>
                </c:pt>
                <c:pt idx="47">
                  <c:v>43435</c:v>
                </c:pt>
                <c:pt idx="48">
                  <c:v>43466</c:v>
                </c:pt>
                <c:pt idx="49">
                  <c:v>43497</c:v>
                </c:pt>
                <c:pt idx="50">
                  <c:v>43525</c:v>
                </c:pt>
                <c:pt idx="51">
                  <c:v>43556</c:v>
                </c:pt>
                <c:pt idx="52">
                  <c:v>43586</c:v>
                </c:pt>
                <c:pt idx="53">
                  <c:v>43617</c:v>
                </c:pt>
                <c:pt idx="54">
                  <c:v>43647</c:v>
                </c:pt>
                <c:pt idx="55">
                  <c:v>43678</c:v>
                </c:pt>
                <c:pt idx="56">
                  <c:v>43709</c:v>
                </c:pt>
                <c:pt idx="57">
                  <c:v>43739</c:v>
                </c:pt>
                <c:pt idx="58">
                  <c:v>43770</c:v>
                </c:pt>
                <c:pt idx="59">
                  <c:v>43800</c:v>
                </c:pt>
                <c:pt idx="60">
                  <c:v>43831</c:v>
                </c:pt>
                <c:pt idx="61">
                  <c:v>43862</c:v>
                </c:pt>
                <c:pt idx="62">
                  <c:v>43891</c:v>
                </c:pt>
                <c:pt idx="63">
                  <c:v>43922</c:v>
                </c:pt>
                <c:pt idx="64">
                  <c:v>43952</c:v>
                </c:pt>
                <c:pt idx="65">
                  <c:v>43983</c:v>
                </c:pt>
                <c:pt idx="66">
                  <c:v>44013</c:v>
                </c:pt>
                <c:pt idx="67">
                  <c:v>44044</c:v>
                </c:pt>
                <c:pt idx="68">
                  <c:v>44075</c:v>
                </c:pt>
                <c:pt idx="69">
                  <c:v>44105</c:v>
                </c:pt>
                <c:pt idx="70">
                  <c:v>44136</c:v>
                </c:pt>
                <c:pt idx="71">
                  <c:v>44166</c:v>
                </c:pt>
                <c:pt idx="72">
                  <c:v>44197</c:v>
                </c:pt>
                <c:pt idx="73">
                  <c:v>44228</c:v>
                </c:pt>
                <c:pt idx="74">
                  <c:v>44256</c:v>
                </c:pt>
                <c:pt idx="75">
                  <c:v>44287</c:v>
                </c:pt>
                <c:pt idx="76">
                  <c:v>44317</c:v>
                </c:pt>
                <c:pt idx="77">
                  <c:v>44348</c:v>
                </c:pt>
                <c:pt idx="78">
                  <c:v>44378</c:v>
                </c:pt>
                <c:pt idx="79">
                  <c:v>44409</c:v>
                </c:pt>
                <c:pt idx="80">
                  <c:v>44440</c:v>
                </c:pt>
                <c:pt idx="81">
                  <c:v>44470</c:v>
                </c:pt>
                <c:pt idx="82">
                  <c:v>44501</c:v>
                </c:pt>
                <c:pt idx="83">
                  <c:v>44531</c:v>
                </c:pt>
                <c:pt idx="84">
                  <c:v>44562</c:v>
                </c:pt>
                <c:pt idx="85">
                  <c:v>44593</c:v>
                </c:pt>
                <c:pt idx="86">
                  <c:v>44621</c:v>
                </c:pt>
                <c:pt idx="87">
                  <c:v>44652</c:v>
                </c:pt>
                <c:pt idx="88">
                  <c:v>44682</c:v>
                </c:pt>
                <c:pt idx="89">
                  <c:v>44713</c:v>
                </c:pt>
                <c:pt idx="90">
                  <c:v>44743</c:v>
                </c:pt>
                <c:pt idx="91">
                  <c:v>44774</c:v>
                </c:pt>
                <c:pt idx="92">
                  <c:v>44805</c:v>
                </c:pt>
                <c:pt idx="93">
                  <c:v>44835</c:v>
                </c:pt>
                <c:pt idx="94">
                  <c:v>44866</c:v>
                </c:pt>
                <c:pt idx="95">
                  <c:v>44896</c:v>
                </c:pt>
                <c:pt idx="96">
                  <c:v>44927</c:v>
                </c:pt>
                <c:pt idx="97">
                  <c:v>44928</c:v>
                </c:pt>
                <c:pt idx="98">
                  <c:v>44929</c:v>
                </c:pt>
                <c:pt idx="99">
                  <c:v>44930</c:v>
                </c:pt>
                <c:pt idx="100">
                  <c:v>44931</c:v>
                </c:pt>
                <c:pt idx="101">
                  <c:v>44932</c:v>
                </c:pt>
                <c:pt idx="102">
                  <c:v>44933</c:v>
                </c:pt>
                <c:pt idx="103">
                  <c:v>44934</c:v>
                </c:pt>
                <c:pt idx="104">
                  <c:v>44935</c:v>
                </c:pt>
                <c:pt idx="105">
                  <c:v>44936</c:v>
                </c:pt>
                <c:pt idx="106">
                  <c:v>44937</c:v>
                </c:pt>
                <c:pt idx="107">
                  <c:v>44938</c:v>
                </c:pt>
                <c:pt idx="108">
                  <c:v>45292</c:v>
                </c:pt>
                <c:pt idx="109">
                  <c:v>45383</c:v>
                </c:pt>
                <c:pt idx="110">
                  <c:v>45474</c:v>
                </c:pt>
                <c:pt idx="111">
                  <c:v>45566</c:v>
                </c:pt>
                <c:pt idx="112">
                  <c:v>45658</c:v>
                </c:pt>
                <c:pt idx="113">
                  <c:v>45748</c:v>
                </c:pt>
                <c:pt idx="114">
                  <c:v>45839</c:v>
                </c:pt>
                <c:pt idx="115">
                  <c:v>45931</c:v>
                </c:pt>
              </c:numCache>
            </c:numRef>
          </c:cat>
          <c:val>
            <c:numRef>
              <c:f>Commodities!$Y$20:$Y$135</c:f>
              <c:numCache>
                <c:formatCode>General</c:formatCode>
                <c:ptCount val="116"/>
                <c:pt idx="0">
                  <c:v>20</c:v>
                </c:pt>
                <c:pt idx="12">
                  <c:v>20</c:v>
                </c:pt>
                <c:pt idx="24">
                  <c:v>20</c:v>
                </c:pt>
                <c:pt idx="36">
                  <c:v>20</c:v>
                </c:pt>
                <c:pt idx="48">
                  <c:v>20</c:v>
                </c:pt>
                <c:pt idx="60">
                  <c:v>20</c:v>
                </c:pt>
                <c:pt idx="72">
                  <c:v>20</c:v>
                </c:pt>
                <c:pt idx="84">
                  <c:v>20</c:v>
                </c:pt>
                <c:pt idx="96">
                  <c:v>20</c:v>
                </c:pt>
                <c:pt idx="108">
                  <c:v>20</c:v>
                </c:pt>
                <c:pt idx="112">
                  <c:v>20</c:v>
                </c:pt>
              </c:numCache>
            </c:numRef>
          </c:val>
          <c:smooth val="0"/>
          <c:extLst>
            <c:ext xmlns:c16="http://schemas.microsoft.com/office/drawing/2014/chart" uri="{C3380CC4-5D6E-409C-BE32-E72D297353CC}">
              <c16:uniqueId val="{0000001A-778A-4D68-B45D-8BAE9ED61DC1}"/>
            </c:ext>
          </c:extLst>
        </c:ser>
        <c:dLbls>
          <c:showLegendKey val="0"/>
          <c:showVal val="0"/>
          <c:showCatName val="0"/>
          <c:showSerName val="0"/>
          <c:showPercent val="0"/>
          <c:showBubbleSize val="0"/>
        </c:dLbls>
        <c:smooth val="0"/>
        <c:axId val="1768785920"/>
        <c:axId val="1768787008"/>
      </c:lineChart>
      <c:dateAx>
        <c:axId val="176878592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7008"/>
        <c:crosses val="autoZero"/>
        <c:auto val="1"/>
        <c:lblOffset val="100"/>
        <c:baseTimeUnit val="months"/>
        <c:majorUnit val="12"/>
        <c:minorUnit val="1"/>
      </c:dateAx>
      <c:valAx>
        <c:axId val="1768787008"/>
        <c:scaling>
          <c:orientation val="minMax"/>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785920"/>
        <c:crosses val="autoZero"/>
        <c:crossBetween val="between"/>
        <c:majorUnit val="40"/>
      </c:valAx>
      <c:spPr>
        <a:noFill/>
        <a:ln>
          <a:noFill/>
        </a:ln>
        <a:effectLst/>
      </c:spPr>
    </c:plotArea>
    <c:legend>
      <c:legendPos val="b"/>
      <c:legendEntry>
        <c:idx val="4"/>
        <c:delete val="1"/>
      </c:legendEntry>
      <c:legendEntry>
        <c:idx val="5"/>
        <c:delete val="1"/>
      </c:legendEntry>
      <c:legendEntry>
        <c:idx val="6"/>
        <c:delete val="1"/>
      </c:legendEntry>
      <c:legendEntry>
        <c:idx val="7"/>
        <c:delete val="1"/>
      </c:legendEntry>
      <c:legendEntry>
        <c:idx val="8"/>
        <c:delete val="1"/>
      </c:legendEntry>
      <c:legendEntry>
        <c:idx val="9"/>
        <c:delete val="1"/>
      </c:legendEntry>
      <c:layout>
        <c:manualLayout>
          <c:xMode val="edge"/>
          <c:yMode val="edge"/>
          <c:x val="0.1174303732866725"/>
          <c:y val="0.8752442442442443"/>
          <c:w val="0.77902814231554385"/>
          <c:h val="0.124755755755755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410569105691"/>
          <c:y val="5.8005314731772131E-2"/>
          <c:w val="0.83454945799457991"/>
          <c:h val="0.60627480775429388"/>
        </c:manualLayout>
      </c:layout>
      <c:lineChart>
        <c:grouping val="standard"/>
        <c:varyColors val="0"/>
        <c:ser>
          <c:idx val="0"/>
          <c:order val="0"/>
          <c:tx>
            <c:strRef>
              <c:f>'Commodities 2'!$K$112</c:f>
              <c:strCache>
                <c:ptCount val="1"/>
              </c:strCache>
            </c:strRef>
          </c:tx>
          <c:spPr>
            <a:ln w="22225" cap="rnd">
              <a:solidFill>
                <a:srgbClr val="00A651"/>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2'!$K$114:$K$122</c:f>
              <c:numCache>
                <c:formatCode>0.0</c:formatCode>
                <c:ptCount val="9"/>
                <c:pt idx="0">
                  <c:v>100</c:v>
                </c:pt>
                <c:pt idx="1">
                  <c:v>101.73694273925733</c:v>
                </c:pt>
                <c:pt idx="2">
                  <c:v>129.16775686827012</c:v>
                </c:pt>
                <c:pt idx="3">
                  <c:v>148.3365200764818</c:v>
                </c:pt>
                <c:pt idx="4">
                  <c:v>138.27513334004226</c:v>
                </c:pt>
                <c:pt idx="5">
                  <c:v>135.71399818858811</c:v>
                </c:pt>
                <c:pt idx="6">
                  <c:v>133.46885377880648</c:v>
                </c:pt>
                <c:pt idx="7">
                  <c:v>132.52893227332191</c:v>
                </c:pt>
                <c:pt idx="8">
                  <c:v>132.52893227332191</c:v>
                </c:pt>
              </c:numCache>
            </c:numRef>
          </c:val>
          <c:smooth val="0"/>
          <c:extLst>
            <c:ext xmlns:c16="http://schemas.microsoft.com/office/drawing/2014/chart" uri="{C3380CC4-5D6E-409C-BE32-E72D297353CC}">
              <c16:uniqueId val="{00000000-11AF-40FA-9FEC-CF8A9BA744C2}"/>
            </c:ext>
          </c:extLst>
        </c:ser>
        <c:ser>
          <c:idx val="1"/>
          <c:order val="1"/>
          <c:tx>
            <c:strRef>
              <c:f>'Commodities 2'!$L$112</c:f>
              <c:strCache>
                <c:ptCount val="1"/>
              </c:strCache>
            </c:strRef>
          </c:tx>
          <c:spPr>
            <a:ln w="22225" cap="rnd">
              <a:solidFill>
                <a:srgbClr val="EC008C"/>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2'!$L$114:$L$122</c:f>
              <c:numCache>
                <c:formatCode>0.0</c:formatCode>
                <c:ptCount val="9"/>
                <c:pt idx="0">
                  <c:v>100</c:v>
                </c:pt>
                <c:pt idx="1">
                  <c:v>103.46585870529117</c:v>
                </c:pt>
                <c:pt idx="2">
                  <c:v>151.79796039018626</c:v>
                </c:pt>
                <c:pt idx="3">
                  <c:v>143.28628436299144</c:v>
                </c:pt>
                <c:pt idx="4">
                  <c:v>136.52896837126812</c:v>
                </c:pt>
                <c:pt idx="5">
                  <c:v>126.84156074490099</c:v>
                </c:pt>
                <c:pt idx="6">
                  <c:v>125.46408513154006</c:v>
                </c:pt>
                <c:pt idx="7">
                  <c:v>124.3859000886787</c:v>
                </c:pt>
                <c:pt idx="8">
                  <c:v>124.74874371859298</c:v>
                </c:pt>
              </c:numCache>
            </c:numRef>
          </c:val>
          <c:smooth val="0"/>
          <c:extLst>
            <c:ext xmlns:c16="http://schemas.microsoft.com/office/drawing/2014/chart" uri="{C3380CC4-5D6E-409C-BE32-E72D297353CC}">
              <c16:uniqueId val="{00000001-11AF-40FA-9FEC-CF8A9BA744C2}"/>
            </c:ext>
          </c:extLst>
        </c:ser>
        <c:ser>
          <c:idx val="2"/>
          <c:order val="2"/>
          <c:tx>
            <c:strRef>
              <c:f>'Commodities 2'!$M$112</c:f>
              <c:strCache>
                <c:ptCount val="1"/>
              </c:strCache>
            </c:strRef>
          </c:tx>
          <c:spPr>
            <a:ln w="22225" cap="rnd">
              <a:solidFill>
                <a:srgbClr val="003891"/>
              </a:solidFill>
              <a:prstDash val="sysDot"/>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2'!$M$114:$M$122</c:f>
              <c:numCache>
                <c:formatCode>0.0</c:formatCode>
                <c:ptCount val="9"/>
                <c:pt idx="0">
                  <c:v>100</c:v>
                </c:pt>
                <c:pt idx="1">
                  <c:v>67.984943361711103</c:v>
                </c:pt>
                <c:pt idx="2">
                  <c:v>112.70738056708647</c:v>
                </c:pt>
                <c:pt idx="3">
                  <c:v>156.808555547738</c:v>
                </c:pt>
                <c:pt idx="4">
                  <c:v>131.03707873073947</c:v>
                </c:pt>
                <c:pt idx="5">
                  <c:v>130.14141982691902</c:v>
                </c:pt>
                <c:pt idx="6">
                  <c:v>123.7092802364033</c:v>
                </c:pt>
                <c:pt idx="7">
                  <c:v>118.43242102300711</c:v>
                </c:pt>
                <c:pt idx="8">
                  <c:v>113.85281080700767</c:v>
                </c:pt>
              </c:numCache>
            </c:numRef>
          </c:val>
          <c:smooth val="0"/>
          <c:extLst>
            <c:ext xmlns:c16="http://schemas.microsoft.com/office/drawing/2014/chart" uri="{C3380CC4-5D6E-409C-BE32-E72D297353CC}">
              <c16:uniqueId val="{00000002-11AF-40FA-9FEC-CF8A9BA744C2}"/>
            </c:ext>
          </c:extLst>
        </c:ser>
        <c:ser>
          <c:idx val="3"/>
          <c:order val="3"/>
          <c:tx>
            <c:strRef>
              <c:f>'Commodities 2'!$N$112</c:f>
              <c:strCache>
                <c:ptCount val="1"/>
              </c:strCache>
            </c:strRef>
          </c:tx>
          <c:spPr>
            <a:ln w="22225" cap="rnd">
              <a:solidFill>
                <a:srgbClr val="00A651"/>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2'!$N$114:$N$122</c:f>
              <c:numCache>
                <c:formatCode>0.0</c:formatCode>
                <c:ptCount val="9"/>
                <c:pt idx="0">
                  <c:v>100</c:v>
                </c:pt>
                <c:pt idx="1">
                  <c:v>101.73694273925733</c:v>
                </c:pt>
                <c:pt idx="2">
                  <c:v>129.16775686827012</c:v>
                </c:pt>
                <c:pt idx="3">
                  <c:v>148.3365200764818</c:v>
                </c:pt>
                <c:pt idx="4">
                  <c:v>138.31035523799937</c:v>
                </c:pt>
                <c:pt idx="5">
                  <c:v>135.32454463117642</c:v>
                </c:pt>
                <c:pt idx="6">
                  <c:v>134.20951997584785</c:v>
                </c:pt>
                <c:pt idx="7">
                  <c:v>133.54533561437054</c:v>
                </c:pt>
                <c:pt idx="8">
                  <c:v>133.5070946965885</c:v>
                </c:pt>
              </c:numCache>
            </c:numRef>
          </c:val>
          <c:smooth val="0"/>
          <c:extLst>
            <c:ext xmlns:c16="http://schemas.microsoft.com/office/drawing/2014/chart" uri="{C3380CC4-5D6E-409C-BE32-E72D297353CC}">
              <c16:uniqueId val="{00000003-11AF-40FA-9FEC-CF8A9BA744C2}"/>
            </c:ext>
          </c:extLst>
        </c:ser>
        <c:ser>
          <c:idx val="4"/>
          <c:order val="4"/>
          <c:tx>
            <c:strRef>
              <c:f>'Commodities 2'!$O$112</c:f>
              <c:strCache>
                <c:ptCount val="1"/>
              </c:strCache>
            </c:strRef>
          </c:tx>
          <c:spPr>
            <a:ln w="22225" cap="rnd">
              <a:solidFill>
                <a:srgbClr val="EC008C"/>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2'!$O$114:$O$122</c:f>
              <c:numCache>
                <c:formatCode>0.0</c:formatCode>
                <c:ptCount val="9"/>
                <c:pt idx="0">
                  <c:v>100</c:v>
                </c:pt>
                <c:pt idx="1">
                  <c:v>103.46585870529117</c:v>
                </c:pt>
                <c:pt idx="2">
                  <c:v>151.79796039018626</c:v>
                </c:pt>
                <c:pt idx="3">
                  <c:v>143.28628436299144</c:v>
                </c:pt>
                <c:pt idx="4">
                  <c:v>139.33490984333432</c:v>
                </c:pt>
                <c:pt idx="5">
                  <c:v>136.88294413242684</c:v>
                </c:pt>
                <c:pt idx="6">
                  <c:v>133.37274608335795</c:v>
                </c:pt>
                <c:pt idx="7">
                  <c:v>131.21415903044635</c:v>
                </c:pt>
                <c:pt idx="8">
                  <c:v>131.31392255394621</c:v>
                </c:pt>
              </c:numCache>
            </c:numRef>
          </c:val>
          <c:smooth val="0"/>
          <c:extLst>
            <c:ext xmlns:c16="http://schemas.microsoft.com/office/drawing/2014/chart" uri="{C3380CC4-5D6E-409C-BE32-E72D297353CC}">
              <c16:uniqueId val="{00000004-11AF-40FA-9FEC-CF8A9BA744C2}"/>
            </c:ext>
          </c:extLst>
        </c:ser>
        <c:ser>
          <c:idx val="5"/>
          <c:order val="5"/>
          <c:tx>
            <c:strRef>
              <c:f>'Commodities 2'!$P$112</c:f>
              <c:strCache>
                <c:ptCount val="1"/>
              </c:strCache>
            </c:strRef>
          </c:tx>
          <c:spPr>
            <a:ln w="22225" cap="rnd">
              <a:solidFill>
                <a:srgbClr val="003891"/>
              </a:solidFill>
              <a:round/>
            </a:ln>
            <a:effectLst/>
          </c:spPr>
          <c:marker>
            <c:symbol val="none"/>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2'!$P$114:$P$122</c:f>
              <c:numCache>
                <c:formatCode>0.0</c:formatCode>
                <c:ptCount val="9"/>
                <c:pt idx="0">
                  <c:v>100</c:v>
                </c:pt>
                <c:pt idx="1">
                  <c:v>67.984943361711103</c:v>
                </c:pt>
                <c:pt idx="2">
                  <c:v>112.70738056708647</c:v>
                </c:pt>
                <c:pt idx="3">
                  <c:v>156.808555547738</c:v>
                </c:pt>
                <c:pt idx="4">
                  <c:v>131.21156687539576</c:v>
                </c:pt>
                <c:pt idx="5">
                  <c:v>127.96876099345671</c:v>
                </c:pt>
                <c:pt idx="6">
                  <c:v>119.94512066418068</c:v>
                </c:pt>
                <c:pt idx="7">
                  <c:v>114.86807851966509</c:v>
                </c:pt>
                <c:pt idx="8">
                  <c:v>111.82579328783508</c:v>
                </c:pt>
              </c:numCache>
            </c:numRef>
          </c:val>
          <c:smooth val="0"/>
          <c:extLst>
            <c:ext xmlns:c16="http://schemas.microsoft.com/office/drawing/2014/chart" uri="{C3380CC4-5D6E-409C-BE32-E72D297353CC}">
              <c16:uniqueId val="{00000005-11AF-40FA-9FEC-CF8A9BA744C2}"/>
            </c:ext>
          </c:extLst>
        </c:ser>
        <c:ser>
          <c:idx val="6"/>
          <c:order val="6"/>
          <c:tx>
            <c:strRef>
              <c:f>'Commodities 2'!$Q$112</c:f>
              <c:strCache>
                <c:ptCount val="1"/>
              </c:strCache>
            </c:strRef>
          </c:tx>
          <c:spPr>
            <a:ln w="28575" cap="rnd">
              <a:noFill/>
              <a:round/>
            </a:ln>
            <a:effectLst/>
          </c:spPr>
          <c:marker>
            <c:symbol val="square"/>
            <c:size val="2"/>
            <c:spPr>
              <a:solidFill>
                <a:schemeClr val="bg1"/>
              </a:solidFill>
              <a:ln w="9525">
                <a:noFill/>
              </a:ln>
              <a:effectLst/>
            </c:spPr>
          </c:marker>
          <c:cat>
            <c:numRef>
              <c:f>'Commodities 2'!$J$114:$J$122</c:f>
              <c:numCache>
                <c:formatCode>General</c:formatCode>
                <c:ptCount val="9"/>
                <c:pt idx="0">
                  <c:v>2019</c:v>
                </c:pt>
                <c:pt idx="1">
                  <c:v>2020</c:v>
                </c:pt>
                <c:pt idx="2">
                  <c:v>2021</c:v>
                </c:pt>
                <c:pt idx="3">
                  <c:v>2022</c:v>
                </c:pt>
                <c:pt idx="4">
                  <c:v>2023</c:v>
                </c:pt>
                <c:pt idx="5">
                  <c:v>2024</c:v>
                </c:pt>
                <c:pt idx="6">
                  <c:v>2025</c:v>
                </c:pt>
                <c:pt idx="7">
                  <c:v>2026</c:v>
                </c:pt>
                <c:pt idx="8">
                  <c:v>2027</c:v>
                </c:pt>
              </c:numCache>
            </c:numRef>
          </c:cat>
          <c:val>
            <c:numRef>
              <c:f>'Commodities 2'!$Q$114:$Q$122</c:f>
              <c:numCache>
                <c:formatCode>General</c:formatCode>
                <c:ptCount val="9"/>
                <c:pt idx="0">
                  <c:v>60</c:v>
                </c:pt>
                <c:pt idx="1">
                  <c:v>60</c:v>
                </c:pt>
                <c:pt idx="2">
                  <c:v>60</c:v>
                </c:pt>
                <c:pt idx="3">
                  <c:v>60</c:v>
                </c:pt>
                <c:pt idx="4">
                  <c:v>60</c:v>
                </c:pt>
                <c:pt idx="5">
                  <c:v>60</c:v>
                </c:pt>
                <c:pt idx="6">
                  <c:v>60</c:v>
                </c:pt>
                <c:pt idx="7">
                  <c:v>60</c:v>
                </c:pt>
                <c:pt idx="8">
                  <c:v>60</c:v>
                </c:pt>
              </c:numCache>
            </c:numRef>
          </c:val>
          <c:smooth val="0"/>
          <c:extLst>
            <c:ext xmlns:c16="http://schemas.microsoft.com/office/drawing/2014/chart" uri="{C3380CC4-5D6E-409C-BE32-E72D297353CC}">
              <c16:uniqueId val="{00000006-11AF-40FA-9FEC-CF8A9BA744C2}"/>
            </c:ext>
          </c:extLst>
        </c:ser>
        <c:dLbls>
          <c:showLegendKey val="0"/>
          <c:showVal val="0"/>
          <c:showCatName val="0"/>
          <c:showSerName val="0"/>
          <c:showPercent val="0"/>
          <c:showBubbleSize val="0"/>
        </c:dLbls>
        <c:smooth val="0"/>
        <c:axId val="1767812416"/>
        <c:axId val="1767804256"/>
      </c:lineChart>
      <c:catAx>
        <c:axId val="176781241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04256"/>
        <c:crosses val="autoZero"/>
        <c:auto val="1"/>
        <c:lblAlgn val="ctr"/>
        <c:lblOffset val="100"/>
        <c:noMultiLvlLbl val="0"/>
      </c:catAx>
      <c:valAx>
        <c:axId val="1767804256"/>
        <c:scaling>
          <c:orientation val="minMax"/>
          <c:min val="6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7812416"/>
        <c:crosses val="autoZero"/>
        <c:crossBetween val="midCat"/>
        <c:majorUnit val="10"/>
      </c:valAx>
      <c:spPr>
        <a:noFill/>
        <a:ln>
          <a:noFill/>
        </a:ln>
        <a:effectLst/>
      </c:spPr>
    </c:plotArea>
    <c:legend>
      <c:legendPos val="b"/>
      <c:layout>
        <c:manualLayout>
          <c:xMode val="edge"/>
          <c:yMode val="edge"/>
          <c:x val="0.32921296296296299"/>
          <c:y val="0.87949164249205691"/>
          <c:w val="0.55453703703703705"/>
          <c:h val="0.10694156651471198"/>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055612097101833E-2"/>
          <c:y val="5.8666642029756626E-2"/>
          <c:w val="0.86447596098653134"/>
          <c:h val="0.66094333333333333"/>
        </c:manualLayout>
      </c:layout>
      <c:lineChart>
        <c:grouping val="standard"/>
        <c:varyColors val="0"/>
        <c:ser>
          <c:idx val="0"/>
          <c:order val="0"/>
          <c:tx>
            <c:strRef>
              <c:f>'NBS kretanje referentne ks'!$J$10</c:f>
              <c:strCache>
                <c:ptCount val="1"/>
                <c:pt idx="0">
                  <c:v>САД</c:v>
                </c:pt>
              </c:strCache>
            </c:strRef>
          </c:tx>
          <c:spPr>
            <a:ln w="22225" cap="rnd">
              <a:solidFill>
                <a:srgbClr val="00A651"/>
              </a:solidFill>
              <a:round/>
            </a:ln>
            <a:effectLst/>
          </c:spPr>
          <c:marker>
            <c:symbol val="none"/>
          </c:marker>
          <c:cat>
            <c:multiLvlStrRef>
              <c:f>'NBS kretanje referentne ks'!$H$131:$I$172</c:f>
              <c:multiLvlStrCache>
                <c:ptCount val="42"/>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lvl>
                <c:lvl>
                  <c:pt idx="0">
                    <c:v>2021</c:v>
                  </c:pt>
                  <c:pt idx="12">
                    <c:v>2022</c:v>
                  </c:pt>
                  <c:pt idx="24">
                    <c:v>2023</c:v>
                  </c:pt>
                  <c:pt idx="36">
                    <c:v>2024</c:v>
                  </c:pt>
                </c:lvl>
              </c:multiLvlStrCache>
            </c:multiLvlStrRef>
          </c:cat>
          <c:val>
            <c:numRef>
              <c:f>'NBS kretanje referentne ks'!$J$131:$J$172</c:f>
              <c:numCache>
                <c:formatCode>0.00</c:formatCode>
                <c:ptCount val="42"/>
                <c:pt idx="0">
                  <c:v>0.25</c:v>
                </c:pt>
                <c:pt idx="1">
                  <c:v>0.25</c:v>
                </c:pt>
                <c:pt idx="2">
                  <c:v>0.25</c:v>
                </c:pt>
                <c:pt idx="3">
                  <c:v>0.25</c:v>
                </c:pt>
                <c:pt idx="4">
                  <c:v>0.25</c:v>
                </c:pt>
                <c:pt idx="5">
                  <c:v>0.25</c:v>
                </c:pt>
                <c:pt idx="6">
                  <c:v>0.25</c:v>
                </c:pt>
                <c:pt idx="7">
                  <c:v>0.25</c:v>
                </c:pt>
                <c:pt idx="8">
                  <c:v>0.25</c:v>
                </c:pt>
                <c:pt idx="9">
                  <c:v>0.25</c:v>
                </c:pt>
                <c:pt idx="10">
                  <c:v>0.25</c:v>
                </c:pt>
                <c:pt idx="11">
                  <c:v>0.25</c:v>
                </c:pt>
                <c:pt idx="12">
                  <c:v>0.25</c:v>
                </c:pt>
                <c:pt idx="13">
                  <c:v>0.25</c:v>
                </c:pt>
                <c:pt idx="14">
                  <c:v>0.5</c:v>
                </c:pt>
                <c:pt idx="15">
                  <c:v>0.5</c:v>
                </c:pt>
                <c:pt idx="16">
                  <c:v>1</c:v>
                </c:pt>
                <c:pt idx="17">
                  <c:v>1.75</c:v>
                </c:pt>
                <c:pt idx="18">
                  <c:v>2.5</c:v>
                </c:pt>
                <c:pt idx="19">
                  <c:v>2.5</c:v>
                </c:pt>
                <c:pt idx="20">
                  <c:v>3.25</c:v>
                </c:pt>
                <c:pt idx="21">
                  <c:v>3.25</c:v>
                </c:pt>
                <c:pt idx="22">
                  <c:v>4</c:v>
                </c:pt>
                <c:pt idx="23">
                  <c:v>4.5</c:v>
                </c:pt>
                <c:pt idx="24">
                  <c:v>4.5</c:v>
                </c:pt>
                <c:pt idx="25">
                  <c:v>4.75</c:v>
                </c:pt>
                <c:pt idx="26">
                  <c:v>5</c:v>
                </c:pt>
                <c:pt idx="27">
                  <c:v>5</c:v>
                </c:pt>
                <c:pt idx="28">
                  <c:v>5.25</c:v>
                </c:pt>
                <c:pt idx="29">
                  <c:v>5.25</c:v>
                </c:pt>
                <c:pt idx="30">
                  <c:v>5.5</c:v>
                </c:pt>
                <c:pt idx="31">
                  <c:v>5.5</c:v>
                </c:pt>
                <c:pt idx="32">
                  <c:v>5.5</c:v>
                </c:pt>
                <c:pt idx="33">
                  <c:v>5.5</c:v>
                </c:pt>
                <c:pt idx="34">
                  <c:v>5.5</c:v>
                </c:pt>
                <c:pt idx="35">
                  <c:v>5.5</c:v>
                </c:pt>
                <c:pt idx="36">
                  <c:v>5.5</c:v>
                </c:pt>
                <c:pt idx="37">
                  <c:v>5.5</c:v>
                </c:pt>
                <c:pt idx="38">
                  <c:v>5.5</c:v>
                </c:pt>
                <c:pt idx="39">
                  <c:v>5.5</c:v>
                </c:pt>
                <c:pt idx="40">
                  <c:v>5.5</c:v>
                </c:pt>
                <c:pt idx="41">
                  <c:v>5.5</c:v>
                </c:pt>
              </c:numCache>
            </c:numRef>
          </c:val>
          <c:smooth val="0"/>
          <c:extLst>
            <c:ext xmlns:c16="http://schemas.microsoft.com/office/drawing/2014/chart" uri="{C3380CC4-5D6E-409C-BE32-E72D297353CC}">
              <c16:uniqueId val="{00000000-A6D4-49C1-AE25-09A7D3FAED43}"/>
            </c:ext>
          </c:extLst>
        </c:ser>
        <c:ser>
          <c:idx val="1"/>
          <c:order val="1"/>
          <c:tx>
            <c:strRef>
              <c:f>'NBS kretanje referentne ks'!$K$10</c:f>
              <c:strCache>
                <c:ptCount val="1"/>
                <c:pt idx="0">
                  <c:v>Еврозона</c:v>
                </c:pt>
              </c:strCache>
            </c:strRef>
          </c:tx>
          <c:spPr>
            <a:ln w="22225" cap="rnd">
              <a:solidFill>
                <a:srgbClr val="7F3F98"/>
              </a:solidFill>
              <a:round/>
            </a:ln>
            <a:effectLst/>
          </c:spPr>
          <c:marker>
            <c:symbol val="none"/>
          </c:marker>
          <c:cat>
            <c:multiLvlStrRef>
              <c:f>'NBS kretanje referentne ks'!$H$131:$I$172</c:f>
              <c:multiLvlStrCache>
                <c:ptCount val="42"/>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lvl>
                <c:lvl>
                  <c:pt idx="0">
                    <c:v>2021</c:v>
                  </c:pt>
                  <c:pt idx="12">
                    <c:v>2022</c:v>
                  </c:pt>
                  <c:pt idx="24">
                    <c:v>2023</c:v>
                  </c:pt>
                  <c:pt idx="36">
                    <c:v>2024</c:v>
                  </c:pt>
                </c:lvl>
              </c:multiLvlStrCache>
            </c:multiLvlStrRef>
          </c:cat>
          <c:val>
            <c:numRef>
              <c:f>'NBS kretanje referentne ks'!$K$131:$K$172</c:f>
              <c:numCache>
                <c:formatCode>0.00</c:formatCode>
                <c:ptCount val="42"/>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0.5</c:v>
                </c:pt>
                <c:pt idx="19">
                  <c:v>0.5</c:v>
                </c:pt>
                <c:pt idx="20">
                  <c:v>1.25</c:v>
                </c:pt>
                <c:pt idx="21">
                  <c:v>1.25</c:v>
                </c:pt>
                <c:pt idx="22">
                  <c:v>2</c:v>
                </c:pt>
                <c:pt idx="23">
                  <c:v>2.5</c:v>
                </c:pt>
                <c:pt idx="24">
                  <c:v>2.5</c:v>
                </c:pt>
                <c:pt idx="25">
                  <c:v>3</c:v>
                </c:pt>
                <c:pt idx="26">
                  <c:v>3.5</c:v>
                </c:pt>
                <c:pt idx="27">
                  <c:v>3.5</c:v>
                </c:pt>
                <c:pt idx="28">
                  <c:v>3.75</c:v>
                </c:pt>
                <c:pt idx="29">
                  <c:v>4</c:v>
                </c:pt>
                <c:pt idx="30">
                  <c:v>4.25</c:v>
                </c:pt>
                <c:pt idx="31">
                  <c:v>4.25</c:v>
                </c:pt>
                <c:pt idx="32">
                  <c:v>4.5</c:v>
                </c:pt>
                <c:pt idx="33">
                  <c:v>4.5</c:v>
                </c:pt>
                <c:pt idx="34">
                  <c:v>4.5</c:v>
                </c:pt>
                <c:pt idx="35">
                  <c:v>4.5</c:v>
                </c:pt>
                <c:pt idx="36">
                  <c:v>4.5</c:v>
                </c:pt>
                <c:pt idx="37">
                  <c:v>4.5</c:v>
                </c:pt>
                <c:pt idx="38">
                  <c:v>4.5</c:v>
                </c:pt>
                <c:pt idx="39">
                  <c:v>4.5</c:v>
                </c:pt>
                <c:pt idx="40">
                  <c:v>4.5</c:v>
                </c:pt>
                <c:pt idx="41">
                  <c:v>4.25</c:v>
                </c:pt>
              </c:numCache>
            </c:numRef>
          </c:val>
          <c:smooth val="0"/>
          <c:extLst>
            <c:ext xmlns:c16="http://schemas.microsoft.com/office/drawing/2014/chart" uri="{C3380CC4-5D6E-409C-BE32-E72D297353CC}">
              <c16:uniqueId val="{00000001-A6D4-49C1-AE25-09A7D3FAED43}"/>
            </c:ext>
          </c:extLst>
        </c:ser>
        <c:ser>
          <c:idx val="2"/>
          <c:order val="2"/>
          <c:tx>
            <c:strRef>
              <c:f>'NBS kretanje referentne ks'!$L$10</c:f>
              <c:strCache>
                <c:ptCount val="1"/>
                <c:pt idx="0">
                  <c:v>Велика Британија</c:v>
                </c:pt>
              </c:strCache>
            </c:strRef>
          </c:tx>
          <c:spPr>
            <a:ln w="22225" cap="rnd">
              <a:solidFill>
                <a:srgbClr val="EC008C"/>
              </a:solidFill>
              <a:round/>
            </a:ln>
            <a:effectLst/>
          </c:spPr>
          <c:marker>
            <c:symbol val="none"/>
          </c:marker>
          <c:cat>
            <c:multiLvlStrRef>
              <c:f>'NBS kretanje referentne ks'!$H$131:$I$172</c:f>
              <c:multiLvlStrCache>
                <c:ptCount val="42"/>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pt idx="28">
                    <c:v>V</c:v>
                  </c:pt>
                  <c:pt idx="29">
                    <c:v>VI</c:v>
                  </c:pt>
                  <c:pt idx="30">
                    <c:v>VII</c:v>
                  </c:pt>
                  <c:pt idx="31">
                    <c:v>VIII</c:v>
                  </c:pt>
                  <c:pt idx="32">
                    <c:v>IX</c:v>
                  </c:pt>
                  <c:pt idx="33">
                    <c:v>X</c:v>
                  </c:pt>
                  <c:pt idx="34">
                    <c:v>XI</c:v>
                  </c:pt>
                  <c:pt idx="35">
                    <c:v>XII</c:v>
                  </c:pt>
                  <c:pt idx="36">
                    <c:v>I</c:v>
                  </c:pt>
                  <c:pt idx="37">
                    <c:v>II</c:v>
                  </c:pt>
                  <c:pt idx="38">
                    <c:v>III</c:v>
                  </c:pt>
                  <c:pt idx="39">
                    <c:v>IV</c:v>
                  </c:pt>
                  <c:pt idx="40">
                    <c:v>V</c:v>
                  </c:pt>
                  <c:pt idx="41">
                    <c:v>VI</c:v>
                  </c:pt>
                </c:lvl>
                <c:lvl>
                  <c:pt idx="0">
                    <c:v>2021</c:v>
                  </c:pt>
                  <c:pt idx="12">
                    <c:v>2022</c:v>
                  </c:pt>
                  <c:pt idx="24">
                    <c:v>2023</c:v>
                  </c:pt>
                  <c:pt idx="36">
                    <c:v>2024</c:v>
                  </c:pt>
                </c:lvl>
              </c:multiLvlStrCache>
            </c:multiLvlStrRef>
          </c:cat>
          <c:val>
            <c:numRef>
              <c:f>'NBS kretanje referentne ks'!$L$131:$L$172</c:f>
              <c:numCache>
                <c:formatCode>0.00</c:formatCode>
                <c:ptCount val="42"/>
                <c:pt idx="0">
                  <c:v>0.1</c:v>
                </c:pt>
                <c:pt idx="1">
                  <c:v>0.1</c:v>
                </c:pt>
                <c:pt idx="2">
                  <c:v>0.1</c:v>
                </c:pt>
                <c:pt idx="3">
                  <c:v>0.1</c:v>
                </c:pt>
                <c:pt idx="4">
                  <c:v>0.1</c:v>
                </c:pt>
                <c:pt idx="5">
                  <c:v>0.1</c:v>
                </c:pt>
                <c:pt idx="6">
                  <c:v>0.1</c:v>
                </c:pt>
                <c:pt idx="7">
                  <c:v>0.1</c:v>
                </c:pt>
                <c:pt idx="8">
                  <c:v>0.1</c:v>
                </c:pt>
                <c:pt idx="9">
                  <c:v>0.1</c:v>
                </c:pt>
                <c:pt idx="10">
                  <c:v>0.1</c:v>
                </c:pt>
                <c:pt idx="11">
                  <c:v>0.25</c:v>
                </c:pt>
                <c:pt idx="12">
                  <c:v>0.25</c:v>
                </c:pt>
                <c:pt idx="13">
                  <c:v>0.5</c:v>
                </c:pt>
                <c:pt idx="14">
                  <c:v>0.75</c:v>
                </c:pt>
                <c:pt idx="15">
                  <c:v>0.75</c:v>
                </c:pt>
                <c:pt idx="16">
                  <c:v>1</c:v>
                </c:pt>
                <c:pt idx="17">
                  <c:v>1.25</c:v>
                </c:pt>
                <c:pt idx="18">
                  <c:v>1.25</c:v>
                </c:pt>
                <c:pt idx="19">
                  <c:v>1.75</c:v>
                </c:pt>
                <c:pt idx="20">
                  <c:v>2.25</c:v>
                </c:pt>
                <c:pt idx="21">
                  <c:v>2.25</c:v>
                </c:pt>
                <c:pt idx="22">
                  <c:v>3</c:v>
                </c:pt>
                <c:pt idx="23">
                  <c:v>3.5</c:v>
                </c:pt>
                <c:pt idx="24">
                  <c:v>3.5</c:v>
                </c:pt>
                <c:pt idx="25">
                  <c:v>4</c:v>
                </c:pt>
                <c:pt idx="26">
                  <c:v>4.25</c:v>
                </c:pt>
                <c:pt idx="27">
                  <c:v>4.25</c:v>
                </c:pt>
                <c:pt idx="28">
                  <c:v>4.5</c:v>
                </c:pt>
                <c:pt idx="29">
                  <c:v>5</c:v>
                </c:pt>
                <c:pt idx="30">
                  <c:v>5</c:v>
                </c:pt>
                <c:pt idx="31">
                  <c:v>5.25</c:v>
                </c:pt>
                <c:pt idx="32">
                  <c:v>5.25</c:v>
                </c:pt>
                <c:pt idx="33">
                  <c:v>5.25</c:v>
                </c:pt>
                <c:pt idx="34">
                  <c:v>5.25</c:v>
                </c:pt>
                <c:pt idx="35">
                  <c:v>5.25</c:v>
                </c:pt>
                <c:pt idx="36">
                  <c:v>5.25</c:v>
                </c:pt>
                <c:pt idx="37">
                  <c:v>5.25</c:v>
                </c:pt>
                <c:pt idx="38">
                  <c:v>5.25</c:v>
                </c:pt>
                <c:pt idx="39">
                  <c:v>5.25</c:v>
                </c:pt>
                <c:pt idx="40">
                  <c:v>5.25</c:v>
                </c:pt>
                <c:pt idx="41">
                  <c:v>5.25</c:v>
                </c:pt>
              </c:numCache>
            </c:numRef>
          </c:val>
          <c:smooth val="0"/>
          <c:extLst>
            <c:ext xmlns:c16="http://schemas.microsoft.com/office/drawing/2014/chart" uri="{C3380CC4-5D6E-409C-BE32-E72D297353CC}">
              <c16:uniqueId val="{00000002-A6D4-49C1-AE25-09A7D3FAED43}"/>
            </c:ext>
          </c:extLst>
        </c:ser>
        <c:dLbls>
          <c:showLegendKey val="0"/>
          <c:showVal val="0"/>
          <c:showCatName val="0"/>
          <c:showSerName val="0"/>
          <c:showPercent val="0"/>
          <c:showBubbleSize val="0"/>
        </c:dLbls>
        <c:smooth val="0"/>
        <c:axId val="1425258495"/>
        <c:axId val="1425258911"/>
      </c:lineChart>
      <c:catAx>
        <c:axId val="1425258495"/>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0" spcFirstLastPara="1" vertOverflow="ellipsis"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911"/>
        <c:crosses val="autoZero"/>
        <c:auto val="1"/>
        <c:lblAlgn val="ctr"/>
        <c:lblOffset val="100"/>
        <c:noMultiLvlLbl val="1"/>
      </c:catAx>
      <c:valAx>
        <c:axId val="142525891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425258495"/>
        <c:crosses val="autoZero"/>
        <c:crossBetween val="between"/>
      </c:valAx>
      <c:spPr>
        <a:noFill/>
        <a:ln>
          <a:noFill/>
        </a:ln>
        <a:effectLst/>
      </c:spPr>
    </c:plotArea>
    <c:legend>
      <c:legendPos val="b"/>
      <c:layout>
        <c:manualLayout>
          <c:xMode val="edge"/>
          <c:yMode val="edge"/>
          <c:x val="6.0106305519149555E-2"/>
          <c:y val="0.90279486428431943"/>
          <c:w val="0.89288044269695666"/>
          <c:h val="8.0338443952359492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agregati'!$B$6</c:f>
              <c:strCache>
                <c:ptCount val="1"/>
                <c:pt idx="0">
                  <c:v>Реални раст БДП, %</c:v>
                </c:pt>
              </c:strCache>
            </c:strRef>
          </c:tx>
          <c:spPr>
            <a:solidFill>
              <a:srgbClr val="00389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81D5-4274-97BA-48A0694F3D85}"/>
              </c:ext>
            </c:extLst>
          </c:dPt>
          <c:dPt>
            <c:idx val="1"/>
            <c:invertIfNegative val="0"/>
            <c:bubble3D val="0"/>
            <c:spPr>
              <a:solidFill>
                <a:srgbClr val="ED1C24"/>
              </a:solidFill>
              <a:ln>
                <a:noFill/>
              </a:ln>
              <a:effectLst/>
            </c:spPr>
            <c:extLst>
              <c:ext xmlns:c16="http://schemas.microsoft.com/office/drawing/2014/chart" uri="{C3380CC4-5D6E-409C-BE32-E72D297353CC}">
                <c16:uniqueId val="{00000003-81D5-4274-97BA-48A0694F3D85}"/>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81D5-4274-97BA-48A0694F3D85}"/>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81D5-4274-97BA-48A0694F3D8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agregati'!$C$6,'Osn. makroekon. agregati'!$D$6)</c:f>
              <c:numCache>
                <c:formatCode>0.0</c:formatCode>
                <c:ptCount val="2"/>
                <c:pt idx="0">
                  <c:v>3.5</c:v>
                </c:pt>
                <c:pt idx="1">
                  <c:v>3.8</c:v>
                </c:pt>
              </c:numCache>
            </c:numRef>
          </c:val>
          <c:extLst>
            <c:ext xmlns:c16="http://schemas.microsoft.com/office/drawing/2014/chart" uri="{C3380CC4-5D6E-409C-BE32-E72D297353CC}">
              <c16:uniqueId val="{00000004-81D5-4274-97BA-48A0694F3D85}"/>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590421037E-2"/>
          <c:y val="0.11348336551369499"/>
          <c:w val="0.91418918918918923"/>
          <c:h val="0.73303303303303291"/>
        </c:manualLayout>
      </c:layout>
      <c:barChart>
        <c:barDir val="col"/>
        <c:grouping val="clustered"/>
        <c:varyColors val="0"/>
        <c:ser>
          <c:idx val="0"/>
          <c:order val="0"/>
          <c:tx>
            <c:strRef>
              <c:f>'Osn. makroekon. agregati'!$B$6</c:f>
              <c:strCache>
                <c:ptCount val="1"/>
                <c:pt idx="0">
                  <c:v>Реални раст БДП,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5108-4E38-B8A2-3E113F22098F}"/>
              </c:ext>
            </c:extLst>
          </c:dPt>
          <c:dPt>
            <c:idx val="1"/>
            <c:invertIfNegative val="0"/>
            <c:bubble3D val="0"/>
            <c:spPr>
              <a:solidFill>
                <a:srgbClr val="ED1C24"/>
              </a:solidFill>
              <a:ln>
                <a:noFill/>
              </a:ln>
              <a:effectLst/>
            </c:spPr>
            <c:extLst>
              <c:ext xmlns:c16="http://schemas.microsoft.com/office/drawing/2014/chart" uri="{C3380CC4-5D6E-409C-BE32-E72D297353CC}">
                <c16:uniqueId val="{00000003-5108-4E38-B8A2-3E113F22098F}"/>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108-4E38-B8A2-3E113F22098F}"/>
                </c:ext>
              </c:extLst>
            </c:dLbl>
            <c:dLbl>
              <c:idx val="1"/>
              <c:layout>
                <c:manualLayout>
                  <c:x val="-8.7398890260461573E-17"/>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108-4E38-B8A2-3E113F22098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agregati'!$E$6,'Osn. makroekon. agregati'!$F$6)</c:f>
              <c:numCache>
                <c:formatCode>0.0</c:formatCode>
                <c:ptCount val="2"/>
                <c:pt idx="0">
                  <c:v>4</c:v>
                </c:pt>
                <c:pt idx="1">
                  <c:v>4.2</c:v>
                </c:pt>
              </c:numCache>
            </c:numRef>
          </c:val>
          <c:extLst>
            <c:ext xmlns:c16="http://schemas.microsoft.com/office/drawing/2014/chart" uri="{C3380CC4-5D6E-409C-BE32-E72D297353CC}">
              <c16:uniqueId val="{00000004-5108-4E38-B8A2-3E113F22098F}"/>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35DC-48DE-B170-C829D7757D68}"/>
              </c:ext>
            </c:extLst>
          </c:dPt>
          <c:dPt>
            <c:idx val="1"/>
            <c:invertIfNegative val="0"/>
            <c:bubble3D val="0"/>
            <c:spPr>
              <a:solidFill>
                <a:srgbClr val="ED1C24"/>
              </a:solidFill>
              <a:ln>
                <a:noFill/>
              </a:ln>
              <a:effectLst/>
            </c:spPr>
            <c:extLst>
              <c:ext xmlns:c16="http://schemas.microsoft.com/office/drawing/2014/chart" uri="{C3380CC4-5D6E-409C-BE32-E72D297353CC}">
                <c16:uniqueId val="{00000003-35DC-48DE-B170-C829D7757D68}"/>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5DC-48DE-B170-C829D7757D68}"/>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5DC-48DE-B170-C829D7757D6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agregati'!$C$7,'Osn. makroekon. agregati'!$D$7)</c:f>
              <c:numCache>
                <c:formatCode>0.0</c:formatCode>
                <c:ptCount val="2"/>
                <c:pt idx="0">
                  <c:v>-4</c:v>
                </c:pt>
                <c:pt idx="1">
                  <c:v>-4.0999999999999996</c:v>
                </c:pt>
              </c:numCache>
            </c:numRef>
          </c:val>
          <c:extLst>
            <c:ext xmlns:c16="http://schemas.microsoft.com/office/drawing/2014/chart" uri="{C3380CC4-5D6E-409C-BE32-E72D297353CC}">
              <c16:uniqueId val="{00000004-35DC-48DE-B170-C829D7757D68}"/>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2349849849849845"/>
        </c:manualLayout>
      </c:layout>
      <c:barChart>
        <c:barDir val="col"/>
        <c:grouping val="clustered"/>
        <c:varyColors val="0"/>
        <c:ser>
          <c:idx val="0"/>
          <c:order val="0"/>
          <c:tx>
            <c:strRef>
              <c:f>'Osn. makroekon. agregati'!$B$7</c:f>
              <c:strCache>
                <c:ptCount val="1"/>
                <c:pt idx="0">
                  <c:v>Дефицит текућег рачуна,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0B3D-43C8-BFA4-B59416DD1B38}"/>
              </c:ext>
            </c:extLst>
          </c:dPt>
          <c:dPt>
            <c:idx val="1"/>
            <c:invertIfNegative val="0"/>
            <c:bubble3D val="0"/>
            <c:spPr>
              <a:solidFill>
                <a:srgbClr val="ED1C24"/>
              </a:solidFill>
              <a:ln>
                <a:noFill/>
              </a:ln>
              <a:effectLst/>
            </c:spPr>
            <c:extLst>
              <c:ext xmlns:c16="http://schemas.microsoft.com/office/drawing/2014/chart" uri="{C3380CC4-5D6E-409C-BE32-E72D297353CC}">
                <c16:uniqueId val="{00000003-0B3D-43C8-BFA4-B59416DD1B38}"/>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B3D-43C8-BFA4-B59416DD1B38}"/>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3D-43C8-BFA4-B59416DD1B3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agregati'!$E$7,'Osn. makroekon. agregati'!$F$7)</c:f>
              <c:numCache>
                <c:formatCode>0.0</c:formatCode>
                <c:ptCount val="2"/>
                <c:pt idx="0">
                  <c:v>-4.0999999999999996</c:v>
                </c:pt>
                <c:pt idx="1">
                  <c:v>-4.7</c:v>
                </c:pt>
              </c:numCache>
            </c:numRef>
          </c:val>
          <c:extLst>
            <c:ext xmlns:c16="http://schemas.microsoft.com/office/drawing/2014/chart" uri="{C3380CC4-5D6E-409C-BE32-E72D297353CC}">
              <c16:uniqueId val="{00000004-0B3D-43C8-BFA4-B59416DD1B38}"/>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1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CDDF-4135-8E62-3674176A32DC}"/>
              </c:ext>
            </c:extLst>
          </c:dPt>
          <c:dPt>
            <c:idx val="1"/>
            <c:invertIfNegative val="0"/>
            <c:bubble3D val="0"/>
            <c:spPr>
              <a:solidFill>
                <a:srgbClr val="ED1C24"/>
              </a:solidFill>
              <a:ln>
                <a:noFill/>
              </a:ln>
              <a:effectLst/>
            </c:spPr>
            <c:extLst>
              <c:ext xmlns:c16="http://schemas.microsoft.com/office/drawing/2014/chart" uri="{C3380CC4-5D6E-409C-BE32-E72D297353CC}">
                <c16:uniqueId val="{00000003-CDDF-4135-8E62-3674176A32DC}"/>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CDDF-4135-8E62-3674176A32DC}"/>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CDDF-4135-8E62-3674176A32D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agregati'!$C$8,'Osn. makroekon. agregati'!$D$8)</c:f>
              <c:numCache>
                <c:formatCode>0.0</c:formatCode>
                <c:ptCount val="2"/>
                <c:pt idx="0">
                  <c:v>4.9000000000000004</c:v>
                </c:pt>
                <c:pt idx="1">
                  <c:v>4.9000000000000004</c:v>
                </c:pt>
              </c:numCache>
            </c:numRef>
          </c:val>
          <c:extLst>
            <c:ext xmlns:c16="http://schemas.microsoft.com/office/drawing/2014/chart" uri="{C3380CC4-5D6E-409C-BE32-E72D297353CC}">
              <c16:uniqueId val="{00000004-CDDF-4135-8E62-3674176A32DC}"/>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0"/>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8.867129629629629E-2"/>
          <c:w val="0.91418918918918923"/>
          <c:h val="0.72349849849849845"/>
        </c:manualLayout>
      </c:layout>
      <c:barChart>
        <c:barDir val="col"/>
        <c:grouping val="clustered"/>
        <c:varyColors val="0"/>
        <c:ser>
          <c:idx val="0"/>
          <c:order val="0"/>
          <c:tx>
            <c:strRef>
              <c:f>'Osn. makroekon. agregati'!$B$8</c:f>
              <c:strCache>
                <c:ptCount val="1"/>
                <c:pt idx="0">
                  <c:v>Инфлација, %</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A01C-448E-A3EA-2D2556FDB7FD}"/>
              </c:ext>
            </c:extLst>
          </c:dPt>
          <c:dPt>
            <c:idx val="1"/>
            <c:invertIfNegative val="0"/>
            <c:bubble3D val="0"/>
            <c:spPr>
              <a:solidFill>
                <a:srgbClr val="ED1C24"/>
              </a:solidFill>
              <a:ln>
                <a:noFill/>
              </a:ln>
              <a:effectLst/>
            </c:spPr>
            <c:extLst>
              <c:ext xmlns:c16="http://schemas.microsoft.com/office/drawing/2014/chart" uri="{C3380CC4-5D6E-409C-BE32-E72D297353CC}">
                <c16:uniqueId val="{00000003-A01C-448E-A3EA-2D2556FDB7FD}"/>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A01C-448E-A3EA-2D2556FDB7FD}"/>
                </c:ext>
              </c:extLst>
            </c:dLbl>
            <c:dLbl>
              <c:idx val="1"/>
              <c:spPr>
                <a:noFill/>
                <a:ln>
                  <a:noFill/>
                </a:ln>
                <a:effectLst/>
              </c:spPr>
              <c:txPr>
                <a:bodyPr rot="0" spcFirstLastPara="1" vertOverflow="ellipsis" vert="horz" wrap="none" lIns="38100" tIns="19050" rIns="38100" bIns="19050" anchor="ctr" anchorCtr="1">
                  <a:noAutofit/>
                </a:bodyPr>
                <a:lstStyle/>
                <a:p>
                  <a:pPr>
                    <a:defRPr sz="900" b="1" i="0" u="none" strike="noStrike" kern="1200" baseline="0">
                      <a:solidFill>
                        <a:srgbClr val="FF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A01C-448E-A3EA-2D2556FDB7F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agregati'!$E$8,'Osn. makroekon. agregati'!$F$8)</c:f>
              <c:numCache>
                <c:formatCode>0.0</c:formatCode>
                <c:ptCount val="2"/>
                <c:pt idx="0">
                  <c:v>3.5</c:v>
                </c:pt>
                <c:pt idx="1">
                  <c:v>3.5</c:v>
                </c:pt>
              </c:numCache>
            </c:numRef>
          </c:val>
          <c:extLst>
            <c:ext xmlns:c16="http://schemas.microsoft.com/office/drawing/2014/chart" uri="{C3380CC4-5D6E-409C-BE32-E72D297353CC}">
              <c16:uniqueId val="{00000004-A01C-448E-A3EA-2D2556FDB7FD}"/>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10"/>
          <c:min val="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6DA6-4904-84C7-2294F31A88F6}"/>
              </c:ext>
            </c:extLst>
          </c:dPt>
          <c:dPt>
            <c:idx val="1"/>
            <c:invertIfNegative val="0"/>
            <c:bubble3D val="0"/>
            <c:spPr>
              <a:solidFill>
                <a:srgbClr val="ED1C24"/>
              </a:solidFill>
              <a:ln>
                <a:noFill/>
              </a:ln>
              <a:effectLst/>
            </c:spPr>
            <c:extLst>
              <c:ext xmlns:c16="http://schemas.microsoft.com/office/drawing/2014/chart" uri="{C3380CC4-5D6E-409C-BE32-E72D297353CC}">
                <c16:uniqueId val="{00000003-6DA6-4904-84C7-2294F31A88F6}"/>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6DA6-4904-84C7-2294F31A88F6}"/>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3-6DA6-4904-84C7-2294F31A88F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agregati'!$C$9,'Osn. makroekon. agregati'!$D$9)</c:f>
              <c:numCache>
                <c:formatCode>0.0</c:formatCode>
                <c:ptCount val="2"/>
                <c:pt idx="0">
                  <c:v>-2.2000000000000002</c:v>
                </c:pt>
                <c:pt idx="1">
                  <c:v>-2.2000000000000002</c:v>
                </c:pt>
              </c:numCache>
            </c:numRef>
          </c:val>
          <c:extLst>
            <c:ext xmlns:c16="http://schemas.microsoft.com/office/drawing/2014/chart" uri="{C3380CC4-5D6E-409C-BE32-E72D297353CC}">
              <c16:uniqueId val="{00000004-6DA6-4904-84C7-2294F31A88F6}"/>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7162162162162162"/>
          <c:w val="0.91418918918918923"/>
          <c:h val="0.70274673202614379"/>
        </c:manualLayout>
      </c:layout>
      <c:barChart>
        <c:barDir val="col"/>
        <c:grouping val="clustered"/>
        <c:varyColors val="0"/>
        <c:ser>
          <c:idx val="0"/>
          <c:order val="0"/>
          <c:tx>
            <c:strRef>
              <c:f>'Osn. makroekon. agregati'!$B$9</c:f>
              <c:strCache>
                <c:ptCount val="1"/>
                <c:pt idx="0">
                  <c:v>Фискални резултат,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66D3-4B51-A658-E5CACBCB164F}"/>
              </c:ext>
            </c:extLst>
          </c:dPt>
          <c:dPt>
            <c:idx val="1"/>
            <c:invertIfNegative val="0"/>
            <c:bubble3D val="0"/>
            <c:spPr>
              <a:solidFill>
                <a:srgbClr val="ED1C24"/>
              </a:solidFill>
              <a:ln>
                <a:noFill/>
              </a:ln>
              <a:effectLst/>
            </c:spPr>
            <c:extLst>
              <c:ext xmlns:c16="http://schemas.microsoft.com/office/drawing/2014/chart" uri="{C3380CC4-5D6E-409C-BE32-E72D297353CC}">
                <c16:uniqueId val="{00000003-66D3-4B51-A658-E5CACBCB164F}"/>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1-66D3-4B51-A658-E5CACBCB164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('Osn. makroekon. agregati'!$E$9,'Osn. makroekon. agregati'!$F$9)</c:f>
              <c:numCache>
                <c:formatCode>0.0</c:formatCode>
                <c:ptCount val="2"/>
                <c:pt idx="0">
                  <c:v>-1.5</c:v>
                </c:pt>
                <c:pt idx="1">
                  <c:v>-2.5</c:v>
                </c:pt>
              </c:numCache>
            </c:numRef>
          </c:val>
          <c:extLst>
            <c:ext xmlns:c16="http://schemas.microsoft.com/office/drawing/2014/chart" uri="{C3380CC4-5D6E-409C-BE32-E72D297353CC}">
              <c16:uniqueId val="{00000004-66D3-4B51-A658-E5CACBCB164F}"/>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layout>
            <c:manualLayout>
              <c:xMode val="edge"/>
              <c:yMode val="edge"/>
              <c:x val="0.37948348348348349"/>
              <c:y val="7.3190476190476209E-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0"/>
          <c:min val="-9"/>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FD5C-4789-B8D0-2872C8C8C571}"/>
              </c:ext>
            </c:extLst>
          </c:dPt>
          <c:dPt>
            <c:idx val="1"/>
            <c:invertIfNegative val="0"/>
            <c:bubble3D val="0"/>
            <c:spPr>
              <a:solidFill>
                <a:srgbClr val="ED1C24"/>
              </a:solidFill>
              <a:ln>
                <a:noFill/>
              </a:ln>
              <a:effectLst/>
            </c:spPr>
            <c:extLst>
              <c:ext xmlns:c16="http://schemas.microsoft.com/office/drawing/2014/chart" uri="{C3380CC4-5D6E-409C-BE32-E72D297353CC}">
                <c16:uniqueId val="{00000003-FD5C-4789-B8D0-2872C8C8C571}"/>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FD5C-4789-B8D0-2872C8C8C571}"/>
                </c:ext>
              </c:extLst>
            </c:dLbl>
            <c:dLbl>
              <c:idx val="1"/>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FD5C-4789-B8D0-2872C8C8C571}"/>
                </c:ext>
              </c:extLst>
            </c:dLbl>
            <c:spPr>
              <a:noFill/>
              <a:ln>
                <a:noFill/>
              </a:ln>
              <a:effectLst/>
            </c:spPr>
            <c:txPr>
              <a:bodyPr rot="0" spcFirstLastPara="1" vertOverflow="ellipsis" vert="horz" wrap="non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agregati'!$C$10,'Osn. makroekon. agregati'!$D$10)</c:f>
              <c:numCache>
                <c:formatCode>0.0</c:formatCode>
                <c:ptCount val="2"/>
                <c:pt idx="0">
                  <c:v>51.7</c:v>
                </c:pt>
                <c:pt idx="1">
                  <c:v>52</c:v>
                </c:pt>
              </c:numCache>
            </c:numRef>
          </c:val>
          <c:extLst>
            <c:ext xmlns:c16="http://schemas.microsoft.com/office/drawing/2014/chart" uri="{C3380CC4-5D6E-409C-BE32-E72D297353CC}">
              <c16:uniqueId val="{00000004-FD5C-4789-B8D0-2872C8C8C571}"/>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agregati'!$D$5</c:f>
              <c:strCache>
                <c:ptCount val="1"/>
                <c:pt idx="0">
                  <c:v>2024</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38138138138135E-2"/>
          <c:y val="0.12394894894894895"/>
          <c:w val="0.91418918918918923"/>
          <c:h val="0.72349849849849845"/>
        </c:manualLayout>
      </c:layout>
      <c:barChart>
        <c:barDir val="col"/>
        <c:grouping val="clustered"/>
        <c:varyColors val="0"/>
        <c:ser>
          <c:idx val="0"/>
          <c:order val="0"/>
          <c:tx>
            <c:strRef>
              <c:f>'Osn. makroekon. agregati'!$B$10</c:f>
              <c:strCache>
                <c:ptCount val="1"/>
                <c:pt idx="0">
                  <c:v>Јавни дуг, % БДП</c:v>
                </c:pt>
              </c:strCache>
            </c:strRef>
          </c:tx>
          <c:spPr>
            <a:solidFill>
              <a:schemeClr val="accent1"/>
            </a:solidFill>
            <a:ln>
              <a:noFill/>
            </a:ln>
            <a:effectLst/>
          </c:spPr>
          <c:invertIfNegative val="0"/>
          <c:dPt>
            <c:idx val="0"/>
            <c:invertIfNegative val="0"/>
            <c:bubble3D val="0"/>
            <c:spPr>
              <a:solidFill>
                <a:srgbClr val="29489A"/>
              </a:solidFill>
              <a:ln>
                <a:noFill/>
              </a:ln>
              <a:effectLst/>
            </c:spPr>
            <c:extLst>
              <c:ext xmlns:c16="http://schemas.microsoft.com/office/drawing/2014/chart" uri="{C3380CC4-5D6E-409C-BE32-E72D297353CC}">
                <c16:uniqueId val="{00000001-EDA7-47D8-97D2-5CD4DEAAC337}"/>
              </c:ext>
            </c:extLst>
          </c:dPt>
          <c:dPt>
            <c:idx val="1"/>
            <c:invertIfNegative val="0"/>
            <c:bubble3D val="0"/>
            <c:spPr>
              <a:solidFill>
                <a:srgbClr val="ED1C24"/>
              </a:solidFill>
              <a:ln>
                <a:noFill/>
              </a:ln>
              <a:effectLst/>
            </c:spPr>
            <c:extLst>
              <c:ext xmlns:c16="http://schemas.microsoft.com/office/drawing/2014/chart" uri="{C3380CC4-5D6E-409C-BE32-E72D297353CC}">
                <c16:uniqueId val="{00000003-EDA7-47D8-97D2-5CD4DEAAC337}"/>
              </c:ext>
            </c:extLst>
          </c:dPt>
          <c:dLbls>
            <c:dLbl>
              <c:idx val="0"/>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29489A"/>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1-EDA7-47D8-97D2-5CD4DEAAC337}"/>
                </c:ext>
              </c:extLst>
            </c:dLbl>
            <c:spPr>
              <a:noFill/>
              <a:ln>
                <a:noFill/>
              </a:ln>
              <a:effectLst/>
            </c:spPr>
            <c:txPr>
              <a:bodyPr rot="0" spcFirstLastPara="1" vertOverflow="ellipsis" vert="horz" wrap="none" lIns="38100" tIns="19050" rIns="38100" bIns="19050" anchor="ctr" anchorCtr="1">
                <a:spAutoFit/>
              </a:bodyPr>
              <a:lstStyle/>
              <a:p>
                <a:pPr>
                  <a:defRPr sz="900" b="1" i="0" u="none" strike="noStrike" kern="1200" baseline="0">
                    <a:solidFill>
                      <a:srgbClr val="ED1C24"/>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1"/>
                <c15:leaderLines>
                  <c:spPr>
                    <a:ln w="9525" cap="flat" cmpd="sng" algn="ctr">
                      <a:solidFill>
                        <a:schemeClr val="tx1">
                          <a:lumMod val="35000"/>
                          <a:lumOff val="65000"/>
                        </a:schemeClr>
                      </a:solidFill>
                      <a:round/>
                    </a:ln>
                    <a:effectLst/>
                  </c:spPr>
                </c15:leaderLines>
              </c:ext>
            </c:extLst>
          </c:dLbls>
          <c:val>
            <c:numRef>
              <c:f>('Osn. makroekon. agregati'!$E$10,'Osn. makroekon. agregati'!$F$10)</c:f>
              <c:numCache>
                <c:formatCode>0.0</c:formatCode>
                <c:ptCount val="2"/>
                <c:pt idx="0">
                  <c:v>50.7</c:v>
                </c:pt>
                <c:pt idx="1">
                  <c:v>51.6</c:v>
                </c:pt>
              </c:numCache>
            </c:numRef>
          </c:val>
          <c:extLst>
            <c:ext xmlns:c16="http://schemas.microsoft.com/office/drawing/2014/chart" uri="{C3380CC4-5D6E-409C-BE32-E72D297353CC}">
              <c16:uniqueId val="{00000004-EDA7-47D8-97D2-5CD4DEAAC337}"/>
            </c:ext>
          </c:extLst>
        </c:ser>
        <c:dLbls>
          <c:showLegendKey val="0"/>
          <c:showVal val="0"/>
          <c:showCatName val="0"/>
          <c:showSerName val="0"/>
          <c:showPercent val="0"/>
          <c:showBubbleSize val="0"/>
        </c:dLbls>
        <c:gapWidth val="15"/>
        <c:axId val="1768831680"/>
        <c:axId val="1768853440"/>
      </c:barChart>
      <c:catAx>
        <c:axId val="1768831680"/>
        <c:scaling>
          <c:orientation val="minMax"/>
        </c:scaling>
        <c:delete val="0"/>
        <c:axPos val="b"/>
        <c:title>
          <c:tx>
            <c:strRef>
              <c:f>'Osn. makroekon. agregati'!$F$5</c:f>
              <c:strCache>
                <c:ptCount val="1"/>
                <c:pt idx="0">
                  <c:v>2025</c:v>
                </c:pt>
              </c:strCache>
            </c:strRef>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sr-Latn-RS"/>
            </a:p>
          </c:txPr>
        </c:title>
        <c:majorTickMark val="none"/>
        <c:minorTickMark val="none"/>
        <c:tickLblPos val="none"/>
        <c:spPr>
          <a:noFill/>
          <a:ln w="12700" cap="flat" cmpd="sng" algn="ctr">
            <a:solidFill>
              <a:srgbClr val="898989"/>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53440"/>
        <c:crossesAt val="0"/>
        <c:auto val="1"/>
        <c:lblAlgn val="ctr"/>
        <c:lblOffset val="100"/>
        <c:noMultiLvlLbl val="0"/>
      </c:catAx>
      <c:valAx>
        <c:axId val="1768853440"/>
        <c:scaling>
          <c:orientation val="minMax"/>
          <c:max val="60"/>
          <c:min val="30"/>
        </c:scaling>
        <c:delete val="0"/>
        <c:axPos val="l"/>
        <c:numFmt formatCode="0.0" sourceLinked="1"/>
        <c:majorTickMark val="out"/>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76883168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2">
    <c:autoUpdate val="0"/>
  </c:externalData>
  <c:userShapes r:id="rId3"/>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72776319626709E-2"/>
          <c:y val="4.9065064820320185E-2"/>
          <c:w val="0.90740810185185183"/>
          <c:h val="0.62091256084322588"/>
        </c:manualLayout>
      </c:layout>
      <c:barChart>
        <c:barDir val="col"/>
        <c:grouping val="stacked"/>
        <c:varyColors val="0"/>
        <c:ser>
          <c:idx val="0"/>
          <c:order val="0"/>
          <c:tx>
            <c:strRef>
              <c:f>BDPQ_doprinosi!$R$34</c:f>
              <c:strCache>
                <c:ptCount val="1"/>
                <c:pt idx="0">
                  <c:v>Пољопривреда</c:v>
                </c:pt>
              </c:strCache>
            </c:strRef>
          </c:tx>
          <c:spPr>
            <a:solidFill>
              <a:srgbClr val="10103C"/>
            </a:solidFill>
            <a:ln>
              <a:noFill/>
            </a:ln>
            <a:effectLst/>
          </c:spPr>
          <c:invertIfNegative val="0"/>
          <c:cat>
            <c:multiLvlStrRef>
              <c:f>BDPQ_doprinosi!$BG$32:$BO$33</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BDPQ_doprinosi!$BG$34:$BO$34</c:f>
              <c:numCache>
                <c:formatCode>0.0</c:formatCode>
                <c:ptCount val="9"/>
                <c:pt idx="0">
                  <c:v>-0.55845605701048795</c:v>
                </c:pt>
                <c:pt idx="1">
                  <c:v>-0.55940303403010994</c:v>
                </c:pt>
                <c:pt idx="2">
                  <c:v>-0.49708688080825297</c:v>
                </c:pt>
                <c:pt idx="3">
                  <c:v>-0.47481937409732378</c:v>
                </c:pt>
                <c:pt idx="4">
                  <c:v>0.30550513136359109</c:v>
                </c:pt>
                <c:pt idx="5">
                  <c:v>0.31142151870716978</c:v>
                </c:pt>
                <c:pt idx="6">
                  <c:v>0.86058102195178887</c:v>
                </c:pt>
                <c:pt idx="7">
                  <c:v>0.60330057744271082</c:v>
                </c:pt>
                <c:pt idx="8">
                  <c:v>0.26758465580197871</c:v>
                </c:pt>
              </c:numCache>
            </c:numRef>
          </c:val>
          <c:extLst>
            <c:ext xmlns:c16="http://schemas.microsoft.com/office/drawing/2014/chart" uri="{C3380CC4-5D6E-409C-BE32-E72D297353CC}">
              <c16:uniqueId val="{00000000-2E9F-43A6-BC46-703556A36A4E}"/>
            </c:ext>
          </c:extLst>
        </c:ser>
        <c:ser>
          <c:idx val="1"/>
          <c:order val="1"/>
          <c:tx>
            <c:strRef>
              <c:f>BDPQ_doprinosi!$R$35</c:f>
              <c:strCache>
                <c:ptCount val="1"/>
                <c:pt idx="0">
                  <c:v>Индустрија</c:v>
                </c:pt>
              </c:strCache>
            </c:strRef>
          </c:tx>
          <c:spPr>
            <a:solidFill>
              <a:srgbClr val="29489A"/>
            </a:solidFill>
            <a:ln>
              <a:noFill/>
            </a:ln>
            <a:effectLst/>
          </c:spPr>
          <c:invertIfNegative val="0"/>
          <c:cat>
            <c:multiLvlStrRef>
              <c:f>BDPQ_doprinosi!$BG$32:$BO$33</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BDPQ_doprinosi!$BG$35:$BO$35</c:f>
              <c:numCache>
                <c:formatCode>0.0</c:formatCode>
                <c:ptCount val="9"/>
                <c:pt idx="0">
                  <c:v>0.62792127289310862</c:v>
                </c:pt>
                <c:pt idx="1">
                  <c:v>1.0628463849243037</c:v>
                </c:pt>
                <c:pt idx="2">
                  <c:v>0.18940490452965297</c:v>
                </c:pt>
                <c:pt idx="3">
                  <c:v>0.43765197282800955</c:v>
                </c:pt>
                <c:pt idx="4">
                  <c:v>0.54833971231838152</c:v>
                </c:pt>
                <c:pt idx="5">
                  <c:v>0.1276485219392999</c:v>
                </c:pt>
                <c:pt idx="6">
                  <c:v>0.59920314052329327</c:v>
                </c:pt>
                <c:pt idx="7">
                  <c:v>0.49860001198760934</c:v>
                </c:pt>
                <c:pt idx="8">
                  <c:v>0.69766855094178337</c:v>
                </c:pt>
              </c:numCache>
            </c:numRef>
          </c:val>
          <c:extLst>
            <c:ext xmlns:c16="http://schemas.microsoft.com/office/drawing/2014/chart" uri="{C3380CC4-5D6E-409C-BE32-E72D297353CC}">
              <c16:uniqueId val="{00000001-2E9F-43A6-BC46-703556A36A4E}"/>
            </c:ext>
          </c:extLst>
        </c:ser>
        <c:ser>
          <c:idx val="2"/>
          <c:order val="2"/>
          <c:tx>
            <c:strRef>
              <c:f>BDPQ_doprinosi!$R$36</c:f>
              <c:strCache>
                <c:ptCount val="1"/>
                <c:pt idx="0">
                  <c:v>Грађевинарство</c:v>
                </c:pt>
              </c:strCache>
            </c:strRef>
          </c:tx>
          <c:spPr>
            <a:solidFill>
              <a:srgbClr val="2183C4"/>
            </a:solidFill>
            <a:ln>
              <a:noFill/>
            </a:ln>
            <a:effectLst/>
          </c:spPr>
          <c:invertIfNegative val="0"/>
          <c:cat>
            <c:multiLvlStrRef>
              <c:f>BDPQ_doprinosi!$BG$32:$BO$33</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BDPQ_doprinosi!$BG$36:$BO$36</c:f>
              <c:numCache>
                <c:formatCode>0.0</c:formatCode>
                <c:ptCount val="9"/>
                <c:pt idx="0">
                  <c:v>-0.29114213312054599</c:v>
                </c:pt>
                <c:pt idx="1">
                  <c:v>-0.38352315213555521</c:v>
                </c:pt>
                <c:pt idx="2">
                  <c:v>-0.74536156545086518</c:v>
                </c:pt>
                <c:pt idx="3">
                  <c:v>-0.87464796870573192</c:v>
                </c:pt>
                <c:pt idx="4">
                  <c:v>-0.11093730700134799</c:v>
                </c:pt>
                <c:pt idx="5">
                  <c:v>0.75938843714364324</c:v>
                </c:pt>
                <c:pt idx="6">
                  <c:v>0.72682983651794875</c:v>
                </c:pt>
                <c:pt idx="7">
                  <c:v>0.51312779197662306</c:v>
                </c:pt>
                <c:pt idx="8">
                  <c:v>0.67778641483471647</c:v>
                </c:pt>
              </c:numCache>
            </c:numRef>
          </c:val>
          <c:extLst>
            <c:ext xmlns:c16="http://schemas.microsoft.com/office/drawing/2014/chart" uri="{C3380CC4-5D6E-409C-BE32-E72D297353CC}">
              <c16:uniqueId val="{00000002-2E9F-43A6-BC46-703556A36A4E}"/>
            </c:ext>
          </c:extLst>
        </c:ser>
        <c:ser>
          <c:idx val="3"/>
          <c:order val="3"/>
          <c:tx>
            <c:strRef>
              <c:f>BDPQ_doprinosi!$R$37</c:f>
              <c:strCache>
                <c:ptCount val="1"/>
                <c:pt idx="0">
                  <c:v>Услуге</c:v>
                </c:pt>
              </c:strCache>
            </c:strRef>
          </c:tx>
          <c:spPr>
            <a:solidFill>
              <a:srgbClr val="51BBE7"/>
            </a:solidFill>
            <a:ln>
              <a:noFill/>
            </a:ln>
            <a:effectLst/>
          </c:spPr>
          <c:invertIfNegative val="0"/>
          <c:cat>
            <c:multiLvlStrRef>
              <c:f>BDPQ_doprinosi!$BG$32:$BO$33</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BDPQ_doprinosi!$BG$37:$BO$37</c:f>
              <c:numCache>
                <c:formatCode>0.0</c:formatCode>
                <c:ptCount val="9"/>
                <c:pt idx="0">
                  <c:v>3.5591942724112613</c:v>
                </c:pt>
                <c:pt idx="1">
                  <c:v>3.1697610886838254</c:v>
                </c:pt>
                <c:pt idx="2">
                  <c:v>2.0676884766055732</c:v>
                </c:pt>
                <c:pt idx="3">
                  <c:v>1.7807584014857603</c:v>
                </c:pt>
                <c:pt idx="4">
                  <c:v>0.31455081702228715</c:v>
                </c:pt>
                <c:pt idx="5">
                  <c:v>0.45420895599247124</c:v>
                </c:pt>
                <c:pt idx="6">
                  <c:v>1.3064692900212485</c:v>
                </c:pt>
                <c:pt idx="7">
                  <c:v>1.9175048910149295</c:v>
                </c:pt>
                <c:pt idx="8">
                  <c:v>2.5666309183944018</c:v>
                </c:pt>
              </c:numCache>
            </c:numRef>
          </c:val>
          <c:extLst>
            <c:ext xmlns:c16="http://schemas.microsoft.com/office/drawing/2014/chart" uri="{C3380CC4-5D6E-409C-BE32-E72D297353CC}">
              <c16:uniqueId val="{00000003-2E9F-43A6-BC46-703556A36A4E}"/>
            </c:ext>
          </c:extLst>
        </c:ser>
        <c:ser>
          <c:idx val="4"/>
          <c:order val="4"/>
          <c:tx>
            <c:strRef>
              <c:f>BDPQ_doprinosi!$R$38</c:f>
              <c:strCache>
                <c:ptCount val="1"/>
                <c:pt idx="0">
                  <c:v>Нето порези</c:v>
                </c:pt>
              </c:strCache>
            </c:strRef>
          </c:tx>
          <c:spPr>
            <a:solidFill>
              <a:srgbClr val="9ED1E6"/>
            </a:solidFill>
            <a:ln>
              <a:noFill/>
            </a:ln>
            <a:effectLst/>
          </c:spPr>
          <c:invertIfNegative val="0"/>
          <c:cat>
            <c:multiLvlStrRef>
              <c:f>BDPQ_doprinosi!$BG$32:$BO$33</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BDPQ_doprinosi!$BG$38:$BO$38</c:f>
              <c:numCache>
                <c:formatCode>0.0</c:formatCode>
                <c:ptCount val="9"/>
                <c:pt idx="0">
                  <c:v>1.1012808779724625</c:v>
                </c:pt>
                <c:pt idx="1">
                  <c:v>0.72536472132196483</c:v>
                </c:pt>
                <c:pt idx="2">
                  <c:v>0.24110719650692244</c:v>
                </c:pt>
                <c:pt idx="3">
                  <c:v>-5.4790948894996638E-2</c:v>
                </c:pt>
                <c:pt idx="4">
                  <c:v>-0.16560565084427448</c:v>
                </c:pt>
                <c:pt idx="5">
                  <c:v>-5.6417675327225851E-2</c:v>
                </c:pt>
                <c:pt idx="6">
                  <c:v>0.10911144818595254</c:v>
                </c:pt>
                <c:pt idx="7">
                  <c:v>0.30673142132286746</c:v>
                </c:pt>
                <c:pt idx="8">
                  <c:v>0.51418108120947281</c:v>
                </c:pt>
              </c:numCache>
            </c:numRef>
          </c:val>
          <c:extLst>
            <c:ext xmlns:c16="http://schemas.microsoft.com/office/drawing/2014/chart" uri="{C3380CC4-5D6E-409C-BE32-E72D297353CC}">
              <c16:uniqueId val="{00000004-2E9F-43A6-BC46-703556A36A4E}"/>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BDPQ_doprinosi!$R$39</c:f>
              <c:strCache>
                <c:ptCount val="1"/>
                <c:pt idx="0">
                  <c:v>Реални раст БДП</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BDPQ_doprinosi!$BG$32:$BO$33</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BDPQ_doprinosi!$BG$39:$BO$39</c:f>
              <c:numCache>
                <c:formatCode>0.0</c:formatCode>
                <c:ptCount val="9"/>
                <c:pt idx="0">
                  <c:v>4.4387982331457891</c:v>
                </c:pt>
                <c:pt idx="1">
                  <c:v>4.0150460087644717</c:v>
                </c:pt>
                <c:pt idx="2">
                  <c:v>1.2557521313830762</c:v>
                </c:pt>
                <c:pt idx="3">
                  <c:v>0.81415208261572047</c:v>
                </c:pt>
                <c:pt idx="4">
                  <c:v>0.89185270285869933</c:v>
                </c:pt>
                <c:pt idx="5">
                  <c:v>1.5962497584553859</c:v>
                </c:pt>
                <c:pt idx="6">
                  <c:v>3.6021947372002217</c:v>
                </c:pt>
                <c:pt idx="7">
                  <c:v>3.8392646937447807</c:v>
                </c:pt>
                <c:pt idx="8">
                  <c:v>4.7238516211823196</c:v>
                </c:pt>
              </c:numCache>
            </c:numRef>
          </c:val>
          <c:smooth val="0"/>
          <c:extLst>
            <c:ext xmlns:c16="http://schemas.microsoft.com/office/drawing/2014/chart" uri="{C3380CC4-5D6E-409C-BE32-E72D297353CC}">
              <c16:uniqueId val="{00000005-2E9F-43A6-BC46-703556A36A4E}"/>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0"/>
        <c:noMultiLvlLbl val="0"/>
      </c:catAx>
      <c:valAx>
        <c:axId val="1768858336"/>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2122928000266726"/>
          <c:w val="0.93586103820355804"/>
          <c:h val="0.1758017103895887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3880572945331671"/>
        </c:manualLayout>
      </c:layout>
      <c:barChart>
        <c:barDir val="col"/>
        <c:grouping val="stacked"/>
        <c:varyColors val="0"/>
        <c:ser>
          <c:idx val="2"/>
          <c:order val="0"/>
          <c:tx>
            <c:strRef>
              <c:f>BDPQ_doprinosi!$R$8</c:f>
              <c:strCache>
                <c:ptCount val="1"/>
                <c:pt idx="0">
                  <c:v>Приватна потрошња</c:v>
                </c:pt>
              </c:strCache>
            </c:strRef>
          </c:tx>
          <c:spPr>
            <a:solidFill>
              <a:srgbClr val="10103C"/>
            </a:solidFill>
            <a:ln>
              <a:noFill/>
            </a:ln>
            <a:effectLst/>
          </c:spPr>
          <c:invertIfNegative val="0"/>
          <c:cat>
            <c:multiLvlStrRef>
              <c:f>BDPQ_doprinosi!$BG$5:$BO$6</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BDPQ_doprinosi!$BG$8:$BO$8</c:f>
              <c:numCache>
                <c:formatCode>0.0</c:formatCode>
                <c:ptCount val="9"/>
                <c:pt idx="0">
                  <c:v>4.4149215994912909</c:v>
                </c:pt>
                <c:pt idx="1">
                  <c:v>2.9170750032260795</c:v>
                </c:pt>
                <c:pt idx="2">
                  <c:v>2.3538590399555019</c:v>
                </c:pt>
                <c:pt idx="3">
                  <c:v>1.0111463435490797</c:v>
                </c:pt>
                <c:pt idx="4">
                  <c:v>-6.4996295245888416E-2</c:v>
                </c:pt>
                <c:pt idx="5">
                  <c:v>-0.43853155162018675</c:v>
                </c:pt>
                <c:pt idx="6">
                  <c:v>1.0413601425552308</c:v>
                </c:pt>
                <c:pt idx="7">
                  <c:v>1.6787309418910421</c:v>
                </c:pt>
                <c:pt idx="8">
                  <c:v>2.8485464971518568</c:v>
                </c:pt>
              </c:numCache>
            </c:numRef>
          </c:val>
          <c:extLst>
            <c:ext xmlns:c16="http://schemas.microsoft.com/office/drawing/2014/chart" uri="{C3380CC4-5D6E-409C-BE32-E72D297353CC}">
              <c16:uniqueId val="{00000000-67BE-4E8F-A9CF-2AC0BD7CC2F0}"/>
            </c:ext>
          </c:extLst>
        </c:ser>
        <c:ser>
          <c:idx val="3"/>
          <c:order val="1"/>
          <c:tx>
            <c:strRef>
              <c:f>BDPQ_doprinosi!$R$9</c:f>
              <c:strCache>
                <c:ptCount val="1"/>
                <c:pt idx="0">
                  <c:v>Државна потрошња</c:v>
                </c:pt>
              </c:strCache>
            </c:strRef>
          </c:tx>
          <c:spPr>
            <a:solidFill>
              <a:srgbClr val="29489A"/>
            </a:solidFill>
            <a:ln>
              <a:noFill/>
            </a:ln>
            <a:effectLst/>
          </c:spPr>
          <c:invertIfNegative val="0"/>
          <c:cat>
            <c:multiLvlStrRef>
              <c:f>BDPQ_doprinosi!$BG$5:$BO$6</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BDPQ_doprinosi!$BG$9:$BO$9</c:f>
              <c:numCache>
                <c:formatCode>0.0</c:formatCode>
                <c:ptCount val="9"/>
                <c:pt idx="0">
                  <c:v>0.44074528636092686</c:v>
                </c:pt>
                <c:pt idx="1">
                  <c:v>0.82536305422978717</c:v>
                </c:pt>
                <c:pt idx="2">
                  <c:v>-0.6216581054548499</c:v>
                </c:pt>
                <c:pt idx="3">
                  <c:v>-0.31478537082113933</c:v>
                </c:pt>
                <c:pt idx="4">
                  <c:v>-0.86830566765743833</c:v>
                </c:pt>
                <c:pt idx="5">
                  <c:v>-0.26257829618306239</c:v>
                </c:pt>
                <c:pt idx="6">
                  <c:v>0.28610998973689045</c:v>
                </c:pt>
                <c:pt idx="7">
                  <c:v>0.95515965539694059</c:v>
                </c:pt>
                <c:pt idx="8">
                  <c:v>0.56245332458081532</c:v>
                </c:pt>
              </c:numCache>
            </c:numRef>
          </c:val>
          <c:extLst>
            <c:ext xmlns:c16="http://schemas.microsoft.com/office/drawing/2014/chart" uri="{C3380CC4-5D6E-409C-BE32-E72D297353CC}">
              <c16:uniqueId val="{00000001-67BE-4E8F-A9CF-2AC0BD7CC2F0}"/>
            </c:ext>
          </c:extLst>
        </c:ser>
        <c:ser>
          <c:idx val="1"/>
          <c:order val="2"/>
          <c:tx>
            <c:strRef>
              <c:f>BDPQ_doprinosi!$R$10</c:f>
              <c:strCache>
                <c:ptCount val="1"/>
                <c:pt idx="0">
                  <c:v>Инвестиције</c:v>
                </c:pt>
              </c:strCache>
            </c:strRef>
          </c:tx>
          <c:spPr>
            <a:solidFill>
              <a:srgbClr val="2183C4"/>
            </a:solidFill>
            <a:ln>
              <a:noFill/>
            </a:ln>
            <a:effectLst/>
          </c:spPr>
          <c:invertIfNegative val="0"/>
          <c:cat>
            <c:multiLvlStrRef>
              <c:f>BDPQ_doprinosi!$BG$5:$BO$6</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BDPQ_doprinosi!$BG$10:$BO$10</c:f>
              <c:numCache>
                <c:formatCode>0.0</c:formatCode>
                <c:ptCount val="9"/>
                <c:pt idx="0">
                  <c:v>0.7034072460228542</c:v>
                </c:pt>
                <c:pt idx="1">
                  <c:v>0.95945251908996221</c:v>
                </c:pt>
                <c:pt idx="2">
                  <c:v>0.19212859151162201</c:v>
                </c:pt>
                <c:pt idx="3">
                  <c:v>-4.8296772298297055E-2</c:v>
                </c:pt>
                <c:pt idx="4">
                  <c:v>0.39876928756506869</c:v>
                </c:pt>
                <c:pt idx="5">
                  <c:v>0.76849691220418992</c:v>
                </c:pt>
                <c:pt idx="6">
                  <c:v>1.0072041650402161</c:v>
                </c:pt>
                <c:pt idx="7">
                  <c:v>1.5183328601671726</c:v>
                </c:pt>
                <c:pt idx="8">
                  <c:v>1.6739969498953666</c:v>
                </c:pt>
              </c:numCache>
            </c:numRef>
          </c:val>
          <c:extLst>
            <c:ext xmlns:c16="http://schemas.microsoft.com/office/drawing/2014/chart" uri="{C3380CC4-5D6E-409C-BE32-E72D297353CC}">
              <c16:uniqueId val="{00000002-67BE-4E8F-A9CF-2AC0BD7CC2F0}"/>
            </c:ext>
          </c:extLst>
        </c:ser>
        <c:ser>
          <c:idx val="0"/>
          <c:order val="3"/>
          <c:tx>
            <c:strRef>
              <c:f>BDPQ_doprinosi!$R$11</c:f>
              <c:strCache>
                <c:ptCount val="1"/>
                <c:pt idx="0">
                  <c:v>Нето извоз</c:v>
                </c:pt>
              </c:strCache>
            </c:strRef>
          </c:tx>
          <c:spPr>
            <a:solidFill>
              <a:srgbClr val="51BBE7"/>
            </a:solidFill>
            <a:ln>
              <a:noFill/>
            </a:ln>
            <a:effectLst/>
          </c:spPr>
          <c:invertIfNegative val="0"/>
          <c:cat>
            <c:multiLvlStrRef>
              <c:f>BDPQ_doprinosi!$BG$5:$BO$6</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BDPQ_doprinosi!$BG$11:$BO$11</c:f>
              <c:numCache>
                <c:formatCode>0.0</c:formatCode>
                <c:ptCount val="9"/>
                <c:pt idx="0">
                  <c:v>-8.8159487812808734</c:v>
                </c:pt>
                <c:pt idx="1">
                  <c:v>-2.4075587697248171</c:v>
                </c:pt>
                <c:pt idx="2">
                  <c:v>2.8938104977962356</c:v>
                </c:pt>
                <c:pt idx="3">
                  <c:v>3.3710172577636972</c:v>
                </c:pt>
                <c:pt idx="4">
                  <c:v>6.3835561026402718</c:v>
                </c:pt>
                <c:pt idx="5">
                  <c:v>5.8895526355832111</c:v>
                </c:pt>
                <c:pt idx="6">
                  <c:v>0.40043850599644804</c:v>
                </c:pt>
                <c:pt idx="7">
                  <c:v>-2.7510297543755495</c:v>
                </c:pt>
                <c:pt idx="8">
                  <c:v>-1.3365739560054557</c:v>
                </c:pt>
              </c:numCache>
            </c:numRef>
          </c:val>
          <c:extLst>
            <c:ext xmlns:c16="http://schemas.microsoft.com/office/drawing/2014/chart" uri="{C3380CC4-5D6E-409C-BE32-E72D297353CC}">
              <c16:uniqueId val="{00000003-67BE-4E8F-A9CF-2AC0BD7CC2F0}"/>
            </c:ext>
          </c:extLst>
        </c:ser>
        <c:ser>
          <c:idx val="4"/>
          <c:order val="4"/>
          <c:tx>
            <c:strRef>
              <c:f>BDPQ_doprinosi!$R$12</c:f>
              <c:strCache>
                <c:ptCount val="1"/>
                <c:pt idx="0">
                  <c:v>Промена у залихама</c:v>
                </c:pt>
              </c:strCache>
            </c:strRef>
          </c:tx>
          <c:spPr>
            <a:solidFill>
              <a:srgbClr val="9ED1E6"/>
            </a:solidFill>
            <a:ln>
              <a:noFill/>
            </a:ln>
            <a:effectLst/>
          </c:spPr>
          <c:invertIfNegative val="0"/>
          <c:cat>
            <c:multiLvlStrRef>
              <c:f>BDPQ_doprinosi!$BG$5:$BO$6</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BDPQ_doprinosi!$BG$12:$BO$12</c:f>
              <c:numCache>
                <c:formatCode>0.0</c:formatCode>
                <c:ptCount val="9"/>
                <c:pt idx="0">
                  <c:v>7.6956728825515945</c:v>
                </c:pt>
                <c:pt idx="1">
                  <c:v>1.720714201943462</c:v>
                </c:pt>
                <c:pt idx="2">
                  <c:v>-3.5623878924254404</c:v>
                </c:pt>
                <c:pt idx="3">
                  <c:v>-3.2049293755776049</c:v>
                </c:pt>
                <c:pt idx="4">
                  <c:v>-4.9571707244433139</c:v>
                </c:pt>
                <c:pt idx="5">
                  <c:v>-4.3606899415287756</c:v>
                </c:pt>
                <c:pt idx="6">
                  <c:v>0.86708193387143373</c:v>
                </c:pt>
                <c:pt idx="7">
                  <c:v>2.4380709906651714</c:v>
                </c:pt>
                <c:pt idx="8">
                  <c:v>0.97542880555973932</c:v>
                </c:pt>
              </c:numCache>
            </c:numRef>
          </c:val>
          <c:extLst>
            <c:ext xmlns:c16="http://schemas.microsoft.com/office/drawing/2014/chart" uri="{C3380CC4-5D6E-409C-BE32-E72D297353CC}">
              <c16:uniqueId val="{00000004-67BE-4E8F-A9CF-2AC0BD7CC2F0}"/>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BDPQ_doprinosi!$R$13</c:f>
              <c:strCache>
                <c:ptCount val="1"/>
                <c:pt idx="0">
                  <c:v>Реални раст БДП</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BDPQ_doprinosi!$BG$5:$BO$6</c:f>
              <c:multiLvlStrCache>
                <c:ptCount val="9"/>
                <c:lvl>
                  <c:pt idx="0">
                    <c:v>Q1</c:v>
                  </c:pt>
                  <c:pt idx="1">
                    <c:v>Q2</c:v>
                  </c:pt>
                  <c:pt idx="2">
                    <c:v>Q3</c:v>
                  </c:pt>
                  <c:pt idx="3">
                    <c:v>Q4</c:v>
                  </c:pt>
                  <c:pt idx="4">
                    <c:v>Q1</c:v>
                  </c:pt>
                  <c:pt idx="5">
                    <c:v>Q2</c:v>
                  </c:pt>
                  <c:pt idx="6">
                    <c:v>Q3</c:v>
                  </c:pt>
                  <c:pt idx="7">
                    <c:v>Q4</c:v>
                  </c:pt>
                  <c:pt idx="8">
                    <c:v>Q1</c:v>
                  </c:pt>
                </c:lvl>
                <c:lvl>
                  <c:pt idx="0">
                    <c:v>2022</c:v>
                  </c:pt>
                  <c:pt idx="4">
                    <c:v>2023</c:v>
                  </c:pt>
                  <c:pt idx="8">
                    <c:v>2024</c:v>
                  </c:pt>
                </c:lvl>
              </c:multiLvlStrCache>
            </c:multiLvlStrRef>
          </c:cat>
          <c:val>
            <c:numRef>
              <c:f>BDPQ_doprinosi!$BG$13:$BO$13</c:f>
              <c:numCache>
                <c:formatCode>0.0</c:formatCode>
                <c:ptCount val="9"/>
                <c:pt idx="0">
                  <c:v>4.4387982331457891</c:v>
                </c:pt>
                <c:pt idx="1">
                  <c:v>4.0150460087644717</c:v>
                </c:pt>
                <c:pt idx="2">
                  <c:v>1.2557521313830762</c:v>
                </c:pt>
                <c:pt idx="3">
                  <c:v>0.81415208261572047</c:v>
                </c:pt>
                <c:pt idx="4">
                  <c:v>0.89185270285869933</c:v>
                </c:pt>
                <c:pt idx="5">
                  <c:v>1.5962497584553859</c:v>
                </c:pt>
                <c:pt idx="6">
                  <c:v>3.6021947372002217</c:v>
                </c:pt>
                <c:pt idx="7">
                  <c:v>3.8392646937447807</c:v>
                </c:pt>
                <c:pt idx="8">
                  <c:v>4.7238516211823196</c:v>
                </c:pt>
              </c:numCache>
            </c:numRef>
          </c:val>
          <c:smooth val="0"/>
          <c:extLst>
            <c:ext xmlns:c16="http://schemas.microsoft.com/office/drawing/2014/chart" uri="{C3380CC4-5D6E-409C-BE32-E72D297353CC}">
              <c16:uniqueId val="{00000005-67BE-4E8F-A9CF-2AC0BD7CC2F0}"/>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0"/>
        <c:noMultiLvlLbl val="0"/>
      </c:catAx>
      <c:valAx>
        <c:axId val="1768855072"/>
        <c:scaling>
          <c:orientation val="minMax"/>
          <c:min val="-1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majorUnit val="4"/>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5459160052910048"/>
        </c:manualLayout>
      </c:layout>
      <c:barChart>
        <c:barDir val="col"/>
        <c:grouping val="stacked"/>
        <c:varyColors val="0"/>
        <c:ser>
          <c:idx val="0"/>
          <c:order val="1"/>
          <c:tx>
            <c:strRef>
              <c:f>IPAS_doprinosi!$D$11</c:f>
              <c:strCache>
                <c:ptCount val="1"/>
                <c:pt idx="0">
                  <c:v>Пољопривреда</c:v>
                </c:pt>
              </c:strCache>
            </c:strRef>
          </c:tx>
          <c:spPr>
            <a:solidFill>
              <a:srgbClr val="10103C"/>
            </a:solidFill>
            <a:ln>
              <a:noFill/>
            </a:ln>
            <a:effectLst/>
          </c:spPr>
          <c:invertIfNegative val="0"/>
          <c:cat>
            <c:multiLvlStrRef>
              <c:f>IPAS_doprinosi!$A$60:$B$75</c:f>
              <c:multiLvlStrCache>
                <c:ptCount val="1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lvl>
                <c:lvl>
                  <c:pt idx="0">
                    <c:v>2023</c:v>
                  </c:pt>
                  <c:pt idx="12">
                    <c:v>2024</c:v>
                  </c:pt>
                </c:lvl>
              </c:multiLvlStrCache>
            </c:multiLvlStrRef>
          </c:cat>
          <c:val>
            <c:numRef>
              <c:f>IPAS_doprinosi!$D$60:$D$75</c:f>
              <c:numCache>
                <c:formatCode>0.0</c:formatCode>
                <c:ptCount val="16"/>
                <c:pt idx="0">
                  <c:v>0.33820519436166091</c:v>
                </c:pt>
                <c:pt idx="1">
                  <c:v>0.328085921786955</c:v>
                </c:pt>
                <c:pt idx="2">
                  <c:v>0.25402099034477721</c:v>
                </c:pt>
                <c:pt idx="3">
                  <c:v>0.29956229566777387</c:v>
                </c:pt>
                <c:pt idx="4">
                  <c:v>0.30881891545641138</c:v>
                </c:pt>
                <c:pt idx="5">
                  <c:v>0.32491535827182122</c:v>
                </c:pt>
                <c:pt idx="6">
                  <c:v>0.88296981855878098</c:v>
                </c:pt>
                <c:pt idx="7">
                  <c:v>0.86646637553510952</c:v>
                </c:pt>
                <c:pt idx="8">
                  <c:v>0.83302114186158993</c:v>
                </c:pt>
                <c:pt idx="9">
                  <c:v>0.61180404934428634</c:v>
                </c:pt>
                <c:pt idx="10">
                  <c:v>0.57858149507536782</c:v>
                </c:pt>
                <c:pt idx="11">
                  <c:v>0.62005246240782552</c:v>
                </c:pt>
                <c:pt idx="12">
                  <c:v>5.4215759140233667E-2</c:v>
                </c:pt>
                <c:pt idx="13">
                  <c:v>6.82164081615865E-2</c:v>
                </c:pt>
                <c:pt idx="14">
                  <c:v>8.0223049317721881E-2</c:v>
                </c:pt>
                <c:pt idx="15">
                  <c:v>3.0349760523254152E-2</c:v>
                </c:pt>
              </c:numCache>
            </c:numRef>
          </c:val>
          <c:extLst>
            <c:ext xmlns:c16="http://schemas.microsoft.com/office/drawing/2014/chart" uri="{C3380CC4-5D6E-409C-BE32-E72D297353CC}">
              <c16:uniqueId val="{00000000-E8F3-4D2B-8624-FCA711365456}"/>
            </c:ext>
          </c:extLst>
        </c:ser>
        <c:ser>
          <c:idx val="1"/>
          <c:order val="2"/>
          <c:tx>
            <c:strRef>
              <c:f>IPAS_doprinosi!$E$11</c:f>
              <c:strCache>
                <c:ptCount val="1"/>
                <c:pt idx="0">
                  <c:v>Индустрија</c:v>
                </c:pt>
              </c:strCache>
            </c:strRef>
          </c:tx>
          <c:spPr>
            <a:solidFill>
              <a:srgbClr val="2183C4"/>
            </a:solidFill>
            <a:ln>
              <a:noFill/>
            </a:ln>
            <a:effectLst/>
          </c:spPr>
          <c:invertIfNegative val="0"/>
          <c:cat>
            <c:multiLvlStrRef>
              <c:f>IPAS_doprinosi!$A$60:$B$75</c:f>
              <c:multiLvlStrCache>
                <c:ptCount val="1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lvl>
                <c:lvl>
                  <c:pt idx="0">
                    <c:v>2023</c:v>
                  </c:pt>
                  <c:pt idx="12">
                    <c:v>2024</c:v>
                  </c:pt>
                </c:lvl>
              </c:multiLvlStrCache>
            </c:multiLvlStrRef>
          </c:cat>
          <c:val>
            <c:numRef>
              <c:f>IPAS_doprinosi!$E$60:$E$75</c:f>
              <c:numCache>
                <c:formatCode>0.0</c:formatCode>
                <c:ptCount val="16"/>
                <c:pt idx="0">
                  <c:v>1.0614072598749005</c:v>
                </c:pt>
                <c:pt idx="1">
                  <c:v>0.30087701198607214</c:v>
                </c:pt>
                <c:pt idx="2">
                  <c:v>0.30388885596134979</c:v>
                </c:pt>
                <c:pt idx="3">
                  <c:v>0.17129069823542098</c:v>
                </c:pt>
                <c:pt idx="4">
                  <c:v>0.12416897679080391</c:v>
                </c:pt>
                <c:pt idx="5">
                  <c:v>9.060471980200363E-2</c:v>
                </c:pt>
                <c:pt idx="6">
                  <c:v>0.44411653582328187</c:v>
                </c:pt>
                <c:pt idx="7">
                  <c:v>1.0504733131158617</c:v>
                </c:pt>
                <c:pt idx="8">
                  <c:v>0.30696915723216212</c:v>
                </c:pt>
                <c:pt idx="9">
                  <c:v>0.52659301668825531</c:v>
                </c:pt>
                <c:pt idx="10">
                  <c:v>0.70261879892394441</c:v>
                </c:pt>
                <c:pt idx="11">
                  <c:v>0.26283613674732209</c:v>
                </c:pt>
                <c:pt idx="12">
                  <c:v>1.2715147890446987</c:v>
                </c:pt>
                <c:pt idx="13">
                  <c:v>1.1648353971120269</c:v>
                </c:pt>
                <c:pt idx="14">
                  <c:v>-0.48417215931433166</c:v>
                </c:pt>
                <c:pt idx="15">
                  <c:v>0.6350423333491757</c:v>
                </c:pt>
              </c:numCache>
            </c:numRef>
          </c:val>
          <c:extLst>
            <c:ext xmlns:c16="http://schemas.microsoft.com/office/drawing/2014/chart" uri="{C3380CC4-5D6E-409C-BE32-E72D297353CC}">
              <c16:uniqueId val="{00000001-E8F3-4D2B-8624-FCA711365456}"/>
            </c:ext>
          </c:extLst>
        </c:ser>
        <c:ser>
          <c:idx val="2"/>
          <c:order val="3"/>
          <c:tx>
            <c:strRef>
              <c:f>IPAS_doprinosi!$F$11</c:f>
              <c:strCache>
                <c:ptCount val="1"/>
                <c:pt idx="0">
                  <c:v>Грађевинарство</c:v>
                </c:pt>
              </c:strCache>
            </c:strRef>
          </c:tx>
          <c:spPr>
            <a:solidFill>
              <a:srgbClr val="51BBE7"/>
            </a:solidFill>
            <a:ln>
              <a:noFill/>
            </a:ln>
            <a:effectLst/>
          </c:spPr>
          <c:invertIfNegative val="0"/>
          <c:cat>
            <c:multiLvlStrRef>
              <c:f>IPAS_doprinosi!$A$60:$B$75</c:f>
              <c:multiLvlStrCache>
                <c:ptCount val="1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lvl>
                <c:lvl>
                  <c:pt idx="0">
                    <c:v>2023</c:v>
                  </c:pt>
                  <c:pt idx="12">
                    <c:v>2024</c:v>
                  </c:pt>
                </c:lvl>
              </c:multiLvlStrCache>
            </c:multiLvlStrRef>
          </c:cat>
          <c:val>
            <c:numRef>
              <c:f>IPAS_doprinosi!$F$60:$F$75</c:f>
              <c:numCache>
                <c:formatCode>0.0</c:formatCode>
                <c:ptCount val="16"/>
                <c:pt idx="0">
                  <c:v>7.4131985184118385E-2</c:v>
                </c:pt>
                <c:pt idx="1">
                  <c:v>-0.11304382696834524</c:v>
                </c:pt>
                <c:pt idx="2">
                  <c:v>-0.28070566453514117</c:v>
                </c:pt>
                <c:pt idx="3">
                  <c:v>0.23151887036485119</c:v>
                </c:pt>
                <c:pt idx="4">
                  <c:v>0.99652784852165732</c:v>
                </c:pt>
                <c:pt idx="5">
                  <c:v>1.0190255918899984</c:v>
                </c:pt>
                <c:pt idx="6">
                  <c:v>0.56193882291598651</c:v>
                </c:pt>
                <c:pt idx="7">
                  <c:v>0.69592454349293076</c:v>
                </c:pt>
                <c:pt idx="8">
                  <c:v>0.91759159251031119</c:v>
                </c:pt>
                <c:pt idx="9">
                  <c:v>0.52007530715443073</c:v>
                </c:pt>
                <c:pt idx="10">
                  <c:v>0.45843949773429621</c:v>
                </c:pt>
                <c:pt idx="11">
                  <c:v>0.56197348841845995</c:v>
                </c:pt>
                <c:pt idx="12">
                  <c:v>0.48574369381867061</c:v>
                </c:pt>
                <c:pt idx="13">
                  <c:v>0.67485442107621429</c:v>
                </c:pt>
                <c:pt idx="14">
                  <c:v>0.91361067513225247</c:v>
                </c:pt>
                <c:pt idx="15">
                  <c:v>0.60504893435845697</c:v>
                </c:pt>
              </c:numCache>
            </c:numRef>
          </c:val>
          <c:extLst>
            <c:ext xmlns:c16="http://schemas.microsoft.com/office/drawing/2014/chart" uri="{C3380CC4-5D6E-409C-BE32-E72D297353CC}">
              <c16:uniqueId val="{00000002-E8F3-4D2B-8624-FCA711365456}"/>
            </c:ext>
          </c:extLst>
        </c:ser>
        <c:ser>
          <c:idx val="3"/>
          <c:order val="4"/>
          <c:tx>
            <c:strRef>
              <c:f>IPAS_doprinosi!$G$11</c:f>
              <c:strCache>
                <c:ptCount val="1"/>
                <c:pt idx="0">
                  <c:v>Услуге</c:v>
                </c:pt>
              </c:strCache>
            </c:strRef>
          </c:tx>
          <c:spPr>
            <a:solidFill>
              <a:srgbClr val="90CAE2"/>
            </a:solidFill>
            <a:ln>
              <a:noFill/>
            </a:ln>
            <a:effectLst/>
          </c:spPr>
          <c:invertIfNegative val="0"/>
          <c:cat>
            <c:multiLvlStrRef>
              <c:f>IPAS_doprinosi!$A$60:$B$75</c:f>
              <c:multiLvlStrCache>
                <c:ptCount val="1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lvl>
                <c:lvl>
                  <c:pt idx="0">
                    <c:v>2023</c:v>
                  </c:pt>
                  <c:pt idx="12">
                    <c:v>2024</c:v>
                  </c:pt>
                </c:lvl>
              </c:multiLvlStrCache>
            </c:multiLvlStrRef>
          </c:cat>
          <c:val>
            <c:numRef>
              <c:f>IPAS_doprinosi!$G$60:$G$75</c:f>
              <c:numCache>
                <c:formatCode>0.0</c:formatCode>
                <c:ptCount val="16"/>
                <c:pt idx="0">
                  <c:v>7.3250239698159469E-2</c:v>
                </c:pt>
                <c:pt idx="1">
                  <c:v>0.80372209081253421</c:v>
                </c:pt>
                <c:pt idx="2">
                  <c:v>8.0529234192357246E-2</c:v>
                </c:pt>
                <c:pt idx="3">
                  <c:v>-0.36382589281763777</c:v>
                </c:pt>
                <c:pt idx="4">
                  <c:v>0.74852601971969068</c:v>
                </c:pt>
                <c:pt idx="5">
                  <c:v>0.92725497395235723</c:v>
                </c:pt>
                <c:pt idx="6">
                  <c:v>0.91649349265332092</c:v>
                </c:pt>
                <c:pt idx="7">
                  <c:v>1.4889058240376514</c:v>
                </c:pt>
                <c:pt idx="8">
                  <c:v>1.5067212420242586</c:v>
                </c:pt>
                <c:pt idx="9">
                  <c:v>1.8810338729457752</c:v>
                </c:pt>
                <c:pt idx="10">
                  <c:v>1.4063452395399856</c:v>
                </c:pt>
                <c:pt idx="11">
                  <c:v>2.4747676520498807</c:v>
                </c:pt>
                <c:pt idx="12">
                  <c:v>1.8295608359069322</c:v>
                </c:pt>
                <c:pt idx="13">
                  <c:v>3.41411831070906</c:v>
                </c:pt>
                <c:pt idx="14">
                  <c:v>3.2332183384844928</c:v>
                </c:pt>
                <c:pt idx="15">
                  <c:v>3.305824972294948</c:v>
                </c:pt>
              </c:numCache>
            </c:numRef>
          </c:val>
          <c:extLst>
            <c:ext xmlns:c16="http://schemas.microsoft.com/office/drawing/2014/chart" uri="{C3380CC4-5D6E-409C-BE32-E72D297353CC}">
              <c16:uniqueId val="{00000003-E8F3-4D2B-8624-FCA711365456}"/>
            </c:ext>
          </c:extLst>
        </c:ser>
        <c:ser>
          <c:idx val="4"/>
          <c:order val="5"/>
          <c:tx>
            <c:strRef>
              <c:f>IPAS_doprinosi!$H$11</c:f>
              <c:strCache>
                <c:ptCount val="1"/>
                <c:pt idx="0">
                  <c:v>Нето порези</c:v>
                </c:pt>
              </c:strCache>
            </c:strRef>
          </c:tx>
          <c:spPr>
            <a:solidFill>
              <a:srgbClr val="C9E4EB"/>
            </a:solidFill>
            <a:ln>
              <a:noFill/>
            </a:ln>
            <a:effectLst/>
          </c:spPr>
          <c:invertIfNegative val="0"/>
          <c:cat>
            <c:multiLvlStrRef>
              <c:f>IPAS_doprinosi!$A$60:$B$75</c:f>
              <c:multiLvlStrCache>
                <c:ptCount val="1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lvl>
                <c:lvl>
                  <c:pt idx="0">
                    <c:v>2023</c:v>
                  </c:pt>
                  <c:pt idx="12">
                    <c:v>2024</c:v>
                  </c:pt>
                </c:lvl>
              </c:multiLvlStrCache>
            </c:multiLvlStrRef>
          </c:cat>
          <c:val>
            <c:numRef>
              <c:f>IPAS_doprinosi!$H$60:$H$75</c:f>
              <c:numCache>
                <c:formatCode>0.0</c:formatCode>
                <c:ptCount val="16"/>
                <c:pt idx="0">
                  <c:v>-8.8900066190401403E-2</c:v>
                </c:pt>
                <c:pt idx="1">
                  <c:v>-4.8096086336426487E-2</c:v>
                </c:pt>
                <c:pt idx="2">
                  <c:v>-0.34679480064708362</c:v>
                </c:pt>
                <c:pt idx="3">
                  <c:v>0.11060810741905516</c:v>
                </c:pt>
                <c:pt idx="4">
                  <c:v>-0.18395096600895941</c:v>
                </c:pt>
                <c:pt idx="5">
                  <c:v>-8.7856281583487975E-2</c:v>
                </c:pt>
                <c:pt idx="6">
                  <c:v>-6.6629539056607748E-2</c:v>
                </c:pt>
                <c:pt idx="7">
                  <c:v>0.10347994092163176</c:v>
                </c:pt>
                <c:pt idx="8">
                  <c:v>0.28561166375153751</c:v>
                </c:pt>
                <c:pt idx="9">
                  <c:v>0.1761114967591855</c:v>
                </c:pt>
                <c:pt idx="10">
                  <c:v>0.22967853547743514</c:v>
                </c:pt>
                <c:pt idx="11">
                  <c:v>0.51499837036144602</c:v>
                </c:pt>
                <c:pt idx="12">
                  <c:v>0.70531299837792294</c:v>
                </c:pt>
                <c:pt idx="13">
                  <c:v>0.66388306250544049</c:v>
                </c:pt>
                <c:pt idx="14">
                  <c:v>0.13997650178468726</c:v>
                </c:pt>
                <c:pt idx="15">
                  <c:v>0.71384469129225026</c:v>
                </c:pt>
              </c:numCache>
            </c:numRef>
          </c:val>
          <c:extLst>
            <c:ext xmlns:c16="http://schemas.microsoft.com/office/drawing/2014/chart" uri="{C3380CC4-5D6E-409C-BE32-E72D297353CC}">
              <c16:uniqueId val="{00000004-E8F3-4D2B-8624-FCA711365456}"/>
            </c:ext>
          </c:extLst>
        </c:ser>
        <c:dLbls>
          <c:showLegendKey val="0"/>
          <c:showVal val="0"/>
          <c:showCatName val="0"/>
          <c:showSerName val="0"/>
          <c:showPercent val="0"/>
          <c:showBubbleSize val="0"/>
        </c:dLbls>
        <c:gapWidth val="60"/>
        <c:overlap val="100"/>
        <c:axId val="1961434128"/>
        <c:axId val="1961419984"/>
      </c:barChart>
      <c:lineChart>
        <c:grouping val="standard"/>
        <c:varyColors val="0"/>
        <c:ser>
          <c:idx val="5"/>
          <c:order val="0"/>
          <c:tx>
            <c:strRef>
              <c:f>IPAS_doprinosi!$C$11</c:f>
              <c:strCache>
                <c:ptCount val="1"/>
                <c:pt idx="0">
                  <c:v>БДП</c:v>
                </c:pt>
              </c:strCache>
            </c:strRef>
          </c:tx>
          <c:spPr>
            <a:ln w="2222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IPAS_doprinosi!$A$60:$B$75</c:f>
              <c:multiLvlStrCache>
                <c:ptCount val="16"/>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lvl>
                <c:lvl>
                  <c:pt idx="0">
                    <c:v>2023</c:v>
                  </c:pt>
                  <c:pt idx="12">
                    <c:v>2024</c:v>
                  </c:pt>
                </c:lvl>
              </c:multiLvlStrCache>
            </c:multiLvlStrRef>
          </c:cat>
          <c:val>
            <c:numRef>
              <c:f>IPAS_doprinosi!$C$60:$C$75</c:f>
              <c:numCache>
                <c:formatCode>0.0</c:formatCode>
                <c:ptCount val="16"/>
                <c:pt idx="0">
                  <c:v>1.4580946129284378</c:v>
                </c:pt>
                <c:pt idx="1">
                  <c:v>1.2715451112807896</c:v>
                </c:pt>
                <c:pt idx="2">
                  <c:v>1.0938615316259432E-2</c:v>
                </c:pt>
                <c:pt idx="3">
                  <c:v>0.44915407886946346</c:v>
                </c:pt>
                <c:pt idx="4">
                  <c:v>1.9940907944796038</c:v>
                </c:pt>
                <c:pt idx="5">
                  <c:v>2.2739443623326925</c:v>
                </c:pt>
                <c:pt idx="6">
                  <c:v>2.7388891308947625</c:v>
                </c:pt>
                <c:pt idx="7">
                  <c:v>4.2052499971031851</c:v>
                </c:pt>
                <c:pt idx="8">
                  <c:v>3.8499147973798595</c:v>
                </c:pt>
                <c:pt idx="9">
                  <c:v>3.7156177428919328</c:v>
                </c:pt>
                <c:pt idx="10">
                  <c:v>3.3756635667510291</c:v>
                </c:pt>
                <c:pt idx="11">
                  <c:v>4.4346281099849341</c:v>
                </c:pt>
                <c:pt idx="12">
                  <c:v>4.3463480762884581</c:v>
                </c:pt>
                <c:pt idx="13">
                  <c:v>5.9859075995643289</c:v>
                </c:pt>
                <c:pt idx="14">
                  <c:v>3.8828564054048229</c:v>
                </c:pt>
                <c:pt idx="15">
                  <c:v>5.2901106918180858</c:v>
                </c:pt>
              </c:numCache>
            </c:numRef>
          </c:val>
          <c:smooth val="0"/>
          <c:extLst>
            <c:ext xmlns:c16="http://schemas.microsoft.com/office/drawing/2014/chart" uri="{C3380CC4-5D6E-409C-BE32-E72D297353CC}">
              <c16:uniqueId val="{00000005-E8F3-4D2B-8624-FCA711365456}"/>
            </c:ext>
          </c:extLst>
        </c:ser>
        <c:dLbls>
          <c:showLegendKey val="0"/>
          <c:showVal val="0"/>
          <c:showCatName val="0"/>
          <c:showSerName val="0"/>
          <c:showPercent val="0"/>
          <c:showBubbleSize val="0"/>
        </c:dLbls>
        <c:marker val="1"/>
        <c:smooth val="0"/>
        <c:axId val="1961434128"/>
        <c:axId val="1961419984"/>
      </c:lineChart>
      <c:catAx>
        <c:axId val="196143412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Arial" panose="020B0604020202020204" pitchFamily="34" charset="0"/>
              </a:defRPr>
            </a:pPr>
            <a:endParaRPr lang="sr-Latn-RS"/>
          </a:p>
        </c:txPr>
        <c:crossAx val="1961419984"/>
        <c:crosses val="autoZero"/>
        <c:auto val="1"/>
        <c:lblAlgn val="ctr"/>
        <c:lblOffset val="0"/>
        <c:noMultiLvlLbl val="0"/>
      </c:catAx>
      <c:valAx>
        <c:axId val="196141998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4128"/>
        <c:crosses val="autoZero"/>
        <c:crossBetween val="between"/>
        <c:majorUnit val="2"/>
        <c:minorUnit val="0.4"/>
      </c:valAx>
      <c:spPr>
        <a:noFill/>
        <a:ln>
          <a:noFill/>
        </a:ln>
        <a:effectLst/>
      </c:spPr>
    </c:plotArea>
    <c:legend>
      <c:legendPos val="b"/>
      <c:layout>
        <c:manualLayout>
          <c:xMode val="edge"/>
          <c:yMode val="edge"/>
          <c:x val="7.1965223097112854E-2"/>
          <c:y val="0.84188729654707517"/>
          <c:w val="0.88171770195392241"/>
          <c:h val="0.15250475684372333"/>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6824305555555574E-2"/>
          <c:y val="2.2302910052910054E-2"/>
          <c:w val="0.88431506235448831"/>
          <c:h val="0.62502403846153842"/>
        </c:manualLayout>
      </c:layout>
      <c:lineChart>
        <c:grouping val="standard"/>
        <c:varyColors val="0"/>
        <c:ser>
          <c:idx val="0"/>
          <c:order val="0"/>
          <c:tx>
            <c:strRef>
              <c:f>IPAS_doprinosi!$W$11</c:f>
              <c:strCache>
                <c:ptCount val="1"/>
                <c:pt idx="0">
                  <c:v>Оригинални подаци</c:v>
                </c:pt>
              </c:strCache>
            </c:strRef>
          </c:tx>
          <c:spPr>
            <a:ln w="15875">
              <a:solidFill>
                <a:srgbClr val="A44AA4"/>
              </a:solidFill>
              <a:prstDash val="sysDot"/>
            </a:ln>
          </c:spPr>
          <c:marker>
            <c:symbol val="none"/>
          </c:marker>
          <c:cat>
            <c:multiLvlStrRef>
              <c:f>IPAS_doprinosi!$U$48:$V$75</c:f>
              <c:multiLvlStrCache>
                <c:ptCount val="28"/>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lvl>
                <c:lvl>
                  <c:pt idx="0">
                    <c:v>2022</c:v>
                  </c:pt>
                  <c:pt idx="12">
                    <c:v>2023</c:v>
                  </c:pt>
                  <c:pt idx="24">
                    <c:v>2024</c:v>
                  </c:pt>
                </c:lvl>
              </c:multiLvlStrCache>
            </c:multiLvlStrRef>
          </c:cat>
          <c:val>
            <c:numRef>
              <c:f>IPAS_doprinosi!$W$48:$W$75</c:f>
              <c:numCache>
                <c:formatCode>0.0</c:formatCode>
                <c:ptCount val="28"/>
                <c:pt idx="0">
                  <c:v>414079.99159317598</c:v>
                </c:pt>
                <c:pt idx="1">
                  <c:v>417730.94261202501</c:v>
                </c:pt>
                <c:pt idx="2">
                  <c:v>446217.005233515</c:v>
                </c:pt>
                <c:pt idx="3">
                  <c:v>432808.47544685198</c:v>
                </c:pt>
                <c:pt idx="4">
                  <c:v>451593.70404701598</c:v>
                </c:pt>
                <c:pt idx="5">
                  <c:v>467482.371668918</c:v>
                </c:pt>
                <c:pt idx="6">
                  <c:v>454291.18655915803</c:v>
                </c:pt>
                <c:pt idx="7">
                  <c:v>458523.67800418899</c:v>
                </c:pt>
                <c:pt idx="8">
                  <c:v>466966.65113055898</c:v>
                </c:pt>
                <c:pt idx="9">
                  <c:v>469496.19129889098</c:v>
                </c:pt>
                <c:pt idx="10">
                  <c:v>481875.58457874297</c:v>
                </c:pt>
                <c:pt idx="11">
                  <c:v>472736.651905159</c:v>
                </c:pt>
                <c:pt idx="12">
                  <c:v>420117.66964381101</c:v>
                </c:pt>
                <c:pt idx="13">
                  <c:v>423042.57999111502</c:v>
                </c:pt>
                <c:pt idx="14">
                  <c:v>446265.81519519299</c:v>
                </c:pt>
                <c:pt idx="15">
                  <c:v>434752.45236801502</c:v>
                </c:pt>
                <c:pt idx="16">
                  <c:v>460598.89252786699</c:v>
                </c:pt>
                <c:pt idx="17">
                  <c:v>478112.660704382</c:v>
                </c:pt>
                <c:pt idx="18">
                  <c:v>466733.718490439</c:v>
                </c:pt>
                <c:pt idx="19">
                  <c:v>477805.74496017798</c:v>
                </c:pt>
                <c:pt idx="20">
                  <c:v>484944.46933126397</c:v>
                </c:pt>
                <c:pt idx="21">
                  <c:v>486940.87508499401</c:v>
                </c:pt>
                <c:pt idx="22">
                  <c:v>498142.08312443597</c:v>
                </c:pt>
                <c:pt idx="23">
                  <c:v>493700.76435674698</c:v>
                </c:pt>
                <c:pt idx="24">
                  <c:v>438377.44589652203</c:v>
                </c:pt>
                <c:pt idx="25">
                  <c:v>448365.517936196</c:v>
                </c:pt>
                <c:pt idx="26">
                  <c:v>463593.675985632</c:v>
                </c:pt>
                <c:pt idx="27" formatCode="General">
                  <c:v>457751.33833367599</c:v>
                </c:pt>
              </c:numCache>
            </c:numRef>
          </c:val>
          <c:smooth val="0"/>
          <c:extLst>
            <c:ext xmlns:c16="http://schemas.microsoft.com/office/drawing/2014/chart" uri="{C3380CC4-5D6E-409C-BE32-E72D297353CC}">
              <c16:uniqueId val="{00000000-79D3-446D-A7B5-42A04C9F5587}"/>
            </c:ext>
          </c:extLst>
        </c:ser>
        <c:ser>
          <c:idx val="1"/>
          <c:order val="1"/>
          <c:tx>
            <c:strRef>
              <c:f>IPAS_doprinosi!$X$11</c:f>
              <c:strCache>
                <c:ptCount val="1"/>
                <c:pt idx="0">
                  <c:v>Тренд циклус</c:v>
                </c:pt>
              </c:strCache>
            </c:strRef>
          </c:tx>
          <c:spPr>
            <a:ln w="25400">
              <a:solidFill>
                <a:srgbClr val="FF0000"/>
              </a:solidFill>
            </a:ln>
          </c:spPr>
          <c:marker>
            <c:symbol val="none"/>
          </c:marker>
          <c:cat>
            <c:multiLvlStrRef>
              <c:f>IPAS_doprinosi!$U$48:$V$75</c:f>
              <c:multiLvlStrCache>
                <c:ptCount val="28"/>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lvl>
                <c:lvl>
                  <c:pt idx="0">
                    <c:v>2022</c:v>
                  </c:pt>
                  <c:pt idx="12">
                    <c:v>2023</c:v>
                  </c:pt>
                  <c:pt idx="24">
                    <c:v>2024</c:v>
                  </c:pt>
                </c:lvl>
              </c:multiLvlStrCache>
            </c:multiLvlStrRef>
          </c:cat>
          <c:val>
            <c:numRef>
              <c:f>IPAS_doprinosi!$X$48:$X$75</c:f>
              <c:numCache>
                <c:formatCode>0.0</c:formatCode>
                <c:ptCount val="28"/>
                <c:pt idx="0">
                  <c:v>449164.87922170397</c:v>
                </c:pt>
                <c:pt idx="1">
                  <c:v>450275.90061095601</c:v>
                </c:pt>
                <c:pt idx="2">
                  <c:v>451556.36192164698</c:v>
                </c:pt>
                <c:pt idx="3">
                  <c:v>452712.39358680299</c:v>
                </c:pt>
                <c:pt idx="4">
                  <c:v>453308.80648298003</c:v>
                </c:pt>
                <c:pt idx="5">
                  <c:v>453248.64296807599</c:v>
                </c:pt>
                <c:pt idx="6">
                  <c:v>452800.797701528</c:v>
                </c:pt>
                <c:pt idx="7">
                  <c:v>452409.23215744999</c:v>
                </c:pt>
                <c:pt idx="8">
                  <c:v>452374.37639093702</c:v>
                </c:pt>
                <c:pt idx="9">
                  <c:v>452689.36510384199</c:v>
                </c:pt>
                <c:pt idx="10">
                  <c:v>453071.13549073698</c:v>
                </c:pt>
                <c:pt idx="11">
                  <c:v>453471.27065152198</c:v>
                </c:pt>
                <c:pt idx="12">
                  <c:v>453983.64913873503</c:v>
                </c:pt>
                <c:pt idx="13">
                  <c:v>454710.90504638501</c:v>
                </c:pt>
                <c:pt idx="14">
                  <c:v>456010.36381492898</c:v>
                </c:pt>
                <c:pt idx="15">
                  <c:v>458086.68700272398</c:v>
                </c:pt>
                <c:pt idx="16">
                  <c:v>460743.59005456901</c:v>
                </c:pt>
                <c:pt idx="17">
                  <c:v>463529.37285097898</c:v>
                </c:pt>
                <c:pt idx="18">
                  <c:v>466082.98086445697</c:v>
                </c:pt>
                <c:pt idx="19">
                  <c:v>468162.76017814002</c:v>
                </c:pt>
                <c:pt idx="20">
                  <c:v>469880.67418103898</c:v>
                </c:pt>
                <c:pt idx="21">
                  <c:v>471405.96372791001</c:v>
                </c:pt>
                <c:pt idx="22">
                  <c:v>472809.80628071498</c:v>
                </c:pt>
                <c:pt idx="23">
                  <c:v>474073.27308225201</c:v>
                </c:pt>
                <c:pt idx="24">
                  <c:v>475134.47031958401</c:v>
                </c:pt>
                <c:pt idx="25">
                  <c:v>476003.00478778197</c:v>
                </c:pt>
                <c:pt idx="26">
                  <c:v>476766.07088740403</c:v>
                </c:pt>
                <c:pt idx="27" formatCode="General">
                  <c:v>477479.39657760499</c:v>
                </c:pt>
              </c:numCache>
            </c:numRef>
          </c:val>
          <c:smooth val="0"/>
          <c:extLst>
            <c:ext xmlns:c16="http://schemas.microsoft.com/office/drawing/2014/chart" uri="{C3380CC4-5D6E-409C-BE32-E72D297353CC}">
              <c16:uniqueId val="{00000001-79D3-446D-A7B5-42A04C9F5587}"/>
            </c:ext>
          </c:extLst>
        </c:ser>
        <c:ser>
          <c:idx val="2"/>
          <c:order val="2"/>
          <c:tx>
            <c:strRef>
              <c:f>IPAS_doprinosi!$Y$11</c:f>
              <c:strCache>
                <c:ptCount val="1"/>
                <c:pt idx="0">
                  <c:v>Десезонирани подаци</c:v>
                </c:pt>
              </c:strCache>
            </c:strRef>
          </c:tx>
          <c:spPr>
            <a:ln w="22225">
              <a:solidFill>
                <a:srgbClr val="002060"/>
              </a:solidFill>
            </a:ln>
          </c:spPr>
          <c:marker>
            <c:symbol val="none"/>
          </c:marker>
          <c:cat>
            <c:multiLvlStrRef>
              <c:f>IPAS_doprinosi!$U$48:$V$75</c:f>
              <c:multiLvlStrCache>
                <c:ptCount val="28"/>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pt idx="17">
                    <c:v>VI</c:v>
                  </c:pt>
                  <c:pt idx="18">
                    <c:v>VII</c:v>
                  </c:pt>
                  <c:pt idx="19">
                    <c:v>VIII</c:v>
                  </c:pt>
                  <c:pt idx="20">
                    <c:v>IX</c:v>
                  </c:pt>
                  <c:pt idx="21">
                    <c:v>X</c:v>
                  </c:pt>
                  <c:pt idx="22">
                    <c:v>XI</c:v>
                  </c:pt>
                  <c:pt idx="23">
                    <c:v>XII</c:v>
                  </c:pt>
                  <c:pt idx="24">
                    <c:v>I</c:v>
                  </c:pt>
                  <c:pt idx="25">
                    <c:v>II</c:v>
                  </c:pt>
                  <c:pt idx="26">
                    <c:v>III</c:v>
                  </c:pt>
                  <c:pt idx="27">
                    <c:v>IV</c:v>
                  </c:pt>
                </c:lvl>
                <c:lvl>
                  <c:pt idx="0">
                    <c:v>2022</c:v>
                  </c:pt>
                  <c:pt idx="12">
                    <c:v>2023</c:v>
                  </c:pt>
                  <c:pt idx="24">
                    <c:v>2024</c:v>
                  </c:pt>
                </c:lvl>
              </c:multiLvlStrCache>
            </c:multiLvlStrRef>
          </c:cat>
          <c:val>
            <c:numRef>
              <c:f>IPAS_doprinosi!$Y$48:$Y$75</c:f>
              <c:numCache>
                <c:formatCode>0.0</c:formatCode>
                <c:ptCount val="28"/>
                <c:pt idx="0">
                  <c:v>447248.13209472399</c:v>
                </c:pt>
                <c:pt idx="1">
                  <c:v>448117.71281056898</c:v>
                </c:pt>
                <c:pt idx="2">
                  <c:v>454621.67286894697</c:v>
                </c:pt>
                <c:pt idx="3">
                  <c:v>452630.89915852901</c:v>
                </c:pt>
                <c:pt idx="4">
                  <c:v>452583.39217155398</c:v>
                </c:pt>
                <c:pt idx="5">
                  <c:v>456060.66929631098</c:v>
                </c:pt>
                <c:pt idx="6">
                  <c:v>451975.99108174199</c:v>
                </c:pt>
                <c:pt idx="7">
                  <c:v>450897.55482478498</c:v>
                </c:pt>
                <c:pt idx="8">
                  <c:v>451572.857327996</c:v>
                </c:pt>
                <c:pt idx="9">
                  <c:v>452185.14279651199</c:v>
                </c:pt>
                <c:pt idx="10">
                  <c:v>458310.05826362502</c:v>
                </c:pt>
                <c:pt idx="11">
                  <c:v>454301.38490444998</c:v>
                </c:pt>
                <c:pt idx="12">
                  <c:v>454065.19287136302</c:v>
                </c:pt>
                <c:pt idx="13">
                  <c:v>453614.94710089901</c:v>
                </c:pt>
                <c:pt idx="14">
                  <c:v>455180.623318428</c:v>
                </c:pt>
                <c:pt idx="15">
                  <c:v>456645.42745729903</c:v>
                </c:pt>
                <c:pt idx="16">
                  <c:v>461920.239321639</c:v>
                </c:pt>
                <c:pt idx="17">
                  <c:v>464827.06349153002</c:v>
                </c:pt>
                <c:pt idx="18">
                  <c:v>464692.775083919</c:v>
                </c:pt>
                <c:pt idx="19">
                  <c:v>469959.27909070702</c:v>
                </c:pt>
                <c:pt idx="20">
                  <c:v>470326.21794555499</c:v>
                </c:pt>
                <c:pt idx="21">
                  <c:v>469292.37260317098</c:v>
                </c:pt>
                <c:pt idx="22">
                  <c:v>472709.22485868598</c:v>
                </c:pt>
                <c:pt idx="23">
                  <c:v>475618.529101222</c:v>
                </c:pt>
                <c:pt idx="24">
                  <c:v>473635.27105237899</c:v>
                </c:pt>
                <c:pt idx="25">
                  <c:v>478799.344022176</c:v>
                </c:pt>
                <c:pt idx="26">
                  <c:v>475026.76735014998</c:v>
                </c:pt>
                <c:pt idx="27" formatCode="General">
                  <c:v>476753.34349602199</c:v>
                </c:pt>
              </c:numCache>
            </c:numRef>
          </c:val>
          <c:smooth val="0"/>
          <c:extLst>
            <c:ext xmlns:c16="http://schemas.microsoft.com/office/drawing/2014/chart" uri="{C3380CC4-5D6E-409C-BE32-E72D297353CC}">
              <c16:uniqueId val="{00000002-79D3-446D-A7B5-42A04C9F5587}"/>
            </c:ext>
          </c:extLst>
        </c:ser>
        <c:dLbls>
          <c:showLegendKey val="0"/>
          <c:showVal val="0"/>
          <c:showCatName val="0"/>
          <c:showSerName val="0"/>
          <c:showPercent val="0"/>
          <c:showBubbleSize val="0"/>
        </c:dLbls>
        <c:smooth val="0"/>
        <c:axId val="761081920"/>
        <c:axId val="761082480"/>
      </c:lineChart>
      <c:catAx>
        <c:axId val="76108192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0" vert="horz"/>
          <a:lstStyle/>
          <a:p>
            <a:pPr>
              <a:defRPr sz="750">
                <a:latin typeface="+mn-lt"/>
              </a:defRPr>
            </a:pPr>
            <a:endParaRPr lang="sr-Latn-RS"/>
          </a:p>
        </c:txPr>
        <c:crossAx val="761082480"/>
        <c:crosses val="autoZero"/>
        <c:auto val="1"/>
        <c:lblAlgn val="ctr"/>
        <c:lblOffset val="100"/>
        <c:tickMarkSkip val="1"/>
        <c:noMultiLvlLbl val="1"/>
      </c:catAx>
      <c:valAx>
        <c:axId val="761082480"/>
        <c:scaling>
          <c:orientation val="minMax"/>
          <c:max val="500000"/>
          <c:min val="400000"/>
        </c:scaling>
        <c:delete val="0"/>
        <c:axPos val="l"/>
        <c:numFmt formatCode="#,##0" sourceLinked="0"/>
        <c:majorTickMark val="none"/>
        <c:minorTickMark val="none"/>
        <c:tickLblPos val="nextTo"/>
        <c:spPr>
          <a:noFill/>
          <a:ln>
            <a:noFill/>
          </a:ln>
          <a:effectLst/>
        </c:spPr>
        <c:txPr>
          <a:bodyPr rot="-60000000" vert="horz"/>
          <a:lstStyle/>
          <a:p>
            <a:pPr>
              <a:defRPr sz="750">
                <a:latin typeface="+mn-lt"/>
              </a:defRPr>
            </a:pPr>
            <a:endParaRPr lang="sr-Latn-RS"/>
          </a:p>
        </c:txPr>
        <c:crossAx val="761081920"/>
        <c:crossesAt val="1"/>
        <c:crossBetween val="between"/>
        <c:majorUnit val="50000"/>
      </c:valAx>
      <c:spPr>
        <a:noFill/>
        <a:ln>
          <a:noFill/>
        </a:ln>
        <a:effectLst/>
      </c:spPr>
    </c:plotArea>
    <c:legend>
      <c:legendPos val="b"/>
      <c:layout>
        <c:manualLayout>
          <c:xMode val="edge"/>
          <c:yMode val="edge"/>
          <c:x val="6.2037037037037029E-2"/>
          <c:y val="0.82083867521367515"/>
          <c:w val="0.88055555555555554"/>
          <c:h val="0.17916132478632482"/>
        </c:manualLayout>
      </c:layout>
      <c:overlay val="0"/>
      <c:spPr>
        <a:noFill/>
        <a:ln>
          <a:noFill/>
        </a:ln>
        <a:effectLst/>
      </c:spPr>
      <c:txPr>
        <a:bodyPr rot="0" vert="horz"/>
        <a:lstStyle/>
        <a:p>
          <a:pPr>
            <a:defRPr sz="750">
              <a:latin typeface="+mn-lt"/>
            </a:defRPr>
          </a:pPr>
          <a:endParaRPr lang="sr-Latn-RS"/>
        </a:p>
      </c:txPr>
    </c:legend>
    <c:plotVisOnly val="1"/>
    <c:dispBlanksAs val="gap"/>
    <c:showDLblsOverMax val="0"/>
  </c:chart>
  <c:spPr>
    <a:noFill/>
    <a:ln w="9525" cap="flat" cmpd="sng" algn="ctr">
      <a:noFill/>
      <a:round/>
    </a:ln>
    <a:effectLst/>
  </c:spPr>
  <c:txPr>
    <a:bodyPr/>
    <a:lstStyle/>
    <a:p>
      <a:pPr>
        <a:defRPr sz="800">
          <a:solidFill>
            <a:schemeClr val="tx2"/>
          </a:solidFill>
          <a:latin typeface="Arial" panose="020B0604020202020204" pitchFamily="34" charset="0"/>
          <a:cs typeface="Arial" panose="020B0604020202020204" pitchFamily="34" charset="0"/>
        </a:defRPr>
      </a:pPr>
      <a:endParaRPr lang="sr-Latn-R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graf'!$G$7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789050592671942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AC9-438A-B5C4-CBDAC8A1D520}"/>
                </c:ext>
              </c:extLst>
            </c:dLbl>
            <c:dLbl>
              <c:idx val="12"/>
              <c:layout>
                <c:manualLayout>
                  <c:x val="6.68223900225571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AC9-438A-B5C4-CBDAC8A1D520}"/>
                </c:ext>
              </c:extLst>
            </c:dLbl>
            <c:dLbl>
              <c:idx val="24"/>
              <c:layout>
                <c:manualLayout>
                  <c:x val="6.76090194131633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AC9-438A-B5C4-CBDAC8A1D520}"/>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AC9-438A-B5C4-CBDAC8A1D52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graf'!$G$44:$G$83</c:f>
              <c:numCache>
                <c:formatCode>General</c:formatCode>
                <c:ptCount val="40"/>
                <c:pt idx="0">
                  <c:v>80</c:v>
                </c:pt>
                <c:pt idx="12">
                  <c:v>80</c:v>
                </c:pt>
                <c:pt idx="24">
                  <c:v>80</c:v>
                </c:pt>
                <c:pt idx="36">
                  <c:v>80</c:v>
                </c:pt>
              </c:numCache>
            </c:numRef>
          </c:val>
          <c:smooth val="0"/>
          <c:extLst>
            <c:ext xmlns:c16="http://schemas.microsoft.com/office/drawing/2014/chart" uri="{C3380CC4-5D6E-409C-BE32-E72D297353CC}">
              <c16:uniqueId val="{00000004-FAC9-438A-B5C4-CBDAC8A1D520}"/>
            </c:ext>
          </c:extLst>
        </c:ser>
        <c:ser>
          <c:idx val="4"/>
          <c:order val="1"/>
          <c:tx>
            <c:strRef>
              <c:f>'Prerađivačka_FS graf'!$H$7</c:f>
              <c:strCache>
                <c:ptCount val="1"/>
                <c:pt idx="0">
                  <c:v>Series5</c:v>
                </c:pt>
              </c:strCache>
            </c:strRef>
          </c:tx>
          <c:spPr>
            <a:ln w="25400" cap="rnd">
              <a:noFill/>
              <a:round/>
            </a:ln>
            <a:effectLst/>
          </c:spPr>
          <c:marker>
            <c:symbol val="none"/>
          </c:marker>
          <c:dLbls>
            <c:dLbl>
              <c:idx val="0"/>
              <c:tx>
                <c:rich>
                  <a:bodyPr/>
                  <a:lstStyle/>
                  <a:p>
                    <a:fld id="{30E2E10B-A322-448A-B7F1-C415E1ED512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FAC9-438A-B5C4-CBDAC8A1D520}"/>
                </c:ext>
              </c:extLst>
            </c:dLbl>
            <c:dLbl>
              <c:idx val="1"/>
              <c:tx>
                <c:rich>
                  <a:bodyPr/>
                  <a:lstStyle/>
                  <a:p>
                    <a:fld id="{B0DDBF60-4414-4EBD-8A1A-78C4C871F15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FAC9-438A-B5C4-CBDAC8A1D520}"/>
                </c:ext>
              </c:extLst>
            </c:dLbl>
            <c:dLbl>
              <c:idx val="2"/>
              <c:tx>
                <c:rich>
                  <a:bodyPr/>
                  <a:lstStyle/>
                  <a:p>
                    <a:fld id="{525A2A51-C9F7-4E7E-BECC-0195C08495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FAC9-438A-B5C4-CBDAC8A1D520}"/>
                </c:ext>
              </c:extLst>
            </c:dLbl>
            <c:dLbl>
              <c:idx val="3"/>
              <c:tx>
                <c:rich>
                  <a:bodyPr/>
                  <a:lstStyle/>
                  <a:p>
                    <a:fld id="{55E6767A-1BDC-43B9-8533-C6D1732A746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FAC9-438A-B5C4-CBDAC8A1D520}"/>
                </c:ext>
              </c:extLst>
            </c:dLbl>
            <c:dLbl>
              <c:idx val="4"/>
              <c:tx>
                <c:rich>
                  <a:bodyPr/>
                  <a:lstStyle/>
                  <a:p>
                    <a:fld id="{B8CF26C3-3A1F-4644-AEFE-A7C334EC599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FAC9-438A-B5C4-CBDAC8A1D520}"/>
                </c:ext>
              </c:extLst>
            </c:dLbl>
            <c:dLbl>
              <c:idx val="5"/>
              <c:tx>
                <c:rich>
                  <a:bodyPr/>
                  <a:lstStyle/>
                  <a:p>
                    <a:fld id="{E45D8DFD-F025-4E19-95FF-49EF405502C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FAC9-438A-B5C4-CBDAC8A1D520}"/>
                </c:ext>
              </c:extLst>
            </c:dLbl>
            <c:dLbl>
              <c:idx val="6"/>
              <c:tx>
                <c:rich>
                  <a:bodyPr/>
                  <a:lstStyle/>
                  <a:p>
                    <a:fld id="{C4E36DA9-91CD-4477-9829-BEBD43E6F9B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FAC9-438A-B5C4-CBDAC8A1D520}"/>
                </c:ext>
              </c:extLst>
            </c:dLbl>
            <c:dLbl>
              <c:idx val="7"/>
              <c:tx>
                <c:rich>
                  <a:bodyPr/>
                  <a:lstStyle/>
                  <a:p>
                    <a:fld id="{126A8A57-D434-4EF9-A289-6D8A22B8059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FAC9-438A-B5C4-CBDAC8A1D520}"/>
                </c:ext>
              </c:extLst>
            </c:dLbl>
            <c:dLbl>
              <c:idx val="8"/>
              <c:tx>
                <c:rich>
                  <a:bodyPr/>
                  <a:lstStyle/>
                  <a:p>
                    <a:fld id="{4EAEFA59-475B-4072-B4BE-56F676B38E1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FAC9-438A-B5C4-CBDAC8A1D520}"/>
                </c:ext>
              </c:extLst>
            </c:dLbl>
            <c:dLbl>
              <c:idx val="9"/>
              <c:tx>
                <c:rich>
                  <a:bodyPr/>
                  <a:lstStyle/>
                  <a:p>
                    <a:fld id="{849661D2-69B4-4C7A-BA06-FB1EE301472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FAC9-438A-B5C4-CBDAC8A1D520}"/>
                </c:ext>
              </c:extLst>
            </c:dLbl>
            <c:dLbl>
              <c:idx val="10"/>
              <c:tx>
                <c:rich>
                  <a:bodyPr/>
                  <a:lstStyle/>
                  <a:p>
                    <a:fld id="{A00F7A54-E940-4526-8560-604554B03BB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FAC9-438A-B5C4-CBDAC8A1D520}"/>
                </c:ext>
              </c:extLst>
            </c:dLbl>
            <c:dLbl>
              <c:idx val="11"/>
              <c:tx>
                <c:rich>
                  <a:bodyPr/>
                  <a:lstStyle/>
                  <a:p>
                    <a:fld id="{EB89CED2-98DD-4512-987A-169D4086C07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FAC9-438A-B5C4-CBDAC8A1D520}"/>
                </c:ext>
              </c:extLst>
            </c:dLbl>
            <c:dLbl>
              <c:idx val="12"/>
              <c:tx>
                <c:rich>
                  <a:bodyPr/>
                  <a:lstStyle/>
                  <a:p>
                    <a:fld id="{57D0F4FF-D460-4DED-B19C-B334F26E167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FAC9-438A-B5C4-CBDAC8A1D520}"/>
                </c:ext>
              </c:extLst>
            </c:dLbl>
            <c:dLbl>
              <c:idx val="13"/>
              <c:tx>
                <c:rich>
                  <a:bodyPr/>
                  <a:lstStyle/>
                  <a:p>
                    <a:fld id="{21300862-F967-4B62-ADA3-CD90AE6FB45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FAC9-438A-B5C4-CBDAC8A1D520}"/>
                </c:ext>
              </c:extLst>
            </c:dLbl>
            <c:dLbl>
              <c:idx val="14"/>
              <c:tx>
                <c:rich>
                  <a:bodyPr/>
                  <a:lstStyle/>
                  <a:p>
                    <a:fld id="{6D1178C8-0133-43FA-9CC3-EAD380A40D8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FAC9-438A-B5C4-CBDAC8A1D520}"/>
                </c:ext>
              </c:extLst>
            </c:dLbl>
            <c:dLbl>
              <c:idx val="15"/>
              <c:tx>
                <c:rich>
                  <a:bodyPr/>
                  <a:lstStyle/>
                  <a:p>
                    <a:fld id="{595D3FFA-CCDB-4728-A039-76626C3B2E9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FAC9-438A-B5C4-CBDAC8A1D520}"/>
                </c:ext>
              </c:extLst>
            </c:dLbl>
            <c:dLbl>
              <c:idx val="16"/>
              <c:tx>
                <c:rich>
                  <a:bodyPr/>
                  <a:lstStyle/>
                  <a:p>
                    <a:fld id="{9B664A05-C44A-4BA8-9620-DD6F9F55708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FAC9-438A-B5C4-CBDAC8A1D520}"/>
                </c:ext>
              </c:extLst>
            </c:dLbl>
            <c:dLbl>
              <c:idx val="17"/>
              <c:tx>
                <c:rich>
                  <a:bodyPr/>
                  <a:lstStyle/>
                  <a:p>
                    <a:fld id="{186473C3-B780-442E-890E-17758BA67CB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FAC9-438A-B5C4-CBDAC8A1D520}"/>
                </c:ext>
              </c:extLst>
            </c:dLbl>
            <c:dLbl>
              <c:idx val="18"/>
              <c:tx>
                <c:rich>
                  <a:bodyPr/>
                  <a:lstStyle/>
                  <a:p>
                    <a:fld id="{C93555D0-7FF2-40BA-A4BB-9CA6EAD5E6B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FAC9-438A-B5C4-CBDAC8A1D520}"/>
                </c:ext>
              </c:extLst>
            </c:dLbl>
            <c:dLbl>
              <c:idx val="19"/>
              <c:tx>
                <c:rich>
                  <a:bodyPr/>
                  <a:lstStyle/>
                  <a:p>
                    <a:fld id="{0218F6F3-6D69-4574-9B82-B5805A4DD86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FAC9-438A-B5C4-CBDAC8A1D520}"/>
                </c:ext>
              </c:extLst>
            </c:dLbl>
            <c:dLbl>
              <c:idx val="20"/>
              <c:tx>
                <c:rich>
                  <a:bodyPr/>
                  <a:lstStyle/>
                  <a:p>
                    <a:fld id="{E8C4DFD9-D2FB-4266-871D-536EAC28524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FAC9-438A-B5C4-CBDAC8A1D520}"/>
                </c:ext>
              </c:extLst>
            </c:dLbl>
            <c:dLbl>
              <c:idx val="21"/>
              <c:tx>
                <c:rich>
                  <a:bodyPr/>
                  <a:lstStyle/>
                  <a:p>
                    <a:fld id="{BF08C6BF-E8C6-4C9E-8DDB-7EE8475F8C9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FAC9-438A-B5C4-CBDAC8A1D520}"/>
                </c:ext>
              </c:extLst>
            </c:dLbl>
            <c:dLbl>
              <c:idx val="22"/>
              <c:tx>
                <c:rich>
                  <a:bodyPr/>
                  <a:lstStyle/>
                  <a:p>
                    <a:fld id="{CDC88D4A-8336-44CF-993C-80E0FE074FC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FAC9-438A-B5C4-CBDAC8A1D520}"/>
                </c:ext>
              </c:extLst>
            </c:dLbl>
            <c:dLbl>
              <c:idx val="23"/>
              <c:tx>
                <c:rich>
                  <a:bodyPr/>
                  <a:lstStyle/>
                  <a:p>
                    <a:fld id="{31C5D0BE-ABEA-4D9E-9AD1-FD188FBFFD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FAC9-438A-B5C4-CBDAC8A1D520}"/>
                </c:ext>
              </c:extLst>
            </c:dLbl>
            <c:dLbl>
              <c:idx val="24"/>
              <c:tx>
                <c:rich>
                  <a:bodyPr/>
                  <a:lstStyle/>
                  <a:p>
                    <a:fld id="{FE3B0A6A-1EB5-4022-A573-B45B8BDE868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FAC9-438A-B5C4-CBDAC8A1D520}"/>
                </c:ext>
              </c:extLst>
            </c:dLbl>
            <c:dLbl>
              <c:idx val="25"/>
              <c:tx>
                <c:rich>
                  <a:bodyPr/>
                  <a:lstStyle/>
                  <a:p>
                    <a:fld id="{17A0B48A-A909-4F48-A3DD-A4076BF31B8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FAC9-438A-B5C4-CBDAC8A1D520}"/>
                </c:ext>
              </c:extLst>
            </c:dLbl>
            <c:dLbl>
              <c:idx val="26"/>
              <c:tx>
                <c:rich>
                  <a:bodyPr/>
                  <a:lstStyle/>
                  <a:p>
                    <a:fld id="{1AA8B832-F02F-4A85-82E7-13001C879AA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FAC9-438A-B5C4-CBDAC8A1D520}"/>
                </c:ext>
              </c:extLst>
            </c:dLbl>
            <c:dLbl>
              <c:idx val="27"/>
              <c:tx>
                <c:rich>
                  <a:bodyPr/>
                  <a:lstStyle/>
                  <a:p>
                    <a:fld id="{1C526F8B-30CB-4294-833D-81EEE6FB271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FAC9-438A-B5C4-CBDAC8A1D520}"/>
                </c:ext>
              </c:extLst>
            </c:dLbl>
            <c:dLbl>
              <c:idx val="28"/>
              <c:tx>
                <c:rich>
                  <a:bodyPr/>
                  <a:lstStyle/>
                  <a:p>
                    <a:fld id="{283D31D2-7AE5-4164-A19B-5B76A2C2DBC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FAC9-438A-B5C4-CBDAC8A1D520}"/>
                </c:ext>
              </c:extLst>
            </c:dLbl>
            <c:dLbl>
              <c:idx val="29"/>
              <c:tx>
                <c:rich>
                  <a:bodyPr/>
                  <a:lstStyle/>
                  <a:p>
                    <a:fld id="{56299F96-179B-4DEC-A993-12579B0BA0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FAC9-438A-B5C4-CBDAC8A1D520}"/>
                </c:ext>
              </c:extLst>
            </c:dLbl>
            <c:dLbl>
              <c:idx val="30"/>
              <c:tx>
                <c:rich>
                  <a:bodyPr/>
                  <a:lstStyle/>
                  <a:p>
                    <a:fld id="{FEF8A1A7-2DBE-41B5-B1E3-9EC54E317D8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FAC9-438A-B5C4-CBDAC8A1D520}"/>
                </c:ext>
              </c:extLst>
            </c:dLbl>
            <c:dLbl>
              <c:idx val="31"/>
              <c:tx>
                <c:rich>
                  <a:bodyPr/>
                  <a:lstStyle/>
                  <a:p>
                    <a:fld id="{392B34B5-1AFC-4D01-B88F-4D14EC9136C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FAC9-438A-B5C4-CBDAC8A1D520}"/>
                </c:ext>
              </c:extLst>
            </c:dLbl>
            <c:dLbl>
              <c:idx val="32"/>
              <c:tx>
                <c:rich>
                  <a:bodyPr/>
                  <a:lstStyle/>
                  <a:p>
                    <a:fld id="{F908E150-01D6-4033-8F08-DD6AA7E5A82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FAC9-438A-B5C4-CBDAC8A1D520}"/>
                </c:ext>
              </c:extLst>
            </c:dLbl>
            <c:dLbl>
              <c:idx val="33"/>
              <c:tx>
                <c:rich>
                  <a:bodyPr/>
                  <a:lstStyle/>
                  <a:p>
                    <a:fld id="{074ADACC-D625-4543-9521-2A80A48750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FAC9-438A-B5C4-CBDAC8A1D520}"/>
                </c:ext>
              </c:extLst>
            </c:dLbl>
            <c:dLbl>
              <c:idx val="34"/>
              <c:tx>
                <c:rich>
                  <a:bodyPr/>
                  <a:lstStyle/>
                  <a:p>
                    <a:fld id="{7EFD5270-651C-465A-A01A-48876D67ECF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FAC9-438A-B5C4-CBDAC8A1D520}"/>
                </c:ext>
              </c:extLst>
            </c:dLbl>
            <c:dLbl>
              <c:idx val="35"/>
              <c:tx>
                <c:rich>
                  <a:bodyPr/>
                  <a:lstStyle/>
                  <a:p>
                    <a:fld id="{4C4DB602-81D4-40BE-BF76-84E2C08CFB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FAC9-438A-B5C4-CBDAC8A1D520}"/>
                </c:ext>
              </c:extLst>
            </c:dLbl>
            <c:dLbl>
              <c:idx val="36"/>
              <c:tx>
                <c:rich>
                  <a:bodyPr/>
                  <a:lstStyle/>
                  <a:p>
                    <a:fld id="{459082E5-F6A8-47BD-99B7-021E014B9F0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FAC9-438A-B5C4-CBDAC8A1D520}"/>
                </c:ext>
              </c:extLst>
            </c:dLbl>
            <c:dLbl>
              <c:idx val="37"/>
              <c:tx>
                <c:rich>
                  <a:bodyPr/>
                  <a:lstStyle/>
                  <a:p>
                    <a:fld id="{7E09C944-614E-4271-B9C1-A1190079736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FAC9-438A-B5C4-CBDAC8A1D520}"/>
                </c:ext>
              </c:extLst>
            </c:dLbl>
            <c:dLbl>
              <c:idx val="38"/>
              <c:tx>
                <c:rich>
                  <a:bodyPr/>
                  <a:lstStyle/>
                  <a:p>
                    <a:fld id="{4F38C014-4398-4C55-947E-7FB8B34329E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FAC9-438A-B5C4-CBDAC8A1D520}"/>
                </c:ext>
              </c:extLst>
            </c:dLbl>
            <c:dLbl>
              <c:idx val="39"/>
              <c:tx>
                <c:rich>
                  <a:bodyPr/>
                  <a:lstStyle/>
                  <a:p>
                    <a:fld id="{661B09B4-DB0B-4541-91BF-AE210B1343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FAC9-438A-B5C4-CBDAC8A1D520}"/>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graf'!$H$44:$H$83</c:f>
              <c:numCache>
                <c:formatCode>General</c:formatCode>
                <c:ptCount val="40"/>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D-FAC9-438A-B5C4-CBDAC8A1D520}"/>
            </c:ext>
          </c:extLst>
        </c:ser>
        <c:ser>
          <c:idx val="0"/>
          <c:order val="2"/>
          <c:tx>
            <c:strRef>
              <c:f>'Prerađivačka_FS graf'!$I$7</c:f>
              <c:strCache>
                <c:ptCount val="1"/>
                <c:pt idx="0">
                  <c:v>y</c:v>
                </c:pt>
              </c:strCache>
            </c:strRef>
          </c:tx>
          <c:spPr>
            <a:ln w="12700" cap="rnd">
              <a:solidFill>
                <a:srgbClr val="7F3F98"/>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graf'!$I$44:$I$83</c:f>
              <c:numCache>
                <c:formatCode>0.0</c:formatCode>
                <c:ptCount val="40"/>
                <c:pt idx="0">
                  <c:v>81.438685003000003</c:v>
                </c:pt>
                <c:pt idx="1">
                  <c:v>90.324680608999998</c:v>
                </c:pt>
                <c:pt idx="2">
                  <c:v>98.820083001</c:v>
                </c:pt>
                <c:pt idx="3">
                  <c:v>98.136544877999995</c:v>
                </c:pt>
                <c:pt idx="4">
                  <c:v>94.035316136000006</c:v>
                </c:pt>
                <c:pt idx="5">
                  <c:v>102.14012531500001</c:v>
                </c:pt>
                <c:pt idx="6">
                  <c:v>98.527138090999998</c:v>
                </c:pt>
                <c:pt idx="7">
                  <c:v>92.961184798999994</c:v>
                </c:pt>
                <c:pt idx="8">
                  <c:v>102.04247701200001</c:v>
                </c:pt>
                <c:pt idx="9">
                  <c:v>105.850760843</c:v>
                </c:pt>
                <c:pt idx="10">
                  <c:v>104.288387989</c:v>
                </c:pt>
                <c:pt idx="11">
                  <c:v>103.31190495600001</c:v>
                </c:pt>
                <c:pt idx="12">
                  <c:v>81.926926519999995</c:v>
                </c:pt>
                <c:pt idx="13">
                  <c:v>92.082350069</c:v>
                </c:pt>
                <c:pt idx="14">
                  <c:v>106.92489218</c:v>
                </c:pt>
                <c:pt idx="15">
                  <c:v>98.038896574000006</c:v>
                </c:pt>
                <c:pt idx="16">
                  <c:v>104.581332899</c:v>
                </c:pt>
                <c:pt idx="17">
                  <c:v>105.46016763</c:v>
                </c:pt>
                <c:pt idx="18">
                  <c:v>95.011799170000003</c:v>
                </c:pt>
                <c:pt idx="19">
                  <c:v>94.621205957000001</c:v>
                </c:pt>
                <c:pt idx="20">
                  <c:v>101.651883799</c:v>
                </c:pt>
                <c:pt idx="21">
                  <c:v>104.093091383</c:v>
                </c:pt>
                <c:pt idx="22">
                  <c:v>103.40955325900001</c:v>
                </c:pt>
                <c:pt idx="23">
                  <c:v>100.67540076500001</c:v>
                </c:pt>
                <c:pt idx="24">
                  <c:v>83.684595979999997</c:v>
                </c:pt>
                <c:pt idx="25">
                  <c:v>90.031735698999995</c:v>
                </c:pt>
                <c:pt idx="26">
                  <c:v>106.14370575300001</c:v>
                </c:pt>
                <c:pt idx="27">
                  <c:v>95.890633899999997</c:v>
                </c:pt>
                <c:pt idx="28">
                  <c:v>103.897794776</c:v>
                </c:pt>
                <c:pt idx="29">
                  <c:v>105.06957441599999</c:v>
                </c:pt>
                <c:pt idx="30">
                  <c:v>95.695337293999998</c:v>
                </c:pt>
                <c:pt idx="31">
                  <c:v>97.550655057</c:v>
                </c:pt>
                <c:pt idx="32">
                  <c:v>105.264871023</c:v>
                </c:pt>
                <c:pt idx="33">
                  <c:v>107.80372690999999</c:v>
                </c:pt>
                <c:pt idx="34">
                  <c:v>105.655464236</c:v>
                </c:pt>
                <c:pt idx="35">
                  <c:v>103.31190495600001</c:v>
                </c:pt>
                <c:pt idx="36">
                  <c:v>89.5</c:v>
                </c:pt>
                <c:pt idx="37">
                  <c:v>99.9</c:v>
                </c:pt>
                <c:pt idx="38">
                  <c:v>99.2</c:v>
                </c:pt>
                <c:pt idx="39">
                  <c:v>102.2</c:v>
                </c:pt>
              </c:numCache>
            </c:numRef>
          </c:val>
          <c:smooth val="0"/>
          <c:extLst>
            <c:ext xmlns:c16="http://schemas.microsoft.com/office/drawing/2014/chart" uri="{C3380CC4-5D6E-409C-BE32-E72D297353CC}">
              <c16:uniqueId val="{0000002E-FAC9-438A-B5C4-CBDAC8A1D520}"/>
            </c:ext>
          </c:extLst>
        </c:ser>
        <c:ser>
          <c:idx val="1"/>
          <c:order val="3"/>
          <c:tx>
            <c:strRef>
              <c:f>'Prerađivačka_FS graf'!$J$7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graf'!$J$44:$J$83</c:f>
              <c:numCache>
                <c:formatCode>0.0</c:formatCode>
                <c:ptCount val="40"/>
                <c:pt idx="0">
                  <c:v>97.767467749000005</c:v>
                </c:pt>
                <c:pt idx="1">
                  <c:v>98.132060494000001</c:v>
                </c:pt>
                <c:pt idx="2">
                  <c:v>96.900557113999994</c:v>
                </c:pt>
                <c:pt idx="3">
                  <c:v>97.709689054999998</c:v>
                </c:pt>
                <c:pt idx="4">
                  <c:v>93.760693513999996</c:v>
                </c:pt>
                <c:pt idx="5">
                  <c:v>96.961498345999999</c:v>
                </c:pt>
                <c:pt idx="6">
                  <c:v>98.381950846999999</c:v>
                </c:pt>
                <c:pt idx="7">
                  <c:v>98.345806441999997</c:v>
                </c:pt>
                <c:pt idx="8">
                  <c:v>95.531952457000003</c:v>
                </c:pt>
                <c:pt idx="9">
                  <c:v>98.262874792000005</c:v>
                </c:pt>
                <c:pt idx="10">
                  <c:v>99.237609379999995</c:v>
                </c:pt>
                <c:pt idx="11">
                  <c:v>98.34294912</c:v>
                </c:pt>
                <c:pt idx="12">
                  <c:v>96.476213830999995</c:v>
                </c:pt>
                <c:pt idx="13">
                  <c:v>100.294696417</c:v>
                </c:pt>
                <c:pt idx="14">
                  <c:v>105.00633637599999</c:v>
                </c:pt>
                <c:pt idx="15">
                  <c:v>100.73704448399999</c:v>
                </c:pt>
                <c:pt idx="16">
                  <c:v>103.20712119700001</c:v>
                </c:pt>
                <c:pt idx="17">
                  <c:v>99.826478042999994</c:v>
                </c:pt>
                <c:pt idx="18">
                  <c:v>97.151018550000003</c:v>
                </c:pt>
                <c:pt idx="19">
                  <c:v>96.874918622999999</c:v>
                </c:pt>
                <c:pt idx="20">
                  <c:v>96.877392685999993</c:v>
                </c:pt>
                <c:pt idx="21">
                  <c:v>96.598745473999998</c:v>
                </c:pt>
                <c:pt idx="22">
                  <c:v>97.999647957999997</c:v>
                </c:pt>
                <c:pt idx="23">
                  <c:v>98.052473813000006</c:v>
                </c:pt>
                <c:pt idx="24">
                  <c:v>98.271855658999996</c:v>
                </c:pt>
                <c:pt idx="25">
                  <c:v>98.146136468999998</c:v>
                </c:pt>
                <c:pt idx="26">
                  <c:v>103.205144064</c:v>
                </c:pt>
                <c:pt idx="27">
                  <c:v>100.126541561</c:v>
                </c:pt>
                <c:pt idx="28">
                  <c:v>100.839369483</c:v>
                </c:pt>
                <c:pt idx="29">
                  <c:v>100.415164594</c:v>
                </c:pt>
                <c:pt idx="30">
                  <c:v>98.340985732999997</c:v>
                </c:pt>
                <c:pt idx="31">
                  <c:v>100.155291281</c:v>
                </c:pt>
                <c:pt idx="32">
                  <c:v>101.02191548899999</c:v>
                </c:pt>
                <c:pt idx="33">
                  <c:v>100.712452754</c:v>
                </c:pt>
                <c:pt idx="34">
                  <c:v>99.406495809000006</c:v>
                </c:pt>
                <c:pt idx="35">
                  <c:v>101.912046168</c:v>
                </c:pt>
                <c:pt idx="36">
                  <c:v>101.09795198099999</c:v>
                </c:pt>
                <c:pt idx="37">
                  <c:v>102.06975396999999</c:v>
                </c:pt>
                <c:pt idx="38">
                  <c:v>99.282628208999995</c:v>
                </c:pt>
                <c:pt idx="39">
                  <c:v>99.120877473999997</c:v>
                </c:pt>
              </c:numCache>
            </c:numRef>
          </c:val>
          <c:smooth val="0"/>
          <c:extLst>
            <c:ext xmlns:c16="http://schemas.microsoft.com/office/drawing/2014/chart" uri="{C3380CC4-5D6E-409C-BE32-E72D297353CC}">
              <c16:uniqueId val="{0000002F-FAC9-438A-B5C4-CBDAC8A1D520}"/>
            </c:ext>
          </c:extLst>
        </c:ser>
        <c:ser>
          <c:idx val="2"/>
          <c:order val="4"/>
          <c:tx>
            <c:strRef>
              <c:f>'Prerađivačka_FS graf'!$K$7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graf'!$K$44:$K$83</c:f>
              <c:numCache>
                <c:formatCode>0.0</c:formatCode>
                <c:ptCount val="40"/>
                <c:pt idx="0">
                  <c:v>96.983700428000006</c:v>
                </c:pt>
                <c:pt idx="1">
                  <c:v>97.103943888000003</c:v>
                </c:pt>
                <c:pt idx="2">
                  <c:v>97.150479047999994</c:v>
                </c:pt>
                <c:pt idx="3">
                  <c:v>97.166140362999997</c:v>
                </c:pt>
                <c:pt idx="4">
                  <c:v>97.186567174999993</c:v>
                </c:pt>
                <c:pt idx="5">
                  <c:v>97.241903261000004</c:v>
                </c:pt>
                <c:pt idx="6">
                  <c:v>97.353099759000003</c:v>
                </c:pt>
                <c:pt idx="7">
                  <c:v>97.528387953000006</c:v>
                </c:pt>
                <c:pt idx="8">
                  <c:v>97.775015037000003</c:v>
                </c:pt>
                <c:pt idx="9">
                  <c:v>98.089443118000005</c:v>
                </c:pt>
                <c:pt idx="10">
                  <c:v>98.450802648999996</c:v>
                </c:pt>
                <c:pt idx="11">
                  <c:v>98.805702648999997</c:v>
                </c:pt>
                <c:pt idx="12">
                  <c:v>99.087401290000003</c:v>
                </c:pt>
                <c:pt idx="13">
                  <c:v>99.246741506000006</c:v>
                </c:pt>
                <c:pt idx="14">
                  <c:v>99.265223203999994</c:v>
                </c:pt>
                <c:pt idx="15">
                  <c:v>99.144946887000003</c:v>
                </c:pt>
                <c:pt idx="16">
                  <c:v>98.904126431999998</c:v>
                </c:pt>
                <c:pt idx="17">
                  <c:v>98.581203564000006</c:v>
                </c:pt>
                <c:pt idx="18">
                  <c:v>98.222296211</c:v>
                </c:pt>
                <c:pt idx="19">
                  <c:v>97.90181785</c:v>
                </c:pt>
                <c:pt idx="20">
                  <c:v>97.687648061999994</c:v>
                </c:pt>
                <c:pt idx="21">
                  <c:v>97.618936560999998</c:v>
                </c:pt>
                <c:pt idx="22">
                  <c:v>97.697673746000007</c:v>
                </c:pt>
                <c:pt idx="23">
                  <c:v>97.922346348000005</c:v>
                </c:pt>
                <c:pt idx="24">
                  <c:v>98.260714320000005</c:v>
                </c:pt>
                <c:pt idx="25">
                  <c:v>98.659826643000002</c:v>
                </c:pt>
                <c:pt idx="26">
                  <c:v>99.056381172000002</c:v>
                </c:pt>
                <c:pt idx="27">
                  <c:v>99.421226988000001</c:v>
                </c:pt>
                <c:pt idx="28">
                  <c:v>99.739896856000001</c:v>
                </c:pt>
                <c:pt idx="29">
                  <c:v>100.008646829</c:v>
                </c:pt>
                <c:pt idx="30">
                  <c:v>100.227177998</c:v>
                </c:pt>
                <c:pt idx="31">
                  <c:v>100.398732856</c:v>
                </c:pt>
                <c:pt idx="32">
                  <c:v>100.51958761900001</c:v>
                </c:pt>
                <c:pt idx="33">
                  <c:v>100.588294921</c:v>
                </c:pt>
                <c:pt idx="34">
                  <c:v>100.608192993</c:v>
                </c:pt>
                <c:pt idx="35">
                  <c:v>100.585851218</c:v>
                </c:pt>
                <c:pt idx="36">
                  <c:v>100.53976333</c:v>
                </c:pt>
                <c:pt idx="37">
                  <c:v>100.485538182</c:v>
                </c:pt>
                <c:pt idx="38">
                  <c:v>100.437059487</c:v>
                </c:pt>
                <c:pt idx="39">
                  <c:v>100.39115351700001</c:v>
                </c:pt>
              </c:numCache>
            </c:numRef>
          </c:val>
          <c:smooth val="0"/>
          <c:extLst>
            <c:ext xmlns:c16="http://schemas.microsoft.com/office/drawing/2014/chart" uri="{C3380CC4-5D6E-409C-BE32-E72D297353CC}">
              <c16:uniqueId val="{00000030-FAC9-438A-B5C4-CBDAC8A1D520}"/>
            </c:ext>
          </c:extLst>
        </c:ser>
        <c:dLbls>
          <c:showLegendKey val="0"/>
          <c:showVal val="0"/>
          <c:showCatName val="0"/>
          <c:showSerName val="0"/>
          <c:showPercent val="0"/>
          <c:showBubbleSize val="0"/>
        </c:dLbls>
        <c:marker val="1"/>
        <c:smooth val="0"/>
        <c:axId val="2092180112"/>
        <c:axId val="2092170320"/>
      </c:lineChart>
      <c:dateAx>
        <c:axId val="20921801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0320"/>
        <c:crosses val="autoZero"/>
        <c:auto val="1"/>
        <c:lblOffset val="0"/>
        <c:baseTimeUnit val="months"/>
        <c:majorUnit val="12"/>
        <c:majorTimeUnit val="months"/>
      </c:dateAx>
      <c:valAx>
        <c:axId val="2092170320"/>
        <c:scaling>
          <c:orientation val="minMax"/>
          <c:max val="110"/>
          <c:min val="8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112"/>
        <c:crosses val="autoZero"/>
        <c:crossBetween val="midCat"/>
        <c:majorUnit val="5"/>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3DF-403C-A192-0B5EA105CD6B}"/>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3DF-403C-A192-0B5EA105CD6B}"/>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3DF-403C-A192-0B5EA105CD6B}"/>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3DF-403C-A192-0B5EA105CD6B}"/>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graf'!$BV$44:$BV$83</c:f>
              <c:numCache>
                <c:formatCode>General</c:formatCode>
                <c:ptCount val="40"/>
                <c:pt idx="0">
                  <c:v>40</c:v>
                </c:pt>
                <c:pt idx="12">
                  <c:v>40</c:v>
                </c:pt>
                <c:pt idx="24">
                  <c:v>40</c:v>
                </c:pt>
                <c:pt idx="36">
                  <c:v>40</c:v>
                </c:pt>
              </c:numCache>
            </c:numRef>
          </c:val>
          <c:smooth val="0"/>
          <c:extLst>
            <c:ext xmlns:c16="http://schemas.microsoft.com/office/drawing/2014/chart" uri="{C3380CC4-5D6E-409C-BE32-E72D297353CC}">
              <c16:uniqueId val="{00000004-13DF-403C-A192-0B5EA105CD6B}"/>
            </c:ext>
          </c:extLst>
        </c:ser>
        <c:ser>
          <c:idx val="4"/>
          <c:order val="1"/>
          <c:tx>
            <c:strRef>
              <c:f>'Prerađivačka_FS graf'!$BW$7</c:f>
              <c:strCache>
                <c:ptCount val="1"/>
                <c:pt idx="0">
                  <c:v>Series5</c:v>
                </c:pt>
              </c:strCache>
            </c:strRef>
          </c:tx>
          <c:spPr>
            <a:ln w="25400" cap="rnd">
              <a:noFill/>
              <a:round/>
            </a:ln>
            <a:effectLst/>
          </c:spPr>
          <c:marker>
            <c:symbol val="none"/>
          </c:marker>
          <c:dLbls>
            <c:dLbl>
              <c:idx val="0"/>
              <c:tx>
                <c:rich>
                  <a:bodyPr/>
                  <a:lstStyle/>
                  <a:p>
                    <a:fld id="{319A8EEE-542A-4D9A-920E-37E179482F4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13DF-403C-A192-0B5EA105CD6B}"/>
                </c:ext>
              </c:extLst>
            </c:dLbl>
            <c:dLbl>
              <c:idx val="1"/>
              <c:tx>
                <c:rich>
                  <a:bodyPr/>
                  <a:lstStyle/>
                  <a:p>
                    <a:fld id="{3182C46D-263E-4002-A0A8-E91FAD327BB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13DF-403C-A192-0B5EA105CD6B}"/>
                </c:ext>
              </c:extLst>
            </c:dLbl>
            <c:dLbl>
              <c:idx val="2"/>
              <c:tx>
                <c:rich>
                  <a:bodyPr/>
                  <a:lstStyle/>
                  <a:p>
                    <a:fld id="{C02BB7EE-71E8-4CCA-B8A5-E98E95F4516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13DF-403C-A192-0B5EA105CD6B}"/>
                </c:ext>
              </c:extLst>
            </c:dLbl>
            <c:dLbl>
              <c:idx val="3"/>
              <c:tx>
                <c:rich>
                  <a:bodyPr/>
                  <a:lstStyle/>
                  <a:p>
                    <a:fld id="{FAFBC5B6-27F4-4208-BCDF-77282EFD954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3DF-403C-A192-0B5EA105CD6B}"/>
                </c:ext>
              </c:extLst>
            </c:dLbl>
            <c:dLbl>
              <c:idx val="4"/>
              <c:tx>
                <c:rich>
                  <a:bodyPr/>
                  <a:lstStyle/>
                  <a:p>
                    <a:fld id="{C9A7F52B-D144-4F0F-B162-634DD3DEB2B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13DF-403C-A192-0B5EA105CD6B}"/>
                </c:ext>
              </c:extLst>
            </c:dLbl>
            <c:dLbl>
              <c:idx val="5"/>
              <c:tx>
                <c:rich>
                  <a:bodyPr/>
                  <a:lstStyle/>
                  <a:p>
                    <a:fld id="{9220C8A8-E116-4FF4-8941-6850B7C5F53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13DF-403C-A192-0B5EA105CD6B}"/>
                </c:ext>
              </c:extLst>
            </c:dLbl>
            <c:dLbl>
              <c:idx val="6"/>
              <c:tx>
                <c:rich>
                  <a:bodyPr/>
                  <a:lstStyle/>
                  <a:p>
                    <a:fld id="{B536FBA7-3F3F-4A92-AE47-45CA2D4020E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3DF-403C-A192-0B5EA105CD6B}"/>
                </c:ext>
              </c:extLst>
            </c:dLbl>
            <c:dLbl>
              <c:idx val="7"/>
              <c:tx>
                <c:rich>
                  <a:bodyPr/>
                  <a:lstStyle/>
                  <a:p>
                    <a:fld id="{56E823F1-6749-4337-924C-43596151A71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13DF-403C-A192-0B5EA105CD6B}"/>
                </c:ext>
              </c:extLst>
            </c:dLbl>
            <c:dLbl>
              <c:idx val="8"/>
              <c:tx>
                <c:rich>
                  <a:bodyPr/>
                  <a:lstStyle/>
                  <a:p>
                    <a:fld id="{8E5CC64F-6D9F-440B-AEEE-2EDD6EDD11E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13DF-403C-A192-0B5EA105CD6B}"/>
                </c:ext>
              </c:extLst>
            </c:dLbl>
            <c:dLbl>
              <c:idx val="9"/>
              <c:tx>
                <c:rich>
                  <a:bodyPr/>
                  <a:lstStyle/>
                  <a:p>
                    <a:fld id="{18397077-C321-42DF-AF95-8DCF33F6D9E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3DF-403C-A192-0B5EA105CD6B}"/>
                </c:ext>
              </c:extLst>
            </c:dLbl>
            <c:dLbl>
              <c:idx val="10"/>
              <c:tx>
                <c:rich>
                  <a:bodyPr/>
                  <a:lstStyle/>
                  <a:p>
                    <a:fld id="{D0C96340-A1A7-49FF-AC81-33F41143943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13DF-403C-A192-0B5EA105CD6B}"/>
                </c:ext>
              </c:extLst>
            </c:dLbl>
            <c:dLbl>
              <c:idx val="11"/>
              <c:tx>
                <c:rich>
                  <a:bodyPr/>
                  <a:lstStyle/>
                  <a:p>
                    <a:fld id="{E8152B56-CDD8-4A6D-858F-145F1591413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13DF-403C-A192-0B5EA105CD6B}"/>
                </c:ext>
              </c:extLst>
            </c:dLbl>
            <c:dLbl>
              <c:idx val="12"/>
              <c:tx>
                <c:rich>
                  <a:bodyPr/>
                  <a:lstStyle/>
                  <a:p>
                    <a:fld id="{F737ED34-1416-472A-97CC-A20FC8B3FAD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3DF-403C-A192-0B5EA105CD6B}"/>
                </c:ext>
              </c:extLst>
            </c:dLbl>
            <c:dLbl>
              <c:idx val="13"/>
              <c:tx>
                <c:rich>
                  <a:bodyPr/>
                  <a:lstStyle/>
                  <a:p>
                    <a:fld id="{133F4570-C9A7-446A-B119-A107E4B07F4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13DF-403C-A192-0B5EA105CD6B}"/>
                </c:ext>
              </c:extLst>
            </c:dLbl>
            <c:dLbl>
              <c:idx val="14"/>
              <c:tx>
                <c:rich>
                  <a:bodyPr/>
                  <a:lstStyle/>
                  <a:p>
                    <a:fld id="{A50F5213-A424-4320-819D-B3091C049C9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13DF-403C-A192-0B5EA105CD6B}"/>
                </c:ext>
              </c:extLst>
            </c:dLbl>
            <c:dLbl>
              <c:idx val="15"/>
              <c:tx>
                <c:rich>
                  <a:bodyPr/>
                  <a:lstStyle/>
                  <a:p>
                    <a:fld id="{F6CE1F21-3D42-45E1-88A0-16F033F7BEA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3DF-403C-A192-0B5EA105CD6B}"/>
                </c:ext>
              </c:extLst>
            </c:dLbl>
            <c:dLbl>
              <c:idx val="16"/>
              <c:tx>
                <c:rich>
                  <a:bodyPr/>
                  <a:lstStyle/>
                  <a:p>
                    <a:fld id="{008B9132-71B8-4E99-9B15-4682C106008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13DF-403C-A192-0B5EA105CD6B}"/>
                </c:ext>
              </c:extLst>
            </c:dLbl>
            <c:dLbl>
              <c:idx val="17"/>
              <c:tx>
                <c:rich>
                  <a:bodyPr/>
                  <a:lstStyle/>
                  <a:p>
                    <a:fld id="{508C0124-D61A-4E4D-9E6A-746181202E9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13DF-403C-A192-0B5EA105CD6B}"/>
                </c:ext>
              </c:extLst>
            </c:dLbl>
            <c:dLbl>
              <c:idx val="18"/>
              <c:tx>
                <c:rich>
                  <a:bodyPr/>
                  <a:lstStyle/>
                  <a:p>
                    <a:fld id="{8FB24C7F-FA6A-46FF-BC0A-4090E840BCA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3DF-403C-A192-0B5EA105CD6B}"/>
                </c:ext>
              </c:extLst>
            </c:dLbl>
            <c:dLbl>
              <c:idx val="19"/>
              <c:tx>
                <c:rich>
                  <a:bodyPr/>
                  <a:lstStyle/>
                  <a:p>
                    <a:fld id="{27AAEB3B-346C-4B4D-8F40-C57A58EFD6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13DF-403C-A192-0B5EA105CD6B}"/>
                </c:ext>
              </c:extLst>
            </c:dLbl>
            <c:dLbl>
              <c:idx val="20"/>
              <c:tx>
                <c:rich>
                  <a:bodyPr/>
                  <a:lstStyle/>
                  <a:p>
                    <a:fld id="{86D84BA0-B91E-4487-BE76-F90E99F15A8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13DF-403C-A192-0B5EA105CD6B}"/>
                </c:ext>
              </c:extLst>
            </c:dLbl>
            <c:dLbl>
              <c:idx val="21"/>
              <c:tx>
                <c:rich>
                  <a:bodyPr/>
                  <a:lstStyle/>
                  <a:p>
                    <a:fld id="{CBDDAF85-649B-4212-86C4-ADEED4C8624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3DF-403C-A192-0B5EA105CD6B}"/>
                </c:ext>
              </c:extLst>
            </c:dLbl>
            <c:dLbl>
              <c:idx val="22"/>
              <c:tx>
                <c:rich>
                  <a:bodyPr/>
                  <a:lstStyle/>
                  <a:p>
                    <a:fld id="{366DF325-0F57-4DE9-9CCC-9D9C7402450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13DF-403C-A192-0B5EA105CD6B}"/>
                </c:ext>
              </c:extLst>
            </c:dLbl>
            <c:dLbl>
              <c:idx val="23"/>
              <c:tx>
                <c:rich>
                  <a:bodyPr/>
                  <a:lstStyle/>
                  <a:p>
                    <a:fld id="{923B1028-3DFB-4A53-B4E8-D07BD80369D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13DF-403C-A192-0B5EA105CD6B}"/>
                </c:ext>
              </c:extLst>
            </c:dLbl>
            <c:dLbl>
              <c:idx val="24"/>
              <c:tx>
                <c:rich>
                  <a:bodyPr/>
                  <a:lstStyle/>
                  <a:p>
                    <a:fld id="{F859B902-BD02-433F-96FC-151121F0F26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3DF-403C-A192-0B5EA105CD6B}"/>
                </c:ext>
              </c:extLst>
            </c:dLbl>
            <c:dLbl>
              <c:idx val="25"/>
              <c:tx>
                <c:rich>
                  <a:bodyPr/>
                  <a:lstStyle/>
                  <a:p>
                    <a:fld id="{0524C4B5-E4DC-40D8-8923-3AE95DE36C4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13DF-403C-A192-0B5EA105CD6B}"/>
                </c:ext>
              </c:extLst>
            </c:dLbl>
            <c:dLbl>
              <c:idx val="26"/>
              <c:tx>
                <c:rich>
                  <a:bodyPr/>
                  <a:lstStyle/>
                  <a:p>
                    <a:fld id="{CD75B19E-99CE-4CA8-9FC5-100364AE475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13DF-403C-A192-0B5EA105CD6B}"/>
                </c:ext>
              </c:extLst>
            </c:dLbl>
            <c:dLbl>
              <c:idx val="27"/>
              <c:tx>
                <c:rich>
                  <a:bodyPr/>
                  <a:lstStyle/>
                  <a:p>
                    <a:fld id="{7DA374A3-E492-4214-8F42-4124CAD390D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3DF-403C-A192-0B5EA105CD6B}"/>
                </c:ext>
              </c:extLst>
            </c:dLbl>
            <c:dLbl>
              <c:idx val="28"/>
              <c:tx>
                <c:rich>
                  <a:bodyPr/>
                  <a:lstStyle/>
                  <a:p>
                    <a:fld id="{C1AE9C64-34C4-43A4-AD82-B7F5623CED6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13DF-403C-A192-0B5EA105CD6B}"/>
                </c:ext>
              </c:extLst>
            </c:dLbl>
            <c:dLbl>
              <c:idx val="29"/>
              <c:tx>
                <c:rich>
                  <a:bodyPr/>
                  <a:lstStyle/>
                  <a:p>
                    <a:fld id="{D93AA472-4B82-492E-ACFC-FFAE0021BF9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13DF-403C-A192-0B5EA105CD6B}"/>
                </c:ext>
              </c:extLst>
            </c:dLbl>
            <c:dLbl>
              <c:idx val="30"/>
              <c:tx>
                <c:rich>
                  <a:bodyPr/>
                  <a:lstStyle/>
                  <a:p>
                    <a:fld id="{DB268467-0302-4BF4-B76D-36BEA70697A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3DF-403C-A192-0B5EA105CD6B}"/>
                </c:ext>
              </c:extLst>
            </c:dLbl>
            <c:dLbl>
              <c:idx val="31"/>
              <c:tx>
                <c:rich>
                  <a:bodyPr/>
                  <a:lstStyle/>
                  <a:p>
                    <a:fld id="{C2D5F31D-5667-4974-AFD3-C5F38CC5F3B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13DF-403C-A192-0B5EA105CD6B}"/>
                </c:ext>
              </c:extLst>
            </c:dLbl>
            <c:dLbl>
              <c:idx val="32"/>
              <c:tx>
                <c:rich>
                  <a:bodyPr/>
                  <a:lstStyle/>
                  <a:p>
                    <a:fld id="{0B056C52-1813-47B2-882D-0DFF49D4CD5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13DF-403C-A192-0B5EA105CD6B}"/>
                </c:ext>
              </c:extLst>
            </c:dLbl>
            <c:dLbl>
              <c:idx val="33"/>
              <c:tx>
                <c:rich>
                  <a:bodyPr/>
                  <a:lstStyle/>
                  <a:p>
                    <a:fld id="{3463CBBE-AC0D-42C2-9BE2-053A52B4641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3DF-403C-A192-0B5EA105CD6B}"/>
                </c:ext>
              </c:extLst>
            </c:dLbl>
            <c:dLbl>
              <c:idx val="34"/>
              <c:tx>
                <c:rich>
                  <a:bodyPr/>
                  <a:lstStyle/>
                  <a:p>
                    <a:fld id="{3444C7D3-3746-4D0A-901B-07542D55797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13DF-403C-A192-0B5EA105CD6B}"/>
                </c:ext>
              </c:extLst>
            </c:dLbl>
            <c:dLbl>
              <c:idx val="35"/>
              <c:tx>
                <c:rich>
                  <a:bodyPr/>
                  <a:lstStyle/>
                  <a:p>
                    <a:fld id="{EE91C458-AD9F-4239-BECB-005BD363D4B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13DF-403C-A192-0B5EA105CD6B}"/>
                </c:ext>
              </c:extLst>
            </c:dLbl>
            <c:dLbl>
              <c:idx val="36"/>
              <c:tx>
                <c:rich>
                  <a:bodyPr/>
                  <a:lstStyle/>
                  <a:p>
                    <a:fld id="{E2C3806A-E860-44B7-856D-C7105754534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3DF-403C-A192-0B5EA105CD6B}"/>
                </c:ext>
              </c:extLst>
            </c:dLbl>
            <c:dLbl>
              <c:idx val="37"/>
              <c:tx>
                <c:rich>
                  <a:bodyPr/>
                  <a:lstStyle/>
                  <a:p>
                    <a:fld id="{A06BA35E-0C4E-4FF5-948C-3FA1C77AA0C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13DF-403C-A192-0B5EA105CD6B}"/>
                </c:ext>
              </c:extLst>
            </c:dLbl>
            <c:dLbl>
              <c:idx val="38"/>
              <c:tx>
                <c:rich>
                  <a:bodyPr/>
                  <a:lstStyle/>
                  <a:p>
                    <a:fld id="{1B4191D4-A03F-4231-BF5A-42E2B0AC0B3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13DF-403C-A192-0B5EA105CD6B}"/>
                </c:ext>
              </c:extLst>
            </c:dLbl>
            <c:dLbl>
              <c:idx val="39"/>
              <c:tx>
                <c:rich>
                  <a:bodyPr/>
                  <a:lstStyle/>
                  <a:p>
                    <a:fld id="{DAF5B3BC-0079-4C8F-8834-1EB086C0F46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3DF-403C-A192-0B5EA105CD6B}"/>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graf'!$BW$44:$BW$83</c:f>
              <c:numCache>
                <c:formatCode>General</c:formatCode>
                <c:ptCount val="40"/>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numCache>
            </c:numRef>
          </c:val>
          <c:smooth val="0"/>
          <c:extLst>
            <c:ext xmlns:c15="http://schemas.microsoft.com/office/drawing/2012/chart" uri="{02D57815-91ED-43cb-92C2-25804820EDAC}">
              <c15:datalabelsRange>
                <c15:f>'Prerađivačka_FS graf'!$B$32:$B$83</c15:f>
                <c15:dlblRangeCache>
                  <c:ptCount val="52"/>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15:dlblRangeCache>
              </c15:datalabelsRange>
            </c:ext>
            <c:ext xmlns:c16="http://schemas.microsoft.com/office/drawing/2014/chart" uri="{C3380CC4-5D6E-409C-BE32-E72D297353CC}">
              <c16:uniqueId val="{0000002D-13DF-403C-A192-0B5EA105CD6B}"/>
            </c:ext>
          </c:extLst>
        </c:ser>
        <c:ser>
          <c:idx val="0"/>
          <c:order val="2"/>
          <c:tx>
            <c:strRef>
              <c:f>'Prerađivačka_FS graf'!$BX$7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graf'!$BX$44:$BX$83</c:f>
              <c:numCache>
                <c:formatCode>0.0</c:formatCode>
                <c:ptCount val="40"/>
                <c:pt idx="0">
                  <c:v>65.54255108113469</c:v>
                </c:pt>
                <c:pt idx="1">
                  <c:v>63.400119024003189</c:v>
                </c:pt>
                <c:pt idx="2">
                  <c:v>70.541559214441591</c:v>
                </c:pt>
                <c:pt idx="3">
                  <c:v>65.145804403888121</c:v>
                </c:pt>
                <c:pt idx="4">
                  <c:v>61.813132315016873</c:v>
                </c:pt>
                <c:pt idx="5">
                  <c:v>81.253719500099194</c:v>
                </c:pt>
                <c:pt idx="6">
                  <c:v>79.190636778416973</c:v>
                </c:pt>
                <c:pt idx="7">
                  <c:v>89.902797064074591</c:v>
                </c:pt>
                <c:pt idx="8">
                  <c:v>94.425709184685587</c:v>
                </c:pt>
                <c:pt idx="9">
                  <c:v>92.283277127554058</c:v>
                </c:pt>
                <c:pt idx="10">
                  <c:v>97.282285260860945</c:v>
                </c:pt>
                <c:pt idx="11">
                  <c:v>91.410434437611599</c:v>
                </c:pt>
                <c:pt idx="12">
                  <c:v>88.077762348740336</c:v>
                </c:pt>
                <c:pt idx="13">
                  <c:v>94.901805197381478</c:v>
                </c:pt>
                <c:pt idx="14">
                  <c:v>103.31283475500892</c:v>
                </c:pt>
                <c:pt idx="15">
                  <c:v>101.56714937512399</c:v>
                </c:pt>
                <c:pt idx="16">
                  <c:v>81.888514183693715</c:v>
                </c:pt>
                <c:pt idx="17">
                  <c:v>100.13886133703632</c:v>
                </c:pt>
                <c:pt idx="18">
                  <c:v>99.821463995239043</c:v>
                </c:pt>
                <c:pt idx="19">
                  <c:v>94.981154532830786</c:v>
                </c:pt>
                <c:pt idx="20">
                  <c:v>97.996429279904788</c:v>
                </c:pt>
                <c:pt idx="21">
                  <c:v>112.43800833168022</c:v>
                </c:pt>
                <c:pt idx="22">
                  <c:v>102.91608807776235</c:v>
                </c:pt>
                <c:pt idx="23">
                  <c:v>121.08708589565562</c:v>
                </c:pt>
                <c:pt idx="24">
                  <c:v>105.21721880579251</c:v>
                </c:pt>
                <c:pt idx="25">
                  <c:v>94.663757191033525</c:v>
                </c:pt>
                <c:pt idx="26">
                  <c:v>105.77266415393774</c:v>
                </c:pt>
                <c:pt idx="27">
                  <c:v>102.20194405871852</c:v>
                </c:pt>
                <c:pt idx="28">
                  <c:v>78.317794088474514</c:v>
                </c:pt>
                <c:pt idx="29">
                  <c:v>84.903788930767703</c:v>
                </c:pt>
                <c:pt idx="30">
                  <c:v>99.26601864709383</c:v>
                </c:pt>
                <c:pt idx="31">
                  <c:v>113.07280301527476</c:v>
                </c:pt>
                <c:pt idx="32">
                  <c:v>98.075778615354096</c:v>
                </c:pt>
                <c:pt idx="33">
                  <c:v>114.10434437611588</c:v>
                </c:pt>
                <c:pt idx="34">
                  <c:v>104.18567744495142</c:v>
                </c:pt>
                <c:pt idx="35">
                  <c:v>100.21821067248563</c:v>
                </c:pt>
                <c:pt idx="36">
                  <c:v>104.1</c:v>
                </c:pt>
                <c:pt idx="37">
                  <c:v>109</c:v>
                </c:pt>
                <c:pt idx="38">
                  <c:v>112.1</c:v>
                </c:pt>
                <c:pt idx="39">
                  <c:v>107.6</c:v>
                </c:pt>
              </c:numCache>
            </c:numRef>
          </c:val>
          <c:smooth val="0"/>
          <c:extLst>
            <c:ext xmlns:c16="http://schemas.microsoft.com/office/drawing/2014/chart" uri="{C3380CC4-5D6E-409C-BE32-E72D297353CC}">
              <c16:uniqueId val="{0000002E-13DF-403C-A192-0B5EA105CD6B}"/>
            </c:ext>
          </c:extLst>
        </c:ser>
        <c:ser>
          <c:idx val="1"/>
          <c:order val="3"/>
          <c:tx>
            <c:strRef>
              <c:f>'Prerađivačka_FS graf'!$BY$7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graf'!$BY$44:$BY$83</c:f>
              <c:numCache>
                <c:formatCode>0.0</c:formatCode>
                <c:ptCount val="40"/>
                <c:pt idx="0">
                  <c:v>65.853555333623589</c:v>
                </c:pt>
                <c:pt idx="1">
                  <c:v>64.69025419935835</c:v>
                </c:pt>
                <c:pt idx="2">
                  <c:v>66.308367827594509</c:v>
                </c:pt>
                <c:pt idx="3">
                  <c:v>64.281410479988779</c:v>
                </c:pt>
                <c:pt idx="4">
                  <c:v>73.265884053442477</c:v>
                </c:pt>
                <c:pt idx="5">
                  <c:v>90.449753309841398</c:v>
                </c:pt>
                <c:pt idx="6">
                  <c:v>80.486868042368144</c:v>
                </c:pt>
                <c:pt idx="7">
                  <c:v>86.211551862005152</c:v>
                </c:pt>
                <c:pt idx="8">
                  <c:v>92.883263366912232</c:v>
                </c:pt>
                <c:pt idx="9">
                  <c:v>85.359726483149288</c:v>
                </c:pt>
                <c:pt idx="10">
                  <c:v>93.483444668764406</c:v>
                </c:pt>
                <c:pt idx="11">
                  <c:v>88.892252828591552</c:v>
                </c:pt>
                <c:pt idx="12">
                  <c:v>87.970624550417554</c:v>
                </c:pt>
                <c:pt idx="13">
                  <c:v>96.240479069800955</c:v>
                </c:pt>
                <c:pt idx="14">
                  <c:v>96.646743929435928</c:v>
                </c:pt>
                <c:pt idx="15">
                  <c:v>99.719863261921844</c:v>
                </c:pt>
                <c:pt idx="16">
                  <c:v>97.73042632513453</c:v>
                </c:pt>
                <c:pt idx="17">
                  <c:v>111.82937384331703</c:v>
                </c:pt>
                <c:pt idx="18">
                  <c:v>101.09394843607802</c:v>
                </c:pt>
                <c:pt idx="19">
                  <c:v>91.49931453959249</c:v>
                </c:pt>
                <c:pt idx="20">
                  <c:v>96.989759002971553</c:v>
                </c:pt>
                <c:pt idx="21">
                  <c:v>103.54794265597529</c:v>
                </c:pt>
                <c:pt idx="22">
                  <c:v>98.937256596754992</c:v>
                </c:pt>
                <c:pt idx="23">
                  <c:v>118.42739863101521</c:v>
                </c:pt>
                <c:pt idx="24">
                  <c:v>104.8150063091929</c:v>
                </c:pt>
                <c:pt idx="25">
                  <c:v>95.348965989969258</c:v>
                </c:pt>
                <c:pt idx="26">
                  <c:v>98.930508003336115</c:v>
                </c:pt>
                <c:pt idx="27">
                  <c:v>100.09009859381692</c:v>
                </c:pt>
                <c:pt idx="28">
                  <c:v>93.697053670207893</c:v>
                </c:pt>
                <c:pt idx="29">
                  <c:v>95.08927227611899</c:v>
                </c:pt>
                <c:pt idx="30">
                  <c:v>100.16749905407946</c:v>
                </c:pt>
                <c:pt idx="31">
                  <c:v>109.30961407818539</c:v>
                </c:pt>
                <c:pt idx="32">
                  <c:v>97.641412317219292</c:v>
                </c:pt>
                <c:pt idx="33">
                  <c:v>104.51431384194122</c:v>
                </c:pt>
                <c:pt idx="34">
                  <c:v>100.15944429942303</c:v>
                </c:pt>
                <c:pt idx="35">
                  <c:v>98.145652644033021</c:v>
                </c:pt>
                <c:pt idx="36">
                  <c:v>103.48795780046285</c:v>
                </c:pt>
                <c:pt idx="37">
                  <c:v>110.03889082310278</c:v>
                </c:pt>
                <c:pt idx="38">
                  <c:v>104.72271019563757</c:v>
                </c:pt>
                <c:pt idx="39">
                  <c:v>105.10452985776853</c:v>
                </c:pt>
              </c:numCache>
            </c:numRef>
          </c:val>
          <c:smooth val="0"/>
          <c:extLst>
            <c:ext xmlns:c16="http://schemas.microsoft.com/office/drawing/2014/chart" uri="{C3380CC4-5D6E-409C-BE32-E72D297353CC}">
              <c16:uniqueId val="{0000002F-13DF-403C-A192-0B5EA105CD6B}"/>
            </c:ext>
          </c:extLst>
        </c:ser>
        <c:ser>
          <c:idx val="2"/>
          <c:order val="4"/>
          <c:tx>
            <c:strRef>
              <c:f>'Prerađivačka_FS graf'!$BZ$7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graf'!$BZ$44:$BZ$83</c:f>
              <c:numCache>
                <c:formatCode>0.0</c:formatCode>
                <c:ptCount val="40"/>
                <c:pt idx="0">
                  <c:v>64.638147681414097</c:v>
                </c:pt>
                <c:pt idx="1">
                  <c:v>65.220778042331531</c:v>
                </c:pt>
                <c:pt idx="2">
                  <c:v>65.788076059380316</c:v>
                </c:pt>
                <c:pt idx="3">
                  <c:v>66.453226956519245</c:v>
                </c:pt>
                <c:pt idx="4">
                  <c:v>67.16358054773427</c:v>
                </c:pt>
                <c:pt idx="5">
                  <c:v>87.179728826275834</c:v>
                </c:pt>
                <c:pt idx="6">
                  <c:v>88.095655809869001</c:v>
                </c:pt>
                <c:pt idx="7">
                  <c:v>88.708219588322393</c:v>
                </c:pt>
                <c:pt idx="8">
                  <c:v>88.961152925940723</c:v>
                </c:pt>
                <c:pt idx="9">
                  <c:v>89.095580805943726</c:v>
                </c:pt>
                <c:pt idx="10">
                  <c:v>89.529450487129424</c:v>
                </c:pt>
                <c:pt idx="11">
                  <c:v>90.556873371512609</c:v>
                </c:pt>
                <c:pt idx="12">
                  <c:v>92.09407036223881</c:v>
                </c:pt>
                <c:pt idx="13">
                  <c:v>93.967154207667761</c:v>
                </c:pt>
                <c:pt idx="14">
                  <c:v>96.097561123362638</c:v>
                </c:pt>
                <c:pt idx="15">
                  <c:v>97.981920722339026</c:v>
                </c:pt>
                <c:pt idx="16">
                  <c:v>99.286678998727851</c:v>
                </c:pt>
                <c:pt idx="17">
                  <c:v>99.99282827146699</c:v>
                </c:pt>
                <c:pt idx="18">
                  <c:v>100.08223922014196</c:v>
                </c:pt>
                <c:pt idx="19">
                  <c:v>100.23066081886421</c:v>
                </c:pt>
                <c:pt idx="20">
                  <c:v>100.63232083201</c:v>
                </c:pt>
                <c:pt idx="21">
                  <c:v>101.02128089549488</c:v>
                </c:pt>
                <c:pt idx="22">
                  <c:v>101.35198166690981</c:v>
                </c:pt>
                <c:pt idx="23">
                  <c:v>101.40416553781569</c:v>
                </c:pt>
                <c:pt idx="24">
                  <c:v>100.92057760280298</c:v>
                </c:pt>
                <c:pt idx="25">
                  <c:v>99.835643710520387</c:v>
                </c:pt>
                <c:pt idx="26">
                  <c:v>98.523263539958421</c:v>
                </c:pt>
                <c:pt idx="27">
                  <c:v>97.361721351678398</c:v>
                </c:pt>
                <c:pt idx="28">
                  <c:v>96.848261135568052</c:v>
                </c:pt>
                <c:pt idx="29">
                  <c:v>97.126504993417015</c:v>
                </c:pt>
                <c:pt idx="30">
                  <c:v>98.011779242019145</c:v>
                </c:pt>
                <c:pt idx="31">
                  <c:v>98.87877798312843</c:v>
                </c:pt>
                <c:pt idx="32">
                  <c:v>99.643915624914968</c:v>
                </c:pt>
                <c:pt idx="33">
                  <c:v>100.51535550676934</c:v>
                </c:pt>
                <c:pt idx="34">
                  <c:v>101.29889321868599</c:v>
                </c:pt>
                <c:pt idx="35">
                  <c:v>102.21891587675199</c:v>
                </c:pt>
                <c:pt idx="36">
                  <c:v>103.56308985785537</c:v>
                </c:pt>
                <c:pt idx="37">
                  <c:v>105.15877141834267</c:v>
                </c:pt>
                <c:pt idx="38">
                  <c:v>106.59721018154785</c:v>
                </c:pt>
                <c:pt idx="39">
                  <c:v>107.75509829997151</c:v>
                </c:pt>
              </c:numCache>
            </c:numRef>
          </c:val>
          <c:smooth val="0"/>
          <c:extLst>
            <c:ext xmlns:c16="http://schemas.microsoft.com/office/drawing/2014/chart" uri="{C3380CC4-5D6E-409C-BE32-E72D297353CC}">
              <c16:uniqueId val="{00000030-13DF-403C-A192-0B5EA105CD6B}"/>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graf'!$CA$7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9A9-4A3E-BEE0-73B76E5D8206}"/>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9A9-4A3E-BEE0-73B76E5D8206}"/>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9A9-4A3E-BEE0-73B76E5D8206}"/>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9A9-4A3E-BEE0-73B76E5D820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graf'!$CA$44:$CA$83</c:f>
              <c:numCache>
                <c:formatCode>General</c:formatCode>
                <c:ptCount val="40"/>
                <c:pt idx="0">
                  <c:v>60</c:v>
                </c:pt>
                <c:pt idx="12">
                  <c:v>60</c:v>
                </c:pt>
                <c:pt idx="24">
                  <c:v>60</c:v>
                </c:pt>
                <c:pt idx="36">
                  <c:v>60</c:v>
                </c:pt>
              </c:numCache>
            </c:numRef>
          </c:val>
          <c:smooth val="0"/>
          <c:extLst>
            <c:ext xmlns:c16="http://schemas.microsoft.com/office/drawing/2014/chart" uri="{C3380CC4-5D6E-409C-BE32-E72D297353CC}">
              <c16:uniqueId val="{00000004-C9A9-4A3E-BEE0-73B76E5D8206}"/>
            </c:ext>
          </c:extLst>
        </c:ser>
        <c:ser>
          <c:idx val="4"/>
          <c:order val="1"/>
          <c:tx>
            <c:strRef>
              <c:f>'Prerađivačka_FS graf'!$CB$7</c:f>
              <c:strCache>
                <c:ptCount val="1"/>
                <c:pt idx="0">
                  <c:v>Series5</c:v>
                </c:pt>
              </c:strCache>
            </c:strRef>
          </c:tx>
          <c:spPr>
            <a:ln w="25400" cap="rnd">
              <a:noFill/>
              <a:round/>
            </a:ln>
            <a:effectLst/>
          </c:spPr>
          <c:marker>
            <c:symbol val="none"/>
          </c:marker>
          <c:dLbls>
            <c:dLbl>
              <c:idx val="0"/>
              <c:tx>
                <c:rich>
                  <a:bodyPr/>
                  <a:lstStyle/>
                  <a:p>
                    <a:fld id="{95862FB4-9D1F-4609-B6AC-830CA763252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C9A9-4A3E-BEE0-73B76E5D8206}"/>
                </c:ext>
              </c:extLst>
            </c:dLbl>
            <c:dLbl>
              <c:idx val="1"/>
              <c:tx>
                <c:rich>
                  <a:bodyPr/>
                  <a:lstStyle/>
                  <a:p>
                    <a:fld id="{A0486ED9-2EE3-419C-B401-D9F40F535A1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C9A9-4A3E-BEE0-73B76E5D8206}"/>
                </c:ext>
              </c:extLst>
            </c:dLbl>
            <c:dLbl>
              <c:idx val="2"/>
              <c:tx>
                <c:rich>
                  <a:bodyPr/>
                  <a:lstStyle/>
                  <a:p>
                    <a:fld id="{1901BF32-C971-43E8-8428-CC71779E92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C9A9-4A3E-BEE0-73B76E5D8206}"/>
                </c:ext>
              </c:extLst>
            </c:dLbl>
            <c:dLbl>
              <c:idx val="3"/>
              <c:tx>
                <c:rich>
                  <a:bodyPr/>
                  <a:lstStyle/>
                  <a:p>
                    <a:fld id="{601E40F4-CA43-4CDA-B883-5CF1FD77F39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C9A9-4A3E-BEE0-73B76E5D8206}"/>
                </c:ext>
              </c:extLst>
            </c:dLbl>
            <c:dLbl>
              <c:idx val="4"/>
              <c:tx>
                <c:rich>
                  <a:bodyPr/>
                  <a:lstStyle/>
                  <a:p>
                    <a:fld id="{E577F7B1-121B-4DC3-A42E-127C408BEEF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C9A9-4A3E-BEE0-73B76E5D8206}"/>
                </c:ext>
              </c:extLst>
            </c:dLbl>
            <c:dLbl>
              <c:idx val="5"/>
              <c:tx>
                <c:rich>
                  <a:bodyPr/>
                  <a:lstStyle/>
                  <a:p>
                    <a:fld id="{33A89E17-4692-4015-BB8B-CC4E50CA3FE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C9A9-4A3E-BEE0-73B76E5D8206}"/>
                </c:ext>
              </c:extLst>
            </c:dLbl>
            <c:dLbl>
              <c:idx val="6"/>
              <c:tx>
                <c:rich>
                  <a:bodyPr/>
                  <a:lstStyle/>
                  <a:p>
                    <a:fld id="{56BC2298-A6B2-4823-9950-9EB82A43A7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C9A9-4A3E-BEE0-73B76E5D8206}"/>
                </c:ext>
              </c:extLst>
            </c:dLbl>
            <c:dLbl>
              <c:idx val="7"/>
              <c:tx>
                <c:rich>
                  <a:bodyPr/>
                  <a:lstStyle/>
                  <a:p>
                    <a:fld id="{BEDE6EA8-D09E-40C7-AA4D-564307E147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C9A9-4A3E-BEE0-73B76E5D8206}"/>
                </c:ext>
              </c:extLst>
            </c:dLbl>
            <c:dLbl>
              <c:idx val="8"/>
              <c:tx>
                <c:rich>
                  <a:bodyPr/>
                  <a:lstStyle/>
                  <a:p>
                    <a:fld id="{8784F372-2D07-4276-BC81-2E83CEF27EE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C9A9-4A3E-BEE0-73B76E5D8206}"/>
                </c:ext>
              </c:extLst>
            </c:dLbl>
            <c:dLbl>
              <c:idx val="9"/>
              <c:tx>
                <c:rich>
                  <a:bodyPr/>
                  <a:lstStyle/>
                  <a:p>
                    <a:fld id="{8163C5E2-CCC4-48B4-903F-7E7F750252C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C9A9-4A3E-BEE0-73B76E5D8206}"/>
                </c:ext>
              </c:extLst>
            </c:dLbl>
            <c:dLbl>
              <c:idx val="10"/>
              <c:tx>
                <c:rich>
                  <a:bodyPr/>
                  <a:lstStyle/>
                  <a:p>
                    <a:fld id="{9CFCF71A-C045-43CB-84D0-DD169BD1CD4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C9A9-4A3E-BEE0-73B76E5D8206}"/>
                </c:ext>
              </c:extLst>
            </c:dLbl>
            <c:dLbl>
              <c:idx val="11"/>
              <c:tx>
                <c:rich>
                  <a:bodyPr/>
                  <a:lstStyle/>
                  <a:p>
                    <a:fld id="{6BED7A37-C85E-4C98-91C5-EBD95794918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C9A9-4A3E-BEE0-73B76E5D8206}"/>
                </c:ext>
              </c:extLst>
            </c:dLbl>
            <c:dLbl>
              <c:idx val="12"/>
              <c:tx>
                <c:rich>
                  <a:bodyPr/>
                  <a:lstStyle/>
                  <a:p>
                    <a:fld id="{76D395C3-A30A-4DB7-9D9D-DC243F6F09C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C9A9-4A3E-BEE0-73B76E5D8206}"/>
                </c:ext>
              </c:extLst>
            </c:dLbl>
            <c:dLbl>
              <c:idx val="13"/>
              <c:tx>
                <c:rich>
                  <a:bodyPr/>
                  <a:lstStyle/>
                  <a:p>
                    <a:fld id="{CF82CF99-B9F7-4E6B-A34E-9BF6E5FD13F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C9A9-4A3E-BEE0-73B76E5D8206}"/>
                </c:ext>
              </c:extLst>
            </c:dLbl>
            <c:dLbl>
              <c:idx val="14"/>
              <c:tx>
                <c:rich>
                  <a:bodyPr/>
                  <a:lstStyle/>
                  <a:p>
                    <a:fld id="{5CD0BFE6-F5C4-4F7C-B82E-67814EB0EEA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C9A9-4A3E-BEE0-73B76E5D8206}"/>
                </c:ext>
              </c:extLst>
            </c:dLbl>
            <c:dLbl>
              <c:idx val="15"/>
              <c:tx>
                <c:rich>
                  <a:bodyPr/>
                  <a:lstStyle/>
                  <a:p>
                    <a:fld id="{3D262599-0622-4C88-A847-C4A3E5C0BE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C9A9-4A3E-BEE0-73B76E5D8206}"/>
                </c:ext>
              </c:extLst>
            </c:dLbl>
            <c:dLbl>
              <c:idx val="16"/>
              <c:tx>
                <c:rich>
                  <a:bodyPr/>
                  <a:lstStyle/>
                  <a:p>
                    <a:fld id="{8F076898-3E66-4170-84D6-CB8D6E56897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C9A9-4A3E-BEE0-73B76E5D8206}"/>
                </c:ext>
              </c:extLst>
            </c:dLbl>
            <c:dLbl>
              <c:idx val="17"/>
              <c:tx>
                <c:rich>
                  <a:bodyPr/>
                  <a:lstStyle/>
                  <a:p>
                    <a:fld id="{AA5C323A-DF79-42EA-B5A7-F5BD30CE6A2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C9A9-4A3E-BEE0-73B76E5D8206}"/>
                </c:ext>
              </c:extLst>
            </c:dLbl>
            <c:dLbl>
              <c:idx val="18"/>
              <c:tx>
                <c:rich>
                  <a:bodyPr/>
                  <a:lstStyle/>
                  <a:p>
                    <a:fld id="{3476A01B-1706-447B-9471-543BD70E9D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C9A9-4A3E-BEE0-73B76E5D8206}"/>
                </c:ext>
              </c:extLst>
            </c:dLbl>
            <c:dLbl>
              <c:idx val="19"/>
              <c:tx>
                <c:rich>
                  <a:bodyPr/>
                  <a:lstStyle/>
                  <a:p>
                    <a:fld id="{7D0EB50C-83C4-4A3E-A764-1FE08F9F017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C9A9-4A3E-BEE0-73B76E5D8206}"/>
                </c:ext>
              </c:extLst>
            </c:dLbl>
            <c:dLbl>
              <c:idx val="20"/>
              <c:tx>
                <c:rich>
                  <a:bodyPr/>
                  <a:lstStyle/>
                  <a:p>
                    <a:fld id="{C9040E35-0C7A-44FD-BDAD-AE313FD07D7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C9A9-4A3E-BEE0-73B76E5D8206}"/>
                </c:ext>
              </c:extLst>
            </c:dLbl>
            <c:dLbl>
              <c:idx val="21"/>
              <c:tx>
                <c:rich>
                  <a:bodyPr/>
                  <a:lstStyle/>
                  <a:p>
                    <a:fld id="{EFBEAC4E-0CBE-4590-A098-B7934F5AB52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C9A9-4A3E-BEE0-73B76E5D8206}"/>
                </c:ext>
              </c:extLst>
            </c:dLbl>
            <c:dLbl>
              <c:idx val="22"/>
              <c:tx>
                <c:rich>
                  <a:bodyPr/>
                  <a:lstStyle/>
                  <a:p>
                    <a:fld id="{8744BE42-23AE-405D-AF51-767B521F2F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C9A9-4A3E-BEE0-73B76E5D8206}"/>
                </c:ext>
              </c:extLst>
            </c:dLbl>
            <c:dLbl>
              <c:idx val="23"/>
              <c:tx>
                <c:rich>
                  <a:bodyPr/>
                  <a:lstStyle/>
                  <a:p>
                    <a:fld id="{F38295F8-AF9C-4AF8-B6B9-6367EE6F501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C9A9-4A3E-BEE0-73B76E5D8206}"/>
                </c:ext>
              </c:extLst>
            </c:dLbl>
            <c:dLbl>
              <c:idx val="24"/>
              <c:tx>
                <c:rich>
                  <a:bodyPr/>
                  <a:lstStyle/>
                  <a:p>
                    <a:fld id="{727C67FD-4777-4426-952B-6D237A12F4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C9A9-4A3E-BEE0-73B76E5D8206}"/>
                </c:ext>
              </c:extLst>
            </c:dLbl>
            <c:dLbl>
              <c:idx val="25"/>
              <c:tx>
                <c:rich>
                  <a:bodyPr/>
                  <a:lstStyle/>
                  <a:p>
                    <a:fld id="{E05FB67B-C9C3-4677-870F-55324D734D3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C9A9-4A3E-BEE0-73B76E5D8206}"/>
                </c:ext>
              </c:extLst>
            </c:dLbl>
            <c:dLbl>
              <c:idx val="26"/>
              <c:tx>
                <c:rich>
                  <a:bodyPr/>
                  <a:lstStyle/>
                  <a:p>
                    <a:fld id="{D9F2A90E-624B-4738-BFED-3CCEEE00510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C9A9-4A3E-BEE0-73B76E5D8206}"/>
                </c:ext>
              </c:extLst>
            </c:dLbl>
            <c:dLbl>
              <c:idx val="27"/>
              <c:tx>
                <c:rich>
                  <a:bodyPr/>
                  <a:lstStyle/>
                  <a:p>
                    <a:fld id="{E0390451-29EE-4033-B5E7-8186431AC42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C9A9-4A3E-BEE0-73B76E5D8206}"/>
                </c:ext>
              </c:extLst>
            </c:dLbl>
            <c:dLbl>
              <c:idx val="28"/>
              <c:tx>
                <c:rich>
                  <a:bodyPr/>
                  <a:lstStyle/>
                  <a:p>
                    <a:fld id="{23439AFB-219F-4074-8119-0717092395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C9A9-4A3E-BEE0-73B76E5D8206}"/>
                </c:ext>
              </c:extLst>
            </c:dLbl>
            <c:dLbl>
              <c:idx val="29"/>
              <c:tx>
                <c:rich>
                  <a:bodyPr/>
                  <a:lstStyle/>
                  <a:p>
                    <a:fld id="{C4FB2283-4D1F-4695-BDB3-F369A2D5639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C9A9-4A3E-BEE0-73B76E5D8206}"/>
                </c:ext>
              </c:extLst>
            </c:dLbl>
            <c:dLbl>
              <c:idx val="30"/>
              <c:tx>
                <c:rich>
                  <a:bodyPr/>
                  <a:lstStyle/>
                  <a:p>
                    <a:fld id="{A815468F-904B-4607-BE7C-ABF14BBF8EC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C9A9-4A3E-BEE0-73B76E5D8206}"/>
                </c:ext>
              </c:extLst>
            </c:dLbl>
            <c:dLbl>
              <c:idx val="31"/>
              <c:tx>
                <c:rich>
                  <a:bodyPr/>
                  <a:lstStyle/>
                  <a:p>
                    <a:fld id="{162EEF86-BE8B-4308-9591-08BB380B169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C9A9-4A3E-BEE0-73B76E5D8206}"/>
                </c:ext>
              </c:extLst>
            </c:dLbl>
            <c:dLbl>
              <c:idx val="32"/>
              <c:tx>
                <c:rich>
                  <a:bodyPr/>
                  <a:lstStyle/>
                  <a:p>
                    <a:fld id="{AF7027E0-1AA9-4984-BCF3-C8D7BC20328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C9A9-4A3E-BEE0-73B76E5D8206}"/>
                </c:ext>
              </c:extLst>
            </c:dLbl>
            <c:dLbl>
              <c:idx val="33"/>
              <c:tx>
                <c:rich>
                  <a:bodyPr/>
                  <a:lstStyle/>
                  <a:p>
                    <a:fld id="{BA97C66C-3C7E-413F-880B-FAF90428E9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C9A9-4A3E-BEE0-73B76E5D8206}"/>
                </c:ext>
              </c:extLst>
            </c:dLbl>
            <c:dLbl>
              <c:idx val="34"/>
              <c:tx>
                <c:rich>
                  <a:bodyPr/>
                  <a:lstStyle/>
                  <a:p>
                    <a:fld id="{6F56D893-8645-427F-A5BB-1FC346157F3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C9A9-4A3E-BEE0-73B76E5D8206}"/>
                </c:ext>
              </c:extLst>
            </c:dLbl>
            <c:dLbl>
              <c:idx val="35"/>
              <c:tx>
                <c:rich>
                  <a:bodyPr/>
                  <a:lstStyle/>
                  <a:p>
                    <a:fld id="{B96F4FF8-57F2-4B12-B0A5-D28DEC24F2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C9A9-4A3E-BEE0-73B76E5D8206}"/>
                </c:ext>
              </c:extLst>
            </c:dLbl>
            <c:dLbl>
              <c:idx val="36"/>
              <c:tx>
                <c:rich>
                  <a:bodyPr/>
                  <a:lstStyle/>
                  <a:p>
                    <a:fld id="{6788B455-CA90-4FCC-9CA5-4A293D3111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C9A9-4A3E-BEE0-73B76E5D8206}"/>
                </c:ext>
              </c:extLst>
            </c:dLbl>
            <c:dLbl>
              <c:idx val="37"/>
              <c:tx>
                <c:rich>
                  <a:bodyPr/>
                  <a:lstStyle/>
                  <a:p>
                    <a:fld id="{B356E7F1-A355-4EDB-9D38-DF6D606411B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C9A9-4A3E-BEE0-73B76E5D8206}"/>
                </c:ext>
              </c:extLst>
            </c:dLbl>
            <c:dLbl>
              <c:idx val="38"/>
              <c:tx>
                <c:rich>
                  <a:bodyPr/>
                  <a:lstStyle/>
                  <a:p>
                    <a:fld id="{17688571-BC60-4794-90EE-966F4FC8597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C9A9-4A3E-BEE0-73B76E5D8206}"/>
                </c:ext>
              </c:extLst>
            </c:dLbl>
            <c:dLbl>
              <c:idx val="39"/>
              <c:tx>
                <c:rich>
                  <a:bodyPr/>
                  <a:lstStyle/>
                  <a:p>
                    <a:fld id="{45A4ABA6-54E8-4828-8736-F3D538B412D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C9A9-4A3E-BEE0-73B76E5D8206}"/>
                </c:ext>
              </c:extLst>
            </c:dLbl>
            <c:dLbl>
              <c:idx val="40"/>
              <c:tx>
                <c:rich>
                  <a:bodyPr/>
                  <a:lstStyle/>
                  <a:p>
                    <a:fld id="{67BA8ABC-B874-41FC-AAA4-6A1B4FB3615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C9A9-4A3E-BEE0-73B76E5D8206}"/>
                </c:ext>
              </c:extLst>
            </c:dLbl>
            <c:dLbl>
              <c:idx val="41"/>
              <c:tx>
                <c:rich>
                  <a:bodyPr/>
                  <a:lstStyle/>
                  <a:p>
                    <a:fld id="{1A04143C-A988-4559-8DDD-5C414ECAC3F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C9A9-4A3E-BEE0-73B76E5D8206}"/>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graf'!$CB$44:$CB$83</c:f>
              <c:numCache>
                <c:formatCode>General</c:formatCode>
                <c:ptCount val="40"/>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C9A9-4A3E-BEE0-73B76E5D8206}"/>
            </c:ext>
          </c:extLst>
        </c:ser>
        <c:ser>
          <c:idx val="0"/>
          <c:order val="2"/>
          <c:tx>
            <c:strRef>
              <c:f>'Prerađivačka_FS graf'!$CC$7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graf'!$CC$44:$CC$83</c:f>
              <c:numCache>
                <c:formatCode>0.0</c:formatCode>
                <c:ptCount val="40"/>
                <c:pt idx="0">
                  <c:v>120.65009560229444</c:v>
                </c:pt>
                <c:pt idx="1">
                  <c:v>115.00956022944548</c:v>
                </c:pt>
                <c:pt idx="2">
                  <c:v>116.82600382409176</c:v>
                </c:pt>
                <c:pt idx="3">
                  <c:v>97.609942638623309</c:v>
                </c:pt>
                <c:pt idx="4">
                  <c:v>84.703632887189286</c:v>
                </c:pt>
                <c:pt idx="5">
                  <c:v>78.680688336520063</c:v>
                </c:pt>
                <c:pt idx="6">
                  <c:v>86.520076481835559</c:v>
                </c:pt>
                <c:pt idx="7">
                  <c:v>85.65965583173994</c:v>
                </c:pt>
                <c:pt idx="8">
                  <c:v>79.923518164435933</c:v>
                </c:pt>
                <c:pt idx="9">
                  <c:v>90.630975143403433</c:v>
                </c:pt>
                <c:pt idx="10">
                  <c:v>90.726577437858509</c:v>
                </c:pt>
                <c:pt idx="11">
                  <c:v>100.2868068833652</c:v>
                </c:pt>
                <c:pt idx="12">
                  <c:v>98.183556405353727</c:v>
                </c:pt>
                <c:pt idx="13">
                  <c:v>85.372848948374752</c:v>
                </c:pt>
                <c:pt idx="14">
                  <c:v>101.52963671128106</c:v>
                </c:pt>
                <c:pt idx="15">
                  <c:v>89.961759082217966</c:v>
                </c:pt>
                <c:pt idx="16">
                  <c:v>74.091778202676863</c:v>
                </c:pt>
                <c:pt idx="17">
                  <c:v>75.430210325047796</c:v>
                </c:pt>
                <c:pt idx="18">
                  <c:v>81.644359464627144</c:v>
                </c:pt>
                <c:pt idx="19">
                  <c:v>79.923518164435933</c:v>
                </c:pt>
                <c:pt idx="20">
                  <c:v>79.923518164435933</c:v>
                </c:pt>
                <c:pt idx="21">
                  <c:v>89.579349904397702</c:v>
                </c:pt>
                <c:pt idx="22">
                  <c:v>97.992351816443588</c:v>
                </c:pt>
                <c:pt idx="23">
                  <c:v>111.66347992351815</c:v>
                </c:pt>
                <c:pt idx="24">
                  <c:v>110.4206500956023</c:v>
                </c:pt>
                <c:pt idx="25">
                  <c:v>110.70745697896749</c:v>
                </c:pt>
                <c:pt idx="26">
                  <c:v>116.73040152963669</c:v>
                </c:pt>
                <c:pt idx="27">
                  <c:v>103.05927342256214</c:v>
                </c:pt>
                <c:pt idx="28">
                  <c:v>86.902485659655824</c:v>
                </c:pt>
                <c:pt idx="29">
                  <c:v>85.086042065009551</c:v>
                </c:pt>
                <c:pt idx="30">
                  <c:v>91.969407265774379</c:v>
                </c:pt>
                <c:pt idx="31">
                  <c:v>93.307839388145297</c:v>
                </c:pt>
                <c:pt idx="32">
                  <c:v>82.98279158699809</c:v>
                </c:pt>
                <c:pt idx="33">
                  <c:v>91.300191204588899</c:v>
                </c:pt>
                <c:pt idx="34">
                  <c:v>108.12619502868068</c:v>
                </c:pt>
                <c:pt idx="35">
                  <c:v>119.40726577437859</c:v>
                </c:pt>
                <c:pt idx="36">
                  <c:v>123.9</c:v>
                </c:pt>
                <c:pt idx="37">
                  <c:v>107.4</c:v>
                </c:pt>
                <c:pt idx="38">
                  <c:v>107.4</c:v>
                </c:pt>
                <c:pt idx="39">
                  <c:v>87.6</c:v>
                </c:pt>
              </c:numCache>
            </c:numRef>
          </c:val>
          <c:smooth val="0"/>
          <c:extLst>
            <c:ext xmlns:c16="http://schemas.microsoft.com/office/drawing/2014/chart" uri="{C3380CC4-5D6E-409C-BE32-E72D297353CC}">
              <c16:uniqueId val="{00000030-C9A9-4A3E-BEE0-73B76E5D8206}"/>
            </c:ext>
          </c:extLst>
        </c:ser>
        <c:ser>
          <c:idx val="1"/>
          <c:order val="3"/>
          <c:tx>
            <c:strRef>
              <c:f>'Prerađivačka_FS graf'!$CD$7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graf'!$CD$44:$CD$83</c:f>
              <c:numCache>
                <c:formatCode>0.0</c:formatCode>
                <c:ptCount val="40"/>
                <c:pt idx="0">
                  <c:v>105.2562024707745</c:v>
                </c:pt>
                <c:pt idx="1">
                  <c:v>103.76295012923207</c:v>
                </c:pt>
                <c:pt idx="2">
                  <c:v>100.10356463434979</c:v>
                </c:pt>
                <c:pt idx="3">
                  <c:v>99.263956447028193</c:v>
                </c:pt>
                <c:pt idx="4">
                  <c:v>97.104520147773471</c:v>
                </c:pt>
                <c:pt idx="5">
                  <c:v>92.345393427819047</c:v>
                </c:pt>
                <c:pt idx="6">
                  <c:v>96.384801457741702</c:v>
                </c:pt>
                <c:pt idx="7">
                  <c:v>94.708157280898519</c:v>
                </c:pt>
                <c:pt idx="8">
                  <c:v>92.917581944623493</c:v>
                </c:pt>
                <c:pt idx="9">
                  <c:v>91.753588644782511</c:v>
                </c:pt>
                <c:pt idx="10">
                  <c:v>87.78382817958024</c:v>
                </c:pt>
                <c:pt idx="11">
                  <c:v>84.995811116296181</c:v>
                </c:pt>
                <c:pt idx="12">
                  <c:v>82.745519085428398</c:v>
                </c:pt>
                <c:pt idx="13">
                  <c:v>73.935548477480808</c:v>
                </c:pt>
                <c:pt idx="14">
                  <c:v>85.395466564167009</c:v>
                </c:pt>
                <c:pt idx="15">
                  <c:v>91.489734497193439</c:v>
                </c:pt>
                <c:pt idx="16">
                  <c:v>87.133921024680888</c:v>
                </c:pt>
                <c:pt idx="17">
                  <c:v>90.127348825106452</c:v>
                </c:pt>
                <c:pt idx="18">
                  <c:v>91.227383375622466</c:v>
                </c:pt>
                <c:pt idx="19">
                  <c:v>88.867952858013808</c:v>
                </c:pt>
                <c:pt idx="20">
                  <c:v>92.9345316688308</c:v>
                </c:pt>
                <c:pt idx="21">
                  <c:v>90.628054698782435</c:v>
                </c:pt>
                <c:pt idx="22">
                  <c:v>94.154546271718502</c:v>
                </c:pt>
                <c:pt idx="23">
                  <c:v>95.754520796184082</c:v>
                </c:pt>
                <c:pt idx="24">
                  <c:v>94.837092475886919</c:v>
                </c:pt>
                <c:pt idx="25">
                  <c:v>99.525133639667601</c:v>
                </c:pt>
                <c:pt idx="26">
                  <c:v>101.32629594748133</c:v>
                </c:pt>
                <c:pt idx="27">
                  <c:v>104.53847159908969</c:v>
                </c:pt>
                <c:pt idx="28">
                  <c:v>100.27370416890047</c:v>
                </c:pt>
                <c:pt idx="29">
                  <c:v>100.18195166605005</c:v>
                </c:pt>
                <c:pt idx="30">
                  <c:v>101.27571067899211</c:v>
                </c:pt>
                <c:pt idx="31">
                  <c:v>102.4827475129275</c:v>
                </c:pt>
                <c:pt idx="32">
                  <c:v>95.807306854950724</c:v>
                </c:pt>
                <c:pt idx="33">
                  <c:v>92.343215984215036</c:v>
                </c:pt>
                <c:pt idx="34">
                  <c:v>103.60891704395205</c:v>
                </c:pt>
                <c:pt idx="35">
                  <c:v>103.30615549289946</c:v>
                </c:pt>
                <c:pt idx="36">
                  <c:v>108.14568512201438</c:v>
                </c:pt>
                <c:pt idx="37">
                  <c:v>96.51294909164659</c:v>
                </c:pt>
                <c:pt idx="38">
                  <c:v>92.533360795136289</c:v>
                </c:pt>
                <c:pt idx="39">
                  <c:v>88.987213071896619</c:v>
                </c:pt>
              </c:numCache>
            </c:numRef>
          </c:val>
          <c:smooth val="0"/>
          <c:extLst>
            <c:ext xmlns:c16="http://schemas.microsoft.com/office/drawing/2014/chart" uri="{C3380CC4-5D6E-409C-BE32-E72D297353CC}">
              <c16:uniqueId val="{00000031-C9A9-4A3E-BEE0-73B76E5D8206}"/>
            </c:ext>
          </c:extLst>
        </c:ser>
        <c:ser>
          <c:idx val="2"/>
          <c:order val="4"/>
          <c:tx>
            <c:strRef>
              <c:f>'Prerađivačka_FS graf'!$CE$7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graf'!$CE$44:$CE$83</c:f>
              <c:numCache>
                <c:formatCode>0.0</c:formatCode>
                <c:ptCount val="40"/>
                <c:pt idx="0">
                  <c:v>102.88577566057201</c:v>
                </c:pt>
                <c:pt idx="1">
                  <c:v>102.25886071528697</c:v>
                </c:pt>
                <c:pt idx="2">
                  <c:v>100.95465478026132</c:v>
                </c:pt>
                <c:pt idx="3">
                  <c:v>99.194158066538265</c:v>
                </c:pt>
                <c:pt idx="4">
                  <c:v>97.450977959982097</c:v>
                </c:pt>
                <c:pt idx="5">
                  <c:v>96.018843718444728</c:v>
                </c:pt>
                <c:pt idx="6">
                  <c:v>94.984975194603777</c:v>
                </c:pt>
                <c:pt idx="7">
                  <c:v>93.92248798980485</c:v>
                </c:pt>
                <c:pt idx="8">
                  <c:v>92.381269645627356</c:v>
                </c:pt>
                <c:pt idx="9">
                  <c:v>90.302104132246257</c:v>
                </c:pt>
                <c:pt idx="10">
                  <c:v>87.973943261548769</c:v>
                </c:pt>
                <c:pt idx="11">
                  <c:v>85.820877097196174</c:v>
                </c:pt>
                <c:pt idx="12">
                  <c:v>84.378645087738235</c:v>
                </c:pt>
                <c:pt idx="13">
                  <c:v>84.064901606931031</c:v>
                </c:pt>
                <c:pt idx="14">
                  <c:v>84.700662034233304</c:v>
                </c:pt>
                <c:pt idx="15">
                  <c:v>86.023283043989139</c:v>
                </c:pt>
                <c:pt idx="16">
                  <c:v>87.545905163775956</c:v>
                </c:pt>
                <c:pt idx="17">
                  <c:v>88.8635024433041</c:v>
                </c:pt>
                <c:pt idx="18">
                  <c:v>89.922391809959464</c:v>
                </c:pt>
                <c:pt idx="19">
                  <c:v>90.748273644181651</c:v>
                </c:pt>
                <c:pt idx="20">
                  <c:v>91.494866906001207</c:v>
                </c:pt>
                <c:pt idx="21">
                  <c:v>92.311792000347253</c:v>
                </c:pt>
                <c:pt idx="22">
                  <c:v>93.508245124353223</c:v>
                </c:pt>
                <c:pt idx="23">
                  <c:v>95.218810861320435</c:v>
                </c:pt>
                <c:pt idx="24">
                  <c:v>97.216558428614533</c:v>
                </c:pt>
                <c:pt idx="25">
                  <c:v>99.070635733681357</c:v>
                </c:pt>
                <c:pt idx="26">
                  <c:v>100.56224440234955</c:v>
                </c:pt>
                <c:pt idx="27">
                  <c:v>101.5046578450593</c:v>
                </c:pt>
                <c:pt idx="28">
                  <c:v>101.72719524404951</c:v>
                </c:pt>
                <c:pt idx="29">
                  <c:v>101.45453461903357</c:v>
                </c:pt>
                <c:pt idx="30">
                  <c:v>101.07291046625291</c:v>
                </c:pt>
                <c:pt idx="31">
                  <c:v>101.00298059386272</c:v>
                </c:pt>
                <c:pt idx="32">
                  <c:v>101.39381856289614</c:v>
                </c:pt>
                <c:pt idx="33">
                  <c:v>101.84594297014831</c:v>
                </c:pt>
                <c:pt idx="34">
                  <c:v>101.7550613811642</c:v>
                </c:pt>
                <c:pt idx="35">
                  <c:v>100.76959046251392</c:v>
                </c:pt>
                <c:pt idx="36">
                  <c:v>99.0682462294467</c:v>
                </c:pt>
                <c:pt idx="37">
                  <c:v>96.959447864688897</c:v>
                </c:pt>
                <c:pt idx="38">
                  <c:v>94.820509571497794</c:v>
                </c:pt>
                <c:pt idx="39">
                  <c:v>93.127362782177002</c:v>
                </c:pt>
              </c:numCache>
            </c:numRef>
          </c:val>
          <c:smooth val="0"/>
          <c:extLst>
            <c:ext xmlns:c16="http://schemas.microsoft.com/office/drawing/2014/chart" uri="{C3380CC4-5D6E-409C-BE32-E72D297353CC}">
              <c16:uniqueId val="{00000032-C9A9-4A3E-BEE0-73B76E5D8206}"/>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graf'!$AK$7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6.335153589562704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6C5-4C3C-B1B1-A769C160B985}"/>
                </c:ext>
              </c:extLst>
            </c:dLbl>
            <c:dLbl>
              <c:idx val="12"/>
              <c:layout>
                <c:manualLayout>
                  <c:x val="7.529659725306779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6C5-4C3C-B1B1-A769C160B985}"/>
                </c:ext>
              </c:extLst>
            </c:dLbl>
            <c:dLbl>
              <c:idx val="24"/>
              <c:layout>
                <c:manualLayout>
                  <c:x val="7.6443097396772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6C5-4C3C-B1B1-A769C160B985}"/>
                </c:ext>
              </c:extLst>
            </c:dLbl>
            <c:dLbl>
              <c:idx val="36"/>
              <c:layout>
                <c:manualLayout>
                  <c:x val="-8.848709708323698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6C5-4C3C-B1B1-A769C160B985}"/>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graf'!$AK$44:$AK$83</c:f>
              <c:numCache>
                <c:formatCode>General</c:formatCode>
                <c:ptCount val="40"/>
                <c:pt idx="0">
                  <c:v>40</c:v>
                </c:pt>
                <c:pt idx="12">
                  <c:v>40</c:v>
                </c:pt>
                <c:pt idx="24">
                  <c:v>40</c:v>
                </c:pt>
                <c:pt idx="36">
                  <c:v>40</c:v>
                </c:pt>
              </c:numCache>
            </c:numRef>
          </c:val>
          <c:smooth val="0"/>
          <c:extLst>
            <c:ext xmlns:c16="http://schemas.microsoft.com/office/drawing/2014/chart" uri="{C3380CC4-5D6E-409C-BE32-E72D297353CC}">
              <c16:uniqueId val="{00000004-36C5-4C3C-B1B1-A769C160B985}"/>
            </c:ext>
          </c:extLst>
        </c:ser>
        <c:ser>
          <c:idx val="4"/>
          <c:order val="1"/>
          <c:tx>
            <c:strRef>
              <c:f>'Prerađivačka_FS graf'!$AL$7</c:f>
              <c:strCache>
                <c:ptCount val="1"/>
                <c:pt idx="0">
                  <c:v>Series5</c:v>
                </c:pt>
              </c:strCache>
            </c:strRef>
          </c:tx>
          <c:spPr>
            <a:ln w="25400" cap="rnd">
              <a:noFill/>
              <a:round/>
            </a:ln>
            <a:effectLst/>
          </c:spPr>
          <c:marker>
            <c:symbol val="none"/>
          </c:marker>
          <c:dLbls>
            <c:dLbl>
              <c:idx val="0"/>
              <c:tx>
                <c:rich>
                  <a:bodyPr/>
                  <a:lstStyle/>
                  <a:p>
                    <a:fld id="{050B4B91-DFF9-4ADF-9C9A-561914B2E0C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36C5-4C3C-B1B1-A769C160B985}"/>
                </c:ext>
              </c:extLst>
            </c:dLbl>
            <c:dLbl>
              <c:idx val="1"/>
              <c:tx>
                <c:rich>
                  <a:bodyPr/>
                  <a:lstStyle/>
                  <a:p>
                    <a:fld id="{4EEEAC0F-5393-4CB0-8D03-29CABC9893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36C5-4C3C-B1B1-A769C160B985}"/>
                </c:ext>
              </c:extLst>
            </c:dLbl>
            <c:dLbl>
              <c:idx val="2"/>
              <c:tx>
                <c:rich>
                  <a:bodyPr/>
                  <a:lstStyle/>
                  <a:p>
                    <a:fld id="{58743461-C0E9-4E59-934B-3E77AD09641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36C5-4C3C-B1B1-A769C160B985}"/>
                </c:ext>
              </c:extLst>
            </c:dLbl>
            <c:dLbl>
              <c:idx val="3"/>
              <c:tx>
                <c:rich>
                  <a:bodyPr/>
                  <a:lstStyle/>
                  <a:p>
                    <a:fld id="{FD334352-A89A-4697-9ECB-A82398A538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36C5-4C3C-B1B1-A769C160B985}"/>
                </c:ext>
              </c:extLst>
            </c:dLbl>
            <c:dLbl>
              <c:idx val="4"/>
              <c:tx>
                <c:rich>
                  <a:bodyPr/>
                  <a:lstStyle/>
                  <a:p>
                    <a:fld id="{B4EC66B4-7030-4083-9FFC-CA035AB627C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6C5-4C3C-B1B1-A769C160B985}"/>
                </c:ext>
              </c:extLst>
            </c:dLbl>
            <c:dLbl>
              <c:idx val="5"/>
              <c:tx>
                <c:rich>
                  <a:bodyPr/>
                  <a:lstStyle/>
                  <a:p>
                    <a:fld id="{90159CEF-12FB-4F1D-9552-A80391DB2B8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6C5-4C3C-B1B1-A769C160B985}"/>
                </c:ext>
              </c:extLst>
            </c:dLbl>
            <c:dLbl>
              <c:idx val="6"/>
              <c:tx>
                <c:rich>
                  <a:bodyPr/>
                  <a:lstStyle/>
                  <a:p>
                    <a:fld id="{4387A148-F220-406D-BB1E-7FD7B0CEB2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36C5-4C3C-B1B1-A769C160B985}"/>
                </c:ext>
              </c:extLst>
            </c:dLbl>
            <c:dLbl>
              <c:idx val="7"/>
              <c:tx>
                <c:rich>
                  <a:bodyPr/>
                  <a:lstStyle/>
                  <a:p>
                    <a:fld id="{76E6F375-F266-496E-8372-02DA9D2C16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36C5-4C3C-B1B1-A769C160B985}"/>
                </c:ext>
              </c:extLst>
            </c:dLbl>
            <c:dLbl>
              <c:idx val="8"/>
              <c:tx>
                <c:rich>
                  <a:bodyPr/>
                  <a:lstStyle/>
                  <a:p>
                    <a:fld id="{35DFCEF9-1D44-4971-A42E-713A6365A3C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36C5-4C3C-B1B1-A769C160B985}"/>
                </c:ext>
              </c:extLst>
            </c:dLbl>
            <c:dLbl>
              <c:idx val="9"/>
              <c:tx>
                <c:rich>
                  <a:bodyPr/>
                  <a:lstStyle/>
                  <a:p>
                    <a:fld id="{3A0466CA-406B-4EDA-AED1-ED10ECAD4D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36C5-4C3C-B1B1-A769C160B985}"/>
                </c:ext>
              </c:extLst>
            </c:dLbl>
            <c:dLbl>
              <c:idx val="10"/>
              <c:tx>
                <c:rich>
                  <a:bodyPr/>
                  <a:lstStyle/>
                  <a:p>
                    <a:fld id="{5F3DF015-F4E4-4147-B48C-32D8CDAF6D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36C5-4C3C-B1B1-A769C160B985}"/>
                </c:ext>
              </c:extLst>
            </c:dLbl>
            <c:dLbl>
              <c:idx val="11"/>
              <c:tx>
                <c:rich>
                  <a:bodyPr/>
                  <a:lstStyle/>
                  <a:p>
                    <a:fld id="{DBB6D916-45F9-4783-867B-DF5B476CEB8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36C5-4C3C-B1B1-A769C160B985}"/>
                </c:ext>
              </c:extLst>
            </c:dLbl>
            <c:dLbl>
              <c:idx val="12"/>
              <c:tx>
                <c:rich>
                  <a:bodyPr/>
                  <a:lstStyle/>
                  <a:p>
                    <a:fld id="{A81246D6-743D-44EB-9D50-08A9CFBF435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36C5-4C3C-B1B1-A769C160B985}"/>
                </c:ext>
              </c:extLst>
            </c:dLbl>
            <c:dLbl>
              <c:idx val="13"/>
              <c:tx>
                <c:rich>
                  <a:bodyPr/>
                  <a:lstStyle/>
                  <a:p>
                    <a:fld id="{490C8691-86E2-4B90-AA18-CEA5714228E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36C5-4C3C-B1B1-A769C160B985}"/>
                </c:ext>
              </c:extLst>
            </c:dLbl>
            <c:dLbl>
              <c:idx val="14"/>
              <c:tx>
                <c:rich>
                  <a:bodyPr/>
                  <a:lstStyle/>
                  <a:p>
                    <a:fld id="{565D055D-1A09-4421-BD0F-ABC6D8BA9C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6C5-4C3C-B1B1-A769C160B985}"/>
                </c:ext>
              </c:extLst>
            </c:dLbl>
            <c:dLbl>
              <c:idx val="15"/>
              <c:tx>
                <c:rich>
                  <a:bodyPr/>
                  <a:lstStyle/>
                  <a:p>
                    <a:fld id="{11250A7E-904B-45CD-8AA2-F06791EB9E6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36C5-4C3C-B1B1-A769C160B985}"/>
                </c:ext>
              </c:extLst>
            </c:dLbl>
            <c:dLbl>
              <c:idx val="16"/>
              <c:tx>
                <c:rich>
                  <a:bodyPr/>
                  <a:lstStyle/>
                  <a:p>
                    <a:fld id="{CC84F5D1-DA70-4CC5-A475-8583D5CD022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6C5-4C3C-B1B1-A769C160B985}"/>
                </c:ext>
              </c:extLst>
            </c:dLbl>
            <c:dLbl>
              <c:idx val="17"/>
              <c:tx>
                <c:rich>
                  <a:bodyPr/>
                  <a:lstStyle/>
                  <a:p>
                    <a:fld id="{5BCFE96B-7458-485A-BE7B-85EDADC57FC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36C5-4C3C-B1B1-A769C160B985}"/>
                </c:ext>
              </c:extLst>
            </c:dLbl>
            <c:dLbl>
              <c:idx val="18"/>
              <c:tx>
                <c:rich>
                  <a:bodyPr/>
                  <a:lstStyle/>
                  <a:p>
                    <a:fld id="{3B15B693-6B76-4E34-8028-AB381D98E28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36C5-4C3C-B1B1-A769C160B985}"/>
                </c:ext>
              </c:extLst>
            </c:dLbl>
            <c:dLbl>
              <c:idx val="19"/>
              <c:tx>
                <c:rich>
                  <a:bodyPr/>
                  <a:lstStyle/>
                  <a:p>
                    <a:fld id="{3ADEED95-3C48-4152-808F-A2A7A8BBE81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36C5-4C3C-B1B1-A769C160B985}"/>
                </c:ext>
              </c:extLst>
            </c:dLbl>
            <c:dLbl>
              <c:idx val="20"/>
              <c:tx>
                <c:rich>
                  <a:bodyPr/>
                  <a:lstStyle/>
                  <a:p>
                    <a:fld id="{D124EAEF-0B65-47E4-A205-DE2119F8C27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6C5-4C3C-B1B1-A769C160B985}"/>
                </c:ext>
              </c:extLst>
            </c:dLbl>
            <c:dLbl>
              <c:idx val="21"/>
              <c:tx>
                <c:rich>
                  <a:bodyPr/>
                  <a:lstStyle/>
                  <a:p>
                    <a:fld id="{903F9DDC-D286-47E5-AC2F-9FCC72AC8DA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36C5-4C3C-B1B1-A769C160B985}"/>
                </c:ext>
              </c:extLst>
            </c:dLbl>
            <c:dLbl>
              <c:idx val="22"/>
              <c:tx>
                <c:rich>
                  <a:bodyPr/>
                  <a:lstStyle/>
                  <a:p>
                    <a:fld id="{1A583101-B565-4F42-91B1-752DD235929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36C5-4C3C-B1B1-A769C160B985}"/>
                </c:ext>
              </c:extLst>
            </c:dLbl>
            <c:dLbl>
              <c:idx val="23"/>
              <c:tx>
                <c:rich>
                  <a:bodyPr/>
                  <a:lstStyle/>
                  <a:p>
                    <a:fld id="{F3FAF31E-3357-4A70-A6D5-E5E5E41D4A3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36C5-4C3C-B1B1-A769C160B985}"/>
                </c:ext>
              </c:extLst>
            </c:dLbl>
            <c:dLbl>
              <c:idx val="24"/>
              <c:tx>
                <c:rich>
                  <a:bodyPr/>
                  <a:lstStyle/>
                  <a:p>
                    <a:fld id="{2ADF4883-57A0-41DF-9B95-034EA558159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36C5-4C3C-B1B1-A769C160B985}"/>
                </c:ext>
              </c:extLst>
            </c:dLbl>
            <c:dLbl>
              <c:idx val="25"/>
              <c:tx>
                <c:rich>
                  <a:bodyPr/>
                  <a:lstStyle/>
                  <a:p>
                    <a:fld id="{9E6AC679-E63C-4532-8906-F8B08537485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36C5-4C3C-B1B1-A769C160B985}"/>
                </c:ext>
              </c:extLst>
            </c:dLbl>
            <c:dLbl>
              <c:idx val="26"/>
              <c:tx>
                <c:rich>
                  <a:bodyPr/>
                  <a:lstStyle/>
                  <a:p>
                    <a:fld id="{C4DFD51F-97CC-4F7A-8B00-F6F8CBD4429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36C5-4C3C-B1B1-A769C160B985}"/>
                </c:ext>
              </c:extLst>
            </c:dLbl>
            <c:dLbl>
              <c:idx val="27"/>
              <c:tx>
                <c:rich>
                  <a:bodyPr/>
                  <a:lstStyle/>
                  <a:p>
                    <a:fld id="{93248BC9-66CC-48F6-A933-2E29123FF9D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36C5-4C3C-B1B1-A769C160B985}"/>
                </c:ext>
              </c:extLst>
            </c:dLbl>
            <c:dLbl>
              <c:idx val="28"/>
              <c:tx>
                <c:rich>
                  <a:bodyPr/>
                  <a:lstStyle/>
                  <a:p>
                    <a:fld id="{92CDD0F8-6E49-4D27-9FAE-3EF38E05247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36C5-4C3C-B1B1-A769C160B985}"/>
                </c:ext>
              </c:extLst>
            </c:dLbl>
            <c:dLbl>
              <c:idx val="29"/>
              <c:tx>
                <c:rich>
                  <a:bodyPr/>
                  <a:lstStyle/>
                  <a:p>
                    <a:fld id="{1516BA98-C615-4EFC-9A62-121369B9A6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36C5-4C3C-B1B1-A769C160B985}"/>
                </c:ext>
              </c:extLst>
            </c:dLbl>
            <c:dLbl>
              <c:idx val="30"/>
              <c:tx>
                <c:rich>
                  <a:bodyPr/>
                  <a:lstStyle/>
                  <a:p>
                    <a:fld id="{F080630E-47C6-42CB-A945-E49D79BD99C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36C5-4C3C-B1B1-A769C160B985}"/>
                </c:ext>
              </c:extLst>
            </c:dLbl>
            <c:dLbl>
              <c:idx val="31"/>
              <c:tx>
                <c:rich>
                  <a:bodyPr/>
                  <a:lstStyle/>
                  <a:p>
                    <a:fld id="{203E3C76-7E0F-4F85-A9FB-4A4847058C5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36C5-4C3C-B1B1-A769C160B985}"/>
                </c:ext>
              </c:extLst>
            </c:dLbl>
            <c:dLbl>
              <c:idx val="32"/>
              <c:tx>
                <c:rich>
                  <a:bodyPr/>
                  <a:lstStyle/>
                  <a:p>
                    <a:fld id="{17C5886B-73AE-41BC-AC2D-18A31B704A4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36C5-4C3C-B1B1-A769C160B985}"/>
                </c:ext>
              </c:extLst>
            </c:dLbl>
            <c:dLbl>
              <c:idx val="33"/>
              <c:tx>
                <c:rich>
                  <a:bodyPr/>
                  <a:lstStyle/>
                  <a:p>
                    <a:fld id="{12D011C6-8BFC-430C-8DF9-4D6D83A5DE3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36C5-4C3C-B1B1-A769C160B985}"/>
                </c:ext>
              </c:extLst>
            </c:dLbl>
            <c:dLbl>
              <c:idx val="34"/>
              <c:tx>
                <c:rich>
                  <a:bodyPr/>
                  <a:lstStyle/>
                  <a:p>
                    <a:fld id="{5B533CE3-1944-4977-8E12-75A4A46207D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36C5-4C3C-B1B1-A769C160B985}"/>
                </c:ext>
              </c:extLst>
            </c:dLbl>
            <c:dLbl>
              <c:idx val="35"/>
              <c:tx>
                <c:rich>
                  <a:bodyPr/>
                  <a:lstStyle/>
                  <a:p>
                    <a:fld id="{FB1868CF-C322-426F-90F2-DBE2CC8E6D1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36C5-4C3C-B1B1-A769C160B985}"/>
                </c:ext>
              </c:extLst>
            </c:dLbl>
            <c:dLbl>
              <c:idx val="36"/>
              <c:tx>
                <c:rich>
                  <a:bodyPr/>
                  <a:lstStyle/>
                  <a:p>
                    <a:fld id="{7CAF51A6-0453-4658-B4B9-2112159EDC9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36C5-4C3C-B1B1-A769C160B985}"/>
                </c:ext>
              </c:extLst>
            </c:dLbl>
            <c:dLbl>
              <c:idx val="37"/>
              <c:tx>
                <c:rich>
                  <a:bodyPr/>
                  <a:lstStyle/>
                  <a:p>
                    <a:fld id="{F5EA0935-45F3-4334-AAD4-856DF0BB7F3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36C5-4C3C-B1B1-A769C160B985}"/>
                </c:ext>
              </c:extLst>
            </c:dLbl>
            <c:dLbl>
              <c:idx val="38"/>
              <c:tx>
                <c:rich>
                  <a:bodyPr/>
                  <a:lstStyle/>
                  <a:p>
                    <a:fld id="{960336F2-C5E0-48FF-9F40-8B03F12DBE7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36C5-4C3C-B1B1-A769C160B985}"/>
                </c:ext>
              </c:extLst>
            </c:dLbl>
            <c:dLbl>
              <c:idx val="39"/>
              <c:tx>
                <c:rich>
                  <a:bodyPr/>
                  <a:lstStyle/>
                  <a:p>
                    <a:fld id="{8E756D50-91C5-4020-B3EE-34072577C5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36C5-4C3C-B1B1-A769C160B985}"/>
                </c:ext>
              </c:extLst>
            </c:dLbl>
            <c:dLbl>
              <c:idx val="40"/>
              <c:tx>
                <c:rich>
                  <a:bodyPr/>
                  <a:lstStyle/>
                  <a:p>
                    <a:fld id="{3D4EAB83-D7F7-457D-B040-398E197B325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36C5-4C3C-B1B1-A769C160B985}"/>
                </c:ext>
              </c:extLst>
            </c:dLbl>
            <c:dLbl>
              <c:idx val="41"/>
              <c:tx>
                <c:rich>
                  <a:bodyPr/>
                  <a:lstStyle/>
                  <a:p>
                    <a:fld id="{6D1B1E9F-FD29-477D-BEF2-9D75F8F20D9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36C5-4C3C-B1B1-A769C160B985}"/>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graf'!$AL$44:$AL$83</c:f>
              <c:numCache>
                <c:formatCode>General</c:formatCode>
                <c:ptCount val="40"/>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36C5-4C3C-B1B1-A769C160B985}"/>
            </c:ext>
          </c:extLst>
        </c:ser>
        <c:ser>
          <c:idx val="0"/>
          <c:order val="2"/>
          <c:tx>
            <c:strRef>
              <c:f>'Prerađivačka_FS graf'!$AM$7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graf'!$AM$44:$AM$83</c:f>
              <c:numCache>
                <c:formatCode>0.0</c:formatCode>
                <c:ptCount val="40"/>
                <c:pt idx="0">
                  <c:v>104.5665358544417</c:v>
                </c:pt>
                <c:pt idx="1">
                  <c:v>98.465929361398508</c:v>
                </c:pt>
                <c:pt idx="2">
                  <c:v>113.44987513378524</c:v>
                </c:pt>
                <c:pt idx="3">
                  <c:v>104.24545130217626</c:v>
                </c:pt>
                <c:pt idx="4">
                  <c:v>104.88762040670711</c:v>
                </c:pt>
                <c:pt idx="5">
                  <c:v>104.03139493399931</c:v>
                </c:pt>
                <c:pt idx="6">
                  <c:v>109.48983232251159</c:v>
                </c:pt>
                <c:pt idx="7">
                  <c:v>112.16553692472353</c:v>
                </c:pt>
                <c:pt idx="8">
                  <c:v>113.87798787013917</c:v>
                </c:pt>
                <c:pt idx="9">
                  <c:v>101.99785943631822</c:v>
                </c:pt>
                <c:pt idx="10">
                  <c:v>100.49946485907957</c:v>
                </c:pt>
                <c:pt idx="11">
                  <c:v>116.55369247235107</c:v>
                </c:pt>
                <c:pt idx="12">
                  <c:v>110.77417053157332</c:v>
                </c:pt>
                <c:pt idx="13">
                  <c:v>108.52657866571533</c:v>
                </c:pt>
                <c:pt idx="14">
                  <c:v>117.83803068141279</c:v>
                </c:pt>
                <c:pt idx="15">
                  <c:v>107.77738137709598</c:v>
                </c:pt>
                <c:pt idx="16">
                  <c:v>99.215126650017851</c:v>
                </c:pt>
                <c:pt idx="17">
                  <c:v>81.020335354976822</c:v>
                </c:pt>
                <c:pt idx="18">
                  <c:v>76.846236175526229</c:v>
                </c:pt>
                <c:pt idx="19">
                  <c:v>75.668926150552991</c:v>
                </c:pt>
                <c:pt idx="20">
                  <c:v>72.458080627898696</c:v>
                </c:pt>
                <c:pt idx="21">
                  <c:v>73.100249732429546</c:v>
                </c:pt>
                <c:pt idx="22">
                  <c:v>73.742418836960411</c:v>
                </c:pt>
                <c:pt idx="23">
                  <c:v>63.146628612201219</c:v>
                </c:pt>
                <c:pt idx="24">
                  <c:v>60.470924009989304</c:v>
                </c:pt>
                <c:pt idx="25">
                  <c:v>66.678558687120955</c:v>
                </c:pt>
                <c:pt idx="26">
                  <c:v>73.635390652871919</c:v>
                </c:pt>
                <c:pt idx="27">
                  <c:v>93.756689261505528</c:v>
                </c:pt>
                <c:pt idx="28">
                  <c:v>124.25972172672137</c:v>
                </c:pt>
                <c:pt idx="29">
                  <c:v>111.63039600428112</c:v>
                </c:pt>
                <c:pt idx="30">
                  <c:v>113.34284694969676</c:v>
                </c:pt>
                <c:pt idx="31">
                  <c:v>97.181591152336793</c:v>
                </c:pt>
                <c:pt idx="32">
                  <c:v>100.92757759543348</c:v>
                </c:pt>
                <c:pt idx="33">
                  <c:v>128.64787727434893</c:v>
                </c:pt>
                <c:pt idx="34">
                  <c:v>118.15911523367821</c:v>
                </c:pt>
                <c:pt idx="35">
                  <c:v>111.30931145201571</c:v>
                </c:pt>
                <c:pt idx="36">
                  <c:v>104.2</c:v>
                </c:pt>
                <c:pt idx="37">
                  <c:v>121.3</c:v>
                </c:pt>
                <c:pt idx="38">
                  <c:v>134.80000000000001</c:v>
                </c:pt>
                <c:pt idx="39">
                  <c:v>139.9</c:v>
                </c:pt>
              </c:numCache>
            </c:numRef>
          </c:val>
          <c:smooth val="0"/>
          <c:extLst>
            <c:ext xmlns:c16="http://schemas.microsoft.com/office/drawing/2014/chart" uri="{C3380CC4-5D6E-409C-BE32-E72D297353CC}">
              <c16:uniqueId val="{00000030-36C5-4C3C-B1B1-A769C160B985}"/>
            </c:ext>
          </c:extLst>
        </c:ser>
        <c:ser>
          <c:idx val="1"/>
          <c:order val="3"/>
          <c:tx>
            <c:strRef>
              <c:f>'Prerađivačka_FS graf'!$AN$7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graf'!$AN$44:$AN$83</c:f>
              <c:numCache>
                <c:formatCode>0.0</c:formatCode>
                <c:ptCount val="40"/>
                <c:pt idx="0">
                  <c:v>111.62441296799756</c:v>
                </c:pt>
                <c:pt idx="1">
                  <c:v>106.75706869812579</c:v>
                </c:pt>
                <c:pt idx="2">
                  <c:v>106.0334306074663</c:v>
                </c:pt>
                <c:pt idx="3">
                  <c:v>99.513737743154607</c:v>
                </c:pt>
                <c:pt idx="4">
                  <c:v>99.885200280705646</c:v>
                </c:pt>
                <c:pt idx="5">
                  <c:v>102.45250330109883</c:v>
                </c:pt>
                <c:pt idx="6">
                  <c:v>107.32966155702847</c:v>
                </c:pt>
                <c:pt idx="7">
                  <c:v>110.30387881178029</c:v>
                </c:pt>
                <c:pt idx="8">
                  <c:v>113.2193339909805</c:v>
                </c:pt>
                <c:pt idx="9">
                  <c:v>104.86260761034039</c:v>
                </c:pt>
                <c:pt idx="10">
                  <c:v>105.17369000783015</c:v>
                </c:pt>
                <c:pt idx="11">
                  <c:v>115.88558591280571</c:v>
                </c:pt>
                <c:pt idx="12">
                  <c:v>117.00235445132618</c:v>
                </c:pt>
                <c:pt idx="13">
                  <c:v>115.84900642323004</c:v>
                </c:pt>
                <c:pt idx="14">
                  <c:v>109.71973185519069</c:v>
                </c:pt>
                <c:pt idx="15">
                  <c:v>104.6292288182615</c:v>
                </c:pt>
                <c:pt idx="16">
                  <c:v>93.260240944658719</c:v>
                </c:pt>
                <c:pt idx="17">
                  <c:v>79.107025338577174</c:v>
                </c:pt>
                <c:pt idx="18">
                  <c:v>75.30929406352152</c:v>
                </c:pt>
                <c:pt idx="19">
                  <c:v>72.661552169813334</c:v>
                </c:pt>
                <c:pt idx="20">
                  <c:v>71.335496842993393</c:v>
                </c:pt>
                <c:pt idx="21">
                  <c:v>76.373959896844624</c:v>
                </c:pt>
                <c:pt idx="22">
                  <c:v>78.785757835042801</c:v>
                </c:pt>
                <c:pt idx="23">
                  <c:v>65.534251007977872</c:v>
                </c:pt>
                <c:pt idx="24">
                  <c:v>66.330938230955383</c:v>
                </c:pt>
                <c:pt idx="25">
                  <c:v>73.300167908206546</c:v>
                </c:pt>
                <c:pt idx="26">
                  <c:v>65.292919710645222</c:v>
                </c:pt>
                <c:pt idx="27">
                  <c:v>90.711533955596806</c:v>
                </c:pt>
                <c:pt idx="28">
                  <c:v>118.63915893197954</c:v>
                </c:pt>
                <c:pt idx="29">
                  <c:v>109.32632626608205</c:v>
                </c:pt>
                <c:pt idx="30">
                  <c:v>111.39456318293584</c:v>
                </c:pt>
                <c:pt idx="31">
                  <c:v>94.478033835429059</c:v>
                </c:pt>
                <c:pt idx="32">
                  <c:v>101.23204099376588</c:v>
                </c:pt>
                <c:pt idx="33">
                  <c:v>130.38433577977668</c:v>
                </c:pt>
                <c:pt idx="34">
                  <c:v>121.17004649286848</c:v>
                </c:pt>
                <c:pt idx="35">
                  <c:v>116.81285193281386</c:v>
                </c:pt>
                <c:pt idx="36">
                  <c:v>112.0029696813785</c:v>
                </c:pt>
                <c:pt idx="37">
                  <c:v>126.15595185603401</c:v>
                </c:pt>
                <c:pt idx="38">
                  <c:v>128.68644141892179</c:v>
                </c:pt>
                <c:pt idx="39">
                  <c:v>130.30527513844086</c:v>
                </c:pt>
              </c:numCache>
            </c:numRef>
          </c:val>
          <c:smooth val="0"/>
          <c:extLst>
            <c:ext xmlns:c16="http://schemas.microsoft.com/office/drawing/2014/chart" uri="{C3380CC4-5D6E-409C-BE32-E72D297353CC}">
              <c16:uniqueId val="{00000031-36C5-4C3C-B1B1-A769C160B985}"/>
            </c:ext>
          </c:extLst>
        </c:ser>
        <c:ser>
          <c:idx val="2"/>
          <c:order val="4"/>
          <c:tx>
            <c:strRef>
              <c:f>'Prerađivačka_FS graf'!$AO$7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graf'!$AO$44:$AO$83</c:f>
              <c:numCache>
                <c:formatCode>0.0</c:formatCode>
                <c:ptCount val="40"/>
                <c:pt idx="0">
                  <c:v>105.74733127997492</c:v>
                </c:pt>
                <c:pt idx="1">
                  <c:v>105.93212552862492</c:v>
                </c:pt>
                <c:pt idx="2">
                  <c:v>104.86748440006312</c:v>
                </c:pt>
                <c:pt idx="3">
                  <c:v>103.54895930970629</c:v>
                </c:pt>
                <c:pt idx="4">
                  <c:v>103.10337858569186</c:v>
                </c:pt>
                <c:pt idx="5">
                  <c:v>103.8617168558591</c:v>
                </c:pt>
                <c:pt idx="6">
                  <c:v>105.52651890011761</c:v>
                </c:pt>
                <c:pt idx="7">
                  <c:v>107.20788165891739</c:v>
                </c:pt>
                <c:pt idx="8">
                  <c:v>108.73469022144297</c:v>
                </c:pt>
                <c:pt idx="9">
                  <c:v>110.21454457674992</c:v>
                </c:pt>
                <c:pt idx="10">
                  <c:v>111.79055420445422</c:v>
                </c:pt>
                <c:pt idx="11">
                  <c:v>113.46128473675795</c:v>
                </c:pt>
                <c:pt idx="12">
                  <c:v>114.33069189216886</c:v>
                </c:pt>
                <c:pt idx="13">
                  <c:v>113.10187140453252</c:v>
                </c:pt>
                <c:pt idx="14">
                  <c:v>108.83197040324653</c:v>
                </c:pt>
                <c:pt idx="15">
                  <c:v>101.52082405129036</c:v>
                </c:pt>
                <c:pt idx="16">
                  <c:v>92.463680165920081</c:v>
                </c:pt>
                <c:pt idx="17">
                  <c:v>84.137592471945979</c:v>
                </c:pt>
                <c:pt idx="18">
                  <c:v>78.115100423067005</c:v>
                </c:pt>
                <c:pt idx="19">
                  <c:v>74.4875843932751</c:v>
                </c:pt>
                <c:pt idx="20">
                  <c:v>72.604714880917641</c:v>
                </c:pt>
                <c:pt idx="21">
                  <c:v>71.522474452178443</c:v>
                </c:pt>
                <c:pt idx="22">
                  <c:v>70.763554063562026</c:v>
                </c:pt>
                <c:pt idx="23">
                  <c:v>70.407714960335142</c:v>
                </c:pt>
                <c:pt idx="24">
                  <c:v>71.448702164887834</c:v>
                </c:pt>
                <c:pt idx="25">
                  <c:v>74.99796611940927</c:v>
                </c:pt>
                <c:pt idx="26">
                  <c:v>81.269323790559795</c:v>
                </c:pt>
                <c:pt idx="27">
                  <c:v>89.379777609280637</c:v>
                </c:pt>
                <c:pt idx="28">
                  <c:v>97.625611748097668</c:v>
                </c:pt>
                <c:pt idx="29">
                  <c:v>104.51153748394617</c:v>
                </c:pt>
                <c:pt idx="30">
                  <c:v>109.32177023477439</c:v>
                </c:pt>
                <c:pt idx="31">
                  <c:v>112.42526474545843</c:v>
                </c:pt>
                <c:pt idx="32">
                  <c:v>114.4274142849584</c:v>
                </c:pt>
                <c:pt idx="33">
                  <c:v>116.05557122654579</c:v>
                </c:pt>
                <c:pt idx="34">
                  <c:v>117.89997463666818</c:v>
                </c:pt>
                <c:pt idx="35">
                  <c:v>120.22922685238758</c:v>
                </c:pt>
                <c:pt idx="36">
                  <c:v>122.98235699589073</c:v>
                </c:pt>
                <c:pt idx="37">
                  <c:v>125.75517670845144</c:v>
                </c:pt>
                <c:pt idx="38">
                  <c:v>128.24028811547362</c:v>
                </c:pt>
                <c:pt idx="39">
                  <c:v>130.28542984816673</c:v>
                </c:pt>
              </c:numCache>
            </c:numRef>
          </c:val>
          <c:smooth val="0"/>
          <c:extLst>
            <c:ext xmlns:c16="http://schemas.microsoft.com/office/drawing/2014/chart" uri="{C3380CC4-5D6E-409C-BE32-E72D297353CC}">
              <c16:uniqueId val="{00000032-36C5-4C3C-B1B1-A769C160B985}"/>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4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graf'!$L$7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5458330067323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9E1-4F25-BCF8-87F24C6E6DF7}"/>
                </c:ext>
              </c:extLst>
            </c:dLbl>
            <c:dLbl>
              <c:idx val="12"/>
              <c:layout>
                <c:manualLayout>
                  <c:x val="7.10857959048588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9E1-4F25-BCF8-87F24C6E6DF7}"/>
                </c:ext>
              </c:extLst>
            </c:dLbl>
            <c:dLbl>
              <c:idx val="24"/>
              <c:layout>
                <c:manualLayout>
                  <c:x val="6.758602670289760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9E1-4F25-BCF8-87F24C6E6DF7}"/>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9E1-4F25-BCF8-87F24C6E6DF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graf'!$L$44:$L$83</c:f>
              <c:numCache>
                <c:formatCode>General</c:formatCode>
                <c:ptCount val="40"/>
                <c:pt idx="0">
                  <c:v>75</c:v>
                </c:pt>
                <c:pt idx="12">
                  <c:v>75</c:v>
                </c:pt>
                <c:pt idx="24">
                  <c:v>75</c:v>
                </c:pt>
                <c:pt idx="36">
                  <c:v>75</c:v>
                </c:pt>
              </c:numCache>
            </c:numRef>
          </c:val>
          <c:smooth val="0"/>
          <c:extLst>
            <c:ext xmlns:c16="http://schemas.microsoft.com/office/drawing/2014/chart" uri="{C3380CC4-5D6E-409C-BE32-E72D297353CC}">
              <c16:uniqueId val="{00000004-19E1-4F25-BCF8-87F24C6E6DF7}"/>
            </c:ext>
          </c:extLst>
        </c:ser>
        <c:ser>
          <c:idx val="4"/>
          <c:order val="1"/>
          <c:tx>
            <c:strRef>
              <c:f>'Prerađivačka_FS graf'!$M$7</c:f>
              <c:strCache>
                <c:ptCount val="1"/>
                <c:pt idx="0">
                  <c:v>Series5</c:v>
                </c:pt>
              </c:strCache>
            </c:strRef>
          </c:tx>
          <c:spPr>
            <a:ln w="25400" cap="rnd">
              <a:noFill/>
              <a:round/>
            </a:ln>
            <a:effectLst/>
          </c:spPr>
          <c:marker>
            <c:symbol val="none"/>
          </c:marker>
          <c:dLbls>
            <c:dLbl>
              <c:idx val="0"/>
              <c:tx>
                <c:rich>
                  <a:bodyPr/>
                  <a:lstStyle/>
                  <a:p>
                    <a:fld id="{753CE726-192A-4DEF-BF20-F51534C42E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19E1-4F25-BCF8-87F24C6E6DF7}"/>
                </c:ext>
              </c:extLst>
            </c:dLbl>
            <c:dLbl>
              <c:idx val="1"/>
              <c:tx>
                <c:rich>
                  <a:bodyPr/>
                  <a:lstStyle/>
                  <a:p>
                    <a:fld id="{13AAB6C2-F7DC-41B0-9BB8-581297B9C16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19E1-4F25-BCF8-87F24C6E6DF7}"/>
                </c:ext>
              </c:extLst>
            </c:dLbl>
            <c:dLbl>
              <c:idx val="2"/>
              <c:tx>
                <c:rich>
                  <a:bodyPr/>
                  <a:lstStyle/>
                  <a:p>
                    <a:fld id="{0F75DCB6-8E58-48BF-8470-337994E1453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19E1-4F25-BCF8-87F24C6E6DF7}"/>
                </c:ext>
              </c:extLst>
            </c:dLbl>
            <c:dLbl>
              <c:idx val="3"/>
              <c:tx>
                <c:rich>
                  <a:bodyPr/>
                  <a:lstStyle/>
                  <a:p>
                    <a:fld id="{D9D3951F-6C74-473E-AF1D-CBD98EF4B8E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9E1-4F25-BCF8-87F24C6E6DF7}"/>
                </c:ext>
              </c:extLst>
            </c:dLbl>
            <c:dLbl>
              <c:idx val="4"/>
              <c:tx>
                <c:rich>
                  <a:bodyPr/>
                  <a:lstStyle/>
                  <a:p>
                    <a:fld id="{FD7867EC-3317-456B-A6E0-E02EEF5CEE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19E1-4F25-BCF8-87F24C6E6DF7}"/>
                </c:ext>
              </c:extLst>
            </c:dLbl>
            <c:dLbl>
              <c:idx val="5"/>
              <c:tx>
                <c:rich>
                  <a:bodyPr/>
                  <a:lstStyle/>
                  <a:p>
                    <a:fld id="{7315C1C3-35E3-47B7-A61C-1AF69BCF316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19E1-4F25-BCF8-87F24C6E6DF7}"/>
                </c:ext>
              </c:extLst>
            </c:dLbl>
            <c:dLbl>
              <c:idx val="6"/>
              <c:tx>
                <c:rich>
                  <a:bodyPr/>
                  <a:lstStyle/>
                  <a:p>
                    <a:fld id="{3A1F518B-5013-4E17-A951-14C86C61F62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9E1-4F25-BCF8-87F24C6E6DF7}"/>
                </c:ext>
              </c:extLst>
            </c:dLbl>
            <c:dLbl>
              <c:idx val="7"/>
              <c:tx>
                <c:rich>
                  <a:bodyPr/>
                  <a:lstStyle/>
                  <a:p>
                    <a:fld id="{8A6380EA-6E9C-432F-88F9-9290528147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19E1-4F25-BCF8-87F24C6E6DF7}"/>
                </c:ext>
              </c:extLst>
            </c:dLbl>
            <c:dLbl>
              <c:idx val="8"/>
              <c:tx>
                <c:rich>
                  <a:bodyPr/>
                  <a:lstStyle/>
                  <a:p>
                    <a:fld id="{AABEAB99-2705-40C7-AFE6-625E8D3029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19E1-4F25-BCF8-87F24C6E6DF7}"/>
                </c:ext>
              </c:extLst>
            </c:dLbl>
            <c:dLbl>
              <c:idx val="9"/>
              <c:tx>
                <c:rich>
                  <a:bodyPr/>
                  <a:lstStyle/>
                  <a:p>
                    <a:fld id="{21100579-543F-4501-BBB3-813691D7693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9E1-4F25-BCF8-87F24C6E6DF7}"/>
                </c:ext>
              </c:extLst>
            </c:dLbl>
            <c:dLbl>
              <c:idx val="10"/>
              <c:tx>
                <c:rich>
                  <a:bodyPr/>
                  <a:lstStyle/>
                  <a:p>
                    <a:fld id="{7964F528-C721-449C-B475-ACC48D92E5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19E1-4F25-BCF8-87F24C6E6DF7}"/>
                </c:ext>
              </c:extLst>
            </c:dLbl>
            <c:dLbl>
              <c:idx val="11"/>
              <c:tx>
                <c:rich>
                  <a:bodyPr/>
                  <a:lstStyle/>
                  <a:p>
                    <a:fld id="{B3283600-64BF-4B28-BC8E-6A0D99DF09B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19E1-4F25-BCF8-87F24C6E6DF7}"/>
                </c:ext>
              </c:extLst>
            </c:dLbl>
            <c:dLbl>
              <c:idx val="12"/>
              <c:tx>
                <c:rich>
                  <a:bodyPr/>
                  <a:lstStyle/>
                  <a:p>
                    <a:fld id="{F0AFC668-3CF4-44FF-92F9-0A1CFDFB15C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9E1-4F25-BCF8-87F24C6E6DF7}"/>
                </c:ext>
              </c:extLst>
            </c:dLbl>
            <c:dLbl>
              <c:idx val="13"/>
              <c:tx>
                <c:rich>
                  <a:bodyPr/>
                  <a:lstStyle/>
                  <a:p>
                    <a:fld id="{5E93F9D2-3C95-4607-A6E7-80E9D50AFDF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19E1-4F25-BCF8-87F24C6E6DF7}"/>
                </c:ext>
              </c:extLst>
            </c:dLbl>
            <c:dLbl>
              <c:idx val="14"/>
              <c:tx>
                <c:rich>
                  <a:bodyPr/>
                  <a:lstStyle/>
                  <a:p>
                    <a:fld id="{B3AC91A8-9CF3-4CA4-A264-E9232227F52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19E1-4F25-BCF8-87F24C6E6DF7}"/>
                </c:ext>
              </c:extLst>
            </c:dLbl>
            <c:dLbl>
              <c:idx val="15"/>
              <c:tx>
                <c:rich>
                  <a:bodyPr/>
                  <a:lstStyle/>
                  <a:p>
                    <a:fld id="{17422E57-A925-4F69-A652-830C8C35CC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9E1-4F25-BCF8-87F24C6E6DF7}"/>
                </c:ext>
              </c:extLst>
            </c:dLbl>
            <c:dLbl>
              <c:idx val="16"/>
              <c:tx>
                <c:rich>
                  <a:bodyPr/>
                  <a:lstStyle/>
                  <a:p>
                    <a:fld id="{9833B04E-7ED9-412D-BAE8-8814834D424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19E1-4F25-BCF8-87F24C6E6DF7}"/>
                </c:ext>
              </c:extLst>
            </c:dLbl>
            <c:dLbl>
              <c:idx val="17"/>
              <c:tx>
                <c:rich>
                  <a:bodyPr/>
                  <a:lstStyle/>
                  <a:p>
                    <a:fld id="{72F753D9-C458-4800-9C50-58AD5F3A26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19E1-4F25-BCF8-87F24C6E6DF7}"/>
                </c:ext>
              </c:extLst>
            </c:dLbl>
            <c:dLbl>
              <c:idx val="18"/>
              <c:tx>
                <c:rich>
                  <a:bodyPr/>
                  <a:lstStyle/>
                  <a:p>
                    <a:fld id="{5516F12F-3E24-4310-903C-258F770F0F8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9E1-4F25-BCF8-87F24C6E6DF7}"/>
                </c:ext>
              </c:extLst>
            </c:dLbl>
            <c:dLbl>
              <c:idx val="19"/>
              <c:tx>
                <c:rich>
                  <a:bodyPr/>
                  <a:lstStyle/>
                  <a:p>
                    <a:fld id="{2802F612-C53E-4386-8E4D-4C3A09A1C01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19E1-4F25-BCF8-87F24C6E6DF7}"/>
                </c:ext>
              </c:extLst>
            </c:dLbl>
            <c:dLbl>
              <c:idx val="20"/>
              <c:tx>
                <c:rich>
                  <a:bodyPr/>
                  <a:lstStyle/>
                  <a:p>
                    <a:fld id="{CBAF91DB-AF68-44BD-8A22-FB5D5A6C853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19E1-4F25-BCF8-87F24C6E6DF7}"/>
                </c:ext>
              </c:extLst>
            </c:dLbl>
            <c:dLbl>
              <c:idx val="21"/>
              <c:tx>
                <c:rich>
                  <a:bodyPr/>
                  <a:lstStyle/>
                  <a:p>
                    <a:fld id="{366E0943-BDCA-41A2-A556-EFA1CED4A0B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9E1-4F25-BCF8-87F24C6E6DF7}"/>
                </c:ext>
              </c:extLst>
            </c:dLbl>
            <c:dLbl>
              <c:idx val="22"/>
              <c:tx>
                <c:rich>
                  <a:bodyPr/>
                  <a:lstStyle/>
                  <a:p>
                    <a:fld id="{2E4A6461-3738-4D89-9CEB-A7082E0C11B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19E1-4F25-BCF8-87F24C6E6DF7}"/>
                </c:ext>
              </c:extLst>
            </c:dLbl>
            <c:dLbl>
              <c:idx val="23"/>
              <c:tx>
                <c:rich>
                  <a:bodyPr/>
                  <a:lstStyle/>
                  <a:p>
                    <a:fld id="{E7D6F0AD-C08E-4F16-B08A-3825542D0A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19E1-4F25-BCF8-87F24C6E6DF7}"/>
                </c:ext>
              </c:extLst>
            </c:dLbl>
            <c:dLbl>
              <c:idx val="24"/>
              <c:tx>
                <c:rich>
                  <a:bodyPr/>
                  <a:lstStyle/>
                  <a:p>
                    <a:fld id="{12E2F51A-6C2D-4BBE-A6C1-ED58A74BEED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9E1-4F25-BCF8-87F24C6E6DF7}"/>
                </c:ext>
              </c:extLst>
            </c:dLbl>
            <c:dLbl>
              <c:idx val="25"/>
              <c:tx>
                <c:rich>
                  <a:bodyPr/>
                  <a:lstStyle/>
                  <a:p>
                    <a:fld id="{55161656-8015-4BE4-B426-19B5077D89F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19E1-4F25-BCF8-87F24C6E6DF7}"/>
                </c:ext>
              </c:extLst>
            </c:dLbl>
            <c:dLbl>
              <c:idx val="26"/>
              <c:tx>
                <c:rich>
                  <a:bodyPr/>
                  <a:lstStyle/>
                  <a:p>
                    <a:fld id="{AF62EB38-AFE9-4D42-BA9E-B0F819C8542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19E1-4F25-BCF8-87F24C6E6DF7}"/>
                </c:ext>
              </c:extLst>
            </c:dLbl>
            <c:dLbl>
              <c:idx val="27"/>
              <c:tx>
                <c:rich>
                  <a:bodyPr/>
                  <a:lstStyle/>
                  <a:p>
                    <a:fld id="{B468DAA8-0129-4086-B87B-98BF3C7256C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9E1-4F25-BCF8-87F24C6E6DF7}"/>
                </c:ext>
              </c:extLst>
            </c:dLbl>
            <c:dLbl>
              <c:idx val="28"/>
              <c:tx>
                <c:rich>
                  <a:bodyPr/>
                  <a:lstStyle/>
                  <a:p>
                    <a:fld id="{21AD27CD-2E3B-47DE-8F46-137B8DB73C3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19E1-4F25-BCF8-87F24C6E6DF7}"/>
                </c:ext>
              </c:extLst>
            </c:dLbl>
            <c:dLbl>
              <c:idx val="29"/>
              <c:tx>
                <c:rich>
                  <a:bodyPr/>
                  <a:lstStyle/>
                  <a:p>
                    <a:fld id="{84CB0835-9DE7-44AF-8322-739D1D877E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19E1-4F25-BCF8-87F24C6E6DF7}"/>
                </c:ext>
              </c:extLst>
            </c:dLbl>
            <c:dLbl>
              <c:idx val="30"/>
              <c:tx>
                <c:rich>
                  <a:bodyPr/>
                  <a:lstStyle/>
                  <a:p>
                    <a:fld id="{F02C7749-B445-4975-AE29-43E81F3DFA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9E1-4F25-BCF8-87F24C6E6DF7}"/>
                </c:ext>
              </c:extLst>
            </c:dLbl>
            <c:dLbl>
              <c:idx val="31"/>
              <c:tx>
                <c:rich>
                  <a:bodyPr/>
                  <a:lstStyle/>
                  <a:p>
                    <a:fld id="{44B288C2-0A14-4A74-B1A2-234AEEA8537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19E1-4F25-BCF8-87F24C6E6DF7}"/>
                </c:ext>
              </c:extLst>
            </c:dLbl>
            <c:dLbl>
              <c:idx val="32"/>
              <c:tx>
                <c:rich>
                  <a:bodyPr/>
                  <a:lstStyle/>
                  <a:p>
                    <a:fld id="{92D06089-8592-4925-97A4-81AE96DEA5E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19E1-4F25-BCF8-87F24C6E6DF7}"/>
                </c:ext>
              </c:extLst>
            </c:dLbl>
            <c:dLbl>
              <c:idx val="33"/>
              <c:tx>
                <c:rich>
                  <a:bodyPr/>
                  <a:lstStyle/>
                  <a:p>
                    <a:fld id="{0067D5AC-53F0-4974-9F39-7645FF30844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9E1-4F25-BCF8-87F24C6E6DF7}"/>
                </c:ext>
              </c:extLst>
            </c:dLbl>
            <c:dLbl>
              <c:idx val="34"/>
              <c:tx>
                <c:rich>
                  <a:bodyPr/>
                  <a:lstStyle/>
                  <a:p>
                    <a:fld id="{4720F0FA-BB56-4A87-952C-46C97C3823E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19E1-4F25-BCF8-87F24C6E6DF7}"/>
                </c:ext>
              </c:extLst>
            </c:dLbl>
            <c:dLbl>
              <c:idx val="35"/>
              <c:tx>
                <c:rich>
                  <a:bodyPr/>
                  <a:lstStyle/>
                  <a:p>
                    <a:fld id="{1E921507-A492-4F22-95BE-48CDE619347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19E1-4F25-BCF8-87F24C6E6DF7}"/>
                </c:ext>
              </c:extLst>
            </c:dLbl>
            <c:dLbl>
              <c:idx val="36"/>
              <c:tx>
                <c:rich>
                  <a:bodyPr/>
                  <a:lstStyle/>
                  <a:p>
                    <a:fld id="{834270F4-5B56-4ABA-8E9A-406C3E12D95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9E1-4F25-BCF8-87F24C6E6DF7}"/>
                </c:ext>
              </c:extLst>
            </c:dLbl>
            <c:dLbl>
              <c:idx val="37"/>
              <c:tx>
                <c:rich>
                  <a:bodyPr/>
                  <a:lstStyle/>
                  <a:p>
                    <a:fld id="{C30B4004-9F17-4449-BF9D-F6D403E18C5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19E1-4F25-BCF8-87F24C6E6DF7}"/>
                </c:ext>
              </c:extLst>
            </c:dLbl>
            <c:dLbl>
              <c:idx val="38"/>
              <c:tx>
                <c:rich>
                  <a:bodyPr/>
                  <a:lstStyle/>
                  <a:p>
                    <a:fld id="{394B73A3-5C25-4C24-BC3B-E629103B420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19E1-4F25-BCF8-87F24C6E6DF7}"/>
                </c:ext>
              </c:extLst>
            </c:dLbl>
            <c:dLbl>
              <c:idx val="39"/>
              <c:tx>
                <c:rich>
                  <a:bodyPr/>
                  <a:lstStyle/>
                  <a:p>
                    <a:fld id="{6C733928-AE90-46E7-A7C0-6E48D516837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9E1-4F25-BCF8-87F24C6E6DF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graf'!$M$44:$M$83</c:f>
              <c:numCache>
                <c:formatCode>General</c:formatCode>
                <c:ptCount val="40"/>
                <c:pt idx="0">
                  <c:v>75</c:v>
                </c:pt>
                <c:pt idx="1">
                  <c:v>75</c:v>
                </c:pt>
                <c:pt idx="2">
                  <c:v>75</c:v>
                </c:pt>
                <c:pt idx="3">
                  <c:v>75</c:v>
                </c:pt>
                <c:pt idx="4">
                  <c:v>75</c:v>
                </c:pt>
                <c:pt idx="5">
                  <c:v>75</c:v>
                </c:pt>
                <c:pt idx="6">
                  <c:v>75</c:v>
                </c:pt>
                <c:pt idx="7">
                  <c:v>75</c:v>
                </c:pt>
                <c:pt idx="8">
                  <c:v>75</c:v>
                </c:pt>
                <c:pt idx="9">
                  <c:v>75</c:v>
                </c:pt>
                <c:pt idx="10">
                  <c:v>75</c:v>
                </c:pt>
                <c:pt idx="11">
                  <c:v>75</c:v>
                </c:pt>
                <c:pt idx="12">
                  <c:v>75</c:v>
                </c:pt>
                <c:pt idx="13">
                  <c:v>75</c:v>
                </c:pt>
                <c:pt idx="14">
                  <c:v>75</c:v>
                </c:pt>
                <c:pt idx="15">
                  <c:v>75</c:v>
                </c:pt>
                <c:pt idx="16">
                  <c:v>75</c:v>
                </c:pt>
                <c:pt idx="17">
                  <c:v>75</c:v>
                </c:pt>
                <c:pt idx="18">
                  <c:v>75</c:v>
                </c:pt>
                <c:pt idx="19">
                  <c:v>75</c:v>
                </c:pt>
                <c:pt idx="20">
                  <c:v>75</c:v>
                </c:pt>
                <c:pt idx="21">
                  <c:v>75</c:v>
                </c:pt>
                <c:pt idx="22">
                  <c:v>75</c:v>
                </c:pt>
                <c:pt idx="23">
                  <c:v>75</c:v>
                </c:pt>
                <c:pt idx="24">
                  <c:v>75</c:v>
                </c:pt>
                <c:pt idx="25">
                  <c:v>75</c:v>
                </c:pt>
                <c:pt idx="26">
                  <c:v>75</c:v>
                </c:pt>
                <c:pt idx="27">
                  <c:v>75</c:v>
                </c:pt>
                <c:pt idx="28">
                  <c:v>75</c:v>
                </c:pt>
                <c:pt idx="29">
                  <c:v>75</c:v>
                </c:pt>
                <c:pt idx="30">
                  <c:v>75</c:v>
                </c:pt>
                <c:pt idx="31">
                  <c:v>75</c:v>
                </c:pt>
                <c:pt idx="32">
                  <c:v>75</c:v>
                </c:pt>
                <c:pt idx="33">
                  <c:v>75</c:v>
                </c:pt>
                <c:pt idx="34">
                  <c:v>75</c:v>
                </c:pt>
                <c:pt idx="35">
                  <c:v>75</c:v>
                </c:pt>
                <c:pt idx="36">
                  <c:v>75</c:v>
                </c:pt>
                <c:pt idx="37">
                  <c:v>75</c:v>
                </c:pt>
                <c:pt idx="38">
                  <c:v>75</c:v>
                </c:pt>
                <c:pt idx="39">
                  <c:v>75</c:v>
                </c:pt>
              </c:numCache>
            </c:numRef>
          </c:val>
          <c:smooth val="0"/>
          <c:extLst>
            <c:ext xmlns:c15="http://schemas.microsoft.com/office/drawing/2012/chart" uri="{02D57815-91ED-43cb-92C2-25804820EDAC}">
              <c15:datalabelsRange>
                <c15:f>'Prerađivačka_FS graf'!$B$32:$B$83</c15:f>
                <c15:dlblRangeCache>
                  <c:ptCount val="52"/>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15:dlblRangeCache>
              </c15:datalabelsRange>
            </c:ext>
            <c:ext xmlns:c16="http://schemas.microsoft.com/office/drawing/2014/chart" uri="{C3380CC4-5D6E-409C-BE32-E72D297353CC}">
              <c16:uniqueId val="{0000002D-19E1-4F25-BCF8-87F24C6E6DF7}"/>
            </c:ext>
          </c:extLst>
        </c:ser>
        <c:ser>
          <c:idx val="0"/>
          <c:order val="2"/>
          <c:tx>
            <c:strRef>
              <c:f>'Prerađivačka_FS graf'!$N$7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graf'!$N$44:$N$83</c:f>
              <c:numCache>
                <c:formatCode>0.0</c:formatCode>
                <c:ptCount val="40"/>
                <c:pt idx="0">
                  <c:v>80.734832003867524</c:v>
                </c:pt>
                <c:pt idx="1">
                  <c:v>83.44210780759002</c:v>
                </c:pt>
                <c:pt idx="2">
                  <c:v>99.782451051486575</c:v>
                </c:pt>
                <c:pt idx="3">
                  <c:v>95.721537345902817</c:v>
                </c:pt>
                <c:pt idx="4">
                  <c:v>87.116267826927711</c:v>
                </c:pt>
                <c:pt idx="5">
                  <c:v>94.561276287164603</c:v>
                </c:pt>
                <c:pt idx="6">
                  <c:v>91.563935218757535</c:v>
                </c:pt>
                <c:pt idx="7">
                  <c:v>90.983804689388421</c:v>
                </c:pt>
                <c:pt idx="8">
                  <c:v>104.71356055112399</c:v>
                </c:pt>
                <c:pt idx="9">
                  <c:v>118.24993956973651</c:v>
                </c:pt>
                <c:pt idx="10">
                  <c:v>108.38772057046167</c:v>
                </c:pt>
                <c:pt idx="11">
                  <c:v>105.00362581580853</c:v>
                </c:pt>
                <c:pt idx="12">
                  <c:v>81.314962533236638</c:v>
                </c:pt>
                <c:pt idx="13">
                  <c:v>88.179840464104416</c:v>
                </c:pt>
                <c:pt idx="14">
                  <c:v>102.77979211989363</c:v>
                </c:pt>
                <c:pt idx="15">
                  <c:v>92.724196277495764</c:v>
                </c:pt>
                <c:pt idx="16">
                  <c:v>95.818225767464327</c:v>
                </c:pt>
                <c:pt idx="17">
                  <c:v>100.16920473773263</c:v>
                </c:pt>
                <c:pt idx="18">
                  <c:v>88.85665941503504</c:v>
                </c:pt>
                <c:pt idx="19">
                  <c:v>97.751994198694689</c:v>
                </c:pt>
                <c:pt idx="20">
                  <c:v>96.785109983079508</c:v>
                </c:pt>
                <c:pt idx="21">
                  <c:v>111.7718153251148</c:v>
                </c:pt>
                <c:pt idx="22">
                  <c:v>113.22214164853757</c:v>
                </c:pt>
                <c:pt idx="23">
                  <c:v>104.61687212956248</c:v>
                </c:pt>
                <c:pt idx="24">
                  <c:v>85.472564660381906</c:v>
                </c:pt>
                <c:pt idx="25">
                  <c:v>87.116267826927711</c:v>
                </c:pt>
                <c:pt idx="26">
                  <c:v>101.0394005317863</c:v>
                </c:pt>
                <c:pt idx="27">
                  <c:v>93.981145757795488</c:v>
                </c:pt>
                <c:pt idx="28">
                  <c:v>98.332124728063803</c:v>
                </c:pt>
                <c:pt idx="29">
                  <c:v>94.948029973410669</c:v>
                </c:pt>
                <c:pt idx="30">
                  <c:v>91.757312061880583</c:v>
                </c:pt>
                <c:pt idx="31">
                  <c:v>94.657964708726126</c:v>
                </c:pt>
                <c:pt idx="32">
                  <c:v>110.80493110949962</c:v>
                </c:pt>
                <c:pt idx="33">
                  <c:v>117.47643219724438</c:v>
                </c:pt>
                <c:pt idx="34">
                  <c:v>113.02876480541455</c:v>
                </c:pt>
                <c:pt idx="35">
                  <c:v>111.38506163886875</c:v>
                </c:pt>
                <c:pt idx="36">
                  <c:v>95</c:v>
                </c:pt>
                <c:pt idx="37">
                  <c:v>95</c:v>
                </c:pt>
                <c:pt idx="38">
                  <c:v>102.2</c:v>
                </c:pt>
                <c:pt idx="39">
                  <c:v>106.7</c:v>
                </c:pt>
              </c:numCache>
            </c:numRef>
          </c:val>
          <c:smooth val="0"/>
          <c:extLst>
            <c:ext xmlns:c16="http://schemas.microsoft.com/office/drawing/2014/chart" uri="{C3380CC4-5D6E-409C-BE32-E72D297353CC}">
              <c16:uniqueId val="{0000002E-19E1-4F25-BCF8-87F24C6E6DF7}"/>
            </c:ext>
          </c:extLst>
        </c:ser>
        <c:ser>
          <c:idx val="1"/>
          <c:order val="3"/>
          <c:tx>
            <c:strRef>
              <c:f>'Prerađivačka_FS graf'!$O$7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graf'!$O$44:$O$83</c:f>
              <c:numCache>
                <c:formatCode>0.0</c:formatCode>
                <c:ptCount val="40"/>
                <c:pt idx="0">
                  <c:v>99.363970435420484</c:v>
                </c:pt>
                <c:pt idx="1">
                  <c:v>95.962676660580982</c:v>
                </c:pt>
                <c:pt idx="2">
                  <c:v>97.068907768799107</c:v>
                </c:pt>
                <c:pt idx="3">
                  <c:v>97.170463342661733</c:v>
                </c:pt>
                <c:pt idx="4">
                  <c:v>90.396821406703424</c:v>
                </c:pt>
                <c:pt idx="5">
                  <c:v>95.297126970164769</c:v>
                </c:pt>
                <c:pt idx="6">
                  <c:v>97.471801193768485</c:v>
                </c:pt>
                <c:pt idx="7">
                  <c:v>96.215055006031946</c:v>
                </c:pt>
                <c:pt idx="8">
                  <c:v>94.448730367606345</c:v>
                </c:pt>
                <c:pt idx="9">
                  <c:v>99.868318033720598</c:v>
                </c:pt>
                <c:pt idx="10">
                  <c:v>96.919446443110317</c:v>
                </c:pt>
                <c:pt idx="11">
                  <c:v>98.233907701153569</c:v>
                </c:pt>
                <c:pt idx="12">
                  <c:v>96.511139716698722</c:v>
                </c:pt>
                <c:pt idx="13">
                  <c:v>100.60558017122517</c:v>
                </c:pt>
                <c:pt idx="14">
                  <c:v>99.782302714639101</c:v>
                </c:pt>
                <c:pt idx="15">
                  <c:v>96.761755578283484</c:v>
                </c:pt>
                <c:pt idx="16">
                  <c:v>97.57174147095175</c:v>
                </c:pt>
                <c:pt idx="17">
                  <c:v>101.46101127331953</c:v>
                </c:pt>
                <c:pt idx="18">
                  <c:v>96.315059719972879</c:v>
                </c:pt>
                <c:pt idx="19">
                  <c:v>101.90057657589054</c:v>
                </c:pt>
                <c:pt idx="20">
                  <c:v>87.902837148998273</c:v>
                </c:pt>
                <c:pt idx="21">
                  <c:v>95.334458043164759</c:v>
                </c:pt>
                <c:pt idx="22">
                  <c:v>101.66362335098732</c:v>
                </c:pt>
                <c:pt idx="23">
                  <c:v>98.378009620042619</c:v>
                </c:pt>
                <c:pt idx="24">
                  <c:v>98.948679899373815</c:v>
                </c:pt>
                <c:pt idx="25">
                  <c:v>98.890874637056726</c:v>
                </c:pt>
                <c:pt idx="26">
                  <c:v>98.166459138637308</c:v>
                </c:pt>
                <c:pt idx="27">
                  <c:v>99.536213254966867</c:v>
                </c:pt>
                <c:pt idx="28">
                  <c:v>100.63302537175301</c:v>
                </c:pt>
                <c:pt idx="29">
                  <c:v>96.142338224834191</c:v>
                </c:pt>
                <c:pt idx="30">
                  <c:v>99.73966006099819</c:v>
                </c:pt>
                <c:pt idx="31">
                  <c:v>98.831599768153012</c:v>
                </c:pt>
                <c:pt idx="32">
                  <c:v>102.76431104352511</c:v>
                </c:pt>
                <c:pt idx="33">
                  <c:v>99.248713049408693</c:v>
                </c:pt>
                <c:pt idx="34">
                  <c:v>99.928445717043616</c:v>
                </c:pt>
                <c:pt idx="35">
                  <c:v>105.76311744787991</c:v>
                </c:pt>
                <c:pt idx="36">
                  <c:v>109.88234399224831</c:v>
                </c:pt>
                <c:pt idx="37">
                  <c:v>103.40438443533976</c:v>
                </c:pt>
                <c:pt idx="38">
                  <c:v>102.95514973263056</c:v>
                </c:pt>
                <c:pt idx="39">
                  <c:v>105.20370336365933</c:v>
                </c:pt>
              </c:numCache>
            </c:numRef>
          </c:val>
          <c:smooth val="0"/>
          <c:extLst>
            <c:ext xmlns:c16="http://schemas.microsoft.com/office/drawing/2014/chart" uri="{C3380CC4-5D6E-409C-BE32-E72D297353CC}">
              <c16:uniqueId val="{0000002F-19E1-4F25-BCF8-87F24C6E6DF7}"/>
            </c:ext>
          </c:extLst>
        </c:ser>
        <c:ser>
          <c:idx val="2"/>
          <c:order val="4"/>
          <c:tx>
            <c:strRef>
              <c:f>'Prerađivačka_FS graf'!$P$7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graf'!$P$44:$P$83</c:f>
              <c:numCache>
                <c:formatCode>0.0</c:formatCode>
                <c:ptCount val="40"/>
                <c:pt idx="0">
                  <c:v>97.153211960452865</c:v>
                </c:pt>
                <c:pt idx="1">
                  <c:v>96.976078584467857</c:v>
                </c:pt>
                <c:pt idx="2">
                  <c:v>96.791382290145222</c:v>
                </c:pt>
                <c:pt idx="3">
                  <c:v>96.540534279139862</c:v>
                </c:pt>
                <c:pt idx="4">
                  <c:v>96.265460986545165</c:v>
                </c:pt>
                <c:pt idx="5">
                  <c:v>96.088661066238714</c:v>
                </c:pt>
                <c:pt idx="6">
                  <c:v>96.158169775146277</c:v>
                </c:pt>
                <c:pt idx="7">
                  <c:v>96.404031800855051</c:v>
                </c:pt>
                <c:pt idx="8">
                  <c:v>96.700647062003256</c:v>
                </c:pt>
                <c:pt idx="9">
                  <c:v>97.151707322215586</c:v>
                </c:pt>
                <c:pt idx="10">
                  <c:v>97.666367994824199</c:v>
                </c:pt>
                <c:pt idx="11">
                  <c:v>98.060817312327529</c:v>
                </c:pt>
                <c:pt idx="12">
                  <c:v>98.39198934277357</c:v>
                </c:pt>
                <c:pt idx="13">
                  <c:v>98.608512474856752</c:v>
                </c:pt>
                <c:pt idx="14">
                  <c:v>98.691953384337353</c:v>
                </c:pt>
                <c:pt idx="15">
                  <c:v>98.745225926726704</c:v>
                </c:pt>
                <c:pt idx="16">
                  <c:v>98.664782980527107</c:v>
                </c:pt>
                <c:pt idx="17">
                  <c:v>98.355564576602404</c:v>
                </c:pt>
                <c:pt idx="18">
                  <c:v>97.986344692464797</c:v>
                </c:pt>
                <c:pt idx="19">
                  <c:v>97.688465219742497</c:v>
                </c:pt>
                <c:pt idx="20">
                  <c:v>97.5902025737104</c:v>
                </c:pt>
                <c:pt idx="21">
                  <c:v>97.625392317970935</c:v>
                </c:pt>
                <c:pt idx="22">
                  <c:v>97.812115686289602</c:v>
                </c:pt>
                <c:pt idx="23">
                  <c:v>98.238125734007212</c:v>
                </c:pt>
                <c:pt idx="24">
                  <c:v>98.679494481330153</c:v>
                </c:pt>
                <c:pt idx="25">
                  <c:v>98.945320018042523</c:v>
                </c:pt>
                <c:pt idx="26">
                  <c:v>99.0033557089792</c:v>
                </c:pt>
                <c:pt idx="27">
                  <c:v>98.94439637971513</c:v>
                </c:pt>
                <c:pt idx="28">
                  <c:v>98.973892910169482</c:v>
                </c:pt>
                <c:pt idx="29">
                  <c:v>99.068610501616007</c:v>
                </c:pt>
                <c:pt idx="30">
                  <c:v>99.22881146783655</c:v>
                </c:pt>
                <c:pt idx="31">
                  <c:v>99.606188699446818</c:v>
                </c:pt>
                <c:pt idx="32">
                  <c:v>100.26344309126415</c:v>
                </c:pt>
                <c:pt idx="33">
                  <c:v>101.10534593428237</c:v>
                </c:pt>
                <c:pt idx="34">
                  <c:v>102.00154109970264</c:v>
                </c:pt>
                <c:pt idx="35">
                  <c:v>102.78178659145313</c:v>
                </c:pt>
                <c:pt idx="36">
                  <c:v>103.36760417261951</c:v>
                </c:pt>
                <c:pt idx="37">
                  <c:v>103.80728651601758</c:v>
                </c:pt>
                <c:pt idx="38">
                  <c:v>104.11316888567187</c:v>
                </c:pt>
                <c:pt idx="39">
                  <c:v>104.32891791483779</c:v>
                </c:pt>
              </c:numCache>
            </c:numRef>
          </c:val>
          <c:smooth val="0"/>
          <c:extLst>
            <c:ext xmlns:c16="http://schemas.microsoft.com/office/drawing/2014/chart" uri="{C3380CC4-5D6E-409C-BE32-E72D297353CC}">
              <c16:uniqueId val="{00000030-19E1-4F25-BCF8-87F24C6E6DF7}"/>
            </c:ext>
          </c:extLst>
        </c:ser>
        <c:dLbls>
          <c:showLegendKey val="0"/>
          <c:showVal val="0"/>
          <c:showCatName val="0"/>
          <c:showSerName val="0"/>
          <c:showPercent val="0"/>
          <c:showBubbleSize val="0"/>
        </c:dLbls>
        <c:marker val="1"/>
        <c:smooth val="0"/>
        <c:axId val="2092140400"/>
        <c:axId val="2092173040"/>
      </c:lineChart>
      <c:dateAx>
        <c:axId val="20921404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3040"/>
        <c:crosses val="autoZero"/>
        <c:auto val="1"/>
        <c:lblOffset val="0"/>
        <c:baseTimeUnit val="months"/>
        <c:majorUnit val="12"/>
        <c:majorTimeUnit val="months"/>
      </c:dateAx>
      <c:valAx>
        <c:axId val="2092173040"/>
        <c:scaling>
          <c:orientation val="minMax"/>
          <c:max val="120"/>
          <c:min val="75"/>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4040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graf'!$AV$7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17342077530719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723-4305-A46E-E495DA65B284}"/>
                </c:ext>
              </c:extLst>
            </c:dLbl>
            <c:dLbl>
              <c:idx val="12"/>
              <c:layout>
                <c:manualLayout>
                  <c:x val="7.530809360820073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723-4305-A46E-E495DA65B284}"/>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723-4305-A46E-E495DA65B284}"/>
                </c:ext>
              </c:extLst>
            </c:dLbl>
            <c:dLbl>
              <c:idx val="36"/>
              <c:layout>
                <c:manualLayout>
                  <c:x val="-1.32730645624854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723-4305-A46E-E495DA65B28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graf'!$AV$44:$AV$83</c:f>
              <c:numCache>
                <c:formatCode>General</c:formatCode>
                <c:ptCount val="40"/>
                <c:pt idx="0">
                  <c:v>70</c:v>
                </c:pt>
                <c:pt idx="12">
                  <c:v>70</c:v>
                </c:pt>
                <c:pt idx="24">
                  <c:v>70</c:v>
                </c:pt>
                <c:pt idx="36">
                  <c:v>70</c:v>
                </c:pt>
              </c:numCache>
            </c:numRef>
          </c:val>
          <c:smooth val="0"/>
          <c:extLst>
            <c:ext xmlns:c16="http://schemas.microsoft.com/office/drawing/2014/chart" uri="{C3380CC4-5D6E-409C-BE32-E72D297353CC}">
              <c16:uniqueId val="{00000004-4723-4305-A46E-E495DA65B284}"/>
            </c:ext>
          </c:extLst>
        </c:ser>
        <c:ser>
          <c:idx val="4"/>
          <c:order val="1"/>
          <c:tx>
            <c:strRef>
              <c:f>'Prerađivačka_FS graf'!$AW$7</c:f>
              <c:strCache>
                <c:ptCount val="1"/>
                <c:pt idx="0">
                  <c:v>Series5</c:v>
                </c:pt>
              </c:strCache>
            </c:strRef>
          </c:tx>
          <c:spPr>
            <a:ln w="25400" cap="rnd">
              <a:noFill/>
              <a:round/>
            </a:ln>
            <a:effectLst/>
          </c:spPr>
          <c:marker>
            <c:symbol val="none"/>
          </c:marker>
          <c:dLbls>
            <c:dLbl>
              <c:idx val="0"/>
              <c:tx>
                <c:rich>
                  <a:bodyPr/>
                  <a:lstStyle/>
                  <a:p>
                    <a:fld id="{E99F782A-3745-4D19-B5BA-91BFD25394D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723-4305-A46E-E495DA65B284}"/>
                </c:ext>
              </c:extLst>
            </c:dLbl>
            <c:dLbl>
              <c:idx val="1"/>
              <c:tx>
                <c:rich>
                  <a:bodyPr/>
                  <a:lstStyle/>
                  <a:p>
                    <a:fld id="{4CD845BF-2548-4585-AF8B-11F9B6B8042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4723-4305-A46E-E495DA65B284}"/>
                </c:ext>
              </c:extLst>
            </c:dLbl>
            <c:dLbl>
              <c:idx val="2"/>
              <c:tx>
                <c:rich>
                  <a:bodyPr/>
                  <a:lstStyle/>
                  <a:p>
                    <a:fld id="{19E8D6FA-1770-4776-8A16-D0A3A39DEAD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723-4305-A46E-E495DA65B284}"/>
                </c:ext>
              </c:extLst>
            </c:dLbl>
            <c:dLbl>
              <c:idx val="3"/>
              <c:tx>
                <c:rich>
                  <a:bodyPr/>
                  <a:lstStyle/>
                  <a:p>
                    <a:fld id="{75F8D03D-D92E-4935-B111-1A478D52D1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723-4305-A46E-E495DA65B284}"/>
                </c:ext>
              </c:extLst>
            </c:dLbl>
            <c:dLbl>
              <c:idx val="4"/>
              <c:tx>
                <c:rich>
                  <a:bodyPr/>
                  <a:lstStyle/>
                  <a:p>
                    <a:fld id="{700D1F1F-9FC5-410C-B6A8-3B6B4D25DD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723-4305-A46E-E495DA65B284}"/>
                </c:ext>
              </c:extLst>
            </c:dLbl>
            <c:dLbl>
              <c:idx val="5"/>
              <c:tx>
                <c:rich>
                  <a:bodyPr/>
                  <a:lstStyle/>
                  <a:p>
                    <a:fld id="{C68B2CE7-D12F-4560-93ED-149F15DDC80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723-4305-A46E-E495DA65B284}"/>
                </c:ext>
              </c:extLst>
            </c:dLbl>
            <c:dLbl>
              <c:idx val="6"/>
              <c:tx>
                <c:rich>
                  <a:bodyPr/>
                  <a:lstStyle/>
                  <a:p>
                    <a:fld id="{D27D696F-79EB-4EC9-8899-5FE30592827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723-4305-A46E-E495DA65B284}"/>
                </c:ext>
              </c:extLst>
            </c:dLbl>
            <c:dLbl>
              <c:idx val="7"/>
              <c:tx>
                <c:rich>
                  <a:bodyPr/>
                  <a:lstStyle/>
                  <a:p>
                    <a:fld id="{6F3D730E-38B8-4013-B403-B9551DBAB70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723-4305-A46E-E495DA65B284}"/>
                </c:ext>
              </c:extLst>
            </c:dLbl>
            <c:dLbl>
              <c:idx val="8"/>
              <c:tx>
                <c:rich>
                  <a:bodyPr/>
                  <a:lstStyle/>
                  <a:p>
                    <a:fld id="{EAAD3DD0-178D-4B89-8909-0FD677F3BF8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723-4305-A46E-E495DA65B284}"/>
                </c:ext>
              </c:extLst>
            </c:dLbl>
            <c:dLbl>
              <c:idx val="9"/>
              <c:tx>
                <c:rich>
                  <a:bodyPr/>
                  <a:lstStyle/>
                  <a:p>
                    <a:fld id="{6F606C3B-2AC0-491E-8FB5-8705B5FDC31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723-4305-A46E-E495DA65B284}"/>
                </c:ext>
              </c:extLst>
            </c:dLbl>
            <c:dLbl>
              <c:idx val="10"/>
              <c:tx>
                <c:rich>
                  <a:bodyPr/>
                  <a:lstStyle/>
                  <a:p>
                    <a:fld id="{7FD0EC43-88B1-4742-B0E1-961E5321A13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723-4305-A46E-E495DA65B284}"/>
                </c:ext>
              </c:extLst>
            </c:dLbl>
            <c:dLbl>
              <c:idx val="11"/>
              <c:tx>
                <c:rich>
                  <a:bodyPr/>
                  <a:lstStyle/>
                  <a:p>
                    <a:fld id="{CAA43236-63D0-4E65-9946-DCD585EA8ED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723-4305-A46E-E495DA65B284}"/>
                </c:ext>
              </c:extLst>
            </c:dLbl>
            <c:dLbl>
              <c:idx val="12"/>
              <c:tx>
                <c:rich>
                  <a:bodyPr/>
                  <a:lstStyle/>
                  <a:p>
                    <a:fld id="{725F82E6-3D98-477A-A60E-0C5C759951E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723-4305-A46E-E495DA65B284}"/>
                </c:ext>
              </c:extLst>
            </c:dLbl>
            <c:dLbl>
              <c:idx val="13"/>
              <c:tx>
                <c:rich>
                  <a:bodyPr/>
                  <a:lstStyle/>
                  <a:p>
                    <a:fld id="{CE227A59-CE7E-4C02-8854-46044ADD751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723-4305-A46E-E495DA65B284}"/>
                </c:ext>
              </c:extLst>
            </c:dLbl>
            <c:dLbl>
              <c:idx val="14"/>
              <c:tx>
                <c:rich>
                  <a:bodyPr/>
                  <a:lstStyle/>
                  <a:p>
                    <a:fld id="{7E6A0F57-9025-4D02-8E96-0BFA041A5BB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723-4305-A46E-E495DA65B284}"/>
                </c:ext>
              </c:extLst>
            </c:dLbl>
            <c:dLbl>
              <c:idx val="15"/>
              <c:tx>
                <c:rich>
                  <a:bodyPr/>
                  <a:lstStyle/>
                  <a:p>
                    <a:fld id="{6D4621E0-6F91-4CD2-B1EC-2441E8E168F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4723-4305-A46E-E495DA65B284}"/>
                </c:ext>
              </c:extLst>
            </c:dLbl>
            <c:dLbl>
              <c:idx val="16"/>
              <c:tx>
                <c:rich>
                  <a:bodyPr/>
                  <a:lstStyle/>
                  <a:p>
                    <a:fld id="{9B7EB4E6-5954-42BF-8437-6D3C5FC431B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723-4305-A46E-E495DA65B284}"/>
                </c:ext>
              </c:extLst>
            </c:dLbl>
            <c:dLbl>
              <c:idx val="17"/>
              <c:tx>
                <c:rich>
                  <a:bodyPr/>
                  <a:lstStyle/>
                  <a:p>
                    <a:fld id="{9B81267E-0F6F-4DD6-8AF0-F24D2280024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723-4305-A46E-E495DA65B284}"/>
                </c:ext>
              </c:extLst>
            </c:dLbl>
            <c:dLbl>
              <c:idx val="18"/>
              <c:tx>
                <c:rich>
                  <a:bodyPr/>
                  <a:lstStyle/>
                  <a:p>
                    <a:fld id="{7220F6A4-DAC7-4BDF-839C-BE54418A017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723-4305-A46E-E495DA65B284}"/>
                </c:ext>
              </c:extLst>
            </c:dLbl>
            <c:dLbl>
              <c:idx val="19"/>
              <c:tx>
                <c:rich>
                  <a:bodyPr/>
                  <a:lstStyle/>
                  <a:p>
                    <a:fld id="{69311AF9-F1A4-4498-A439-6B26436AAB9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723-4305-A46E-E495DA65B284}"/>
                </c:ext>
              </c:extLst>
            </c:dLbl>
            <c:dLbl>
              <c:idx val="20"/>
              <c:tx>
                <c:rich>
                  <a:bodyPr/>
                  <a:lstStyle/>
                  <a:p>
                    <a:fld id="{9C8BC1FE-FF81-4FBE-A25D-90DEEEFA4D4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723-4305-A46E-E495DA65B284}"/>
                </c:ext>
              </c:extLst>
            </c:dLbl>
            <c:dLbl>
              <c:idx val="21"/>
              <c:tx>
                <c:rich>
                  <a:bodyPr/>
                  <a:lstStyle/>
                  <a:p>
                    <a:fld id="{ADF88204-ACC5-4BFA-BDF8-0CAC0A6D26F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4723-4305-A46E-E495DA65B284}"/>
                </c:ext>
              </c:extLst>
            </c:dLbl>
            <c:dLbl>
              <c:idx val="22"/>
              <c:tx>
                <c:rich>
                  <a:bodyPr/>
                  <a:lstStyle/>
                  <a:p>
                    <a:fld id="{3DBC2FF6-9B43-46D3-A3A4-1BB9FA9564E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4723-4305-A46E-E495DA65B284}"/>
                </c:ext>
              </c:extLst>
            </c:dLbl>
            <c:dLbl>
              <c:idx val="23"/>
              <c:tx>
                <c:rich>
                  <a:bodyPr/>
                  <a:lstStyle/>
                  <a:p>
                    <a:fld id="{8E908DB4-2C49-40A1-9CAB-2D1341629BC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4723-4305-A46E-E495DA65B284}"/>
                </c:ext>
              </c:extLst>
            </c:dLbl>
            <c:dLbl>
              <c:idx val="24"/>
              <c:tx>
                <c:rich>
                  <a:bodyPr/>
                  <a:lstStyle/>
                  <a:p>
                    <a:fld id="{4557236A-855E-4556-A110-4FFC024F0D5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4723-4305-A46E-E495DA65B284}"/>
                </c:ext>
              </c:extLst>
            </c:dLbl>
            <c:dLbl>
              <c:idx val="25"/>
              <c:tx>
                <c:rich>
                  <a:bodyPr/>
                  <a:lstStyle/>
                  <a:p>
                    <a:fld id="{FD62D274-52BE-4DA3-9E29-6B1C9CA22E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4723-4305-A46E-E495DA65B284}"/>
                </c:ext>
              </c:extLst>
            </c:dLbl>
            <c:dLbl>
              <c:idx val="26"/>
              <c:tx>
                <c:rich>
                  <a:bodyPr/>
                  <a:lstStyle/>
                  <a:p>
                    <a:fld id="{CA31548C-8DCC-43C5-BDB2-E60167A949D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4723-4305-A46E-E495DA65B284}"/>
                </c:ext>
              </c:extLst>
            </c:dLbl>
            <c:dLbl>
              <c:idx val="27"/>
              <c:tx>
                <c:rich>
                  <a:bodyPr/>
                  <a:lstStyle/>
                  <a:p>
                    <a:fld id="{4E714F7C-BA9E-4676-BA11-DFFC05D3908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723-4305-A46E-E495DA65B284}"/>
                </c:ext>
              </c:extLst>
            </c:dLbl>
            <c:dLbl>
              <c:idx val="28"/>
              <c:tx>
                <c:rich>
                  <a:bodyPr/>
                  <a:lstStyle/>
                  <a:p>
                    <a:fld id="{737F6602-7157-4519-96E7-4496A704DD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4723-4305-A46E-E495DA65B284}"/>
                </c:ext>
              </c:extLst>
            </c:dLbl>
            <c:dLbl>
              <c:idx val="29"/>
              <c:tx>
                <c:rich>
                  <a:bodyPr/>
                  <a:lstStyle/>
                  <a:p>
                    <a:fld id="{D02D7DD7-F2D9-434E-A450-75281528C46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4723-4305-A46E-E495DA65B284}"/>
                </c:ext>
              </c:extLst>
            </c:dLbl>
            <c:dLbl>
              <c:idx val="30"/>
              <c:tx>
                <c:rich>
                  <a:bodyPr/>
                  <a:lstStyle/>
                  <a:p>
                    <a:fld id="{A214BDC3-1245-442C-8602-405577D3EE0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4723-4305-A46E-E495DA65B284}"/>
                </c:ext>
              </c:extLst>
            </c:dLbl>
            <c:dLbl>
              <c:idx val="31"/>
              <c:tx>
                <c:rich>
                  <a:bodyPr/>
                  <a:lstStyle/>
                  <a:p>
                    <a:fld id="{564617C6-DC67-4140-A145-BD2A9D347F3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4723-4305-A46E-E495DA65B284}"/>
                </c:ext>
              </c:extLst>
            </c:dLbl>
            <c:dLbl>
              <c:idx val="32"/>
              <c:tx>
                <c:rich>
                  <a:bodyPr/>
                  <a:lstStyle/>
                  <a:p>
                    <a:fld id="{2609ED5C-2759-4701-A5CC-A24CFD6D691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4723-4305-A46E-E495DA65B284}"/>
                </c:ext>
              </c:extLst>
            </c:dLbl>
            <c:dLbl>
              <c:idx val="33"/>
              <c:tx>
                <c:rich>
                  <a:bodyPr/>
                  <a:lstStyle/>
                  <a:p>
                    <a:fld id="{29C1DC35-8A6F-4AFD-8550-B9E508E598E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4723-4305-A46E-E495DA65B284}"/>
                </c:ext>
              </c:extLst>
            </c:dLbl>
            <c:dLbl>
              <c:idx val="34"/>
              <c:tx>
                <c:rich>
                  <a:bodyPr/>
                  <a:lstStyle/>
                  <a:p>
                    <a:fld id="{4A8DEE04-578F-4A43-9486-AD103AE3827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4723-4305-A46E-E495DA65B284}"/>
                </c:ext>
              </c:extLst>
            </c:dLbl>
            <c:dLbl>
              <c:idx val="35"/>
              <c:tx>
                <c:rich>
                  <a:bodyPr/>
                  <a:lstStyle/>
                  <a:p>
                    <a:fld id="{20556CF5-24B0-438C-BF95-C98BDB0C44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4723-4305-A46E-E495DA65B284}"/>
                </c:ext>
              </c:extLst>
            </c:dLbl>
            <c:dLbl>
              <c:idx val="36"/>
              <c:tx>
                <c:rich>
                  <a:bodyPr/>
                  <a:lstStyle/>
                  <a:p>
                    <a:fld id="{132A63F9-79D7-49AB-8A55-91E94CE399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4723-4305-A46E-E495DA65B284}"/>
                </c:ext>
              </c:extLst>
            </c:dLbl>
            <c:dLbl>
              <c:idx val="37"/>
              <c:tx>
                <c:rich>
                  <a:bodyPr/>
                  <a:lstStyle/>
                  <a:p>
                    <a:fld id="{F3288B1B-CAA7-4F5C-A29E-03864F00816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4723-4305-A46E-E495DA65B284}"/>
                </c:ext>
              </c:extLst>
            </c:dLbl>
            <c:dLbl>
              <c:idx val="38"/>
              <c:tx>
                <c:rich>
                  <a:bodyPr/>
                  <a:lstStyle/>
                  <a:p>
                    <a:fld id="{E65F82F5-6483-4C46-8268-94EB6E88DF0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4723-4305-A46E-E495DA65B284}"/>
                </c:ext>
              </c:extLst>
            </c:dLbl>
            <c:dLbl>
              <c:idx val="39"/>
              <c:tx>
                <c:rich>
                  <a:bodyPr/>
                  <a:lstStyle/>
                  <a:p>
                    <a:fld id="{00AA1EB7-B990-4A1F-BAE9-DA735A518C7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4723-4305-A46E-E495DA65B284}"/>
                </c:ext>
              </c:extLst>
            </c:dLbl>
            <c:dLbl>
              <c:idx val="40"/>
              <c:tx>
                <c:rich>
                  <a:bodyPr/>
                  <a:lstStyle/>
                  <a:p>
                    <a:fld id="{CCCBE33B-A78A-4B2C-9A43-D55EA112CBE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4723-4305-A46E-E495DA65B284}"/>
                </c:ext>
              </c:extLst>
            </c:dLbl>
            <c:dLbl>
              <c:idx val="41"/>
              <c:tx>
                <c:rich>
                  <a:bodyPr/>
                  <a:lstStyle/>
                  <a:p>
                    <a:fld id="{198B9FA8-F1BB-4ECC-B77B-F5161F3077E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4723-4305-A46E-E495DA65B284}"/>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graf'!$AW$44:$AW$83</c:f>
              <c:numCache>
                <c:formatCode>General</c:formatCode>
                <c:ptCount val="40"/>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4723-4305-A46E-E495DA65B284}"/>
            </c:ext>
          </c:extLst>
        </c:ser>
        <c:ser>
          <c:idx val="0"/>
          <c:order val="2"/>
          <c:tx>
            <c:strRef>
              <c:f>'Prerađivačka_FS graf'!$AX$7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graf'!$AX$44:$AX$83</c:f>
              <c:numCache>
                <c:formatCode>0.0</c:formatCode>
                <c:ptCount val="40"/>
                <c:pt idx="0">
                  <c:v>79.985249377708129</c:v>
                </c:pt>
                <c:pt idx="1">
                  <c:v>100.67299714206692</c:v>
                </c:pt>
                <c:pt idx="2">
                  <c:v>117.93122522356411</c:v>
                </c:pt>
                <c:pt idx="3">
                  <c:v>109.41274085000461</c:v>
                </c:pt>
                <c:pt idx="4">
                  <c:v>110.96155619065181</c:v>
                </c:pt>
                <c:pt idx="5">
                  <c:v>114.05918687194617</c:v>
                </c:pt>
                <c:pt idx="6">
                  <c:v>108.97022218124827</c:v>
                </c:pt>
                <c:pt idx="7">
                  <c:v>108.63833317968101</c:v>
                </c:pt>
                <c:pt idx="8">
                  <c:v>113.61666820318983</c:v>
                </c:pt>
                <c:pt idx="9">
                  <c:v>120.69696690329124</c:v>
                </c:pt>
                <c:pt idx="10">
                  <c:v>122.02452290956025</c:v>
                </c:pt>
                <c:pt idx="11">
                  <c:v>120.47570756891308</c:v>
                </c:pt>
                <c:pt idx="12">
                  <c:v>85.737992071540518</c:v>
                </c:pt>
                <c:pt idx="13">
                  <c:v>107.75329584216836</c:v>
                </c:pt>
                <c:pt idx="14">
                  <c:v>130.1004886143634</c:v>
                </c:pt>
                <c:pt idx="15">
                  <c:v>108.30644417811376</c:v>
                </c:pt>
                <c:pt idx="16">
                  <c:v>123.24144924864018</c:v>
                </c:pt>
                <c:pt idx="17">
                  <c:v>119.92255923296764</c:v>
                </c:pt>
                <c:pt idx="18">
                  <c:v>96.6903291232599</c:v>
                </c:pt>
                <c:pt idx="19">
                  <c:v>107.75329584216836</c:v>
                </c:pt>
                <c:pt idx="20">
                  <c:v>112.51037153129899</c:v>
                </c:pt>
                <c:pt idx="21">
                  <c:v>114.39107587351343</c:v>
                </c:pt>
                <c:pt idx="22">
                  <c:v>114.28044620632434</c:v>
                </c:pt>
                <c:pt idx="23">
                  <c:v>121.0288559048585</c:v>
                </c:pt>
                <c:pt idx="24">
                  <c:v>78.104545035493672</c:v>
                </c:pt>
                <c:pt idx="25">
                  <c:v>88.614363418456705</c:v>
                </c:pt>
                <c:pt idx="26">
                  <c:v>113.28477920162257</c:v>
                </c:pt>
                <c:pt idx="27">
                  <c:v>95.030884115423632</c:v>
                </c:pt>
                <c:pt idx="28">
                  <c:v>104.87692449525214</c:v>
                </c:pt>
                <c:pt idx="29">
                  <c:v>112.17848252973172</c:v>
                </c:pt>
                <c:pt idx="30">
                  <c:v>99.677330137365161</c:v>
                </c:pt>
                <c:pt idx="31">
                  <c:v>99.124181801419738</c:v>
                </c:pt>
                <c:pt idx="32">
                  <c:v>104.32377615930673</c:v>
                </c:pt>
                <c:pt idx="33">
                  <c:v>96.6903291232599</c:v>
                </c:pt>
                <c:pt idx="34">
                  <c:v>100.67299714206692</c:v>
                </c:pt>
                <c:pt idx="35">
                  <c:v>107.42140684060108</c:v>
                </c:pt>
                <c:pt idx="36">
                  <c:v>83.9</c:v>
                </c:pt>
                <c:pt idx="37">
                  <c:v>105.1</c:v>
                </c:pt>
                <c:pt idx="38">
                  <c:v>106.5</c:v>
                </c:pt>
                <c:pt idx="39">
                  <c:v>124.1</c:v>
                </c:pt>
              </c:numCache>
            </c:numRef>
          </c:val>
          <c:smooth val="0"/>
          <c:extLst>
            <c:ext xmlns:c16="http://schemas.microsoft.com/office/drawing/2014/chart" uri="{C3380CC4-5D6E-409C-BE32-E72D297353CC}">
              <c16:uniqueId val="{00000030-4723-4305-A46E-E495DA65B284}"/>
            </c:ext>
          </c:extLst>
        </c:ser>
        <c:ser>
          <c:idx val="1"/>
          <c:order val="3"/>
          <c:tx>
            <c:strRef>
              <c:f>'Prerađivačka_FS graf'!$AY$7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graf'!$AY$44:$AY$83</c:f>
              <c:numCache>
                <c:formatCode>0.0</c:formatCode>
                <c:ptCount val="40"/>
                <c:pt idx="0">
                  <c:v>107.81907505285268</c:v>
                </c:pt>
                <c:pt idx="1">
                  <c:v>109.15545744184695</c:v>
                </c:pt>
                <c:pt idx="2">
                  <c:v>107.69443107920492</c:v>
                </c:pt>
                <c:pt idx="3">
                  <c:v>110.85225637383138</c:v>
                </c:pt>
                <c:pt idx="4">
                  <c:v>109.48171089321191</c:v>
                </c:pt>
                <c:pt idx="5">
                  <c:v>105.7325301518035</c:v>
                </c:pt>
                <c:pt idx="6">
                  <c:v>111.59361812334095</c:v>
                </c:pt>
                <c:pt idx="7">
                  <c:v>110.86324672901303</c:v>
                </c:pt>
                <c:pt idx="8">
                  <c:v>107.01055557469661</c:v>
                </c:pt>
                <c:pt idx="9">
                  <c:v>115.04694334741289</c:v>
                </c:pt>
                <c:pt idx="10">
                  <c:v>116.13296741976923</c:v>
                </c:pt>
                <c:pt idx="11">
                  <c:v>110.77124218037468</c:v>
                </c:pt>
                <c:pt idx="12">
                  <c:v>113.02815614198447</c:v>
                </c:pt>
                <c:pt idx="13">
                  <c:v>117.84055069329671</c:v>
                </c:pt>
                <c:pt idx="14">
                  <c:v>119.21554175321666</c:v>
                </c:pt>
                <c:pt idx="15">
                  <c:v>112.60636595831983</c:v>
                </c:pt>
                <c:pt idx="16">
                  <c:v>117.96680244686262</c:v>
                </c:pt>
                <c:pt idx="17">
                  <c:v>110.80966597266459</c:v>
                </c:pt>
                <c:pt idx="18">
                  <c:v>101.1143361934253</c:v>
                </c:pt>
                <c:pt idx="19">
                  <c:v>107.86200005803425</c:v>
                </c:pt>
                <c:pt idx="20">
                  <c:v>106.41362652275181</c:v>
                </c:pt>
                <c:pt idx="21">
                  <c:v>109.92524725853524</c:v>
                </c:pt>
                <c:pt idx="22">
                  <c:v>109.71178681778065</c:v>
                </c:pt>
                <c:pt idx="23">
                  <c:v>112.99422786548575</c:v>
                </c:pt>
                <c:pt idx="24">
                  <c:v>101.23243879476166</c:v>
                </c:pt>
                <c:pt idx="25">
                  <c:v>96.957015232364114</c:v>
                </c:pt>
                <c:pt idx="26">
                  <c:v>103.9269684798182</c:v>
                </c:pt>
                <c:pt idx="27">
                  <c:v>99.785484591912393</c:v>
                </c:pt>
                <c:pt idx="28">
                  <c:v>100.243561759522</c:v>
                </c:pt>
                <c:pt idx="29">
                  <c:v>103.39566086894513</c:v>
                </c:pt>
                <c:pt idx="30">
                  <c:v>104.72378761790256</c:v>
                </c:pt>
                <c:pt idx="31">
                  <c:v>99.195406940562961</c:v>
                </c:pt>
                <c:pt idx="32">
                  <c:v>100.99645447001045</c:v>
                </c:pt>
                <c:pt idx="33">
                  <c:v>91.651880828301188</c:v>
                </c:pt>
                <c:pt idx="34">
                  <c:v>95.351657823629978</c:v>
                </c:pt>
                <c:pt idx="35">
                  <c:v>101.88069639354748</c:v>
                </c:pt>
                <c:pt idx="36">
                  <c:v>109.29439800512061</c:v>
                </c:pt>
                <c:pt idx="37">
                  <c:v>111.12176028634526</c:v>
                </c:pt>
                <c:pt idx="38">
                  <c:v>101.7411290120716</c:v>
                </c:pt>
                <c:pt idx="39">
                  <c:v>118.87229820527186</c:v>
                </c:pt>
              </c:numCache>
            </c:numRef>
          </c:val>
          <c:smooth val="0"/>
          <c:extLst>
            <c:ext xmlns:c16="http://schemas.microsoft.com/office/drawing/2014/chart" uri="{C3380CC4-5D6E-409C-BE32-E72D297353CC}">
              <c16:uniqueId val="{00000031-4723-4305-A46E-E495DA65B284}"/>
            </c:ext>
          </c:extLst>
        </c:ser>
        <c:ser>
          <c:idx val="2"/>
          <c:order val="4"/>
          <c:tx>
            <c:strRef>
              <c:f>'Prerađivačka_FS graf'!$AZ$7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graf'!$AZ$44:$AZ$83</c:f>
              <c:numCache>
                <c:formatCode>0.0</c:formatCode>
                <c:ptCount val="40"/>
                <c:pt idx="0">
                  <c:v>108.31248555811943</c:v>
                </c:pt>
                <c:pt idx="1">
                  <c:v>108.30224569007657</c:v>
                </c:pt>
                <c:pt idx="2">
                  <c:v>108.68749511198099</c:v>
                </c:pt>
                <c:pt idx="3">
                  <c:v>108.93745392968816</c:v>
                </c:pt>
                <c:pt idx="4">
                  <c:v>108.88733047807831</c:v>
                </c:pt>
                <c:pt idx="5">
                  <c:v>108.98899235953036</c:v>
                </c:pt>
                <c:pt idx="6">
                  <c:v>109.50801968826924</c:v>
                </c:pt>
                <c:pt idx="7">
                  <c:v>110.23512179779215</c:v>
                </c:pt>
                <c:pt idx="8">
                  <c:v>111.08280056316686</c:v>
                </c:pt>
                <c:pt idx="9">
                  <c:v>112.11960607305078</c:v>
                </c:pt>
                <c:pt idx="10">
                  <c:v>113.19720236870738</c:v>
                </c:pt>
                <c:pt idx="11">
                  <c:v>114.25604057738376</c:v>
                </c:pt>
                <c:pt idx="12">
                  <c:v>115.40741659474686</c:v>
                </c:pt>
                <c:pt idx="13">
                  <c:v>116.25036991231912</c:v>
                </c:pt>
                <c:pt idx="14">
                  <c:v>116.22131704424318</c:v>
                </c:pt>
                <c:pt idx="15">
                  <c:v>115.10938178579924</c:v>
                </c:pt>
                <c:pt idx="16">
                  <c:v>113.10753966796055</c:v>
                </c:pt>
                <c:pt idx="17">
                  <c:v>110.53795693300553</c:v>
                </c:pt>
                <c:pt idx="18">
                  <c:v>108.48497475986434</c:v>
                </c:pt>
                <c:pt idx="19">
                  <c:v>107.76496648274825</c:v>
                </c:pt>
                <c:pt idx="20">
                  <c:v>107.96537355424454</c:v>
                </c:pt>
                <c:pt idx="21">
                  <c:v>108.29308616649305</c:v>
                </c:pt>
                <c:pt idx="22">
                  <c:v>108.03858445729659</c:v>
                </c:pt>
                <c:pt idx="23">
                  <c:v>106.81100222951977</c:v>
                </c:pt>
                <c:pt idx="24">
                  <c:v>104.6251020654226</c:v>
                </c:pt>
                <c:pt idx="25">
                  <c:v>102.46363754942261</c:v>
                </c:pt>
                <c:pt idx="26">
                  <c:v>101.13787644498228</c:v>
                </c:pt>
                <c:pt idx="27">
                  <c:v>100.92563322036379</c:v>
                </c:pt>
                <c:pt idx="28">
                  <c:v>101.49252784940049</c:v>
                </c:pt>
                <c:pt idx="29">
                  <c:v>101.85946216768338</c:v>
                </c:pt>
                <c:pt idx="30">
                  <c:v>101.24128535576502</c:v>
                </c:pt>
                <c:pt idx="31">
                  <c:v>99.717882965962559</c:v>
                </c:pt>
                <c:pt idx="32">
                  <c:v>98.44570836723922</c:v>
                </c:pt>
                <c:pt idx="33">
                  <c:v>98.091725990613952</c:v>
                </c:pt>
                <c:pt idx="34">
                  <c:v>99.112035685757718</c:v>
                </c:pt>
                <c:pt idx="35">
                  <c:v>101.70405300560299</c:v>
                </c:pt>
                <c:pt idx="36">
                  <c:v>105.34349314473536</c:v>
                </c:pt>
                <c:pt idx="37">
                  <c:v>109.10534520678674</c:v>
                </c:pt>
                <c:pt idx="38">
                  <c:v>112.20183051469614</c:v>
                </c:pt>
                <c:pt idx="39">
                  <c:v>114.33565790108624</c:v>
                </c:pt>
              </c:numCache>
            </c:numRef>
          </c:val>
          <c:smooth val="0"/>
          <c:extLst>
            <c:ext xmlns:c16="http://schemas.microsoft.com/office/drawing/2014/chart" uri="{C3380CC4-5D6E-409C-BE32-E72D297353CC}">
              <c16:uniqueId val="{00000032-4723-4305-A46E-E495DA65B284}"/>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3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graf'!$BA$7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299262709008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243-4B7C-94C2-6544C245F18C}"/>
                </c:ext>
              </c:extLst>
            </c:dLbl>
            <c:dLbl>
              <c:idx val="12"/>
              <c:layout>
                <c:manualLayout>
                  <c:x val="7.078404730482976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243-4B7C-94C2-6544C245F18C}"/>
                </c:ext>
              </c:extLst>
            </c:dLbl>
            <c:dLbl>
              <c:idx val="24"/>
              <c:layout>
                <c:manualLayout>
                  <c:x val="7.201803482695425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243-4B7C-94C2-6544C245F18C}"/>
                </c:ext>
              </c:extLst>
            </c:dLbl>
            <c:dLbl>
              <c:idx val="36"/>
              <c:layout>
                <c:manualLayout>
                  <c:x val="-8.8515343298395336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243-4B7C-94C2-6544C245F18C}"/>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graf'!$BA$44:$BA$83</c:f>
              <c:numCache>
                <c:formatCode>General</c:formatCode>
                <c:ptCount val="40"/>
                <c:pt idx="0">
                  <c:v>70</c:v>
                </c:pt>
                <c:pt idx="12">
                  <c:v>70</c:v>
                </c:pt>
                <c:pt idx="24">
                  <c:v>70</c:v>
                </c:pt>
                <c:pt idx="36">
                  <c:v>70</c:v>
                </c:pt>
              </c:numCache>
            </c:numRef>
          </c:val>
          <c:smooth val="0"/>
          <c:extLst>
            <c:ext xmlns:c16="http://schemas.microsoft.com/office/drawing/2014/chart" uri="{C3380CC4-5D6E-409C-BE32-E72D297353CC}">
              <c16:uniqueId val="{00000004-E243-4B7C-94C2-6544C245F18C}"/>
            </c:ext>
          </c:extLst>
        </c:ser>
        <c:ser>
          <c:idx val="4"/>
          <c:order val="1"/>
          <c:tx>
            <c:strRef>
              <c:f>'Prerađivačka_FS graf'!$BB$7</c:f>
              <c:strCache>
                <c:ptCount val="1"/>
                <c:pt idx="0">
                  <c:v>Series5</c:v>
                </c:pt>
              </c:strCache>
            </c:strRef>
          </c:tx>
          <c:spPr>
            <a:ln w="25400" cap="rnd">
              <a:noFill/>
              <a:round/>
            </a:ln>
            <a:effectLst/>
          </c:spPr>
          <c:marker>
            <c:symbol val="none"/>
          </c:marker>
          <c:dLbls>
            <c:dLbl>
              <c:idx val="0"/>
              <c:tx>
                <c:rich>
                  <a:bodyPr/>
                  <a:lstStyle/>
                  <a:p>
                    <a:fld id="{291401F3-5591-44C9-AC54-597097B4B64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E243-4B7C-94C2-6544C245F18C}"/>
                </c:ext>
              </c:extLst>
            </c:dLbl>
            <c:dLbl>
              <c:idx val="1"/>
              <c:tx>
                <c:rich>
                  <a:bodyPr/>
                  <a:lstStyle/>
                  <a:p>
                    <a:fld id="{392175AA-3FD5-479A-88D8-27682FD38DB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E243-4B7C-94C2-6544C245F18C}"/>
                </c:ext>
              </c:extLst>
            </c:dLbl>
            <c:dLbl>
              <c:idx val="2"/>
              <c:tx>
                <c:rich>
                  <a:bodyPr/>
                  <a:lstStyle/>
                  <a:p>
                    <a:fld id="{817E9F51-6224-4C0C-B0EB-6E7A131A62C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E243-4B7C-94C2-6544C245F18C}"/>
                </c:ext>
              </c:extLst>
            </c:dLbl>
            <c:dLbl>
              <c:idx val="3"/>
              <c:tx>
                <c:rich>
                  <a:bodyPr/>
                  <a:lstStyle/>
                  <a:p>
                    <a:fld id="{F9D5E623-897E-4ECE-AF42-145F134D990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E243-4B7C-94C2-6544C245F18C}"/>
                </c:ext>
              </c:extLst>
            </c:dLbl>
            <c:dLbl>
              <c:idx val="4"/>
              <c:tx>
                <c:rich>
                  <a:bodyPr/>
                  <a:lstStyle/>
                  <a:p>
                    <a:fld id="{E754DA7F-D245-4D8B-9C43-6B1CBDCDC17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E243-4B7C-94C2-6544C245F18C}"/>
                </c:ext>
              </c:extLst>
            </c:dLbl>
            <c:dLbl>
              <c:idx val="5"/>
              <c:tx>
                <c:rich>
                  <a:bodyPr/>
                  <a:lstStyle/>
                  <a:p>
                    <a:fld id="{36320D15-AB0F-4139-89FB-05E666A3999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E243-4B7C-94C2-6544C245F18C}"/>
                </c:ext>
              </c:extLst>
            </c:dLbl>
            <c:dLbl>
              <c:idx val="6"/>
              <c:tx>
                <c:rich>
                  <a:bodyPr/>
                  <a:lstStyle/>
                  <a:p>
                    <a:fld id="{75BA2436-758D-40BD-BE43-5CAEED386A8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E243-4B7C-94C2-6544C245F18C}"/>
                </c:ext>
              </c:extLst>
            </c:dLbl>
            <c:dLbl>
              <c:idx val="7"/>
              <c:tx>
                <c:rich>
                  <a:bodyPr/>
                  <a:lstStyle/>
                  <a:p>
                    <a:fld id="{927F8620-5634-43C1-B0EE-42F6EE04E82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E243-4B7C-94C2-6544C245F18C}"/>
                </c:ext>
              </c:extLst>
            </c:dLbl>
            <c:dLbl>
              <c:idx val="8"/>
              <c:tx>
                <c:rich>
                  <a:bodyPr/>
                  <a:lstStyle/>
                  <a:p>
                    <a:fld id="{F05344AB-19FE-4A06-96D2-8325C134AF4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E243-4B7C-94C2-6544C245F18C}"/>
                </c:ext>
              </c:extLst>
            </c:dLbl>
            <c:dLbl>
              <c:idx val="9"/>
              <c:tx>
                <c:rich>
                  <a:bodyPr/>
                  <a:lstStyle/>
                  <a:p>
                    <a:fld id="{75AEF9F5-B021-4222-B8BE-235814F21D6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E243-4B7C-94C2-6544C245F18C}"/>
                </c:ext>
              </c:extLst>
            </c:dLbl>
            <c:dLbl>
              <c:idx val="10"/>
              <c:tx>
                <c:rich>
                  <a:bodyPr/>
                  <a:lstStyle/>
                  <a:p>
                    <a:fld id="{1BA6CEF1-D13F-482C-B289-75F2D4009D3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E243-4B7C-94C2-6544C245F18C}"/>
                </c:ext>
              </c:extLst>
            </c:dLbl>
            <c:dLbl>
              <c:idx val="11"/>
              <c:tx>
                <c:rich>
                  <a:bodyPr/>
                  <a:lstStyle/>
                  <a:p>
                    <a:fld id="{F2067C7A-4DA7-40F0-9D77-1E37017774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E243-4B7C-94C2-6544C245F18C}"/>
                </c:ext>
              </c:extLst>
            </c:dLbl>
            <c:dLbl>
              <c:idx val="12"/>
              <c:tx>
                <c:rich>
                  <a:bodyPr/>
                  <a:lstStyle/>
                  <a:p>
                    <a:fld id="{6E1EAED7-9C9E-45F3-B8B7-DBAD4D574E2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E243-4B7C-94C2-6544C245F18C}"/>
                </c:ext>
              </c:extLst>
            </c:dLbl>
            <c:dLbl>
              <c:idx val="13"/>
              <c:tx>
                <c:rich>
                  <a:bodyPr/>
                  <a:lstStyle/>
                  <a:p>
                    <a:fld id="{642065D4-D48E-4A9B-B66B-C9EBB90DCEB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E243-4B7C-94C2-6544C245F18C}"/>
                </c:ext>
              </c:extLst>
            </c:dLbl>
            <c:dLbl>
              <c:idx val="14"/>
              <c:tx>
                <c:rich>
                  <a:bodyPr/>
                  <a:lstStyle/>
                  <a:p>
                    <a:fld id="{3038E9A2-75BD-4E00-950D-02F34988D95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E243-4B7C-94C2-6544C245F18C}"/>
                </c:ext>
              </c:extLst>
            </c:dLbl>
            <c:dLbl>
              <c:idx val="15"/>
              <c:tx>
                <c:rich>
                  <a:bodyPr/>
                  <a:lstStyle/>
                  <a:p>
                    <a:fld id="{5FDA65AD-6EE6-4CD8-88B4-A90C7717745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E243-4B7C-94C2-6544C245F18C}"/>
                </c:ext>
              </c:extLst>
            </c:dLbl>
            <c:dLbl>
              <c:idx val="16"/>
              <c:tx>
                <c:rich>
                  <a:bodyPr/>
                  <a:lstStyle/>
                  <a:p>
                    <a:fld id="{FAAF33AD-C7EB-4C78-9235-13FE45940CB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E243-4B7C-94C2-6544C245F18C}"/>
                </c:ext>
              </c:extLst>
            </c:dLbl>
            <c:dLbl>
              <c:idx val="17"/>
              <c:tx>
                <c:rich>
                  <a:bodyPr/>
                  <a:lstStyle/>
                  <a:p>
                    <a:fld id="{040F529C-56E3-481C-9E6C-5805A5A0EA8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E243-4B7C-94C2-6544C245F18C}"/>
                </c:ext>
              </c:extLst>
            </c:dLbl>
            <c:dLbl>
              <c:idx val="18"/>
              <c:tx>
                <c:rich>
                  <a:bodyPr/>
                  <a:lstStyle/>
                  <a:p>
                    <a:fld id="{6BE7BE65-22E5-4479-A789-97A6B65D00B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E243-4B7C-94C2-6544C245F18C}"/>
                </c:ext>
              </c:extLst>
            </c:dLbl>
            <c:dLbl>
              <c:idx val="19"/>
              <c:tx>
                <c:rich>
                  <a:bodyPr/>
                  <a:lstStyle/>
                  <a:p>
                    <a:fld id="{E7B4093A-21D0-4AEA-896E-BA0BF628AFE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E243-4B7C-94C2-6544C245F18C}"/>
                </c:ext>
              </c:extLst>
            </c:dLbl>
            <c:dLbl>
              <c:idx val="20"/>
              <c:tx>
                <c:rich>
                  <a:bodyPr/>
                  <a:lstStyle/>
                  <a:p>
                    <a:fld id="{F45181B0-04B6-414B-85B5-22BD319C5DA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E243-4B7C-94C2-6544C245F18C}"/>
                </c:ext>
              </c:extLst>
            </c:dLbl>
            <c:dLbl>
              <c:idx val="21"/>
              <c:tx>
                <c:rich>
                  <a:bodyPr/>
                  <a:lstStyle/>
                  <a:p>
                    <a:fld id="{DDA2EDE1-922F-4F9C-8803-B93174CD0EB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E243-4B7C-94C2-6544C245F18C}"/>
                </c:ext>
              </c:extLst>
            </c:dLbl>
            <c:dLbl>
              <c:idx val="22"/>
              <c:tx>
                <c:rich>
                  <a:bodyPr/>
                  <a:lstStyle/>
                  <a:p>
                    <a:fld id="{0EBB89DD-DF53-4A70-9325-2E6AE712769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E243-4B7C-94C2-6544C245F18C}"/>
                </c:ext>
              </c:extLst>
            </c:dLbl>
            <c:dLbl>
              <c:idx val="23"/>
              <c:tx>
                <c:rich>
                  <a:bodyPr/>
                  <a:lstStyle/>
                  <a:p>
                    <a:fld id="{E5F31C7E-D6E0-43A3-B1D2-33C76665EFE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E243-4B7C-94C2-6544C245F18C}"/>
                </c:ext>
              </c:extLst>
            </c:dLbl>
            <c:dLbl>
              <c:idx val="24"/>
              <c:tx>
                <c:rich>
                  <a:bodyPr/>
                  <a:lstStyle/>
                  <a:p>
                    <a:fld id="{86AC32B3-99AA-4CD8-BC8A-695FA736EE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E243-4B7C-94C2-6544C245F18C}"/>
                </c:ext>
              </c:extLst>
            </c:dLbl>
            <c:dLbl>
              <c:idx val="25"/>
              <c:tx>
                <c:rich>
                  <a:bodyPr/>
                  <a:lstStyle/>
                  <a:p>
                    <a:fld id="{F6041135-9CAE-49F1-8D87-E35D453FE86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E243-4B7C-94C2-6544C245F18C}"/>
                </c:ext>
              </c:extLst>
            </c:dLbl>
            <c:dLbl>
              <c:idx val="26"/>
              <c:tx>
                <c:rich>
                  <a:bodyPr/>
                  <a:lstStyle/>
                  <a:p>
                    <a:fld id="{ADE29E11-0160-4693-BE57-54CD433B0B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E243-4B7C-94C2-6544C245F18C}"/>
                </c:ext>
              </c:extLst>
            </c:dLbl>
            <c:dLbl>
              <c:idx val="27"/>
              <c:tx>
                <c:rich>
                  <a:bodyPr/>
                  <a:lstStyle/>
                  <a:p>
                    <a:fld id="{96DF4B09-66AE-4BFC-ACBA-FEDC6EF217B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E243-4B7C-94C2-6544C245F18C}"/>
                </c:ext>
              </c:extLst>
            </c:dLbl>
            <c:dLbl>
              <c:idx val="28"/>
              <c:tx>
                <c:rich>
                  <a:bodyPr/>
                  <a:lstStyle/>
                  <a:p>
                    <a:fld id="{FCBE34F5-E2D7-435A-9F4B-BDC7A50FEBA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E243-4B7C-94C2-6544C245F18C}"/>
                </c:ext>
              </c:extLst>
            </c:dLbl>
            <c:dLbl>
              <c:idx val="29"/>
              <c:tx>
                <c:rich>
                  <a:bodyPr/>
                  <a:lstStyle/>
                  <a:p>
                    <a:fld id="{50B9CF53-0CCE-48E5-BCD0-5F225752304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E243-4B7C-94C2-6544C245F18C}"/>
                </c:ext>
              </c:extLst>
            </c:dLbl>
            <c:dLbl>
              <c:idx val="30"/>
              <c:tx>
                <c:rich>
                  <a:bodyPr/>
                  <a:lstStyle/>
                  <a:p>
                    <a:fld id="{F9D66BB9-69D0-4E25-B02F-7183B6E288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E243-4B7C-94C2-6544C245F18C}"/>
                </c:ext>
              </c:extLst>
            </c:dLbl>
            <c:dLbl>
              <c:idx val="31"/>
              <c:tx>
                <c:rich>
                  <a:bodyPr/>
                  <a:lstStyle/>
                  <a:p>
                    <a:fld id="{7ABC0F58-C343-4904-AF63-C5978F1A800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E243-4B7C-94C2-6544C245F18C}"/>
                </c:ext>
              </c:extLst>
            </c:dLbl>
            <c:dLbl>
              <c:idx val="32"/>
              <c:tx>
                <c:rich>
                  <a:bodyPr/>
                  <a:lstStyle/>
                  <a:p>
                    <a:fld id="{2BD8ABEF-B57F-4B9E-985C-156467594E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E243-4B7C-94C2-6544C245F18C}"/>
                </c:ext>
              </c:extLst>
            </c:dLbl>
            <c:dLbl>
              <c:idx val="33"/>
              <c:tx>
                <c:rich>
                  <a:bodyPr/>
                  <a:lstStyle/>
                  <a:p>
                    <a:fld id="{A8D55FD2-C3E5-4160-90B4-D28E2529E86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E243-4B7C-94C2-6544C245F18C}"/>
                </c:ext>
              </c:extLst>
            </c:dLbl>
            <c:dLbl>
              <c:idx val="34"/>
              <c:tx>
                <c:rich>
                  <a:bodyPr/>
                  <a:lstStyle/>
                  <a:p>
                    <a:fld id="{465DFE4A-4589-45A4-9850-CB7C6366B3A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E243-4B7C-94C2-6544C245F18C}"/>
                </c:ext>
              </c:extLst>
            </c:dLbl>
            <c:dLbl>
              <c:idx val="35"/>
              <c:tx>
                <c:rich>
                  <a:bodyPr/>
                  <a:lstStyle/>
                  <a:p>
                    <a:fld id="{DE9C02A5-9AE5-4F5B-BD65-96FBF1E3B65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E243-4B7C-94C2-6544C245F18C}"/>
                </c:ext>
              </c:extLst>
            </c:dLbl>
            <c:dLbl>
              <c:idx val="36"/>
              <c:tx>
                <c:rich>
                  <a:bodyPr/>
                  <a:lstStyle/>
                  <a:p>
                    <a:fld id="{CEE546DA-F381-49E4-A442-EC5AB051C8E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E243-4B7C-94C2-6544C245F18C}"/>
                </c:ext>
              </c:extLst>
            </c:dLbl>
            <c:dLbl>
              <c:idx val="37"/>
              <c:tx>
                <c:rich>
                  <a:bodyPr/>
                  <a:lstStyle/>
                  <a:p>
                    <a:fld id="{72D59CF9-8736-4ED5-BCAA-0E88B6664DD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E243-4B7C-94C2-6544C245F18C}"/>
                </c:ext>
              </c:extLst>
            </c:dLbl>
            <c:dLbl>
              <c:idx val="38"/>
              <c:tx>
                <c:rich>
                  <a:bodyPr/>
                  <a:lstStyle/>
                  <a:p>
                    <a:fld id="{D6B6426C-632E-4419-98BE-3F7B28DA61B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E243-4B7C-94C2-6544C245F18C}"/>
                </c:ext>
              </c:extLst>
            </c:dLbl>
            <c:dLbl>
              <c:idx val="39"/>
              <c:tx>
                <c:rich>
                  <a:bodyPr/>
                  <a:lstStyle/>
                  <a:p>
                    <a:fld id="{F1FD5889-1891-4581-83B1-49CA6F0C3A0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E243-4B7C-94C2-6544C245F18C}"/>
                </c:ext>
              </c:extLst>
            </c:dLbl>
            <c:dLbl>
              <c:idx val="40"/>
              <c:tx>
                <c:rich>
                  <a:bodyPr/>
                  <a:lstStyle/>
                  <a:p>
                    <a:fld id="{1B6C66EC-51E0-4B8F-8AAF-B40618705EF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E243-4B7C-94C2-6544C245F18C}"/>
                </c:ext>
              </c:extLst>
            </c:dLbl>
            <c:dLbl>
              <c:idx val="41"/>
              <c:tx>
                <c:rich>
                  <a:bodyPr/>
                  <a:lstStyle/>
                  <a:p>
                    <a:fld id="{07570B3B-DB08-4E63-9D06-9B52731775E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E243-4B7C-94C2-6544C245F18C}"/>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graf'!$BB$44:$BB$83</c:f>
              <c:numCache>
                <c:formatCode>General</c:formatCode>
                <c:ptCount val="40"/>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E243-4B7C-94C2-6544C245F18C}"/>
            </c:ext>
          </c:extLst>
        </c:ser>
        <c:ser>
          <c:idx val="0"/>
          <c:order val="2"/>
          <c:tx>
            <c:strRef>
              <c:f>'Prerađivačka_FS graf'!$BC$7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graf'!$BC$44:$BC$83</c:f>
              <c:numCache>
                <c:formatCode>0.0</c:formatCode>
                <c:ptCount val="40"/>
                <c:pt idx="0">
                  <c:v>78.961038961038952</c:v>
                </c:pt>
                <c:pt idx="1">
                  <c:v>91.806375442739082</c:v>
                </c:pt>
                <c:pt idx="2">
                  <c:v>107.10743801652893</c:v>
                </c:pt>
                <c:pt idx="3">
                  <c:v>102.29043683589138</c:v>
                </c:pt>
                <c:pt idx="4">
                  <c:v>92.75088547815821</c:v>
                </c:pt>
                <c:pt idx="5">
                  <c:v>102.85714285714288</c:v>
                </c:pt>
                <c:pt idx="6">
                  <c:v>94.356552538370735</c:v>
                </c:pt>
                <c:pt idx="7">
                  <c:v>79.622195985832349</c:v>
                </c:pt>
                <c:pt idx="8">
                  <c:v>98.512396694214871</c:v>
                </c:pt>
                <c:pt idx="9">
                  <c:v>103.14049586776859</c:v>
                </c:pt>
                <c:pt idx="10">
                  <c:v>95.678866587957486</c:v>
                </c:pt>
                <c:pt idx="11">
                  <c:v>86.422668240850058</c:v>
                </c:pt>
                <c:pt idx="12">
                  <c:v>75.182998819362439</c:v>
                </c:pt>
                <c:pt idx="13">
                  <c:v>89.634002361275094</c:v>
                </c:pt>
                <c:pt idx="14">
                  <c:v>106.72963400236128</c:v>
                </c:pt>
                <c:pt idx="15">
                  <c:v>94.923258559622198</c:v>
                </c:pt>
                <c:pt idx="16">
                  <c:v>99.456906729633999</c:v>
                </c:pt>
                <c:pt idx="17">
                  <c:v>104.46280991735537</c:v>
                </c:pt>
                <c:pt idx="18">
                  <c:v>92.845336481700116</c:v>
                </c:pt>
                <c:pt idx="19">
                  <c:v>87.744982290436852</c:v>
                </c:pt>
                <c:pt idx="20">
                  <c:v>102.10153482880754</c:v>
                </c:pt>
                <c:pt idx="21">
                  <c:v>109.27981109799292</c:v>
                </c:pt>
                <c:pt idx="22">
                  <c:v>104.74616292798112</c:v>
                </c:pt>
                <c:pt idx="23">
                  <c:v>89.539551357733174</c:v>
                </c:pt>
                <c:pt idx="24">
                  <c:v>81.889020070838257</c:v>
                </c:pt>
                <c:pt idx="25">
                  <c:v>93.695395513577338</c:v>
                </c:pt>
                <c:pt idx="26">
                  <c:v>110.88547815820544</c:v>
                </c:pt>
                <c:pt idx="27">
                  <c:v>91.334120425029525</c:v>
                </c:pt>
                <c:pt idx="28">
                  <c:v>100.1180637544274</c:v>
                </c:pt>
                <c:pt idx="29">
                  <c:v>103.61275088547816</c:v>
                </c:pt>
                <c:pt idx="30">
                  <c:v>88.878394332939777</c:v>
                </c:pt>
                <c:pt idx="31">
                  <c:v>103.51829988193624</c:v>
                </c:pt>
                <c:pt idx="32">
                  <c:v>109.18536009445099</c:v>
                </c:pt>
                <c:pt idx="33">
                  <c:v>114.94687131050767</c:v>
                </c:pt>
                <c:pt idx="34">
                  <c:v>116.74144037780401</c:v>
                </c:pt>
                <c:pt idx="35">
                  <c:v>85.194805194805198</c:v>
                </c:pt>
                <c:pt idx="36">
                  <c:v>93.2</c:v>
                </c:pt>
                <c:pt idx="37">
                  <c:v>110.4</c:v>
                </c:pt>
                <c:pt idx="38">
                  <c:v>119.4</c:v>
                </c:pt>
                <c:pt idx="39">
                  <c:v>111.8</c:v>
                </c:pt>
              </c:numCache>
            </c:numRef>
          </c:val>
          <c:smooth val="0"/>
          <c:extLst>
            <c:ext xmlns:c16="http://schemas.microsoft.com/office/drawing/2014/chart" uri="{C3380CC4-5D6E-409C-BE32-E72D297353CC}">
              <c16:uniqueId val="{00000030-E243-4B7C-94C2-6544C245F18C}"/>
            </c:ext>
          </c:extLst>
        </c:ser>
        <c:ser>
          <c:idx val="1"/>
          <c:order val="3"/>
          <c:tx>
            <c:strRef>
              <c:f>'Prerađivačka_FS graf'!$BD$7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graf'!$BD$44:$BD$83</c:f>
              <c:numCache>
                <c:formatCode>0.0</c:formatCode>
                <c:ptCount val="40"/>
                <c:pt idx="0">
                  <c:v>97.229509092237976</c:v>
                </c:pt>
                <c:pt idx="1">
                  <c:v>95.00668539352111</c:v>
                </c:pt>
                <c:pt idx="2">
                  <c:v>99.144645049178479</c:v>
                </c:pt>
                <c:pt idx="3">
                  <c:v>100.03357039969158</c:v>
                </c:pt>
                <c:pt idx="4">
                  <c:v>93.132223023447153</c:v>
                </c:pt>
                <c:pt idx="5">
                  <c:v>96.424424471213626</c:v>
                </c:pt>
                <c:pt idx="6">
                  <c:v>92.969084663570925</c:v>
                </c:pt>
                <c:pt idx="7">
                  <c:v>91.660645273989189</c:v>
                </c:pt>
                <c:pt idx="8">
                  <c:v>90.756567801676724</c:v>
                </c:pt>
                <c:pt idx="9">
                  <c:v>91.161772010025032</c:v>
                </c:pt>
                <c:pt idx="10">
                  <c:v>92.263588053560767</c:v>
                </c:pt>
                <c:pt idx="11">
                  <c:v>92.292072989607163</c:v>
                </c:pt>
                <c:pt idx="12">
                  <c:v>91.037644438648314</c:v>
                </c:pt>
                <c:pt idx="13">
                  <c:v>93.508984562345404</c:v>
                </c:pt>
                <c:pt idx="14">
                  <c:v>95.622070072664954</c:v>
                </c:pt>
                <c:pt idx="15">
                  <c:v>96.586369467826614</c:v>
                </c:pt>
                <c:pt idx="16">
                  <c:v>98.655809716621619</c:v>
                </c:pt>
                <c:pt idx="17">
                  <c:v>97.494102289668348</c:v>
                </c:pt>
                <c:pt idx="18">
                  <c:v>95.159096261340068</c:v>
                </c:pt>
                <c:pt idx="19">
                  <c:v>96.517943285456454</c:v>
                </c:pt>
                <c:pt idx="20">
                  <c:v>95.741264281257301</c:v>
                </c:pt>
                <c:pt idx="21">
                  <c:v>97.998385534928701</c:v>
                </c:pt>
                <c:pt idx="22">
                  <c:v>98.282799144438357</c:v>
                </c:pt>
                <c:pt idx="23">
                  <c:v>97.52178848111825</c:v>
                </c:pt>
                <c:pt idx="24">
                  <c:v>97.935980292621167</c:v>
                </c:pt>
                <c:pt idx="25">
                  <c:v>97.740859077037172</c:v>
                </c:pt>
                <c:pt idx="26">
                  <c:v>98.592309171445365</c:v>
                </c:pt>
                <c:pt idx="27">
                  <c:v>95.002339161388406</c:v>
                </c:pt>
                <c:pt idx="28">
                  <c:v>98.318079452760557</c:v>
                </c:pt>
                <c:pt idx="29">
                  <c:v>97.798359031794249</c:v>
                </c:pt>
                <c:pt idx="30">
                  <c:v>92.964807360225421</c:v>
                </c:pt>
                <c:pt idx="31">
                  <c:v>110.32136557057235</c:v>
                </c:pt>
                <c:pt idx="32">
                  <c:v>103.52784018045871</c:v>
                </c:pt>
                <c:pt idx="33">
                  <c:v>103.94540134392915</c:v>
                </c:pt>
                <c:pt idx="34">
                  <c:v>109.23386145825994</c:v>
                </c:pt>
                <c:pt idx="35">
                  <c:v>96.741987360388407</c:v>
                </c:pt>
                <c:pt idx="36">
                  <c:v>106.00210571276995</c:v>
                </c:pt>
                <c:pt idx="37">
                  <c:v>110.3496380213968</c:v>
                </c:pt>
                <c:pt idx="38">
                  <c:v>110.16368959832676</c:v>
                </c:pt>
                <c:pt idx="39">
                  <c:v>110.00329171336338</c:v>
                </c:pt>
              </c:numCache>
            </c:numRef>
          </c:val>
          <c:smooth val="0"/>
          <c:extLst>
            <c:ext xmlns:c16="http://schemas.microsoft.com/office/drawing/2014/chart" uri="{C3380CC4-5D6E-409C-BE32-E72D297353CC}">
              <c16:uniqueId val="{00000031-E243-4B7C-94C2-6544C245F18C}"/>
            </c:ext>
          </c:extLst>
        </c:ser>
        <c:ser>
          <c:idx val="2"/>
          <c:order val="4"/>
          <c:tx>
            <c:strRef>
              <c:f>'Prerađivačka_FS graf'!$BE$7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graf'!$BE$44:$BE$83</c:f>
              <c:numCache>
                <c:formatCode>0.0</c:formatCode>
                <c:ptCount val="40"/>
                <c:pt idx="0">
                  <c:v>95.298683505610185</c:v>
                </c:pt>
                <c:pt idx="1">
                  <c:v>96.734526041861969</c:v>
                </c:pt>
                <c:pt idx="2">
                  <c:v>97.454221870664185</c:v>
                </c:pt>
                <c:pt idx="3">
                  <c:v>97.349104509265658</c:v>
                </c:pt>
                <c:pt idx="4">
                  <c:v>96.38742791674332</c:v>
                </c:pt>
                <c:pt idx="5">
                  <c:v>94.872442524263349</c:v>
                </c:pt>
                <c:pt idx="6">
                  <c:v>93.388580052886155</c:v>
                </c:pt>
                <c:pt idx="7">
                  <c:v>92.219956827782255</c:v>
                </c:pt>
                <c:pt idx="8">
                  <c:v>91.465414244092827</c:v>
                </c:pt>
                <c:pt idx="9">
                  <c:v>91.205567748999414</c:v>
                </c:pt>
                <c:pt idx="10">
                  <c:v>91.296007081532039</c:v>
                </c:pt>
                <c:pt idx="11">
                  <c:v>91.770583929341797</c:v>
                </c:pt>
                <c:pt idx="12">
                  <c:v>92.749551583193451</c:v>
                </c:pt>
                <c:pt idx="13">
                  <c:v>93.970118394983444</c:v>
                </c:pt>
                <c:pt idx="14">
                  <c:v>95.243013258982003</c:v>
                </c:pt>
                <c:pt idx="15">
                  <c:v>96.268298497834309</c:v>
                </c:pt>
                <c:pt idx="16">
                  <c:v>96.850406048155065</c:v>
                </c:pt>
                <c:pt idx="17">
                  <c:v>96.985666303371332</c:v>
                </c:pt>
                <c:pt idx="18">
                  <c:v>96.83746124207849</c:v>
                </c:pt>
                <c:pt idx="19">
                  <c:v>96.697824222410176</c:v>
                </c:pt>
                <c:pt idx="20">
                  <c:v>96.779525845394787</c:v>
                </c:pt>
                <c:pt idx="21">
                  <c:v>97.147570207005032</c:v>
                </c:pt>
                <c:pt idx="22">
                  <c:v>97.587514107412062</c:v>
                </c:pt>
                <c:pt idx="23">
                  <c:v>97.868519300916716</c:v>
                </c:pt>
                <c:pt idx="24">
                  <c:v>97.815596748165902</c:v>
                </c:pt>
                <c:pt idx="25">
                  <c:v>97.532893185301418</c:v>
                </c:pt>
                <c:pt idx="26">
                  <c:v>97.27084240179272</c:v>
                </c:pt>
                <c:pt idx="27">
                  <c:v>97.28018309997141</c:v>
                </c:pt>
                <c:pt idx="28">
                  <c:v>97.747425785345769</c:v>
                </c:pt>
                <c:pt idx="29">
                  <c:v>98.680356984794088</c:v>
                </c:pt>
                <c:pt idx="30">
                  <c:v>100.00378997582023</c:v>
                </c:pt>
                <c:pt idx="31">
                  <c:v>101.45473150305112</c:v>
                </c:pt>
                <c:pt idx="32">
                  <c:v>102.82111193021296</c:v>
                </c:pt>
                <c:pt idx="33">
                  <c:v>104.04822139726537</c:v>
                </c:pt>
                <c:pt idx="34">
                  <c:v>105.19254859998378</c:v>
                </c:pt>
                <c:pt idx="35">
                  <c:v>106.35550696279047</c:v>
                </c:pt>
                <c:pt idx="36">
                  <c:v>107.50483947002888</c:v>
                </c:pt>
                <c:pt idx="37">
                  <c:v>108.55417786378308</c:v>
                </c:pt>
                <c:pt idx="38">
                  <c:v>109.45837313413314</c:v>
                </c:pt>
                <c:pt idx="39">
                  <c:v>110.28855431241766</c:v>
                </c:pt>
              </c:numCache>
            </c:numRef>
          </c:val>
          <c:smooth val="0"/>
          <c:extLst>
            <c:ext xmlns:c16="http://schemas.microsoft.com/office/drawing/2014/chart" uri="{C3380CC4-5D6E-409C-BE32-E72D297353CC}">
              <c16:uniqueId val="{00000032-E243-4B7C-94C2-6544C245F18C}"/>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25"/>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243576388888889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4F7-4BAB-870F-C6F102A80430}"/>
                </c:ext>
              </c:extLst>
            </c:dLbl>
            <c:dLbl>
              <c:idx val="12"/>
              <c:layout>
                <c:manualLayout>
                  <c:x val="7.52844920703435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4F7-4BAB-870F-C6F102A80430}"/>
                </c:ext>
              </c:extLst>
            </c:dLbl>
            <c:dLbl>
              <c:idx val="24"/>
              <c:layout>
                <c:manualLayout>
                  <c:x val="7.20994500180259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4F7-4BAB-870F-C6F102A80430}"/>
                </c:ext>
              </c:extLst>
            </c:dLbl>
            <c:dLbl>
              <c:idx val="36"/>
              <c:layout>
                <c:manualLayout>
                  <c:x val="-8.8560556243974103E-3"/>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4F7-4BAB-870F-C6F102A8043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graf'!$AP$44:$AP$83</c:f>
              <c:numCache>
                <c:formatCode>General</c:formatCode>
                <c:ptCount val="40"/>
                <c:pt idx="0">
                  <c:v>40</c:v>
                </c:pt>
                <c:pt idx="12">
                  <c:v>40</c:v>
                </c:pt>
                <c:pt idx="24">
                  <c:v>40</c:v>
                </c:pt>
                <c:pt idx="36">
                  <c:v>40</c:v>
                </c:pt>
              </c:numCache>
            </c:numRef>
          </c:val>
          <c:smooth val="0"/>
          <c:extLst>
            <c:ext xmlns:c16="http://schemas.microsoft.com/office/drawing/2014/chart" uri="{C3380CC4-5D6E-409C-BE32-E72D297353CC}">
              <c16:uniqueId val="{00000004-44F7-4BAB-870F-C6F102A80430}"/>
            </c:ext>
          </c:extLst>
        </c:ser>
        <c:ser>
          <c:idx val="4"/>
          <c:order val="1"/>
          <c:tx>
            <c:strRef>
              <c:f>'Prerađivačka_FS graf'!$AQ$7</c:f>
              <c:strCache>
                <c:ptCount val="1"/>
                <c:pt idx="0">
                  <c:v>Series5</c:v>
                </c:pt>
              </c:strCache>
            </c:strRef>
          </c:tx>
          <c:spPr>
            <a:ln w="25400" cap="rnd">
              <a:noFill/>
              <a:round/>
            </a:ln>
            <a:effectLst/>
          </c:spPr>
          <c:marker>
            <c:symbol val="none"/>
          </c:marker>
          <c:dLbls>
            <c:dLbl>
              <c:idx val="0"/>
              <c:tx>
                <c:rich>
                  <a:bodyPr/>
                  <a:lstStyle/>
                  <a:p>
                    <a:fld id="{D20A24E9-27B5-4A84-88D6-18766D7B6BA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4F7-4BAB-870F-C6F102A80430}"/>
                </c:ext>
              </c:extLst>
            </c:dLbl>
            <c:dLbl>
              <c:idx val="1"/>
              <c:tx>
                <c:rich>
                  <a:bodyPr/>
                  <a:lstStyle/>
                  <a:p>
                    <a:fld id="{C27F46D1-B693-4E5B-AC8D-780AEC155D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44F7-4BAB-870F-C6F102A80430}"/>
                </c:ext>
              </c:extLst>
            </c:dLbl>
            <c:dLbl>
              <c:idx val="2"/>
              <c:tx>
                <c:rich>
                  <a:bodyPr/>
                  <a:lstStyle/>
                  <a:p>
                    <a:fld id="{5924A3F2-9D57-4F6D-A818-3A800855A86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44F7-4BAB-870F-C6F102A80430}"/>
                </c:ext>
              </c:extLst>
            </c:dLbl>
            <c:dLbl>
              <c:idx val="3"/>
              <c:tx>
                <c:rich>
                  <a:bodyPr/>
                  <a:lstStyle/>
                  <a:p>
                    <a:fld id="{EDB5E508-C0C2-424A-9135-18BC956B34D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4F7-4BAB-870F-C6F102A80430}"/>
                </c:ext>
              </c:extLst>
            </c:dLbl>
            <c:dLbl>
              <c:idx val="4"/>
              <c:tx>
                <c:rich>
                  <a:bodyPr/>
                  <a:lstStyle/>
                  <a:p>
                    <a:fld id="{BAA31A3C-54CF-40E9-A6D6-CDC65AD312A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4F7-4BAB-870F-C6F102A80430}"/>
                </c:ext>
              </c:extLst>
            </c:dLbl>
            <c:dLbl>
              <c:idx val="5"/>
              <c:tx>
                <c:rich>
                  <a:bodyPr/>
                  <a:lstStyle/>
                  <a:p>
                    <a:fld id="{9E856807-62AA-4115-AB2E-D0B130ED1F5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4F7-4BAB-870F-C6F102A80430}"/>
                </c:ext>
              </c:extLst>
            </c:dLbl>
            <c:dLbl>
              <c:idx val="6"/>
              <c:tx>
                <c:rich>
                  <a:bodyPr/>
                  <a:lstStyle/>
                  <a:p>
                    <a:fld id="{3BE1AB77-5CAE-4746-A4C8-CF6D534E86D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4F7-4BAB-870F-C6F102A80430}"/>
                </c:ext>
              </c:extLst>
            </c:dLbl>
            <c:dLbl>
              <c:idx val="7"/>
              <c:tx>
                <c:rich>
                  <a:bodyPr/>
                  <a:lstStyle/>
                  <a:p>
                    <a:fld id="{DFD7E814-B34E-450B-B1F2-5EE7127238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4F7-4BAB-870F-C6F102A80430}"/>
                </c:ext>
              </c:extLst>
            </c:dLbl>
            <c:dLbl>
              <c:idx val="8"/>
              <c:tx>
                <c:rich>
                  <a:bodyPr/>
                  <a:lstStyle/>
                  <a:p>
                    <a:fld id="{B13D3250-E762-4D1C-8C52-5D482006463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4F7-4BAB-870F-C6F102A80430}"/>
                </c:ext>
              </c:extLst>
            </c:dLbl>
            <c:dLbl>
              <c:idx val="9"/>
              <c:tx>
                <c:rich>
                  <a:bodyPr/>
                  <a:lstStyle/>
                  <a:p>
                    <a:fld id="{A1CCDB95-DB7B-4578-9E79-727D6BCFD30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4F7-4BAB-870F-C6F102A80430}"/>
                </c:ext>
              </c:extLst>
            </c:dLbl>
            <c:dLbl>
              <c:idx val="10"/>
              <c:tx>
                <c:rich>
                  <a:bodyPr/>
                  <a:lstStyle/>
                  <a:p>
                    <a:fld id="{FCFAFA40-DAB6-4FD8-BFDA-7D3668FAEBB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4F7-4BAB-870F-C6F102A80430}"/>
                </c:ext>
              </c:extLst>
            </c:dLbl>
            <c:dLbl>
              <c:idx val="11"/>
              <c:tx>
                <c:rich>
                  <a:bodyPr/>
                  <a:lstStyle/>
                  <a:p>
                    <a:fld id="{FFD9F3C4-3EC3-4436-95DC-1B260E29FD5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4F7-4BAB-870F-C6F102A80430}"/>
                </c:ext>
              </c:extLst>
            </c:dLbl>
            <c:dLbl>
              <c:idx val="12"/>
              <c:tx>
                <c:rich>
                  <a:bodyPr/>
                  <a:lstStyle/>
                  <a:p>
                    <a:fld id="{95390D39-0087-438B-9CEA-5197B989B79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4F7-4BAB-870F-C6F102A80430}"/>
                </c:ext>
              </c:extLst>
            </c:dLbl>
            <c:dLbl>
              <c:idx val="13"/>
              <c:tx>
                <c:rich>
                  <a:bodyPr/>
                  <a:lstStyle/>
                  <a:p>
                    <a:fld id="{BF9DD951-60E0-4D34-8E06-1514790B8DD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4F7-4BAB-870F-C6F102A80430}"/>
                </c:ext>
              </c:extLst>
            </c:dLbl>
            <c:dLbl>
              <c:idx val="14"/>
              <c:tx>
                <c:rich>
                  <a:bodyPr/>
                  <a:lstStyle/>
                  <a:p>
                    <a:fld id="{25B8662D-757A-453E-B472-7068EFB4751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4F7-4BAB-870F-C6F102A80430}"/>
                </c:ext>
              </c:extLst>
            </c:dLbl>
            <c:dLbl>
              <c:idx val="15"/>
              <c:tx>
                <c:rich>
                  <a:bodyPr/>
                  <a:lstStyle/>
                  <a:p>
                    <a:fld id="{A8627AB8-206E-4B91-9916-64480CEFF15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44F7-4BAB-870F-C6F102A80430}"/>
                </c:ext>
              </c:extLst>
            </c:dLbl>
            <c:dLbl>
              <c:idx val="16"/>
              <c:tx>
                <c:rich>
                  <a:bodyPr/>
                  <a:lstStyle/>
                  <a:p>
                    <a:fld id="{5595B870-0935-49D5-B074-54386B1BCE1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4F7-4BAB-870F-C6F102A80430}"/>
                </c:ext>
              </c:extLst>
            </c:dLbl>
            <c:dLbl>
              <c:idx val="17"/>
              <c:tx>
                <c:rich>
                  <a:bodyPr/>
                  <a:lstStyle/>
                  <a:p>
                    <a:fld id="{AF567A3E-FE20-4DAC-907F-7095C1A187E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4F7-4BAB-870F-C6F102A80430}"/>
                </c:ext>
              </c:extLst>
            </c:dLbl>
            <c:dLbl>
              <c:idx val="18"/>
              <c:tx>
                <c:rich>
                  <a:bodyPr/>
                  <a:lstStyle/>
                  <a:p>
                    <a:fld id="{C19CFC89-D395-4F82-8AE9-C83B8B7506D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4F7-4BAB-870F-C6F102A80430}"/>
                </c:ext>
              </c:extLst>
            </c:dLbl>
            <c:dLbl>
              <c:idx val="19"/>
              <c:tx>
                <c:rich>
                  <a:bodyPr/>
                  <a:lstStyle/>
                  <a:p>
                    <a:fld id="{B5957BA4-FEB5-4B87-A415-20AA5A66F16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4F7-4BAB-870F-C6F102A80430}"/>
                </c:ext>
              </c:extLst>
            </c:dLbl>
            <c:dLbl>
              <c:idx val="20"/>
              <c:tx>
                <c:rich>
                  <a:bodyPr/>
                  <a:lstStyle/>
                  <a:p>
                    <a:fld id="{961AC030-1E7C-4551-8157-7C8B85786D7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4F7-4BAB-870F-C6F102A80430}"/>
                </c:ext>
              </c:extLst>
            </c:dLbl>
            <c:dLbl>
              <c:idx val="21"/>
              <c:tx>
                <c:rich>
                  <a:bodyPr/>
                  <a:lstStyle/>
                  <a:p>
                    <a:fld id="{F0562953-833F-44CF-A4C7-4C8241E62A7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44F7-4BAB-870F-C6F102A80430}"/>
                </c:ext>
              </c:extLst>
            </c:dLbl>
            <c:dLbl>
              <c:idx val="22"/>
              <c:tx>
                <c:rich>
                  <a:bodyPr/>
                  <a:lstStyle/>
                  <a:p>
                    <a:fld id="{5AE3092F-20C0-4D1B-B944-05F80DB76D4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44F7-4BAB-870F-C6F102A80430}"/>
                </c:ext>
              </c:extLst>
            </c:dLbl>
            <c:dLbl>
              <c:idx val="23"/>
              <c:tx>
                <c:rich>
                  <a:bodyPr/>
                  <a:lstStyle/>
                  <a:p>
                    <a:fld id="{A201905F-AD5E-4C81-86D5-4586C7A6A28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44F7-4BAB-870F-C6F102A80430}"/>
                </c:ext>
              </c:extLst>
            </c:dLbl>
            <c:dLbl>
              <c:idx val="24"/>
              <c:tx>
                <c:rich>
                  <a:bodyPr/>
                  <a:lstStyle/>
                  <a:p>
                    <a:fld id="{17179C2A-82CF-4618-9EAE-4385D743D7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44F7-4BAB-870F-C6F102A80430}"/>
                </c:ext>
              </c:extLst>
            </c:dLbl>
            <c:dLbl>
              <c:idx val="25"/>
              <c:tx>
                <c:rich>
                  <a:bodyPr/>
                  <a:lstStyle/>
                  <a:p>
                    <a:fld id="{A2C0F5E4-C8BD-458A-BF6C-47EF0546C15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44F7-4BAB-870F-C6F102A80430}"/>
                </c:ext>
              </c:extLst>
            </c:dLbl>
            <c:dLbl>
              <c:idx val="26"/>
              <c:tx>
                <c:rich>
                  <a:bodyPr/>
                  <a:lstStyle/>
                  <a:p>
                    <a:fld id="{1E5DA5C1-64C2-4032-93FE-7BDCDB2C8C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44F7-4BAB-870F-C6F102A80430}"/>
                </c:ext>
              </c:extLst>
            </c:dLbl>
            <c:dLbl>
              <c:idx val="27"/>
              <c:tx>
                <c:rich>
                  <a:bodyPr/>
                  <a:lstStyle/>
                  <a:p>
                    <a:fld id="{F26F3BED-D2C8-4C3A-BE70-0429E24D336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4F7-4BAB-870F-C6F102A80430}"/>
                </c:ext>
              </c:extLst>
            </c:dLbl>
            <c:dLbl>
              <c:idx val="28"/>
              <c:tx>
                <c:rich>
                  <a:bodyPr/>
                  <a:lstStyle/>
                  <a:p>
                    <a:fld id="{FB31607D-1AE6-45CE-974A-7CABB873B1A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44F7-4BAB-870F-C6F102A80430}"/>
                </c:ext>
              </c:extLst>
            </c:dLbl>
            <c:dLbl>
              <c:idx val="29"/>
              <c:tx>
                <c:rich>
                  <a:bodyPr/>
                  <a:lstStyle/>
                  <a:p>
                    <a:fld id="{FA739A58-D0D8-43BB-90FF-1C51085C098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44F7-4BAB-870F-C6F102A80430}"/>
                </c:ext>
              </c:extLst>
            </c:dLbl>
            <c:dLbl>
              <c:idx val="30"/>
              <c:tx>
                <c:rich>
                  <a:bodyPr/>
                  <a:lstStyle/>
                  <a:p>
                    <a:fld id="{C5084454-AA3B-42D0-B76F-AE5B66AC65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44F7-4BAB-870F-C6F102A80430}"/>
                </c:ext>
              </c:extLst>
            </c:dLbl>
            <c:dLbl>
              <c:idx val="31"/>
              <c:tx>
                <c:rich>
                  <a:bodyPr/>
                  <a:lstStyle/>
                  <a:p>
                    <a:fld id="{91ADF75A-54D9-4C20-86FD-6B479D2FFC9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44F7-4BAB-870F-C6F102A80430}"/>
                </c:ext>
              </c:extLst>
            </c:dLbl>
            <c:dLbl>
              <c:idx val="32"/>
              <c:tx>
                <c:rich>
                  <a:bodyPr/>
                  <a:lstStyle/>
                  <a:p>
                    <a:fld id="{BDDA2D40-7CB4-4CFF-9025-EFF65E7543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44F7-4BAB-870F-C6F102A80430}"/>
                </c:ext>
              </c:extLst>
            </c:dLbl>
            <c:dLbl>
              <c:idx val="33"/>
              <c:tx>
                <c:rich>
                  <a:bodyPr/>
                  <a:lstStyle/>
                  <a:p>
                    <a:fld id="{AF6A18E6-3344-4F79-A8CD-222CC854268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44F7-4BAB-870F-C6F102A80430}"/>
                </c:ext>
              </c:extLst>
            </c:dLbl>
            <c:dLbl>
              <c:idx val="34"/>
              <c:tx>
                <c:rich>
                  <a:bodyPr/>
                  <a:lstStyle/>
                  <a:p>
                    <a:fld id="{94325CA1-9438-4505-8061-432FE20FDCA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44F7-4BAB-870F-C6F102A80430}"/>
                </c:ext>
              </c:extLst>
            </c:dLbl>
            <c:dLbl>
              <c:idx val="35"/>
              <c:tx>
                <c:rich>
                  <a:bodyPr/>
                  <a:lstStyle/>
                  <a:p>
                    <a:fld id="{4E92AE93-A207-48BF-B5D5-0D18E2C9F99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44F7-4BAB-870F-C6F102A80430}"/>
                </c:ext>
              </c:extLst>
            </c:dLbl>
            <c:dLbl>
              <c:idx val="36"/>
              <c:tx>
                <c:rich>
                  <a:bodyPr/>
                  <a:lstStyle/>
                  <a:p>
                    <a:fld id="{E36D8B99-B033-4C82-B8A7-BE744332353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44F7-4BAB-870F-C6F102A80430}"/>
                </c:ext>
              </c:extLst>
            </c:dLbl>
            <c:dLbl>
              <c:idx val="37"/>
              <c:tx>
                <c:rich>
                  <a:bodyPr/>
                  <a:lstStyle/>
                  <a:p>
                    <a:fld id="{03B818AA-59F5-4A4D-8B0D-F1C472F46F8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44F7-4BAB-870F-C6F102A80430}"/>
                </c:ext>
              </c:extLst>
            </c:dLbl>
            <c:dLbl>
              <c:idx val="38"/>
              <c:tx>
                <c:rich>
                  <a:bodyPr/>
                  <a:lstStyle/>
                  <a:p>
                    <a:fld id="{68CDCF5D-E19F-4531-AB35-15E126CD021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44F7-4BAB-870F-C6F102A80430}"/>
                </c:ext>
              </c:extLst>
            </c:dLbl>
            <c:dLbl>
              <c:idx val="39"/>
              <c:tx>
                <c:rich>
                  <a:bodyPr/>
                  <a:lstStyle/>
                  <a:p>
                    <a:fld id="{A9B8BDDA-CE93-4893-B72E-93DC226F27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44F7-4BAB-870F-C6F102A80430}"/>
                </c:ext>
              </c:extLst>
            </c:dLbl>
            <c:dLbl>
              <c:idx val="40"/>
              <c:tx>
                <c:rich>
                  <a:bodyPr/>
                  <a:lstStyle/>
                  <a:p>
                    <a:fld id="{BF8291DD-B3FF-49C9-8806-0DB87515A80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44F7-4BAB-870F-C6F102A80430}"/>
                </c:ext>
              </c:extLst>
            </c:dLbl>
            <c:dLbl>
              <c:idx val="41"/>
              <c:tx>
                <c:rich>
                  <a:bodyPr/>
                  <a:lstStyle/>
                  <a:p>
                    <a:fld id="{08C3BD7A-3D61-4F7C-9F9C-C013E1491F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44F7-4BAB-870F-C6F102A80430}"/>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graf'!$AQ$44:$AQ$83</c:f>
              <c:numCache>
                <c:formatCode>General</c:formatCode>
                <c:ptCount val="40"/>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44F7-4BAB-870F-C6F102A80430}"/>
            </c:ext>
          </c:extLst>
        </c:ser>
        <c:ser>
          <c:idx val="0"/>
          <c:order val="2"/>
          <c:tx>
            <c:strRef>
              <c:f>'Prerađivačka_FS graf'!$AR$7</c:f>
              <c:strCache>
                <c:ptCount val="1"/>
                <c:pt idx="0">
                  <c:v>y</c:v>
                </c:pt>
              </c:strCache>
            </c:strRef>
          </c:tx>
          <c:spPr>
            <a:ln w="12700" cap="rnd">
              <a:solidFill>
                <a:srgbClr val="7F3F98"/>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graf'!$AR$44:$AR$83</c:f>
              <c:numCache>
                <c:formatCode>0.0</c:formatCode>
                <c:ptCount val="40"/>
                <c:pt idx="0">
                  <c:v>79.136583550428</c:v>
                </c:pt>
                <c:pt idx="1">
                  <c:v>95.839225902493496</c:v>
                </c:pt>
                <c:pt idx="2">
                  <c:v>116.56122069222184</c:v>
                </c:pt>
                <c:pt idx="3">
                  <c:v>94.678079642724242</c:v>
                </c:pt>
                <c:pt idx="4">
                  <c:v>85.835504279866029</c:v>
                </c:pt>
                <c:pt idx="5">
                  <c:v>95.124674358020116</c:v>
                </c:pt>
                <c:pt idx="6">
                  <c:v>81.905470785262395</c:v>
                </c:pt>
                <c:pt idx="7">
                  <c:v>53.68068477856346</c:v>
                </c:pt>
                <c:pt idx="8">
                  <c:v>93.248976553777467</c:v>
                </c:pt>
                <c:pt idx="9">
                  <c:v>101.91291403051733</c:v>
                </c:pt>
                <c:pt idx="10">
                  <c:v>102.35950874581319</c:v>
                </c:pt>
                <c:pt idx="11">
                  <c:v>71.455154447339055</c:v>
                </c:pt>
                <c:pt idx="12">
                  <c:v>84.317082247860085</c:v>
                </c:pt>
                <c:pt idx="13">
                  <c:v>89.58689988835134</c:v>
                </c:pt>
                <c:pt idx="14">
                  <c:v>89.497580945292171</c:v>
                </c:pt>
                <c:pt idx="15">
                  <c:v>86.014142165984381</c:v>
                </c:pt>
                <c:pt idx="16">
                  <c:v>94.946036471901763</c:v>
                </c:pt>
                <c:pt idx="17">
                  <c:v>90.658727205061425</c:v>
                </c:pt>
                <c:pt idx="18">
                  <c:v>78.511350949013789</c:v>
                </c:pt>
                <c:pt idx="19">
                  <c:v>74.93859322664683</c:v>
                </c:pt>
                <c:pt idx="20">
                  <c:v>100.03721622627468</c:v>
                </c:pt>
                <c:pt idx="21">
                  <c:v>96.1965016747302</c:v>
                </c:pt>
                <c:pt idx="22">
                  <c:v>104.50316337923336</c:v>
                </c:pt>
                <c:pt idx="23">
                  <c:v>79.583178265723859</c:v>
                </c:pt>
                <c:pt idx="24">
                  <c:v>90.480089318943072</c:v>
                </c:pt>
                <c:pt idx="25">
                  <c:v>103.52065500558246</c:v>
                </c:pt>
                <c:pt idx="26">
                  <c:v>116.47190174916267</c:v>
                </c:pt>
                <c:pt idx="27">
                  <c:v>93.516933382954988</c:v>
                </c:pt>
                <c:pt idx="28">
                  <c:v>104.14588760699665</c:v>
                </c:pt>
                <c:pt idx="29">
                  <c:v>109.32638630442875</c:v>
                </c:pt>
                <c:pt idx="30">
                  <c:v>84.585039077037607</c:v>
                </c:pt>
                <c:pt idx="31">
                  <c:v>82.441384443617423</c:v>
                </c:pt>
                <c:pt idx="32">
                  <c:v>105.75362858206181</c:v>
                </c:pt>
                <c:pt idx="33">
                  <c:v>112.00595459620398</c:v>
                </c:pt>
                <c:pt idx="34">
                  <c:v>112.80982508373651</c:v>
                </c:pt>
                <c:pt idx="35">
                  <c:v>84.942314849274297</c:v>
                </c:pt>
                <c:pt idx="36">
                  <c:v>101.2</c:v>
                </c:pt>
                <c:pt idx="37">
                  <c:v>110.2</c:v>
                </c:pt>
                <c:pt idx="38">
                  <c:v>116.1</c:v>
                </c:pt>
                <c:pt idx="39">
                  <c:v>116.2</c:v>
                </c:pt>
              </c:numCache>
            </c:numRef>
          </c:val>
          <c:smooth val="0"/>
          <c:extLst>
            <c:ext xmlns:c16="http://schemas.microsoft.com/office/drawing/2014/chart" uri="{C3380CC4-5D6E-409C-BE32-E72D297353CC}">
              <c16:uniqueId val="{00000030-44F7-4BAB-870F-C6F102A80430}"/>
            </c:ext>
          </c:extLst>
        </c:ser>
        <c:ser>
          <c:idx val="1"/>
          <c:order val="3"/>
          <c:tx>
            <c:strRef>
              <c:f>'Prerađivačka_FS graf'!$AS$7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graf'!$AS$44:$AS$83</c:f>
              <c:numCache>
                <c:formatCode>0.0</c:formatCode>
                <c:ptCount val="40"/>
                <c:pt idx="0">
                  <c:v>84.915931309756104</c:v>
                </c:pt>
                <c:pt idx="1">
                  <c:v>87.092498836626149</c:v>
                </c:pt>
                <c:pt idx="2">
                  <c:v>96.346679039146721</c:v>
                </c:pt>
                <c:pt idx="3">
                  <c:v>87.574336565078212</c:v>
                </c:pt>
                <c:pt idx="4">
                  <c:v>83.198078788673499</c:v>
                </c:pt>
                <c:pt idx="5">
                  <c:v>92.457184026930193</c:v>
                </c:pt>
                <c:pt idx="6">
                  <c:v>99.182115870527184</c:v>
                </c:pt>
                <c:pt idx="7">
                  <c:v>81.144853576133272</c:v>
                </c:pt>
                <c:pt idx="8">
                  <c:v>80.285672040829951</c:v>
                </c:pt>
                <c:pt idx="9">
                  <c:v>93.229759507232956</c:v>
                </c:pt>
                <c:pt idx="10">
                  <c:v>90.83755839209357</c:v>
                </c:pt>
                <c:pt idx="11">
                  <c:v>81.756697894893676</c:v>
                </c:pt>
                <c:pt idx="12">
                  <c:v>87.137982092464483</c:v>
                </c:pt>
                <c:pt idx="13">
                  <c:v>82.842500494940353</c:v>
                </c:pt>
                <c:pt idx="14">
                  <c:v>70.565094871387515</c:v>
                </c:pt>
                <c:pt idx="15">
                  <c:v>88.701451153400058</c:v>
                </c:pt>
                <c:pt idx="16">
                  <c:v>90.412377044273498</c:v>
                </c:pt>
                <c:pt idx="17">
                  <c:v>87.686935153736187</c:v>
                </c:pt>
                <c:pt idx="18">
                  <c:v>95.625502172119582</c:v>
                </c:pt>
                <c:pt idx="19">
                  <c:v>96.265931559420324</c:v>
                </c:pt>
                <c:pt idx="20">
                  <c:v>88.759180798358543</c:v>
                </c:pt>
                <c:pt idx="21">
                  <c:v>86.663083327110513</c:v>
                </c:pt>
                <c:pt idx="22">
                  <c:v>92.689217786133256</c:v>
                </c:pt>
                <c:pt idx="23">
                  <c:v>93.755056795945478</c:v>
                </c:pt>
                <c:pt idx="24">
                  <c:v>90.817186759156044</c:v>
                </c:pt>
                <c:pt idx="25">
                  <c:v>98.016263823457194</c:v>
                </c:pt>
                <c:pt idx="26">
                  <c:v>97.80327926511471</c:v>
                </c:pt>
                <c:pt idx="27">
                  <c:v>100.59192616502321</c:v>
                </c:pt>
                <c:pt idx="28">
                  <c:v>101.77339941244028</c:v>
                </c:pt>
                <c:pt idx="29">
                  <c:v>105.3491932065108</c:v>
                </c:pt>
                <c:pt idx="30">
                  <c:v>99.176402845081412</c:v>
                </c:pt>
                <c:pt idx="31">
                  <c:v>102.5988738723216</c:v>
                </c:pt>
                <c:pt idx="32">
                  <c:v>99.334711879940642</c:v>
                </c:pt>
                <c:pt idx="33">
                  <c:v>99.129647847834661</c:v>
                </c:pt>
                <c:pt idx="34">
                  <c:v>97.523692223091643</c:v>
                </c:pt>
                <c:pt idx="35">
                  <c:v>103.46432811774082</c:v>
                </c:pt>
                <c:pt idx="36">
                  <c:v>103.81513374704237</c:v>
                </c:pt>
                <c:pt idx="37">
                  <c:v>104.03869841171459</c:v>
                </c:pt>
                <c:pt idx="38">
                  <c:v>105.60339840935019</c:v>
                </c:pt>
                <c:pt idx="39">
                  <c:v>106.57778547251252</c:v>
                </c:pt>
              </c:numCache>
            </c:numRef>
          </c:val>
          <c:smooth val="0"/>
          <c:extLst>
            <c:ext xmlns:c16="http://schemas.microsoft.com/office/drawing/2014/chart" uri="{C3380CC4-5D6E-409C-BE32-E72D297353CC}">
              <c16:uniqueId val="{00000031-44F7-4BAB-870F-C6F102A80430}"/>
            </c:ext>
          </c:extLst>
        </c:ser>
        <c:ser>
          <c:idx val="2"/>
          <c:order val="4"/>
          <c:tx>
            <c:strRef>
              <c:f>'Prerađivačka_FS graf'!$AT$7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graf'!$AT$44:$AT$83</c:f>
              <c:numCache>
                <c:formatCode>0.0</c:formatCode>
                <c:ptCount val="40"/>
                <c:pt idx="0">
                  <c:v>93.980934135610383</c:v>
                </c:pt>
                <c:pt idx="1">
                  <c:v>91.08389822849233</c:v>
                </c:pt>
                <c:pt idx="2">
                  <c:v>89.745051891104652</c:v>
                </c:pt>
                <c:pt idx="3">
                  <c:v>89.280290408806749</c:v>
                </c:pt>
                <c:pt idx="4">
                  <c:v>89.18870527939184</c:v>
                </c:pt>
                <c:pt idx="5">
                  <c:v>89.207796535913474</c:v>
                </c:pt>
                <c:pt idx="6">
                  <c:v>88.91625801485381</c:v>
                </c:pt>
                <c:pt idx="7">
                  <c:v>88.305237916968281</c:v>
                </c:pt>
                <c:pt idx="8">
                  <c:v>87.779367013726841</c:v>
                </c:pt>
                <c:pt idx="9">
                  <c:v>87.137151520654527</c:v>
                </c:pt>
                <c:pt idx="10">
                  <c:v>86.315924990030936</c:v>
                </c:pt>
                <c:pt idx="11">
                  <c:v>85.847071335419471</c:v>
                </c:pt>
                <c:pt idx="12">
                  <c:v>85.712727873859265</c:v>
                </c:pt>
                <c:pt idx="13">
                  <c:v>85.673534042239865</c:v>
                </c:pt>
                <c:pt idx="14">
                  <c:v>86.147808744863639</c:v>
                </c:pt>
                <c:pt idx="15">
                  <c:v>87.740748603256208</c:v>
                </c:pt>
                <c:pt idx="16">
                  <c:v>89.776054526411301</c:v>
                </c:pt>
                <c:pt idx="17">
                  <c:v>91.226211369030381</c:v>
                </c:pt>
                <c:pt idx="18">
                  <c:v>91.906397465200911</c:v>
                </c:pt>
                <c:pt idx="19">
                  <c:v>91.883666603288304</c:v>
                </c:pt>
                <c:pt idx="20">
                  <c:v>91.386772764534228</c:v>
                </c:pt>
                <c:pt idx="21">
                  <c:v>90.999250780050744</c:v>
                </c:pt>
                <c:pt idx="22">
                  <c:v>91.141656986014127</c:v>
                </c:pt>
                <c:pt idx="23">
                  <c:v>92.035252915760594</c:v>
                </c:pt>
                <c:pt idx="24">
                  <c:v>93.851785804054927</c:v>
                </c:pt>
                <c:pt idx="25">
                  <c:v>96.247201730170076</c:v>
                </c:pt>
                <c:pt idx="26">
                  <c:v>98.553439547695504</c:v>
                </c:pt>
                <c:pt idx="27">
                  <c:v>100.38909904351179</c:v>
                </c:pt>
                <c:pt idx="28">
                  <c:v>101.68197805014805</c:v>
                </c:pt>
                <c:pt idx="29">
                  <c:v>102.14910836074537</c:v>
                </c:pt>
                <c:pt idx="30">
                  <c:v>101.71351413580355</c:v>
                </c:pt>
                <c:pt idx="31">
                  <c:v>100.83384882446714</c:v>
                </c:pt>
                <c:pt idx="32">
                  <c:v>100.10678391859811</c:v>
                </c:pt>
                <c:pt idx="33">
                  <c:v>99.862801405532835</c:v>
                </c:pt>
                <c:pt idx="34">
                  <c:v>100.33471328938356</c:v>
                </c:pt>
                <c:pt idx="35">
                  <c:v>101.43231308350418</c:v>
                </c:pt>
                <c:pt idx="36">
                  <c:v>102.93873910912257</c:v>
                </c:pt>
                <c:pt idx="37">
                  <c:v>104.52314722100047</c:v>
                </c:pt>
                <c:pt idx="38">
                  <c:v>105.87376276431205</c:v>
                </c:pt>
                <c:pt idx="39">
                  <c:v>106.7506662584255</c:v>
                </c:pt>
              </c:numCache>
            </c:numRef>
          </c:val>
          <c:smooth val="0"/>
          <c:extLst>
            <c:ext xmlns:c16="http://schemas.microsoft.com/office/drawing/2014/chart" uri="{C3380CC4-5D6E-409C-BE32-E72D297353CC}">
              <c16:uniqueId val="{00000032-44F7-4BAB-870F-C6F102A80430}"/>
            </c:ext>
          </c:extLst>
        </c:ser>
        <c:dLbls>
          <c:showLegendKey val="0"/>
          <c:showVal val="0"/>
          <c:showCatName val="0"/>
          <c:showSerName val="0"/>
          <c:showPercent val="0"/>
          <c:showBubbleSize val="0"/>
        </c:dLbls>
        <c:marker val="1"/>
        <c:smooth val="0"/>
        <c:axId val="2092167600"/>
        <c:axId val="2092172496"/>
      </c:lineChart>
      <c:dateAx>
        <c:axId val="209216760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2496"/>
        <c:crosses val="autoZero"/>
        <c:auto val="1"/>
        <c:lblOffset val="0"/>
        <c:baseTimeUnit val="months"/>
        <c:majorUnit val="12"/>
        <c:majorTimeUnit val="months"/>
      </c:dateAx>
      <c:valAx>
        <c:axId val="2092172496"/>
        <c:scaling>
          <c:orientation val="minMax"/>
          <c:max val="130"/>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760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graf'!$AF$7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89148224970387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08F-41B7-9BE2-323086EBE087}"/>
                </c:ext>
              </c:extLst>
            </c:dLbl>
            <c:dLbl>
              <c:idx val="12"/>
              <c:layout>
                <c:manualLayout>
                  <c:x val="7.08282472011890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08F-41B7-9BE2-323086EBE087}"/>
                </c:ext>
              </c:extLst>
            </c:dLbl>
            <c:dLbl>
              <c:idx val="24"/>
              <c:layout>
                <c:manualLayout>
                  <c:x val="7.649891408681656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08F-41B7-9BE2-323086EBE087}"/>
                </c:ext>
              </c:extLst>
            </c:dLbl>
            <c:dLbl>
              <c:idx val="36"/>
              <c:layout>
                <c:manualLayout>
                  <c:x val="-1.014716050002578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08F-41B7-9BE2-323086EBE087}"/>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graf'!$AF$44:$AF$83</c:f>
              <c:numCache>
                <c:formatCode>General</c:formatCode>
                <c:ptCount val="40"/>
                <c:pt idx="0">
                  <c:v>80</c:v>
                </c:pt>
                <c:pt idx="12">
                  <c:v>80</c:v>
                </c:pt>
                <c:pt idx="24">
                  <c:v>80</c:v>
                </c:pt>
                <c:pt idx="36">
                  <c:v>80</c:v>
                </c:pt>
              </c:numCache>
            </c:numRef>
          </c:val>
          <c:smooth val="0"/>
          <c:extLst>
            <c:ext xmlns:c16="http://schemas.microsoft.com/office/drawing/2014/chart" uri="{C3380CC4-5D6E-409C-BE32-E72D297353CC}">
              <c16:uniqueId val="{00000004-008F-41B7-9BE2-323086EBE087}"/>
            </c:ext>
          </c:extLst>
        </c:ser>
        <c:ser>
          <c:idx val="4"/>
          <c:order val="1"/>
          <c:tx>
            <c:strRef>
              <c:f>'Prerađivačka_FS graf'!$AG$7</c:f>
              <c:strCache>
                <c:ptCount val="1"/>
                <c:pt idx="0">
                  <c:v>Series5</c:v>
                </c:pt>
              </c:strCache>
            </c:strRef>
          </c:tx>
          <c:spPr>
            <a:ln w="28575" cap="rnd">
              <a:noFill/>
              <a:round/>
            </a:ln>
            <a:effectLst/>
          </c:spPr>
          <c:marker>
            <c:symbol val="none"/>
          </c:marker>
          <c:dLbls>
            <c:dLbl>
              <c:idx val="0"/>
              <c:tx>
                <c:rich>
                  <a:bodyPr/>
                  <a:lstStyle/>
                  <a:p>
                    <a:fld id="{5EC0C283-0C6A-4D3C-B0A9-68B64B1EF0E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008F-41B7-9BE2-323086EBE087}"/>
                </c:ext>
              </c:extLst>
            </c:dLbl>
            <c:dLbl>
              <c:idx val="1"/>
              <c:tx>
                <c:rich>
                  <a:bodyPr/>
                  <a:lstStyle/>
                  <a:p>
                    <a:fld id="{7792F2BC-C7C6-47A6-B5EB-35235B5CCBA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008F-41B7-9BE2-323086EBE087}"/>
                </c:ext>
              </c:extLst>
            </c:dLbl>
            <c:dLbl>
              <c:idx val="2"/>
              <c:tx>
                <c:rich>
                  <a:bodyPr/>
                  <a:lstStyle/>
                  <a:p>
                    <a:fld id="{DCBBC5A3-46D5-4BE5-98DD-E9BF53E5A2C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008F-41B7-9BE2-323086EBE087}"/>
                </c:ext>
              </c:extLst>
            </c:dLbl>
            <c:dLbl>
              <c:idx val="3"/>
              <c:tx>
                <c:rich>
                  <a:bodyPr/>
                  <a:lstStyle/>
                  <a:p>
                    <a:fld id="{9B3E29C1-8E0C-4D95-81A2-C6E75B07B3E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008F-41B7-9BE2-323086EBE087}"/>
                </c:ext>
              </c:extLst>
            </c:dLbl>
            <c:dLbl>
              <c:idx val="4"/>
              <c:tx>
                <c:rich>
                  <a:bodyPr/>
                  <a:lstStyle/>
                  <a:p>
                    <a:fld id="{87943244-043E-4323-8227-A8B5A85093A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008F-41B7-9BE2-323086EBE087}"/>
                </c:ext>
              </c:extLst>
            </c:dLbl>
            <c:dLbl>
              <c:idx val="5"/>
              <c:tx>
                <c:rich>
                  <a:bodyPr/>
                  <a:lstStyle/>
                  <a:p>
                    <a:fld id="{AF7726FA-1298-487D-A6FF-D11EA219C2A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008F-41B7-9BE2-323086EBE087}"/>
                </c:ext>
              </c:extLst>
            </c:dLbl>
            <c:dLbl>
              <c:idx val="6"/>
              <c:tx>
                <c:rich>
                  <a:bodyPr/>
                  <a:lstStyle/>
                  <a:p>
                    <a:fld id="{C9E3C574-F383-4525-94F9-1A9CC295659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008F-41B7-9BE2-323086EBE087}"/>
                </c:ext>
              </c:extLst>
            </c:dLbl>
            <c:dLbl>
              <c:idx val="7"/>
              <c:tx>
                <c:rich>
                  <a:bodyPr/>
                  <a:lstStyle/>
                  <a:p>
                    <a:fld id="{BEB68E63-0F89-4284-9C35-B2DD6A0AD39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008F-41B7-9BE2-323086EBE087}"/>
                </c:ext>
              </c:extLst>
            </c:dLbl>
            <c:dLbl>
              <c:idx val="8"/>
              <c:tx>
                <c:rich>
                  <a:bodyPr/>
                  <a:lstStyle/>
                  <a:p>
                    <a:fld id="{395C8349-8B54-4EC1-8263-7E3FF4319AF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008F-41B7-9BE2-323086EBE087}"/>
                </c:ext>
              </c:extLst>
            </c:dLbl>
            <c:dLbl>
              <c:idx val="9"/>
              <c:tx>
                <c:rich>
                  <a:bodyPr/>
                  <a:lstStyle/>
                  <a:p>
                    <a:fld id="{0FB24C55-A0BF-4FE8-8E2B-3AF79C0C161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008F-41B7-9BE2-323086EBE087}"/>
                </c:ext>
              </c:extLst>
            </c:dLbl>
            <c:dLbl>
              <c:idx val="10"/>
              <c:tx>
                <c:rich>
                  <a:bodyPr/>
                  <a:lstStyle/>
                  <a:p>
                    <a:fld id="{59E5E5DF-DA7B-44D0-AD2A-7A66A186D8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008F-41B7-9BE2-323086EBE087}"/>
                </c:ext>
              </c:extLst>
            </c:dLbl>
            <c:dLbl>
              <c:idx val="11"/>
              <c:tx>
                <c:rich>
                  <a:bodyPr/>
                  <a:lstStyle/>
                  <a:p>
                    <a:fld id="{9BE9E78F-8188-45E5-9D23-BE6DC145185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008F-41B7-9BE2-323086EBE087}"/>
                </c:ext>
              </c:extLst>
            </c:dLbl>
            <c:dLbl>
              <c:idx val="12"/>
              <c:tx>
                <c:rich>
                  <a:bodyPr/>
                  <a:lstStyle/>
                  <a:p>
                    <a:fld id="{F27CCCCB-BE5D-4DE5-AB96-B5CD8681BAC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08F-41B7-9BE2-323086EBE087}"/>
                </c:ext>
              </c:extLst>
            </c:dLbl>
            <c:dLbl>
              <c:idx val="13"/>
              <c:tx>
                <c:rich>
                  <a:bodyPr/>
                  <a:lstStyle/>
                  <a:p>
                    <a:fld id="{DA8B8676-5785-49FD-8173-905029CE0EE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008F-41B7-9BE2-323086EBE087}"/>
                </c:ext>
              </c:extLst>
            </c:dLbl>
            <c:dLbl>
              <c:idx val="14"/>
              <c:tx>
                <c:rich>
                  <a:bodyPr/>
                  <a:lstStyle/>
                  <a:p>
                    <a:fld id="{CEF6083E-DA26-4C91-A8AB-EE58E4D8947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008F-41B7-9BE2-323086EBE087}"/>
                </c:ext>
              </c:extLst>
            </c:dLbl>
            <c:dLbl>
              <c:idx val="15"/>
              <c:tx>
                <c:rich>
                  <a:bodyPr/>
                  <a:lstStyle/>
                  <a:p>
                    <a:fld id="{AFAB3E39-8AD9-4F64-98CD-D6EA8EFD93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008F-41B7-9BE2-323086EBE087}"/>
                </c:ext>
              </c:extLst>
            </c:dLbl>
            <c:dLbl>
              <c:idx val="16"/>
              <c:tx>
                <c:rich>
                  <a:bodyPr/>
                  <a:lstStyle/>
                  <a:p>
                    <a:fld id="{3962708F-C668-47A1-B784-4C465E0D38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008F-41B7-9BE2-323086EBE087}"/>
                </c:ext>
              </c:extLst>
            </c:dLbl>
            <c:dLbl>
              <c:idx val="17"/>
              <c:tx>
                <c:rich>
                  <a:bodyPr/>
                  <a:lstStyle/>
                  <a:p>
                    <a:fld id="{9A85CC16-5667-41E6-9661-A943CC13E6D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008F-41B7-9BE2-323086EBE087}"/>
                </c:ext>
              </c:extLst>
            </c:dLbl>
            <c:dLbl>
              <c:idx val="18"/>
              <c:tx>
                <c:rich>
                  <a:bodyPr/>
                  <a:lstStyle/>
                  <a:p>
                    <a:fld id="{2C624907-F7E1-4E26-B413-E91A2B114AB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008F-41B7-9BE2-323086EBE087}"/>
                </c:ext>
              </c:extLst>
            </c:dLbl>
            <c:dLbl>
              <c:idx val="19"/>
              <c:tx>
                <c:rich>
                  <a:bodyPr/>
                  <a:lstStyle/>
                  <a:p>
                    <a:fld id="{1F5BEAED-230F-4FC6-89A7-5D6A0AACF1B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008F-41B7-9BE2-323086EBE087}"/>
                </c:ext>
              </c:extLst>
            </c:dLbl>
            <c:dLbl>
              <c:idx val="20"/>
              <c:tx>
                <c:rich>
                  <a:bodyPr/>
                  <a:lstStyle/>
                  <a:p>
                    <a:fld id="{93171009-14A1-4785-8486-781D3D5DD91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008F-41B7-9BE2-323086EBE087}"/>
                </c:ext>
              </c:extLst>
            </c:dLbl>
            <c:dLbl>
              <c:idx val="21"/>
              <c:tx>
                <c:rich>
                  <a:bodyPr/>
                  <a:lstStyle/>
                  <a:p>
                    <a:fld id="{C8FAEE75-C4E7-4F4C-AD8C-DC83CFD2BAA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008F-41B7-9BE2-323086EBE087}"/>
                </c:ext>
              </c:extLst>
            </c:dLbl>
            <c:dLbl>
              <c:idx val="22"/>
              <c:tx>
                <c:rich>
                  <a:bodyPr/>
                  <a:lstStyle/>
                  <a:p>
                    <a:fld id="{59CB049A-E1F0-4864-B938-3FDD64BCCB0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008F-41B7-9BE2-323086EBE087}"/>
                </c:ext>
              </c:extLst>
            </c:dLbl>
            <c:dLbl>
              <c:idx val="23"/>
              <c:tx>
                <c:rich>
                  <a:bodyPr/>
                  <a:lstStyle/>
                  <a:p>
                    <a:fld id="{9E4ABC47-566D-4131-9A7F-8F7F6D7E3CE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008F-41B7-9BE2-323086EBE087}"/>
                </c:ext>
              </c:extLst>
            </c:dLbl>
            <c:dLbl>
              <c:idx val="24"/>
              <c:tx>
                <c:rich>
                  <a:bodyPr/>
                  <a:lstStyle/>
                  <a:p>
                    <a:fld id="{49E8A4A5-347A-4402-A8E4-4805E054567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008F-41B7-9BE2-323086EBE087}"/>
                </c:ext>
              </c:extLst>
            </c:dLbl>
            <c:dLbl>
              <c:idx val="25"/>
              <c:tx>
                <c:rich>
                  <a:bodyPr/>
                  <a:lstStyle/>
                  <a:p>
                    <a:fld id="{A10EFD90-FE96-49C7-8C91-C5DB67CF812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008F-41B7-9BE2-323086EBE087}"/>
                </c:ext>
              </c:extLst>
            </c:dLbl>
            <c:dLbl>
              <c:idx val="26"/>
              <c:tx>
                <c:rich>
                  <a:bodyPr/>
                  <a:lstStyle/>
                  <a:p>
                    <a:fld id="{0973DDB6-0586-477B-B3B3-38F4F71F870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008F-41B7-9BE2-323086EBE087}"/>
                </c:ext>
              </c:extLst>
            </c:dLbl>
            <c:dLbl>
              <c:idx val="27"/>
              <c:tx>
                <c:rich>
                  <a:bodyPr/>
                  <a:lstStyle/>
                  <a:p>
                    <a:fld id="{BC7B8A42-57EF-4882-8E57-4F53162E385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008F-41B7-9BE2-323086EBE087}"/>
                </c:ext>
              </c:extLst>
            </c:dLbl>
            <c:dLbl>
              <c:idx val="28"/>
              <c:tx>
                <c:rich>
                  <a:bodyPr/>
                  <a:lstStyle/>
                  <a:p>
                    <a:fld id="{2C444272-87D7-4772-B8D5-6901003734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008F-41B7-9BE2-323086EBE087}"/>
                </c:ext>
              </c:extLst>
            </c:dLbl>
            <c:dLbl>
              <c:idx val="29"/>
              <c:tx>
                <c:rich>
                  <a:bodyPr/>
                  <a:lstStyle/>
                  <a:p>
                    <a:fld id="{FF2DFCA3-54A3-4E80-BB1C-F465377165F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008F-41B7-9BE2-323086EBE087}"/>
                </c:ext>
              </c:extLst>
            </c:dLbl>
            <c:dLbl>
              <c:idx val="30"/>
              <c:tx>
                <c:rich>
                  <a:bodyPr/>
                  <a:lstStyle/>
                  <a:p>
                    <a:fld id="{A8320239-65A7-43BA-8ED1-2243F494550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008F-41B7-9BE2-323086EBE087}"/>
                </c:ext>
              </c:extLst>
            </c:dLbl>
            <c:dLbl>
              <c:idx val="31"/>
              <c:tx>
                <c:rich>
                  <a:bodyPr/>
                  <a:lstStyle/>
                  <a:p>
                    <a:fld id="{AC1CDB62-A853-40C0-9DCF-C61DA35E1BE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008F-41B7-9BE2-323086EBE087}"/>
                </c:ext>
              </c:extLst>
            </c:dLbl>
            <c:dLbl>
              <c:idx val="32"/>
              <c:tx>
                <c:rich>
                  <a:bodyPr/>
                  <a:lstStyle/>
                  <a:p>
                    <a:fld id="{358F22DF-B65A-4AB4-B235-297416FBD63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008F-41B7-9BE2-323086EBE087}"/>
                </c:ext>
              </c:extLst>
            </c:dLbl>
            <c:dLbl>
              <c:idx val="33"/>
              <c:tx>
                <c:rich>
                  <a:bodyPr/>
                  <a:lstStyle/>
                  <a:p>
                    <a:fld id="{9206F078-8DCB-4031-91C8-49F2E3BB36F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008F-41B7-9BE2-323086EBE087}"/>
                </c:ext>
              </c:extLst>
            </c:dLbl>
            <c:dLbl>
              <c:idx val="34"/>
              <c:tx>
                <c:rich>
                  <a:bodyPr/>
                  <a:lstStyle/>
                  <a:p>
                    <a:fld id="{370FB32A-94DC-4D66-A0CB-03379EFC19B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008F-41B7-9BE2-323086EBE087}"/>
                </c:ext>
              </c:extLst>
            </c:dLbl>
            <c:dLbl>
              <c:idx val="35"/>
              <c:tx>
                <c:rich>
                  <a:bodyPr/>
                  <a:lstStyle/>
                  <a:p>
                    <a:fld id="{AD28D534-CC94-4F8D-A7CC-B6D22A70CCD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008F-41B7-9BE2-323086EBE087}"/>
                </c:ext>
              </c:extLst>
            </c:dLbl>
            <c:dLbl>
              <c:idx val="36"/>
              <c:tx>
                <c:rich>
                  <a:bodyPr/>
                  <a:lstStyle/>
                  <a:p>
                    <a:fld id="{A6090139-EF2C-42A0-9CCF-425B3B00EF6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008F-41B7-9BE2-323086EBE087}"/>
                </c:ext>
              </c:extLst>
            </c:dLbl>
            <c:dLbl>
              <c:idx val="37"/>
              <c:tx>
                <c:rich>
                  <a:bodyPr/>
                  <a:lstStyle/>
                  <a:p>
                    <a:fld id="{E15E6248-3D97-4D0B-8474-28CB72318EF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008F-41B7-9BE2-323086EBE087}"/>
                </c:ext>
              </c:extLst>
            </c:dLbl>
            <c:dLbl>
              <c:idx val="38"/>
              <c:tx>
                <c:rich>
                  <a:bodyPr/>
                  <a:lstStyle/>
                  <a:p>
                    <a:fld id="{62CE6754-9BE6-425D-AC0D-292B2B16E63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008F-41B7-9BE2-323086EBE087}"/>
                </c:ext>
              </c:extLst>
            </c:dLbl>
            <c:dLbl>
              <c:idx val="39"/>
              <c:tx>
                <c:rich>
                  <a:bodyPr/>
                  <a:lstStyle/>
                  <a:p>
                    <a:fld id="{EECA8449-4E1E-416F-91A8-76B3B077BB3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008F-41B7-9BE2-323086EBE08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graf'!$AG$44:$AG$83</c:f>
              <c:numCache>
                <c:formatCode>General</c:formatCode>
                <c:ptCount val="40"/>
                <c:pt idx="0">
                  <c:v>80</c:v>
                </c:pt>
                <c:pt idx="1">
                  <c:v>80</c:v>
                </c:pt>
                <c:pt idx="2">
                  <c:v>80</c:v>
                </c:pt>
                <c:pt idx="3">
                  <c:v>80</c:v>
                </c:pt>
                <c:pt idx="4">
                  <c:v>80</c:v>
                </c:pt>
                <c:pt idx="5">
                  <c:v>80</c:v>
                </c:pt>
                <c:pt idx="6">
                  <c:v>80</c:v>
                </c:pt>
                <c:pt idx="7">
                  <c:v>80</c:v>
                </c:pt>
                <c:pt idx="8">
                  <c:v>80</c:v>
                </c:pt>
                <c:pt idx="9">
                  <c:v>80</c:v>
                </c:pt>
                <c:pt idx="10">
                  <c:v>80</c:v>
                </c:pt>
                <c:pt idx="11">
                  <c:v>80</c:v>
                </c:pt>
                <c:pt idx="12">
                  <c:v>80</c:v>
                </c:pt>
                <c:pt idx="13">
                  <c:v>80</c:v>
                </c:pt>
                <c:pt idx="14">
                  <c:v>80</c:v>
                </c:pt>
                <c:pt idx="15">
                  <c:v>80</c:v>
                </c:pt>
                <c:pt idx="16">
                  <c:v>80</c:v>
                </c:pt>
                <c:pt idx="17">
                  <c:v>80</c:v>
                </c:pt>
                <c:pt idx="18">
                  <c:v>80</c:v>
                </c:pt>
                <c:pt idx="19">
                  <c:v>80</c:v>
                </c:pt>
                <c:pt idx="20">
                  <c:v>80</c:v>
                </c:pt>
                <c:pt idx="21">
                  <c:v>80</c:v>
                </c:pt>
                <c:pt idx="22">
                  <c:v>80</c:v>
                </c:pt>
                <c:pt idx="23">
                  <c:v>80</c:v>
                </c:pt>
                <c:pt idx="24">
                  <c:v>80</c:v>
                </c:pt>
                <c:pt idx="25">
                  <c:v>80</c:v>
                </c:pt>
                <c:pt idx="26">
                  <c:v>80</c:v>
                </c:pt>
                <c:pt idx="27">
                  <c:v>80</c:v>
                </c:pt>
                <c:pt idx="28">
                  <c:v>80</c:v>
                </c:pt>
                <c:pt idx="29">
                  <c:v>80</c:v>
                </c:pt>
                <c:pt idx="30">
                  <c:v>80</c:v>
                </c:pt>
                <c:pt idx="31">
                  <c:v>80</c:v>
                </c:pt>
                <c:pt idx="32">
                  <c:v>80</c:v>
                </c:pt>
                <c:pt idx="33">
                  <c:v>80</c:v>
                </c:pt>
                <c:pt idx="34">
                  <c:v>80</c:v>
                </c:pt>
                <c:pt idx="35">
                  <c:v>80</c:v>
                </c:pt>
                <c:pt idx="36">
                  <c:v>80</c:v>
                </c:pt>
                <c:pt idx="37">
                  <c:v>80</c:v>
                </c:pt>
                <c:pt idx="38">
                  <c:v>80</c:v>
                </c:pt>
                <c:pt idx="39">
                  <c:v>80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D-008F-41B7-9BE2-323086EBE087}"/>
            </c:ext>
          </c:extLst>
        </c:ser>
        <c:ser>
          <c:idx val="0"/>
          <c:order val="2"/>
          <c:tx>
            <c:strRef>
              <c:f>'Prerađivačka_FS graf'!$AH$7</c:f>
              <c:strCache>
                <c:ptCount val="1"/>
                <c:pt idx="0">
                  <c:v>y</c:v>
                </c:pt>
              </c:strCache>
            </c:strRef>
          </c:tx>
          <c:spPr>
            <a:ln w="12700" cap="rnd">
              <a:solidFill>
                <a:srgbClr val="7F3F98"/>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graf'!$AH$44:$AH$83</c:f>
              <c:numCache>
                <c:formatCode>0.0</c:formatCode>
                <c:ptCount val="40"/>
                <c:pt idx="0">
                  <c:v>89.672453910864519</c:v>
                </c:pt>
                <c:pt idx="1">
                  <c:v>107.49955253266512</c:v>
                </c:pt>
                <c:pt idx="2">
                  <c:v>114.80221943798104</c:v>
                </c:pt>
                <c:pt idx="3">
                  <c:v>108.78825845713263</c:v>
                </c:pt>
                <c:pt idx="4">
                  <c:v>104.81474852335779</c:v>
                </c:pt>
                <c:pt idx="5">
                  <c:v>113.72829783425811</c:v>
                </c:pt>
                <c:pt idx="6">
                  <c:v>109.96957222122788</c:v>
                </c:pt>
                <c:pt idx="7">
                  <c:v>99.982101306604619</c:v>
                </c:pt>
                <c:pt idx="8">
                  <c:v>109.86218006085555</c:v>
                </c:pt>
                <c:pt idx="9">
                  <c:v>112.97655271165206</c:v>
                </c:pt>
                <c:pt idx="10">
                  <c:v>110.50653302308933</c:v>
                </c:pt>
                <c:pt idx="11">
                  <c:v>106.10345444782531</c:v>
                </c:pt>
                <c:pt idx="12">
                  <c:v>91.820297118310364</c:v>
                </c:pt>
                <c:pt idx="13">
                  <c:v>106.64041524968677</c:v>
                </c:pt>
                <c:pt idx="14">
                  <c:v>115.23178807947021</c:v>
                </c:pt>
                <c:pt idx="15">
                  <c:v>100.73384642921069</c:v>
                </c:pt>
                <c:pt idx="16">
                  <c:v>107.821729013782</c:v>
                </c:pt>
                <c:pt idx="17">
                  <c:v>110.07696438160015</c:v>
                </c:pt>
                <c:pt idx="18">
                  <c:v>98.693395382137112</c:v>
                </c:pt>
                <c:pt idx="19">
                  <c:v>96.652944335063552</c:v>
                </c:pt>
                <c:pt idx="20">
                  <c:v>106.10345444782531</c:v>
                </c:pt>
                <c:pt idx="21">
                  <c:v>112.01002326830142</c:v>
                </c:pt>
                <c:pt idx="22">
                  <c:v>98.371218901020228</c:v>
                </c:pt>
                <c:pt idx="23">
                  <c:v>92.679434401288702</c:v>
                </c:pt>
                <c:pt idx="24">
                  <c:v>88.168963665652413</c:v>
                </c:pt>
                <c:pt idx="25">
                  <c:v>101.91516019330591</c:v>
                </c:pt>
                <c:pt idx="26">
                  <c:v>114.26525863611958</c:v>
                </c:pt>
                <c:pt idx="27">
                  <c:v>99.659924825487749</c:v>
                </c:pt>
                <c:pt idx="28">
                  <c:v>106.96259173080365</c:v>
                </c:pt>
                <c:pt idx="29">
                  <c:v>107.49955253266512</c:v>
                </c:pt>
                <c:pt idx="30">
                  <c:v>98.908179702881696</c:v>
                </c:pt>
                <c:pt idx="31">
                  <c:v>86.558081260068022</c:v>
                </c:pt>
                <c:pt idx="32">
                  <c:v>101.91516019330591</c:v>
                </c:pt>
                <c:pt idx="33">
                  <c:v>107.49955253266512</c:v>
                </c:pt>
                <c:pt idx="34">
                  <c:v>97.18990513692502</c:v>
                </c:pt>
                <c:pt idx="35">
                  <c:v>89.45766959011992</c:v>
                </c:pt>
                <c:pt idx="36">
                  <c:v>84.7</c:v>
                </c:pt>
                <c:pt idx="37">
                  <c:v>102.8</c:v>
                </c:pt>
                <c:pt idx="38">
                  <c:v>115</c:v>
                </c:pt>
                <c:pt idx="39">
                  <c:v>108.3</c:v>
                </c:pt>
              </c:numCache>
            </c:numRef>
          </c:val>
          <c:smooth val="0"/>
          <c:extLst>
            <c:ext xmlns:c16="http://schemas.microsoft.com/office/drawing/2014/chart" uri="{C3380CC4-5D6E-409C-BE32-E72D297353CC}">
              <c16:uniqueId val="{0000002E-008F-41B7-9BE2-323086EBE087}"/>
            </c:ext>
          </c:extLst>
        </c:ser>
        <c:ser>
          <c:idx val="1"/>
          <c:order val="3"/>
          <c:tx>
            <c:strRef>
              <c:f>'Prerađivačka_FS graf'!$AI$7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graf'!$AI$44:$AI$83</c:f>
              <c:numCache>
                <c:formatCode>0.0</c:formatCode>
                <c:ptCount val="40"/>
                <c:pt idx="0">
                  <c:v>106.89809062342114</c:v>
                </c:pt>
                <c:pt idx="1">
                  <c:v>109.04514463420175</c:v>
                </c:pt>
                <c:pt idx="2">
                  <c:v>104.67839164448719</c:v>
                </c:pt>
                <c:pt idx="3">
                  <c:v>109.1818414073813</c:v>
                </c:pt>
                <c:pt idx="4">
                  <c:v>103.66461499735122</c:v>
                </c:pt>
                <c:pt idx="5">
                  <c:v>107.88559946511083</c:v>
                </c:pt>
                <c:pt idx="6">
                  <c:v>107.54913287197014</c:v>
                </c:pt>
                <c:pt idx="7">
                  <c:v>104.69039721407822</c:v>
                </c:pt>
                <c:pt idx="8">
                  <c:v>103.67242900720335</c:v>
                </c:pt>
                <c:pt idx="9">
                  <c:v>105.20403556424294</c:v>
                </c:pt>
                <c:pt idx="10">
                  <c:v>110.05052551600303</c:v>
                </c:pt>
                <c:pt idx="11">
                  <c:v>114.46676480869539</c:v>
                </c:pt>
                <c:pt idx="12">
                  <c:v>107.41125388018398</c:v>
                </c:pt>
                <c:pt idx="13">
                  <c:v>107.73263351185277</c:v>
                </c:pt>
                <c:pt idx="14">
                  <c:v>104.71692780341515</c:v>
                </c:pt>
                <c:pt idx="15">
                  <c:v>102.89243666328892</c:v>
                </c:pt>
                <c:pt idx="16">
                  <c:v>104.85926148634749</c:v>
                </c:pt>
                <c:pt idx="17">
                  <c:v>103.81882165208572</c:v>
                </c:pt>
                <c:pt idx="18">
                  <c:v>98.474028450713959</c:v>
                </c:pt>
                <c:pt idx="19">
                  <c:v>101.11402932489506</c:v>
                </c:pt>
                <c:pt idx="20">
                  <c:v>100.7192650569731</c:v>
                </c:pt>
                <c:pt idx="21">
                  <c:v>104.19541800384684</c:v>
                </c:pt>
                <c:pt idx="22">
                  <c:v>98.622659018003105</c:v>
                </c:pt>
                <c:pt idx="23">
                  <c:v>101.84467699204149</c:v>
                </c:pt>
                <c:pt idx="24">
                  <c:v>102.57146004191145</c:v>
                </c:pt>
                <c:pt idx="25">
                  <c:v>102.66604905859998</c:v>
                </c:pt>
                <c:pt idx="26">
                  <c:v>102.87931039699946</c:v>
                </c:pt>
                <c:pt idx="27">
                  <c:v>102.55402407098843</c:v>
                </c:pt>
                <c:pt idx="28">
                  <c:v>104.05516623424397</c:v>
                </c:pt>
                <c:pt idx="29">
                  <c:v>100.7920010271327</c:v>
                </c:pt>
                <c:pt idx="30">
                  <c:v>99.295830431449758</c:v>
                </c:pt>
                <c:pt idx="31">
                  <c:v>91.712263527896027</c:v>
                </c:pt>
                <c:pt idx="32">
                  <c:v>98.47798390905588</c:v>
                </c:pt>
                <c:pt idx="33">
                  <c:v>98.231313410434311</c:v>
                </c:pt>
                <c:pt idx="34">
                  <c:v>97.010864291624102</c:v>
                </c:pt>
                <c:pt idx="35">
                  <c:v>99.767656936659677</c:v>
                </c:pt>
                <c:pt idx="36">
                  <c:v>99.683375750558454</c:v>
                </c:pt>
                <c:pt idx="37">
                  <c:v>100.62450553818276</c:v>
                </c:pt>
                <c:pt idx="38">
                  <c:v>105.53186916487465</c:v>
                </c:pt>
                <c:pt idx="39">
                  <c:v>105.09186632687629</c:v>
                </c:pt>
              </c:numCache>
            </c:numRef>
          </c:val>
          <c:smooth val="0"/>
          <c:extLst>
            <c:ext xmlns:c16="http://schemas.microsoft.com/office/drawing/2014/chart" uri="{C3380CC4-5D6E-409C-BE32-E72D297353CC}">
              <c16:uniqueId val="{0000002F-008F-41B7-9BE2-323086EBE087}"/>
            </c:ext>
          </c:extLst>
        </c:ser>
        <c:ser>
          <c:idx val="2"/>
          <c:order val="4"/>
          <c:tx>
            <c:strRef>
              <c:f>'Prerađivačka_FS graf'!$AJ$7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graf'!$AJ$44:$AJ$83</c:f>
              <c:numCache>
                <c:formatCode>0.0</c:formatCode>
                <c:ptCount val="40"/>
                <c:pt idx="0">
                  <c:v>109.8318007182117</c:v>
                </c:pt>
                <c:pt idx="1">
                  <c:v>108.32394306935315</c:v>
                </c:pt>
                <c:pt idx="2">
                  <c:v>107.27178684781677</c:v>
                </c:pt>
                <c:pt idx="3">
                  <c:v>106.66315813725771</c:v>
                </c:pt>
                <c:pt idx="4">
                  <c:v>106.26656993611572</c:v>
                </c:pt>
                <c:pt idx="5">
                  <c:v>106.0076863977054</c:v>
                </c:pt>
                <c:pt idx="6">
                  <c:v>105.80087096624587</c:v>
                </c:pt>
                <c:pt idx="7">
                  <c:v>105.69671788470555</c:v>
                </c:pt>
                <c:pt idx="8">
                  <c:v>105.93213131174163</c:v>
                </c:pt>
                <c:pt idx="9">
                  <c:v>106.45868479777282</c:v>
                </c:pt>
                <c:pt idx="10">
                  <c:v>107.05782417299474</c:v>
                </c:pt>
                <c:pt idx="11">
                  <c:v>107.36008671963631</c:v>
                </c:pt>
                <c:pt idx="12">
                  <c:v>107.31110708598469</c:v>
                </c:pt>
                <c:pt idx="13">
                  <c:v>106.71295610878683</c:v>
                </c:pt>
                <c:pt idx="14">
                  <c:v>105.67992408063185</c:v>
                </c:pt>
                <c:pt idx="15">
                  <c:v>104.44118503765033</c:v>
                </c:pt>
                <c:pt idx="16">
                  <c:v>103.36804809586957</c:v>
                </c:pt>
                <c:pt idx="17">
                  <c:v>102.5241360457873</c:v>
                </c:pt>
                <c:pt idx="18">
                  <c:v>101.84212105197821</c:v>
                </c:pt>
                <c:pt idx="19">
                  <c:v>101.38934669495258</c:v>
                </c:pt>
                <c:pt idx="20">
                  <c:v>101.15136304102677</c:v>
                </c:pt>
                <c:pt idx="21">
                  <c:v>101.13818267942243</c:v>
                </c:pt>
                <c:pt idx="22">
                  <c:v>101.34638325671466</c:v>
                </c:pt>
                <c:pt idx="23">
                  <c:v>101.74812195645212</c:v>
                </c:pt>
                <c:pt idx="24">
                  <c:v>102.2113210864496</c:v>
                </c:pt>
                <c:pt idx="25">
                  <c:v>102.63291759539945</c:v>
                </c:pt>
                <c:pt idx="26">
                  <c:v>102.89101625259174</c:v>
                </c:pt>
                <c:pt idx="27">
                  <c:v>102.76511346809255</c:v>
                </c:pt>
                <c:pt idx="28">
                  <c:v>102.19017468557502</c:v>
                </c:pt>
                <c:pt idx="29">
                  <c:v>101.17861384922388</c:v>
                </c:pt>
                <c:pt idx="30">
                  <c:v>100.05879967603065</c:v>
                </c:pt>
                <c:pt idx="31">
                  <c:v>99.027861687873482</c:v>
                </c:pt>
                <c:pt idx="32">
                  <c:v>98.241453497820004</c:v>
                </c:pt>
                <c:pt idx="33">
                  <c:v>97.916903134192665</c:v>
                </c:pt>
                <c:pt idx="34">
                  <c:v>98.218129369478888</c:v>
                </c:pt>
                <c:pt idx="35">
                  <c:v>99.122096632871916</c:v>
                </c:pt>
                <c:pt idx="36">
                  <c:v>100.40262880739324</c:v>
                </c:pt>
                <c:pt idx="37">
                  <c:v>101.88043340549613</c:v>
                </c:pt>
                <c:pt idx="38">
                  <c:v>103.25973784521813</c:v>
                </c:pt>
                <c:pt idx="39">
                  <c:v>104.33065110507582</c:v>
                </c:pt>
              </c:numCache>
            </c:numRef>
          </c:val>
          <c:smooth val="0"/>
          <c:extLst>
            <c:ext xmlns:c16="http://schemas.microsoft.com/office/drawing/2014/chart" uri="{C3380CC4-5D6E-409C-BE32-E72D297353CC}">
              <c16:uniqueId val="{00000030-008F-41B7-9BE2-323086EBE087}"/>
            </c:ext>
          </c:extLst>
        </c:ser>
        <c:dLbls>
          <c:showLegendKey val="0"/>
          <c:showVal val="0"/>
          <c:showCatName val="0"/>
          <c:showSerName val="0"/>
          <c:showPercent val="0"/>
          <c:showBubbleSize val="0"/>
        </c:dLbls>
        <c:marker val="1"/>
        <c:smooth val="0"/>
        <c:axId val="2092125712"/>
        <c:axId val="2092128432"/>
      </c:lineChart>
      <c:dateAx>
        <c:axId val="209212571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28432"/>
        <c:crosses val="autoZero"/>
        <c:auto val="1"/>
        <c:lblOffset val="0"/>
        <c:baseTimeUnit val="months"/>
        <c:majorUnit val="12"/>
        <c:majorTimeUnit val="months"/>
      </c:dateAx>
      <c:valAx>
        <c:axId val="2092128432"/>
        <c:scaling>
          <c:orientation val="minMax"/>
          <c:min val="8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2571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graf'!$BP$7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8.108109991814073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478-4788-8350-4DE9D1E522B7}"/>
                </c:ext>
              </c:extLst>
            </c:dLbl>
            <c:dLbl>
              <c:idx val="12"/>
              <c:layout>
                <c:manualLayout>
                  <c:x val="7.077428970793064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478-4788-8350-4DE9D1E522B7}"/>
                </c:ext>
              </c:extLst>
            </c:dLbl>
            <c:dLbl>
              <c:idx val="24"/>
              <c:layout>
                <c:manualLayout>
                  <c:x val="7.20263984814391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478-4788-8350-4DE9D1E522B7}"/>
                </c:ext>
              </c:extLst>
            </c:dLbl>
            <c:dLbl>
              <c:idx val="36"/>
              <c:layout>
                <c:manualLayout>
                  <c:x val="-1.327306456248546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478-4788-8350-4DE9D1E522B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graf'!$BP$44:$BP$83</c:f>
              <c:numCache>
                <c:formatCode>General</c:formatCode>
                <c:ptCount val="40"/>
                <c:pt idx="0">
                  <c:v>0</c:v>
                </c:pt>
                <c:pt idx="12">
                  <c:v>0</c:v>
                </c:pt>
                <c:pt idx="24">
                  <c:v>0</c:v>
                </c:pt>
                <c:pt idx="36">
                  <c:v>0</c:v>
                </c:pt>
              </c:numCache>
            </c:numRef>
          </c:val>
          <c:smooth val="0"/>
          <c:extLst>
            <c:ext xmlns:c16="http://schemas.microsoft.com/office/drawing/2014/chart" uri="{C3380CC4-5D6E-409C-BE32-E72D297353CC}">
              <c16:uniqueId val="{00000004-D478-4788-8350-4DE9D1E522B7}"/>
            </c:ext>
          </c:extLst>
        </c:ser>
        <c:ser>
          <c:idx val="4"/>
          <c:order val="1"/>
          <c:tx>
            <c:strRef>
              <c:f>'Prerađivačka_FS graf'!$BQ$7</c:f>
              <c:strCache>
                <c:ptCount val="1"/>
                <c:pt idx="0">
                  <c:v>Series5</c:v>
                </c:pt>
              </c:strCache>
            </c:strRef>
          </c:tx>
          <c:spPr>
            <a:ln w="25400" cap="rnd">
              <a:noFill/>
              <a:round/>
            </a:ln>
            <a:effectLst/>
          </c:spPr>
          <c:marker>
            <c:symbol val="none"/>
          </c:marker>
          <c:dLbls>
            <c:dLbl>
              <c:idx val="0"/>
              <c:tx>
                <c:rich>
                  <a:bodyPr/>
                  <a:lstStyle/>
                  <a:p>
                    <a:fld id="{C16CDF30-18FA-4BDF-8378-0B4E8689B59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D478-4788-8350-4DE9D1E522B7}"/>
                </c:ext>
              </c:extLst>
            </c:dLbl>
            <c:dLbl>
              <c:idx val="1"/>
              <c:tx>
                <c:rich>
                  <a:bodyPr/>
                  <a:lstStyle/>
                  <a:p>
                    <a:fld id="{B34B39AA-6FA1-48FA-9CD1-0871C57CE7A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D478-4788-8350-4DE9D1E522B7}"/>
                </c:ext>
              </c:extLst>
            </c:dLbl>
            <c:dLbl>
              <c:idx val="2"/>
              <c:tx>
                <c:rich>
                  <a:bodyPr/>
                  <a:lstStyle/>
                  <a:p>
                    <a:fld id="{EA762667-7EAB-4C18-961B-4BC5842E8FD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D478-4788-8350-4DE9D1E522B7}"/>
                </c:ext>
              </c:extLst>
            </c:dLbl>
            <c:dLbl>
              <c:idx val="3"/>
              <c:tx>
                <c:rich>
                  <a:bodyPr/>
                  <a:lstStyle/>
                  <a:p>
                    <a:fld id="{CF06E1BB-53F1-4D2A-8BDB-FB52AA71A04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478-4788-8350-4DE9D1E522B7}"/>
                </c:ext>
              </c:extLst>
            </c:dLbl>
            <c:dLbl>
              <c:idx val="4"/>
              <c:tx>
                <c:rich>
                  <a:bodyPr/>
                  <a:lstStyle/>
                  <a:p>
                    <a:fld id="{9F2B7BE2-BC5B-4341-BE39-1E177582795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D478-4788-8350-4DE9D1E522B7}"/>
                </c:ext>
              </c:extLst>
            </c:dLbl>
            <c:dLbl>
              <c:idx val="5"/>
              <c:tx>
                <c:rich>
                  <a:bodyPr/>
                  <a:lstStyle/>
                  <a:p>
                    <a:fld id="{B992062A-8FDF-490F-94FE-F908F11FF23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D478-4788-8350-4DE9D1E522B7}"/>
                </c:ext>
              </c:extLst>
            </c:dLbl>
            <c:dLbl>
              <c:idx val="6"/>
              <c:tx>
                <c:rich>
                  <a:bodyPr/>
                  <a:lstStyle/>
                  <a:p>
                    <a:fld id="{A3CF6FE3-D7CD-415A-A167-372C56F69E2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478-4788-8350-4DE9D1E522B7}"/>
                </c:ext>
              </c:extLst>
            </c:dLbl>
            <c:dLbl>
              <c:idx val="7"/>
              <c:tx>
                <c:rich>
                  <a:bodyPr/>
                  <a:lstStyle/>
                  <a:p>
                    <a:fld id="{4251CA73-E9B2-4434-A6D2-1452EC1FA1F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D478-4788-8350-4DE9D1E522B7}"/>
                </c:ext>
              </c:extLst>
            </c:dLbl>
            <c:dLbl>
              <c:idx val="8"/>
              <c:tx>
                <c:rich>
                  <a:bodyPr/>
                  <a:lstStyle/>
                  <a:p>
                    <a:fld id="{5FC2FDDF-3AD2-41B3-B881-16E5F8D7A0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D478-4788-8350-4DE9D1E522B7}"/>
                </c:ext>
              </c:extLst>
            </c:dLbl>
            <c:dLbl>
              <c:idx val="9"/>
              <c:tx>
                <c:rich>
                  <a:bodyPr/>
                  <a:lstStyle/>
                  <a:p>
                    <a:fld id="{6199CAD4-4DA4-4C6B-A974-C2DE045936D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478-4788-8350-4DE9D1E522B7}"/>
                </c:ext>
              </c:extLst>
            </c:dLbl>
            <c:dLbl>
              <c:idx val="10"/>
              <c:tx>
                <c:rich>
                  <a:bodyPr/>
                  <a:lstStyle/>
                  <a:p>
                    <a:fld id="{C2F6A02D-22FA-49BB-9D0C-65BA76C94C3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D478-4788-8350-4DE9D1E522B7}"/>
                </c:ext>
              </c:extLst>
            </c:dLbl>
            <c:dLbl>
              <c:idx val="11"/>
              <c:tx>
                <c:rich>
                  <a:bodyPr/>
                  <a:lstStyle/>
                  <a:p>
                    <a:fld id="{DB6997F3-9D4B-4462-BA94-5E1A82F51C0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D478-4788-8350-4DE9D1E522B7}"/>
                </c:ext>
              </c:extLst>
            </c:dLbl>
            <c:dLbl>
              <c:idx val="12"/>
              <c:tx>
                <c:rich>
                  <a:bodyPr/>
                  <a:lstStyle/>
                  <a:p>
                    <a:fld id="{991D290A-A47C-4E95-9401-ECB3319CFB8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478-4788-8350-4DE9D1E522B7}"/>
                </c:ext>
              </c:extLst>
            </c:dLbl>
            <c:dLbl>
              <c:idx val="13"/>
              <c:tx>
                <c:rich>
                  <a:bodyPr/>
                  <a:lstStyle/>
                  <a:p>
                    <a:fld id="{CED4B25B-A05B-4408-B440-A706F27D9FE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D478-4788-8350-4DE9D1E522B7}"/>
                </c:ext>
              </c:extLst>
            </c:dLbl>
            <c:dLbl>
              <c:idx val="14"/>
              <c:tx>
                <c:rich>
                  <a:bodyPr/>
                  <a:lstStyle/>
                  <a:p>
                    <a:fld id="{41119095-5A14-48B2-91A0-2DE63C0798D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D478-4788-8350-4DE9D1E522B7}"/>
                </c:ext>
              </c:extLst>
            </c:dLbl>
            <c:dLbl>
              <c:idx val="15"/>
              <c:tx>
                <c:rich>
                  <a:bodyPr/>
                  <a:lstStyle/>
                  <a:p>
                    <a:fld id="{C724A7BD-98AE-4F4A-ACE6-EFDA9C1A4E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D478-4788-8350-4DE9D1E522B7}"/>
                </c:ext>
              </c:extLst>
            </c:dLbl>
            <c:dLbl>
              <c:idx val="16"/>
              <c:tx>
                <c:rich>
                  <a:bodyPr/>
                  <a:lstStyle/>
                  <a:p>
                    <a:fld id="{DD5827BC-27C1-47F0-931F-8CCE85FAEC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D478-4788-8350-4DE9D1E522B7}"/>
                </c:ext>
              </c:extLst>
            </c:dLbl>
            <c:dLbl>
              <c:idx val="17"/>
              <c:tx>
                <c:rich>
                  <a:bodyPr/>
                  <a:lstStyle/>
                  <a:p>
                    <a:fld id="{0CC8A2E9-01EE-494A-8F01-C1589DCD668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D478-4788-8350-4DE9D1E522B7}"/>
                </c:ext>
              </c:extLst>
            </c:dLbl>
            <c:dLbl>
              <c:idx val="18"/>
              <c:tx>
                <c:rich>
                  <a:bodyPr/>
                  <a:lstStyle/>
                  <a:p>
                    <a:fld id="{E52D1297-976B-4F6E-8DF3-726912A3F3A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D478-4788-8350-4DE9D1E522B7}"/>
                </c:ext>
              </c:extLst>
            </c:dLbl>
            <c:dLbl>
              <c:idx val="19"/>
              <c:tx>
                <c:rich>
                  <a:bodyPr/>
                  <a:lstStyle/>
                  <a:p>
                    <a:fld id="{543AFC4E-7F6D-4F91-B514-E4D028A795C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D478-4788-8350-4DE9D1E522B7}"/>
                </c:ext>
              </c:extLst>
            </c:dLbl>
            <c:dLbl>
              <c:idx val="20"/>
              <c:tx>
                <c:rich>
                  <a:bodyPr/>
                  <a:lstStyle/>
                  <a:p>
                    <a:fld id="{11104ACA-989A-4F3C-BE59-D5C6A09D182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D478-4788-8350-4DE9D1E522B7}"/>
                </c:ext>
              </c:extLst>
            </c:dLbl>
            <c:dLbl>
              <c:idx val="21"/>
              <c:tx>
                <c:rich>
                  <a:bodyPr/>
                  <a:lstStyle/>
                  <a:p>
                    <a:fld id="{4190BEF3-526D-405B-8720-38F6A3F0B81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D478-4788-8350-4DE9D1E522B7}"/>
                </c:ext>
              </c:extLst>
            </c:dLbl>
            <c:dLbl>
              <c:idx val="22"/>
              <c:tx>
                <c:rich>
                  <a:bodyPr/>
                  <a:lstStyle/>
                  <a:p>
                    <a:fld id="{9ED1EF4C-8A2B-4CCE-BAC5-B626FD36EED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D478-4788-8350-4DE9D1E522B7}"/>
                </c:ext>
              </c:extLst>
            </c:dLbl>
            <c:dLbl>
              <c:idx val="23"/>
              <c:tx>
                <c:rich>
                  <a:bodyPr/>
                  <a:lstStyle/>
                  <a:p>
                    <a:fld id="{73C6BFAA-2D1F-48CF-9176-80BB9A33A04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D478-4788-8350-4DE9D1E522B7}"/>
                </c:ext>
              </c:extLst>
            </c:dLbl>
            <c:dLbl>
              <c:idx val="24"/>
              <c:tx>
                <c:rich>
                  <a:bodyPr/>
                  <a:lstStyle/>
                  <a:p>
                    <a:fld id="{5FC2BB2E-3677-4F44-8169-E6C96D3D164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D478-4788-8350-4DE9D1E522B7}"/>
                </c:ext>
              </c:extLst>
            </c:dLbl>
            <c:dLbl>
              <c:idx val="25"/>
              <c:tx>
                <c:rich>
                  <a:bodyPr/>
                  <a:lstStyle/>
                  <a:p>
                    <a:fld id="{92717F0B-F76C-4D8F-AEEA-04D5B5631A4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D478-4788-8350-4DE9D1E522B7}"/>
                </c:ext>
              </c:extLst>
            </c:dLbl>
            <c:dLbl>
              <c:idx val="26"/>
              <c:tx>
                <c:rich>
                  <a:bodyPr/>
                  <a:lstStyle/>
                  <a:p>
                    <a:fld id="{7F9B4733-5C6E-4040-A1BA-287EB07D9A0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D478-4788-8350-4DE9D1E522B7}"/>
                </c:ext>
              </c:extLst>
            </c:dLbl>
            <c:dLbl>
              <c:idx val="27"/>
              <c:tx>
                <c:rich>
                  <a:bodyPr/>
                  <a:lstStyle/>
                  <a:p>
                    <a:fld id="{DA48F1BB-03BA-4624-9ED3-E1367813801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D478-4788-8350-4DE9D1E522B7}"/>
                </c:ext>
              </c:extLst>
            </c:dLbl>
            <c:dLbl>
              <c:idx val="28"/>
              <c:tx>
                <c:rich>
                  <a:bodyPr/>
                  <a:lstStyle/>
                  <a:p>
                    <a:fld id="{38E8B98C-9C13-4370-A6D2-7762A0A412D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D478-4788-8350-4DE9D1E522B7}"/>
                </c:ext>
              </c:extLst>
            </c:dLbl>
            <c:dLbl>
              <c:idx val="29"/>
              <c:tx>
                <c:rich>
                  <a:bodyPr/>
                  <a:lstStyle/>
                  <a:p>
                    <a:fld id="{C5D7CA59-AAE5-4139-8EDF-0B310A7D226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D478-4788-8350-4DE9D1E522B7}"/>
                </c:ext>
              </c:extLst>
            </c:dLbl>
            <c:dLbl>
              <c:idx val="30"/>
              <c:tx>
                <c:rich>
                  <a:bodyPr/>
                  <a:lstStyle/>
                  <a:p>
                    <a:fld id="{BF708C04-C1CF-4CBD-8F7D-2E745AE43D5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D478-4788-8350-4DE9D1E522B7}"/>
                </c:ext>
              </c:extLst>
            </c:dLbl>
            <c:dLbl>
              <c:idx val="31"/>
              <c:tx>
                <c:rich>
                  <a:bodyPr/>
                  <a:lstStyle/>
                  <a:p>
                    <a:fld id="{A122F643-A856-4274-B88D-9E8503FDA82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D478-4788-8350-4DE9D1E522B7}"/>
                </c:ext>
              </c:extLst>
            </c:dLbl>
            <c:dLbl>
              <c:idx val="32"/>
              <c:tx>
                <c:rich>
                  <a:bodyPr/>
                  <a:lstStyle/>
                  <a:p>
                    <a:fld id="{7DE71584-92E0-41F8-9FF5-A0A9C5A2398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D478-4788-8350-4DE9D1E522B7}"/>
                </c:ext>
              </c:extLst>
            </c:dLbl>
            <c:dLbl>
              <c:idx val="33"/>
              <c:tx>
                <c:rich>
                  <a:bodyPr/>
                  <a:lstStyle/>
                  <a:p>
                    <a:fld id="{344780F4-E6B7-45AC-ADAE-CDD5E38E722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D478-4788-8350-4DE9D1E522B7}"/>
                </c:ext>
              </c:extLst>
            </c:dLbl>
            <c:dLbl>
              <c:idx val="34"/>
              <c:tx>
                <c:rich>
                  <a:bodyPr/>
                  <a:lstStyle/>
                  <a:p>
                    <a:fld id="{50F463DC-1125-4FD8-956B-D9F6740B392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D478-4788-8350-4DE9D1E522B7}"/>
                </c:ext>
              </c:extLst>
            </c:dLbl>
            <c:dLbl>
              <c:idx val="35"/>
              <c:tx>
                <c:rich>
                  <a:bodyPr/>
                  <a:lstStyle/>
                  <a:p>
                    <a:fld id="{5875A30C-FA7A-461C-B68F-B89BE68EEA4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D478-4788-8350-4DE9D1E522B7}"/>
                </c:ext>
              </c:extLst>
            </c:dLbl>
            <c:dLbl>
              <c:idx val="36"/>
              <c:tx>
                <c:rich>
                  <a:bodyPr/>
                  <a:lstStyle/>
                  <a:p>
                    <a:fld id="{C62622C9-E749-465B-A8F3-A7892B18E0D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D478-4788-8350-4DE9D1E522B7}"/>
                </c:ext>
              </c:extLst>
            </c:dLbl>
            <c:dLbl>
              <c:idx val="37"/>
              <c:tx>
                <c:rich>
                  <a:bodyPr/>
                  <a:lstStyle/>
                  <a:p>
                    <a:fld id="{DF406124-32FC-473B-9B3B-D7566316194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D478-4788-8350-4DE9D1E522B7}"/>
                </c:ext>
              </c:extLst>
            </c:dLbl>
            <c:dLbl>
              <c:idx val="38"/>
              <c:tx>
                <c:rich>
                  <a:bodyPr/>
                  <a:lstStyle/>
                  <a:p>
                    <a:fld id="{EFFDBF83-43E0-4AF3-AC7D-F3AA0F7F733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D478-4788-8350-4DE9D1E522B7}"/>
                </c:ext>
              </c:extLst>
            </c:dLbl>
            <c:dLbl>
              <c:idx val="39"/>
              <c:tx>
                <c:rich>
                  <a:bodyPr/>
                  <a:lstStyle/>
                  <a:p>
                    <a:fld id="{F4C38459-88AF-4639-8849-4C2B3E13EDC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D478-4788-8350-4DE9D1E522B7}"/>
                </c:ext>
              </c:extLst>
            </c:dLbl>
            <c:dLbl>
              <c:idx val="40"/>
              <c:tx>
                <c:rich>
                  <a:bodyPr/>
                  <a:lstStyle/>
                  <a:p>
                    <a:fld id="{821D4FEA-212D-4B9F-8353-F78B06F417E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D478-4788-8350-4DE9D1E522B7}"/>
                </c:ext>
              </c:extLst>
            </c:dLbl>
            <c:dLbl>
              <c:idx val="41"/>
              <c:tx>
                <c:rich>
                  <a:bodyPr/>
                  <a:lstStyle/>
                  <a:p>
                    <a:fld id="{AFCAE9D6-C88E-4CF8-A649-B5E5CAD3D7D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D478-4788-8350-4DE9D1E522B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graf'!$BQ$44:$BQ$83</c:f>
              <c:numCache>
                <c:formatCode>General</c:formatCode>
                <c:ptCount val="4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D478-4788-8350-4DE9D1E522B7}"/>
            </c:ext>
          </c:extLst>
        </c:ser>
        <c:ser>
          <c:idx val="0"/>
          <c:order val="2"/>
          <c:tx>
            <c:strRef>
              <c:f>'Prerađivačka_FS graf'!$BR$7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graf'!$BR$44:$BR$83</c:f>
              <c:numCache>
                <c:formatCode>0.0</c:formatCode>
                <c:ptCount val="40"/>
                <c:pt idx="0">
                  <c:v>39.144599448667613</c:v>
                </c:pt>
                <c:pt idx="1">
                  <c:v>51.825244340489519</c:v>
                </c:pt>
                <c:pt idx="2">
                  <c:v>65.257706123130902</c:v>
                </c:pt>
                <c:pt idx="3">
                  <c:v>51.42427533205246</c:v>
                </c:pt>
                <c:pt idx="4">
                  <c:v>40.147021969760253</c:v>
                </c:pt>
                <c:pt idx="5">
                  <c:v>44.357196558349351</c:v>
                </c:pt>
                <c:pt idx="6">
                  <c:v>42.051624759836272</c:v>
                </c:pt>
                <c:pt idx="7">
                  <c:v>41.550413499289959</c:v>
                </c:pt>
                <c:pt idx="8">
                  <c:v>48.366886642719905</c:v>
                </c:pt>
                <c:pt idx="9">
                  <c:v>48.918219029320859</c:v>
                </c:pt>
                <c:pt idx="10">
                  <c:v>45.509982457605886</c:v>
                </c:pt>
                <c:pt idx="11">
                  <c:v>82.900342494361382</c:v>
                </c:pt>
                <c:pt idx="12">
                  <c:v>45.309497953387357</c:v>
                </c:pt>
                <c:pt idx="13">
                  <c:v>54.531785147439649</c:v>
                </c:pt>
                <c:pt idx="14">
                  <c:v>66.159886392114288</c:v>
                </c:pt>
                <c:pt idx="15">
                  <c:v>47.615069751900428</c:v>
                </c:pt>
                <c:pt idx="16">
                  <c:v>45.760588087879043</c:v>
                </c:pt>
                <c:pt idx="17">
                  <c:v>66.159886392114288</c:v>
                </c:pt>
                <c:pt idx="18">
                  <c:v>57.739537214936099</c:v>
                </c:pt>
                <c:pt idx="19">
                  <c:v>63.65383008938268</c:v>
                </c:pt>
                <c:pt idx="20">
                  <c:v>79.041015788154709</c:v>
                </c:pt>
                <c:pt idx="21">
                  <c:v>71.673210258123817</c:v>
                </c:pt>
                <c:pt idx="22">
                  <c:v>79.742711552919559</c:v>
                </c:pt>
                <c:pt idx="23">
                  <c:v>96.934257789658346</c:v>
                </c:pt>
                <c:pt idx="24">
                  <c:v>59.293292122629694</c:v>
                </c:pt>
                <c:pt idx="25">
                  <c:v>73.92866093058224</c:v>
                </c:pt>
                <c:pt idx="26">
                  <c:v>86.759669200568041</c:v>
                </c:pt>
                <c:pt idx="27">
                  <c:v>84.905187536546663</c:v>
                </c:pt>
                <c:pt idx="28">
                  <c:v>94.92941274747308</c:v>
                </c:pt>
                <c:pt idx="29">
                  <c:v>120.04009690084372</c:v>
                </c:pt>
                <c:pt idx="30">
                  <c:v>92.724083201069263</c:v>
                </c:pt>
                <c:pt idx="31">
                  <c:v>91.721660679976608</c:v>
                </c:pt>
                <c:pt idx="32">
                  <c:v>104.20182106758</c:v>
                </c:pt>
                <c:pt idx="33">
                  <c:v>103.19939854648736</c:v>
                </c:pt>
                <c:pt idx="34">
                  <c:v>119.58900676635203</c:v>
                </c:pt>
                <c:pt idx="35">
                  <c:v>168.70771029989143</c:v>
                </c:pt>
                <c:pt idx="36">
                  <c:v>107.6</c:v>
                </c:pt>
                <c:pt idx="37">
                  <c:v>122</c:v>
                </c:pt>
                <c:pt idx="38">
                  <c:v>163.80000000000001</c:v>
                </c:pt>
                <c:pt idx="39">
                  <c:v>180.2</c:v>
                </c:pt>
              </c:numCache>
            </c:numRef>
          </c:val>
          <c:smooth val="0"/>
          <c:extLst>
            <c:ext xmlns:c16="http://schemas.microsoft.com/office/drawing/2014/chart" uri="{C3380CC4-5D6E-409C-BE32-E72D297353CC}">
              <c16:uniqueId val="{00000030-D478-4788-8350-4DE9D1E522B7}"/>
            </c:ext>
          </c:extLst>
        </c:ser>
        <c:ser>
          <c:idx val="1"/>
          <c:order val="3"/>
          <c:tx>
            <c:strRef>
              <c:f>'Prerađivačka_FS graf'!$BS$7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graf'!$BS$44:$BS$83</c:f>
              <c:numCache>
                <c:formatCode>0.0</c:formatCode>
                <c:ptCount val="40"/>
                <c:pt idx="0">
                  <c:v>52.889546258079676</c:v>
                </c:pt>
                <c:pt idx="1">
                  <c:v>56.896238096926247</c:v>
                </c:pt>
                <c:pt idx="2">
                  <c:v>58.189297914685291</c:v>
                </c:pt>
                <c:pt idx="3">
                  <c:v>52.18031518842372</c:v>
                </c:pt>
                <c:pt idx="4">
                  <c:v>43.722151815952678</c:v>
                </c:pt>
                <c:pt idx="5">
                  <c:v>41.766311715613277</c:v>
                </c:pt>
                <c:pt idx="6">
                  <c:v>45.01738761209711</c:v>
                </c:pt>
                <c:pt idx="7">
                  <c:v>44.537957528226777</c:v>
                </c:pt>
                <c:pt idx="8">
                  <c:v>45.893644852710068</c:v>
                </c:pt>
                <c:pt idx="9">
                  <c:v>48.261393659436074</c:v>
                </c:pt>
                <c:pt idx="10">
                  <c:v>45.959869780774824</c:v>
                </c:pt>
                <c:pt idx="11">
                  <c:v>58.797893820449623</c:v>
                </c:pt>
                <c:pt idx="12">
                  <c:v>58.318912988784696</c:v>
                </c:pt>
                <c:pt idx="13">
                  <c:v>59.603932183309972</c:v>
                </c:pt>
                <c:pt idx="14">
                  <c:v>57.824416817136054</c:v>
                </c:pt>
                <c:pt idx="15">
                  <c:v>51.345166195020795</c:v>
                </c:pt>
                <c:pt idx="16">
                  <c:v>48.969483467305075</c:v>
                </c:pt>
                <c:pt idx="17">
                  <c:v>61.438624765018517</c:v>
                </c:pt>
                <c:pt idx="18">
                  <c:v>63.868765444588426</c:v>
                </c:pt>
                <c:pt idx="19">
                  <c:v>67.225485759712583</c:v>
                </c:pt>
                <c:pt idx="20">
                  <c:v>75.218815881223534</c:v>
                </c:pt>
                <c:pt idx="21">
                  <c:v>72.195001362160056</c:v>
                </c:pt>
                <c:pt idx="22">
                  <c:v>80.206191239494686</c:v>
                </c:pt>
                <c:pt idx="23">
                  <c:v>70.398762809189577</c:v>
                </c:pt>
                <c:pt idx="24">
                  <c:v>73.385250898594009</c:v>
                </c:pt>
                <c:pt idx="25">
                  <c:v>81.042868263887684</c:v>
                </c:pt>
                <c:pt idx="26">
                  <c:v>75.118292823435524</c:v>
                </c:pt>
                <c:pt idx="27">
                  <c:v>94.635360780835256</c:v>
                </c:pt>
                <c:pt idx="28">
                  <c:v>103.5410309637619</c:v>
                </c:pt>
                <c:pt idx="29">
                  <c:v>110.4418926727453</c:v>
                </c:pt>
                <c:pt idx="30">
                  <c:v>102.60255661641008</c:v>
                </c:pt>
                <c:pt idx="31">
                  <c:v>98.107678340427597</c:v>
                </c:pt>
                <c:pt idx="32">
                  <c:v>101.72755226083558</c:v>
                </c:pt>
                <c:pt idx="33">
                  <c:v>102.40763886330103</c:v>
                </c:pt>
                <c:pt idx="34">
                  <c:v>115.14439906765173</c:v>
                </c:pt>
                <c:pt idx="35">
                  <c:v>126.72153992649281</c:v>
                </c:pt>
                <c:pt idx="36">
                  <c:v>135.05312858573171</c:v>
                </c:pt>
                <c:pt idx="37">
                  <c:v>127.61090312235247</c:v>
                </c:pt>
                <c:pt idx="38">
                  <c:v>151.91326899747989</c:v>
                </c:pt>
                <c:pt idx="39">
                  <c:v>174.36801459936538</c:v>
                </c:pt>
              </c:numCache>
            </c:numRef>
          </c:val>
          <c:smooth val="0"/>
          <c:extLst>
            <c:ext xmlns:c16="http://schemas.microsoft.com/office/drawing/2014/chart" uri="{C3380CC4-5D6E-409C-BE32-E72D297353CC}">
              <c16:uniqueId val="{00000031-D478-4788-8350-4DE9D1E522B7}"/>
            </c:ext>
          </c:extLst>
        </c:ser>
        <c:ser>
          <c:idx val="2"/>
          <c:order val="4"/>
          <c:tx>
            <c:strRef>
              <c:f>'Prerađivačka_FS graf'!$BT$7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graf'!$BT$44:$BT$83</c:f>
              <c:numCache>
                <c:formatCode>0.0</c:formatCode>
                <c:ptCount val="40"/>
                <c:pt idx="0">
                  <c:v>55.537817150771374</c:v>
                </c:pt>
                <c:pt idx="1">
                  <c:v>54.734648419858175</c:v>
                </c:pt>
                <c:pt idx="2">
                  <c:v>52.974635281084737</c:v>
                </c:pt>
                <c:pt idx="3">
                  <c:v>50.389359698097358</c:v>
                </c:pt>
                <c:pt idx="4">
                  <c:v>47.710749914468821</c:v>
                </c:pt>
                <c:pt idx="5">
                  <c:v>45.207515602372467</c:v>
                </c:pt>
                <c:pt idx="6">
                  <c:v>43.712958420149029</c:v>
                </c:pt>
                <c:pt idx="7">
                  <c:v>43.816215655088293</c:v>
                </c:pt>
                <c:pt idx="8">
                  <c:v>45.540050809771813</c:v>
                </c:pt>
                <c:pt idx="9">
                  <c:v>48.435292872971608</c:v>
                </c:pt>
                <c:pt idx="10">
                  <c:v>51.682026822331316</c:v>
                </c:pt>
                <c:pt idx="11">
                  <c:v>54.412524146553956</c:v>
                </c:pt>
                <c:pt idx="12">
                  <c:v>56.134598457810498</c:v>
                </c:pt>
                <c:pt idx="13">
                  <c:v>56.721425418910599</c:v>
                </c:pt>
                <c:pt idx="14">
                  <c:v>56.443403795138536</c:v>
                </c:pt>
                <c:pt idx="15">
                  <c:v>56.305610310086678</c:v>
                </c:pt>
                <c:pt idx="16">
                  <c:v>57.150122590589646</c:v>
                </c:pt>
                <c:pt idx="17">
                  <c:v>59.718382156583644</c:v>
                </c:pt>
                <c:pt idx="18">
                  <c:v>63.788630379289586</c:v>
                </c:pt>
                <c:pt idx="19">
                  <c:v>68.016680638852733</c:v>
                </c:pt>
                <c:pt idx="20">
                  <c:v>71.486082353594099</c:v>
                </c:pt>
                <c:pt idx="21">
                  <c:v>73.424013791556717</c:v>
                </c:pt>
                <c:pt idx="22">
                  <c:v>74.038885019528649</c:v>
                </c:pt>
                <c:pt idx="23">
                  <c:v>74.449068809282906</c:v>
                </c:pt>
                <c:pt idx="24">
                  <c:v>76.153137797180207</c:v>
                </c:pt>
                <c:pt idx="25">
                  <c:v>80.115618360695635</c:v>
                </c:pt>
                <c:pt idx="26">
                  <c:v>86.140582442783909</c:v>
                </c:pt>
                <c:pt idx="27">
                  <c:v>92.937631933494089</c:v>
                </c:pt>
                <c:pt idx="28">
                  <c:v>98.572090402059501</c:v>
                </c:pt>
                <c:pt idx="29">
                  <c:v>101.80614823490019</c:v>
                </c:pt>
                <c:pt idx="30">
                  <c:v>102.66032332988284</c:v>
                </c:pt>
                <c:pt idx="31">
                  <c:v>103.05800518933115</c:v>
                </c:pt>
                <c:pt idx="32">
                  <c:v>104.37420643618655</c:v>
                </c:pt>
                <c:pt idx="33">
                  <c:v>107.82530549966478</c:v>
                </c:pt>
                <c:pt idx="34">
                  <c:v>114.02317609774404</c:v>
                </c:pt>
                <c:pt idx="35">
                  <c:v>122.31630483266139</c:v>
                </c:pt>
                <c:pt idx="36">
                  <c:v>131.13639463963079</c:v>
                </c:pt>
                <c:pt idx="37">
                  <c:v>138.9267695512938</c:v>
                </c:pt>
                <c:pt idx="38">
                  <c:v>145.10546831140252</c:v>
                </c:pt>
                <c:pt idx="39">
                  <c:v>149.84712487543703</c:v>
                </c:pt>
              </c:numCache>
            </c:numRef>
          </c:val>
          <c:smooth val="0"/>
          <c:extLst>
            <c:ext xmlns:c16="http://schemas.microsoft.com/office/drawing/2014/chart" uri="{C3380CC4-5D6E-409C-BE32-E72D297353CC}">
              <c16:uniqueId val="{00000032-D478-4788-8350-4DE9D1E522B7}"/>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ax val="19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graf'!$BK$7</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666369640770585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7AE-4161-8B57-AD4B153C0B70}"/>
                </c:ext>
              </c:extLst>
            </c:dLbl>
            <c:dLbl>
              <c:idx val="12"/>
              <c:layout>
                <c:manualLayout>
                  <c:x val="7.52230569226839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7AE-4161-8B57-AD4B153C0B70}"/>
                </c:ext>
              </c:extLst>
            </c:dLbl>
            <c:dLbl>
              <c:idx val="24"/>
              <c:layout>
                <c:manualLayout>
                  <c:x val="7.6405120089881401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7AE-4161-8B57-AD4B153C0B70}"/>
                </c:ext>
              </c:extLst>
            </c:dLbl>
            <c:dLbl>
              <c:idx val="36"/>
              <c:layout>
                <c:manualLayout>
                  <c:x val="-1.0173688709659033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7AE-4161-8B57-AD4B153C0B70}"/>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graf'!$BK$44:$BK$83</c:f>
              <c:numCache>
                <c:formatCode>General</c:formatCode>
                <c:ptCount val="40"/>
                <c:pt idx="0">
                  <c:v>40</c:v>
                </c:pt>
                <c:pt idx="12">
                  <c:v>40</c:v>
                </c:pt>
                <c:pt idx="24">
                  <c:v>40</c:v>
                </c:pt>
                <c:pt idx="36">
                  <c:v>40</c:v>
                </c:pt>
              </c:numCache>
            </c:numRef>
          </c:val>
          <c:smooth val="0"/>
          <c:extLst>
            <c:ext xmlns:c16="http://schemas.microsoft.com/office/drawing/2014/chart" uri="{C3380CC4-5D6E-409C-BE32-E72D297353CC}">
              <c16:uniqueId val="{00000004-87AE-4161-8B57-AD4B153C0B70}"/>
            </c:ext>
          </c:extLst>
        </c:ser>
        <c:ser>
          <c:idx val="4"/>
          <c:order val="1"/>
          <c:tx>
            <c:strRef>
              <c:f>'Prerađivačka_FS graf'!$BL$7</c:f>
              <c:strCache>
                <c:ptCount val="1"/>
                <c:pt idx="0">
                  <c:v>Series5</c:v>
                </c:pt>
              </c:strCache>
            </c:strRef>
          </c:tx>
          <c:spPr>
            <a:ln w="25400" cap="rnd">
              <a:noFill/>
              <a:round/>
            </a:ln>
            <a:effectLst/>
          </c:spPr>
          <c:marker>
            <c:symbol val="none"/>
          </c:marker>
          <c:dLbls>
            <c:dLbl>
              <c:idx val="0"/>
              <c:tx>
                <c:rich>
                  <a:bodyPr/>
                  <a:lstStyle/>
                  <a:p>
                    <a:fld id="{D6B76204-86B3-4194-806E-AAB9FC74DC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87AE-4161-8B57-AD4B153C0B70}"/>
                </c:ext>
              </c:extLst>
            </c:dLbl>
            <c:dLbl>
              <c:idx val="1"/>
              <c:tx>
                <c:rich>
                  <a:bodyPr/>
                  <a:lstStyle/>
                  <a:p>
                    <a:fld id="{4C0336CE-C2BA-4D61-A6FD-FEE703DEA08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87AE-4161-8B57-AD4B153C0B70}"/>
                </c:ext>
              </c:extLst>
            </c:dLbl>
            <c:dLbl>
              <c:idx val="2"/>
              <c:tx>
                <c:rich>
                  <a:bodyPr/>
                  <a:lstStyle/>
                  <a:p>
                    <a:fld id="{F19E4D43-DC19-44A2-B97C-84CD71A5C19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87AE-4161-8B57-AD4B153C0B70}"/>
                </c:ext>
              </c:extLst>
            </c:dLbl>
            <c:dLbl>
              <c:idx val="3"/>
              <c:tx>
                <c:rich>
                  <a:bodyPr/>
                  <a:lstStyle/>
                  <a:p>
                    <a:fld id="{E446E06A-5FAC-4731-BCAA-F9FCF522840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87AE-4161-8B57-AD4B153C0B70}"/>
                </c:ext>
              </c:extLst>
            </c:dLbl>
            <c:dLbl>
              <c:idx val="4"/>
              <c:tx>
                <c:rich>
                  <a:bodyPr/>
                  <a:lstStyle/>
                  <a:p>
                    <a:fld id="{FA6A9B8B-1FF8-4713-8354-9EFF98DEDCF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87AE-4161-8B57-AD4B153C0B70}"/>
                </c:ext>
              </c:extLst>
            </c:dLbl>
            <c:dLbl>
              <c:idx val="5"/>
              <c:tx>
                <c:rich>
                  <a:bodyPr/>
                  <a:lstStyle/>
                  <a:p>
                    <a:fld id="{452B333C-C86C-49F1-B0EB-7D090C31B42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87AE-4161-8B57-AD4B153C0B70}"/>
                </c:ext>
              </c:extLst>
            </c:dLbl>
            <c:dLbl>
              <c:idx val="6"/>
              <c:tx>
                <c:rich>
                  <a:bodyPr/>
                  <a:lstStyle/>
                  <a:p>
                    <a:fld id="{42B805CF-7D2C-4D96-AC12-E48D77D9BAE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87AE-4161-8B57-AD4B153C0B70}"/>
                </c:ext>
              </c:extLst>
            </c:dLbl>
            <c:dLbl>
              <c:idx val="7"/>
              <c:tx>
                <c:rich>
                  <a:bodyPr/>
                  <a:lstStyle/>
                  <a:p>
                    <a:fld id="{68BCD98C-56BF-44FA-B057-13EB9CF64B1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87AE-4161-8B57-AD4B153C0B70}"/>
                </c:ext>
              </c:extLst>
            </c:dLbl>
            <c:dLbl>
              <c:idx val="8"/>
              <c:tx>
                <c:rich>
                  <a:bodyPr/>
                  <a:lstStyle/>
                  <a:p>
                    <a:fld id="{22E6F4D3-8B2B-42CE-B5CD-6B5901F3CA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87AE-4161-8B57-AD4B153C0B70}"/>
                </c:ext>
              </c:extLst>
            </c:dLbl>
            <c:dLbl>
              <c:idx val="9"/>
              <c:tx>
                <c:rich>
                  <a:bodyPr/>
                  <a:lstStyle/>
                  <a:p>
                    <a:fld id="{28A6B168-BBA0-4181-AD4C-2770218E5B3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87AE-4161-8B57-AD4B153C0B70}"/>
                </c:ext>
              </c:extLst>
            </c:dLbl>
            <c:dLbl>
              <c:idx val="10"/>
              <c:tx>
                <c:rich>
                  <a:bodyPr/>
                  <a:lstStyle/>
                  <a:p>
                    <a:fld id="{1FEE1EBB-7A38-4FC9-B2F0-22156E8EAEA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87AE-4161-8B57-AD4B153C0B70}"/>
                </c:ext>
              </c:extLst>
            </c:dLbl>
            <c:dLbl>
              <c:idx val="11"/>
              <c:tx>
                <c:rich>
                  <a:bodyPr/>
                  <a:lstStyle/>
                  <a:p>
                    <a:fld id="{DADDEE35-B406-4B98-8CEA-A5A90333F9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87AE-4161-8B57-AD4B153C0B70}"/>
                </c:ext>
              </c:extLst>
            </c:dLbl>
            <c:dLbl>
              <c:idx val="12"/>
              <c:tx>
                <c:rich>
                  <a:bodyPr/>
                  <a:lstStyle/>
                  <a:p>
                    <a:fld id="{EF83454D-2F81-4D33-9653-3895F06322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87AE-4161-8B57-AD4B153C0B70}"/>
                </c:ext>
              </c:extLst>
            </c:dLbl>
            <c:dLbl>
              <c:idx val="13"/>
              <c:tx>
                <c:rich>
                  <a:bodyPr/>
                  <a:lstStyle/>
                  <a:p>
                    <a:fld id="{CA19F9C6-4019-4BFD-A010-A833ECB1F1E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87AE-4161-8B57-AD4B153C0B70}"/>
                </c:ext>
              </c:extLst>
            </c:dLbl>
            <c:dLbl>
              <c:idx val="14"/>
              <c:tx>
                <c:rich>
                  <a:bodyPr/>
                  <a:lstStyle/>
                  <a:p>
                    <a:fld id="{B6D6FD35-EDEF-4CA8-B45A-8FAE3835CBC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87AE-4161-8B57-AD4B153C0B70}"/>
                </c:ext>
              </c:extLst>
            </c:dLbl>
            <c:dLbl>
              <c:idx val="15"/>
              <c:tx>
                <c:rich>
                  <a:bodyPr/>
                  <a:lstStyle/>
                  <a:p>
                    <a:fld id="{C57A0ACB-2524-4C20-8C85-0FB2423AEB5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87AE-4161-8B57-AD4B153C0B70}"/>
                </c:ext>
              </c:extLst>
            </c:dLbl>
            <c:dLbl>
              <c:idx val="16"/>
              <c:tx>
                <c:rich>
                  <a:bodyPr/>
                  <a:lstStyle/>
                  <a:p>
                    <a:fld id="{3C0E0D2B-234F-4267-81E5-C3A85C72171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87AE-4161-8B57-AD4B153C0B70}"/>
                </c:ext>
              </c:extLst>
            </c:dLbl>
            <c:dLbl>
              <c:idx val="17"/>
              <c:tx>
                <c:rich>
                  <a:bodyPr/>
                  <a:lstStyle/>
                  <a:p>
                    <a:fld id="{303F4766-219E-415E-81A0-E7E87DEEE2F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87AE-4161-8B57-AD4B153C0B70}"/>
                </c:ext>
              </c:extLst>
            </c:dLbl>
            <c:dLbl>
              <c:idx val="18"/>
              <c:tx>
                <c:rich>
                  <a:bodyPr/>
                  <a:lstStyle/>
                  <a:p>
                    <a:fld id="{C126E9E5-3E1D-442A-AC49-AA5F28D4FBE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87AE-4161-8B57-AD4B153C0B70}"/>
                </c:ext>
              </c:extLst>
            </c:dLbl>
            <c:dLbl>
              <c:idx val="19"/>
              <c:tx>
                <c:rich>
                  <a:bodyPr/>
                  <a:lstStyle/>
                  <a:p>
                    <a:fld id="{5F3EA49A-4718-4FC5-8AFB-7FDAE2E5EA5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87AE-4161-8B57-AD4B153C0B70}"/>
                </c:ext>
              </c:extLst>
            </c:dLbl>
            <c:dLbl>
              <c:idx val="20"/>
              <c:tx>
                <c:rich>
                  <a:bodyPr/>
                  <a:lstStyle/>
                  <a:p>
                    <a:fld id="{C25F6396-FAEC-415A-80C1-4CDB94FF48A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87AE-4161-8B57-AD4B153C0B70}"/>
                </c:ext>
              </c:extLst>
            </c:dLbl>
            <c:dLbl>
              <c:idx val="21"/>
              <c:tx>
                <c:rich>
                  <a:bodyPr/>
                  <a:lstStyle/>
                  <a:p>
                    <a:fld id="{A916689D-9D48-4431-A7CE-D17A9E20654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87AE-4161-8B57-AD4B153C0B70}"/>
                </c:ext>
              </c:extLst>
            </c:dLbl>
            <c:dLbl>
              <c:idx val="22"/>
              <c:tx>
                <c:rich>
                  <a:bodyPr/>
                  <a:lstStyle/>
                  <a:p>
                    <a:fld id="{5CD5D008-ECA4-4315-8803-93A06E4143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87AE-4161-8B57-AD4B153C0B70}"/>
                </c:ext>
              </c:extLst>
            </c:dLbl>
            <c:dLbl>
              <c:idx val="23"/>
              <c:tx>
                <c:rich>
                  <a:bodyPr/>
                  <a:lstStyle/>
                  <a:p>
                    <a:fld id="{D0E124FC-91C3-44C2-8DEB-3629520AD13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87AE-4161-8B57-AD4B153C0B70}"/>
                </c:ext>
              </c:extLst>
            </c:dLbl>
            <c:dLbl>
              <c:idx val="24"/>
              <c:tx>
                <c:rich>
                  <a:bodyPr/>
                  <a:lstStyle/>
                  <a:p>
                    <a:fld id="{91ED7B07-0F2F-4B79-BB75-E9707CF6B93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87AE-4161-8B57-AD4B153C0B70}"/>
                </c:ext>
              </c:extLst>
            </c:dLbl>
            <c:dLbl>
              <c:idx val="25"/>
              <c:tx>
                <c:rich>
                  <a:bodyPr/>
                  <a:lstStyle/>
                  <a:p>
                    <a:fld id="{D755EC28-C215-4125-9315-C907348A837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87AE-4161-8B57-AD4B153C0B70}"/>
                </c:ext>
              </c:extLst>
            </c:dLbl>
            <c:dLbl>
              <c:idx val="26"/>
              <c:tx>
                <c:rich>
                  <a:bodyPr/>
                  <a:lstStyle/>
                  <a:p>
                    <a:fld id="{B72138B0-AE28-4A8B-8E5B-38ED2BD1D60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87AE-4161-8B57-AD4B153C0B70}"/>
                </c:ext>
              </c:extLst>
            </c:dLbl>
            <c:dLbl>
              <c:idx val="27"/>
              <c:tx>
                <c:rich>
                  <a:bodyPr/>
                  <a:lstStyle/>
                  <a:p>
                    <a:fld id="{F723575D-2E48-4305-B946-5000DEDB86A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87AE-4161-8B57-AD4B153C0B70}"/>
                </c:ext>
              </c:extLst>
            </c:dLbl>
            <c:dLbl>
              <c:idx val="28"/>
              <c:tx>
                <c:rich>
                  <a:bodyPr/>
                  <a:lstStyle/>
                  <a:p>
                    <a:fld id="{C9C5AB35-E4A7-4AFD-85DE-53DE245B057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87AE-4161-8B57-AD4B153C0B70}"/>
                </c:ext>
              </c:extLst>
            </c:dLbl>
            <c:dLbl>
              <c:idx val="29"/>
              <c:tx>
                <c:rich>
                  <a:bodyPr/>
                  <a:lstStyle/>
                  <a:p>
                    <a:fld id="{9F8CF0A8-46FA-4C44-8D59-F4A04C9E70D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87AE-4161-8B57-AD4B153C0B70}"/>
                </c:ext>
              </c:extLst>
            </c:dLbl>
            <c:dLbl>
              <c:idx val="30"/>
              <c:tx>
                <c:rich>
                  <a:bodyPr/>
                  <a:lstStyle/>
                  <a:p>
                    <a:fld id="{5B38A37E-CEF9-4BF1-94CA-0866C6FB2AB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87AE-4161-8B57-AD4B153C0B70}"/>
                </c:ext>
              </c:extLst>
            </c:dLbl>
            <c:dLbl>
              <c:idx val="31"/>
              <c:tx>
                <c:rich>
                  <a:bodyPr/>
                  <a:lstStyle/>
                  <a:p>
                    <a:fld id="{21475C72-38D3-4433-A875-8B9C9594AB7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87AE-4161-8B57-AD4B153C0B70}"/>
                </c:ext>
              </c:extLst>
            </c:dLbl>
            <c:dLbl>
              <c:idx val="32"/>
              <c:tx>
                <c:rich>
                  <a:bodyPr/>
                  <a:lstStyle/>
                  <a:p>
                    <a:fld id="{E88B0E46-F410-4EAE-B14C-EBFC0D2D18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87AE-4161-8B57-AD4B153C0B70}"/>
                </c:ext>
              </c:extLst>
            </c:dLbl>
            <c:dLbl>
              <c:idx val="33"/>
              <c:tx>
                <c:rich>
                  <a:bodyPr/>
                  <a:lstStyle/>
                  <a:p>
                    <a:fld id="{7C3F0F83-A75F-4547-A25C-27614273279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87AE-4161-8B57-AD4B153C0B70}"/>
                </c:ext>
              </c:extLst>
            </c:dLbl>
            <c:dLbl>
              <c:idx val="34"/>
              <c:tx>
                <c:rich>
                  <a:bodyPr/>
                  <a:lstStyle/>
                  <a:p>
                    <a:fld id="{D0309589-6812-4DB1-9A89-6DB8BC4E3EF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87AE-4161-8B57-AD4B153C0B70}"/>
                </c:ext>
              </c:extLst>
            </c:dLbl>
            <c:dLbl>
              <c:idx val="35"/>
              <c:tx>
                <c:rich>
                  <a:bodyPr/>
                  <a:lstStyle/>
                  <a:p>
                    <a:fld id="{B4B5F92B-BBD2-4CC3-A24A-C0BE090FE0A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87AE-4161-8B57-AD4B153C0B70}"/>
                </c:ext>
              </c:extLst>
            </c:dLbl>
            <c:dLbl>
              <c:idx val="36"/>
              <c:tx>
                <c:rich>
                  <a:bodyPr/>
                  <a:lstStyle/>
                  <a:p>
                    <a:fld id="{070A5EA9-0C5A-432E-9406-EE7C933A89C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87AE-4161-8B57-AD4B153C0B70}"/>
                </c:ext>
              </c:extLst>
            </c:dLbl>
            <c:dLbl>
              <c:idx val="37"/>
              <c:tx>
                <c:rich>
                  <a:bodyPr/>
                  <a:lstStyle/>
                  <a:p>
                    <a:fld id="{B14C2E68-7FE5-4A3F-BC2D-E9ED614415B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87AE-4161-8B57-AD4B153C0B70}"/>
                </c:ext>
              </c:extLst>
            </c:dLbl>
            <c:dLbl>
              <c:idx val="38"/>
              <c:tx>
                <c:rich>
                  <a:bodyPr/>
                  <a:lstStyle/>
                  <a:p>
                    <a:fld id="{5A0F570A-F7AC-4DF9-9812-A59563858B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87AE-4161-8B57-AD4B153C0B70}"/>
                </c:ext>
              </c:extLst>
            </c:dLbl>
            <c:dLbl>
              <c:idx val="39"/>
              <c:tx>
                <c:rich>
                  <a:bodyPr/>
                  <a:lstStyle/>
                  <a:p>
                    <a:fld id="{DFCC6257-9936-4120-ACCE-189D838B9A8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87AE-4161-8B57-AD4B153C0B70}"/>
                </c:ext>
              </c:extLst>
            </c:dLbl>
            <c:dLbl>
              <c:idx val="40"/>
              <c:tx>
                <c:rich>
                  <a:bodyPr/>
                  <a:lstStyle/>
                  <a:p>
                    <a:fld id="{B2387B92-9729-4CA9-A9C4-2D59241EFBA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87AE-4161-8B57-AD4B153C0B70}"/>
                </c:ext>
              </c:extLst>
            </c:dLbl>
            <c:dLbl>
              <c:idx val="41"/>
              <c:tx>
                <c:rich>
                  <a:bodyPr/>
                  <a:lstStyle/>
                  <a:p>
                    <a:fld id="{AEB0ED00-3761-403A-9959-566894AFFF8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87AE-4161-8B57-AD4B153C0B70}"/>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graf'!$BL$44:$BL$83</c:f>
              <c:numCache>
                <c:formatCode>General</c:formatCode>
                <c:ptCount val="40"/>
                <c:pt idx="0">
                  <c:v>40</c:v>
                </c:pt>
                <c:pt idx="1">
                  <c:v>40</c:v>
                </c:pt>
                <c:pt idx="2">
                  <c:v>40</c:v>
                </c:pt>
                <c:pt idx="3">
                  <c:v>40</c:v>
                </c:pt>
                <c:pt idx="4">
                  <c:v>40</c:v>
                </c:pt>
                <c:pt idx="5">
                  <c:v>40</c:v>
                </c:pt>
                <c:pt idx="6">
                  <c:v>40</c:v>
                </c:pt>
                <c:pt idx="7">
                  <c:v>40</c:v>
                </c:pt>
                <c:pt idx="8">
                  <c:v>40</c:v>
                </c:pt>
                <c:pt idx="9">
                  <c:v>40</c:v>
                </c:pt>
                <c:pt idx="10">
                  <c:v>40</c:v>
                </c:pt>
                <c:pt idx="11">
                  <c:v>40</c:v>
                </c:pt>
                <c:pt idx="12">
                  <c:v>40</c:v>
                </c:pt>
                <c:pt idx="13">
                  <c:v>40</c:v>
                </c:pt>
                <c:pt idx="14">
                  <c:v>40</c:v>
                </c:pt>
                <c:pt idx="15">
                  <c:v>40</c:v>
                </c:pt>
                <c:pt idx="16">
                  <c:v>40</c:v>
                </c:pt>
                <c:pt idx="17">
                  <c:v>40</c:v>
                </c:pt>
                <c:pt idx="18">
                  <c:v>40</c:v>
                </c:pt>
                <c:pt idx="19">
                  <c:v>40</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F-87AE-4161-8B57-AD4B153C0B70}"/>
            </c:ext>
          </c:extLst>
        </c:ser>
        <c:ser>
          <c:idx val="0"/>
          <c:order val="2"/>
          <c:tx>
            <c:strRef>
              <c:f>'Prerađivačka_FS graf'!$BM$7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graf'!$BM$44:$BM$83</c:f>
              <c:numCache>
                <c:formatCode>0.0</c:formatCode>
                <c:ptCount val="40"/>
                <c:pt idx="0">
                  <c:v>53.832932279133715</c:v>
                </c:pt>
                <c:pt idx="1">
                  <c:v>76.521141285665166</c:v>
                </c:pt>
                <c:pt idx="2">
                  <c:v>107.87212100378134</c:v>
                </c:pt>
                <c:pt idx="3">
                  <c:v>114.059814369199</c:v>
                </c:pt>
                <c:pt idx="4">
                  <c:v>111.27535235476107</c:v>
                </c:pt>
                <c:pt idx="5">
                  <c:v>121.27878996218628</c:v>
                </c:pt>
                <c:pt idx="6">
                  <c:v>113.33791680990029</c:v>
                </c:pt>
                <c:pt idx="7">
                  <c:v>109.52217256789274</c:v>
                </c:pt>
                <c:pt idx="8">
                  <c:v>115.50360948779648</c:v>
                </c:pt>
                <c:pt idx="9">
                  <c:v>113.75042970092812</c:v>
                </c:pt>
                <c:pt idx="10">
                  <c:v>108.07837744929527</c:v>
                </c:pt>
                <c:pt idx="11">
                  <c:v>92.50601581299415</c:v>
                </c:pt>
                <c:pt idx="12">
                  <c:v>53.832932279133715</c:v>
                </c:pt>
                <c:pt idx="13">
                  <c:v>81.161911309728424</c:v>
                </c:pt>
                <c:pt idx="14">
                  <c:v>109.31591612237881</c:v>
                </c:pt>
                <c:pt idx="15">
                  <c:v>115.19422481952559</c:v>
                </c:pt>
                <c:pt idx="16">
                  <c:v>123.03196974905464</c:v>
                </c:pt>
                <c:pt idx="17">
                  <c:v>115.50360948779648</c:v>
                </c:pt>
                <c:pt idx="18">
                  <c:v>111.99724991405979</c:v>
                </c:pt>
                <c:pt idx="19">
                  <c:v>106.11894121691302</c:v>
                </c:pt>
                <c:pt idx="20">
                  <c:v>110.03781368167753</c:v>
                </c:pt>
                <c:pt idx="21">
                  <c:v>120.96940529391543</c:v>
                </c:pt>
                <c:pt idx="22">
                  <c:v>107.76899278102438</c:v>
                </c:pt>
                <c:pt idx="23">
                  <c:v>92.196631144723256</c:v>
                </c:pt>
                <c:pt idx="24">
                  <c:v>59.504984530766578</c:v>
                </c:pt>
                <c:pt idx="25">
                  <c:v>68.992781024407009</c:v>
                </c:pt>
                <c:pt idx="26">
                  <c:v>103.12822275696114</c:v>
                </c:pt>
                <c:pt idx="27">
                  <c:v>100.03437607425229</c:v>
                </c:pt>
                <c:pt idx="28">
                  <c:v>107.76899278102438</c:v>
                </c:pt>
                <c:pt idx="29">
                  <c:v>104.05637676177379</c:v>
                </c:pt>
                <c:pt idx="30">
                  <c:v>99.931247851495357</c:v>
                </c:pt>
                <c:pt idx="31">
                  <c:v>124.88827775867992</c:v>
                </c:pt>
                <c:pt idx="32">
                  <c:v>113.95668614644205</c:v>
                </c:pt>
                <c:pt idx="33">
                  <c:v>117.46304572017874</c:v>
                </c:pt>
                <c:pt idx="34">
                  <c:v>103.64386387074593</c:v>
                </c:pt>
                <c:pt idx="35">
                  <c:v>96.631144723272584</c:v>
                </c:pt>
                <c:pt idx="36">
                  <c:v>54.3</c:v>
                </c:pt>
                <c:pt idx="37">
                  <c:v>80.5</c:v>
                </c:pt>
                <c:pt idx="38">
                  <c:v>104.7</c:v>
                </c:pt>
                <c:pt idx="39">
                  <c:v>112.3</c:v>
                </c:pt>
              </c:numCache>
            </c:numRef>
          </c:val>
          <c:smooth val="0"/>
          <c:extLst>
            <c:ext xmlns:c16="http://schemas.microsoft.com/office/drawing/2014/chart" uri="{C3380CC4-5D6E-409C-BE32-E72D297353CC}">
              <c16:uniqueId val="{00000030-87AE-4161-8B57-AD4B153C0B70}"/>
            </c:ext>
          </c:extLst>
        </c:ser>
        <c:ser>
          <c:idx val="1"/>
          <c:order val="3"/>
          <c:tx>
            <c:strRef>
              <c:f>'Prerađivačka_FS graf'!$BN$7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graf'!$BN$44:$BN$83</c:f>
              <c:numCache>
                <c:formatCode>0.0</c:formatCode>
                <c:ptCount val="40"/>
                <c:pt idx="0">
                  <c:v>104.14096820439264</c:v>
                </c:pt>
                <c:pt idx="1">
                  <c:v>104.4196756450967</c:v>
                </c:pt>
                <c:pt idx="2">
                  <c:v>104.54790175238504</c:v>
                </c:pt>
                <c:pt idx="3">
                  <c:v>105.55617149149964</c:v>
                </c:pt>
                <c:pt idx="4">
                  <c:v>100.27564692574941</c:v>
                </c:pt>
                <c:pt idx="5">
                  <c:v>111.98524033582274</c:v>
                </c:pt>
                <c:pt idx="6">
                  <c:v>102.99263686254227</c:v>
                </c:pt>
                <c:pt idx="7">
                  <c:v>97.377993688579366</c:v>
                </c:pt>
                <c:pt idx="8">
                  <c:v>102.08046804046171</c:v>
                </c:pt>
                <c:pt idx="9">
                  <c:v>97.848799426451521</c:v>
                </c:pt>
                <c:pt idx="10">
                  <c:v>103.48696217505241</c:v>
                </c:pt>
                <c:pt idx="11">
                  <c:v>101.81993803198792</c:v>
                </c:pt>
                <c:pt idx="12">
                  <c:v>102.51148178904457</c:v>
                </c:pt>
                <c:pt idx="13">
                  <c:v>108.30637407712818</c:v>
                </c:pt>
                <c:pt idx="14">
                  <c:v>105.77781756274887</c:v>
                </c:pt>
                <c:pt idx="15">
                  <c:v>108.50128132101939</c:v>
                </c:pt>
                <c:pt idx="16">
                  <c:v>111.15701557845239</c:v>
                </c:pt>
                <c:pt idx="17">
                  <c:v>106.65204740781776</c:v>
                </c:pt>
                <c:pt idx="18">
                  <c:v>103.14858979775201</c:v>
                </c:pt>
                <c:pt idx="19">
                  <c:v>93.553565070409547</c:v>
                </c:pt>
                <c:pt idx="20">
                  <c:v>97.139812764162897</c:v>
                </c:pt>
                <c:pt idx="21">
                  <c:v>105.45322694352645</c:v>
                </c:pt>
                <c:pt idx="22">
                  <c:v>103.38422469145168</c:v>
                </c:pt>
                <c:pt idx="23">
                  <c:v>100.91569239519232</c:v>
                </c:pt>
                <c:pt idx="24">
                  <c:v>106.91525928594547</c:v>
                </c:pt>
                <c:pt idx="25">
                  <c:v>95.544069763428865</c:v>
                </c:pt>
                <c:pt idx="26">
                  <c:v>99.760056509923857</c:v>
                </c:pt>
                <c:pt idx="27">
                  <c:v>94.364647456582276</c:v>
                </c:pt>
                <c:pt idx="28">
                  <c:v>95.94338361433779</c:v>
                </c:pt>
                <c:pt idx="29">
                  <c:v>95.31811163386385</c:v>
                </c:pt>
                <c:pt idx="30">
                  <c:v>91.929695853057837</c:v>
                </c:pt>
                <c:pt idx="31">
                  <c:v>112.42732373837089</c:v>
                </c:pt>
                <c:pt idx="32">
                  <c:v>102.27915352496865</c:v>
                </c:pt>
                <c:pt idx="33">
                  <c:v>101.00118941122025</c:v>
                </c:pt>
                <c:pt idx="34">
                  <c:v>98.610429772533763</c:v>
                </c:pt>
                <c:pt idx="35">
                  <c:v>105.42040771835434</c:v>
                </c:pt>
                <c:pt idx="36">
                  <c:v>101.64364544696515</c:v>
                </c:pt>
                <c:pt idx="37">
                  <c:v>105.49150134718617</c:v>
                </c:pt>
                <c:pt idx="38">
                  <c:v>102.76239832192311</c:v>
                </c:pt>
                <c:pt idx="39">
                  <c:v>103.8884737406551</c:v>
                </c:pt>
              </c:numCache>
            </c:numRef>
          </c:val>
          <c:smooth val="0"/>
          <c:extLst>
            <c:ext xmlns:c16="http://schemas.microsoft.com/office/drawing/2014/chart" uri="{C3380CC4-5D6E-409C-BE32-E72D297353CC}">
              <c16:uniqueId val="{00000031-87AE-4161-8B57-AD4B153C0B70}"/>
            </c:ext>
          </c:extLst>
        </c:ser>
        <c:ser>
          <c:idx val="2"/>
          <c:order val="4"/>
          <c:tx>
            <c:strRef>
              <c:f>'Prerađivačka_FS graf'!$BO$7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graf'!$BO$44:$BO$83</c:f>
              <c:numCache>
                <c:formatCode>0.0</c:formatCode>
                <c:ptCount val="40"/>
                <c:pt idx="0">
                  <c:v>104.90254572201903</c:v>
                </c:pt>
                <c:pt idx="1">
                  <c:v>105.05720036634212</c:v>
                </c:pt>
                <c:pt idx="2">
                  <c:v>104.68595922137</c:v>
                </c:pt>
                <c:pt idx="3">
                  <c:v>103.92605638616098</c:v>
                </c:pt>
                <c:pt idx="4">
                  <c:v>102.91282771759244</c:v>
                </c:pt>
                <c:pt idx="5">
                  <c:v>101.9611436940561</c:v>
                </c:pt>
                <c:pt idx="6">
                  <c:v>101.13940631987083</c:v>
                </c:pt>
                <c:pt idx="7">
                  <c:v>100.43623132706881</c:v>
                </c:pt>
                <c:pt idx="8">
                  <c:v>100.18288755427697</c:v>
                </c:pt>
                <c:pt idx="9">
                  <c:v>100.4784964303267</c:v>
                </c:pt>
                <c:pt idx="10">
                  <c:v>101.26390266340317</c:v>
                </c:pt>
                <c:pt idx="11">
                  <c:v>102.55667137666356</c:v>
                </c:pt>
                <c:pt idx="12">
                  <c:v>104.32331977505432</c:v>
                </c:pt>
                <c:pt idx="13">
                  <c:v>106.09173346193104</c:v>
                </c:pt>
                <c:pt idx="14">
                  <c:v>107.52111374791669</c:v>
                </c:pt>
                <c:pt idx="15">
                  <c:v>108.13487559344313</c:v>
                </c:pt>
                <c:pt idx="16">
                  <c:v>107.66648542997805</c:v>
                </c:pt>
                <c:pt idx="17">
                  <c:v>106.44549508037494</c:v>
                </c:pt>
                <c:pt idx="18">
                  <c:v>104.83099361726369</c:v>
                </c:pt>
                <c:pt idx="19">
                  <c:v>103.51650115618254</c:v>
                </c:pt>
                <c:pt idx="20">
                  <c:v>102.68095639589023</c:v>
                </c:pt>
                <c:pt idx="21">
                  <c:v>102.26602598514991</c:v>
                </c:pt>
                <c:pt idx="22">
                  <c:v>102.0097166079963</c:v>
                </c:pt>
                <c:pt idx="23">
                  <c:v>101.43977350124335</c:v>
                </c:pt>
                <c:pt idx="24">
                  <c:v>100.24842040691458</c:v>
                </c:pt>
                <c:pt idx="25">
                  <c:v>98.654210645279491</c:v>
                </c:pt>
                <c:pt idx="26">
                  <c:v>97.112247249720582</c:v>
                </c:pt>
                <c:pt idx="27">
                  <c:v>96.166242222708334</c:v>
                </c:pt>
                <c:pt idx="28">
                  <c:v>96.215712691474437</c:v>
                </c:pt>
                <c:pt idx="29">
                  <c:v>96.903523026488543</c:v>
                </c:pt>
                <c:pt idx="30">
                  <c:v>98.042237204750009</c:v>
                </c:pt>
                <c:pt idx="31">
                  <c:v>99.278830920131355</c:v>
                </c:pt>
                <c:pt idx="32">
                  <c:v>100.39111708935327</c:v>
                </c:pt>
                <c:pt idx="33">
                  <c:v>101.33564018491494</c:v>
                </c:pt>
                <c:pt idx="34">
                  <c:v>102.01160247767331</c:v>
                </c:pt>
                <c:pt idx="35">
                  <c:v>102.55389223300418</c:v>
                </c:pt>
                <c:pt idx="36">
                  <c:v>103.05866148452793</c:v>
                </c:pt>
                <c:pt idx="37">
                  <c:v>103.4997233853924</c:v>
                </c:pt>
                <c:pt idx="38">
                  <c:v>103.81948715897197</c:v>
                </c:pt>
                <c:pt idx="39">
                  <c:v>104.06268960626745</c:v>
                </c:pt>
              </c:numCache>
            </c:numRef>
          </c:val>
          <c:smooth val="0"/>
          <c:extLst>
            <c:ext xmlns:c16="http://schemas.microsoft.com/office/drawing/2014/chart" uri="{C3380CC4-5D6E-409C-BE32-E72D297353CC}">
              <c16:uniqueId val="{00000032-87AE-4161-8B57-AD4B153C0B70}"/>
            </c:ext>
          </c:extLst>
        </c:ser>
        <c:dLbls>
          <c:showLegendKey val="0"/>
          <c:showVal val="0"/>
          <c:showCatName val="0"/>
          <c:showSerName val="0"/>
          <c:showPercent val="0"/>
          <c:showBubbleSize val="0"/>
        </c:dLbls>
        <c:marker val="1"/>
        <c:smooth val="0"/>
        <c:axId val="2092180656"/>
        <c:axId val="2092165968"/>
      </c:lineChart>
      <c:dateAx>
        <c:axId val="2092180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65968"/>
        <c:crosses val="autoZero"/>
        <c:auto val="1"/>
        <c:lblOffset val="0"/>
        <c:baseTimeUnit val="months"/>
        <c:majorUnit val="12"/>
        <c:majorTimeUnit val="months"/>
      </c:dateAx>
      <c:valAx>
        <c:axId val="2092165968"/>
        <c:scaling>
          <c:orientation val="minMax"/>
          <c:min val="4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0656"/>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graf'!$Q$7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2268178611553838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FEB-4F8E-B81A-19A1CF1A7923}"/>
                </c:ext>
              </c:extLst>
            </c:dLbl>
            <c:dLbl>
              <c:idx val="12"/>
              <c:layout>
                <c:manualLayout>
                  <c:x val="7.1083008909675144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FEB-4F8E-B81A-19A1CF1A7923}"/>
                </c:ext>
              </c:extLst>
            </c:dLbl>
            <c:dLbl>
              <c:idx val="24"/>
              <c:layout>
                <c:manualLayout>
                  <c:x val="7.2039645006488476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FEB-4F8E-B81A-19A1CF1A7923}"/>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FEB-4F8E-B81A-19A1CF1A7923}"/>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graf'!$Q$44:$Q$83</c:f>
              <c:numCache>
                <c:formatCode>General</c:formatCode>
                <c:ptCount val="40"/>
                <c:pt idx="0">
                  <c:v>0</c:v>
                </c:pt>
                <c:pt idx="12">
                  <c:v>0</c:v>
                </c:pt>
                <c:pt idx="24">
                  <c:v>0</c:v>
                </c:pt>
                <c:pt idx="36">
                  <c:v>0</c:v>
                </c:pt>
              </c:numCache>
            </c:numRef>
          </c:val>
          <c:smooth val="0"/>
          <c:extLst>
            <c:ext xmlns:c16="http://schemas.microsoft.com/office/drawing/2014/chart" uri="{C3380CC4-5D6E-409C-BE32-E72D297353CC}">
              <c16:uniqueId val="{00000004-EFEB-4F8E-B81A-19A1CF1A7923}"/>
            </c:ext>
          </c:extLst>
        </c:ser>
        <c:ser>
          <c:idx val="4"/>
          <c:order val="1"/>
          <c:tx>
            <c:strRef>
              <c:f>'Prerađivačka_FS graf'!$R$7</c:f>
              <c:strCache>
                <c:ptCount val="1"/>
                <c:pt idx="0">
                  <c:v>Series5</c:v>
                </c:pt>
              </c:strCache>
            </c:strRef>
          </c:tx>
          <c:spPr>
            <a:ln w="25400" cap="rnd">
              <a:noFill/>
              <a:round/>
            </a:ln>
            <a:effectLst/>
          </c:spPr>
          <c:marker>
            <c:symbol val="none"/>
          </c:marker>
          <c:dLbls>
            <c:dLbl>
              <c:idx val="0"/>
              <c:tx>
                <c:rich>
                  <a:bodyPr/>
                  <a:lstStyle/>
                  <a:p>
                    <a:fld id="{0737D503-B15E-4DBF-BB44-2184E9650A8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EFEB-4F8E-B81A-19A1CF1A7923}"/>
                </c:ext>
              </c:extLst>
            </c:dLbl>
            <c:dLbl>
              <c:idx val="1"/>
              <c:tx>
                <c:rich>
                  <a:bodyPr/>
                  <a:lstStyle/>
                  <a:p>
                    <a:fld id="{0F23CE1B-0ECE-42CD-BB26-86F776089B4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EFEB-4F8E-B81A-19A1CF1A7923}"/>
                </c:ext>
              </c:extLst>
            </c:dLbl>
            <c:dLbl>
              <c:idx val="2"/>
              <c:tx>
                <c:rich>
                  <a:bodyPr/>
                  <a:lstStyle/>
                  <a:p>
                    <a:fld id="{A199FD8B-1015-43CF-88F6-FBD731A0A1C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EFEB-4F8E-B81A-19A1CF1A7923}"/>
                </c:ext>
              </c:extLst>
            </c:dLbl>
            <c:dLbl>
              <c:idx val="3"/>
              <c:tx>
                <c:rich>
                  <a:bodyPr/>
                  <a:lstStyle/>
                  <a:p>
                    <a:fld id="{DDBB5D5C-576F-4449-AF68-7B38B8003D8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EFEB-4F8E-B81A-19A1CF1A7923}"/>
                </c:ext>
              </c:extLst>
            </c:dLbl>
            <c:dLbl>
              <c:idx val="4"/>
              <c:tx>
                <c:rich>
                  <a:bodyPr/>
                  <a:lstStyle/>
                  <a:p>
                    <a:fld id="{03EEB2D8-EF77-4DAA-AC7C-D7E8D2F5D14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EFEB-4F8E-B81A-19A1CF1A7923}"/>
                </c:ext>
              </c:extLst>
            </c:dLbl>
            <c:dLbl>
              <c:idx val="5"/>
              <c:tx>
                <c:rich>
                  <a:bodyPr/>
                  <a:lstStyle/>
                  <a:p>
                    <a:fld id="{451607D3-F624-40E6-8C6F-4BA7EC2315F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EFEB-4F8E-B81A-19A1CF1A7923}"/>
                </c:ext>
              </c:extLst>
            </c:dLbl>
            <c:dLbl>
              <c:idx val="6"/>
              <c:tx>
                <c:rich>
                  <a:bodyPr/>
                  <a:lstStyle/>
                  <a:p>
                    <a:fld id="{97472D55-0A83-4068-B027-D6B2B9DD5D2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EFEB-4F8E-B81A-19A1CF1A7923}"/>
                </c:ext>
              </c:extLst>
            </c:dLbl>
            <c:dLbl>
              <c:idx val="7"/>
              <c:tx>
                <c:rich>
                  <a:bodyPr/>
                  <a:lstStyle/>
                  <a:p>
                    <a:fld id="{839A9E3B-A1FF-44DC-850C-51F4BC62A9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EFEB-4F8E-B81A-19A1CF1A7923}"/>
                </c:ext>
              </c:extLst>
            </c:dLbl>
            <c:dLbl>
              <c:idx val="8"/>
              <c:tx>
                <c:rich>
                  <a:bodyPr/>
                  <a:lstStyle/>
                  <a:p>
                    <a:fld id="{B3867E7A-D636-4858-97EC-D1B4AFDD680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EFEB-4F8E-B81A-19A1CF1A7923}"/>
                </c:ext>
              </c:extLst>
            </c:dLbl>
            <c:dLbl>
              <c:idx val="9"/>
              <c:tx>
                <c:rich>
                  <a:bodyPr/>
                  <a:lstStyle/>
                  <a:p>
                    <a:fld id="{1B757E08-6E0C-498B-9827-2871A82BD90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EFEB-4F8E-B81A-19A1CF1A7923}"/>
                </c:ext>
              </c:extLst>
            </c:dLbl>
            <c:dLbl>
              <c:idx val="10"/>
              <c:tx>
                <c:rich>
                  <a:bodyPr/>
                  <a:lstStyle/>
                  <a:p>
                    <a:fld id="{67F391AB-9BEC-4DCA-A8C6-90F6D65F141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EFEB-4F8E-B81A-19A1CF1A7923}"/>
                </c:ext>
              </c:extLst>
            </c:dLbl>
            <c:dLbl>
              <c:idx val="11"/>
              <c:tx>
                <c:rich>
                  <a:bodyPr/>
                  <a:lstStyle/>
                  <a:p>
                    <a:fld id="{F6B02B16-5679-43B5-9B1B-6DDB109DDE3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EFEB-4F8E-B81A-19A1CF1A7923}"/>
                </c:ext>
              </c:extLst>
            </c:dLbl>
            <c:dLbl>
              <c:idx val="12"/>
              <c:tx>
                <c:rich>
                  <a:bodyPr/>
                  <a:lstStyle/>
                  <a:p>
                    <a:fld id="{B46E0770-BBD7-41C0-BBE3-E53E93E2A5C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EFEB-4F8E-B81A-19A1CF1A7923}"/>
                </c:ext>
              </c:extLst>
            </c:dLbl>
            <c:dLbl>
              <c:idx val="13"/>
              <c:tx>
                <c:rich>
                  <a:bodyPr/>
                  <a:lstStyle/>
                  <a:p>
                    <a:fld id="{707D5120-B9E3-4E18-AD15-0C6273ACFFD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EFEB-4F8E-B81A-19A1CF1A7923}"/>
                </c:ext>
              </c:extLst>
            </c:dLbl>
            <c:dLbl>
              <c:idx val="14"/>
              <c:tx>
                <c:rich>
                  <a:bodyPr/>
                  <a:lstStyle/>
                  <a:p>
                    <a:fld id="{16A9453B-1922-40E4-8297-B81BAA9E804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EFEB-4F8E-B81A-19A1CF1A7923}"/>
                </c:ext>
              </c:extLst>
            </c:dLbl>
            <c:dLbl>
              <c:idx val="15"/>
              <c:tx>
                <c:rich>
                  <a:bodyPr/>
                  <a:lstStyle/>
                  <a:p>
                    <a:fld id="{2B68048C-8363-4BD2-9815-9B7876B1480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EFEB-4F8E-B81A-19A1CF1A7923}"/>
                </c:ext>
              </c:extLst>
            </c:dLbl>
            <c:dLbl>
              <c:idx val="16"/>
              <c:tx>
                <c:rich>
                  <a:bodyPr/>
                  <a:lstStyle/>
                  <a:p>
                    <a:fld id="{9E85543C-29C0-4819-A4DB-C059A734363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EFEB-4F8E-B81A-19A1CF1A7923}"/>
                </c:ext>
              </c:extLst>
            </c:dLbl>
            <c:dLbl>
              <c:idx val="17"/>
              <c:tx>
                <c:rich>
                  <a:bodyPr/>
                  <a:lstStyle/>
                  <a:p>
                    <a:fld id="{65C7CBCA-3E24-452E-AFB4-FA7782A327C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EFEB-4F8E-B81A-19A1CF1A7923}"/>
                </c:ext>
              </c:extLst>
            </c:dLbl>
            <c:dLbl>
              <c:idx val="18"/>
              <c:tx>
                <c:rich>
                  <a:bodyPr/>
                  <a:lstStyle/>
                  <a:p>
                    <a:fld id="{AABA8669-8268-4AB3-9938-AC89697F806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EFEB-4F8E-B81A-19A1CF1A7923}"/>
                </c:ext>
              </c:extLst>
            </c:dLbl>
            <c:dLbl>
              <c:idx val="19"/>
              <c:tx>
                <c:rich>
                  <a:bodyPr/>
                  <a:lstStyle/>
                  <a:p>
                    <a:fld id="{6F8865BD-1FE5-4E27-91E3-5F51904969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EFEB-4F8E-B81A-19A1CF1A7923}"/>
                </c:ext>
              </c:extLst>
            </c:dLbl>
            <c:dLbl>
              <c:idx val="20"/>
              <c:tx>
                <c:rich>
                  <a:bodyPr/>
                  <a:lstStyle/>
                  <a:p>
                    <a:fld id="{4B995C82-9EC3-4762-987F-CCAAB3C2E28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EFEB-4F8E-B81A-19A1CF1A7923}"/>
                </c:ext>
              </c:extLst>
            </c:dLbl>
            <c:dLbl>
              <c:idx val="21"/>
              <c:tx>
                <c:rich>
                  <a:bodyPr/>
                  <a:lstStyle/>
                  <a:p>
                    <a:fld id="{705A389F-B8F4-47F5-9626-064F3867DA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EFEB-4F8E-B81A-19A1CF1A7923}"/>
                </c:ext>
              </c:extLst>
            </c:dLbl>
            <c:dLbl>
              <c:idx val="22"/>
              <c:tx>
                <c:rich>
                  <a:bodyPr/>
                  <a:lstStyle/>
                  <a:p>
                    <a:fld id="{F0B6AB12-5A63-4A5C-A98B-32B2D84BE6F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EFEB-4F8E-B81A-19A1CF1A7923}"/>
                </c:ext>
              </c:extLst>
            </c:dLbl>
            <c:dLbl>
              <c:idx val="23"/>
              <c:tx>
                <c:rich>
                  <a:bodyPr/>
                  <a:lstStyle/>
                  <a:p>
                    <a:fld id="{574E85F7-447A-4970-965A-E32D17C4299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EFEB-4F8E-B81A-19A1CF1A7923}"/>
                </c:ext>
              </c:extLst>
            </c:dLbl>
            <c:dLbl>
              <c:idx val="24"/>
              <c:tx>
                <c:rich>
                  <a:bodyPr/>
                  <a:lstStyle/>
                  <a:p>
                    <a:fld id="{6371FD3C-5BBD-4D35-A38D-290CE89F236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EFEB-4F8E-B81A-19A1CF1A7923}"/>
                </c:ext>
              </c:extLst>
            </c:dLbl>
            <c:dLbl>
              <c:idx val="25"/>
              <c:tx>
                <c:rich>
                  <a:bodyPr/>
                  <a:lstStyle/>
                  <a:p>
                    <a:fld id="{61DF048A-95D3-48D9-A676-32F8BDBD196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EFEB-4F8E-B81A-19A1CF1A7923}"/>
                </c:ext>
              </c:extLst>
            </c:dLbl>
            <c:dLbl>
              <c:idx val="26"/>
              <c:tx>
                <c:rich>
                  <a:bodyPr/>
                  <a:lstStyle/>
                  <a:p>
                    <a:fld id="{DD6A61AB-90AF-4C72-A35A-55FE34C0D58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EFEB-4F8E-B81A-19A1CF1A7923}"/>
                </c:ext>
              </c:extLst>
            </c:dLbl>
            <c:dLbl>
              <c:idx val="27"/>
              <c:tx>
                <c:rich>
                  <a:bodyPr/>
                  <a:lstStyle/>
                  <a:p>
                    <a:fld id="{51DAA7FF-785B-44D6-83D4-494B5402D0B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EFEB-4F8E-B81A-19A1CF1A7923}"/>
                </c:ext>
              </c:extLst>
            </c:dLbl>
            <c:dLbl>
              <c:idx val="28"/>
              <c:tx>
                <c:rich>
                  <a:bodyPr/>
                  <a:lstStyle/>
                  <a:p>
                    <a:fld id="{BCFA2C75-1F02-47DE-9D9E-FBA81C88FA1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EFEB-4F8E-B81A-19A1CF1A7923}"/>
                </c:ext>
              </c:extLst>
            </c:dLbl>
            <c:dLbl>
              <c:idx val="29"/>
              <c:tx>
                <c:rich>
                  <a:bodyPr/>
                  <a:lstStyle/>
                  <a:p>
                    <a:fld id="{3507E87C-09F8-47F2-8948-931FCB584E9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EFEB-4F8E-B81A-19A1CF1A7923}"/>
                </c:ext>
              </c:extLst>
            </c:dLbl>
            <c:dLbl>
              <c:idx val="30"/>
              <c:tx>
                <c:rich>
                  <a:bodyPr/>
                  <a:lstStyle/>
                  <a:p>
                    <a:fld id="{4B5FD83B-3C79-4720-BF3D-BBBEF3A1D2E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EFEB-4F8E-B81A-19A1CF1A7923}"/>
                </c:ext>
              </c:extLst>
            </c:dLbl>
            <c:dLbl>
              <c:idx val="31"/>
              <c:tx>
                <c:rich>
                  <a:bodyPr/>
                  <a:lstStyle/>
                  <a:p>
                    <a:fld id="{83761647-A7F2-4D6B-AC94-17DCF6FF1BE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EFEB-4F8E-B81A-19A1CF1A7923}"/>
                </c:ext>
              </c:extLst>
            </c:dLbl>
            <c:dLbl>
              <c:idx val="32"/>
              <c:tx>
                <c:rich>
                  <a:bodyPr/>
                  <a:lstStyle/>
                  <a:p>
                    <a:fld id="{07AB1605-BA6D-4022-8474-7F0121B53ED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EFEB-4F8E-B81A-19A1CF1A7923}"/>
                </c:ext>
              </c:extLst>
            </c:dLbl>
            <c:dLbl>
              <c:idx val="33"/>
              <c:tx>
                <c:rich>
                  <a:bodyPr/>
                  <a:lstStyle/>
                  <a:p>
                    <a:fld id="{986CE9FA-E3D2-4CA8-8BC4-6CC1E25EA48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EFEB-4F8E-B81A-19A1CF1A7923}"/>
                </c:ext>
              </c:extLst>
            </c:dLbl>
            <c:dLbl>
              <c:idx val="34"/>
              <c:tx>
                <c:rich>
                  <a:bodyPr/>
                  <a:lstStyle/>
                  <a:p>
                    <a:fld id="{019BBC23-81B3-4E5F-A28B-6946546C41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EFEB-4F8E-B81A-19A1CF1A7923}"/>
                </c:ext>
              </c:extLst>
            </c:dLbl>
            <c:dLbl>
              <c:idx val="35"/>
              <c:tx>
                <c:rich>
                  <a:bodyPr/>
                  <a:lstStyle/>
                  <a:p>
                    <a:fld id="{C1EC46CA-5EE4-4399-9C56-084FAF5B00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EFEB-4F8E-B81A-19A1CF1A7923}"/>
                </c:ext>
              </c:extLst>
            </c:dLbl>
            <c:dLbl>
              <c:idx val="36"/>
              <c:tx>
                <c:rich>
                  <a:bodyPr/>
                  <a:lstStyle/>
                  <a:p>
                    <a:fld id="{05768D79-AE24-4A08-8BE7-3F3E050905E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EFEB-4F8E-B81A-19A1CF1A7923}"/>
                </c:ext>
              </c:extLst>
            </c:dLbl>
            <c:dLbl>
              <c:idx val="37"/>
              <c:tx>
                <c:rich>
                  <a:bodyPr/>
                  <a:lstStyle/>
                  <a:p>
                    <a:fld id="{A66029A3-0A49-40CE-8628-7849B810294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EFEB-4F8E-B81A-19A1CF1A7923}"/>
                </c:ext>
              </c:extLst>
            </c:dLbl>
            <c:dLbl>
              <c:idx val="38"/>
              <c:tx>
                <c:rich>
                  <a:bodyPr/>
                  <a:lstStyle/>
                  <a:p>
                    <a:fld id="{28C5EA2D-EE74-4755-B9DE-7B1E32266E5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EFEB-4F8E-B81A-19A1CF1A7923}"/>
                </c:ext>
              </c:extLst>
            </c:dLbl>
            <c:dLbl>
              <c:idx val="39"/>
              <c:tx>
                <c:rich>
                  <a:bodyPr/>
                  <a:lstStyle/>
                  <a:p>
                    <a:fld id="{8B67F80D-5358-475A-B3B6-0D677C7B0F4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EFEB-4F8E-B81A-19A1CF1A7923}"/>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graf'!$R$44:$R$83</c:f>
              <c:numCache>
                <c:formatCode>General</c:formatCode>
                <c:ptCount val="4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numCache>
            </c:numRef>
          </c:val>
          <c:smooth val="0"/>
          <c:extLst>
            <c:ext xmlns:c15="http://schemas.microsoft.com/office/drawing/2012/chart" uri="{02D57815-91ED-43cb-92C2-25804820EDAC}">
              <c15:datalabelsRange>
                <c15:f>'Prerađivačka_FS graf'!$B$44:$B$83</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2D-EFEB-4F8E-B81A-19A1CF1A7923}"/>
            </c:ext>
          </c:extLst>
        </c:ser>
        <c:ser>
          <c:idx val="0"/>
          <c:order val="2"/>
          <c:tx>
            <c:strRef>
              <c:f>'Prerađivačka_FS graf'!$S$7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graf'!$S$44:$S$83</c:f>
              <c:numCache>
                <c:formatCode>0.0</c:formatCode>
                <c:ptCount val="40"/>
                <c:pt idx="0">
                  <c:v>96.0111966410077</c:v>
                </c:pt>
                <c:pt idx="1">
                  <c:v>96.291112666200135</c:v>
                </c:pt>
                <c:pt idx="2">
                  <c:v>35.456029857709353</c:v>
                </c:pt>
                <c:pt idx="3">
                  <c:v>93.771868439468165</c:v>
                </c:pt>
                <c:pt idx="4">
                  <c:v>79.86937252157685</c:v>
                </c:pt>
                <c:pt idx="5">
                  <c:v>96.571028691392584</c:v>
                </c:pt>
                <c:pt idx="6">
                  <c:v>103.75554000466526</c:v>
                </c:pt>
                <c:pt idx="7">
                  <c:v>106.64800559832051</c:v>
                </c:pt>
                <c:pt idx="8">
                  <c:v>102.07604385351061</c:v>
                </c:pt>
                <c:pt idx="9">
                  <c:v>106.36808957312806</c:v>
                </c:pt>
                <c:pt idx="10">
                  <c:v>103.84884534639609</c:v>
                </c:pt>
                <c:pt idx="11">
                  <c:v>99.090272918124569</c:v>
                </c:pt>
                <c:pt idx="12">
                  <c:v>81.922090039654776</c:v>
                </c:pt>
                <c:pt idx="13">
                  <c:v>85.560998367156529</c:v>
                </c:pt>
                <c:pt idx="14">
                  <c:v>105.06181478889667</c:v>
                </c:pt>
                <c:pt idx="15">
                  <c:v>110.75344063447632</c:v>
                </c:pt>
                <c:pt idx="16">
                  <c:v>117.37811989736413</c:v>
                </c:pt>
                <c:pt idx="17">
                  <c:v>114.01912759505481</c:v>
                </c:pt>
                <c:pt idx="18">
                  <c:v>112.80615815255423</c:v>
                </c:pt>
                <c:pt idx="19">
                  <c:v>105.80825752274319</c:v>
                </c:pt>
                <c:pt idx="20">
                  <c:v>110.28691392582226</c:v>
                </c:pt>
                <c:pt idx="21">
                  <c:v>111.12666200139958</c:v>
                </c:pt>
                <c:pt idx="22">
                  <c:v>109.82038721716818</c:v>
                </c:pt>
                <c:pt idx="23">
                  <c:v>110.66013529274549</c:v>
                </c:pt>
                <c:pt idx="24">
                  <c:v>98.996967576393743</c:v>
                </c:pt>
                <c:pt idx="25">
                  <c:v>87.520410543503615</c:v>
                </c:pt>
                <c:pt idx="26">
                  <c:v>96.384418007930947</c:v>
                </c:pt>
                <c:pt idx="27">
                  <c:v>97.59738745043154</c:v>
                </c:pt>
                <c:pt idx="28">
                  <c:v>99.650104968509439</c:v>
                </c:pt>
                <c:pt idx="29">
                  <c:v>102.91579192908793</c:v>
                </c:pt>
                <c:pt idx="30">
                  <c:v>102.72918124562631</c:v>
                </c:pt>
                <c:pt idx="31">
                  <c:v>108.70072311639842</c:v>
                </c:pt>
                <c:pt idx="32">
                  <c:v>103.84884534639609</c:v>
                </c:pt>
                <c:pt idx="33">
                  <c:v>100.11663167716351</c:v>
                </c:pt>
                <c:pt idx="34">
                  <c:v>99.836715651971076</c:v>
                </c:pt>
                <c:pt idx="35">
                  <c:v>101.70282248658735</c:v>
                </c:pt>
                <c:pt idx="36">
                  <c:v>92.3</c:v>
                </c:pt>
                <c:pt idx="37">
                  <c:v>103.5</c:v>
                </c:pt>
                <c:pt idx="38">
                  <c:v>6.8</c:v>
                </c:pt>
                <c:pt idx="39">
                  <c:v>21.5</c:v>
                </c:pt>
              </c:numCache>
            </c:numRef>
          </c:val>
          <c:smooth val="0"/>
          <c:extLst>
            <c:ext xmlns:c16="http://schemas.microsoft.com/office/drawing/2014/chart" uri="{C3380CC4-5D6E-409C-BE32-E72D297353CC}">
              <c16:uniqueId val="{0000002E-EFEB-4F8E-B81A-19A1CF1A7923}"/>
            </c:ext>
          </c:extLst>
        </c:ser>
        <c:ser>
          <c:idx val="1"/>
          <c:order val="3"/>
          <c:tx>
            <c:strRef>
              <c:f>'Prerađivačka_FS graf'!$T$7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graf'!$T$44:$T$83</c:f>
              <c:numCache>
                <c:formatCode>0.0</c:formatCode>
                <c:ptCount val="40"/>
                <c:pt idx="0">
                  <c:v>99.668023590665797</c:v>
                </c:pt>
                <c:pt idx="1">
                  <c:v>107.88013914633837</c:v>
                </c:pt>
                <c:pt idx="2">
                  <c:v>40.834116536967706</c:v>
                </c:pt>
                <c:pt idx="3">
                  <c:v>100.28185159182817</c:v>
                </c:pt>
                <c:pt idx="4">
                  <c:v>85.22135288086514</c:v>
                </c:pt>
                <c:pt idx="5">
                  <c:v>95.716543578803382</c:v>
                </c:pt>
                <c:pt idx="6">
                  <c:v>99.649975824394559</c:v>
                </c:pt>
                <c:pt idx="7">
                  <c:v>102.35906457427301</c:v>
                </c:pt>
                <c:pt idx="8">
                  <c:v>95.748693020470853</c:v>
                </c:pt>
                <c:pt idx="9">
                  <c:v>99.557363988245939</c:v>
                </c:pt>
                <c:pt idx="10">
                  <c:v>97.45670084403767</c:v>
                </c:pt>
                <c:pt idx="11">
                  <c:v>95.328211561028994</c:v>
                </c:pt>
                <c:pt idx="12">
                  <c:v>85.140059259627819</c:v>
                </c:pt>
                <c:pt idx="13">
                  <c:v>96.84673921629286</c:v>
                </c:pt>
                <c:pt idx="14">
                  <c:v>111.25080882441401</c:v>
                </c:pt>
                <c:pt idx="15">
                  <c:v>116.57050244007193</c:v>
                </c:pt>
                <c:pt idx="16">
                  <c:v>122.2223588792216</c:v>
                </c:pt>
                <c:pt idx="17">
                  <c:v>113.93376204289324</c:v>
                </c:pt>
                <c:pt idx="18">
                  <c:v>109.16540068982924</c:v>
                </c:pt>
                <c:pt idx="19">
                  <c:v>101.59723851719816</c:v>
                </c:pt>
                <c:pt idx="20">
                  <c:v>104.79282792277192</c:v>
                </c:pt>
                <c:pt idx="21">
                  <c:v>104.48903078459696</c:v>
                </c:pt>
                <c:pt idx="22">
                  <c:v>103.64453635251076</c:v>
                </c:pt>
                <c:pt idx="23">
                  <c:v>104.9865102810748</c:v>
                </c:pt>
                <c:pt idx="24">
                  <c:v>101.96763646715523</c:v>
                </c:pt>
                <c:pt idx="25">
                  <c:v>98.941346340910769</c:v>
                </c:pt>
                <c:pt idx="26">
                  <c:v>103.0630635866261</c:v>
                </c:pt>
                <c:pt idx="27">
                  <c:v>103.42951104296709</c:v>
                </c:pt>
                <c:pt idx="28">
                  <c:v>103.85591835377093</c:v>
                </c:pt>
                <c:pt idx="29">
                  <c:v>103.42494212632758</c:v>
                </c:pt>
                <c:pt idx="30">
                  <c:v>99.56410266952895</c:v>
                </c:pt>
                <c:pt idx="31">
                  <c:v>104.70471890714988</c:v>
                </c:pt>
                <c:pt idx="32">
                  <c:v>98.715906728262937</c:v>
                </c:pt>
                <c:pt idx="33">
                  <c:v>93.660787448223786</c:v>
                </c:pt>
                <c:pt idx="34">
                  <c:v>93.463803997340818</c:v>
                </c:pt>
                <c:pt idx="35">
                  <c:v>94.742351595585134</c:v>
                </c:pt>
                <c:pt idx="36">
                  <c:v>94.885571150932066</c:v>
                </c:pt>
                <c:pt idx="37">
                  <c:v>114.66628678404464</c:v>
                </c:pt>
                <c:pt idx="38">
                  <c:v>14.313902303472457</c:v>
                </c:pt>
                <c:pt idx="39">
                  <c:v>27.85464725364411</c:v>
                </c:pt>
              </c:numCache>
            </c:numRef>
          </c:val>
          <c:smooth val="0"/>
          <c:extLst>
            <c:ext xmlns:c16="http://schemas.microsoft.com/office/drawing/2014/chart" uri="{C3380CC4-5D6E-409C-BE32-E72D297353CC}">
              <c16:uniqueId val="{0000002F-EFEB-4F8E-B81A-19A1CF1A7923}"/>
            </c:ext>
          </c:extLst>
        </c:ser>
        <c:ser>
          <c:idx val="2"/>
          <c:order val="4"/>
          <c:tx>
            <c:strRef>
              <c:f>'Prerađivačka_FS graf'!$U$7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graf'!$U$44:$U$83</c:f>
              <c:numCache>
                <c:formatCode>0.0</c:formatCode>
                <c:ptCount val="40"/>
                <c:pt idx="0">
                  <c:v>97.176257272150067</c:v>
                </c:pt>
                <c:pt idx="1">
                  <c:v>98.798886163503425</c:v>
                </c:pt>
                <c:pt idx="2">
                  <c:v>99.383378355263062</c:v>
                </c:pt>
                <c:pt idx="3">
                  <c:v>99.261647773466763</c:v>
                </c:pt>
                <c:pt idx="4">
                  <c:v>98.773800293644541</c:v>
                </c:pt>
                <c:pt idx="5">
                  <c:v>98.448442835450265</c:v>
                </c:pt>
                <c:pt idx="6">
                  <c:v>98.53228277183706</c:v>
                </c:pt>
                <c:pt idx="7">
                  <c:v>98.730635480168274</c:v>
                </c:pt>
                <c:pt idx="8">
                  <c:v>98.339009754696448</c:v>
                </c:pt>
                <c:pt idx="9">
                  <c:v>97.304579196494345</c:v>
                </c:pt>
                <c:pt idx="10">
                  <c:v>96.452898404531894</c:v>
                </c:pt>
                <c:pt idx="11">
                  <c:v>96.828331782133745</c:v>
                </c:pt>
                <c:pt idx="12">
                  <c:v>99.306367361371329</c:v>
                </c:pt>
                <c:pt idx="13">
                  <c:v>103.79391179592575</c:v>
                </c:pt>
                <c:pt idx="14">
                  <c:v>108.88444676830693</c:v>
                </c:pt>
                <c:pt idx="15">
                  <c:v>112.88166182109856</c:v>
                </c:pt>
                <c:pt idx="16">
                  <c:v>114.62976644165555</c:v>
                </c:pt>
                <c:pt idx="17">
                  <c:v>113.65844484534733</c:v>
                </c:pt>
                <c:pt idx="18">
                  <c:v>110.77707881356403</c:v>
                </c:pt>
                <c:pt idx="19">
                  <c:v>107.46076962204361</c:v>
                </c:pt>
                <c:pt idx="20">
                  <c:v>104.87262393689851</c:v>
                </c:pt>
                <c:pt idx="21">
                  <c:v>103.50928048048834</c:v>
                </c:pt>
                <c:pt idx="22">
                  <c:v>102.95966018906931</c:v>
                </c:pt>
                <c:pt idx="23">
                  <c:v>102.72121573485707</c:v>
                </c:pt>
                <c:pt idx="24">
                  <c:v>102.51238573478452</c:v>
                </c:pt>
                <c:pt idx="25">
                  <c:v>102.31215777053875</c:v>
                </c:pt>
                <c:pt idx="26">
                  <c:v>102.32842588567802</c:v>
                </c:pt>
                <c:pt idx="27">
                  <c:v>102.72530496725241</c:v>
                </c:pt>
                <c:pt idx="28">
                  <c:v>103.1143639269887</c:v>
                </c:pt>
                <c:pt idx="29">
                  <c:v>103.00290155768347</c:v>
                </c:pt>
                <c:pt idx="30">
                  <c:v>102.29633025618408</c:v>
                </c:pt>
                <c:pt idx="31">
                  <c:v>101.09141963686044</c:v>
                </c:pt>
                <c:pt idx="32">
                  <c:v>99.532094162429175</c:v>
                </c:pt>
                <c:pt idx="33">
                  <c:v>97.395203298721441</c:v>
                </c:pt>
                <c:pt idx="34">
                  <c:v>94.069392745919473</c:v>
                </c:pt>
                <c:pt idx="35">
                  <c:v>88.866307317940326</c:v>
                </c:pt>
                <c:pt idx="36">
                  <c:v>81.406723145582944</c:v>
                </c:pt>
                <c:pt idx="37">
                  <c:v>72.171847551822211</c:v>
                </c:pt>
                <c:pt idx="38">
                  <c:v>62.329993647079988</c:v>
                </c:pt>
                <c:pt idx="39">
                  <c:v>53.291827146350137</c:v>
                </c:pt>
              </c:numCache>
            </c:numRef>
          </c:val>
          <c:smooth val="0"/>
          <c:extLst>
            <c:ext xmlns:c16="http://schemas.microsoft.com/office/drawing/2014/chart" uri="{C3380CC4-5D6E-409C-BE32-E72D297353CC}">
              <c16:uniqueId val="{00000030-EFEB-4F8E-B81A-19A1CF1A7923}"/>
            </c:ext>
          </c:extLst>
        </c:ser>
        <c:dLbls>
          <c:showLegendKey val="0"/>
          <c:showVal val="0"/>
          <c:showCatName val="0"/>
          <c:showSerName val="0"/>
          <c:showPercent val="0"/>
          <c:showBubbleSize val="0"/>
        </c:dLbls>
        <c:marker val="1"/>
        <c:smooth val="0"/>
        <c:axId val="2092134960"/>
        <c:axId val="2092135504"/>
      </c:lineChart>
      <c:dateAx>
        <c:axId val="209213496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35504"/>
        <c:crosses val="autoZero"/>
        <c:auto val="1"/>
        <c:lblOffset val="0"/>
        <c:baseTimeUnit val="months"/>
        <c:majorUnit val="12"/>
        <c:majorTimeUnit val="months"/>
      </c:dateAx>
      <c:valAx>
        <c:axId val="2092135504"/>
        <c:scaling>
          <c:orientation val="minMax"/>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34960"/>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4012119030477561"/>
        </c:manualLayout>
      </c:layout>
      <c:lineChart>
        <c:grouping val="standard"/>
        <c:varyColors val="0"/>
        <c:ser>
          <c:idx val="3"/>
          <c:order val="0"/>
          <c:tx>
            <c:strRef>
              <c:f>'Prerađivačka_FS graf'!$V$7</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780933469199348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C39-47E1-9536-04EE54B53D68}"/>
                </c:ext>
              </c:extLst>
            </c:dLbl>
            <c:dLbl>
              <c:idx val="12"/>
              <c:layout>
                <c:manualLayout>
                  <c:x val="6.654856774575636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C39-47E1-9536-04EE54B53D68}"/>
                </c:ext>
              </c:extLst>
            </c:dLbl>
            <c:dLbl>
              <c:idx val="24"/>
              <c:layout>
                <c:manualLayout>
                  <c:x val="7.2025013281773922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C39-47E1-9536-04EE54B53D68}"/>
                </c:ext>
              </c:extLst>
            </c:dLbl>
            <c:dLbl>
              <c:idx val="36"/>
              <c:layout>
                <c:manualLayout>
                  <c:x val="-1.0147101089540929E-2"/>
                  <c:y val="3.657807807807807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C39-47E1-9536-04EE54B53D68}"/>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graf'!$V$44:$V$83</c:f>
              <c:numCache>
                <c:formatCode>General</c:formatCode>
                <c:ptCount val="40"/>
                <c:pt idx="0">
                  <c:v>70</c:v>
                </c:pt>
                <c:pt idx="12">
                  <c:v>70</c:v>
                </c:pt>
                <c:pt idx="24">
                  <c:v>70</c:v>
                </c:pt>
                <c:pt idx="36">
                  <c:v>70</c:v>
                </c:pt>
              </c:numCache>
            </c:numRef>
          </c:val>
          <c:smooth val="0"/>
          <c:extLst>
            <c:ext xmlns:c16="http://schemas.microsoft.com/office/drawing/2014/chart" uri="{C3380CC4-5D6E-409C-BE32-E72D297353CC}">
              <c16:uniqueId val="{00000004-DC39-47E1-9536-04EE54B53D68}"/>
            </c:ext>
          </c:extLst>
        </c:ser>
        <c:ser>
          <c:idx val="4"/>
          <c:order val="1"/>
          <c:tx>
            <c:strRef>
              <c:f>'Prerađivačka_FS graf'!$W$7</c:f>
              <c:strCache>
                <c:ptCount val="1"/>
                <c:pt idx="0">
                  <c:v>Series5</c:v>
                </c:pt>
              </c:strCache>
            </c:strRef>
          </c:tx>
          <c:spPr>
            <a:ln w="25400" cap="rnd">
              <a:noFill/>
              <a:round/>
            </a:ln>
            <a:effectLst/>
          </c:spPr>
          <c:marker>
            <c:symbol val="none"/>
          </c:marker>
          <c:dLbls>
            <c:dLbl>
              <c:idx val="0"/>
              <c:tx>
                <c:rich>
                  <a:bodyPr/>
                  <a:lstStyle/>
                  <a:p>
                    <a:fld id="{E7188DF0-4679-408B-94EC-F8AE2676EA6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DC39-47E1-9536-04EE54B53D68}"/>
                </c:ext>
              </c:extLst>
            </c:dLbl>
            <c:dLbl>
              <c:idx val="1"/>
              <c:tx>
                <c:rich>
                  <a:bodyPr/>
                  <a:lstStyle/>
                  <a:p>
                    <a:fld id="{2FCC30E1-6680-43C4-9BD4-B59F229E63A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DC39-47E1-9536-04EE54B53D68}"/>
                </c:ext>
              </c:extLst>
            </c:dLbl>
            <c:dLbl>
              <c:idx val="2"/>
              <c:tx>
                <c:rich>
                  <a:bodyPr/>
                  <a:lstStyle/>
                  <a:p>
                    <a:fld id="{BF02E924-88C3-441B-9F76-CE788E1207B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DC39-47E1-9536-04EE54B53D68}"/>
                </c:ext>
              </c:extLst>
            </c:dLbl>
            <c:dLbl>
              <c:idx val="3"/>
              <c:tx>
                <c:rich>
                  <a:bodyPr/>
                  <a:lstStyle/>
                  <a:p>
                    <a:fld id="{50D3BC8B-12C6-46D7-A02E-316BD3CE683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C39-47E1-9536-04EE54B53D68}"/>
                </c:ext>
              </c:extLst>
            </c:dLbl>
            <c:dLbl>
              <c:idx val="4"/>
              <c:tx>
                <c:rich>
                  <a:bodyPr/>
                  <a:lstStyle/>
                  <a:p>
                    <a:fld id="{BAF88F91-5747-46B7-8AF0-94ED28273C2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DC39-47E1-9536-04EE54B53D68}"/>
                </c:ext>
              </c:extLst>
            </c:dLbl>
            <c:dLbl>
              <c:idx val="5"/>
              <c:tx>
                <c:rich>
                  <a:bodyPr/>
                  <a:lstStyle/>
                  <a:p>
                    <a:fld id="{13C9EA26-A06B-44DC-8B70-F6A55AC740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DC39-47E1-9536-04EE54B53D68}"/>
                </c:ext>
              </c:extLst>
            </c:dLbl>
            <c:dLbl>
              <c:idx val="6"/>
              <c:tx>
                <c:rich>
                  <a:bodyPr/>
                  <a:lstStyle/>
                  <a:p>
                    <a:fld id="{F7E2B645-0B43-48C1-9453-2AC2D9B0CB5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C39-47E1-9536-04EE54B53D68}"/>
                </c:ext>
              </c:extLst>
            </c:dLbl>
            <c:dLbl>
              <c:idx val="7"/>
              <c:tx>
                <c:rich>
                  <a:bodyPr/>
                  <a:lstStyle/>
                  <a:p>
                    <a:fld id="{4030CAD4-58FF-46F3-8075-16CF098D20E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DC39-47E1-9536-04EE54B53D68}"/>
                </c:ext>
              </c:extLst>
            </c:dLbl>
            <c:dLbl>
              <c:idx val="8"/>
              <c:tx>
                <c:rich>
                  <a:bodyPr/>
                  <a:lstStyle/>
                  <a:p>
                    <a:fld id="{0999134D-D4CB-4976-8B04-5857669292F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DC39-47E1-9536-04EE54B53D68}"/>
                </c:ext>
              </c:extLst>
            </c:dLbl>
            <c:dLbl>
              <c:idx val="9"/>
              <c:tx>
                <c:rich>
                  <a:bodyPr/>
                  <a:lstStyle/>
                  <a:p>
                    <a:fld id="{FC6E4AB3-625D-4F2B-9689-049CE18B78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C39-47E1-9536-04EE54B53D68}"/>
                </c:ext>
              </c:extLst>
            </c:dLbl>
            <c:dLbl>
              <c:idx val="10"/>
              <c:tx>
                <c:rich>
                  <a:bodyPr/>
                  <a:lstStyle/>
                  <a:p>
                    <a:fld id="{E10DE7EF-527E-4292-B05E-5389D384B2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DC39-47E1-9536-04EE54B53D68}"/>
                </c:ext>
              </c:extLst>
            </c:dLbl>
            <c:dLbl>
              <c:idx val="11"/>
              <c:tx>
                <c:rich>
                  <a:bodyPr/>
                  <a:lstStyle/>
                  <a:p>
                    <a:fld id="{E53CEB09-7730-49CC-A861-CBFE22A710D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DC39-47E1-9536-04EE54B53D68}"/>
                </c:ext>
              </c:extLst>
            </c:dLbl>
            <c:dLbl>
              <c:idx val="12"/>
              <c:tx>
                <c:rich>
                  <a:bodyPr/>
                  <a:lstStyle/>
                  <a:p>
                    <a:fld id="{F8590858-9254-450C-8C3A-91377DF118B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C39-47E1-9536-04EE54B53D68}"/>
                </c:ext>
              </c:extLst>
            </c:dLbl>
            <c:dLbl>
              <c:idx val="13"/>
              <c:tx>
                <c:rich>
                  <a:bodyPr/>
                  <a:lstStyle/>
                  <a:p>
                    <a:fld id="{A461713B-A961-451D-A531-95658C0C67E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DC39-47E1-9536-04EE54B53D68}"/>
                </c:ext>
              </c:extLst>
            </c:dLbl>
            <c:dLbl>
              <c:idx val="14"/>
              <c:tx>
                <c:rich>
                  <a:bodyPr/>
                  <a:lstStyle/>
                  <a:p>
                    <a:fld id="{238D5C08-1E60-4F76-B821-0759827D4D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DC39-47E1-9536-04EE54B53D68}"/>
                </c:ext>
              </c:extLst>
            </c:dLbl>
            <c:dLbl>
              <c:idx val="15"/>
              <c:tx>
                <c:rich>
                  <a:bodyPr/>
                  <a:lstStyle/>
                  <a:p>
                    <a:fld id="{578BE944-4A08-4A1D-8E69-6DDEB184B5F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DC39-47E1-9536-04EE54B53D68}"/>
                </c:ext>
              </c:extLst>
            </c:dLbl>
            <c:dLbl>
              <c:idx val="16"/>
              <c:tx>
                <c:rich>
                  <a:bodyPr/>
                  <a:lstStyle/>
                  <a:p>
                    <a:fld id="{543FB9D0-6466-47AD-8A6E-3E136423ADD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DC39-47E1-9536-04EE54B53D68}"/>
                </c:ext>
              </c:extLst>
            </c:dLbl>
            <c:dLbl>
              <c:idx val="17"/>
              <c:tx>
                <c:rich>
                  <a:bodyPr/>
                  <a:lstStyle/>
                  <a:p>
                    <a:fld id="{7C80A028-C87C-4855-8CD9-4147C85757D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DC39-47E1-9536-04EE54B53D68}"/>
                </c:ext>
              </c:extLst>
            </c:dLbl>
            <c:dLbl>
              <c:idx val="18"/>
              <c:tx>
                <c:rich>
                  <a:bodyPr/>
                  <a:lstStyle/>
                  <a:p>
                    <a:fld id="{714E836C-F8D1-4D4C-A472-22A740825CC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DC39-47E1-9536-04EE54B53D68}"/>
                </c:ext>
              </c:extLst>
            </c:dLbl>
            <c:dLbl>
              <c:idx val="19"/>
              <c:tx>
                <c:rich>
                  <a:bodyPr/>
                  <a:lstStyle/>
                  <a:p>
                    <a:fld id="{E3D84152-290F-4FA4-90DB-4C29567051F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DC39-47E1-9536-04EE54B53D68}"/>
                </c:ext>
              </c:extLst>
            </c:dLbl>
            <c:dLbl>
              <c:idx val="20"/>
              <c:tx>
                <c:rich>
                  <a:bodyPr/>
                  <a:lstStyle/>
                  <a:p>
                    <a:fld id="{97988810-585C-4913-95DC-FEDFB000AEE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DC39-47E1-9536-04EE54B53D68}"/>
                </c:ext>
              </c:extLst>
            </c:dLbl>
            <c:dLbl>
              <c:idx val="21"/>
              <c:tx>
                <c:rich>
                  <a:bodyPr/>
                  <a:lstStyle/>
                  <a:p>
                    <a:fld id="{5ABB00AB-4217-4547-9C31-B1949A60345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DC39-47E1-9536-04EE54B53D68}"/>
                </c:ext>
              </c:extLst>
            </c:dLbl>
            <c:dLbl>
              <c:idx val="22"/>
              <c:tx>
                <c:rich>
                  <a:bodyPr/>
                  <a:lstStyle/>
                  <a:p>
                    <a:fld id="{59D442E8-7BF1-4372-A33D-4163507D2FF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DC39-47E1-9536-04EE54B53D68}"/>
                </c:ext>
              </c:extLst>
            </c:dLbl>
            <c:dLbl>
              <c:idx val="23"/>
              <c:tx>
                <c:rich>
                  <a:bodyPr/>
                  <a:lstStyle/>
                  <a:p>
                    <a:fld id="{5B0E1E04-5781-4707-9D0F-8A201981216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DC39-47E1-9536-04EE54B53D68}"/>
                </c:ext>
              </c:extLst>
            </c:dLbl>
            <c:dLbl>
              <c:idx val="24"/>
              <c:tx>
                <c:rich>
                  <a:bodyPr/>
                  <a:lstStyle/>
                  <a:p>
                    <a:fld id="{FED6A0FB-A776-48B4-96E5-A63600D5F5B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DC39-47E1-9536-04EE54B53D68}"/>
                </c:ext>
              </c:extLst>
            </c:dLbl>
            <c:dLbl>
              <c:idx val="25"/>
              <c:tx>
                <c:rich>
                  <a:bodyPr/>
                  <a:lstStyle/>
                  <a:p>
                    <a:fld id="{15A66B7E-4EF2-4B6A-9768-26933874F8F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DC39-47E1-9536-04EE54B53D68}"/>
                </c:ext>
              </c:extLst>
            </c:dLbl>
            <c:dLbl>
              <c:idx val="26"/>
              <c:tx>
                <c:rich>
                  <a:bodyPr/>
                  <a:lstStyle/>
                  <a:p>
                    <a:fld id="{2853E16A-7497-4E40-A309-09FB05F3AE6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DC39-47E1-9536-04EE54B53D68}"/>
                </c:ext>
              </c:extLst>
            </c:dLbl>
            <c:dLbl>
              <c:idx val="27"/>
              <c:tx>
                <c:rich>
                  <a:bodyPr/>
                  <a:lstStyle/>
                  <a:p>
                    <a:fld id="{7107D272-161D-47C3-979E-2BFE4CB9AFA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DC39-47E1-9536-04EE54B53D68}"/>
                </c:ext>
              </c:extLst>
            </c:dLbl>
            <c:dLbl>
              <c:idx val="28"/>
              <c:tx>
                <c:rich>
                  <a:bodyPr/>
                  <a:lstStyle/>
                  <a:p>
                    <a:fld id="{8C9782EC-2BF5-46FB-B4D9-7E09CC79C2E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DC39-47E1-9536-04EE54B53D68}"/>
                </c:ext>
              </c:extLst>
            </c:dLbl>
            <c:dLbl>
              <c:idx val="29"/>
              <c:tx>
                <c:rich>
                  <a:bodyPr/>
                  <a:lstStyle/>
                  <a:p>
                    <a:fld id="{74CC3A7D-54BE-4F2A-B7A7-FC13630FC66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DC39-47E1-9536-04EE54B53D68}"/>
                </c:ext>
              </c:extLst>
            </c:dLbl>
            <c:dLbl>
              <c:idx val="30"/>
              <c:tx>
                <c:rich>
                  <a:bodyPr/>
                  <a:lstStyle/>
                  <a:p>
                    <a:fld id="{AB437A4D-88E4-49A7-9E90-2C55A0D9B8D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DC39-47E1-9536-04EE54B53D68}"/>
                </c:ext>
              </c:extLst>
            </c:dLbl>
            <c:dLbl>
              <c:idx val="31"/>
              <c:tx>
                <c:rich>
                  <a:bodyPr/>
                  <a:lstStyle/>
                  <a:p>
                    <a:fld id="{E121AA19-B8E1-48F0-A1A4-D7948580CCB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DC39-47E1-9536-04EE54B53D68}"/>
                </c:ext>
              </c:extLst>
            </c:dLbl>
            <c:dLbl>
              <c:idx val="32"/>
              <c:tx>
                <c:rich>
                  <a:bodyPr/>
                  <a:lstStyle/>
                  <a:p>
                    <a:fld id="{298D6302-3E46-4047-B429-23A8BCA56DB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DC39-47E1-9536-04EE54B53D68}"/>
                </c:ext>
              </c:extLst>
            </c:dLbl>
            <c:dLbl>
              <c:idx val="33"/>
              <c:tx>
                <c:rich>
                  <a:bodyPr/>
                  <a:lstStyle/>
                  <a:p>
                    <a:fld id="{90CC9FB6-A119-42F1-A28C-A5F6B226446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DC39-47E1-9536-04EE54B53D68}"/>
                </c:ext>
              </c:extLst>
            </c:dLbl>
            <c:dLbl>
              <c:idx val="34"/>
              <c:tx>
                <c:rich>
                  <a:bodyPr/>
                  <a:lstStyle/>
                  <a:p>
                    <a:fld id="{69294A0E-5611-462E-ABAB-42EC40A5867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DC39-47E1-9536-04EE54B53D68}"/>
                </c:ext>
              </c:extLst>
            </c:dLbl>
            <c:dLbl>
              <c:idx val="35"/>
              <c:tx>
                <c:rich>
                  <a:bodyPr/>
                  <a:lstStyle/>
                  <a:p>
                    <a:fld id="{809CB4AF-7A3F-4BE2-867B-59A0231606D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DC39-47E1-9536-04EE54B53D68}"/>
                </c:ext>
              </c:extLst>
            </c:dLbl>
            <c:dLbl>
              <c:idx val="36"/>
              <c:tx>
                <c:rich>
                  <a:bodyPr/>
                  <a:lstStyle/>
                  <a:p>
                    <a:fld id="{EF905104-108F-4729-BAC7-ED168D207EB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DC39-47E1-9536-04EE54B53D68}"/>
                </c:ext>
              </c:extLst>
            </c:dLbl>
            <c:dLbl>
              <c:idx val="37"/>
              <c:tx>
                <c:rich>
                  <a:bodyPr/>
                  <a:lstStyle/>
                  <a:p>
                    <a:fld id="{B5536AD2-43AA-4191-AB12-194B9442477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DC39-47E1-9536-04EE54B53D68}"/>
                </c:ext>
              </c:extLst>
            </c:dLbl>
            <c:dLbl>
              <c:idx val="38"/>
              <c:tx>
                <c:rich>
                  <a:bodyPr/>
                  <a:lstStyle/>
                  <a:p>
                    <a:fld id="{04222EFB-18DC-4C4A-BBAC-87C6F34661D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DC39-47E1-9536-04EE54B53D68}"/>
                </c:ext>
              </c:extLst>
            </c:dLbl>
            <c:dLbl>
              <c:idx val="39"/>
              <c:tx>
                <c:rich>
                  <a:bodyPr/>
                  <a:lstStyle/>
                  <a:p>
                    <a:fld id="{775659F0-B6BD-4E0F-825D-BFE0D7462C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DC39-47E1-9536-04EE54B53D68}"/>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graf'!$W$44:$W$83</c:f>
              <c:numCache>
                <c:formatCode>General</c:formatCode>
                <c:ptCount val="40"/>
                <c:pt idx="0">
                  <c:v>70</c:v>
                </c:pt>
                <c:pt idx="1">
                  <c:v>70</c:v>
                </c:pt>
                <c:pt idx="2">
                  <c:v>70</c:v>
                </c:pt>
                <c:pt idx="3">
                  <c:v>70</c:v>
                </c:pt>
                <c:pt idx="4">
                  <c:v>70</c:v>
                </c:pt>
                <c:pt idx="5">
                  <c:v>70</c:v>
                </c:pt>
                <c:pt idx="6">
                  <c:v>70</c:v>
                </c:pt>
                <c:pt idx="7">
                  <c:v>70</c:v>
                </c:pt>
                <c:pt idx="8">
                  <c:v>70</c:v>
                </c:pt>
                <c:pt idx="9">
                  <c:v>70</c:v>
                </c:pt>
                <c:pt idx="10">
                  <c:v>70</c:v>
                </c:pt>
                <c:pt idx="11">
                  <c:v>70</c:v>
                </c:pt>
                <c:pt idx="12">
                  <c:v>70</c:v>
                </c:pt>
                <c:pt idx="13">
                  <c:v>70</c:v>
                </c:pt>
                <c:pt idx="14">
                  <c:v>70</c:v>
                </c:pt>
                <c:pt idx="15">
                  <c:v>70</c:v>
                </c:pt>
                <c:pt idx="16">
                  <c:v>70</c:v>
                </c:pt>
                <c:pt idx="17">
                  <c:v>70</c:v>
                </c:pt>
                <c:pt idx="18">
                  <c:v>70</c:v>
                </c:pt>
                <c:pt idx="19">
                  <c:v>70</c:v>
                </c:pt>
                <c:pt idx="20">
                  <c:v>70</c:v>
                </c:pt>
                <c:pt idx="21">
                  <c:v>70</c:v>
                </c:pt>
                <c:pt idx="22">
                  <c:v>70</c:v>
                </c:pt>
                <c:pt idx="23">
                  <c:v>70</c:v>
                </c:pt>
                <c:pt idx="24">
                  <c:v>70</c:v>
                </c:pt>
                <c:pt idx="25">
                  <c:v>70</c:v>
                </c:pt>
                <c:pt idx="26">
                  <c:v>70</c:v>
                </c:pt>
                <c:pt idx="27">
                  <c:v>70</c:v>
                </c:pt>
                <c:pt idx="28">
                  <c:v>70</c:v>
                </c:pt>
                <c:pt idx="29">
                  <c:v>70</c:v>
                </c:pt>
                <c:pt idx="30">
                  <c:v>70</c:v>
                </c:pt>
                <c:pt idx="31">
                  <c:v>70</c:v>
                </c:pt>
                <c:pt idx="32">
                  <c:v>70</c:v>
                </c:pt>
                <c:pt idx="33">
                  <c:v>70</c:v>
                </c:pt>
                <c:pt idx="34">
                  <c:v>70</c:v>
                </c:pt>
                <c:pt idx="35">
                  <c:v>70</c:v>
                </c:pt>
                <c:pt idx="36">
                  <c:v>70</c:v>
                </c:pt>
                <c:pt idx="37">
                  <c:v>70</c:v>
                </c:pt>
                <c:pt idx="38">
                  <c:v>70</c:v>
                </c:pt>
                <c:pt idx="39">
                  <c:v>70</c:v>
                </c:pt>
              </c:numCache>
            </c:numRef>
          </c:val>
          <c:smooth val="0"/>
          <c:extLst>
            <c:ext xmlns:c15="http://schemas.microsoft.com/office/drawing/2012/chart" uri="{02D57815-91ED-43cb-92C2-25804820EDAC}">
              <c15:datalabelsRange>
                <c15:f>'Prerađivačka_FS graf'!$B$32:$B$83</c15:f>
                <c15:dlblRangeCache>
                  <c:ptCount val="52"/>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pt idx="42">
                    <c:v>VII</c:v>
                  </c:pt>
                  <c:pt idx="45">
                    <c:v>X</c:v>
                  </c:pt>
                  <c:pt idx="48">
                    <c:v>I</c:v>
                  </c:pt>
                  <c:pt idx="51">
                    <c:v>IV</c:v>
                  </c:pt>
                </c15:dlblRangeCache>
              </c15:datalabelsRange>
            </c:ext>
            <c:ext xmlns:c16="http://schemas.microsoft.com/office/drawing/2014/chart" uri="{C3380CC4-5D6E-409C-BE32-E72D297353CC}">
              <c16:uniqueId val="{0000002D-DC39-47E1-9536-04EE54B53D68}"/>
            </c:ext>
          </c:extLst>
        </c:ser>
        <c:ser>
          <c:idx val="0"/>
          <c:order val="2"/>
          <c:tx>
            <c:strRef>
              <c:f>'Prerađivačka_FS graf'!$X$7</c:f>
              <c:strCache>
                <c:ptCount val="1"/>
                <c:pt idx="0">
                  <c:v>y</c:v>
                </c:pt>
              </c:strCache>
            </c:strRef>
          </c:tx>
          <c:spPr>
            <a:ln w="12700" cap="rnd">
              <a:solidFill>
                <a:srgbClr val="92278F"/>
              </a:solidFill>
              <a:prstDash val="sysDash"/>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graf'!$X$44:$X$83</c:f>
              <c:numCache>
                <c:formatCode>0.0</c:formatCode>
                <c:ptCount val="40"/>
                <c:pt idx="0">
                  <c:v>102.7764705882353</c:v>
                </c:pt>
                <c:pt idx="1">
                  <c:v>106.61647058823529</c:v>
                </c:pt>
                <c:pt idx="2">
                  <c:v>118.0235294117647</c:v>
                </c:pt>
                <c:pt idx="3">
                  <c:v>107.63294117647058</c:v>
                </c:pt>
                <c:pt idx="4">
                  <c:v>118.0235294117647</c:v>
                </c:pt>
                <c:pt idx="5">
                  <c:v>126.83294117647057</c:v>
                </c:pt>
                <c:pt idx="6">
                  <c:v>118.70117647058822</c:v>
                </c:pt>
                <c:pt idx="7">
                  <c:v>114.40941176470587</c:v>
                </c:pt>
                <c:pt idx="8">
                  <c:v>96.903529411764694</c:v>
                </c:pt>
                <c:pt idx="9">
                  <c:v>118.70117647058822</c:v>
                </c:pt>
                <c:pt idx="10">
                  <c:v>113.27999999999999</c:v>
                </c:pt>
                <c:pt idx="11">
                  <c:v>113.61882352941176</c:v>
                </c:pt>
                <c:pt idx="12">
                  <c:v>103.56705882352941</c:v>
                </c:pt>
                <c:pt idx="13">
                  <c:v>118.70117647058822</c:v>
                </c:pt>
                <c:pt idx="14">
                  <c:v>129.4305882352941</c:v>
                </c:pt>
                <c:pt idx="15">
                  <c:v>112.48941176470586</c:v>
                </c:pt>
                <c:pt idx="16">
                  <c:v>109.3270588235294</c:v>
                </c:pt>
                <c:pt idx="17">
                  <c:v>113.50588235294117</c:v>
                </c:pt>
                <c:pt idx="18">
                  <c:v>100.17882352941176</c:v>
                </c:pt>
                <c:pt idx="19">
                  <c:v>82.672941176470587</c:v>
                </c:pt>
                <c:pt idx="20">
                  <c:v>109.3270588235294</c:v>
                </c:pt>
                <c:pt idx="21">
                  <c:v>107.40705882352938</c:v>
                </c:pt>
                <c:pt idx="22">
                  <c:v>98.484705882352941</c:v>
                </c:pt>
                <c:pt idx="23">
                  <c:v>91.143529411764703</c:v>
                </c:pt>
                <c:pt idx="24">
                  <c:v>86.287058823529421</c:v>
                </c:pt>
                <c:pt idx="25">
                  <c:v>91.482352941176472</c:v>
                </c:pt>
                <c:pt idx="26">
                  <c:v>111.02117647058822</c:v>
                </c:pt>
                <c:pt idx="27">
                  <c:v>91.708235294117642</c:v>
                </c:pt>
                <c:pt idx="28">
                  <c:v>109.66588235294117</c:v>
                </c:pt>
                <c:pt idx="29">
                  <c:v>110.00470588235294</c:v>
                </c:pt>
                <c:pt idx="30">
                  <c:v>101.87294117647059</c:v>
                </c:pt>
                <c:pt idx="31">
                  <c:v>121.29882352941178</c:v>
                </c:pt>
                <c:pt idx="32">
                  <c:v>103.11529411764707</c:v>
                </c:pt>
                <c:pt idx="33">
                  <c:v>85.157647058823528</c:v>
                </c:pt>
                <c:pt idx="34">
                  <c:v>83.124705882352927</c:v>
                </c:pt>
                <c:pt idx="35">
                  <c:v>105.26117647058824</c:v>
                </c:pt>
                <c:pt idx="36">
                  <c:v>91.9</c:v>
                </c:pt>
                <c:pt idx="37">
                  <c:v>113.5</c:v>
                </c:pt>
                <c:pt idx="38">
                  <c:v>102.7</c:v>
                </c:pt>
                <c:pt idx="39">
                  <c:v>91.1</c:v>
                </c:pt>
              </c:numCache>
            </c:numRef>
          </c:val>
          <c:smooth val="0"/>
          <c:extLst>
            <c:ext xmlns:c16="http://schemas.microsoft.com/office/drawing/2014/chart" uri="{C3380CC4-5D6E-409C-BE32-E72D297353CC}">
              <c16:uniqueId val="{0000002E-DC39-47E1-9536-04EE54B53D68}"/>
            </c:ext>
          </c:extLst>
        </c:ser>
        <c:ser>
          <c:idx val="1"/>
          <c:order val="3"/>
          <c:tx>
            <c:strRef>
              <c:f>'Prerađivačka_FS graf'!$Y$7</c:f>
              <c:strCache>
                <c:ptCount val="1"/>
                <c:pt idx="0">
                  <c:v>sa</c:v>
                </c:pt>
              </c:strCache>
            </c:strRef>
          </c:tx>
          <c:spPr>
            <a:ln w="22225" cap="rnd">
              <a:solidFill>
                <a:srgbClr val="25AAE1"/>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graf'!$Y$44:$Y$83</c:f>
              <c:numCache>
                <c:formatCode>0.0</c:formatCode>
                <c:ptCount val="40"/>
                <c:pt idx="0">
                  <c:v>112.18260663541838</c:v>
                </c:pt>
                <c:pt idx="1">
                  <c:v>111.19634231853475</c:v>
                </c:pt>
                <c:pt idx="2">
                  <c:v>109.88882433886026</c:v>
                </c:pt>
                <c:pt idx="3">
                  <c:v>112.93852841553719</c:v>
                </c:pt>
                <c:pt idx="4">
                  <c:v>115.50743673865401</c:v>
                </c:pt>
                <c:pt idx="5">
                  <c:v>119.38502827760857</c:v>
                </c:pt>
                <c:pt idx="6">
                  <c:v>116.51845490664351</c:v>
                </c:pt>
                <c:pt idx="7">
                  <c:v>112.93966678683275</c:v>
                </c:pt>
                <c:pt idx="8">
                  <c:v>101.79855090747658</c:v>
                </c:pt>
                <c:pt idx="9">
                  <c:v>113.71728882411333</c:v>
                </c:pt>
                <c:pt idx="10">
                  <c:v>113.70072494102898</c:v>
                </c:pt>
                <c:pt idx="11">
                  <c:v>115.41742861566443</c:v>
                </c:pt>
                <c:pt idx="12">
                  <c:v>114.0396881088858</c:v>
                </c:pt>
                <c:pt idx="13">
                  <c:v>122.90196597842281</c:v>
                </c:pt>
                <c:pt idx="14">
                  <c:v>121.1399976785337</c:v>
                </c:pt>
                <c:pt idx="15">
                  <c:v>117.96068866038529</c:v>
                </c:pt>
                <c:pt idx="16">
                  <c:v>106.26087995832732</c:v>
                </c:pt>
                <c:pt idx="17">
                  <c:v>105.28378560303307</c:v>
                </c:pt>
                <c:pt idx="18">
                  <c:v>98.591890116057115</c:v>
                </c:pt>
                <c:pt idx="19">
                  <c:v>81.257458398208669</c:v>
                </c:pt>
                <c:pt idx="20">
                  <c:v>114.14363243948023</c:v>
                </c:pt>
                <c:pt idx="21">
                  <c:v>102.85146094820971</c:v>
                </c:pt>
                <c:pt idx="22">
                  <c:v>99.8995840293437</c:v>
                </c:pt>
                <c:pt idx="23">
                  <c:v>92.650601149740211</c:v>
                </c:pt>
                <c:pt idx="24">
                  <c:v>97.027237862209503</c:v>
                </c:pt>
                <c:pt idx="25">
                  <c:v>94.783434381670801</c:v>
                </c:pt>
                <c:pt idx="26">
                  <c:v>102.21775670733528</c:v>
                </c:pt>
                <c:pt idx="27">
                  <c:v>97.021822509179927</c:v>
                </c:pt>
                <c:pt idx="28">
                  <c:v>106.38952135763179</c:v>
                </c:pt>
                <c:pt idx="29">
                  <c:v>101.76558770172579</c:v>
                </c:pt>
                <c:pt idx="30">
                  <c:v>101.08667616341147</c:v>
                </c:pt>
                <c:pt idx="31">
                  <c:v>120.04743884086547</c:v>
                </c:pt>
                <c:pt idx="32">
                  <c:v>107.2962159717309</c:v>
                </c:pt>
                <c:pt idx="33">
                  <c:v>81.07142998856537</c:v>
                </c:pt>
                <c:pt idx="34">
                  <c:v>85.300793988400898</c:v>
                </c:pt>
                <c:pt idx="35">
                  <c:v>106.72510879216664</c:v>
                </c:pt>
                <c:pt idx="36">
                  <c:v>102.52865556702662</c:v>
                </c:pt>
                <c:pt idx="37">
                  <c:v>116.17041522019862</c:v>
                </c:pt>
                <c:pt idx="38">
                  <c:v>93.347872011843791</c:v>
                </c:pt>
                <c:pt idx="39">
                  <c:v>96.492709543372229</c:v>
                </c:pt>
              </c:numCache>
            </c:numRef>
          </c:val>
          <c:smooth val="0"/>
          <c:extLst>
            <c:ext xmlns:c16="http://schemas.microsoft.com/office/drawing/2014/chart" uri="{C3380CC4-5D6E-409C-BE32-E72D297353CC}">
              <c16:uniqueId val="{0000002F-DC39-47E1-9536-04EE54B53D68}"/>
            </c:ext>
          </c:extLst>
        </c:ser>
        <c:ser>
          <c:idx val="2"/>
          <c:order val="4"/>
          <c:tx>
            <c:strRef>
              <c:f>'Prerađivačka_FS graf'!$Z$7</c:f>
              <c:strCache>
                <c:ptCount val="1"/>
                <c:pt idx="0">
                  <c:v>t</c:v>
                </c:pt>
              </c:strCache>
            </c:strRef>
          </c:tx>
          <c:spPr>
            <a:ln w="25400" cap="rnd">
              <a:solidFill>
                <a:srgbClr val="FF0000"/>
              </a:solidFill>
              <a:round/>
            </a:ln>
            <a:effectLst/>
          </c:spPr>
          <c:marker>
            <c:symbol val="none"/>
          </c:marker>
          <c:cat>
            <c:numRef>
              <c:f>'Prerađivačka_FS graf'!$C$44:$C$83</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'Prerađivačka_FS graf'!$Z$44:$Z$83</c:f>
              <c:numCache>
                <c:formatCode>0.0</c:formatCode>
                <c:ptCount val="40"/>
                <c:pt idx="0">
                  <c:v>112.81967562899652</c:v>
                </c:pt>
                <c:pt idx="1">
                  <c:v>112.68018101462776</c:v>
                </c:pt>
                <c:pt idx="2">
                  <c:v>113.07548919096452</c:v>
                </c:pt>
                <c:pt idx="3">
                  <c:v>113.82116680376407</c:v>
                </c:pt>
                <c:pt idx="4">
                  <c:v>114.6595290943452</c:v>
                </c:pt>
                <c:pt idx="5">
                  <c:v>115.13743598536425</c:v>
                </c:pt>
                <c:pt idx="6">
                  <c:v>114.94194325543012</c:v>
                </c:pt>
                <c:pt idx="7">
                  <c:v>113.95286137396236</c:v>
                </c:pt>
                <c:pt idx="8">
                  <c:v>112.90969428611652</c:v>
                </c:pt>
                <c:pt idx="9">
                  <c:v>112.63227010860696</c:v>
                </c:pt>
                <c:pt idx="10">
                  <c:v>113.75426194350744</c:v>
                </c:pt>
                <c:pt idx="11">
                  <c:v>115.87817919553669</c:v>
                </c:pt>
                <c:pt idx="12">
                  <c:v>117.99207959390766</c:v>
                </c:pt>
                <c:pt idx="13">
                  <c:v>118.78928970720726</c:v>
                </c:pt>
                <c:pt idx="14">
                  <c:v>117.59311294863366</c:v>
                </c:pt>
                <c:pt idx="15">
                  <c:v>114.45684807106925</c:v>
                </c:pt>
                <c:pt idx="16">
                  <c:v>110.20166623698546</c:v>
                </c:pt>
                <c:pt idx="17">
                  <c:v>105.99209149601931</c:v>
                </c:pt>
                <c:pt idx="18">
                  <c:v>102.73032062997706</c:v>
                </c:pt>
                <c:pt idx="19">
                  <c:v>100.79612195605566</c:v>
                </c:pt>
                <c:pt idx="20">
                  <c:v>99.764291629478393</c:v>
                </c:pt>
                <c:pt idx="21">
                  <c:v>98.996053062267535</c:v>
                </c:pt>
                <c:pt idx="22">
                  <c:v>98.036180704868272</c:v>
                </c:pt>
                <c:pt idx="23">
                  <c:v>97.112706551188609</c:v>
                </c:pt>
                <c:pt idx="24">
                  <c:v>96.819182599150153</c:v>
                </c:pt>
                <c:pt idx="25">
                  <c:v>97.346783051447588</c:v>
                </c:pt>
                <c:pt idx="26">
                  <c:v>98.589764412288872</c:v>
                </c:pt>
                <c:pt idx="27">
                  <c:v>100.19117295017531</c:v>
                </c:pt>
                <c:pt idx="28">
                  <c:v>101.74702635815362</c:v>
                </c:pt>
                <c:pt idx="29">
                  <c:v>102.77434426786222</c:v>
                </c:pt>
                <c:pt idx="30">
                  <c:v>103.36298606282767</c:v>
                </c:pt>
                <c:pt idx="31">
                  <c:v>103.82739414469552</c:v>
                </c:pt>
                <c:pt idx="32">
                  <c:v>104.27231976194402</c:v>
                </c:pt>
                <c:pt idx="33">
                  <c:v>104.50869901934232</c:v>
                </c:pt>
                <c:pt idx="34">
                  <c:v>104.17273685975272</c:v>
                </c:pt>
                <c:pt idx="35">
                  <c:v>103.15543822494045</c:v>
                </c:pt>
                <c:pt idx="36">
                  <c:v>101.30500837595007</c:v>
                </c:pt>
                <c:pt idx="37">
                  <c:v>99.142134758951102</c:v>
                </c:pt>
                <c:pt idx="38">
                  <c:v>97.123855013249994</c:v>
                </c:pt>
                <c:pt idx="39">
                  <c:v>95.648363360797646</c:v>
                </c:pt>
              </c:numCache>
            </c:numRef>
          </c:val>
          <c:smooth val="0"/>
          <c:extLst>
            <c:ext xmlns:c16="http://schemas.microsoft.com/office/drawing/2014/chart" uri="{C3380CC4-5D6E-409C-BE32-E72D297353CC}">
              <c16:uniqueId val="{00000030-DC39-47E1-9536-04EE54B53D68}"/>
            </c:ext>
          </c:extLst>
        </c:ser>
        <c:dLbls>
          <c:showLegendKey val="0"/>
          <c:showVal val="0"/>
          <c:showCatName val="0"/>
          <c:showSerName val="0"/>
          <c:showPercent val="0"/>
          <c:showBubbleSize val="0"/>
        </c:dLbls>
        <c:marker val="1"/>
        <c:smooth val="0"/>
        <c:axId val="2092158352"/>
        <c:axId val="2092178480"/>
      </c:lineChart>
      <c:dateAx>
        <c:axId val="209215835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78480"/>
        <c:crosses val="autoZero"/>
        <c:auto val="1"/>
        <c:lblOffset val="0"/>
        <c:baseTimeUnit val="months"/>
        <c:majorUnit val="12"/>
        <c:majorTimeUnit val="months"/>
      </c:dateAx>
      <c:valAx>
        <c:axId val="2092178480"/>
        <c:scaling>
          <c:orientation val="minMax"/>
          <c:max val="130"/>
          <c:min val="7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58352"/>
        <c:crosses val="autoZero"/>
        <c:crossBetween val="midCat"/>
        <c:majorUnit val="1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649424030329543"/>
          <c:y val="8.7437669376693755E-2"/>
          <c:w val="0.82463728492271804"/>
          <c:h val="0.59909823848238486"/>
        </c:manualLayout>
      </c:layout>
      <c:barChart>
        <c:barDir val="col"/>
        <c:grouping val="clustered"/>
        <c:varyColors val="0"/>
        <c:ser>
          <c:idx val="1"/>
          <c:order val="1"/>
          <c:tx>
            <c:strRef>
              <c:f>'BDV usluga_dsz'!$G$11</c:f>
              <c:strCache>
                <c:ptCount val="1"/>
                <c:pt idx="0">
                  <c:v>Укупно</c:v>
                </c:pt>
              </c:strCache>
            </c:strRef>
          </c:tx>
          <c:spPr>
            <a:solidFill>
              <a:srgbClr val="002010"/>
            </a:solidFill>
            <a:ln w="19050">
              <a:noFill/>
            </a:ln>
            <a:effectLst/>
          </c:spPr>
          <c:invertIfNegative val="0"/>
          <c:cat>
            <c:strRef>
              <c:f>'BDV usluga_dsz'!$D$18:$D$31</c:f>
              <c:strCache>
                <c:ptCount val="13"/>
                <c:pt idx="0">
                  <c:v>2022 Q1</c:v>
                </c:pt>
                <c:pt idx="1">
                  <c:v>Q2</c:v>
                </c:pt>
                <c:pt idx="2">
                  <c:v>Q3</c:v>
                </c:pt>
                <c:pt idx="3">
                  <c:v>Q4</c:v>
                </c:pt>
                <c:pt idx="4">
                  <c:v>2023 Q1</c:v>
                </c:pt>
                <c:pt idx="5">
                  <c:v>Q2</c:v>
                </c:pt>
                <c:pt idx="6">
                  <c:v>Q3</c:v>
                </c:pt>
                <c:pt idx="7">
                  <c:v>Q4</c:v>
                </c:pt>
                <c:pt idx="8">
                  <c:v>2024 Q1</c:v>
                </c:pt>
                <c:pt idx="10">
                  <c:v>Укупно</c:v>
                </c:pt>
                <c:pt idx="11">
                  <c:v>Зграде</c:v>
                </c:pt>
                <c:pt idx="12">
                  <c:v>Ост. грађ.</c:v>
                </c:pt>
              </c:strCache>
            </c:strRef>
          </c:cat>
          <c:val>
            <c:numRef>
              <c:f>'BDV usluga_dsz'!$G$18:$G$31</c:f>
              <c:numCache>
                <c:formatCode>0.0</c:formatCode>
                <c:ptCount val="14"/>
                <c:pt idx="0">
                  <c:v>66.036036036036037</c:v>
                </c:pt>
                <c:pt idx="1">
                  <c:v>82.882882882882882</c:v>
                </c:pt>
                <c:pt idx="2">
                  <c:v>93.603603603603617</c:v>
                </c:pt>
                <c:pt idx="3">
                  <c:v>115.5855855855856</c:v>
                </c:pt>
                <c:pt idx="4">
                  <c:v>65.675675675675677</c:v>
                </c:pt>
                <c:pt idx="5">
                  <c:v>97.387387387387378</c:v>
                </c:pt>
                <c:pt idx="6">
                  <c:v>108.55855855855856</c:v>
                </c:pt>
                <c:pt idx="7">
                  <c:v>128.37837837837839</c:v>
                </c:pt>
                <c:pt idx="8">
                  <c:v>77.8</c:v>
                </c:pt>
              </c:numCache>
            </c:numRef>
          </c:val>
          <c:extLst>
            <c:ext xmlns:c16="http://schemas.microsoft.com/office/drawing/2014/chart" uri="{C3380CC4-5D6E-409C-BE32-E72D297353CC}">
              <c16:uniqueId val="{00000000-681D-4B45-A5C3-638663C07B01}"/>
            </c:ext>
          </c:extLst>
        </c:ser>
        <c:ser>
          <c:idx val="2"/>
          <c:order val="2"/>
          <c:tx>
            <c:strRef>
              <c:f>'BDV usluga_dsz'!$H$11</c:f>
              <c:strCache>
                <c:ptCount val="1"/>
                <c:pt idx="0">
                  <c:v>Зграде</c:v>
                </c:pt>
              </c:strCache>
            </c:strRef>
          </c:tx>
          <c:spPr>
            <a:solidFill>
              <a:srgbClr val="EC008C"/>
            </a:solidFill>
            <a:ln w="19050">
              <a:noFill/>
            </a:ln>
            <a:effectLst/>
          </c:spPr>
          <c:invertIfNegative val="0"/>
          <c:cat>
            <c:strRef>
              <c:f>'BDV usluga_dsz'!$D$18:$D$31</c:f>
              <c:strCache>
                <c:ptCount val="13"/>
                <c:pt idx="0">
                  <c:v>2022 Q1</c:v>
                </c:pt>
                <c:pt idx="1">
                  <c:v>Q2</c:v>
                </c:pt>
                <c:pt idx="2">
                  <c:v>Q3</c:v>
                </c:pt>
                <c:pt idx="3">
                  <c:v>Q4</c:v>
                </c:pt>
                <c:pt idx="4">
                  <c:v>2023 Q1</c:v>
                </c:pt>
                <c:pt idx="5">
                  <c:v>Q2</c:v>
                </c:pt>
                <c:pt idx="6">
                  <c:v>Q3</c:v>
                </c:pt>
                <c:pt idx="7">
                  <c:v>Q4</c:v>
                </c:pt>
                <c:pt idx="8">
                  <c:v>2024 Q1</c:v>
                </c:pt>
                <c:pt idx="10">
                  <c:v>Укупно</c:v>
                </c:pt>
                <c:pt idx="11">
                  <c:v>Зграде</c:v>
                </c:pt>
                <c:pt idx="12">
                  <c:v>Ост. грађ.</c:v>
                </c:pt>
              </c:strCache>
            </c:strRef>
          </c:cat>
          <c:val>
            <c:numRef>
              <c:f>'BDV usluga_dsz'!$H$18:$H$31</c:f>
              <c:numCache>
                <c:formatCode>0.0</c:formatCode>
                <c:ptCount val="14"/>
                <c:pt idx="0">
                  <c:v>82.914315033350434</c:v>
                </c:pt>
                <c:pt idx="1">
                  <c:v>94.817855310415595</c:v>
                </c:pt>
                <c:pt idx="2">
                  <c:v>97.383273473576196</c:v>
                </c:pt>
                <c:pt idx="3">
                  <c:v>133.40174448435093</c:v>
                </c:pt>
                <c:pt idx="4">
                  <c:v>65.469471523858374</c:v>
                </c:pt>
                <c:pt idx="5">
                  <c:v>105.38737814263726</c:v>
                </c:pt>
                <c:pt idx="6">
                  <c:v>101.07747562852745</c:v>
                </c:pt>
                <c:pt idx="7">
                  <c:v>128.06567470497689</c:v>
                </c:pt>
                <c:pt idx="8">
                  <c:v>71.599999999999994</c:v>
                </c:pt>
              </c:numCache>
            </c:numRef>
          </c:val>
          <c:extLst>
            <c:ext xmlns:c16="http://schemas.microsoft.com/office/drawing/2014/chart" uri="{C3380CC4-5D6E-409C-BE32-E72D297353CC}">
              <c16:uniqueId val="{00000001-681D-4B45-A5C3-638663C07B01}"/>
            </c:ext>
          </c:extLst>
        </c:ser>
        <c:ser>
          <c:idx val="5"/>
          <c:order val="3"/>
          <c:tx>
            <c:strRef>
              <c:f>'BDV usluga_dsz'!$I$11</c:f>
              <c:strCache>
                <c:ptCount val="1"/>
                <c:pt idx="0">
                  <c:v>Остале грађевине</c:v>
                </c:pt>
              </c:strCache>
            </c:strRef>
          </c:tx>
          <c:spPr>
            <a:solidFill>
              <a:srgbClr val="00A651"/>
            </a:solidFill>
            <a:ln w="22225">
              <a:noFill/>
            </a:ln>
            <a:effectLst/>
          </c:spPr>
          <c:invertIfNegative val="0"/>
          <c:cat>
            <c:strRef>
              <c:f>'BDV usluga_dsz'!$D$18:$D$31</c:f>
              <c:strCache>
                <c:ptCount val="13"/>
                <c:pt idx="0">
                  <c:v>2022 Q1</c:v>
                </c:pt>
                <c:pt idx="1">
                  <c:v>Q2</c:v>
                </c:pt>
                <c:pt idx="2">
                  <c:v>Q3</c:v>
                </c:pt>
                <c:pt idx="3">
                  <c:v>Q4</c:v>
                </c:pt>
                <c:pt idx="4">
                  <c:v>2023 Q1</c:v>
                </c:pt>
                <c:pt idx="5">
                  <c:v>Q2</c:v>
                </c:pt>
                <c:pt idx="6">
                  <c:v>Q3</c:v>
                </c:pt>
                <c:pt idx="7">
                  <c:v>Q4</c:v>
                </c:pt>
                <c:pt idx="8">
                  <c:v>2024 Q1</c:v>
                </c:pt>
                <c:pt idx="10">
                  <c:v>Укупно</c:v>
                </c:pt>
                <c:pt idx="11">
                  <c:v>Зграде</c:v>
                </c:pt>
                <c:pt idx="12">
                  <c:v>Ост. грађ.</c:v>
                </c:pt>
              </c:strCache>
            </c:strRef>
          </c:cat>
          <c:val>
            <c:numRef>
              <c:f>'BDV usluga_dsz'!$I$18:$I$31</c:f>
              <c:numCache>
                <c:formatCode>0.0</c:formatCode>
                <c:ptCount val="14"/>
                <c:pt idx="0">
                  <c:v>57.874842503149949</c:v>
                </c:pt>
                <c:pt idx="1">
                  <c:v>77.026459470810593</c:v>
                </c:pt>
                <c:pt idx="2">
                  <c:v>91.726165476690468</c:v>
                </c:pt>
                <c:pt idx="3">
                  <c:v>106.84586308273836</c:v>
                </c:pt>
                <c:pt idx="4">
                  <c:v>65.770684586308263</c:v>
                </c:pt>
                <c:pt idx="5">
                  <c:v>93.574128517429656</c:v>
                </c:pt>
                <c:pt idx="6">
                  <c:v>112.13775724485511</c:v>
                </c:pt>
                <c:pt idx="7">
                  <c:v>128.51742965140699</c:v>
                </c:pt>
                <c:pt idx="8">
                  <c:v>80.900000000000006</c:v>
                </c:pt>
              </c:numCache>
            </c:numRef>
          </c:val>
          <c:extLst>
            <c:ext xmlns:c16="http://schemas.microsoft.com/office/drawing/2014/chart" uri="{C3380CC4-5D6E-409C-BE32-E72D297353CC}">
              <c16:uniqueId val="{00000002-681D-4B45-A5C3-638663C07B01}"/>
            </c:ext>
          </c:extLst>
        </c:ser>
        <c:dLbls>
          <c:showLegendKey val="0"/>
          <c:showVal val="0"/>
          <c:showCatName val="0"/>
          <c:showSerName val="0"/>
          <c:showPercent val="0"/>
          <c:showBubbleSize val="0"/>
        </c:dLbls>
        <c:gapWidth val="80"/>
        <c:axId val="429350464"/>
        <c:axId val="429347552"/>
      </c:barChart>
      <c:barChart>
        <c:barDir val="col"/>
        <c:grouping val="clustered"/>
        <c:varyColors val="0"/>
        <c:ser>
          <c:idx val="3"/>
          <c:order val="4"/>
          <c:tx>
            <c:strRef>
              <c:f>'BDV usluga_dsz'!$J$11</c:f>
              <c:strCache>
                <c:ptCount val="1"/>
                <c:pt idx="0">
                  <c:v>Q1 2024/Q1 2023 (десна скала)</c:v>
                </c:pt>
              </c:strCache>
            </c:strRef>
          </c:tx>
          <c:spPr>
            <a:solidFill>
              <a:schemeClr val="accent4"/>
            </a:solidFill>
            <a:ln>
              <a:noFill/>
            </a:ln>
            <a:effectLst/>
          </c:spPr>
          <c:invertIfNegative val="0"/>
          <c:dPt>
            <c:idx val="10"/>
            <c:invertIfNegative val="0"/>
            <c:bubble3D val="0"/>
            <c:spPr>
              <a:solidFill>
                <a:srgbClr val="002010"/>
              </a:solidFill>
              <a:ln>
                <a:noFill/>
              </a:ln>
              <a:effectLst/>
            </c:spPr>
            <c:extLst>
              <c:ext xmlns:c16="http://schemas.microsoft.com/office/drawing/2014/chart" uri="{C3380CC4-5D6E-409C-BE32-E72D297353CC}">
                <c16:uniqueId val="{00000004-681D-4B45-A5C3-638663C07B01}"/>
              </c:ext>
            </c:extLst>
          </c:dPt>
          <c:dPt>
            <c:idx val="11"/>
            <c:invertIfNegative val="0"/>
            <c:bubble3D val="0"/>
            <c:spPr>
              <a:solidFill>
                <a:srgbClr val="EC008C"/>
              </a:solidFill>
              <a:ln>
                <a:noFill/>
              </a:ln>
              <a:effectLst/>
            </c:spPr>
            <c:extLst>
              <c:ext xmlns:c16="http://schemas.microsoft.com/office/drawing/2014/chart" uri="{C3380CC4-5D6E-409C-BE32-E72D297353CC}">
                <c16:uniqueId val="{00000006-681D-4B45-A5C3-638663C07B01}"/>
              </c:ext>
            </c:extLst>
          </c:dPt>
          <c:dPt>
            <c:idx val="12"/>
            <c:invertIfNegative val="0"/>
            <c:bubble3D val="0"/>
            <c:spPr>
              <a:solidFill>
                <a:srgbClr val="00A651"/>
              </a:solidFill>
              <a:ln>
                <a:noFill/>
              </a:ln>
              <a:effectLst/>
            </c:spPr>
            <c:extLst>
              <c:ext xmlns:c16="http://schemas.microsoft.com/office/drawing/2014/chart" uri="{C3380CC4-5D6E-409C-BE32-E72D297353CC}">
                <c16:uniqueId val="{00000008-681D-4B45-A5C3-638663C07B01}"/>
              </c:ext>
            </c:extLst>
          </c:dPt>
          <c:dLbls>
            <c:dLbl>
              <c:idx val="10"/>
              <c:spPr>
                <a:noFill/>
                <a:ln>
                  <a:noFill/>
                </a:ln>
                <a:effectLst/>
              </c:spPr>
              <c:txPr>
                <a:bodyPr rot="0" spcFirstLastPara="1" vertOverflow="ellipsis" vert="horz" wrap="square" anchor="ctr" anchorCtr="1"/>
                <a:lstStyle/>
                <a:p>
                  <a:pPr>
                    <a:defRPr sz="700" b="0" i="0" u="none" strike="noStrike" kern="1200" baseline="0">
                      <a:solidFill>
                        <a:srgbClr val="002010"/>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4-681D-4B45-A5C3-638663C07B01}"/>
                </c:ext>
              </c:extLst>
            </c:dLbl>
            <c:dLbl>
              <c:idx val="11"/>
              <c:spPr>
                <a:noFill/>
                <a:ln>
                  <a:noFill/>
                </a:ln>
                <a:effectLst/>
              </c:spPr>
              <c:txPr>
                <a:bodyPr rot="0" spcFirstLastPara="1" vertOverflow="ellipsis" vert="horz" wrap="square" anchor="ctr" anchorCtr="1"/>
                <a:lstStyle/>
                <a:p>
                  <a:pPr>
                    <a:defRPr sz="700" b="0" i="0" u="none" strike="noStrike" kern="1200" baseline="0">
                      <a:solidFill>
                        <a:srgbClr val="EC008C"/>
                      </a:solidFill>
                      <a:latin typeface="+mn-lt"/>
                      <a:ea typeface="+mn-ea"/>
                      <a:cs typeface="+mn-cs"/>
                    </a:defRPr>
                  </a:pPr>
                  <a:endParaRPr lang="sr-Latn-RS"/>
                </a:p>
              </c:txPr>
              <c:showLegendKey val="0"/>
              <c:showVal val="1"/>
              <c:showCatName val="0"/>
              <c:showSerName val="0"/>
              <c:showPercent val="0"/>
              <c:showBubbleSize val="0"/>
              <c:extLst>
                <c:ext xmlns:c16="http://schemas.microsoft.com/office/drawing/2014/chart" uri="{C3380CC4-5D6E-409C-BE32-E72D297353CC}">
                  <c16:uniqueId val="{00000006-681D-4B45-A5C3-638663C07B01}"/>
                </c:ext>
              </c:extLst>
            </c:dLbl>
            <c:dLbl>
              <c:idx val="12"/>
              <c:layout>
                <c:manualLayout>
                  <c:x val="0"/>
                  <c:y val="1.7208672086720868E-2"/>
                </c:manualLayout>
              </c:layout>
              <c:spPr>
                <a:noFill/>
                <a:ln>
                  <a:noFill/>
                </a:ln>
                <a:effectLst/>
              </c:spPr>
              <c:txPr>
                <a:bodyPr rot="0" spcFirstLastPara="1" vertOverflow="ellipsis" vert="horz" wrap="square" anchor="ctr" anchorCtr="1"/>
                <a:lstStyle/>
                <a:p>
                  <a:pPr>
                    <a:defRPr sz="700" b="0" i="0" u="none" strike="noStrike" kern="1200" baseline="0">
                      <a:solidFill>
                        <a:srgbClr val="00A651"/>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81D-4B45-A5C3-638663C07B01}"/>
                </c:ext>
              </c:extLst>
            </c:dLbl>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'BDV usluga_dsz'!$D$18:$D$31</c:f>
              <c:strCache>
                <c:ptCount val="13"/>
                <c:pt idx="0">
                  <c:v>2022 Q1</c:v>
                </c:pt>
                <c:pt idx="1">
                  <c:v>Q2</c:v>
                </c:pt>
                <c:pt idx="2">
                  <c:v>Q3</c:v>
                </c:pt>
                <c:pt idx="3">
                  <c:v>Q4</c:v>
                </c:pt>
                <c:pt idx="4">
                  <c:v>2023 Q1</c:v>
                </c:pt>
                <c:pt idx="5">
                  <c:v>Q2</c:v>
                </c:pt>
                <c:pt idx="6">
                  <c:v>Q3</c:v>
                </c:pt>
                <c:pt idx="7">
                  <c:v>Q4</c:v>
                </c:pt>
                <c:pt idx="8">
                  <c:v>2024 Q1</c:v>
                </c:pt>
                <c:pt idx="10">
                  <c:v>Укупно</c:v>
                </c:pt>
                <c:pt idx="11">
                  <c:v>Зграде</c:v>
                </c:pt>
                <c:pt idx="12">
                  <c:v>Ост. грађ.</c:v>
                </c:pt>
              </c:strCache>
            </c:strRef>
          </c:cat>
          <c:val>
            <c:numRef>
              <c:f>'BDV usluga_dsz'!$J$18:$J$31</c:f>
              <c:numCache>
                <c:formatCode>General</c:formatCode>
                <c:ptCount val="14"/>
                <c:pt idx="10" formatCode="0.0">
                  <c:v>118.3</c:v>
                </c:pt>
                <c:pt idx="11" formatCode="0.0">
                  <c:v>108.3</c:v>
                </c:pt>
                <c:pt idx="12" formatCode="0.0">
                  <c:v>123.3</c:v>
                </c:pt>
              </c:numCache>
            </c:numRef>
          </c:val>
          <c:extLst>
            <c:ext xmlns:c16="http://schemas.microsoft.com/office/drawing/2014/chart" uri="{C3380CC4-5D6E-409C-BE32-E72D297353CC}">
              <c16:uniqueId val="{00000009-681D-4B45-A5C3-638663C07B01}"/>
            </c:ext>
          </c:extLst>
        </c:ser>
        <c:dLbls>
          <c:showLegendKey val="0"/>
          <c:showVal val="0"/>
          <c:showCatName val="0"/>
          <c:showSerName val="0"/>
          <c:showPercent val="0"/>
          <c:showBubbleSize val="0"/>
        </c:dLbls>
        <c:gapWidth val="30"/>
        <c:axId val="1942004127"/>
        <c:axId val="1941994975"/>
      </c:barChart>
      <c:lineChart>
        <c:grouping val="standard"/>
        <c:varyColors val="0"/>
        <c:ser>
          <c:idx val="0"/>
          <c:order val="0"/>
          <c:tx>
            <c:strRef>
              <c:f>'BDV usluga_dsz'!$F$11</c:f>
              <c:strCache>
                <c:ptCount val="1"/>
                <c:pt idx="0">
                  <c:v>100</c:v>
                </c:pt>
              </c:strCache>
            </c:strRef>
          </c:tx>
          <c:spPr>
            <a:ln w="6350" cap="rnd">
              <a:solidFill>
                <a:sysClr val="windowText" lastClr="000000"/>
              </a:solidFill>
              <a:round/>
            </a:ln>
            <a:effectLst/>
          </c:spPr>
          <c:marker>
            <c:symbol val="none"/>
          </c:marker>
          <c:cat>
            <c:strRef>
              <c:f>'BDV usluga_dsz'!$D$18:$D$31</c:f>
              <c:strCache>
                <c:ptCount val="13"/>
                <c:pt idx="0">
                  <c:v>2022 Q1</c:v>
                </c:pt>
                <c:pt idx="1">
                  <c:v>Q2</c:v>
                </c:pt>
                <c:pt idx="2">
                  <c:v>Q3</c:v>
                </c:pt>
                <c:pt idx="3">
                  <c:v>Q4</c:v>
                </c:pt>
                <c:pt idx="4">
                  <c:v>2023 Q1</c:v>
                </c:pt>
                <c:pt idx="5">
                  <c:v>Q2</c:v>
                </c:pt>
                <c:pt idx="6">
                  <c:v>Q3</c:v>
                </c:pt>
                <c:pt idx="7">
                  <c:v>Q4</c:v>
                </c:pt>
                <c:pt idx="8">
                  <c:v>2024 Q1</c:v>
                </c:pt>
                <c:pt idx="10">
                  <c:v>Укупно</c:v>
                </c:pt>
                <c:pt idx="11">
                  <c:v>Зграде</c:v>
                </c:pt>
                <c:pt idx="12">
                  <c:v>Ост. грађ.</c:v>
                </c:pt>
              </c:strCache>
            </c:strRef>
          </c:cat>
          <c:val>
            <c:numRef>
              <c:f>'BDV usluga_dsz'!$F$18:$F$31</c:f>
              <c:numCache>
                <c:formatCode>0</c:formatCode>
                <c:ptCount val="14"/>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numCache>
            </c:numRef>
          </c:val>
          <c:smooth val="0"/>
          <c:extLst>
            <c:ext xmlns:c16="http://schemas.microsoft.com/office/drawing/2014/chart" uri="{C3380CC4-5D6E-409C-BE32-E72D297353CC}">
              <c16:uniqueId val="{0000000A-681D-4B45-A5C3-638663C07B01}"/>
            </c:ext>
          </c:extLst>
        </c:ser>
        <c:dLbls>
          <c:showLegendKey val="0"/>
          <c:showVal val="0"/>
          <c:showCatName val="0"/>
          <c:showSerName val="0"/>
          <c:showPercent val="0"/>
          <c:showBubbleSize val="0"/>
        </c:dLbls>
        <c:marker val="1"/>
        <c:smooth val="0"/>
        <c:axId val="429350464"/>
        <c:axId val="429347552"/>
      </c:lineChart>
      <c:catAx>
        <c:axId val="4293504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700" b="0" i="0" u="none" strike="noStrike" kern="1200" baseline="0">
                <a:solidFill>
                  <a:schemeClr val="tx2"/>
                </a:solidFill>
                <a:latin typeface="+mn-lt"/>
                <a:ea typeface="+mn-ea"/>
                <a:cs typeface="+mn-cs"/>
              </a:defRPr>
            </a:pPr>
            <a:endParaRPr lang="sr-Latn-RS"/>
          </a:p>
        </c:txPr>
        <c:crossAx val="429347552"/>
        <c:crosses val="autoZero"/>
        <c:auto val="1"/>
        <c:lblAlgn val="ctr"/>
        <c:lblOffset val="0"/>
        <c:tickLblSkip val="1"/>
        <c:noMultiLvlLbl val="1"/>
      </c:catAx>
      <c:valAx>
        <c:axId val="429347552"/>
        <c:scaling>
          <c:orientation val="minMax"/>
          <c:min val="40"/>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a:t>Индекси, </a:t>
                </a:r>
                <a:r>
                  <a:rPr lang="en-GB"/>
                  <a:t>Ø2023=100</a:t>
                </a:r>
              </a:p>
            </c:rich>
          </c:tx>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429350464"/>
        <c:crosses val="autoZero"/>
        <c:crossBetween val="between"/>
        <c:majorUnit val="20"/>
      </c:valAx>
      <c:valAx>
        <c:axId val="1941994975"/>
        <c:scaling>
          <c:orientation val="minMax"/>
          <c:max val="160"/>
          <c:min val="40"/>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crossAx val="1942004127"/>
        <c:crosses val="max"/>
        <c:crossBetween val="between"/>
        <c:majorUnit val="20"/>
      </c:valAx>
      <c:catAx>
        <c:axId val="1942004127"/>
        <c:scaling>
          <c:orientation val="minMax"/>
        </c:scaling>
        <c:delete val="1"/>
        <c:axPos val="b"/>
        <c:numFmt formatCode="General" sourceLinked="1"/>
        <c:majorTickMark val="out"/>
        <c:minorTickMark val="none"/>
        <c:tickLblPos val="nextTo"/>
        <c:crossAx val="1941994975"/>
        <c:crosses val="autoZero"/>
        <c:auto val="1"/>
        <c:lblAlgn val="ctr"/>
        <c:lblOffset val="100"/>
        <c:noMultiLvlLbl val="0"/>
      </c:catAx>
      <c:spPr>
        <a:noFill/>
        <a:ln>
          <a:noFill/>
        </a:ln>
        <a:effectLst/>
      </c:spPr>
    </c:plotArea>
    <c:legend>
      <c:legendPos val="b"/>
      <c:legendEntry>
        <c:idx val="3"/>
        <c:delete val="1"/>
      </c:legendEntry>
      <c:legendEntry>
        <c:idx val="4"/>
        <c:delete val="1"/>
      </c:legendEntry>
      <c:layout>
        <c:manualLayout>
          <c:xMode val="edge"/>
          <c:yMode val="edge"/>
          <c:x val="7.5787037037037042E-2"/>
          <c:y val="0.92302439024390248"/>
          <c:w val="0.82630577427821528"/>
          <c:h val="7.0806233062330637E-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00">
          <a:solidFill>
            <a:schemeClr val="tx2"/>
          </a:solidFill>
        </a:defRPr>
      </a:pPr>
      <a:endParaRPr lang="sr-Latn-RS"/>
    </a:p>
  </c:txPr>
  <c:externalData r:id="rId4">
    <c:autoUpdate val="0"/>
  </c:externalData>
  <c:userShapes r:id="rId5"/>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4.2497000239980799E-2"/>
          <c:w val="0.88461960155100949"/>
          <c:h val="0.84012087087087106"/>
        </c:manualLayout>
      </c:layout>
      <c:lineChart>
        <c:grouping val="standard"/>
        <c:varyColors val="0"/>
        <c:ser>
          <c:idx val="0"/>
          <c:order val="0"/>
          <c:tx>
            <c:strRef>
              <c:f>Usluge!$E$5</c:f>
              <c:strCache>
                <c:ptCount val="1"/>
                <c:pt idx="0">
                  <c:v>y</c:v>
                </c:pt>
              </c:strCache>
            </c:strRef>
          </c:tx>
          <c:spPr>
            <a:ln w="12700" cap="rnd">
              <a:solidFill>
                <a:srgbClr val="7F3F98"/>
              </a:solidFill>
              <a:prstDash val="sysDash"/>
              <a:round/>
            </a:ln>
            <a:effectLst/>
          </c:spPr>
          <c:marker>
            <c:symbol val="none"/>
          </c:marker>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Usluge!$E$150:$E$189</c:f>
              <c:numCache>
                <c:formatCode>0.0</c:formatCode>
                <c:ptCount val="40"/>
                <c:pt idx="0">
                  <c:v>80.789410625000002</c:v>
                </c:pt>
                <c:pt idx="1">
                  <c:v>79.463020639999996</c:v>
                </c:pt>
                <c:pt idx="2">
                  <c:v>88.138167358999993</c:v>
                </c:pt>
                <c:pt idx="3">
                  <c:v>96.133309577000006</c:v>
                </c:pt>
                <c:pt idx="4">
                  <c:v>96.590212512999997</c:v>
                </c:pt>
                <c:pt idx="5">
                  <c:v>99.383530497999999</c:v>
                </c:pt>
                <c:pt idx="6">
                  <c:v>102.262921988</c:v>
                </c:pt>
                <c:pt idx="7">
                  <c:v>101.21322044999999</c:v>
                </c:pt>
                <c:pt idx="8">
                  <c:v>96.501560611000002</c:v>
                </c:pt>
                <c:pt idx="9">
                  <c:v>101.61476284699999</c:v>
                </c:pt>
                <c:pt idx="10">
                  <c:v>100.013267924</c:v>
                </c:pt>
                <c:pt idx="11">
                  <c:v>109.694850485</c:v>
                </c:pt>
                <c:pt idx="12">
                  <c:v>85.569490203000001</c:v>
                </c:pt>
                <c:pt idx="13">
                  <c:v>87.017313845999993</c:v>
                </c:pt>
                <c:pt idx="14">
                  <c:v>105.407171069</c:v>
                </c:pt>
                <c:pt idx="15">
                  <c:v>103.493950837</c:v>
                </c:pt>
                <c:pt idx="16">
                  <c:v>103.596278798</c:v>
                </c:pt>
                <c:pt idx="17">
                  <c:v>104.51723044800001</c:v>
                </c:pt>
                <c:pt idx="18">
                  <c:v>107.183281245</c:v>
                </c:pt>
                <c:pt idx="19">
                  <c:v>105.730200415</c:v>
                </c:pt>
                <c:pt idx="20">
                  <c:v>102.18396651099999</c:v>
                </c:pt>
                <c:pt idx="21">
                  <c:v>106.605745359</c:v>
                </c:pt>
                <c:pt idx="22">
                  <c:v>101.59167526500001</c:v>
                </c:pt>
                <c:pt idx="23">
                  <c:v>110.41187004299999</c:v>
                </c:pt>
                <c:pt idx="24">
                  <c:v>87.695062676000006</c:v>
                </c:pt>
                <c:pt idx="25">
                  <c:v>84.191176471000006</c:v>
                </c:pt>
                <c:pt idx="26">
                  <c:v>96.341463415000007</c:v>
                </c:pt>
                <c:pt idx="27">
                  <c:v>97.620874904000004</c:v>
                </c:pt>
                <c:pt idx="28">
                  <c:v>97.620874904000004</c:v>
                </c:pt>
                <c:pt idx="29">
                  <c:v>98.644154514999997</c:v>
                </c:pt>
                <c:pt idx="30">
                  <c:v>104.06753645400001</c:v>
                </c:pt>
                <c:pt idx="31">
                  <c:v>104.476848299</c:v>
                </c:pt>
                <c:pt idx="32">
                  <c:v>102.12330519299999</c:v>
                </c:pt>
                <c:pt idx="33">
                  <c:v>106.932719366</c:v>
                </c:pt>
                <c:pt idx="34">
                  <c:v>105.602455871</c:v>
                </c:pt>
                <c:pt idx="35">
                  <c:v>114.40266052699999</c:v>
                </c:pt>
                <c:pt idx="36">
                  <c:v>91.855893445000007</c:v>
                </c:pt>
                <c:pt idx="37">
                  <c:v>92.048463451999993</c:v>
                </c:pt>
                <c:pt idx="38">
                  <c:v>103.121238867</c:v>
                </c:pt>
                <c:pt idx="39">
                  <c:v>108.6</c:v>
                </c:pt>
              </c:numCache>
            </c:numRef>
          </c:val>
          <c:smooth val="0"/>
          <c:extLst>
            <c:ext xmlns:c16="http://schemas.microsoft.com/office/drawing/2014/chart" uri="{C3380CC4-5D6E-409C-BE32-E72D297353CC}">
              <c16:uniqueId val="{00000000-7FDC-4D3F-B7D9-6C39D3BCEE77}"/>
            </c:ext>
          </c:extLst>
        </c:ser>
        <c:ser>
          <c:idx val="1"/>
          <c:order val="1"/>
          <c:tx>
            <c:strRef>
              <c:f>Usluge!$F$5</c:f>
              <c:strCache>
                <c:ptCount val="1"/>
                <c:pt idx="0">
                  <c:v>sa</c:v>
                </c:pt>
              </c:strCache>
            </c:strRef>
          </c:tx>
          <c:spPr>
            <a:ln w="22225" cap="rnd">
              <a:solidFill>
                <a:srgbClr val="25AAE1"/>
              </a:solidFill>
              <a:round/>
            </a:ln>
            <a:effectLst/>
          </c:spPr>
          <c:marker>
            <c:symbol val="none"/>
          </c:marker>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Usluge!$F$150:$F$189</c:f>
              <c:numCache>
                <c:formatCode>0.0</c:formatCode>
                <c:ptCount val="40"/>
                <c:pt idx="0">
                  <c:v>92.296674140999997</c:v>
                </c:pt>
                <c:pt idx="1">
                  <c:v>93.835758619999993</c:v>
                </c:pt>
                <c:pt idx="2">
                  <c:v>90.617168765000002</c:v>
                </c:pt>
                <c:pt idx="3">
                  <c:v>95.339280454999994</c:v>
                </c:pt>
                <c:pt idx="4">
                  <c:v>97.416577132</c:v>
                </c:pt>
                <c:pt idx="5">
                  <c:v>97.651645598000002</c:v>
                </c:pt>
                <c:pt idx="6">
                  <c:v>96.993023067999999</c:v>
                </c:pt>
                <c:pt idx="7">
                  <c:v>97.563554408000002</c:v>
                </c:pt>
                <c:pt idx="8">
                  <c:v>95.778586122999997</c:v>
                </c:pt>
                <c:pt idx="9">
                  <c:v>96.588578025999993</c:v>
                </c:pt>
                <c:pt idx="10">
                  <c:v>98.685593902999997</c:v>
                </c:pt>
                <c:pt idx="11">
                  <c:v>99.213979062999996</c:v>
                </c:pt>
                <c:pt idx="12">
                  <c:v>98.294629266000001</c:v>
                </c:pt>
                <c:pt idx="13">
                  <c:v>102.42585736300001</c:v>
                </c:pt>
                <c:pt idx="14">
                  <c:v>108.07026340100001</c:v>
                </c:pt>
                <c:pt idx="15">
                  <c:v>102.169389889</c:v>
                </c:pt>
                <c:pt idx="16">
                  <c:v>103.260305902</c:v>
                </c:pt>
                <c:pt idx="17">
                  <c:v>102.752978609</c:v>
                </c:pt>
                <c:pt idx="18">
                  <c:v>102.776366479</c:v>
                </c:pt>
                <c:pt idx="19">
                  <c:v>101.014187678</c:v>
                </c:pt>
                <c:pt idx="20">
                  <c:v>101.47581447</c:v>
                </c:pt>
                <c:pt idx="21">
                  <c:v>101.386378181</c:v>
                </c:pt>
                <c:pt idx="22">
                  <c:v>100.147118384</c:v>
                </c:pt>
                <c:pt idx="23">
                  <c:v>99.256296466999999</c:v>
                </c:pt>
                <c:pt idx="24">
                  <c:v>100.033407638</c:v>
                </c:pt>
                <c:pt idx="25">
                  <c:v>99.017776635999994</c:v>
                </c:pt>
                <c:pt idx="26">
                  <c:v>98.388321017999999</c:v>
                </c:pt>
                <c:pt idx="27">
                  <c:v>97.627107644999995</c:v>
                </c:pt>
                <c:pt idx="28">
                  <c:v>97.398023456999994</c:v>
                </c:pt>
                <c:pt idx="29">
                  <c:v>96.976083512000002</c:v>
                </c:pt>
                <c:pt idx="30">
                  <c:v>99.753247528000003</c:v>
                </c:pt>
                <c:pt idx="31">
                  <c:v>99.981906652000006</c:v>
                </c:pt>
                <c:pt idx="32">
                  <c:v>101.043586831</c:v>
                </c:pt>
                <c:pt idx="33">
                  <c:v>102.31925671800001</c:v>
                </c:pt>
                <c:pt idx="34">
                  <c:v>103.779801664</c:v>
                </c:pt>
                <c:pt idx="35">
                  <c:v>104.221770595</c:v>
                </c:pt>
                <c:pt idx="36">
                  <c:v>103.451240017</c:v>
                </c:pt>
                <c:pt idx="37">
                  <c:v>104.332866735</c:v>
                </c:pt>
                <c:pt idx="38">
                  <c:v>105.806892291</c:v>
                </c:pt>
                <c:pt idx="39">
                  <c:v>107.160731443</c:v>
                </c:pt>
              </c:numCache>
            </c:numRef>
          </c:val>
          <c:smooth val="0"/>
          <c:extLst>
            <c:ext xmlns:c16="http://schemas.microsoft.com/office/drawing/2014/chart" uri="{C3380CC4-5D6E-409C-BE32-E72D297353CC}">
              <c16:uniqueId val="{00000001-7FDC-4D3F-B7D9-6C39D3BCEE77}"/>
            </c:ext>
          </c:extLst>
        </c:ser>
        <c:ser>
          <c:idx val="2"/>
          <c:order val="2"/>
          <c:tx>
            <c:strRef>
              <c:f>Usluge!$G$5</c:f>
              <c:strCache>
                <c:ptCount val="1"/>
                <c:pt idx="0">
                  <c:v>t</c:v>
                </c:pt>
              </c:strCache>
            </c:strRef>
          </c:tx>
          <c:spPr>
            <a:ln w="25400" cap="rnd">
              <a:solidFill>
                <a:srgbClr val="FF0000"/>
              </a:solidFill>
              <a:round/>
            </a:ln>
            <a:effectLst/>
          </c:spPr>
          <c:marker>
            <c:symbol val="none"/>
          </c:marker>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Usluge!$G$150:$G$189</c:f>
              <c:numCache>
                <c:formatCode>0.0</c:formatCode>
                <c:ptCount val="40"/>
                <c:pt idx="0">
                  <c:v>92.394099011999998</c:v>
                </c:pt>
                <c:pt idx="1">
                  <c:v>93.348903742999994</c:v>
                </c:pt>
                <c:pt idx="2">
                  <c:v>94.538148731000007</c:v>
                </c:pt>
                <c:pt idx="3">
                  <c:v>95.705238635000001</c:v>
                </c:pt>
                <c:pt idx="4">
                  <c:v>96.547805413000006</c:v>
                </c:pt>
                <c:pt idx="5">
                  <c:v>96.974928206000001</c:v>
                </c:pt>
                <c:pt idx="6">
                  <c:v>97.067897270000003</c:v>
                </c:pt>
                <c:pt idx="7">
                  <c:v>97.012181464999998</c:v>
                </c:pt>
                <c:pt idx="8">
                  <c:v>97.065403181999997</c:v>
                </c:pt>
                <c:pt idx="9">
                  <c:v>97.472807356000004</c:v>
                </c:pt>
                <c:pt idx="10">
                  <c:v>98.311138817</c:v>
                </c:pt>
                <c:pt idx="11">
                  <c:v>99.455970539000006</c:v>
                </c:pt>
                <c:pt idx="12">
                  <c:v>100.65074031100001</c:v>
                </c:pt>
                <c:pt idx="13">
                  <c:v>101.70118034799999</c:v>
                </c:pt>
                <c:pt idx="14">
                  <c:v>102.44249369000001</c:v>
                </c:pt>
                <c:pt idx="15">
                  <c:v>102.795898972</c:v>
                </c:pt>
                <c:pt idx="16">
                  <c:v>102.849294711</c:v>
                </c:pt>
                <c:pt idx="17">
                  <c:v>102.686995095</c:v>
                </c:pt>
                <c:pt idx="18">
                  <c:v>102.340471264</c:v>
                </c:pt>
                <c:pt idx="19">
                  <c:v>101.88890264200001</c:v>
                </c:pt>
                <c:pt idx="20">
                  <c:v>101.380542253</c:v>
                </c:pt>
                <c:pt idx="21">
                  <c:v>100.86253963999999</c:v>
                </c:pt>
                <c:pt idx="22">
                  <c:v>100.374223512</c:v>
                </c:pt>
                <c:pt idx="23">
                  <c:v>99.907926942000003</c:v>
                </c:pt>
                <c:pt idx="24">
                  <c:v>99.360003573</c:v>
                </c:pt>
                <c:pt idx="25">
                  <c:v>98.752384383000006</c:v>
                </c:pt>
                <c:pt idx="26">
                  <c:v>98.192946989999996</c:v>
                </c:pt>
                <c:pt idx="27">
                  <c:v>97.842987841999999</c:v>
                </c:pt>
                <c:pt idx="28">
                  <c:v>97.795672511999996</c:v>
                </c:pt>
                <c:pt idx="29">
                  <c:v>98.141051140000002</c:v>
                </c:pt>
                <c:pt idx="30">
                  <c:v>98.934186545000003</c:v>
                </c:pt>
                <c:pt idx="31">
                  <c:v>100.04860055100001</c:v>
                </c:pt>
                <c:pt idx="32">
                  <c:v>101.218108528</c:v>
                </c:pt>
                <c:pt idx="33">
                  <c:v>102.237945397</c:v>
                </c:pt>
                <c:pt idx="34">
                  <c:v>103.048625852</c:v>
                </c:pt>
                <c:pt idx="35">
                  <c:v>103.708307955</c:v>
                </c:pt>
                <c:pt idx="36">
                  <c:v>104.333413921</c:v>
                </c:pt>
                <c:pt idx="37">
                  <c:v>104.99294182</c:v>
                </c:pt>
                <c:pt idx="38">
                  <c:v>105.67833964499999</c:v>
                </c:pt>
                <c:pt idx="39">
                  <c:v>106.400350129</c:v>
                </c:pt>
              </c:numCache>
            </c:numRef>
          </c:val>
          <c:smooth val="0"/>
          <c:extLst>
            <c:ext xmlns:c16="http://schemas.microsoft.com/office/drawing/2014/chart" uri="{C3380CC4-5D6E-409C-BE32-E72D297353CC}">
              <c16:uniqueId val="{00000002-7FDC-4D3F-B7D9-6C39D3BCEE77}"/>
            </c:ext>
          </c:extLst>
        </c:ser>
        <c:ser>
          <c:idx val="3"/>
          <c:order val="3"/>
          <c:tx>
            <c:strRef>
              <c:f>Usluge!$H$5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995928515108775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FDC-4D3F-B7D9-6C39D3BCEE77}"/>
                </c:ext>
              </c:extLst>
            </c:dLbl>
            <c:dLbl>
              <c:idx val="12"/>
              <c:layout>
                <c:manualLayout>
                  <c:x val="7.4717578042577767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FDC-4D3F-B7D9-6C39D3BCEE77}"/>
                </c:ext>
              </c:extLst>
            </c:dLbl>
            <c:dLbl>
              <c:idx val="24"/>
              <c:layout>
                <c:manualLayout>
                  <c:x val="7.7855522671493774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FDC-4D3F-B7D9-6C39D3BCEE77}"/>
                </c:ext>
              </c:extLst>
            </c:dLbl>
            <c:dLbl>
              <c:idx val="36"/>
              <c:layout>
                <c:manualLayout>
                  <c:x val="-1.3459012061021338E-2"/>
                  <c:y val="5.828903903903903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FDC-4D3F-B7D9-6C39D3BCEE7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Usluge!$H$150:$H$189</c:f>
              <c:numCache>
                <c:formatCode>General</c:formatCode>
                <c:ptCount val="40"/>
                <c:pt idx="0">
                  <c:v>60</c:v>
                </c:pt>
                <c:pt idx="12">
                  <c:v>60</c:v>
                </c:pt>
                <c:pt idx="24">
                  <c:v>60</c:v>
                </c:pt>
                <c:pt idx="36">
                  <c:v>60</c:v>
                </c:pt>
              </c:numCache>
            </c:numRef>
          </c:val>
          <c:smooth val="0"/>
          <c:extLst>
            <c:ext xmlns:c16="http://schemas.microsoft.com/office/drawing/2014/chart" uri="{C3380CC4-5D6E-409C-BE32-E72D297353CC}">
              <c16:uniqueId val="{00000007-7FDC-4D3F-B7D9-6C39D3BCEE77}"/>
            </c:ext>
          </c:extLst>
        </c:ser>
        <c:ser>
          <c:idx val="4"/>
          <c:order val="4"/>
          <c:tx>
            <c:strRef>
              <c:f>Usluge!$I$5</c:f>
              <c:strCache>
                <c:ptCount val="1"/>
                <c:pt idx="0">
                  <c:v>Series5</c:v>
                </c:pt>
              </c:strCache>
            </c:strRef>
          </c:tx>
          <c:spPr>
            <a:ln w="28575" cap="rnd">
              <a:noFill/>
              <a:round/>
            </a:ln>
            <a:effectLst/>
          </c:spPr>
          <c:marker>
            <c:symbol val="none"/>
          </c:marker>
          <c:dLbls>
            <c:dLbl>
              <c:idx val="0"/>
              <c:tx>
                <c:rich>
                  <a:bodyPr/>
                  <a:lstStyle/>
                  <a:p>
                    <a:fld id="{E23CB244-05E3-42DF-B9F8-87D867757EC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FDC-4D3F-B7D9-6C39D3BCEE77}"/>
                </c:ext>
              </c:extLst>
            </c:dLbl>
            <c:dLbl>
              <c:idx val="1"/>
              <c:tx>
                <c:rich>
                  <a:bodyPr/>
                  <a:lstStyle/>
                  <a:p>
                    <a:fld id="{EEB4BF7A-3AE0-4B40-9B0B-F01B653CD4C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FDC-4D3F-B7D9-6C39D3BCEE77}"/>
                </c:ext>
              </c:extLst>
            </c:dLbl>
            <c:dLbl>
              <c:idx val="2"/>
              <c:tx>
                <c:rich>
                  <a:bodyPr/>
                  <a:lstStyle/>
                  <a:p>
                    <a:fld id="{F5BFD874-7CF3-4691-BDF4-9475CBEF439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FDC-4D3F-B7D9-6C39D3BCEE77}"/>
                </c:ext>
              </c:extLst>
            </c:dLbl>
            <c:dLbl>
              <c:idx val="3"/>
              <c:tx>
                <c:rich>
                  <a:bodyPr/>
                  <a:lstStyle/>
                  <a:p>
                    <a:fld id="{ADBF2B07-FDE6-4777-907B-1BC725C091A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FDC-4D3F-B7D9-6C39D3BCEE77}"/>
                </c:ext>
              </c:extLst>
            </c:dLbl>
            <c:dLbl>
              <c:idx val="4"/>
              <c:tx>
                <c:rich>
                  <a:bodyPr/>
                  <a:lstStyle/>
                  <a:p>
                    <a:fld id="{DFB55F78-AD69-486E-B8BD-9C5D2F0EFE0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FDC-4D3F-B7D9-6C39D3BCEE77}"/>
                </c:ext>
              </c:extLst>
            </c:dLbl>
            <c:dLbl>
              <c:idx val="5"/>
              <c:tx>
                <c:rich>
                  <a:bodyPr/>
                  <a:lstStyle/>
                  <a:p>
                    <a:fld id="{FDDB1EE7-6480-4FBD-846F-CE9D323AD0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FDC-4D3F-B7D9-6C39D3BCEE77}"/>
                </c:ext>
              </c:extLst>
            </c:dLbl>
            <c:dLbl>
              <c:idx val="6"/>
              <c:tx>
                <c:rich>
                  <a:bodyPr/>
                  <a:lstStyle/>
                  <a:p>
                    <a:fld id="{1DDCBDD6-0CF3-41E0-B350-666E220D6CB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FDC-4D3F-B7D9-6C39D3BCEE77}"/>
                </c:ext>
              </c:extLst>
            </c:dLbl>
            <c:dLbl>
              <c:idx val="7"/>
              <c:tx>
                <c:rich>
                  <a:bodyPr/>
                  <a:lstStyle/>
                  <a:p>
                    <a:fld id="{B3ABBEC9-1BA7-43F1-9E4E-F368DF12314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FDC-4D3F-B7D9-6C39D3BCEE77}"/>
                </c:ext>
              </c:extLst>
            </c:dLbl>
            <c:dLbl>
              <c:idx val="8"/>
              <c:tx>
                <c:rich>
                  <a:bodyPr/>
                  <a:lstStyle/>
                  <a:p>
                    <a:fld id="{00618BAE-9A16-479A-AEB3-83CFCEFC659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FDC-4D3F-B7D9-6C39D3BCEE77}"/>
                </c:ext>
              </c:extLst>
            </c:dLbl>
            <c:dLbl>
              <c:idx val="9"/>
              <c:tx>
                <c:rich>
                  <a:bodyPr/>
                  <a:lstStyle/>
                  <a:p>
                    <a:fld id="{F2851682-4143-4776-AD48-BE7276C56C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FDC-4D3F-B7D9-6C39D3BCEE77}"/>
                </c:ext>
              </c:extLst>
            </c:dLbl>
            <c:dLbl>
              <c:idx val="10"/>
              <c:tx>
                <c:rich>
                  <a:bodyPr/>
                  <a:lstStyle/>
                  <a:p>
                    <a:fld id="{12D93A76-510B-4437-85B4-A6184ECA226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FDC-4D3F-B7D9-6C39D3BCEE77}"/>
                </c:ext>
              </c:extLst>
            </c:dLbl>
            <c:dLbl>
              <c:idx val="11"/>
              <c:tx>
                <c:rich>
                  <a:bodyPr/>
                  <a:lstStyle/>
                  <a:p>
                    <a:fld id="{E114AE9E-AB46-44F2-94FF-8EA0D8810A3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FDC-4D3F-B7D9-6C39D3BCEE77}"/>
                </c:ext>
              </c:extLst>
            </c:dLbl>
            <c:dLbl>
              <c:idx val="12"/>
              <c:tx>
                <c:rich>
                  <a:bodyPr/>
                  <a:lstStyle/>
                  <a:p>
                    <a:fld id="{159AE854-4B4C-4678-8F13-4C87895B000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FDC-4D3F-B7D9-6C39D3BCEE77}"/>
                </c:ext>
              </c:extLst>
            </c:dLbl>
            <c:dLbl>
              <c:idx val="13"/>
              <c:tx>
                <c:rich>
                  <a:bodyPr/>
                  <a:lstStyle/>
                  <a:p>
                    <a:fld id="{725F17D2-E132-4670-B88D-87096C15BB1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FDC-4D3F-B7D9-6C39D3BCEE77}"/>
                </c:ext>
              </c:extLst>
            </c:dLbl>
            <c:dLbl>
              <c:idx val="14"/>
              <c:tx>
                <c:rich>
                  <a:bodyPr/>
                  <a:lstStyle/>
                  <a:p>
                    <a:fld id="{208F8EFF-6172-48BA-A2E1-FACB2FF5C6D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FDC-4D3F-B7D9-6C39D3BCEE77}"/>
                </c:ext>
              </c:extLst>
            </c:dLbl>
            <c:dLbl>
              <c:idx val="15"/>
              <c:tx>
                <c:rich>
                  <a:bodyPr/>
                  <a:lstStyle/>
                  <a:p>
                    <a:fld id="{73F3D810-96DA-4AF6-9493-EC2F12F78EC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FDC-4D3F-B7D9-6C39D3BCEE77}"/>
                </c:ext>
              </c:extLst>
            </c:dLbl>
            <c:dLbl>
              <c:idx val="16"/>
              <c:tx>
                <c:rich>
                  <a:bodyPr/>
                  <a:lstStyle/>
                  <a:p>
                    <a:fld id="{94AAE51B-AE9C-46F0-A41B-EF0C227FD55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FDC-4D3F-B7D9-6C39D3BCEE77}"/>
                </c:ext>
              </c:extLst>
            </c:dLbl>
            <c:dLbl>
              <c:idx val="17"/>
              <c:tx>
                <c:rich>
                  <a:bodyPr/>
                  <a:lstStyle/>
                  <a:p>
                    <a:fld id="{B37EAE7B-16DE-4C82-936B-52CAA2406D5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FDC-4D3F-B7D9-6C39D3BCEE77}"/>
                </c:ext>
              </c:extLst>
            </c:dLbl>
            <c:dLbl>
              <c:idx val="18"/>
              <c:tx>
                <c:rich>
                  <a:bodyPr/>
                  <a:lstStyle/>
                  <a:p>
                    <a:fld id="{4A81B04A-ECC0-4508-B85F-BFAE0A3E3B7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FDC-4D3F-B7D9-6C39D3BCEE77}"/>
                </c:ext>
              </c:extLst>
            </c:dLbl>
            <c:dLbl>
              <c:idx val="19"/>
              <c:tx>
                <c:rich>
                  <a:bodyPr/>
                  <a:lstStyle/>
                  <a:p>
                    <a:fld id="{548C9F05-1361-4505-BF7E-38D86D9FF7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FDC-4D3F-B7D9-6C39D3BCEE77}"/>
                </c:ext>
              </c:extLst>
            </c:dLbl>
            <c:dLbl>
              <c:idx val="20"/>
              <c:tx>
                <c:rich>
                  <a:bodyPr/>
                  <a:lstStyle/>
                  <a:p>
                    <a:fld id="{6009070D-CDC1-4465-BBA3-02D115B6B2B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FDC-4D3F-B7D9-6C39D3BCEE77}"/>
                </c:ext>
              </c:extLst>
            </c:dLbl>
            <c:dLbl>
              <c:idx val="21"/>
              <c:tx>
                <c:rich>
                  <a:bodyPr/>
                  <a:lstStyle/>
                  <a:p>
                    <a:fld id="{F7260038-3BDE-4191-AC7E-E6BBAF94521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FDC-4D3F-B7D9-6C39D3BCEE77}"/>
                </c:ext>
              </c:extLst>
            </c:dLbl>
            <c:dLbl>
              <c:idx val="22"/>
              <c:tx>
                <c:rich>
                  <a:bodyPr/>
                  <a:lstStyle/>
                  <a:p>
                    <a:fld id="{9CA692C7-254D-4D32-B637-E78FD681E0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FDC-4D3F-B7D9-6C39D3BCEE77}"/>
                </c:ext>
              </c:extLst>
            </c:dLbl>
            <c:dLbl>
              <c:idx val="23"/>
              <c:tx>
                <c:rich>
                  <a:bodyPr/>
                  <a:lstStyle/>
                  <a:p>
                    <a:fld id="{7CF79506-DB34-4AE8-B4B6-63C47AFCA11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FDC-4D3F-B7D9-6C39D3BCEE77}"/>
                </c:ext>
              </c:extLst>
            </c:dLbl>
            <c:dLbl>
              <c:idx val="24"/>
              <c:tx>
                <c:rich>
                  <a:bodyPr/>
                  <a:lstStyle/>
                  <a:p>
                    <a:fld id="{C5090DFC-64BD-4199-91CF-C6E05313766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FDC-4D3F-B7D9-6C39D3BCEE77}"/>
                </c:ext>
              </c:extLst>
            </c:dLbl>
            <c:dLbl>
              <c:idx val="25"/>
              <c:tx>
                <c:rich>
                  <a:bodyPr/>
                  <a:lstStyle/>
                  <a:p>
                    <a:fld id="{57CCF211-F3FA-4670-ACE3-F05C2030B4F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FDC-4D3F-B7D9-6C39D3BCEE77}"/>
                </c:ext>
              </c:extLst>
            </c:dLbl>
            <c:dLbl>
              <c:idx val="26"/>
              <c:tx>
                <c:rich>
                  <a:bodyPr/>
                  <a:lstStyle/>
                  <a:p>
                    <a:fld id="{3909E2C0-106F-4305-BF47-FC891DF0C4A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FDC-4D3F-B7D9-6C39D3BCEE77}"/>
                </c:ext>
              </c:extLst>
            </c:dLbl>
            <c:dLbl>
              <c:idx val="27"/>
              <c:tx>
                <c:rich>
                  <a:bodyPr/>
                  <a:lstStyle/>
                  <a:p>
                    <a:fld id="{214ADD52-8A19-434C-ADEE-94910884C87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FDC-4D3F-B7D9-6C39D3BCEE77}"/>
                </c:ext>
              </c:extLst>
            </c:dLbl>
            <c:dLbl>
              <c:idx val="28"/>
              <c:tx>
                <c:rich>
                  <a:bodyPr/>
                  <a:lstStyle/>
                  <a:p>
                    <a:fld id="{B9D7CCFF-BCF8-4FCF-9D90-BA3C65CC3AB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FDC-4D3F-B7D9-6C39D3BCEE77}"/>
                </c:ext>
              </c:extLst>
            </c:dLbl>
            <c:dLbl>
              <c:idx val="29"/>
              <c:tx>
                <c:rich>
                  <a:bodyPr/>
                  <a:lstStyle/>
                  <a:p>
                    <a:fld id="{CF5C88E6-F54E-4304-86B9-30CF3D82E0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FDC-4D3F-B7D9-6C39D3BCEE77}"/>
                </c:ext>
              </c:extLst>
            </c:dLbl>
            <c:dLbl>
              <c:idx val="30"/>
              <c:tx>
                <c:rich>
                  <a:bodyPr/>
                  <a:lstStyle/>
                  <a:p>
                    <a:fld id="{F9B97316-4ED2-4236-8D75-982B03261D6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FDC-4D3F-B7D9-6C39D3BCEE77}"/>
                </c:ext>
              </c:extLst>
            </c:dLbl>
            <c:dLbl>
              <c:idx val="31"/>
              <c:tx>
                <c:rich>
                  <a:bodyPr/>
                  <a:lstStyle/>
                  <a:p>
                    <a:fld id="{52D4CEB1-4621-4982-9E48-ADDE965930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FDC-4D3F-B7D9-6C39D3BCEE77}"/>
                </c:ext>
              </c:extLst>
            </c:dLbl>
            <c:dLbl>
              <c:idx val="32"/>
              <c:tx>
                <c:rich>
                  <a:bodyPr/>
                  <a:lstStyle/>
                  <a:p>
                    <a:fld id="{7597309A-244F-4341-8117-C4691ACB53F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FDC-4D3F-B7D9-6C39D3BCEE77}"/>
                </c:ext>
              </c:extLst>
            </c:dLbl>
            <c:dLbl>
              <c:idx val="33"/>
              <c:tx>
                <c:rich>
                  <a:bodyPr/>
                  <a:lstStyle/>
                  <a:p>
                    <a:fld id="{A3B10921-1B24-4DF2-97F8-E030CF4DA19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FDC-4D3F-B7D9-6C39D3BCEE77}"/>
                </c:ext>
              </c:extLst>
            </c:dLbl>
            <c:dLbl>
              <c:idx val="34"/>
              <c:tx>
                <c:rich>
                  <a:bodyPr/>
                  <a:lstStyle/>
                  <a:p>
                    <a:fld id="{3DA6141E-DACF-4200-8BA0-59AA0EABAA5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FDC-4D3F-B7D9-6C39D3BCEE77}"/>
                </c:ext>
              </c:extLst>
            </c:dLbl>
            <c:dLbl>
              <c:idx val="35"/>
              <c:tx>
                <c:rich>
                  <a:bodyPr/>
                  <a:lstStyle/>
                  <a:p>
                    <a:fld id="{D8771AE6-B87E-423E-904E-F5A7B77EB39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FDC-4D3F-B7D9-6C39D3BCEE77}"/>
                </c:ext>
              </c:extLst>
            </c:dLbl>
            <c:dLbl>
              <c:idx val="36"/>
              <c:tx>
                <c:rich>
                  <a:bodyPr/>
                  <a:lstStyle/>
                  <a:p>
                    <a:fld id="{45E34581-ADD7-40B1-BBFD-79AECBC4FA1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FDC-4D3F-B7D9-6C39D3BCEE77}"/>
                </c:ext>
              </c:extLst>
            </c:dLbl>
            <c:dLbl>
              <c:idx val="37"/>
              <c:tx>
                <c:rich>
                  <a:bodyPr/>
                  <a:lstStyle/>
                  <a:p>
                    <a:fld id="{70C16D98-31D4-4DE2-A008-B8AF8E94604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FDC-4D3F-B7D9-6C39D3BCEE77}"/>
                </c:ext>
              </c:extLst>
            </c:dLbl>
            <c:dLbl>
              <c:idx val="38"/>
              <c:tx>
                <c:rich>
                  <a:bodyPr/>
                  <a:lstStyle/>
                  <a:p>
                    <a:fld id="{6E30C3BF-900C-4E0B-A365-1B53BD92F61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FDC-4D3F-B7D9-6C39D3BCEE77}"/>
                </c:ext>
              </c:extLst>
            </c:dLbl>
            <c:dLbl>
              <c:idx val="39"/>
              <c:tx>
                <c:rich>
                  <a:bodyPr/>
                  <a:lstStyle/>
                  <a:p>
                    <a:fld id="{66F62D59-29EE-4F84-AE88-2CFAD1F5BC1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7FDC-4D3F-B7D9-6C39D3BCEE7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Usluge!$I$150:$I$189</c:f>
              <c:numCache>
                <c:formatCode>General</c:formatCode>
                <c:ptCount val="40"/>
                <c:pt idx="0">
                  <c:v>60</c:v>
                </c:pt>
                <c:pt idx="1">
                  <c:v>60</c:v>
                </c:pt>
                <c:pt idx="2">
                  <c:v>60</c:v>
                </c:pt>
                <c:pt idx="3">
                  <c:v>60</c:v>
                </c:pt>
                <c:pt idx="4">
                  <c:v>60</c:v>
                </c:pt>
                <c:pt idx="5">
                  <c:v>60</c:v>
                </c:pt>
                <c:pt idx="6">
                  <c:v>60</c:v>
                </c:pt>
                <c:pt idx="7">
                  <c:v>60</c:v>
                </c:pt>
                <c:pt idx="8">
                  <c:v>60</c:v>
                </c:pt>
                <c:pt idx="9">
                  <c:v>60</c:v>
                </c:pt>
                <c:pt idx="10">
                  <c:v>60</c:v>
                </c:pt>
                <c:pt idx="11">
                  <c:v>60</c:v>
                </c:pt>
                <c:pt idx="12">
                  <c:v>60</c:v>
                </c:pt>
                <c:pt idx="13">
                  <c:v>60</c:v>
                </c:pt>
                <c:pt idx="14">
                  <c:v>60</c:v>
                </c:pt>
                <c:pt idx="15">
                  <c:v>60</c:v>
                </c:pt>
                <c:pt idx="16">
                  <c:v>60</c:v>
                </c:pt>
                <c:pt idx="17">
                  <c:v>60</c:v>
                </c:pt>
                <c:pt idx="18">
                  <c:v>60</c:v>
                </c:pt>
                <c:pt idx="19">
                  <c:v>60</c:v>
                </c:pt>
                <c:pt idx="20">
                  <c:v>60</c:v>
                </c:pt>
                <c:pt idx="21">
                  <c:v>60</c:v>
                </c:pt>
                <c:pt idx="22">
                  <c:v>60</c:v>
                </c:pt>
                <c:pt idx="23">
                  <c:v>60</c:v>
                </c:pt>
                <c:pt idx="24">
                  <c:v>60</c:v>
                </c:pt>
                <c:pt idx="25">
                  <c:v>60</c:v>
                </c:pt>
                <c:pt idx="26">
                  <c:v>60</c:v>
                </c:pt>
                <c:pt idx="27">
                  <c:v>60</c:v>
                </c:pt>
                <c:pt idx="28">
                  <c:v>60</c:v>
                </c:pt>
                <c:pt idx="29">
                  <c:v>60</c:v>
                </c:pt>
                <c:pt idx="30">
                  <c:v>60</c:v>
                </c:pt>
                <c:pt idx="31">
                  <c:v>60</c:v>
                </c:pt>
                <c:pt idx="32">
                  <c:v>60</c:v>
                </c:pt>
                <c:pt idx="33">
                  <c:v>60</c:v>
                </c:pt>
                <c:pt idx="34">
                  <c:v>60</c:v>
                </c:pt>
                <c:pt idx="35">
                  <c:v>60</c:v>
                </c:pt>
                <c:pt idx="36">
                  <c:v>60</c:v>
                </c:pt>
                <c:pt idx="37">
                  <c:v>60</c:v>
                </c:pt>
                <c:pt idx="38">
                  <c:v>60</c:v>
                </c:pt>
                <c:pt idx="39">
                  <c:v>60</c:v>
                </c:pt>
              </c:numCache>
            </c:numRef>
          </c:val>
          <c:smooth val="0"/>
          <c:extLst>
            <c:ext xmlns:c15="http://schemas.microsoft.com/office/drawing/2012/chart" uri="{02D57815-91ED-43cb-92C2-25804820EDAC}">
              <c15:datalabelsRange>
                <c15:f>Usluge!$J$150:$J$189</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30-7FDC-4D3F-B7D9-6C39D3BCEE77}"/>
            </c:ext>
          </c:extLst>
        </c:ser>
        <c:dLbls>
          <c:showLegendKey val="0"/>
          <c:showVal val="0"/>
          <c:showCatName val="0"/>
          <c:showSerName val="0"/>
          <c:showPercent val="0"/>
          <c:showBubbleSize val="0"/>
        </c:dLbls>
        <c:smooth val="0"/>
        <c:axId val="2092186640"/>
        <c:axId val="2092182288"/>
      </c:lineChart>
      <c:dateAx>
        <c:axId val="2092186640"/>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2092182288"/>
        <c:crosses val="autoZero"/>
        <c:auto val="1"/>
        <c:lblOffset val="0"/>
        <c:baseTimeUnit val="months"/>
      </c:dateAx>
      <c:valAx>
        <c:axId val="2092182288"/>
        <c:scaling>
          <c:orientation val="minMax"/>
          <c:max val="115"/>
          <c:min val="6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86640"/>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8461960155100949"/>
          <c:h val="0.81151726726726725"/>
        </c:manualLayout>
      </c:layout>
      <c:lineChart>
        <c:grouping val="standard"/>
        <c:varyColors val="0"/>
        <c:ser>
          <c:idx val="0"/>
          <c:order val="0"/>
          <c:tx>
            <c:strRef>
              <c:f>Usluge!$S$5</c:f>
              <c:strCache>
                <c:ptCount val="1"/>
                <c:pt idx="0">
                  <c:v>y</c:v>
                </c:pt>
              </c:strCache>
            </c:strRef>
          </c:tx>
          <c:spPr>
            <a:ln w="12700" cap="rnd">
              <a:solidFill>
                <a:srgbClr val="7F3F98"/>
              </a:solidFill>
              <a:prstDash val="sysDash"/>
              <a:round/>
            </a:ln>
            <a:effectLst/>
          </c:spPr>
          <c:marker>
            <c:symbol val="none"/>
          </c:marker>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Usluge!$S$150:$S$189</c:f>
              <c:numCache>
                <c:formatCode>0.0</c:formatCode>
                <c:ptCount val="40"/>
                <c:pt idx="0">
                  <c:v>49.263969731000003</c:v>
                </c:pt>
                <c:pt idx="1">
                  <c:v>52.054159513999998</c:v>
                </c:pt>
                <c:pt idx="2">
                  <c:v>45.835135776999998</c:v>
                </c:pt>
                <c:pt idx="3">
                  <c:v>43.704969667999997</c:v>
                </c:pt>
                <c:pt idx="4">
                  <c:v>64.226004750000001</c:v>
                </c:pt>
                <c:pt idx="5">
                  <c:v>85.559680276999998</c:v>
                </c:pt>
                <c:pt idx="6">
                  <c:v>129.38897998600001</c:v>
                </c:pt>
                <c:pt idx="7">
                  <c:v>146.08428980100001</c:v>
                </c:pt>
                <c:pt idx="8">
                  <c:v>92.135358003999997</c:v>
                </c:pt>
                <c:pt idx="9">
                  <c:v>68.557492343999996</c:v>
                </c:pt>
                <c:pt idx="10">
                  <c:v>57.506042778000001</c:v>
                </c:pt>
                <c:pt idx="11">
                  <c:v>60.600369717</c:v>
                </c:pt>
                <c:pt idx="12">
                  <c:v>68.169345793000005</c:v>
                </c:pt>
                <c:pt idx="13">
                  <c:v>63.770866095999999</c:v>
                </c:pt>
                <c:pt idx="14">
                  <c:v>70.341047517999996</c:v>
                </c:pt>
                <c:pt idx="15">
                  <c:v>76.973635823999999</c:v>
                </c:pt>
                <c:pt idx="16">
                  <c:v>98.472759483000004</c:v>
                </c:pt>
                <c:pt idx="17">
                  <c:v>103.82615133</c:v>
                </c:pt>
                <c:pt idx="18">
                  <c:v>130.29949919399999</c:v>
                </c:pt>
                <c:pt idx="19">
                  <c:v>160.27833920800001</c:v>
                </c:pt>
                <c:pt idx="20">
                  <c:v>127.132856172</c:v>
                </c:pt>
                <c:pt idx="21">
                  <c:v>121.44273722200001</c:v>
                </c:pt>
                <c:pt idx="22">
                  <c:v>84.884166664000006</c:v>
                </c:pt>
                <c:pt idx="23">
                  <c:v>75.568661036999998</c:v>
                </c:pt>
                <c:pt idx="24">
                  <c:v>76.520583059000003</c:v>
                </c:pt>
                <c:pt idx="25">
                  <c:v>77.491506868000002</c:v>
                </c:pt>
                <c:pt idx="26">
                  <c:v>80.709174993999994</c:v>
                </c:pt>
                <c:pt idx="27">
                  <c:v>90.611999822000001</c:v>
                </c:pt>
                <c:pt idx="28">
                  <c:v>102.239839691</c:v>
                </c:pt>
                <c:pt idx="29">
                  <c:v>104.723093562</c:v>
                </c:pt>
                <c:pt idx="30">
                  <c:v>139.22358729499999</c:v>
                </c:pt>
                <c:pt idx="31">
                  <c:v>150.319666488</c:v>
                </c:pt>
                <c:pt idx="32">
                  <c:v>115.039520743</c:v>
                </c:pt>
                <c:pt idx="33">
                  <c:v>105.669228237</c:v>
                </c:pt>
                <c:pt idx="34">
                  <c:v>78.689584022000005</c:v>
                </c:pt>
                <c:pt idx="35">
                  <c:v>78.762215218999998</c:v>
                </c:pt>
                <c:pt idx="36">
                  <c:v>79.504731758999995</c:v>
                </c:pt>
                <c:pt idx="37">
                  <c:v>78.817677289000002</c:v>
                </c:pt>
                <c:pt idx="38">
                  <c:v>88.778472035999997</c:v>
                </c:pt>
                <c:pt idx="39">
                  <c:v>98.880863857999998</c:v>
                </c:pt>
              </c:numCache>
            </c:numRef>
          </c:val>
          <c:smooth val="0"/>
          <c:extLst>
            <c:ext xmlns:c16="http://schemas.microsoft.com/office/drawing/2014/chart" uri="{C3380CC4-5D6E-409C-BE32-E72D297353CC}">
              <c16:uniqueId val="{00000000-4F54-420F-931C-CB1546A3E10A}"/>
            </c:ext>
          </c:extLst>
        </c:ser>
        <c:ser>
          <c:idx val="1"/>
          <c:order val="1"/>
          <c:tx>
            <c:strRef>
              <c:f>Usluge!$T$5</c:f>
              <c:strCache>
                <c:ptCount val="1"/>
                <c:pt idx="0">
                  <c:v>sa</c:v>
                </c:pt>
              </c:strCache>
            </c:strRef>
          </c:tx>
          <c:spPr>
            <a:ln w="22225" cap="rnd">
              <a:solidFill>
                <a:srgbClr val="25AAE1"/>
              </a:solidFill>
              <a:round/>
            </a:ln>
            <a:effectLst/>
          </c:spPr>
          <c:marker>
            <c:symbol val="none"/>
          </c:marker>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Usluge!$T$150:$T$189</c:f>
              <c:numCache>
                <c:formatCode>0.0</c:formatCode>
                <c:ptCount val="40"/>
                <c:pt idx="0">
                  <c:v>60.063004022000001</c:v>
                </c:pt>
                <c:pt idx="1">
                  <c:v>68.361649315999998</c:v>
                </c:pt>
                <c:pt idx="2">
                  <c:v>64.971030346000006</c:v>
                </c:pt>
                <c:pt idx="3">
                  <c:v>57.113860658</c:v>
                </c:pt>
                <c:pt idx="4">
                  <c:v>63.168988542000001</c:v>
                </c:pt>
                <c:pt idx="5">
                  <c:v>78.237633191</c:v>
                </c:pt>
                <c:pt idx="6">
                  <c:v>88.716873892999999</c:v>
                </c:pt>
                <c:pt idx="7">
                  <c:v>86.780038935999997</c:v>
                </c:pt>
                <c:pt idx="8">
                  <c:v>77.150890200999996</c:v>
                </c:pt>
                <c:pt idx="9">
                  <c:v>65.889219093999998</c:v>
                </c:pt>
                <c:pt idx="10">
                  <c:v>78.066312785999997</c:v>
                </c:pt>
                <c:pt idx="11">
                  <c:v>82.061451724999998</c:v>
                </c:pt>
                <c:pt idx="12">
                  <c:v>84.721899691000004</c:v>
                </c:pt>
                <c:pt idx="13">
                  <c:v>85.001619148000003</c:v>
                </c:pt>
                <c:pt idx="14">
                  <c:v>98.226639992000003</c:v>
                </c:pt>
                <c:pt idx="15">
                  <c:v>99.663743246999999</c:v>
                </c:pt>
                <c:pt idx="16">
                  <c:v>99.364537381000005</c:v>
                </c:pt>
                <c:pt idx="17">
                  <c:v>94.465158834999997</c:v>
                </c:pt>
                <c:pt idx="18">
                  <c:v>87.284892368000001</c:v>
                </c:pt>
                <c:pt idx="19">
                  <c:v>96.875037481000007</c:v>
                </c:pt>
                <c:pt idx="20">
                  <c:v>105.88584111</c:v>
                </c:pt>
                <c:pt idx="21">
                  <c:v>116.17964151</c:v>
                </c:pt>
                <c:pt idx="22">
                  <c:v>114.170565685</c:v>
                </c:pt>
                <c:pt idx="23">
                  <c:v>101.77997392899999</c:v>
                </c:pt>
                <c:pt idx="24">
                  <c:v>98.882536445</c:v>
                </c:pt>
                <c:pt idx="25">
                  <c:v>105.400366635</c:v>
                </c:pt>
                <c:pt idx="26">
                  <c:v>110.700215122</c:v>
                </c:pt>
                <c:pt idx="27">
                  <c:v>114.320958855</c:v>
                </c:pt>
                <c:pt idx="28">
                  <c:v>103.91308761099999</c:v>
                </c:pt>
                <c:pt idx="29">
                  <c:v>94.563182925999996</c:v>
                </c:pt>
                <c:pt idx="30">
                  <c:v>94.140800894999998</c:v>
                </c:pt>
                <c:pt idx="31">
                  <c:v>90.991225094000001</c:v>
                </c:pt>
                <c:pt idx="32">
                  <c:v>94.079501320999995</c:v>
                </c:pt>
                <c:pt idx="33">
                  <c:v>102.096687436</c:v>
                </c:pt>
                <c:pt idx="34">
                  <c:v>104.9795496</c:v>
                </c:pt>
                <c:pt idx="35">
                  <c:v>105.60411899499999</c:v>
                </c:pt>
                <c:pt idx="36">
                  <c:v>107.14188349299999</c:v>
                </c:pt>
                <c:pt idx="37">
                  <c:v>105.39836182000001</c:v>
                </c:pt>
                <c:pt idx="38">
                  <c:v>114.621219313</c:v>
                </c:pt>
                <c:pt idx="39">
                  <c:v>128.26600016099999</c:v>
                </c:pt>
              </c:numCache>
            </c:numRef>
          </c:val>
          <c:smooth val="0"/>
          <c:extLst>
            <c:ext xmlns:c16="http://schemas.microsoft.com/office/drawing/2014/chart" uri="{C3380CC4-5D6E-409C-BE32-E72D297353CC}">
              <c16:uniqueId val="{00000001-4F54-420F-931C-CB1546A3E10A}"/>
            </c:ext>
          </c:extLst>
        </c:ser>
        <c:ser>
          <c:idx val="2"/>
          <c:order val="2"/>
          <c:tx>
            <c:strRef>
              <c:f>Usluge!$U$5</c:f>
              <c:strCache>
                <c:ptCount val="1"/>
                <c:pt idx="0">
                  <c:v>t</c:v>
                </c:pt>
              </c:strCache>
            </c:strRef>
          </c:tx>
          <c:spPr>
            <a:ln w="25400" cap="rnd">
              <a:solidFill>
                <a:srgbClr val="FF0000"/>
              </a:solidFill>
              <a:round/>
            </a:ln>
            <a:effectLst/>
          </c:spPr>
          <c:marker>
            <c:symbol val="none"/>
          </c:marker>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Usluge!$U$150:$U$189</c:f>
              <c:numCache>
                <c:formatCode>0.0</c:formatCode>
                <c:ptCount val="40"/>
                <c:pt idx="0">
                  <c:v>59.201698020000002</c:v>
                </c:pt>
                <c:pt idx="1">
                  <c:v>60.368700723000003</c:v>
                </c:pt>
                <c:pt idx="2">
                  <c:v>62.705749142999998</c:v>
                </c:pt>
                <c:pt idx="3">
                  <c:v>66.568434791000001</c:v>
                </c:pt>
                <c:pt idx="4">
                  <c:v>71.075871708999998</c:v>
                </c:pt>
                <c:pt idx="5">
                  <c:v>75.314902810999996</c:v>
                </c:pt>
                <c:pt idx="6">
                  <c:v>78.406289462999993</c:v>
                </c:pt>
                <c:pt idx="7">
                  <c:v>79.73294267</c:v>
                </c:pt>
                <c:pt idx="8">
                  <c:v>79.200393618999996</c:v>
                </c:pt>
                <c:pt idx="9">
                  <c:v>77.793922781999996</c:v>
                </c:pt>
                <c:pt idx="10">
                  <c:v>77.452936823000002</c:v>
                </c:pt>
                <c:pt idx="11">
                  <c:v>79.729038953</c:v>
                </c:pt>
                <c:pt idx="12">
                  <c:v>84.510344415999995</c:v>
                </c:pt>
                <c:pt idx="13">
                  <c:v>89.880996542000005</c:v>
                </c:pt>
                <c:pt idx="14">
                  <c:v>93.770999684000003</c:v>
                </c:pt>
                <c:pt idx="15">
                  <c:v>95.338069204999996</c:v>
                </c:pt>
                <c:pt idx="16">
                  <c:v>95.466385446999993</c:v>
                </c:pt>
                <c:pt idx="17">
                  <c:v>95.912630500999995</c:v>
                </c:pt>
                <c:pt idx="18">
                  <c:v>97.588388632000004</c:v>
                </c:pt>
                <c:pt idx="19">
                  <c:v>100.507355675</c:v>
                </c:pt>
                <c:pt idx="20">
                  <c:v>103.865755484</c:v>
                </c:pt>
                <c:pt idx="21">
                  <c:v>106.527707288</c:v>
                </c:pt>
                <c:pt idx="22">
                  <c:v>107.794587056</c:v>
                </c:pt>
                <c:pt idx="23">
                  <c:v>107.948817508</c:v>
                </c:pt>
                <c:pt idx="24">
                  <c:v>107.531139463</c:v>
                </c:pt>
                <c:pt idx="25">
                  <c:v>107.141284079</c:v>
                </c:pt>
                <c:pt idx="26">
                  <c:v>106.768991388</c:v>
                </c:pt>
                <c:pt idx="27">
                  <c:v>105.524208973</c:v>
                </c:pt>
                <c:pt idx="28">
                  <c:v>102.842026686</c:v>
                </c:pt>
                <c:pt idx="29">
                  <c:v>99.123053647999996</c:v>
                </c:pt>
                <c:pt idx="30">
                  <c:v>95.853453849000005</c:v>
                </c:pt>
                <c:pt idx="31">
                  <c:v>94.696659843999996</c:v>
                </c:pt>
                <c:pt idx="32">
                  <c:v>95.939141805000006</c:v>
                </c:pt>
                <c:pt idx="33">
                  <c:v>98.543465061999996</c:v>
                </c:pt>
                <c:pt idx="34">
                  <c:v>101.203664291</c:v>
                </c:pt>
                <c:pt idx="35">
                  <c:v>103.6236632</c:v>
                </c:pt>
                <c:pt idx="36">
                  <c:v>106.942382049</c:v>
                </c:pt>
                <c:pt idx="37">
                  <c:v>112.318611855</c:v>
                </c:pt>
                <c:pt idx="38">
                  <c:v>120.08163636800001</c:v>
                </c:pt>
                <c:pt idx="39">
                  <c:v>129.339199855</c:v>
                </c:pt>
              </c:numCache>
            </c:numRef>
          </c:val>
          <c:smooth val="0"/>
          <c:extLst>
            <c:ext xmlns:c16="http://schemas.microsoft.com/office/drawing/2014/chart" uri="{C3380CC4-5D6E-409C-BE32-E72D297353CC}">
              <c16:uniqueId val="{00000002-4F54-420F-931C-CB1546A3E10A}"/>
            </c:ext>
          </c:extLst>
        </c:ser>
        <c:ser>
          <c:idx val="3"/>
          <c:order val="3"/>
          <c:tx>
            <c:strRef>
              <c:f>Usluge!$V$5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7.9804561962741313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F54-420F-931C-CB1546A3E10A}"/>
                </c:ext>
              </c:extLst>
            </c:dLbl>
            <c:dLbl>
              <c:idx val="12"/>
              <c:layout>
                <c:manualLayout>
                  <c:x val="7.0343061688396519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F54-420F-931C-CB1546A3E10A}"/>
                </c:ext>
              </c:extLst>
            </c:dLbl>
            <c:dLbl>
              <c:idx val="24"/>
              <c:layout>
                <c:manualLayout>
                  <c:x val="7.1484684590529438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F54-420F-931C-CB1546A3E10A}"/>
                </c:ext>
              </c:extLst>
            </c:dLbl>
            <c:dLbl>
              <c:idx val="36"/>
              <c:layout>
                <c:manualLayout>
                  <c:x val="-4.3362161314764976E-3"/>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F54-420F-931C-CB1546A3E10A}"/>
                </c:ext>
              </c:extLst>
            </c:dLbl>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Usluge!$V$150:$V$189</c:f>
              <c:numCache>
                <c:formatCode>General</c:formatCode>
                <c:ptCount val="40"/>
                <c:pt idx="0">
                  <c:v>0</c:v>
                </c:pt>
                <c:pt idx="12">
                  <c:v>0</c:v>
                </c:pt>
                <c:pt idx="24">
                  <c:v>0</c:v>
                </c:pt>
                <c:pt idx="36">
                  <c:v>0</c:v>
                </c:pt>
              </c:numCache>
            </c:numRef>
          </c:val>
          <c:smooth val="0"/>
          <c:extLst>
            <c:ext xmlns:c16="http://schemas.microsoft.com/office/drawing/2014/chart" uri="{C3380CC4-5D6E-409C-BE32-E72D297353CC}">
              <c16:uniqueId val="{00000007-4F54-420F-931C-CB1546A3E10A}"/>
            </c:ext>
          </c:extLst>
        </c:ser>
        <c:ser>
          <c:idx val="4"/>
          <c:order val="4"/>
          <c:tx>
            <c:strRef>
              <c:f>Usluge!$W$5</c:f>
              <c:strCache>
                <c:ptCount val="1"/>
                <c:pt idx="0">
                  <c:v>Series5</c:v>
                </c:pt>
              </c:strCache>
            </c:strRef>
          </c:tx>
          <c:spPr>
            <a:ln w="28575" cap="rnd">
              <a:noFill/>
              <a:round/>
            </a:ln>
            <a:effectLst/>
          </c:spPr>
          <c:marker>
            <c:symbol val="none"/>
          </c:marker>
          <c:dLbls>
            <c:dLbl>
              <c:idx val="0"/>
              <c:tx>
                <c:rich>
                  <a:bodyPr/>
                  <a:lstStyle/>
                  <a:p>
                    <a:fld id="{EBD13B00-9835-4DF3-9269-051EBD2AFF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F54-420F-931C-CB1546A3E10A}"/>
                </c:ext>
              </c:extLst>
            </c:dLbl>
            <c:dLbl>
              <c:idx val="1"/>
              <c:tx>
                <c:rich>
                  <a:bodyPr/>
                  <a:lstStyle/>
                  <a:p>
                    <a:fld id="{69F03CCC-BDFA-4BB2-80AA-CE3F6E3D666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4F54-420F-931C-CB1546A3E10A}"/>
                </c:ext>
              </c:extLst>
            </c:dLbl>
            <c:dLbl>
              <c:idx val="2"/>
              <c:tx>
                <c:rich>
                  <a:bodyPr/>
                  <a:lstStyle/>
                  <a:p>
                    <a:fld id="{B12CCC01-C692-406E-9985-B6D29E8758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4F54-420F-931C-CB1546A3E10A}"/>
                </c:ext>
              </c:extLst>
            </c:dLbl>
            <c:dLbl>
              <c:idx val="3"/>
              <c:tx>
                <c:rich>
                  <a:bodyPr/>
                  <a:lstStyle/>
                  <a:p>
                    <a:fld id="{5C381922-44F6-433B-BFB3-6ED1D1D7CEF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F54-420F-931C-CB1546A3E10A}"/>
                </c:ext>
              </c:extLst>
            </c:dLbl>
            <c:dLbl>
              <c:idx val="4"/>
              <c:tx>
                <c:rich>
                  <a:bodyPr/>
                  <a:lstStyle/>
                  <a:p>
                    <a:fld id="{13E5F49C-955C-491B-8E49-A66BC2C3BCA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4F54-420F-931C-CB1546A3E10A}"/>
                </c:ext>
              </c:extLst>
            </c:dLbl>
            <c:dLbl>
              <c:idx val="5"/>
              <c:tx>
                <c:rich>
                  <a:bodyPr/>
                  <a:lstStyle/>
                  <a:p>
                    <a:fld id="{283BBA20-D51C-4574-A64D-A8342D62963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4F54-420F-931C-CB1546A3E10A}"/>
                </c:ext>
              </c:extLst>
            </c:dLbl>
            <c:dLbl>
              <c:idx val="6"/>
              <c:tx>
                <c:rich>
                  <a:bodyPr/>
                  <a:lstStyle/>
                  <a:p>
                    <a:fld id="{620185A7-A576-437F-8181-3FB9797D43C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F54-420F-931C-CB1546A3E10A}"/>
                </c:ext>
              </c:extLst>
            </c:dLbl>
            <c:dLbl>
              <c:idx val="7"/>
              <c:tx>
                <c:rich>
                  <a:bodyPr/>
                  <a:lstStyle/>
                  <a:p>
                    <a:fld id="{AA36F7BF-9851-49AA-9A5B-AA29D56021C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4F54-420F-931C-CB1546A3E10A}"/>
                </c:ext>
              </c:extLst>
            </c:dLbl>
            <c:dLbl>
              <c:idx val="8"/>
              <c:tx>
                <c:rich>
                  <a:bodyPr/>
                  <a:lstStyle/>
                  <a:p>
                    <a:fld id="{180502C3-F324-4E4D-B198-C2B98ADA29B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4F54-420F-931C-CB1546A3E10A}"/>
                </c:ext>
              </c:extLst>
            </c:dLbl>
            <c:dLbl>
              <c:idx val="9"/>
              <c:tx>
                <c:rich>
                  <a:bodyPr/>
                  <a:lstStyle/>
                  <a:p>
                    <a:fld id="{4C746B4D-950B-4CC8-BE61-2E8790C7331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F54-420F-931C-CB1546A3E10A}"/>
                </c:ext>
              </c:extLst>
            </c:dLbl>
            <c:dLbl>
              <c:idx val="10"/>
              <c:tx>
                <c:rich>
                  <a:bodyPr/>
                  <a:lstStyle/>
                  <a:p>
                    <a:fld id="{27321AD8-B99C-4A93-8DBE-A1BF4F949F9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4F54-420F-931C-CB1546A3E10A}"/>
                </c:ext>
              </c:extLst>
            </c:dLbl>
            <c:dLbl>
              <c:idx val="11"/>
              <c:tx>
                <c:rich>
                  <a:bodyPr/>
                  <a:lstStyle/>
                  <a:p>
                    <a:fld id="{CD9DB730-AAEF-4D35-9FFF-1E51A9604C5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4F54-420F-931C-CB1546A3E10A}"/>
                </c:ext>
              </c:extLst>
            </c:dLbl>
            <c:dLbl>
              <c:idx val="12"/>
              <c:tx>
                <c:rich>
                  <a:bodyPr/>
                  <a:lstStyle/>
                  <a:p>
                    <a:fld id="{99E6A4CD-0D1D-4047-B8CB-7B407551AD5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4F54-420F-931C-CB1546A3E10A}"/>
                </c:ext>
              </c:extLst>
            </c:dLbl>
            <c:dLbl>
              <c:idx val="13"/>
              <c:tx>
                <c:rich>
                  <a:bodyPr/>
                  <a:lstStyle/>
                  <a:p>
                    <a:fld id="{24817305-E604-4456-AF74-454AB81BB51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4F54-420F-931C-CB1546A3E10A}"/>
                </c:ext>
              </c:extLst>
            </c:dLbl>
            <c:dLbl>
              <c:idx val="14"/>
              <c:tx>
                <c:rich>
                  <a:bodyPr/>
                  <a:lstStyle/>
                  <a:p>
                    <a:fld id="{488AB25C-63F2-4C16-B7CF-3C4DB90D52A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4F54-420F-931C-CB1546A3E10A}"/>
                </c:ext>
              </c:extLst>
            </c:dLbl>
            <c:dLbl>
              <c:idx val="15"/>
              <c:tx>
                <c:rich>
                  <a:bodyPr/>
                  <a:lstStyle/>
                  <a:p>
                    <a:fld id="{A771B76D-0E55-4BDB-AF47-71385A5B462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4F54-420F-931C-CB1546A3E10A}"/>
                </c:ext>
              </c:extLst>
            </c:dLbl>
            <c:dLbl>
              <c:idx val="16"/>
              <c:tx>
                <c:rich>
                  <a:bodyPr/>
                  <a:lstStyle/>
                  <a:p>
                    <a:fld id="{8D1D395F-B3AC-40B9-A6C7-5133460A9B8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4F54-420F-931C-CB1546A3E10A}"/>
                </c:ext>
              </c:extLst>
            </c:dLbl>
            <c:dLbl>
              <c:idx val="17"/>
              <c:tx>
                <c:rich>
                  <a:bodyPr/>
                  <a:lstStyle/>
                  <a:p>
                    <a:fld id="{C9DBE4CC-FEC7-47C5-9170-E3E46170714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4F54-420F-931C-CB1546A3E10A}"/>
                </c:ext>
              </c:extLst>
            </c:dLbl>
            <c:dLbl>
              <c:idx val="18"/>
              <c:tx>
                <c:rich>
                  <a:bodyPr/>
                  <a:lstStyle/>
                  <a:p>
                    <a:fld id="{6B32FE27-FE3F-46D7-9AB8-BC324EE1193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4F54-420F-931C-CB1546A3E10A}"/>
                </c:ext>
              </c:extLst>
            </c:dLbl>
            <c:dLbl>
              <c:idx val="19"/>
              <c:tx>
                <c:rich>
                  <a:bodyPr/>
                  <a:lstStyle/>
                  <a:p>
                    <a:fld id="{8E9257EA-13E4-4C36-B39B-0C085112DC4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4F54-420F-931C-CB1546A3E10A}"/>
                </c:ext>
              </c:extLst>
            </c:dLbl>
            <c:dLbl>
              <c:idx val="20"/>
              <c:tx>
                <c:rich>
                  <a:bodyPr/>
                  <a:lstStyle/>
                  <a:p>
                    <a:fld id="{DF89A5ED-E8E4-4ADE-B3CC-CEEA7E73B5A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4F54-420F-931C-CB1546A3E10A}"/>
                </c:ext>
              </c:extLst>
            </c:dLbl>
            <c:dLbl>
              <c:idx val="21"/>
              <c:tx>
                <c:rich>
                  <a:bodyPr/>
                  <a:lstStyle/>
                  <a:p>
                    <a:fld id="{8E9D0B90-D4E9-40A8-9ECB-A2BF6972A0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4F54-420F-931C-CB1546A3E10A}"/>
                </c:ext>
              </c:extLst>
            </c:dLbl>
            <c:dLbl>
              <c:idx val="22"/>
              <c:tx>
                <c:rich>
                  <a:bodyPr/>
                  <a:lstStyle/>
                  <a:p>
                    <a:fld id="{C6E8337C-CA28-4D20-90D3-06D8C03B344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4F54-420F-931C-CB1546A3E10A}"/>
                </c:ext>
              </c:extLst>
            </c:dLbl>
            <c:dLbl>
              <c:idx val="23"/>
              <c:tx>
                <c:rich>
                  <a:bodyPr/>
                  <a:lstStyle/>
                  <a:p>
                    <a:fld id="{8F410947-6393-4B3D-9016-A487A85141A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4F54-420F-931C-CB1546A3E10A}"/>
                </c:ext>
              </c:extLst>
            </c:dLbl>
            <c:dLbl>
              <c:idx val="24"/>
              <c:tx>
                <c:rich>
                  <a:bodyPr/>
                  <a:lstStyle/>
                  <a:p>
                    <a:fld id="{4F821B43-6B67-4852-B76A-820179DFF35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4F54-420F-931C-CB1546A3E10A}"/>
                </c:ext>
              </c:extLst>
            </c:dLbl>
            <c:dLbl>
              <c:idx val="25"/>
              <c:tx>
                <c:rich>
                  <a:bodyPr/>
                  <a:lstStyle/>
                  <a:p>
                    <a:fld id="{511A4DB5-434B-4461-A532-4E8A6AD5AB7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4F54-420F-931C-CB1546A3E10A}"/>
                </c:ext>
              </c:extLst>
            </c:dLbl>
            <c:dLbl>
              <c:idx val="26"/>
              <c:tx>
                <c:rich>
                  <a:bodyPr/>
                  <a:lstStyle/>
                  <a:p>
                    <a:fld id="{ACFED993-C521-4A76-A153-D556CC9288A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4F54-420F-931C-CB1546A3E10A}"/>
                </c:ext>
              </c:extLst>
            </c:dLbl>
            <c:dLbl>
              <c:idx val="27"/>
              <c:tx>
                <c:rich>
                  <a:bodyPr/>
                  <a:lstStyle/>
                  <a:p>
                    <a:fld id="{6F1E1E19-4CB5-4E29-936E-830C436F222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4F54-420F-931C-CB1546A3E10A}"/>
                </c:ext>
              </c:extLst>
            </c:dLbl>
            <c:dLbl>
              <c:idx val="28"/>
              <c:tx>
                <c:rich>
                  <a:bodyPr/>
                  <a:lstStyle/>
                  <a:p>
                    <a:fld id="{15C08AD3-E4C7-490D-BDC6-127EAB773BC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4F54-420F-931C-CB1546A3E10A}"/>
                </c:ext>
              </c:extLst>
            </c:dLbl>
            <c:dLbl>
              <c:idx val="29"/>
              <c:tx>
                <c:rich>
                  <a:bodyPr/>
                  <a:lstStyle/>
                  <a:p>
                    <a:fld id="{DA77A69F-090E-4C15-8696-5C75F26DE0A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4F54-420F-931C-CB1546A3E10A}"/>
                </c:ext>
              </c:extLst>
            </c:dLbl>
            <c:dLbl>
              <c:idx val="30"/>
              <c:tx>
                <c:rich>
                  <a:bodyPr/>
                  <a:lstStyle/>
                  <a:p>
                    <a:fld id="{86EDB57C-6046-45B5-A24A-E5F2B5D138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4F54-420F-931C-CB1546A3E10A}"/>
                </c:ext>
              </c:extLst>
            </c:dLbl>
            <c:dLbl>
              <c:idx val="31"/>
              <c:tx>
                <c:rich>
                  <a:bodyPr/>
                  <a:lstStyle/>
                  <a:p>
                    <a:fld id="{BF85CFD8-6A95-499E-9DD3-73D58F79042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4F54-420F-931C-CB1546A3E10A}"/>
                </c:ext>
              </c:extLst>
            </c:dLbl>
            <c:dLbl>
              <c:idx val="32"/>
              <c:tx>
                <c:rich>
                  <a:bodyPr/>
                  <a:lstStyle/>
                  <a:p>
                    <a:fld id="{6A1D8A40-A992-4487-9E98-153DAA65481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4F54-420F-931C-CB1546A3E10A}"/>
                </c:ext>
              </c:extLst>
            </c:dLbl>
            <c:dLbl>
              <c:idx val="33"/>
              <c:tx>
                <c:rich>
                  <a:bodyPr/>
                  <a:lstStyle/>
                  <a:p>
                    <a:fld id="{85D30ED1-EE5D-4996-97E5-1FCC306258E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4F54-420F-931C-CB1546A3E10A}"/>
                </c:ext>
              </c:extLst>
            </c:dLbl>
            <c:dLbl>
              <c:idx val="34"/>
              <c:tx>
                <c:rich>
                  <a:bodyPr/>
                  <a:lstStyle/>
                  <a:p>
                    <a:fld id="{BACB8362-41AA-4B10-B7F4-8E81BDB3D1F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4F54-420F-931C-CB1546A3E10A}"/>
                </c:ext>
              </c:extLst>
            </c:dLbl>
            <c:dLbl>
              <c:idx val="35"/>
              <c:tx>
                <c:rich>
                  <a:bodyPr/>
                  <a:lstStyle/>
                  <a:p>
                    <a:fld id="{4AED2341-DC0F-4066-BCEE-44F60635AE3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4F54-420F-931C-CB1546A3E10A}"/>
                </c:ext>
              </c:extLst>
            </c:dLbl>
            <c:dLbl>
              <c:idx val="36"/>
              <c:tx>
                <c:rich>
                  <a:bodyPr/>
                  <a:lstStyle/>
                  <a:p>
                    <a:fld id="{E18925E0-21EB-4AA9-BAEC-2A7A4D0B00C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4F54-420F-931C-CB1546A3E10A}"/>
                </c:ext>
              </c:extLst>
            </c:dLbl>
            <c:dLbl>
              <c:idx val="37"/>
              <c:tx>
                <c:rich>
                  <a:bodyPr/>
                  <a:lstStyle/>
                  <a:p>
                    <a:fld id="{478ED6EC-FECC-4AF6-9C2D-4B97015637F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4F54-420F-931C-CB1546A3E10A}"/>
                </c:ext>
              </c:extLst>
            </c:dLbl>
            <c:dLbl>
              <c:idx val="38"/>
              <c:tx>
                <c:rich>
                  <a:bodyPr/>
                  <a:lstStyle/>
                  <a:p>
                    <a:fld id="{F9A5C9E9-3022-4046-ADDF-30ED5976C52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4F54-420F-931C-CB1546A3E10A}"/>
                </c:ext>
              </c:extLst>
            </c:dLbl>
            <c:dLbl>
              <c:idx val="39"/>
              <c:tx>
                <c:rich>
                  <a:bodyPr/>
                  <a:lstStyle/>
                  <a:p>
                    <a:fld id="{71E02789-5753-474E-813E-0D3C072D63F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4F54-420F-931C-CB1546A3E10A}"/>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Usluge!$A$150:$A$189</c:f>
              <c:numCache>
                <c:formatCode>yyyy</c:formatCode>
                <c:ptCount val="40"/>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pt idx="39">
                  <c:v>45383</c:v>
                </c:pt>
              </c:numCache>
            </c:numRef>
          </c:cat>
          <c:val>
            <c:numRef>
              <c:f>Usluge!$W$150:$W$189</c:f>
              <c:numCache>
                <c:formatCode>General</c:formatCode>
                <c:ptCount val="4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numCache>
            </c:numRef>
          </c:val>
          <c:smooth val="0"/>
          <c:extLst>
            <c:ext xmlns:c15="http://schemas.microsoft.com/office/drawing/2012/chart" uri="{02D57815-91ED-43cb-92C2-25804820EDAC}">
              <c15:datalabelsRange>
                <c15:f>Usluge!$J$150:$J$189</c15:f>
                <c15:dlblRangeCache>
                  <c:ptCount val="40"/>
                  <c:pt idx="0">
                    <c:v>I</c:v>
                  </c:pt>
                  <c:pt idx="3">
                    <c:v>IV</c:v>
                  </c:pt>
                  <c:pt idx="6">
                    <c:v>VII</c:v>
                  </c:pt>
                  <c:pt idx="9">
                    <c:v>X</c:v>
                  </c:pt>
                  <c:pt idx="12">
                    <c:v>I</c:v>
                  </c:pt>
                  <c:pt idx="15">
                    <c:v>IV</c:v>
                  </c:pt>
                  <c:pt idx="18">
                    <c:v>VII</c:v>
                  </c:pt>
                  <c:pt idx="21">
                    <c:v>X</c:v>
                  </c:pt>
                  <c:pt idx="24">
                    <c:v>I</c:v>
                  </c:pt>
                  <c:pt idx="27">
                    <c:v>IV</c:v>
                  </c:pt>
                  <c:pt idx="30">
                    <c:v>VII</c:v>
                  </c:pt>
                  <c:pt idx="33">
                    <c:v>X</c:v>
                  </c:pt>
                  <c:pt idx="36">
                    <c:v>I</c:v>
                  </c:pt>
                  <c:pt idx="39">
                    <c:v>IV</c:v>
                  </c:pt>
                </c15:dlblRangeCache>
              </c15:datalabelsRange>
            </c:ext>
            <c:ext xmlns:c16="http://schemas.microsoft.com/office/drawing/2014/chart" uri="{C3380CC4-5D6E-409C-BE32-E72D297353CC}">
              <c16:uniqueId val="{00000030-4F54-420F-931C-CB1546A3E10A}"/>
            </c:ext>
          </c:extLst>
        </c:ser>
        <c:dLbls>
          <c:showLegendKey val="0"/>
          <c:showVal val="0"/>
          <c:showCatName val="0"/>
          <c:showSerName val="0"/>
          <c:showPercent val="0"/>
          <c:showBubbleSize val="0"/>
        </c:dLbls>
        <c:smooth val="0"/>
        <c:axId val="1828917968"/>
        <c:axId val="1828917424"/>
      </c:lineChart>
      <c:dateAx>
        <c:axId val="182891796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17424"/>
        <c:crosses val="autoZero"/>
        <c:auto val="1"/>
        <c:lblOffset val="0"/>
        <c:baseTimeUnit val="months"/>
        <c:majorUnit val="12"/>
        <c:majorTimeUnit val="months"/>
      </c:dateAx>
      <c:valAx>
        <c:axId val="1828917424"/>
        <c:scaling>
          <c:orientation val="minMax"/>
          <c:max val="170"/>
          <c:min val="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1796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6.5355171586273103E-2"/>
          <c:w val="0.87139027777777778"/>
          <c:h val="0.81151726726726725"/>
        </c:manualLayout>
      </c:layout>
      <c:lineChart>
        <c:grouping val="standard"/>
        <c:varyColors val="0"/>
        <c:ser>
          <c:idx val="0"/>
          <c:order val="0"/>
          <c:tx>
            <c:strRef>
              <c:f>Usluge!$L$5</c:f>
              <c:strCache>
                <c:ptCount val="1"/>
                <c:pt idx="0">
                  <c:v>y</c:v>
                </c:pt>
              </c:strCache>
            </c:strRef>
          </c:tx>
          <c:spPr>
            <a:ln w="12700" cap="rnd">
              <a:solidFill>
                <a:srgbClr val="7F3F98"/>
              </a:solidFill>
              <a:prstDash val="sysDash"/>
              <a:round/>
            </a:ln>
            <a:effectLst/>
          </c:spPr>
          <c:marker>
            <c:symbol val="none"/>
          </c:marker>
          <c:cat>
            <c:numRef>
              <c:f>Usluge!$A$150:$A$187</c:f>
              <c:numCache>
                <c:formatCode>yyyy</c:formatCode>
                <c:ptCount val="38"/>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numCache>
            </c:numRef>
          </c:cat>
          <c:val>
            <c:numRef>
              <c:f>Usluge!$L$150:$L$187</c:f>
              <c:numCache>
                <c:formatCode>0.0</c:formatCode>
                <c:ptCount val="38"/>
                <c:pt idx="0">
                  <c:v>51.519301417999998</c:v>
                </c:pt>
                <c:pt idx="1">
                  <c:v>50.550244735</c:v>
                </c:pt>
                <c:pt idx="2">
                  <c:v>39.56760233</c:v>
                </c:pt>
                <c:pt idx="3">
                  <c:v>47.707678465000001</c:v>
                </c:pt>
                <c:pt idx="4">
                  <c:v>65.213893364</c:v>
                </c:pt>
                <c:pt idx="5">
                  <c:v>71.311516596000004</c:v>
                </c:pt>
                <c:pt idx="6">
                  <c:v>79.063970058999999</c:v>
                </c:pt>
                <c:pt idx="7">
                  <c:v>81.712724992000005</c:v>
                </c:pt>
                <c:pt idx="8">
                  <c:v>74.476052514000003</c:v>
                </c:pt>
                <c:pt idx="9">
                  <c:v>75.445109196999994</c:v>
                </c:pt>
                <c:pt idx="10">
                  <c:v>67.769364018999994</c:v>
                </c:pt>
                <c:pt idx="11">
                  <c:v>77.201515731000001</c:v>
                </c:pt>
                <c:pt idx="12">
                  <c:v>75.182253208000006</c:v>
                </c:pt>
                <c:pt idx="13">
                  <c:v>75.637936170000003</c:v>
                </c:pt>
                <c:pt idx="14">
                  <c:v>84.328947834000004</c:v>
                </c:pt>
                <c:pt idx="15">
                  <c:v>81.492933500999996</c:v>
                </c:pt>
                <c:pt idx="16">
                  <c:v>96.953785830000001</c:v>
                </c:pt>
                <c:pt idx="17">
                  <c:v>95.307067830999998</c:v>
                </c:pt>
                <c:pt idx="18">
                  <c:v>98.186733532999995</c:v>
                </c:pt>
                <c:pt idx="19">
                  <c:v>100.931263532</c:v>
                </c:pt>
                <c:pt idx="20">
                  <c:v>93.521032534</c:v>
                </c:pt>
                <c:pt idx="21">
                  <c:v>101.205716532</c:v>
                </c:pt>
                <c:pt idx="22">
                  <c:v>89.197224974999997</c:v>
                </c:pt>
                <c:pt idx="23">
                  <c:v>103.83471830400001</c:v>
                </c:pt>
                <c:pt idx="24">
                  <c:v>89.7</c:v>
                </c:pt>
                <c:pt idx="25">
                  <c:v>87.7</c:v>
                </c:pt>
                <c:pt idx="26">
                  <c:v>96.8</c:v>
                </c:pt>
                <c:pt idx="27">
                  <c:v>90.4</c:v>
                </c:pt>
                <c:pt idx="28">
                  <c:v>99.4</c:v>
                </c:pt>
                <c:pt idx="29">
                  <c:v>103.9</c:v>
                </c:pt>
                <c:pt idx="30">
                  <c:v>101</c:v>
                </c:pt>
                <c:pt idx="31">
                  <c:v>107.2</c:v>
                </c:pt>
                <c:pt idx="32">
                  <c:v>102.1</c:v>
                </c:pt>
                <c:pt idx="33">
                  <c:v>105.8</c:v>
                </c:pt>
                <c:pt idx="34">
                  <c:v>99.8</c:v>
                </c:pt>
                <c:pt idx="35">
                  <c:v>114.6</c:v>
                </c:pt>
                <c:pt idx="36">
                  <c:v>102.8</c:v>
                </c:pt>
                <c:pt idx="37">
                  <c:v>102.3</c:v>
                </c:pt>
              </c:numCache>
            </c:numRef>
          </c:val>
          <c:smooth val="0"/>
          <c:extLst>
            <c:ext xmlns:c16="http://schemas.microsoft.com/office/drawing/2014/chart" uri="{C3380CC4-5D6E-409C-BE32-E72D297353CC}">
              <c16:uniqueId val="{00000000-E4D2-450E-9BAE-05885035630C}"/>
            </c:ext>
          </c:extLst>
        </c:ser>
        <c:ser>
          <c:idx val="1"/>
          <c:order val="1"/>
          <c:tx>
            <c:strRef>
              <c:f>Usluge!$M$5</c:f>
              <c:strCache>
                <c:ptCount val="1"/>
                <c:pt idx="0">
                  <c:v>sa</c:v>
                </c:pt>
              </c:strCache>
            </c:strRef>
          </c:tx>
          <c:spPr>
            <a:ln w="22225" cap="rnd">
              <a:solidFill>
                <a:srgbClr val="25AAE1"/>
              </a:solidFill>
              <a:round/>
            </a:ln>
            <a:effectLst/>
          </c:spPr>
          <c:marker>
            <c:symbol val="none"/>
          </c:marker>
          <c:cat>
            <c:numRef>
              <c:f>Usluge!$A$150:$A$187</c:f>
              <c:numCache>
                <c:formatCode>yyyy</c:formatCode>
                <c:ptCount val="38"/>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numCache>
            </c:numRef>
          </c:cat>
          <c:val>
            <c:numRef>
              <c:f>Usluge!$M$150:$M$187</c:f>
              <c:numCache>
                <c:formatCode>0.0</c:formatCode>
                <c:ptCount val="38"/>
                <c:pt idx="0">
                  <c:v>52.973969386999997</c:v>
                </c:pt>
                <c:pt idx="1">
                  <c:v>53.175214335</c:v>
                </c:pt>
                <c:pt idx="2">
                  <c:v>38.545155266999998</c:v>
                </c:pt>
                <c:pt idx="3">
                  <c:v>50.327346902000002</c:v>
                </c:pt>
                <c:pt idx="4">
                  <c:v>62.415654910000001</c:v>
                </c:pt>
                <c:pt idx="5">
                  <c:v>68.229433099999994</c:v>
                </c:pt>
                <c:pt idx="6">
                  <c:v>76.243872115000002</c:v>
                </c:pt>
                <c:pt idx="7">
                  <c:v>76.699376178999998</c:v>
                </c:pt>
                <c:pt idx="8">
                  <c:v>74.788393826000004</c:v>
                </c:pt>
                <c:pt idx="9">
                  <c:v>75.445597833999997</c:v>
                </c:pt>
                <c:pt idx="10">
                  <c:v>74.549522585000005</c:v>
                </c:pt>
                <c:pt idx="11">
                  <c:v>74.987383844999997</c:v>
                </c:pt>
                <c:pt idx="12">
                  <c:v>78.209411435999996</c:v>
                </c:pt>
                <c:pt idx="13">
                  <c:v>80.906351817000001</c:v>
                </c:pt>
                <c:pt idx="14">
                  <c:v>83.234698041000001</c:v>
                </c:pt>
                <c:pt idx="15">
                  <c:v>86.617785162000004</c:v>
                </c:pt>
                <c:pt idx="16">
                  <c:v>93.035469457000005</c:v>
                </c:pt>
                <c:pt idx="17">
                  <c:v>90.953925046999998</c:v>
                </c:pt>
                <c:pt idx="18">
                  <c:v>94.611248803999999</c:v>
                </c:pt>
                <c:pt idx="19">
                  <c:v>94.325929113000001</c:v>
                </c:pt>
                <c:pt idx="20">
                  <c:v>94.414084161999995</c:v>
                </c:pt>
                <c:pt idx="21">
                  <c:v>99.480171604000006</c:v>
                </c:pt>
                <c:pt idx="22">
                  <c:v>96.998472526</c:v>
                </c:pt>
                <c:pt idx="23">
                  <c:v>98.817672705000007</c:v>
                </c:pt>
                <c:pt idx="24">
                  <c:v>94.481492451999998</c:v>
                </c:pt>
                <c:pt idx="25">
                  <c:v>95.380300869999999</c:v>
                </c:pt>
                <c:pt idx="26">
                  <c:v>96.573501035000007</c:v>
                </c:pt>
                <c:pt idx="27">
                  <c:v>96.740881428999998</c:v>
                </c:pt>
                <c:pt idx="28">
                  <c:v>95.891204676000001</c:v>
                </c:pt>
                <c:pt idx="29">
                  <c:v>98.697957110000004</c:v>
                </c:pt>
                <c:pt idx="30">
                  <c:v>97.514440437999994</c:v>
                </c:pt>
                <c:pt idx="31">
                  <c:v>100.076662364</c:v>
                </c:pt>
                <c:pt idx="32">
                  <c:v>102.70636153300001</c:v>
                </c:pt>
                <c:pt idx="33">
                  <c:v>103.350451991</c:v>
                </c:pt>
                <c:pt idx="34">
                  <c:v>107.297983902</c:v>
                </c:pt>
                <c:pt idx="35">
                  <c:v>108.05267068000001</c:v>
                </c:pt>
                <c:pt idx="36">
                  <c:v>108.80410940900001</c:v>
                </c:pt>
                <c:pt idx="37">
                  <c:v>108.497103624</c:v>
                </c:pt>
              </c:numCache>
            </c:numRef>
          </c:val>
          <c:smooth val="0"/>
          <c:extLst>
            <c:ext xmlns:c16="http://schemas.microsoft.com/office/drawing/2014/chart" uri="{C3380CC4-5D6E-409C-BE32-E72D297353CC}">
              <c16:uniqueId val="{00000001-E4D2-450E-9BAE-05885035630C}"/>
            </c:ext>
          </c:extLst>
        </c:ser>
        <c:ser>
          <c:idx val="2"/>
          <c:order val="2"/>
          <c:tx>
            <c:strRef>
              <c:f>Usluge!$N$5</c:f>
              <c:strCache>
                <c:ptCount val="1"/>
                <c:pt idx="0">
                  <c:v>t</c:v>
                </c:pt>
              </c:strCache>
            </c:strRef>
          </c:tx>
          <c:spPr>
            <a:ln w="25400" cap="rnd">
              <a:solidFill>
                <a:srgbClr val="FF0000"/>
              </a:solidFill>
              <a:round/>
            </a:ln>
            <a:effectLst/>
          </c:spPr>
          <c:marker>
            <c:symbol val="none"/>
          </c:marker>
          <c:cat>
            <c:numRef>
              <c:f>Usluge!$A$150:$A$187</c:f>
              <c:numCache>
                <c:formatCode>yyyy</c:formatCode>
                <c:ptCount val="38"/>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numCache>
            </c:numRef>
          </c:cat>
          <c:val>
            <c:numRef>
              <c:f>Usluge!$N$150:$N$187</c:f>
              <c:numCache>
                <c:formatCode>0.0</c:formatCode>
                <c:ptCount val="38"/>
                <c:pt idx="0">
                  <c:v>49.938211135000003</c:v>
                </c:pt>
                <c:pt idx="1">
                  <c:v>52.848136910999997</c:v>
                </c:pt>
                <c:pt idx="2">
                  <c:v>56.048167305</c:v>
                </c:pt>
                <c:pt idx="3">
                  <c:v>59.636073625999998</c:v>
                </c:pt>
                <c:pt idx="4">
                  <c:v>63.554304416999997</c:v>
                </c:pt>
                <c:pt idx="5">
                  <c:v>67.470052472999996</c:v>
                </c:pt>
                <c:pt idx="6">
                  <c:v>70.843201207999996</c:v>
                </c:pt>
                <c:pt idx="7">
                  <c:v>73.225552911999998</c:v>
                </c:pt>
                <c:pt idx="8">
                  <c:v>74.560270864000003</c:v>
                </c:pt>
                <c:pt idx="9">
                  <c:v>75.173700597999996</c:v>
                </c:pt>
                <c:pt idx="10">
                  <c:v>75.612550776000006</c:v>
                </c:pt>
                <c:pt idx="11">
                  <c:v>76.514442118999995</c:v>
                </c:pt>
                <c:pt idx="12">
                  <c:v>78.210402673999994</c:v>
                </c:pt>
                <c:pt idx="13">
                  <c:v>80.698413036000005</c:v>
                </c:pt>
                <c:pt idx="14">
                  <c:v>83.719157424000002</c:v>
                </c:pt>
                <c:pt idx="15">
                  <c:v>86.758865236000005</c:v>
                </c:pt>
                <c:pt idx="16">
                  <c:v>89.493173096999996</c:v>
                </c:pt>
                <c:pt idx="17">
                  <c:v>91.719783215000007</c:v>
                </c:pt>
                <c:pt idx="18">
                  <c:v>93.541002164000005</c:v>
                </c:pt>
                <c:pt idx="19">
                  <c:v>95.015514706000005</c:v>
                </c:pt>
                <c:pt idx="20">
                  <c:v>96.086943796</c:v>
                </c:pt>
                <c:pt idx="21">
                  <c:v>96.739052803000007</c:v>
                </c:pt>
                <c:pt idx="22">
                  <c:v>97.023176292000002</c:v>
                </c:pt>
                <c:pt idx="23">
                  <c:v>96.932517340999993</c:v>
                </c:pt>
                <c:pt idx="24">
                  <c:v>96.607041148999997</c:v>
                </c:pt>
                <c:pt idx="25">
                  <c:v>96.270584638000003</c:v>
                </c:pt>
                <c:pt idx="26">
                  <c:v>96.062999048999998</c:v>
                </c:pt>
                <c:pt idx="27">
                  <c:v>96.205589181999997</c:v>
                </c:pt>
                <c:pt idx="28">
                  <c:v>96.723769945000001</c:v>
                </c:pt>
                <c:pt idx="29">
                  <c:v>97.564493073999998</c:v>
                </c:pt>
                <c:pt idx="30">
                  <c:v>98.773210922999993</c:v>
                </c:pt>
                <c:pt idx="31">
                  <c:v>100.35157368199999</c:v>
                </c:pt>
                <c:pt idx="32">
                  <c:v>102.279901146</c:v>
                </c:pt>
                <c:pt idx="33">
                  <c:v>104.287259285</c:v>
                </c:pt>
                <c:pt idx="34">
                  <c:v>106.05942573999999</c:v>
                </c:pt>
                <c:pt idx="35">
                  <c:v>107.422902464</c:v>
                </c:pt>
                <c:pt idx="36">
                  <c:v>108.36464861</c:v>
                </c:pt>
                <c:pt idx="37">
                  <c:v>109.010452126</c:v>
                </c:pt>
              </c:numCache>
            </c:numRef>
          </c:val>
          <c:smooth val="0"/>
          <c:extLst>
            <c:ext xmlns:c16="http://schemas.microsoft.com/office/drawing/2014/chart" uri="{C3380CC4-5D6E-409C-BE32-E72D297353CC}">
              <c16:uniqueId val="{00000002-E4D2-450E-9BAE-05885035630C}"/>
            </c:ext>
          </c:extLst>
        </c:ser>
        <c:ser>
          <c:idx val="3"/>
          <c:order val="3"/>
          <c:tx>
            <c:strRef>
              <c:f>Usluge!$O$5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8.6366666666666619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4D2-450E-9BAE-05885035630C}"/>
                </c:ext>
              </c:extLst>
            </c:dLbl>
            <c:dLbl>
              <c:idx val="12"/>
              <c:layout>
                <c:manualLayout>
                  <c:x val="8.096388888888889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4D2-450E-9BAE-05885035630C}"/>
                </c:ext>
              </c:extLst>
            </c:dLbl>
            <c:dLbl>
              <c:idx val="24"/>
              <c:layout>
                <c:manualLayout>
                  <c:x val="8.2340625000000001E-2"/>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4D2-450E-9BAE-05885035630C}"/>
                </c:ext>
              </c:extLst>
            </c:dLbl>
            <c:dLbl>
              <c:idx val="36"/>
              <c:layout>
                <c:manualLayout>
                  <c:x val="-3.6052083333333335E-3"/>
                  <c:y val="6.51816816816816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4D2-450E-9BAE-05885035630C}"/>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Usluge!$A$150:$A$187</c:f>
              <c:numCache>
                <c:formatCode>yyyy</c:formatCode>
                <c:ptCount val="38"/>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numCache>
            </c:numRef>
          </c:cat>
          <c:val>
            <c:numRef>
              <c:f>Usluge!$O$150:$O$187</c:f>
              <c:numCache>
                <c:formatCode>General</c:formatCode>
                <c:ptCount val="38"/>
                <c:pt idx="0">
                  <c:v>20</c:v>
                </c:pt>
                <c:pt idx="12">
                  <c:v>20</c:v>
                </c:pt>
                <c:pt idx="24">
                  <c:v>20</c:v>
                </c:pt>
                <c:pt idx="36">
                  <c:v>20</c:v>
                </c:pt>
              </c:numCache>
            </c:numRef>
          </c:val>
          <c:smooth val="0"/>
          <c:extLst>
            <c:ext xmlns:c16="http://schemas.microsoft.com/office/drawing/2014/chart" uri="{C3380CC4-5D6E-409C-BE32-E72D297353CC}">
              <c16:uniqueId val="{00000007-E4D2-450E-9BAE-05885035630C}"/>
            </c:ext>
          </c:extLst>
        </c:ser>
        <c:ser>
          <c:idx val="4"/>
          <c:order val="4"/>
          <c:tx>
            <c:strRef>
              <c:f>Usluge!$P$5</c:f>
              <c:strCache>
                <c:ptCount val="1"/>
                <c:pt idx="0">
                  <c:v>Series5</c:v>
                </c:pt>
              </c:strCache>
            </c:strRef>
          </c:tx>
          <c:spPr>
            <a:ln w="25400" cap="rnd">
              <a:noFill/>
              <a:round/>
            </a:ln>
            <a:effectLst/>
          </c:spPr>
          <c:marker>
            <c:symbol val="none"/>
          </c:marker>
          <c:dLbls>
            <c:dLbl>
              <c:idx val="0"/>
              <c:tx>
                <c:rich>
                  <a:bodyPr/>
                  <a:lstStyle/>
                  <a:p>
                    <a:fld id="{E502A289-6916-4BD7-813F-7D98E1672AA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E4D2-450E-9BAE-05885035630C}"/>
                </c:ext>
              </c:extLst>
            </c:dLbl>
            <c:dLbl>
              <c:idx val="1"/>
              <c:tx>
                <c:rich>
                  <a:bodyPr/>
                  <a:lstStyle/>
                  <a:p>
                    <a:fld id="{E952EFA3-FB4A-4F12-9B13-A65355C6F69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E4D2-450E-9BAE-05885035630C}"/>
                </c:ext>
              </c:extLst>
            </c:dLbl>
            <c:dLbl>
              <c:idx val="2"/>
              <c:tx>
                <c:rich>
                  <a:bodyPr/>
                  <a:lstStyle/>
                  <a:p>
                    <a:fld id="{0358AFC8-7ADE-4C13-A1C2-5D9A95DC161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E4D2-450E-9BAE-05885035630C}"/>
                </c:ext>
              </c:extLst>
            </c:dLbl>
            <c:dLbl>
              <c:idx val="3"/>
              <c:tx>
                <c:rich>
                  <a:bodyPr/>
                  <a:lstStyle/>
                  <a:p>
                    <a:fld id="{7F17BDEB-4821-4613-AE1F-4E198B6DD1E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E4D2-450E-9BAE-05885035630C}"/>
                </c:ext>
              </c:extLst>
            </c:dLbl>
            <c:dLbl>
              <c:idx val="4"/>
              <c:tx>
                <c:rich>
                  <a:bodyPr/>
                  <a:lstStyle/>
                  <a:p>
                    <a:fld id="{72B49AC7-313E-41DB-A88C-DD41950AE9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E4D2-450E-9BAE-05885035630C}"/>
                </c:ext>
              </c:extLst>
            </c:dLbl>
            <c:dLbl>
              <c:idx val="5"/>
              <c:tx>
                <c:rich>
                  <a:bodyPr/>
                  <a:lstStyle/>
                  <a:p>
                    <a:fld id="{19CD9E13-276D-406B-9376-CBC863C1BE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E4D2-450E-9BAE-05885035630C}"/>
                </c:ext>
              </c:extLst>
            </c:dLbl>
            <c:dLbl>
              <c:idx val="6"/>
              <c:tx>
                <c:rich>
                  <a:bodyPr/>
                  <a:lstStyle/>
                  <a:p>
                    <a:fld id="{A7BF08CB-3016-4E44-9EDD-C2C3AA09EB2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E4D2-450E-9BAE-05885035630C}"/>
                </c:ext>
              </c:extLst>
            </c:dLbl>
            <c:dLbl>
              <c:idx val="7"/>
              <c:tx>
                <c:rich>
                  <a:bodyPr/>
                  <a:lstStyle/>
                  <a:p>
                    <a:fld id="{38E0F9AD-400E-4115-BFF1-03BF395C5D2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E4D2-450E-9BAE-05885035630C}"/>
                </c:ext>
              </c:extLst>
            </c:dLbl>
            <c:dLbl>
              <c:idx val="8"/>
              <c:tx>
                <c:rich>
                  <a:bodyPr/>
                  <a:lstStyle/>
                  <a:p>
                    <a:fld id="{9A4C1259-680E-4362-AE8D-F748700B4CE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E4D2-450E-9BAE-05885035630C}"/>
                </c:ext>
              </c:extLst>
            </c:dLbl>
            <c:dLbl>
              <c:idx val="9"/>
              <c:tx>
                <c:rich>
                  <a:bodyPr/>
                  <a:lstStyle/>
                  <a:p>
                    <a:fld id="{13D0628E-D6C2-4C96-9D20-F05E015E848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E4D2-450E-9BAE-05885035630C}"/>
                </c:ext>
              </c:extLst>
            </c:dLbl>
            <c:dLbl>
              <c:idx val="10"/>
              <c:tx>
                <c:rich>
                  <a:bodyPr/>
                  <a:lstStyle/>
                  <a:p>
                    <a:fld id="{CE72632E-DD1E-41E6-8FBB-77A27D20230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E4D2-450E-9BAE-05885035630C}"/>
                </c:ext>
              </c:extLst>
            </c:dLbl>
            <c:dLbl>
              <c:idx val="11"/>
              <c:tx>
                <c:rich>
                  <a:bodyPr/>
                  <a:lstStyle/>
                  <a:p>
                    <a:fld id="{005A71C9-E556-4C75-8D7F-50B6C0AF5A3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E4D2-450E-9BAE-05885035630C}"/>
                </c:ext>
              </c:extLst>
            </c:dLbl>
            <c:dLbl>
              <c:idx val="12"/>
              <c:tx>
                <c:rich>
                  <a:bodyPr/>
                  <a:lstStyle/>
                  <a:p>
                    <a:fld id="{8D4663A8-7C9C-413D-9BF2-281D9931B06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E4D2-450E-9BAE-05885035630C}"/>
                </c:ext>
              </c:extLst>
            </c:dLbl>
            <c:dLbl>
              <c:idx val="13"/>
              <c:tx>
                <c:rich>
                  <a:bodyPr/>
                  <a:lstStyle/>
                  <a:p>
                    <a:fld id="{2B22CC66-93F1-41E0-8EDC-F303A251099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E4D2-450E-9BAE-05885035630C}"/>
                </c:ext>
              </c:extLst>
            </c:dLbl>
            <c:dLbl>
              <c:idx val="14"/>
              <c:tx>
                <c:rich>
                  <a:bodyPr/>
                  <a:lstStyle/>
                  <a:p>
                    <a:fld id="{F0192AE0-82C6-40D3-8175-7B45C535897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E4D2-450E-9BAE-05885035630C}"/>
                </c:ext>
              </c:extLst>
            </c:dLbl>
            <c:dLbl>
              <c:idx val="15"/>
              <c:tx>
                <c:rich>
                  <a:bodyPr/>
                  <a:lstStyle/>
                  <a:p>
                    <a:fld id="{17A5741B-4C34-4215-AE9D-6097284D6AB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E4D2-450E-9BAE-05885035630C}"/>
                </c:ext>
              </c:extLst>
            </c:dLbl>
            <c:dLbl>
              <c:idx val="16"/>
              <c:tx>
                <c:rich>
                  <a:bodyPr/>
                  <a:lstStyle/>
                  <a:p>
                    <a:fld id="{D6718122-CAEF-40BE-9319-544304AD7EC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E4D2-450E-9BAE-05885035630C}"/>
                </c:ext>
              </c:extLst>
            </c:dLbl>
            <c:dLbl>
              <c:idx val="17"/>
              <c:tx>
                <c:rich>
                  <a:bodyPr/>
                  <a:lstStyle/>
                  <a:p>
                    <a:fld id="{86D2956B-BE29-4D0E-AD4D-FA9955EFAC1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E4D2-450E-9BAE-05885035630C}"/>
                </c:ext>
              </c:extLst>
            </c:dLbl>
            <c:dLbl>
              <c:idx val="18"/>
              <c:tx>
                <c:rich>
                  <a:bodyPr/>
                  <a:lstStyle/>
                  <a:p>
                    <a:fld id="{4BEB7263-64A2-4EA9-AF1C-3A13E2F9608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E4D2-450E-9BAE-05885035630C}"/>
                </c:ext>
              </c:extLst>
            </c:dLbl>
            <c:dLbl>
              <c:idx val="19"/>
              <c:tx>
                <c:rich>
                  <a:bodyPr/>
                  <a:lstStyle/>
                  <a:p>
                    <a:fld id="{032E742C-16A6-42D5-9B30-356CFDC0B73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E4D2-450E-9BAE-05885035630C}"/>
                </c:ext>
              </c:extLst>
            </c:dLbl>
            <c:dLbl>
              <c:idx val="20"/>
              <c:tx>
                <c:rich>
                  <a:bodyPr/>
                  <a:lstStyle/>
                  <a:p>
                    <a:fld id="{831000FC-6104-45BB-A920-C156D9E8DB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E4D2-450E-9BAE-05885035630C}"/>
                </c:ext>
              </c:extLst>
            </c:dLbl>
            <c:dLbl>
              <c:idx val="21"/>
              <c:tx>
                <c:rich>
                  <a:bodyPr/>
                  <a:lstStyle/>
                  <a:p>
                    <a:fld id="{837D692B-67ED-4C04-B4B0-CB4C9EFF450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E4D2-450E-9BAE-05885035630C}"/>
                </c:ext>
              </c:extLst>
            </c:dLbl>
            <c:dLbl>
              <c:idx val="22"/>
              <c:tx>
                <c:rich>
                  <a:bodyPr/>
                  <a:lstStyle/>
                  <a:p>
                    <a:fld id="{907DBB00-B2CF-4AA9-B9A1-59BC819F4F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E4D2-450E-9BAE-05885035630C}"/>
                </c:ext>
              </c:extLst>
            </c:dLbl>
            <c:dLbl>
              <c:idx val="23"/>
              <c:tx>
                <c:rich>
                  <a:bodyPr/>
                  <a:lstStyle/>
                  <a:p>
                    <a:fld id="{1D2391EF-4D25-4C50-AB74-7822131A935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E4D2-450E-9BAE-05885035630C}"/>
                </c:ext>
              </c:extLst>
            </c:dLbl>
            <c:dLbl>
              <c:idx val="24"/>
              <c:tx>
                <c:rich>
                  <a:bodyPr/>
                  <a:lstStyle/>
                  <a:p>
                    <a:fld id="{1C168F26-BE83-4955-A344-3588672E797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E4D2-450E-9BAE-05885035630C}"/>
                </c:ext>
              </c:extLst>
            </c:dLbl>
            <c:dLbl>
              <c:idx val="25"/>
              <c:tx>
                <c:rich>
                  <a:bodyPr/>
                  <a:lstStyle/>
                  <a:p>
                    <a:fld id="{A4B7F389-53C1-44FC-BFA5-2C53358414F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E4D2-450E-9BAE-05885035630C}"/>
                </c:ext>
              </c:extLst>
            </c:dLbl>
            <c:dLbl>
              <c:idx val="26"/>
              <c:tx>
                <c:rich>
                  <a:bodyPr/>
                  <a:lstStyle/>
                  <a:p>
                    <a:fld id="{FB9FCFBA-FC8C-4C1A-A250-F60CC37FEC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E4D2-450E-9BAE-05885035630C}"/>
                </c:ext>
              </c:extLst>
            </c:dLbl>
            <c:dLbl>
              <c:idx val="27"/>
              <c:tx>
                <c:rich>
                  <a:bodyPr/>
                  <a:lstStyle/>
                  <a:p>
                    <a:fld id="{94F8AA5B-8A60-4C98-86CF-4E09A785031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E4D2-450E-9BAE-05885035630C}"/>
                </c:ext>
              </c:extLst>
            </c:dLbl>
            <c:dLbl>
              <c:idx val="28"/>
              <c:tx>
                <c:rich>
                  <a:bodyPr/>
                  <a:lstStyle/>
                  <a:p>
                    <a:fld id="{F7F93FFD-1640-4FE7-8AF0-5C3A67A7036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E4D2-450E-9BAE-05885035630C}"/>
                </c:ext>
              </c:extLst>
            </c:dLbl>
            <c:dLbl>
              <c:idx val="29"/>
              <c:tx>
                <c:rich>
                  <a:bodyPr/>
                  <a:lstStyle/>
                  <a:p>
                    <a:fld id="{7F8D26D8-5FF9-436B-A892-A21A04C447D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E4D2-450E-9BAE-05885035630C}"/>
                </c:ext>
              </c:extLst>
            </c:dLbl>
            <c:dLbl>
              <c:idx val="30"/>
              <c:tx>
                <c:rich>
                  <a:bodyPr/>
                  <a:lstStyle/>
                  <a:p>
                    <a:fld id="{C9863E3E-645D-404F-854B-EE9132F4D04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E4D2-450E-9BAE-05885035630C}"/>
                </c:ext>
              </c:extLst>
            </c:dLbl>
            <c:dLbl>
              <c:idx val="31"/>
              <c:tx>
                <c:rich>
                  <a:bodyPr/>
                  <a:lstStyle/>
                  <a:p>
                    <a:fld id="{12A76E17-E620-4121-B5DC-0E9E447C82D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E4D2-450E-9BAE-05885035630C}"/>
                </c:ext>
              </c:extLst>
            </c:dLbl>
            <c:dLbl>
              <c:idx val="32"/>
              <c:tx>
                <c:rich>
                  <a:bodyPr/>
                  <a:lstStyle/>
                  <a:p>
                    <a:fld id="{ADCD91E5-7A8B-4CFA-B17D-C591FE00707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E4D2-450E-9BAE-05885035630C}"/>
                </c:ext>
              </c:extLst>
            </c:dLbl>
            <c:dLbl>
              <c:idx val="33"/>
              <c:tx>
                <c:rich>
                  <a:bodyPr/>
                  <a:lstStyle/>
                  <a:p>
                    <a:fld id="{22B910AF-BC7E-4DB6-A879-A862EF3CBA5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E4D2-450E-9BAE-05885035630C}"/>
                </c:ext>
              </c:extLst>
            </c:dLbl>
            <c:dLbl>
              <c:idx val="34"/>
              <c:tx>
                <c:rich>
                  <a:bodyPr/>
                  <a:lstStyle/>
                  <a:p>
                    <a:fld id="{45F8FDBA-FD8D-463D-919B-2B8C9445BB4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E4D2-450E-9BAE-05885035630C}"/>
                </c:ext>
              </c:extLst>
            </c:dLbl>
            <c:dLbl>
              <c:idx val="35"/>
              <c:tx>
                <c:rich>
                  <a:bodyPr/>
                  <a:lstStyle/>
                  <a:p>
                    <a:fld id="{5C31D761-4AEA-4BA3-81C1-A49BACA60D6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E4D2-450E-9BAE-05885035630C}"/>
                </c:ext>
              </c:extLst>
            </c:dLbl>
            <c:dLbl>
              <c:idx val="36"/>
              <c:tx>
                <c:rich>
                  <a:bodyPr/>
                  <a:lstStyle/>
                  <a:p>
                    <a:fld id="{EDA7ADA5-2CB9-4CEE-B8F8-9AB7BC0C0236}"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E4D2-450E-9BAE-05885035630C}"/>
                </c:ext>
              </c:extLst>
            </c:dLbl>
            <c:dLbl>
              <c:idx val="37"/>
              <c:tx>
                <c:rich>
                  <a:bodyPr/>
                  <a:lstStyle/>
                  <a:p>
                    <a:fld id="{34C7E0D6-7D33-4BD3-8764-02710CB65CB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E4D2-450E-9BAE-05885035630C}"/>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Usluge!$A$150:$A$187</c:f>
              <c:numCache>
                <c:formatCode>yyyy</c:formatCode>
                <c:ptCount val="38"/>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numCache>
            </c:numRef>
          </c:cat>
          <c:val>
            <c:numRef>
              <c:f>Usluge!$P$150:$P$187</c:f>
              <c:numCache>
                <c:formatCode>General</c:formatCode>
                <c:ptCount val="38"/>
                <c:pt idx="0">
                  <c:v>20</c:v>
                </c:pt>
                <c:pt idx="1">
                  <c:v>20</c:v>
                </c:pt>
                <c:pt idx="2">
                  <c:v>20</c:v>
                </c:pt>
                <c:pt idx="3">
                  <c:v>20</c:v>
                </c:pt>
                <c:pt idx="4">
                  <c:v>20</c:v>
                </c:pt>
                <c:pt idx="5">
                  <c:v>20</c:v>
                </c:pt>
                <c:pt idx="6">
                  <c:v>20</c:v>
                </c:pt>
                <c:pt idx="7">
                  <c:v>20</c:v>
                </c:pt>
                <c:pt idx="8">
                  <c:v>20</c:v>
                </c:pt>
                <c:pt idx="9">
                  <c:v>20</c:v>
                </c:pt>
                <c:pt idx="10">
                  <c:v>20</c:v>
                </c:pt>
                <c:pt idx="11">
                  <c:v>20</c:v>
                </c:pt>
                <c:pt idx="12">
                  <c:v>20</c:v>
                </c:pt>
                <c:pt idx="13">
                  <c:v>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numCache>
            </c:numRef>
          </c:val>
          <c:smooth val="0"/>
          <c:extLst>
            <c:ext xmlns:c15="http://schemas.microsoft.com/office/drawing/2012/chart" uri="{02D57815-91ED-43cb-92C2-25804820EDAC}">
              <c15:datalabelsRange>
                <c15:f>Usluge!$J$150:$J$187</c15:f>
                <c15:dlblRangeCache>
                  <c:ptCount val="38"/>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E-E4D2-450E-9BAE-05885035630C}"/>
            </c:ext>
          </c:extLst>
        </c:ser>
        <c:dLbls>
          <c:showLegendKey val="0"/>
          <c:showVal val="0"/>
          <c:showCatName val="0"/>
          <c:showSerName val="0"/>
          <c:showPercent val="0"/>
          <c:showBubbleSize val="0"/>
        </c:dLbls>
        <c:smooth val="0"/>
        <c:axId val="2092161072"/>
        <c:axId val="1828937552"/>
      </c:lineChart>
      <c:dateAx>
        <c:axId val="2092161072"/>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37552"/>
        <c:crosses val="autoZero"/>
        <c:auto val="1"/>
        <c:lblOffset val="0"/>
        <c:baseTimeUnit val="months"/>
        <c:majorUnit val="12"/>
        <c:majorTimeUnit val="months"/>
      </c:dateAx>
      <c:valAx>
        <c:axId val="1828937552"/>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92161072"/>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4.3644144144144144E-2"/>
          <c:w val="0.86257083333333318"/>
          <c:h val="0.8328986486486486"/>
        </c:manualLayout>
      </c:layout>
      <c:lineChart>
        <c:grouping val="standard"/>
        <c:varyColors val="0"/>
        <c:ser>
          <c:idx val="0"/>
          <c:order val="0"/>
          <c:tx>
            <c:strRef>
              <c:f>'BoP_izvoz usluga'!$Z$5</c:f>
              <c:strCache>
                <c:ptCount val="1"/>
                <c:pt idx="0">
                  <c:v>y</c:v>
                </c:pt>
              </c:strCache>
            </c:strRef>
          </c:tx>
          <c:spPr>
            <a:ln w="12700" cap="rnd">
              <a:solidFill>
                <a:srgbClr val="7F3F98"/>
              </a:solidFill>
              <a:prstDash val="sysDash"/>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usluga'!$Z$114:$Z$152</c:f>
              <c:numCache>
                <c:formatCode>0.0</c:formatCode>
                <c:ptCount val="39"/>
                <c:pt idx="0">
                  <c:v>47.63536781810911</c:v>
                </c:pt>
                <c:pt idx="1">
                  <c:v>45.600106985124441</c:v>
                </c:pt>
                <c:pt idx="2">
                  <c:v>54.945145725688519</c:v>
                </c:pt>
                <c:pt idx="3">
                  <c:v>54.821377825609815</c:v>
                </c:pt>
                <c:pt idx="4">
                  <c:v>54.227117327139318</c:v>
                </c:pt>
                <c:pt idx="5">
                  <c:v>58.739481175221364</c:v>
                </c:pt>
                <c:pt idx="6">
                  <c:v>67.652510723351682</c:v>
                </c:pt>
                <c:pt idx="7">
                  <c:v>64.33729088745541</c:v>
                </c:pt>
                <c:pt idx="8">
                  <c:v>61.433041768923459</c:v>
                </c:pt>
                <c:pt idx="9">
                  <c:v>59.544119780357008</c:v>
                </c:pt>
                <c:pt idx="10">
                  <c:v>66.071797129717154</c:v>
                </c:pt>
                <c:pt idx="11">
                  <c:v>80.63732956377963</c:v>
                </c:pt>
                <c:pt idx="12">
                  <c:v>63.209354261542849</c:v>
                </c:pt>
                <c:pt idx="13">
                  <c:v>60.877200461885991</c:v>
                </c:pt>
                <c:pt idx="14">
                  <c:v>75.771634676668924</c:v>
                </c:pt>
                <c:pt idx="15">
                  <c:v>72.938938925662427</c:v>
                </c:pt>
                <c:pt idx="16">
                  <c:v>77.647047756622243</c:v>
                </c:pt>
                <c:pt idx="17">
                  <c:v>82.728129722690795</c:v>
                </c:pt>
                <c:pt idx="18">
                  <c:v>95.749400416068596</c:v>
                </c:pt>
                <c:pt idx="19">
                  <c:v>96.984751016365962</c:v>
                </c:pt>
                <c:pt idx="20">
                  <c:v>91.29669102855766</c:v>
                </c:pt>
                <c:pt idx="21">
                  <c:v>93.495420195812201</c:v>
                </c:pt>
                <c:pt idx="22">
                  <c:v>94.278159468071294</c:v>
                </c:pt>
                <c:pt idx="23">
                  <c:v>111.21385320961848</c:v>
                </c:pt>
                <c:pt idx="24">
                  <c:v>87.684800038836457</c:v>
                </c:pt>
                <c:pt idx="25">
                  <c:v>85.077116837882855</c:v>
                </c:pt>
                <c:pt idx="26">
                  <c:v>97.139298087254062</c:v>
                </c:pt>
                <c:pt idx="27">
                  <c:v>88.405729467184941</c:v>
                </c:pt>
                <c:pt idx="28">
                  <c:v>99.406549939228057</c:v>
                </c:pt>
                <c:pt idx="29">
                  <c:v>99.271975342984717</c:v>
                </c:pt>
                <c:pt idx="30">
                  <c:v>102.79398546794715</c:v>
                </c:pt>
                <c:pt idx="31">
                  <c:v>111.85248058988371</c:v>
                </c:pt>
                <c:pt idx="32">
                  <c:v>100.09534160913695</c:v>
                </c:pt>
                <c:pt idx="33">
                  <c:v>103.12956176140166</c:v>
                </c:pt>
                <c:pt idx="34">
                  <c:v>107.66106760098846</c:v>
                </c:pt>
                <c:pt idx="35">
                  <c:v>117.48209325727123</c:v>
                </c:pt>
                <c:pt idx="36">
                  <c:v>103.00138487656203</c:v>
                </c:pt>
                <c:pt idx="37">
                  <c:v>98.091211399859233</c:v>
                </c:pt>
                <c:pt idx="38">
                  <c:v>98.790217421531395</c:v>
                </c:pt>
              </c:numCache>
            </c:numRef>
          </c:val>
          <c:smooth val="0"/>
          <c:extLst>
            <c:ext xmlns:c16="http://schemas.microsoft.com/office/drawing/2014/chart" uri="{C3380CC4-5D6E-409C-BE32-E72D297353CC}">
              <c16:uniqueId val="{00000000-772C-42C1-82C9-CCE22706FF02}"/>
            </c:ext>
          </c:extLst>
        </c:ser>
        <c:ser>
          <c:idx val="1"/>
          <c:order val="1"/>
          <c:tx>
            <c:strRef>
              <c:f>'BoP_izvoz usluga'!$AA$5</c:f>
              <c:strCache>
                <c:ptCount val="1"/>
                <c:pt idx="0">
                  <c:v>sa</c:v>
                </c:pt>
              </c:strCache>
            </c:strRef>
          </c:tx>
          <c:spPr>
            <a:ln w="22225" cap="rnd">
              <a:solidFill>
                <a:srgbClr val="25AAE1"/>
              </a:solidFill>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usluga'!$AA$114:$AA$152</c:f>
              <c:numCache>
                <c:formatCode>0.0</c:formatCode>
                <c:ptCount val="39"/>
                <c:pt idx="0">
                  <c:v>54.359311608178082</c:v>
                </c:pt>
                <c:pt idx="1">
                  <c:v>54.261508470347358</c:v>
                </c:pt>
                <c:pt idx="2">
                  <c:v>55.230985459259763</c:v>
                </c:pt>
                <c:pt idx="3">
                  <c:v>56.167350285217601</c:v>
                </c:pt>
                <c:pt idx="4">
                  <c:v>58.486783718515063</c:v>
                </c:pt>
                <c:pt idx="5">
                  <c:v>58.720120309817958</c:v>
                </c:pt>
                <c:pt idx="6">
                  <c:v>59.541665293733644</c:v>
                </c:pt>
                <c:pt idx="7">
                  <c:v>60.20346834962637</c:v>
                </c:pt>
                <c:pt idx="8">
                  <c:v>60.60946105398412</c:v>
                </c:pt>
                <c:pt idx="9">
                  <c:v>62.27225442818682</c:v>
                </c:pt>
                <c:pt idx="10">
                  <c:v>65.191767717940465</c:v>
                </c:pt>
                <c:pt idx="11">
                  <c:v>67.066787078011913</c:v>
                </c:pt>
                <c:pt idx="12">
                  <c:v>71.386254584097287</c:v>
                </c:pt>
                <c:pt idx="13">
                  <c:v>71.977740734958019</c:v>
                </c:pt>
                <c:pt idx="14">
                  <c:v>76.259744296442335</c:v>
                </c:pt>
                <c:pt idx="15">
                  <c:v>78.055332142351475</c:v>
                </c:pt>
                <c:pt idx="16">
                  <c:v>79.911036390767947</c:v>
                </c:pt>
                <c:pt idx="17">
                  <c:v>83.035561420496947</c:v>
                </c:pt>
                <c:pt idx="18">
                  <c:v>87.851370388426432</c:v>
                </c:pt>
                <c:pt idx="19">
                  <c:v>87.898490962190849</c:v>
                </c:pt>
                <c:pt idx="20">
                  <c:v>90.229021292848387</c:v>
                </c:pt>
                <c:pt idx="21">
                  <c:v>97.444740910580109</c:v>
                </c:pt>
                <c:pt idx="22">
                  <c:v>93.460371265525168</c:v>
                </c:pt>
                <c:pt idx="23">
                  <c:v>96.021644728486109</c:v>
                </c:pt>
                <c:pt idx="24">
                  <c:v>94.25238915399585</c:v>
                </c:pt>
                <c:pt idx="25">
                  <c:v>100.04109715170431</c:v>
                </c:pt>
                <c:pt idx="26">
                  <c:v>98.454735716578341</c:v>
                </c:pt>
                <c:pt idx="27">
                  <c:v>98.189616385481386</c:v>
                </c:pt>
                <c:pt idx="28">
                  <c:v>98.874277649733941</c:v>
                </c:pt>
                <c:pt idx="29">
                  <c:v>99.642441214872377</c:v>
                </c:pt>
                <c:pt idx="30">
                  <c:v>93.889605029501652</c:v>
                </c:pt>
                <c:pt idx="31">
                  <c:v>101.76021858245245</c:v>
                </c:pt>
                <c:pt idx="32">
                  <c:v>103.30898980786525</c:v>
                </c:pt>
                <c:pt idx="33">
                  <c:v>102.50894325471448</c:v>
                </c:pt>
                <c:pt idx="34">
                  <c:v>107.22472100370645</c:v>
                </c:pt>
                <c:pt idx="35">
                  <c:v>105.42351154580231</c:v>
                </c:pt>
                <c:pt idx="36">
                  <c:v>106.91857594235478</c:v>
                </c:pt>
                <c:pt idx="37">
                  <c:v>109.59551040567835</c:v>
                </c:pt>
                <c:pt idx="38">
                  <c:v>108.07876340296373</c:v>
                </c:pt>
              </c:numCache>
            </c:numRef>
          </c:val>
          <c:smooth val="0"/>
          <c:extLst>
            <c:ext xmlns:c16="http://schemas.microsoft.com/office/drawing/2014/chart" uri="{C3380CC4-5D6E-409C-BE32-E72D297353CC}">
              <c16:uniqueId val="{00000001-772C-42C1-82C9-CCE22706FF02}"/>
            </c:ext>
          </c:extLst>
        </c:ser>
        <c:ser>
          <c:idx val="2"/>
          <c:order val="2"/>
          <c:tx>
            <c:strRef>
              <c:f>'BoP_izvoz usluga'!$AB$5</c:f>
              <c:strCache>
                <c:ptCount val="1"/>
                <c:pt idx="0">
                  <c:v>t</c:v>
                </c:pt>
              </c:strCache>
            </c:strRef>
          </c:tx>
          <c:spPr>
            <a:ln w="25400" cap="rnd">
              <a:solidFill>
                <a:srgbClr val="FF0000"/>
              </a:solidFill>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usluga'!$AB$114:$AB$152</c:f>
              <c:numCache>
                <c:formatCode>0.0</c:formatCode>
                <c:ptCount val="39"/>
                <c:pt idx="0">
                  <c:v>53.869379950684142</c:v>
                </c:pt>
                <c:pt idx="1">
                  <c:v>54.696700496026907</c:v>
                </c:pt>
                <c:pt idx="2">
                  <c:v>55.617274704571656</c:v>
                </c:pt>
                <c:pt idx="3">
                  <c:v>56.621330520407483</c:v>
                </c:pt>
                <c:pt idx="4">
                  <c:v>57.585888012902814</c:v>
                </c:pt>
                <c:pt idx="5">
                  <c:v>58.470603381555904</c:v>
                </c:pt>
                <c:pt idx="6">
                  <c:v>59.286578542026746</c:v>
                </c:pt>
                <c:pt idx="7">
                  <c:v>60.17893250761783</c:v>
                </c:pt>
                <c:pt idx="8">
                  <c:v>61.304144083844498</c:v>
                </c:pt>
                <c:pt idx="9">
                  <c:v>62.852990879642391</c:v>
                </c:pt>
                <c:pt idx="10">
                  <c:v>64.907204500910794</c:v>
                </c:pt>
                <c:pt idx="11">
                  <c:v>67.370890734791388</c:v>
                </c:pt>
                <c:pt idx="12">
                  <c:v>70.007798531019205</c:v>
                </c:pt>
                <c:pt idx="13">
                  <c:v>72.70784116803668</c:v>
                </c:pt>
                <c:pt idx="14">
                  <c:v>75.403574737401044</c:v>
                </c:pt>
                <c:pt idx="15">
                  <c:v>78.072968767361175</c:v>
                </c:pt>
                <c:pt idx="16">
                  <c:v>80.746374116987624</c:v>
                </c:pt>
                <c:pt idx="17">
                  <c:v>83.37519905004352</c:v>
                </c:pt>
                <c:pt idx="18">
                  <c:v>85.919447060082376</c:v>
                </c:pt>
                <c:pt idx="19">
                  <c:v>88.301789811310087</c:v>
                </c:pt>
                <c:pt idx="20">
                  <c:v>90.435651704628526</c:v>
                </c:pt>
                <c:pt idx="21">
                  <c:v>92.325077171616798</c:v>
                </c:pt>
                <c:pt idx="22">
                  <c:v>93.937408457863086</c:v>
                </c:pt>
                <c:pt idx="23">
                  <c:v>95.304687447257322</c:v>
                </c:pt>
                <c:pt idx="24">
                  <c:v>96.445080610054006</c:v>
                </c:pt>
                <c:pt idx="25">
                  <c:v>97.327459354624565</c:v>
                </c:pt>
                <c:pt idx="26">
                  <c:v>97.962572457648889</c:v>
                </c:pt>
                <c:pt idx="27">
                  <c:v>98.530891872424036</c:v>
                </c:pt>
                <c:pt idx="28">
                  <c:v>99.118959661617851</c:v>
                </c:pt>
                <c:pt idx="29">
                  <c:v>99.793719521942492</c:v>
                </c:pt>
                <c:pt idx="30">
                  <c:v>100.58986112585349</c:v>
                </c:pt>
                <c:pt idx="31">
                  <c:v>101.45181817404023</c:v>
                </c:pt>
                <c:pt idx="32">
                  <c:v>102.44141219004119</c:v>
                </c:pt>
                <c:pt idx="33">
                  <c:v>103.48262215409233</c:v>
                </c:pt>
                <c:pt idx="34">
                  <c:v>104.54952886851946</c:v>
                </c:pt>
                <c:pt idx="35">
                  <c:v>105.66998147226283</c:v>
                </c:pt>
                <c:pt idx="36">
                  <c:v>106.92462703443313</c:v>
                </c:pt>
                <c:pt idx="37">
                  <c:v>108.28937841484523</c:v>
                </c:pt>
                <c:pt idx="38">
                  <c:v>109.75166744081321</c:v>
                </c:pt>
              </c:numCache>
            </c:numRef>
          </c:val>
          <c:smooth val="0"/>
          <c:extLst>
            <c:ext xmlns:c16="http://schemas.microsoft.com/office/drawing/2014/chart" uri="{C3380CC4-5D6E-409C-BE32-E72D297353CC}">
              <c16:uniqueId val="{00000002-772C-42C1-82C9-CCE22706FF02}"/>
            </c:ext>
          </c:extLst>
        </c:ser>
        <c:ser>
          <c:idx val="3"/>
          <c:order val="3"/>
          <c:tx>
            <c:strRef>
              <c:f>'BoP_izvoz usluga'!$AC$5</c:f>
              <c:strCache>
                <c:ptCount val="1"/>
                <c:pt idx="0">
                  <c:v>Series4</c:v>
                </c:pt>
              </c:strCache>
            </c:strRef>
          </c:tx>
          <c:spPr>
            <a:ln w="28575" cap="rnd">
              <a:solidFill>
                <a:schemeClr val="accent4"/>
              </a:solidFill>
              <a:round/>
            </a:ln>
            <a:effectLst/>
          </c:spPr>
          <c:marker>
            <c:symbol val="square"/>
            <c:size val="2"/>
            <c:spPr>
              <a:solidFill>
                <a:sysClr val="window" lastClr="FFFFFF"/>
              </a:solidFill>
              <a:ln w="9525">
                <a:noFill/>
              </a:ln>
              <a:effectLst/>
            </c:spPr>
          </c:marker>
          <c:dLbls>
            <c:dLbl>
              <c:idx val="0"/>
              <c:layout>
                <c:manualLayout>
                  <c:x val="7.0467532126008536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72C-42C1-82C9-CCE22706FF02}"/>
                </c:ext>
              </c:extLst>
            </c:dLbl>
            <c:dLbl>
              <c:idx val="12"/>
              <c:layout>
                <c:manualLayout>
                  <c:x val="7.4903132359362856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72C-42C1-82C9-CCE22706FF02}"/>
                </c:ext>
              </c:extLst>
            </c:dLbl>
            <c:dLbl>
              <c:idx val="24"/>
              <c:layout>
                <c:manualLayout>
                  <c:x val="6.8965815532455413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72C-42C1-82C9-CCE22706FF02}"/>
                </c:ext>
              </c:extLst>
            </c:dLbl>
            <c:dLbl>
              <c:idx val="36"/>
              <c:layout>
                <c:manualLayout>
                  <c:x val="-2.6443014699521733E-2"/>
                  <c:y val="5.7207207207207206E-2"/>
                </c:manualLayout>
              </c:layout>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72C-42C1-82C9-CCE22706FF02}"/>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usluga'!$AC$114:$AC$152</c:f>
              <c:numCache>
                <c:formatCode>General</c:formatCode>
                <c:ptCount val="39"/>
                <c:pt idx="0">
                  <c:v>20</c:v>
                </c:pt>
                <c:pt idx="12">
                  <c:v>20</c:v>
                </c:pt>
                <c:pt idx="24">
                  <c:v>20</c:v>
                </c:pt>
                <c:pt idx="36">
                  <c:v>20</c:v>
                </c:pt>
              </c:numCache>
            </c:numRef>
          </c:val>
          <c:smooth val="0"/>
          <c:extLst>
            <c:ext xmlns:c16="http://schemas.microsoft.com/office/drawing/2014/chart" uri="{C3380CC4-5D6E-409C-BE32-E72D297353CC}">
              <c16:uniqueId val="{00000007-772C-42C1-82C9-CCE22706FF02}"/>
            </c:ext>
          </c:extLst>
        </c:ser>
        <c:ser>
          <c:idx val="4"/>
          <c:order val="4"/>
          <c:tx>
            <c:strRef>
              <c:f>'BoP_izvoz usluga'!$AD$5</c:f>
              <c:strCache>
                <c:ptCount val="1"/>
                <c:pt idx="0">
                  <c:v>Series5</c:v>
                </c:pt>
              </c:strCache>
            </c:strRef>
          </c:tx>
          <c:spPr>
            <a:ln w="28575" cap="rnd">
              <a:noFill/>
              <a:round/>
            </a:ln>
            <a:effectLst/>
          </c:spPr>
          <c:marker>
            <c:symbol val="none"/>
          </c:marker>
          <c:dLbls>
            <c:dLbl>
              <c:idx val="0"/>
              <c:tx>
                <c:rich>
                  <a:bodyPr/>
                  <a:lstStyle/>
                  <a:p>
                    <a:fld id="{677F4AA0-0875-4EC2-B131-344EFC59AF6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772C-42C1-82C9-CCE22706FF02}"/>
                </c:ext>
              </c:extLst>
            </c:dLbl>
            <c:dLbl>
              <c:idx val="1"/>
              <c:tx>
                <c:rich>
                  <a:bodyPr/>
                  <a:lstStyle/>
                  <a:p>
                    <a:fld id="{4D639630-109F-4F56-AE04-1645F24B353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772C-42C1-82C9-CCE22706FF02}"/>
                </c:ext>
              </c:extLst>
            </c:dLbl>
            <c:dLbl>
              <c:idx val="2"/>
              <c:tx>
                <c:rich>
                  <a:bodyPr/>
                  <a:lstStyle/>
                  <a:p>
                    <a:fld id="{519BD535-45F9-4DD3-89E5-E5E50935060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772C-42C1-82C9-CCE22706FF02}"/>
                </c:ext>
              </c:extLst>
            </c:dLbl>
            <c:dLbl>
              <c:idx val="3"/>
              <c:tx>
                <c:rich>
                  <a:bodyPr/>
                  <a:lstStyle/>
                  <a:p>
                    <a:fld id="{353FCAC7-AB2A-48D7-8467-B3E2FD90AA7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772C-42C1-82C9-CCE22706FF02}"/>
                </c:ext>
              </c:extLst>
            </c:dLbl>
            <c:dLbl>
              <c:idx val="4"/>
              <c:tx>
                <c:rich>
                  <a:bodyPr/>
                  <a:lstStyle/>
                  <a:p>
                    <a:fld id="{EE4DB562-C8D7-4108-A68F-5FBD5010E5F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772C-42C1-82C9-CCE22706FF02}"/>
                </c:ext>
              </c:extLst>
            </c:dLbl>
            <c:dLbl>
              <c:idx val="5"/>
              <c:tx>
                <c:rich>
                  <a:bodyPr/>
                  <a:lstStyle/>
                  <a:p>
                    <a:fld id="{4CD09529-6451-4698-896D-B3167E35103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772C-42C1-82C9-CCE22706FF02}"/>
                </c:ext>
              </c:extLst>
            </c:dLbl>
            <c:dLbl>
              <c:idx val="6"/>
              <c:tx>
                <c:rich>
                  <a:bodyPr/>
                  <a:lstStyle/>
                  <a:p>
                    <a:fld id="{4084ED13-E39E-4FF3-A1A3-6702CDC3E89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772C-42C1-82C9-CCE22706FF02}"/>
                </c:ext>
              </c:extLst>
            </c:dLbl>
            <c:dLbl>
              <c:idx val="7"/>
              <c:tx>
                <c:rich>
                  <a:bodyPr/>
                  <a:lstStyle/>
                  <a:p>
                    <a:fld id="{7B7CCA3E-1F5E-405C-BB0D-D7FE7D8DC99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772C-42C1-82C9-CCE22706FF02}"/>
                </c:ext>
              </c:extLst>
            </c:dLbl>
            <c:dLbl>
              <c:idx val="8"/>
              <c:tx>
                <c:rich>
                  <a:bodyPr/>
                  <a:lstStyle/>
                  <a:p>
                    <a:fld id="{F0424768-B028-4A00-9DFE-D22A4224F8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772C-42C1-82C9-CCE22706FF02}"/>
                </c:ext>
              </c:extLst>
            </c:dLbl>
            <c:dLbl>
              <c:idx val="9"/>
              <c:tx>
                <c:rich>
                  <a:bodyPr/>
                  <a:lstStyle/>
                  <a:p>
                    <a:fld id="{6575951C-A152-4145-B244-E27F0324B07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772C-42C1-82C9-CCE22706FF02}"/>
                </c:ext>
              </c:extLst>
            </c:dLbl>
            <c:dLbl>
              <c:idx val="10"/>
              <c:tx>
                <c:rich>
                  <a:bodyPr/>
                  <a:lstStyle/>
                  <a:p>
                    <a:fld id="{20B28AC1-D342-40E6-B49C-68E94FA2CA8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772C-42C1-82C9-CCE22706FF02}"/>
                </c:ext>
              </c:extLst>
            </c:dLbl>
            <c:dLbl>
              <c:idx val="11"/>
              <c:tx>
                <c:rich>
                  <a:bodyPr/>
                  <a:lstStyle/>
                  <a:p>
                    <a:fld id="{CBD5BCB2-41F1-4015-AF63-4975A8E0FD9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772C-42C1-82C9-CCE22706FF02}"/>
                </c:ext>
              </c:extLst>
            </c:dLbl>
            <c:dLbl>
              <c:idx val="12"/>
              <c:tx>
                <c:rich>
                  <a:bodyPr/>
                  <a:lstStyle/>
                  <a:p>
                    <a:fld id="{00F8B249-8EAC-4BD0-AB70-A470C443188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772C-42C1-82C9-CCE22706FF02}"/>
                </c:ext>
              </c:extLst>
            </c:dLbl>
            <c:dLbl>
              <c:idx val="13"/>
              <c:tx>
                <c:rich>
                  <a:bodyPr/>
                  <a:lstStyle/>
                  <a:p>
                    <a:fld id="{872AA5E0-C41C-408A-88DE-D5E1A051325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772C-42C1-82C9-CCE22706FF02}"/>
                </c:ext>
              </c:extLst>
            </c:dLbl>
            <c:dLbl>
              <c:idx val="14"/>
              <c:tx>
                <c:rich>
                  <a:bodyPr/>
                  <a:lstStyle/>
                  <a:p>
                    <a:fld id="{CE055DDE-8071-4EB8-A159-C35CD0DAD95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772C-42C1-82C9-CCE22706FF02}"/>
                </c:ext>
              </c:extLst>
            </c:dLbl>
            <c:dLbl>
              <c:idx val="15"/>
              <c:tx>
                <c:rich>
                  <a:bodyPr/>
                  <a:lstStyle/>
                  <a:p>
                    <a:fld id="{60356D90-9458-4D38-80C5-0BB9744FF9D3}"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772C-42C1-82C9-CCE22706FF02}"/>
                </c:ext>
              </c:extLst>
            </c:dLbl>
            <c:dLbl>
              <c:idx val="16"/>
              <c:tx>
                <c:rich>
                  <a:bodyPr/>
                  <a:lstStyle/>
                  <a:p>
                    <a:fld id="{8F4B7BB5-D3D2-4F57-8ACC-C74590D363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772C-42C1-82C9-CCE22706FF02}"/>
                </c:ext>
              </c:extLst>
            </c:dLbl>
            <c:dLbl>
              <c:idx val="17"/>
              <c:tx>
                <c:rich>
                  <a:bodyPr/>
                  <a:lstStyle/>
                  <a:p>
                    <a:fld id="{A201D3EF-F711-4A42-8FBA-0DB74667C6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772C-42C1-82C9-CCE22706FF02}"/>
                </c:ext>
              </c:extLst>
            </c:dLbl>
            <c:dLbl>
              <c:idx val="18"/>
              <c:tx>
                <c:rich>
                  <a:bodyPr/>
                  <a:lstStyle/>
                  <a:p>
                    <a:fld id="{4DD7FA54-4A8B-4F7F-AFA5-A5B01DD86FF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772C-42C1-82C9-CCE22706FF02}"/>
                </c:ext>
              </c:extLst>
            </c:dLbl>
            <c:dLbl>
              <c:idx val="19"/>
              <c:tx>
                <c:rich>
                  <a:bodyPr/>
                  <a:lstStyle/>
                  <a:p>
                    <a:fld id="{4CA36CFD-691C-4E4C-89C9-BBDCF9D5ECA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772C-42C1-82C9-CCE22706FF02}"/>
                </c:ext>
              </c:extLst>
            </c:dLbl>
            <c:dLbl>
              <c:idx val="20"/>
              <c:tx>
                <c:rich>
                  <a:bodyPr/>
                  <a:lstStyle/>
                  <a:p>
                    <a:fld id="{083F4D7B-E289-4ADA-B1DB-D344CFD5897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772C-42C1-82C9-CCE22706FF02}"/>
                </c:ext>
              </c:extLst>
            </c:dLbl>
            <c:dLbl>
              <c:idx val="21"/>
              <c:tx>
                <c:rich>
                  <a:bodyPr/>
                  <a:lstStyle/>
                  <a:p>
                    <a:fld id="{084F2C86-63B6-4526-BED8-5EC5C1DC8DF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772C-42C1-82C9-CCE22706FF02}"/>
                </c:ext>
              </c:extLst>
            </c:dLbl>
            <c:dLbl>
              <c:idx val="22"/>
              <c:tx>
                <c:rich>
                  <a:bodyPr/>
                  <a:lstStyle/>
                  <a:p>
                    <a:fld id="{7BC1685D-7365-42BA-9321-5918A3C41B7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772C-42C1-82C9-CCE22706FF02}"/>
                </c:ext>
              </c:extLst>
            </c:dLbl>
            <c:dLbl>
              <c:idx val="23"/>
              <c:tx>
                <c:rich>
                  <a:bodyPr/>
                  <a:lstStyle/>
                  <a:p>
                    <a:fld id="{87E186CB-150C-487A-9C65-46709B4BCFC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772C-42C1-82C9-CCE22706FF02}"/>
                </c:ext>
              </c:extLst>
            </c:dLbl>
            <c:dLbl>
              <c:idx val="24"/>
              <c:tx>
                <c:rich>
                  <a:bodyPr/>
                  <a:lstStyle/>
                  <a:p>
                    <a:fld id="{657C5E4D-E1A2-4FDB-BD34-7E9B412FAAA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772C-42C1-82C9-CCE22706FF02}"/>
                </c:ext>
              </c:extLst>
            </c:dLbl>
            <c:dLbl>
              <c:idx val="25"/>
              <c:tx>
                <c:rich>
                  <a:bodyPr/>
                  <a:lstStyle/>
                  <a:p>
                    <a:fld id="{8B76A653-42FC-4C4A-8934-CFEB2DA68D0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772C-42C1-82C9-CCE22706FF02}"/>
                </c:ext>
              </c:extLst>
            </c:dLbl>
            <c:dLbl>
              <c:idx val="26"/>
              <c:tx>
                <c:rich>
                  <a:bodyPr/>
                  <a:lstStyle/>
                  <a:p>
                    <a:fld id="{BC10D4A9-8DD6-42B6-86B2-867FE5BC249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772C-42C1-82C9-CCE22706FF02}"/>
                </c:ext>
              </c:extLst>
            </c:dLbl>
            <c:dLbl>
              <c:idx val="27"/>
              <c:tx>
                <c:rich>
                  <a:bodyPr/>
                  <a:lstStyle/>
                  <a:p>
                    <a:fld id="{8CD43D2D-3C8D-4159-9FC6-7138B833C67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772C-42C1-82C9-CCE22706FF02}"/>
                </c:ext>
              </c:extLst>
            </c:dLbl>
            <c:dLbl>
              <c:idx val="28"/>
              <c:tx>
                <c:rich>
                  <a:bodyPr/>
                  <a:lstStyle/>
                  <a:p>
                    <a:fld id="{5BC76609-6003-4198-9DC2-6C3C8AAD7D8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772C-42C1-82C9-CCE22706FF02}"/>
                </c:ext>
              </c:extLst>
            </c:dLbl>
            <c:dLbl>
              <c:idx val="29"/>
              <c:tx>
                <c:rich>
                  <a:bodyPr/>
                  <a:lstStyle/>
                  <a:p>
                    <a:fld id="{559CD5FA-B580-44C0-86CE-51FB54694AE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772C-42C1-82C9-CCE22706FF02}"/>
                </c:ext>
              </c:extLst>
            </c:dLbl>
            <c:dLbl>
              <c:idx val="30"/>
              <c:tx>
                <c:rich>
                  <a:bodyPr/>
                  <a:lstStyle/>
                  <a:p>
                    <a:fld id="{270F226E-B184-401D-8F32-3439373EE02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772C-42C1-82C9-CCE22706FF02}"/>
                </c:ext>
              </c:extLst>
            </c:dLbl>
            <c:dLbl>
              <c:idx val="31"/>
              <c:tx>
                <c:rich>
                  <a:bodyPr/>
                  <a:lstStyle/>
                  <a:p>
                    <a:fld id="{12962A36-330A-4AF3-B31F-E3ED3086325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772C-42C1-82C9-CCE22706FF02}"/>
                </c:ext>
              </c:extLst>
            </c:dLbl>
            <c:dLbl>
              <c:idx val="32"/>
              <c:tx>
                <c:rich>
                  <a:bodyPr/>
                  <a:lstStyle/>
                  <a:p>
                    <a:fld id="{9ADE0548-1D04-4C5C-8A9C-C8C147674AD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772C-42C1-82C9-CCE22706FF02}"/>
                </c:ext>
              </c:extLst>
            </c:dLbl>
            <c:dLbl>
              <c:idx val="33"/>
              <c:tx>
                <c:rich>
                  <a:bodyPr/>
                  <a:lstStyle/>
                  <a:p>
                    <a:fld id="{F74D7544-6D65-4163-9B1D-49457B2FF5A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772C-42C1-82C9-CCE22706FF02}"/>
                </c:ext>
              </c:extLst>
            </c:dLbl>
            <c:dLbl>
              <c:idx val="34"/>
              <c:tx>
                <c:rich>
                  <a:bodyPr/>
                  <a:lstStyle/>
                  <a:p>
                    <a:fld id="{6E2932B2-5C30-4BC7-AF4A-8EA91F85DA3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772C-42C1-82C9-CCE22706FF02}"/>
                </c:ext>
              </c:extLst>
            </c:dLbl>
            <c:dLbl>
              <c:idx val="35"/>
              <c:tx>
                <c:rich>
                  <a:bodyPr/>
                  <a:lstStyle/>
                  <a:p>
                    <a:fld id="{4148FE1F-C696-474F-BF35-658A31AD749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772C-42C1-82C9-CCE22706FF02}"/>
                </c:ext>
              </c:extLst>
            </c:dLbl>
            <c:dLbl>
              <c:idx val="36"/>
              <c:tx>
                <c:rich>
                  <a:bodyPr/>
                  <a:lstStyle/>
                  <a:p>
                    <a:fld id="{F4ACBCEE-EB3C-4A41-BABA-4128568CC57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772C-42C1-82C9-CCE22706FF02}"/>
                </c:ext>
              </c:extLst>
            </c:dLbl>
            <c:dLbl>
              <c:idx val="37"/>
              <c:tx>
                <c:rich>
                  <a:bodyPr/>
                  <a:lstStyle/>
                  <a:p>
                    <a:fld id="{FDB54C66-3BCF-4201-B9AF-791F097FBE1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772C-42C1-82C9-CCE22706FF02}"/>
                </c:ext>
              </c:extLst>
            </c:dLbl>
            <c:dLbl>
              <c:idx val="38"/>
              <c:tx>
                <c:rich>
                  <a:bodyPr/>
                  <a:lstStyle/>
                  <a:p>
                    <a:fld id="{6BF0AF3B-DBB8-459C-8EE9-D0F82891B40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772C-42C1-82C9-CCE22706FF02}"/>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usluga'!$AD$114:$AD$152</c:f>
              <c:numCache>
                <c:formatCode>General</c:formatCode>
                <c:ptCount val="39"/>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numCache>
            </c:numRef>
          </c:val>
          <c:smooth val="0"/>
          <c:extLst>
            <c:ext xmlns:c15="http://schemas.microsoft.com/office/drawing/2012/chart" uri="{02D57815-91ED-43cb-92C2-25804820EDAC}">
              <c15:datalabelsRange>
                <c15:f>'BoP_izvoz usluga'!$J$114:$J$152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F-772C-42C1-82C9-CCE22706FF02}"/>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2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33333333333E-2"/>
          <c:y val="6.2713213213213215E-2"/>
          <c:w val="0.86257083333333318"/>
          <c:h val="0.8328986486486486"/>
        </c:manualLayout>
      </c:layout>
      <c:lineChart>
        <c:grouping val="standard"/>
        <c:varyColors val="0"/>
        <c:ser>
          <c:idx val="0"/>
          <c:order val="0"/>
          <c:tx>
            <c:strRef>
              <c:f>'BoP_izvoz usluga'!$S$5</c:f>
              <c:strCache>
                <c:ptCount val="1"/>
                <c:pt idx="0">
                  <c:v>y</c:v>
                </c:pt>
              </c:strCache>
            </c:strRef>
          </c:tx>
          <c:spPr>
            <a:ln w="12700" cap="rnd">
              <a:solidFill>
                <a:srgbClr val="7F3F98"/>
              </a:solidFill>
              <a:prstDash val="sysDash"/>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usluga'!$S$114:$S$152</c:f>
              <c:numCache>
                <c:formatCode>0.0</c:formatCode>
                <c:ptCount val="39"/>
                <c:pt idx="0">
                  <c:v>41.638786611738901</c:v>
                </c:pt>
                <c:pt idx="1">
                  <c:v>43.368317057947088</c:v>
                </c:pt>
                <c:pt idx="2">
                  <c:v>52.080326208288675</c:v>
                </c:pt>
                <c:pt idx="3">
                  <c:v>50.643074398291269</c:v>
                </c:pt>
                <c:pt idx="4">
                  <c:v>48.141994096302263</c:v>
                </c:pt>
                <c:pt idx="5">
                  <c:v>52.660798031242017</c:v>
                </c:pt>
                <c:pt idx="6">
                  <c:v>59.654160754526039</c:v>
                </c:pt>
                <c:pt idx="7">
                  <c:v>51.727437964070212</c:v>
                </c:pt>
                <c:pt idx="8">
                  <c:v>54.596359773716955</c:v>
                </c:pt>
                <c:pt idx="9">
                  <c:v>58.72907986421464</c:v>
                </c:pt>
                <c:pt idx="10">
                  <c:v>59.886041905428399</c:v>
                </c:pt>
                <c:pt idx="11">
                  <c:v>75.49530770901039</c:v>
                </c:pt>
                <c:pt idx="12">
                  <c:v>61.033435184161746</c:v>
                </c:pt>
                <c:pt idx="13">
                  <c:v>60.517944901109608</c:v>
                </c:pt>
                <c:pt idx="14">
                  <c:v>69.511249082000006</c:v>
                </c:pt>
                <c:pt idx="15">
                  <c:v>68.564365855058639</c:v>
                </c:pt>
                <c:pt idx="16">
                  <c:v>74.311737522538081</c:v>
                </c:pt>
                <c:pt idx="17">
                  <c:v>75.344296996061544</c:v>
                </c:pt>
                <c:pt idx="18">
                  <c:v>83.887789598644318</c:v>
                </c:pt>
                <c:pt idx="19">
                  <c:v>81.695950900395914</c:v>
                </c:pt>
                <c:pt idx="20">
                  <c:v>86.523991284888126</c:v>
                </c:pt>
                <c:pt idx="21">
                  <c:v>83.22528212202468</c:v>
                </c:pt>
                <c:pt idx="22">
                  <c:v>87.717211005678138</c:v>
                </c:pt>
                <c:pt idx="23">
                  <c:v>109.32909237228365</c:v>
                </c:pt>
                <c:pt idx="24">
                  <c:v>86.141726936632168</c:v>
                </c:pt>
                <c:pt idx="25">
                  <c:v>88.475226741068084</c:v>
                </c:pt>
                <c:pt idx="26">
                  <c:v>99.983177011600048</c:v>
                </c:pt>
                <c:pt idx="27">
                  <c:v>95.260246532608491</c:v>
                </c:pt>
                <c:pt idx="28">
                  <c:v>98.285081649550676</c:v>
                </c:pt>
                <c:pt idx="29">
                  <c:v>103.0193499034232</c:v>
                </c:pt>
                <c:pt idx="30">
                  <c:v>98.225877267927402</c:v>
                </c:pt>
                <c:pt idx="31">
                  <c:v>104.81994928708693</c:v>
                </c:pt>
                <c:pt idx="32">
                  <c:v>98.054380230648846</c:v>
                </c:pt>
                <c:pt idx="33">
                  <c:v>100.71575000763819</c:v>
                </c:pt>
                <c:pt idx="34">
                  <c:v>107.71335556784183</c:v>
                </c:pt>
                <c:pt idx="35">
                  <c:v>119.30587886397423</c:v>
                </c:pt>
                <c:pt idx="36">
                  <c:v>107.00836616397412</c:v>
                </c:pt>
                <c:pt idx="37">
                  <c:v>105.5786243815726</c:v>
                </c:pt>
                <c:pt idx="38">
                  <c:v>107.7269694717267</c:v>
                </c:pt>
              </c:numCache>
            </c:numRef>
          </c:val>
          <c:smooth val="0"/>
          <c:extLst>
            <c:ext xmlns:c16="http://schemas.microsoft.com/office/drawing/2014/chart" uri="{C3380CC4-5D6E-409C-BE32-E72D297353CC}">
              <c16:uniqueId val="{00000000-14B7-4054-B0E2-902FCDD69837}"/>
            </c:ext>
          </c:extLst>
        </c:ser>
        <c:ser>
          <c:idx val="1"/>
          <c:order val="1"/>
          <c:tx>
            <c:strRef>
              <c:f>'BoP_izvoz usluga'!$T$5</c:f>
              <c:strCache>
                <c:ptCount val="1"/>
                <c:pt idx="0">
                  <c:v>sa</c:v>
                </c:pt>
              </c:strCache>
            </c:strRef>
          </c:tx>
          <c:spPr>
            <a:ln w="22225" cap="rnd">
              <a:solidFill>
                <a:srgbClr val="25AAE1"/>
              </a:solidFill>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usluga'!$T$114:$T$152</c:f>
              <c:numCache>
                <c:formatCode>0.0</c:formatCode>
                <c:ptCount val="39"/>
                <c:pt idx="0">
                  <c:v>45.432519299667511</c:v>
                </c:pt>
                <c:pt idx="1">
                  <c:v>45.791570262798913</c:v>
                </c:pt>
                <c:pt idx="2">
                  <c:v>50.926877334660702</c:v>
                </c:pt>
                <c:pt idx="3">
                  <c:v>48.621900679077157</c:v>
                </c:pt>
                <c:pt idx="4">
                  <c:v>51.65542680415961</c:v>
                </c:pt>
                <c:pt idx="5">
                  <c:v>52.524398764671325</c:v>
                </c:pt>
                <c:pt idx="6">
                  <c:v>55.473277445877848</c:v>
                </c:pt>
                <c:pt idx="7">
                  <c:v>55.501473303183118</c:v>
                </c:pt>
                <c:pt idx="8">
                  <c:v>57.005037311306118</c:v>
                </c:pt>
                <c:pt idx="9">
                  <c:v>58.863776196758828</c:v>
                </c:pt>
                <c:pt idx="10">
                  <c:v>60.412809005185565</c:v>
                </c:pt>
                <c:pt idx="11">
                  <c:v>62.092486042973881</c:v>
                </c:pt>
                <c:pt idx="12">
                  <c:v>65.868230685512515</c:v>
                </c:pt>
                <c:pt idx="13">
                  <c:v>64.701957118351018</c:v>
                </c:pt>
                <c:pt idx="14">
                  <c:v>66.218918913683311</c:v>
                </c:pt>
                <c:pt idx="15">
                  <c:v>69.451515087655736</c:v>
                </c:pt>
                <c:pt idx="16">
                  <c:v>75.466907411650709</c:v>
                </c:pt>
                <c:pt idx="17">
                  <c:v>75.710274897449594</c:v>
                </c:pt>
                <c:pt idx="18">
                  <c:v>81.461247443111674</c:v>
                </c:pt>
                <c:pt idx="19">
                  <c:v>85.089850608257734</c:v>
                </c:pt>
                <c:pt idx="20">
                  <c:v>87.815267611107743</c:v>
                </c:pt>
                <c:pt idx="21">
                  <c:v>86.701577887616835</c:v>
                </c:pt>
                <c:pt idx="22">
                  <c:v>87.915153656856205</c:v>
                </c:pt>
                <c:pt idx="23">
                  <c:v>90.97686092812998</c:v>
                </c:pt>
                <c:pt idx="24">
                  <c:v>88.30110986603168</c:v>
                </c:pt>
                <c:pt idx="25">
                  <c:v>94.550516745072599</c:v>
                </c:pt>
                <c:pt idx="26">
                  <c:v>96.322319575713749</c:v>
                </c:pt>
                <c:pt idx="27">
                  <c:v>100.70890445634406</c:v>
                </c:pt>
                <c:pt idx="28">
                  <c:v>100.79983055167396</c:v>
                </c:pt>
                <c:pt idx="29">
                  <c:v>101.03218322461289</c:v>
                </c:pt>
                <c:pt idx="30">
                  <c:v>98.864217268312402</c:v>
                </c:pt>
                <c:pt idx="31">
                  <c:v>104.50478916531607</c:v>
                </c:pt>
                <c:pt idx="32">
                  <c:v>102.39615335054893</c:v>
                </c:pt>
                <c:pt idx="33">
                  <c:v>100.81587886013165</c:v>
                </c:pt>
                <c:pt idx="34">
                  <c:v>106.57885262669252</c:v>
                </c:pt>
                <c:pt idx="35">
                  <c:v>105.33224543145616</c:v>
                </c:pt>
                <c:pt idx="36">
                  <c:v>111.09851556286695</c:v>
                </c:pt>
                <c:pt idx="37">
                  <c:v>110.1358808756525</c:v>
                </c:pt>
                <c:pt idx="38">
                  <c:v>108.85454199483485</c:v>
                </c:pt>
              </c:numCache>
            </c:numRef>
          </c:val>
          <c:smooth val="0"/>
          <c:extLst>
            <c:ext xmlns:c16="http://schemas.microsoft.com/office/drawing/2014/chart" uri="{C3380CC4-5D6E-409C-BE32-E72D297353CC}">
              <c16:uniqueId val="{00000001-14B7-4054-B0E2-902FCDD69837}"/>
            </c:ext>
          </c:extLst>
        </c:ser>
        <c:ser>
          <c:idx val="2"/>
          <c:order val="2"/>
          <c:tx>
            <c:strRef>
              <c:f>'BoP_izvoz usluga'!$U$5</c:f>
              <c:strCache>
                <c:ptCount val="1"/>
                <c:pt idx="0">
                  <c:v>t</c:v>
                </c:pt>
              </c:strCache>
            </c:strRef>
          </c:tx>
          <c:spPr>
            <a:ln w="25400" cap="rnd">
              <a:solidFill>
                <a:srgbClr val="FF0000"/>
              </a:solidFill>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usluga'!$U$114:$U$152</c:f>
              <c:numCache>
                <c:formatCode>0.0</c:formatCode>
                <c:ptCount val="39"/>
                <c:pt idx="0">
                  <c:v>45.745884100944338</c:v>
                </c:pt>
                <c:pt idx="1">
                  <c:v>47.106090719803213</c:v>
                </c:pt>
                <c:pt idx="2">
                  <c:v>48.510230138320516</c:v>
                </c:pt>
                <c:pt idx="3">
                  <c:v>49.96646313455652</c:v>
                </c:pt>
                <c:pt idx="4">
                  <c:v>51.461868805391504</c:v>
                </c:pt>
                <c:pt idx="5">
                  <c:v>52.951338970179073</c:v>
                </c:pt>
                <c:pt idx="6">
                  <c:v>54.362217507678459</c:v>
                </c:pt>
                <c:pt idx="7">
                  <c:v>55.79800057754661</c:v>
                </c:pt>
                <c:pt idx="8">
                  <c:v>57.359475054602584</c:v>
                </c:pt>
                <c:pt idx="9">
                  <c:v>59.003610786546261</c:v>
                </c:pt>
                <c:pt idx="10">
                  <c:v>60.547905181277223</c:v>
                </c:pt>
                <c:pt idx="11">
                  <c:v>62.12097600384952</c:v>
                </c:pt>
                <c:pt idx="12">
                  <c:v>63.746739090854675</c:v>
                </c:pt>
                <c:pt idx="13">
                  <c:v>65.547554118768687</c:v>
                </c:pt>
                <c:pt idx="14">
                  <c:v>67.688603737914292</c:v>
                </c:pt>
                <c:pt idx="15">
                  <c:v>70.433478438400599</c:v>
                </c:pt>
                <c:pt idx="16">
                  <c:v>73.785556387104819</c:v>
                </c:pt>
                <c:pt idx="17">
                  <c:v>77.424059865472728</c:v>
                </c:pt>
                <c:pt idx="18">
                  <c:v>80.980605143394001</c:v>
                </c:pt>
                <c:pt idx="19">
                  <c:v>83.944691458734212</c:v>
                </c:pt>
                <c:pt idx="20">
                  <c:v>86.062389278216358</c:v>
                </c:pt>
                <c:pt idx="21">
                  <c:v>87.484534987354564</c:v>
                </c:pt>
                <c:pt idx="22">
                  <c:v>88.62844220594576</c:v>
                </c:pt>
                <c:pt idx="23">
                  <c:v>89.952239442718167</c:v>
                </c:pt>
                <c:pt idx="24">
                  <c:v>91.791757583534789</c:v>
                </c:pt>
                <c:pt idx="25">
                  <c:v>94.077535700017293</c:v>
                </c:pt>
                <c:pt idx="26">
                  <c:v>96.456445391992773</c:v>
                </c:pt>
                <c:pt idx="27">
                  <c:v>98.595736002987422</c:v>
                </c:pt>
                <c:pt idx="28">
                  <c:v>100.12924466320118</c:v>
                </c:pt>
                <c:pt idx="29">
                  <c:v>101.06468179221032</c:v>
                </c:pt>
                <c:pt idx="30">
                  <c:v>101.49320761019577</c:v>
                </c:pt>
                <c:pt idx="31">
                  <c:v>101.80966415972908</c:v>
                </c:pt>
                <c:pt idx="32">
                  <c:v>102.53216987181685</c:v>
                </c:pt>
                <c:pt idx="33">
                  <c:v>103.68534182739251</c:v>
                </c:pt>
                <c:pt idx="34">
                  <c:v>105.20244270373938</c:v>
                </c:pt>
                <c:pt idx="35">
                  <c:v>106.77449618943895</c:v>
                </c:pt>
                <c:pt idx="36">
                  <c:v>108.27869708597343</c:v>
                </c:pt>
                <c:pt idx="37">
                  <c:v>109.661731655232</c:v>
                </c:pt>
                <c:pt idx="38">
                  <c:v>110.94036528130268</c:v>
                </c:pt>
              </c:numCache>
            </c:numRef>
          </c:val>
          <c:smooth val="0"/>
          <c:extLst>
            <c:ext xmlns:c16="http://schemas.microsoft.com/office/drawing/2014/chart" uri="{C3380CC4-5D6E-409C-BE32-E72D297353CC}">
              <c16:uniqueId val="{00000002-14B7-4054-B0E2-902FCDD69837}"/>
            </c:ext>
          </c:extLst>
        </c:ser>
        <c:ser>
          <c:idx val="3"/>
          <c:order val="3"/>
          <c:tx>
            <c:strRef>
              <c:f>'BoP_izvoz usluga'!$V$5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9109262017139073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4B7-4054-B0E2-902FCDD69837}"/>
                </c:ext>
              </c:extLst>
            </c:dLbl>
            <c:dLbl>
              <c:idx val="12"/>
              <c:layout>
                <c:manualLayout>
                  <c:x val="6.7173680523791121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4B7-4054-B0E2-902FCDD69837}"/>
                </c:ext>
              </c:extLst>
            </c:dLbl>
            <c:dLbl>
              <c:idx val="24"/>
              <c:layout>
                <c:manualLayout>
                  <c:x val="6.9058708368117658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4B7-4054-B0E2-902FCDD69837}"/>
                </c:ext>
              </c:extLst>
            </c:dLbl>
            <c:dLbl>
              <c:idx val="36"/>
              <c:layout>
                <c:manualLayout>
                  <c:x val="-2.1246036645855577E-2"/>
                  <c:y val="4.644219219219219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4B7-4054-B0E2-902FCDD69837}"/>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usluga'!$V$114:$V$152</c:f>
              <c:numCache>
                <c:formatCode>General</c:formatCode>
                <c:ptCount val="39"/>
                <c:pt idx="0">
                  <c:v>20</c:v>
                </c:pt>
                <c:pt idx="12">
                  <c:v>20</c:v>
                </c:pt>
                <c:pt idx="24">
                  <c:v>20</c:v>
                </c:pt>
                <c:pt idx="36">
                  <c:v>20</c:v>
                </c:pt>
              </c:numCache>
            </c:numRef>
          </c:val>
          <c:smooth val="0"/>
          <c:extLst>
            <c:ext xmlns:c16="http://schemas.microsoft.com/office/drawing/2014/chart" uri="{C3380CC4-5D6E-409C-BE32-E72D297353CC}">
              <c16:uniqueId val="{00000007-14B7-4054-B0E2-902FCDD69837}"/>
            </c:ext>
          </c:extLst>
        </c:ser>
        <c:ser>
          <c:idx val="4"/>
          <c:order val="4"/>
          <c:tx>
            <c:strRef>
              <c:f>'BoP_izvoz usluga'!$W$5</c:f>
              <c:strCache>
                <c:ptCount val="1"/>
                <c:pt idx="0">
                  <c:v>Series5</c:v>
                </c:pt>
              </c:strCache>
            </c:strRef>
          </c:tx>
          <c:spPr>
            <a:ln w="28575" cap="rnd">
              <a:noFill/>
              <a:round/>
            </a:ln>
            <a:effectLst/>
          </c:spPr>
          <c:marker>
            <c:symbol val="none"/>
          </c:marker>
          <c:dLbls>
            <c:dLbl>
              <c:idx val="0"/>
              <c:tx>
                <c:rich>
                  <a:bodyPr/>
                  <a:lstStyle/>
                  <a:p>
                    <a:fld id="{D6D05E33-711A-4630-AADD-1EF569556D62}"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4B7-4054-B0E2-902FCDD69837}"/>
                </c:ext>
              </c:extLst>
            </c:dLbl>
            <c:dLbl>
              <c:idx val="1"/>
              <c:tx>
                <c:rich>
                  <a:bodyPr/>
                  <a:lstStyle/>
                  <a:p>
                    <a:fld id="{5326FA44-FE69-4CB5-9398-872FF4F41C4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14B7-4054-B0E2-902FCDD69837}"/>
                </c:ext>
              </c:extLst>
            </c:dLbl>
            <c:dLbl>
              <c:idx val="2"/>
              <c:tx>
                <c:rich>
                  <a:bodyPr/>
                  <a:lstStyle/>
                  <a:p>
                    <a:fld id="{C4D8C247-96AC-416B-A3FB-292264F4F1B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14B7-4054-B0E2-902FCDD69837}"/>
                </c:ext>
              </c:extLst>
            </c:dLbl>
            <c:dLbl>
              <c:idx val="3"/>
              <c:tx>
                <c:rich>
                  <a:bodyPr/>
                  <a:lstStyle/>
                  <a:p>
                    <a:fld id="{4AE59085-3575-4A3D-A56E-782C7331740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4B7-4054-B0E2-902FCDD69837}"/>
                </c:ext>
              </c:extLst>
            </c:dLbl>
            <c:dLbl>
              <c:idx val="4"/>
              <c:tx>
                <c:rich>
                  <a:bodyPr/>
                  <a:lstStyle/>
                  <a:p>
                    <a:fld id="{944E56BD-E136-449D-AB72-CC714EF202F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14B7-4054-B0E2-902FCDD69837}"/>
                </c:ext>
              </c:extLst>
            </c:dLbl>
            <c:dLbl>
              <c:idx val="5"/>
              <c:tx>
                <c:rich>
                  <a:bodyPr/>
                  <a:lstStyle/>
                  <a:p>
                    <a:fld id="{052E1CA7-385C-499B-97CC-40E928021AF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14B7-4054-B0E2-902FCDD69837}"/>
                </c:ext>
              </c:extLst>
            </c:dLbl>
            <c:dLbl>
              <c:idx val="6"/>
              <c:tx>
                <c:rich>
                  <a:bodyPr/>
                  <a:lstStyle/>
                  <a:p>
                    <a:fld id="{77581931-2D9A-49F5-9E75-B0BFFF87748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4B7-4054-B0E2-902FCDD69837}"/>
                </c:ext>
              </c:extLst>
            </c:dLbl>
            <c:dLbl>
              <c:idx val="7"/>
              <c:tx>
                <c:rich>
                  <a:bodyPr/>
                  <a:lstStyle/>
                  <a:p>
                    <a:fld id="{F6FACF6F-0305-4397-BE44-7A4C3DF0C4F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14B7-4054-B0E2-902FCDD69837}"/>
                </c:ext>
              </c:extLst>
            </c:dLbl>
            <c:dLbl>
              <c:idx val="8"/>
              <c:tx>
                <c:rich>
                  <a:bodyPr/>
                  <a:lstStyle/>
                  <a:p>
                    <a:fld id="{DCD9DFF7-885D-43F9-80B6-008BE13DD4B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14B7-4054-B0E2-902FCDD69837}"/>
                </c:ext>
              </c:extLst>
            </c:dLbl>
            <c:dLbl>
              <c:idx val="9"/>
              <c:tx>
                <c:rich>
                  <a:bodyPr/>
                  <a:lstStyle/>
                  <a:p>
                    <a:fld id="{87344D02-7944-4EE2-B083-7BC95B19BB1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4B7-4054-B0E2-902FCDD69837}"/>
                </c:ext>
              </c:extLst>
            </c:dLbl>
            <c:dLbl>
              <c:idx val="10"/>
              <c:tx>
                <c:rich>
                  <a:bodyPr/>
                  <a:lstStyle/>
                  <a:p>
                    <a:fld id="{EA676149-5221-4A47-B8AC-65058EB33F6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14B7-4054-B0E2-902FCDD69837}"/>
                </c:ext>
              </c:extLst>
            </c:dLbl>
            <c:dLbl>
              <c:idx val="11"/>
              <c:tx>
                <c:rich>
                  <a:bodyPr/>
                  <a:lstStyle/>
                  <a:p>
                    <a:fld id="{59B84CC0-48F0-41B9-91B7-2DD0D19C0EB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14B7-4054-B0E2-902FCDD69837}"/>
                </c:ext>
              </c:extLst>
            </c:dLbl>
            <c:dLbl>
              <c:idx val="12"/>
              <c:tx>
                <c:rich>
                  <a:bodyPr/>
                  <a:lstStyle/>
                  <a:p>
                    <a:fld id="{7D295E7C-9E05-46A9-B3DE-4AB1D1734BD9}"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4B7-4054-B0E2-902FCDD69837}"/>
                </c:ext>
              </c:extLst>
            </c:dLbl>
            <c:dLbl>
              <c:idx val="13"/>
              <c:tx>
                <c:rich>
                  <a:bodyPr/>
                  <a:lstStyle/>
                  <a:p>
                    <a:fld id="{01B4FA7D-6D5E-41BA-8C7F-5441E389828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14B7-4054-B0E2-902FCDD69837}"/>
                </c:ext>
              </c:extLst>
            </c:dLbl>
            <c:dLbl>
              <c:idx val="14"/>
              <c:tx>
                <c:rich>
                  <a:bodyPr/>
                  <a:lstStyle/>
                  <a:p>
                    <a:fld id="{CC9AEE65-C4E5-4E97-A4D5-64CFC0307B5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14B7-4054-B0E2-902FCDD69837}"/>
                </c:ext>
              </c:extLst>
            </c:dLbl>
            <c:dLbl>
              <c:idx val="15"/>
              <c:tx>
                <c:rich>
                  <a:bodyPr/>
                  <a:lstStyle/>
                  <a:p>
                    <a:fld id="{D6687341-5577-47F9-A6DB-BE7585963A31}"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4B7-4054-B0E2-902FCDD69837}"/>
                </c:ext>
              </c:extLst>
            </c:dLbl>
            <c:dLbl>
              <c:idx val="16"/>
              <c:tx>
                <c:rich>
                  <a:bodyPr/>
                  <a:lstStyle/>
                  <a:p>
                    <a:fld id="{918CCBA8-1A44-47B9-8AF1-46EA87C75C6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14B7-4054-B0E2-902FCDD69837}"/>
                </c:ext>
              </c:extLst>
            </c:dLbl>
            <c:dLbl>
              <c:idx val="17"/>
              <c:tx>
                <c:rich>
                  <a:bodyPr/>
                  <a:lstStyle/>
                  <a:p>
                    <a:fld id="{6ADE049B-7091-487D-9E22-4B442CC5A3D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14B7-4054-B0E2-902FCDD69837}"/>
                </c:ext>
              </c:extLst>
            </c:dLbl>
            <c:dLbl>
              <c:idx val="18"/>
              <c:tx>
                <c:rich>
                  <a:bodyPr/>
                  <a:lstStyle/>
                  <a:p>
                    <a:fld id="{3B34249A-A1BE-4E91-8E32-40BD1CF17E4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4B7-4054-B0E2-902FCDD69837}"/>
                </c:ext>
              </c:extLst>
            </c:dLbl>
            <c:dLbl>
              <c:idx val="19"/>
              <c:tx>
                <c:rich>
                  <a:bodyPr/>
                  <a:lstStyle/>
                  <a:p>
                    <a:fld id="{EA38E66A-B99D-4D74-BFC2-D65DA222841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14B7-4054-B0E2-902FCDD69837}"/>
                </c:ext>
              </c:extLst>
            </c:dLbl>
            <c:dLbl>
              <c:idx val="20"/>
              <c:tx>
                <c:rich>
                  <a:bodyPr/>
                  <a:lstStyle/>
                  <a:p>
                    <a:fld id="{7CC2F5A5-8BBA-43A9-A62C-5C4641133B4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14B7-4054-B0E2-902FCDD69837}"/>
                </c:ext>
              </c:extLst>
            </c:dLbl>
            <c:dLbl>
              <c:idx val="21"/>
              <c:tx>
                <c:rich>
                  <a:bodyPr/>
                  <a:lstStyle/>
                  <a:p>
                    <a:fld id="{840897AB-2E96-4606-9FA1-6787D7ED9EF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4B7-4054-B0E2-902FCDD69837}"/>
                </c:ext>
              </c:extLst>
            </c:dLbl>
            <c:dLbl>
              <c:idx val="22"/>
              <c:tx>
                <c:rich>
                  <a:bodyPr/>
                  <a:lstStyle/>
                  <a:p>
                    <a:fld id="{DB7BDA0F-5FFC-4D9C-8241-B9667AB3BA4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14B7-4054-B0E2-902FCDD69837}"/>
                </c:ext>
              </c:extLst>
            </c:dLbl>
            <c:dLbl>
              <c:idx val="23"/>
              <c:tx>
                <c:rich>
                  <a:bodyPr/>
                  <a:lstStyle/>
                  <a:p>
                    <a:fld id="{6D3119B1-F7F0-4E24-B07D-3043EC7D91F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14B7-4054-B0E2-902FCDD69837}"/>
                </c:ext>
              </c:extLst>
            </c:dLbl>
            <c:dLbl>
              <c:idx val="24"/>
              <c:tx>
                <c:rich>
                  <a:bodyPr/>
                  <a:lstStyle/>
                  <a:p>
                    <a:fld id="{99214052-3C93-40A6-B1C5-394DA3E802F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4B7-4054-B0E2-902FCDD69837}"/>
                </c:ext>
              </c:extLst>
            </c:dLbl>
            <c:dLbl>
              <c:idx val="25"/>
              <c:tx>
                <c:rich>
                  <a:bodyPr/>
                  <a:lstStyle/>
                  <a:p>
                    <a:fld id="{0CC0D622-0207-48B2-BAEB-E304CBBA158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14B7-4054-B0E2-902FCDD69837}"/>
                </c:ext>
              </c:extLst>
            </c:dLbl>
            <c:dLbl>
              <c:idx val="26"/>
              <c:tx>
                <c:rich>
                  <a:bodyPr/>
                  <a:lstStyle/>
                  <a:p>
                    <a:fld id="{2D75CA90-D796-4B9F-A3F7-5363E32155F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14B7-4054-B0E2-902FCDD69837}"/>
                </c:ext>
              </c:extLst>
            </c:dLbl>
            <c:dLbl>
              <c:idx val="27"/>
              <c:tx>
                <c:rich>
                  <a:bodyPr/>
                  <a:lstStyle/>
                  <a:p>
                    <a:fld id="{628A15A1-8E9D-4EF8-B20B-F2173C802E3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4B7-4054-B0E2-902FCDD69837}"/>
                </c:ext>
              </c:extLst>
            </c:dLbl>
            <c:dLbl>
              <c:idx val="28"/>
              <c:tx>
                <c:rich>
                  <a:bodyPr/>
                  <a:lstStyle/>
                  <a:p>
                    <a:fld id="{CBE7E001-93DE-4CEA-8B2B-B456348C01B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14B7-4054-B0E2-902FCDD69837}"/>
                </c:ext>
              </c:extLst>
            </c:dLbl>
            <c:dLbl>
              <c:idx val="29"/>
              <c:tx>
                <c:rich>
                  <a:bodyPr/>
                  <a:lstStyle/>
                  <a:p>
                    <a:fld id="{DB4A436F-EC5B-47D1-AC73-F0018CC96BA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14B7-4054-B0E2-902FCDD69837}"/>
                </c:ext>
              </c:extLst>
            </c:dLbl>
            <c:dLbl>
              <c:idx val="30"/>
              <c:tx>
                <c:rich>
                  <a:bodyPr/>
                  <a:lstStyle/>
                  <a:p>
                    <a:fld id="{D23D158C-32A9-4A5F-A057-3DFD65A0CD2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4B7-4054-B0E2-902FCDD69837}"/>
                </c:ext>
              </c:extLst>
            </c:dLbl>
            <c:dLbl>
              <c:idx val="31"/>
              <c:tx>
                <c:rich>
                  <a:bodyPr/>
                  <a:lstStyle/>
                  <a:p>
                    <a:fld id="{EC880533-507F-4B7C-BE1B-56A09E2EADDE}"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14B7-4054-B0E2-902FCDD69837}"/>
                </c:ext>
              </c:extLst>
            </c:dLbl>
            <c:dLbl>
              <c:idx val="32"/>
              <c:tx>
                <c:rich>
                  <a:bodyPr/>
                  <a:lstStyle/>
                  <a:p>
                    <a:fld id="{02C5864E-AA09-4385-93D2-9D946679C77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14B7-4054-B0E2-902FCDD69837}"/>
                </c:ext>
              </c:extLst>
            </c:dLbl>
            <c:dLbl>
              <c:idx val="33"/>
              <c:tx>
                <c:rich>
                  <a:bodyPr/>
                  <a:lstStyle/>
                  <a:p>
                    <a:fld id="{B482587F-EC11-450A-A398-BF61DBC940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4B7-4054-B0E2-902FCDD69837}"/>
                </c:ext>
              </c:extLst>
            </c:dLbl>
            <c:dLbl>
              <c:idx val="34"/>
              <c:tx>
                <c:rich>
                  <a:bodyPr/>
                  <a:lstStyle/>
                  <a:p>
                    <a:fld id="{33DF682E-8341-45A9-A71D-F2DBC44332A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14B7-4054-B0E2-902FCDD69837}"/>
                </c:ext>
              </c:extLst>
            </c:dLbl>
            <c:dLbl>
              <c:idx val="35"/>
              <c:tx>
                <c:rich>
                  <a:bodyPr/>
                  <a:lstStyle/>
                  <a:p>
                    <a:fld id="{97C2501D-7960-4B1B-8CA7-84770B19D17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14B7-4054-B0E2-902FCDD69837}"/>
                </c:ext>
              </c:extLst>
            </c:dLbl>
            <c:dLbl>
              <c:idx val="36"/>
              <c:tx>
                <c:rich>
                  <a:bodyPr/>
                  <a:lstStyle/>
                  <a:p>
                    <a:fld id="{EE475D8C-4110-4CDB-9681-674DAD5ED76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4B7-4054-B0E2-902FCDD69837}"/>
                </c:ext>
              </c:extLst>
            </c:dLbl>
            <c:dLbl>
              <c:idx val="37"/>
              <c:tx>
                <c:rich>
                  <a:bodyPr/>
                  <a:lstStyle/>
                  <a:p>
                    <a:fld id="{7A3CD2CF-AA1A-4289-8020-DD4B587E076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14B7-4054-B0E2-902FCDD69837}"/>
                </c:ext>
              </c:extLst>
            </c:dLbl>
            <c:dLbl>
              <c:idx val="38"/>
              <c:tx>
                <c:rich>
                  <a:bodyPr/>
                  <a:lstStyle/>
                  <a:p>
                    <a:fld id="{F6BB9E42-3011-4944-B766-653B896844F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14B7-4054-B0E2-902FCDD69837}"/>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usluga'!$W$114:$W$152</c:f>
              <c:numCache>
                <c:formatCode>General</c:formatCode>
                <c:ptCount val="39"/>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numCache>
            </c:numRef>
          </c:val>
          <c:smooth val="0"/>
          <c:extLst>
            <c:ext xmlns:c15="http://schemas.microsoft.com/office/drawing/2012/chart" uri="{02D57815-91ED-43cb-92C2-25804820EDAC}">
              <c15:datalabelsRange>
                <c15:f>'BoP_izvoz usluga'!$J$114:$J$152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F-14B7-4054-B0E2-902FCDD69837}"/>
            </c:ext>
          </c:extLst>
        </c:ser>
        <c:dLbls>
          <c:showLegendKey val="0"/>
          <c:showVal val="0"/>
          <c:showCatName val="0"/>
          <c:showSerName val="0"/>
          <c:showPercent val="0"/>
          <c:showBubbleSize val="0"/>
        </c:dLbls>
        <c:smooth val="0"/>
        <c:axId val="1828932656"/>
        <c:axId val="1828929936"/>
      </c:lineChart>
      <c:dateAx>
        <c:axId val="1828932656"/>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9936"/>
        <c:crosses val="autoZero"/>
        <c:auto val="1"/>
        <c:lblOffset val="0"/>
        <c:baseTimeUnit val="months"/>
      </c:dateAx>
      <c:valAx>
        <c:axId val="1828929936"/>
        <c:scaling>
          <c:orientation val="minMax"/>
          <c:max val="120"/>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2656"/>
        <c:crosses val="autoZero"/>
        <c:crossBetween val="midCat"/>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8583366760262072E-2"/>
          <c:y val="3.9500937320235463E-2"/>
          <c:w val="0.86259167550669125"/>
          <c:h val="0.84243318318318317"/>
        </c:manualLayout>
      </c:layout>
      <c:lineChart>
        <c:grouping val="standard"/>
        <c:varyColors val="0"/>
        <c:ser>
          <c:idx val="0"/>
          <c:order val="0"/>
          <c:tx>
            <c:strRef>
              <c:f>'BoP_izvoz usluga'!$L$5</c:f>
              <c:strCache>
                <c:ptCount val="1"/>
                <c:pt idx="0">
                  <c:v>y</c:v>
                </c:pt>
              </c:strCache>
            </c:strRef>
          </c:tx>
          <c:spPr>
            <a:ln w="12700" cap="rnd">
              <a:solidFill>
                <a:srgbClr val="7F3F98"/>
              </a:solidFill>
              <a:prstDash val="sysDash"/>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usluga'!$L$114:$L$152</c:f>
              <c:numCache>
                <c:formatCode>0.0</c:formatCode>
                <c:ptCount val="39"/>
                <c:pt idx="0">
                  <c:v>45.628879347000002</c:v>
                </c:pt>
                <c:pt idx="1">
                  <c:v>39.551119049</c:v>
                </c:pt>
                <c:pt idx="2">
                  <c:v>45.285768808</c:v>
                </c:pt>
                <c:pt idx="3">
                  <c:v>42.774486615999997</c:v>
                </c:pt>
                <c:pt idx="4">
                  <c:v>56.229557516</c:v>
                </c:pt>
                <c:pt idx="5">
                  <c:v>58.427408632000002</c:v>
                </c:pt>
                <c:pt idx="6">
                  <c:v>90.404694014</c:v>
                </c:pt>
                <c:pt idx="7">
                  <c:v>92.842536349</c:v>
                </c:pt>
                <c:pt idx="8">
                  <c:v>68.231478519000007</c:v>
                </c:pt>
                <c:pt idx="9">
                  <c:v>60.390243648000002</c:v>
                </c:pt>
                <c:pt idx="10">
                  <c:v>64.574201427999995</c:v>
                </c:pt>
                <c:pt idx="11">
                  <c:v>84.300252331999999</c:v>
                </c:pt>
                <c:pt idx="12">
                  <c:v>57.793882351999997</c:v>
                </c:pt>
                <c:pt idx="13">
                  <c:v>45.075559744000003</c:v>
                </c:pt>
                <c:pt idx="14">
                  <c:v>82.715037930999998</c:v>
                </c:pt>
                <c:pt idx="15">
                  <c:v>63.718133723999998</c:v>
                </c:pt>
                <c:pt idx="16">
                  <c:v>90.243613730999996</c:v>
                </c:pt>
                <c:pt idx="17">
                  <c:v>90.197274609999994</c:v>
                </c:pt>
                <c:pt idx="18">
                  <c:v>145.01413463599999</c:v>
                </c:pt>
                <c:pt idx="19">
                  <c:v>137.858428011</c:v>
                </c:pt>
                <c:pt idx="20">
                  <c:v>99.887819868999998</c:v>
                </c:pt>
                <c:pt idx="21">
                  <c:v>129.23926596300001</c:v>
                </c:pt>
                <c:pt idx="22">
                  <c:v>98.526564328000006</c:v>
                </c:pt>
                <c:pt idx="23">
                  <c:v>120.09489326000001</c:v>
                </c:pt>
                <c:pt idx="24">
                  <c:v>86.239933516999997</c:v>
                </c:pt>
                <c:pt idx="25">
                  <c:v>78.871797917999999</c:v>
                </c:pt>
                <c:pt idx="26">
                  <c:v>75.947889020000005</c:v>
                </c:pt>
                <c:pt idx="27">
                  <c:v>67.227393211000006</c:v>
                </c:pt>
                <c:pt idx="28">
                  <c:v>111.755455469</c:v>
                </c:pt>
                <c:pt idx="29">
                  <c:v>87.361109428999995</c:v>
                </c:pt>
                <c:pt idx="30">
                  <c:v>126.826817197</c:v>
                </c:pt>
                <c:pt idx="31">
                  <c:v>142.430819826</c:v>
                </c:pt>
                <c:pt idx="32">
                  <c:v>105.93381451800001</c:v>
                </c:pt>
                <c:pt idx="33">
                  <c:v>98.422363895999993</c:v>
                </c:pt>
                <c:pt idx="34">
                  <c:v>108.065553366</c:v>
                </c:pt>
                <c:pt idx="35">
                  <c:v>110.917052633</c:v>
                </c:pt>
                <c:pt idx="36">
                  <c:v>101.55431071300001</c:v>
                </c:pt>
                <c:pt idx="37">
                  <c:v>81.001808155000006</c:v>
                </c:pt>
                <c:pt idx="38">
                  <c:v>87.186429813999993</c:v>
                </c:pt>
              </c:numCache>
            </c:numRef>
          </c:val>
          <c:smooth val="0"/>
          <c:extLst>
            <c:ext xmlns:c16="http://schemas.microsoft.com/office/drawing/2014/chart" uri="{C3380CC4-5D6E-409C-BE32-E72D297353CC}">
              <c16:uniqueId val="{00000000-34DC-4DD0-AF3E-2758DB61F294}"/>
            </c:ext>
          </c:extLst>
        </c:ser>
        <c:ser>
          <c:idx val="1"/>
          <c:order val="1"/>
          <c:tx>
            <c:strRef>
              <c:f>'BoP_izvoz usluga'!$M$5</c:f>
              <c:strCache>
                <c:ptCount val="1"/>
                <c:pt idx="0">
                  <c:v>sa</c:v>
                </c:pt>
              </c:strCache>
            </c:strRef>
          </c:tx>
          <c:spPr>
            <a:ln w="22225" cap="rnd">
              <a:solidFill>
                <a:srgbClr val="25AAE1"/>
              </a:solidFill>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usluga'!$M$114:$M$152</c:f>
              <c:numCache>
                <c:formatCode>0.0</c:formatCode>
                <c:ptCount val="39"/>
                <c:pt idx="0">
                  <c:v>54.079753367000002</c:v>
                </c:pt>
                <c:pt idx="1">
                  <c:v>57.609394127999998</c:v>
                </c:pt>
                <c:pt idx="2">
                  <c:v>57.813101217000003</c:v>
                </c:pt>
                <c:pt idx="3">
                  <c:v>55.182971139000003</c:v>
                </c:pt>
                <c:pt idx="4">
                  <c:v>59.931217455000002</c:v>
                </c:pt>
                <c:pt idx="5">
                  <c:v>61.925367123999997</c:v>
                </c:pt>
                <c:pt idx="6">
                  <c:v>65.720257521999997</c:v>
                </c:pt>
                <c:pt idx="7">
                  <c:v>65.060650921999994</c:v>
                </c:pt>
                <c:pt idx="8">
                  <c:v>65.297381707</c:v>
                </c:pt>
                <c:pt idx="9">
                  <c:v>65.075504882000004</c:v>
                </c:pt>
                <c:pt idx="10">
                  <c:v>63.385821796999998</c:v>
                </c:pt>
                <c:pt idx="11">
                  <c:v>69.378026538</c:v>
                </c:pt>
                <c:pt idx="12">
                  <c:v>67.181268471999999</c:v>
                </c:pt>
                <c:pt idx="13">
                  <c:v>64.751052483999999</c:v>
                </c:pt>
                <c:pt idx="14">
                  <c:v>105.42515193600001</c:v>
                </c:pt>
                <c:pt idx="15">
                  <c:v>86.368526947000007</c:v>
                </c:pt>
                <c:pt idx="16">
                  <c:v>91.873441541999995</c:v>
                </c:pt>
                <c:pt idx="17">
                  <c:v>95.637237923000001</c:v>
                </c:pt>
                <c:pt idx="18">
                  <c:v>109.632215046</c:v>
                </c:pt>
                <c:pt idx="19">
                  <c:v>93.141595405000004</c:v>
                </c:pt>
                <c:pt idx="20">
                  <c:v>96.628628148000004</c:v>
                </c:pt>
                <c:pt idx="21">
                  <c:v>136.26298219899999</c:v>
                </c:pt>
                <c:pt idx="22">
                  <c:v>97.092876614000005</c:v>
                </c:pt>
                <c:pt idx="23">
                  <c:v>103.03508611700001</c:v>
                </c:pt>
                <c:pt idx="24">
                  <c:v>97.676043911999997</c:v>
                </c:pt>
                <c:pt idx="25">
                  <c:v>113.09435927299999</c:v>
                </c:pt>
                <c:pt idx="26">
                  <c:v>97.990965695</c:v>
                </c:pt>
                <c:pt idx="27">
                  <c:v>93.857525667000004</c:v>
                </c:pt>
                <c:pt idx="28">
                  <c:v>107.33569278</c:v>
                </c:pt>
                <c:pt idx="29">
                  <c:v>94.615361497999999</c:v>
                </c:pt>
                <c:pt idx="30">
                  <c:v>93.324772765000006</c:v>
                </c:pt>
                <c:pt idx="31">
                  <c:v>97.743574353</c:v>
                </c:pt>
                <c:pt idx="32">
                  <c:v>105.156695711</c:v>
                </c:pt>
                <c:pt idx="33">
                  <c:v>100.22965384699999</c:v>
                </c:pt>
                <c:pt idx="34">
                  <c:v>107.020722167</c:v>
                </c:pt>
                <c:pt idx="35">
                  <c:v>99.376679624999994</c:v>
                </c:pt>
                <c:pt idx="36">
                  <c:v>110.614939534</c:v>
                </c:pt>
                <c:pt idx="37">
                  <c:v>111.443337074</c:v>
                </c:pt>
                <c:pt idx="38">
                  <c:v>120.89803890100001</c:v>
                </c:pt>
              </c:numCache>
            </c:numRef>
          </c:val>
          <c:smooth val="0"/>
          <c:extLst>
            <c:ext xmlns:c16="http://schemas.microsoft.com/office/drawing/2014/chart" uri="{C3380CC4-5D6E-409C-BE32-E72D297353CC}">
              <c16:uniqueId val="{00000001-34DC-4DD0-AF3E-2758DB61F294}"/>
            </c:ext>
          </c:extLst>
        </c:ser>
        <c:ser>
          <c:idx val="2"/>
          <c:order val="2"/>
          <c:tx>
            <c:strRef>
              <c:f>'BoP_izvoz usluga'!$N$5</c:f>
              <c:strCache>
                <c:ptCount val="1"/>
                <c:pt idx="0">
                  <c:v>t</c:v>
                </c:pt>
              </c:strCache>
            </c:strRef>
          </c:tx>
          <c:spPr>
            <a:ln w="25400" cap="rnd">
              <a:solidFill>
                <a:srgbClr val="FF0000"/>
              </a:solidFill>
              <a:round/>
            </a:ln>
            <a:effectLst/>
          </c:spPr>
          <c:marker>
            <c:symbol val="none"/>
          </c:marker>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usluga'!$N$114:$N$152</c:f>
              <c:numCache>
                <c:formatCode>0.0</c:formatCode>
                <c:ptCount val="39"/>
                <c:pt idx="0">
                  <c:v>53.121608965999997</c:v>
                </c:pt>
                <c:pt idx="1">
                  <c:v>55.181208845999997</c:v>
                </c:pt>
                <c:pt idx="2">
                  <c:v>56.930221389000003</c:v>
                </c:pt>
                <c:pt idx="3">
                  <c:v>58.608851481000002</c:v>
                </c:pt>
                <c:pt idx="4">
                  <c:v>60.391835592</c:v>
                </c:pt>
                <c:pt idx="5">
                  <c:v>62.033379814</c:v>
                </c:pt>
                <c:pt idx="6">
                  <c:v>63.438848825999997</c:v>
                </c:pt>
                <c:pt idx="7">
                  <c:v>64.478402222</c:v>
                </c:pt>
                <c:pt idx="8">
                  <c:v>65.016862297000003</c:v>
                </c:pt>
                <c:pt idx="9">
                  <c:v>65.175608948000004</c:v>
                </c:pt>
                <c:pt idx="10">
                  <c:v>65.536474807000005</c:v>
                </c:pt>
                <c:pt idx="11">
                  <c:v>66.854640215000003</c:v>
                </c:pt>
                <c:pt idx="12">
                  <c:v>69.588373246000003</c:v>
                </c:pt>
                <c:pt idx="13">
                  <c:v>73.903443237999994</c:v>
                </c:pt>
                <c:pt idx="14">
                  <c:v>79.266194276999997</c:v>
                </c:pt>
                <c:pt idx="15">
                  <c:v>84.816061669999996</c:v>
                </c:pt>
                <c:pt idx="16">
                  <c:v>89.712781762000006</c:v>
                </c:pt>
                <c:pt idx="17">
                  <c:v>93.273544723000001</c:v>
                </c:pt>
                <c:pt idx="18">
                  <c:v>95.480679991000002</c:v>
                </c:pt>
                <c:pt idx="19">
                  <c:v>96.597503814999996</c:v>
                </c:pt>
                <c:pt idx="20">
                  <c:v>97.290005378999993</c:v>
                </c:pt>
                <c:pt idx="21">
                  <c:v>98.035855182000006</c:v>
                </c:pt>
                <c:pt idx="22">
                  <c:v>98.857508531999997</c:v>
                </c:pt>
                <c:pt idx="23">
                  <c:v>99.391843550000004</c:v>
                </c:pt>
                <c:pt idx="24">
                  <c:v>99.354374930999995</c:v>
                </c:pt>
                <c:pt idx="25">
                  <c:v>98.569141023</c:v>
                </c:pt>
                <c:pt idx="26">
                  <c:v>97.148097676999996</c:v>
                </c:pt>
                <c:pt idx="27">
                  <c:v>95.798453019999997</c:v>
                </c:pt>
                <c:pt idx="28">
                  <c:v>94.972905843000007</c:v>
                </c:pt>
                <c:pt idx="29">
                  <c:v>95.174999525000004</c:v>
                </c:pt>
                <c:pt idx="30">
                  <c:v>96.344393862999993</c:v>
                </c:pt>
                <c:pt idx="31">
                  <c:v>98.118503486999998</c:v>
                </c:pt>
                <c:pt idx="32">
                  <c:v>100.116024506</c:v>
                </c:pt>
                <c:pt idx="33">
                  <c:v>102.08284964000001</c:v>
                </c:pt>
                <c:pt idx="34">
                  <c:v>104.214015571</c:v>
                </c:pt>
                <c:pt idx="35">
                  <c:v>106.848484783</c:v>
                </c:pt>
                <c:pt idx="36">
                  <c:v>110.04072499900001</c:v>
                </c:pt>
                <c:pt idx="37">
                  <c:v>113.721730999</c:v>
                </c:pt>
                <c:pt idx="38">
                  <c:v>117.62025387200001</c:v>
                </c:pt>
              </c:numCache>
            </c:numRef>
          </c:val>
          <c:smooth val="0"/>
          <c:extLst>
            <c:ext xmlns:c16="http://schemas.microsoft.com/office/drawing/2014/chart" uri="{C3380CC4-5D6E-409C-BE32-E72D297353CC}">
              <c16:uniqueId val="{00000002-34DC-4DD0-AF3E-2758DB61F294}"/>
            </c:ext>
          </c:extLst>
        </c:ser>
        <c:ser>
          <c:idx val="3"/>
          <c:order val="3"/>
          <c:tx>
            <c:strRef>
              <c:f>'BoP_izvoz usluga'!$O$5</c:f>
              <c:strCache>
                <c:ptCount val="1"/>
                <c:pt idx="0">
                  <c:v>Series4</c:v>
                </c:pt>
              </c:strCache>
            </c:strRef>
          </c:tx>
          <c:spPr>
            <a:ln w="28575" cap="rnd">
              <a:noFill/>
              <a:round/>
            </a:ln>
            <a:effectLst/>
          </c:spPr>
          <c:marker>
            <c:symbol val="square"/>
            <c:size val="2"/>
            <c:spPr>
              <a:solidFill>
                <a:sysClr val="window" lastClr="FFFFFF"/>
              </a:solidFill>
              <a:ln w="9525">
                <a:noFill/>
              </a:ln>
              <a:effectLst/>
            </c:spPr>
          </c:marker>
          <c:dLbls>
            <c:dLbl>
              <c:idx val="0"/>
              <c:layout>
                <c:manualLayout>
                  <c:x val="6.9095712656721223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4DC-4DD0-AF3E-2758DB61F294}"/>
                </c:ext>
              </c:extLst>
            </c:dLbl>
            <c:dLbl>
              <c:idx val="12"/>
              <c:layout>
                <c:manualLayout>
                  <c:x val="7.5997134002713324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4DC-4DD0-AF3E-2758DB61F294}"/>
                </c:ext>
              </c:extLst>
            </c:dLbl>
            <c:dLbl>
              <c:idx val="24"/>
              <c:layout>
                <c:manualLayout>
                  <c:x val="7.3544181581597687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4DC-4DD0-AF3E-2758DB61F294}"/>
                </c:ext>
              </c:extLst>
            </c:dLbl>
            <c:dLbl>
              <c:idx val="36"/>
              <c:layout>
                <c:manualLayout>
                  <c:x val="-2.102326388888889E-2"/>
                  <c:y val="5.5976726726726725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4DC-4DD0-AF3E-2758DB61F294}"/>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usluga'!$O$114:$O$152</c:f>
              <c:numCache>
                <c:formatCode>General</c:formatCode>
                <c:ptCount val="39"/>
                <c:pt idx="0">
                  <c:v>20</c:v>
                </c:pt>
                <c:pt idx="12">
                  <c:v>20</c:v>
                </c:pt>
                <c:pt idx="24">
                  <c:v>20</c:v>
                </c:pt>
                <c:pt idx="36">
                  <c:v>20</c:v>
                </c:pt>
              </c:numCache>
            </c:numRef>
          </c:val>
          <c:smooth val="0"/>
          <c:extLst>
            <c:ext xmlns:c16="http://schemas.microsoft.com/office/drawing/2014/chart" uri="{C3380CC4-5D6E-409C-BE32-E72D297353CC}">
              <c16:uniqueId val="{00000007-34DC-4DD0-AF3E-2758DB61F294}"/>
            </c:ext>
          </c:extLst>
        </c:ser>
        <c:ser>
          <c:idx val="4"/>
          <c:order val="4"/>
          <c:tx>
            <c:strRef>
              <c:f>'BoP_izvoz usluga'!$P$5</c:f>
              <c:strCache>
                <c:ptCount val="1"/>
                <c:pt idx="0">
                  <c:v>Series5</c:v>
                </c:pt>
              </c:strCache>
            </c:strRef>
          </c:tx>
          <c:spPr>
            <a:ln w="28575" cap="rnd">
              <a:noFill/>
              <a:round/>
            </a:ln>
            <a:effectLst/>
          </c:spPr>
          <c:marker>
            <c:symbol val="none"/>
          </c:marker>
          <c:dLbls>
            <c:dLbl>
              <c:idx val="0"/>
              <c:tx>
                <c:rich>
                  <a:bodyPr/>
                  <a:lstStyle/>
                  <a:p>
                    <a:fld id="{450F5EAC-703F-4EE9-92FF-3C3043D16470}"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34DC-4DD0-AF3E-2758DB61F294}"/>
                </c:ext>
              </c:extLst>
            </c:dLbl>
            <c:dLbl>
              <c:idx val="1"/>
              <c:tx>
                <c:rich>
                  <a:bodyPr/>
                  <a:lstStyle/>
                  <a:p>
                    <a:fld id="{E6492E4D-8A09-4E0E-89B5-8F096FFEE09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4DC-4DD0-AF3E-2758DB61F294}"/>
                </c:ext>
              </c:extLst>
            </c:dLbl>
            <c:dLbl>
              <c:idx val="2"/>
              <c:tx>
                <c:rich>
                  <a:bodyPr/>
                  <a:lstStyle/>
                  <a:p>
                    <a:fld id="{E632F771-2EE0-4D90-AD28-9C46769229A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4DC-4DD0-AF3E-2758DB61F294}"/>
                </c:ext>
              </c:extLst>
            </c:dLbl>
            <c:dLbl>
              <c:idx val="3"/>
              <c:tx>
                <c:rich>
                  <a:bodyPr/>
                  <a:lstStyle/>
                  <a:p>
                    <a:fld id="{7815BE9D-FC99-4DE7-8A2D-B9445F88759C}"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34DC-4DD0-AF3E-2758DB61F294}"/>
                </c:ext>
              </c:extLst>
            </c:dLbl>
            <c:dLbl>
              <c:idx val="4"/>
              <c:tx>
                <c:rich>
                  <a:bodyPr/>
                  <a:lstStyle/>
                  <a:p>
                    <a:fld id="{43E256B0-7BE6-4BD9-A814-35B0ACE6E0AC}"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34DC-4DD0-AF3E-2758DB61F294}"/>
                </c:ext>
              </c:extLst>
            </c:dLbl>
            <c:dLbl>
              <c:idx val="5"/>
              <c:tx>
                <c:rich>
                  <a:bodyPr/>
                  <a:lstStyle/>
                  <a:p>
                    <a:fld id="{9DCF7FC3-62C6-45BC-9631-9B83A04DFC24}"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34DC-4DD0-AF3E-2758DB61F294}"/>
                </c:ext>
              </c:extLst>
            </c:dLbl>
            <c:dLbl>
              <c:idx val="6"/>
              <c:tx>
                <c:rich>
                  <a:bodyPr/>
                  <a:lstStyle/>
                  <a:p>
                    <a:fld id="{37B6D104-CA05-4059-B853-EBDF24693405}"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34DC-4DD0-AF3E-2758DB61F294}"/>
                </c:ext>
              </c:extLst>
            </c:dLbl>
            <c:dLbl>
              <c:idx val="7"/>
              <c:tx>
                <c:rich>
                  <a:bodyPr/>
                  <a:lstStyle/>
                  <a:p>
                    <a:fld id="{046F0A24-FCB6-47AF-8B9F-203D0BE4F97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34DC-4DD0-AF3E-2758DB61F294}"/>
                </c:ext>
              </c:extLst>
            </c:dLbl>
            <c:dLbl>
              <c:idx val="8"/>
              <c:tx>
                <c:rich>
                  <a:bodyPr/>
                  <a:lstStyle/>
                  <a:p>
                    <a:fld id="{EC6206B7-A3E2-43B2-BF58-E03A3D57F9F3}"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34DC-4DD0-AF3E-2758DB61F294}"/>
                </c:ext>
              </c:extLst>
            </c:dLbl>
            <c:dLbl>
              <c:idx val="9"/>
              <c:tx>
                <c:rich>
                  <a:bodyPr/>
                  <a:lstStyle/>
                  <a:p>
                    <a:fld id="{55D1574B-64F9-4120-BAA7-47793246A2D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34DC-4DD0-AF3E-2758DB61F294}"/>
                </c:ext>
              </c:extLst>
            </c:dLbl>
            <c:dLbl>
              <c:idx val="10"/>
              <c:tx>
                <c:rich>
                  <a:bodyPr/>
                  <a:lstStyle/>
                  <a:p>
                    <a:fld id="{5BA7E3FE-30AB-491C-A89C-B5418D72F42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34DC-4DD0-AF3E-2758DB61F294}"/>
                </c:ext>
              </c:extLst>
            </c:dLbl>
            <c:dLbl>
              <c:idx val="11"/>
              <c:tx>
                <c:rich>
                  <a:bodyPr/>
                  <a:lstStyle/>
                  <a:p>
                    <a:fld id="{AA4E7D02-7AEE-40AF-9926-4F9B957128A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4DC-4DD0-AF3E-2758DB61F294}"/>
                </c:ext>
              </c:extLst>
            </c:dLbl>
            <c:dLbl>
              <c:idx val="12"/>
              <c:tx>
                <c:rich>
                  <a:bodyPr/>
                  <a:lstStyle/>
                  <a:p>
                    <a:fld id="{1A1BA123-A6D8-40B5-9285-B0EF984524B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34DC-4DD0-AF3E-2758DB61F294}"/>
                </c:ext>
              </c:extLst>
            </c:dLbl>
            <c:dLbl>
              <c:idx val="13"/>
              <c:tx>
                <c:rich>
                  <a:bodyPr/>
                  <a:lstStyle/>
                  <a:p>
                    <a:fld id="{E5937396-D433-4D8A-93EA-25E0127E21C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4DC-4DD0-AF3E-2758DB61F294}"/>
                </c:ext>
              </c:extLst>
            </c:dLbl>
            <c:dLbl>
              <c:idx val="14"/>
              <c:tx>
                <c:rich>
                  <a:bodyPr/>
                  <a:lstStyle/>
                  <a:p>
                    <a:fld id="{6F0F509D-B312-4253-80D2-3811FDC1D56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34DC-4DD0-AF3E-2758DB61F294}"/>
                </c:ext>
              </c:extLst>
            </c:dLbl>
            <c:dLbl>
              <c:idx val="15"/>
              <c:tx>
                <c:rich>
                  <a:bodyPr/>
                  <a:lstStyle/>
                  <a:p>
                    <a:fld id="{9BAC1129-878B-42E3-970E-70A3831C20F4}"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34DC-4DD0-AF3E-2758DB61F294}"/>
                </c:ext>
              </c:extLst>
            </c:dLbl>
            <c:dLbl>
              <c:idx val="16"/>
              <c:tx>
                <c:rich>
                  <a:bodyPr/>
                  <a:lstStyle/>
                  <a:p>
                    <a:fld id="{9E64753A-B417-4BF6-A972-9048BC7CA11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34DC-4DD0-AF3E-2758DB61F294}"/>
                </c:ext>
              </c:extLst>
            </c:dLbl>
            <c:dLbl>
              <c:idx val="17"/>
              <c:tx>
                <c:rich>
                  <a:bodyPr/>
                  <a:lstStyle/>
                  <a:p>
                    <a:fld id="{FB0CAAAD-BA87-4594-A7B4-D48808F1A6F1}"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4DC-4DD0-AF3E-2758DB61F294}"/>
                </c:ext>
              </c:extLst>
            </c:dLbl>
            <c:dLbl>
              <c:idx val="18"/>
              <c:tx>
                <c:rich>
                  <a:bodyPr/>
                  <a:lstStyle/>
                  <a:p>
                    <a:fld id="{61FDB549-3237-4CE7-9DB8-699C19AED45E}"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34DC-4DD0-AF3E-2758DB61F294}"/>
                </c:ext>
              </c:extLst>
            </c:dLbl>
            <c:dLbl>
              <c:idx val="19"/>
              <c:tx>
                <c:rich>
                  <a:bodyPr/>
                  <a:lstStyle/>
                  <a:p>
                    <a:fld id="{D06F2A1B-4D7E-4FDA-BD35-5CB4A4F9671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34DC-4DD0-AF3E-2758DB61F294}"/>
                </c:ext>
              </c:extLst>
            </c:dLbl>
            <c:dLbl>
              <c:idx val="20"/>
              <c:tx>
                <c:rich>
                  <a:bodyPr/>
                  <a:lstStyle/>
                  <a:p>
                    <a:fld id="{E7B79895-899B-4207-A853-F3B352E56B78}"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34DC-4DD0-AF3E-2758DB61F294}"/>
                </c:ext>
              </c:extLst>
            </c:dLbl>
            <c:dLbl>
              <c:idx val="21"/>
              <c:tx>
                <c:rich>
                  <a:bodyPr/>
                  <a:lstStyle/>
                  <a:p>
                    <a:fld id="{5917413B-C96E-4971-BB32-018F3AF6A77F}"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34DC-4DD0-AF3E-2758DB61F294}"/>
                </c:ext>
              </c:extLst>
            </c:dLbl>
            <c:dLbl>
              <c:idx val="22"/>
              <c:tx>
                <c:rich>
                  <a:bodyPr/>
                  <a:lstStyle/>
                  <a:p>
                    <a:fld id="{643F14DC-F2FC-4D2E-AA2B-1667061B7067}"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34DC-4DD0-AF3E-2758DB61F294}"/>
                </c:ext>
              </c:extLst>
            </c:dLbl>
            <c:dLbl>
              <c:idx val="23"/>
              <c:tx>
                <c:rich>
                  <a:bodyPr/>
                  <a:lstStyle/>
                  <a:p>
                    <a:fld id="{31E6C2D7-D9B0-4B34-AE69-822741C3A3D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34DC-4DD0-AF3E-2758DB61F294}"/>
                </c:ext>
              </c:extLst>
            </c:dLbl>
            <c:dLbl>
              <c:idx val="24"/>
              <c:tx>
                <c:rich>
                  <a:bodyPr/>
                  <a:lstStyle/>
                  <a:p>
                    <a:fld id="{009EAFDA-599E-4D48-A37E-473273975F9D}"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34DC-4DD0-AF3E-2758DB61F294}"/>
                </c:ext>
              </c:extLst>
            </c:dLbl>
            <c:dLbl>
              <c:idx val="25"/>
              <c:tx>
                <c:rich>
                  <a:bodyPr/>
                  <a:lstStyle/>
                  <a:p>
                    <a:fld id="{D2485DD9-DFB3-4263-B001-2847B053CF66}"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34DC-4DD0-AF3E-2758DB61F294}"/>
                </c:ext>
              </c:extLst>
            </c:dLbl>
            <c:dLbl>
              <c:idx val="26"/>
              <c:tx>
                <c:rich>
                  <a:bodyPr/>
                  <a:lstStyle/>
                  <a:p>
                    <a:fld id="{D0F93899-D43C-44EC-8CC3-2AEB936A963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34DC-4DD0-AF3E-2758DB61F294}"/>
                </c:ext>
              </c:extLst>
            </c:dLbl>
            <c:dLbl>
              <c:idx val="27"/>
              <c:tx>
                <c:rich>
                  <a:bodyPr/>
                  <a:lstStyle/>
                  <a:p>
                    <a:fld id="{A0198AD8-657D-4749-B8CD-B02560C1201B}"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34DC-4DD0-AF3E-2758DB61F294}"/>
                </c:ext>
              </c:extLst>
            </c:dLbl>
            <c:dLbl>
              <c:idx val="28"/>
              <c:tx>
                <c:rich>
                  <a:bodyPr/>
                  <a:lstStyle/>
                  <a:p>
                    <a:fld id="{42821714-D66E-40F1-8DC7-8568D8775E0B}"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34DC-4DD0-AF3E-2758DB61F294}"/>
                </c:ext>
              </c:extLst>
            </c:dLbl>
            <c:dLbl>
              <c:idx val="29"/>
              <c:tx>
                <c:rich>
                  <a:bodyPr/>
                  <a:lstStyle/>
                  <a:p>
                    <a:fld id="{E44461AB-5B10-4443-998D-245FFB5E78D0}"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34DC-4DD0-AF3E-2758DB61F294}"/>
                </c:ext>
              </c:extLst>
            </c:dLbl>
            <c:dLbl>
              <c:idx val="30"/>
              <c:tx>
                <c:rich>
                  <a:bodyPr/>
                  <a:lstStyle/>
                  <a:p>
                    <a:fld id="{0B4D22C3-6D19-400F-A3DF-9FC3BD746F2A}"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34DC-4DD0-AF3E-2758DB61F294}"/>
                </c:ext>
              </c:extLst>
            </c:dLbl>
            <c:dLbl>
              <c:idx val="31"/>
              <c:tx>
                <c:rich>
                  <a:bodyPr/>
                  <a:lstStyle/>
                  <a:p>
                    <a:fld id="{603F4D93-AC85-431B-85F8-07C1593E4199}"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7-34DC-4DD0-AF3E-2758DB61F294}"/>
                </c:ext>
              </c:extLst>
            </c:dLbl>
            <c:dLbl>
              <c:idx val="32"/>
              <c:tx>
                <c:rich>
                  <a:bodyPr/>
                  <a:lstStyle/>
                  <a:p>
                    <a:fld id="{0DEF4611-E8F2-4117-83F3-B44517764CC5}"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8-34DC-4DD0-AF3E-2758DB61F294}"/>
                </c:ext>
              </c:extLst>
            </c:dLbl>
            <c:dLbl>
              <c:idx val="33"/>
              <c:tx>
                <c:rich>
                  <a:bodyPr/>
                  <a:lstStyle/>
                  <a:p>
                    <a:fld id="{159016DC-8365-4FE7-802D-E4A3A1626A38}"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34DC-4DD0-AF3E-2758DB61F294}"/>
                </c:ext>
              </c:extLst>
            </c:dLbl>
            <c:dLbl>
              <c:idx val="34"/>
              <c:tx>
                <c:rich>
                  <a:bodyPr/>
                  <a:lstStyle/>
                  <a:p>
                    <a:fld id="{9ABC014C-3AC4-48BF-8F23-53288A97A20A}"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34DC-4DD0-AF3E-2758DB61F294}"/>
                </c:ext>
              </c:extLst>
            </c:dLbl>
            <c:dLbl>
              <c:idx val="35"/>
              <c:tx>
                <c:rich>
                  <a:bodyPr/>
                  <a:lstStyle/>
                  <a:p>
                    <a:fld id="{B5570BCE-9F5C-4E20-A993-D637388DB822}"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34DC-4DD0-AF3E-2758DB61F294}"/>
                </c:ext>
              </c:extLst>
            </c:dLbl>
            <c:dLbl>
              <c:idx val="36"/>
              <c:tx>
                <c:rich>
                  <a:bodyPr/>
                  <a:lstStyle/>
                  <a:p>
                    <a:fld id="{77F8C44F-A46A-4577-ACC6-8A2B1FC6A197}" type="CELLRANGE">
                      <a:rPr lang="sr-Latn-R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34DC-4DD0-AF3E-2758DB61F294}"/>
                </c:ext>
              </c:extLst>
            </c:dLbl>
            <c:dLbl>
              <c:idx val="37"/>
              <c:tx>
                <c:rich>
                  <a:bodyPr/>
                  <a:lstStyle/>
                  <a:p>
                    <a:fld id="{FE6FD820-420E-44C5-A553-392A9530469F}"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D-34DC-4DD0-AF3E-2758DB61F294}"/>
                </c:ext>
              </c:extLst>
            </c:dLbl>
            <c:dLbl>
              <c:idx val="38"/>
              <c:tx>
                <c:rich>
                  <a:bodyPr/>
                  <a:lstStyle/>
                  <a:p>
                    <a:fld id="{362435DB-169A-4F33-815D-8A7414BFEA7D}" type="CELLRANGE">
                      <a:rPr lang="en-US"/>
                      <a:pPr/>
                      <a:t>[CELLRANGE]</a:t>
                    </a:fld>
                    <a:endParaRPr lang="sr-Latn-RS"/>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E-34DC-4DD0-AF3E-2758DB61F294}"/>
                </c:ext>
              </c:extLst>
            </c:dLbl>
            <c:spPr>
              <a:noFill/>
              <a:ln>
                <a:noFill/>
              </a:ln>
              <a:effectLst/>
            </c:spPr>
            <c:txPr>
              <a:bodyPr rot="0" spcFirstLastPara="1" vertOverflow="ellipsis" vert="horz" wrap="square" lIns="38100" tIns="19050" rIns="38100" bIns="19050" anchor="ctr" anchorCtr="1">
                <a:spAutoFit/>
              </a:bodyPr>
              <a:lstStyle/>
              <a:p>
                <a:pPr>
                  <a:defRPr sz="500" b="0" i="0" u="none" strike="noStrike" kern="1200" baseline="0">
                    <a:solidFill>
                      <a:schemeClr val="tx2"/>
                    </a:solidFill>
                    <a:latin typeface="+mn-lt"/>
                    <a:ea typeface="+mn-ea"/>
                    <a:cs typeface="+mn-cs"/>
                  </a:defRPr>
                </a:pPr>
                <a:endParaRPr lang="sr-Latn-RS"/>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cat>
            <c:numRef>
              <c:f>'BoP_izvoz usluga'!$A$114:$A$152</c:f>
              <c:numCache>
                <c:formatCode>yyyy</c:formatCode>
                <c:ptCount val="39"/>
                <c:pt idx="0">
                  <c:v>44197</c:v>
                </c:pt>
                <c:pt idx="1">
                  <c:v>44228</c:v>
                </c:pt>
                <c:pt idx="2">
                  <c:v>44256</c:v>
                </c:pt>
                <c:pt idx="3">
                  <c:v>44287</c:v>
                </c:pt>
                <c:pt idx="4">
                  <c:v>44317</c:v>
                </c:pt>
                <c:pt idx="5">
                  <c:v>44348</c:v>
                </c:pt>
                <c:pt idx="6">
                  <c:v>44378</c:v>
                </c:pt>
                <c:pt idx="7">
                  <c:v>44409</c:v>
                </c:pt>
                <c:pt idx="8">
                  <c:v>44440</c:v>
                </c:pt>
                <c:pt idx="9">
                  <c:v>44470</c:v>
                </c:pt>
                <c:pt idx="10">
                  <c:v>44501</c:v>
                </c:pt>
                <c:pt idx="11">
                  <c:v>44531</c:v>
                </c:pt>
                <c:pt idx="12">
                  <c:v>44562</c:v>
                </c:pt>
                <c:pt idx="13">
                  <c:v>44593</c:v>
                </c:pt>
                <c:pt idx="14">
                  <c:v>44621</c:v>
                </c:pt>
                <c:pt idx="15">
                  <c:v>44652</c:v>
                </c:pt>
                <c:pt idx="16">
                  <c:v>44682</c:v>
                </c:pt>
                <c:pt idx="17">
                  <c:v>44713</c:v>
                </c:pt>
                <c:pt idx="18">
                  <c:v>44743</c:v>
                </c:pt>
                <c:pt idx="19">
                  <c:v>44774</c:v>
                </c:pt>
                <c:pt idx="20">
                  <c:v>44805</c:v>
                </c:pt>
                <c:pt idx="21">
                  <c:v>44835</c:v>
                </c:pt>
                <c:pt idx="22">
                  <c:v>44866</c:v>
                </c:pt>
                <c:pt idx="23">
                  <c:v>44896</c:v>
                </c:pt>
                <c:pt idx="24">
                  <c:v>44927</c:v>
                </c:pt>
                <c:pt idx="25">
                  <c:v>44958</c:v>
                </c:pt>
                <c:pt idx="26">
                  <c:v>44986</c:v>
                </c:pt>
                <c:pt idx="27">
                  <c:v>45017</c:v>
                </c:pt>
                <c:pt idx="28">
                  <c:v>45047</c:v>
                </c:pt>
                <c:pt idx="29">
                  <c:v>45078</c:v>
                </c:pt>
                <c:pt idx="30">
                  <c:v>45108</c:v>
                </c:pt>
                <c:pt idx="31">
                  <c:v>45139</c:v>
                </c:pt>
                <c:pt idx="32">
                  <c:v>45170</c:v>
                </c:pt>
                <c:pt idx="33">
                  <c:v>45200</c:v>
                </c:pt>
                <c:pt idx="34">
                  <c:v>45231</c:v>
                </c:pt>
                <c:pt idx="35">
                  <c:v>45261</c:v>
                </c:pt>
                <c:pt idx="36">
                  <c:v>45292</c:v>
                </c:pt>
                <c:pt idx="37">
                  <c:v>45323</c:v>
                </c:pt>
                <c:pt idx="38">
                  <c:v>45352</c:v>
                </c:pt>
              </c:numCache>
            </c:numRef>
          </c:cat>
          <c:val>
            <c:numRef>
              <c:f>'BoP_izvoz usluga'!$P$114:$P$152</c:f>
              <c:numCache>
                <c:formatCode>General</c:formatCode>
                <c:ptCount val="39"/>
                <c:pt idx="0">
                  <c:v>20</c:v>
                </c:pt>
                <c:pt idx="1">
                  <c:v>20</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numCache>
            </c:numRef>
          </c:val>
          <c:smooth val="0"/>
          <c:extLst>
            <c:ext xmlns:c15="http://schemas.microsoft.com/office/drawing/2012/chart" uri="{02D57815-91ED-43cb-92C2-25804820EDAC}">
              <c15:datalabelsRange>
                <c15:f>'BoP_izvoz usluga'!$J$114:$J$152</c15:f>
                <c15:dlblRangeCache>
                  <c:ptCount val="39"/>
                  <c:pt idx="0">
                    <c:v>I</c:v>
                  </c:pt>
                  <c:pt idx="3">
                    <c:v>IV</c:v>
                  </c:pt>
                  <c:pt idx="6">
                    <c:v>VII</c:v>
                  </c:pt>
                  <c:pt idx="9">
                    <c:v>X</c:v>
                  </c:pt>
                  <c:pt idx="12">
                    <c:v>I</c:v>
                  </c:pt>
                  <c:pt idx="15">
                    <c:v>IV</c:v>
                  </c:pt>
                  <c:pt idx="18">
                    <c:v>VII</c:v>
                  </c:pt>
                  <c:pt idx="21">
                    <c:v>X</c:v>
                  </c:pt>
                  <c:pt idx="24">
                    <c:v>I</c:v>
                  </c:pt>
                  <c:pt idx="27">
                    <c:v>IV</c:v>
                  </c:pt>
                  <c:pt idx="30">
                    <c:v>VII</c:v>
                  </c:pt>
                  <c:pt idx="33">
                    <c:v>X</c:v>
                  </c:pt>
                  <c:pt idx="36">
                    <c:v>I</c:v>
                  </c:pt>
                </c15:dlblRangeCache>
              </c15:datalabelsRange>
            </c:ext>
            <c:ext xmlns:c16="http://schemas.microsoft.com/office/drawing/2014/chart" uri="{C3380CC4-5D6E-409C-BE32-E72D297353CC}">
              <c16:uniqueId val="{0000002F-34DC-4DD0-AF3E-2758DB61F294}"/>
            </c:ext>
          </c:extLst>
        </c:ser>
        <c:dLbls>
          <c:showLegendKey val="0"/>
          <c:showVal val="0"/>
          <c:showCatName val="0"/>
          <c:showSerName val="0"/>
          <c:showPercent val="0"/>
          <c:showBubbleSize val="0"/>
        </c:dLbls>
        <c:smooth val="0"/>
        <c:axId val="1828937008"/>
        <c:axId val="1828920688"/>
      </c:lineChart>
      <c:dateAx>
        <c:axId val="1828937008"/>
        <c:scaling>
          <c:orientation val="minMax"/>
        </c:scaling>
        <c:delete val="0"/>
        <c:axPos val="b"/>
        <c:numFmt formatCode="yyyy" sourceLinked="1"/>
        <c:majorTickMark val="none"/>
        <c:minorTickMark val="none"/>
        <c:tickLblPos val="none"/>
        <c:spPr>
          <a:noFill/>
          <a:ln w="6350" cap="flat" cmpd="sng" algn="ctr">
            <a:solidFill>
              <a:srgbClr val="898989"/>
            </a:solidFill>
            <a:round/>
          </a:ln>
          <a:effectLst/>
        </c:spPr>
        <c:txPr>
          <a:bodyPr rot="0" spcFirstLastPara="1" vertOverflow="ellipsis" wrap="square" anchor="ctr" anchorCtr="1"/>
          <a:lstStyle/>
          <a:p>
            <a:pPr algn="ctr">
              <a:defRPr sz="750" b="0" i="0" u="none" strike="noStrike" kern="1200" baseline="0">
                <a:solidFill>
                  <a:schemeClr val="tx2"/>
                </a:solidFill>
                <a:latin typeface="+mn-lt"/>
                <a:ea typeface="+mn-ea"/>
                <a:cs typeface="+mn-cs"/>
              </a:defRPr>
            </a:pPr>
            <a:endParaRPr lang="sr-Latn-RS"/>
          </a:p>
        </c:txPr>
        <c:crossAx val="1828920688"/>
        <c:crosses val="autoZero"/>
        <c:auto val="1"/>
        <c:lblOffset val="0"/>
        <c:baseTimeUnit val="months"/>
      </c:dateAx>
      <c:valAx>
        <c:axId val="1828920688"/>
        <c:scaling>
          <c:orientation val="minMax"/>
          <c:min val="20"/>
        </c:scaling>
        <c:delete val="0"/>
        <c:axPos val="l"/>
        <c:numFmt formatCode="0" sourceLinked="0"/>
        <c:majorTickMark val="out"/>
        <c:minorTickMark val="none"/>
        <c:tickLblPos val="nextTo"/>
        <c:spPr>
          <a:noFill/>
          <a:ln w="6350">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28937008"/>
        <c:crosses val="autoZero"/>
        <c:crossBetween val="midCat"/>
        <c:majorUnit val="20"/>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750">
          <a:solidFill>
            <a:schemeClr val="tx2"/>
          </a:solidFill>
          <a:latin typeface="+mn-lt"/>
        </a:defRPr>
      </a:pPr>
      <a:endParaRPr lang="sr-Latn-RS"/>
    </a:p>
  </c:txPr>
  <c:externalData r:id="rId4">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'Quarterly GDP chart fan'!$AE$16</c:f>
              <c:strCache>
                <c:ptCount val="1"/>
                <c:pt idx="0">
                  <c:v>Baza</c:v>
                </c:pt>
              </c:strCache>
            </c:strRef>
          </c:tx>
          <c:spPr>
            <a:noFill/>
            <a:ln>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fan'!$AE$17:$AE$29</c:f>
              <c:numCache>
                <c:formatCode>0.00</c:formatCode>
                <c:ptCount val="8"/>
                <c:pt idx="0">
                  <c:v>0.90382744205183485</c:v>
                </c:pt>
                <c:pt idx="1">
                  <c:v>1.633734259681475</c:v>
                </c:pt>
                <c:pt idx="2">
                  <c:v>3.6346133522195885</c:v>
                </c:pt>
                <c:pt idx="3">
                  <c:v>3.8</c:v>
                </c:pt>
                <c:pt idx="4">
                  <c:v>4.7</c:v>
                </c:pt>
                <c:pt idx="5">
                  <c:v>3.0000000000000004</c:v>
                </c:pt>
                <c:pt idx="6">
                  <c:v>1.8333333333333333</c:v>
                </c:pt>
                <c:pt idx="7">
                  <c:v>2.0666666666666664</c:v>
                </c:pt>
              </c:numCache>
              <c:extLst/>
            </c:numRef>
          </c:val>
          <c:extLst>
            <c:ext xmlns:c16="http://schemas.microsoft.com/office/drawing/2014/chart" uri="{C3380CC4-5D6E-409C-BE32-E72D297353CC}">
              <c16:uniqueId val="{00000000-8245-4DC4-B4CB-3D2EBCD571FB}"/>
            </c:ext>
          </c:extLst>
        </c:ser>
        <c:ser>
          <c:idx val="1"/>
          <c:order val="1"/>
          <c:tx>
            <c:strRef>
              <c:f>'Quarterly GDP chart fan'!$AF$16</c:f>
              <c:strCache>
                <c:ptCount val="1"/>
                <c:pt idx="0">
                  <c:v>Lower 10</c:v>
                </c:pt>
              </c:strCache>
            </c:strRef>
          </c:tx>
          <c:spPr>
            <a:solidFill>
              <a:srgbClr val="C00000">
                <a:alpha val="1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fan'!$AF$17:$AF$29</c:f>
              <c:numCache>
                <c:formatCode>0.00</c:formatCode>
                <c:ptCount val="8"/>
                <c:pt idx="0">
                  <c:v>0</c:v>
                </c:pt>
                <c:pt idx="1">
                  <c:v>0</c:v>
                </c:pt>
                <c:pt idx="2" formatCode="0.0000">
                  <c:v>0</c:v>
                </c:pt>
                <c:pt idx="3" formatCode="0.0000">
                  <c:v>0</c:v>
                </c:pt>
                <c:pt idx="4" formatCode="0.0000">
                  <c:v>0</c:v>
                </c:pt>
                <c:pt idx="5" formatCode="0.0000">
                  <c:v>0.18181818181818166</c:v>
                </c:pt>
                <c:pt idx="6" formatCode="0.0000">
                  <c:v>0.21212121212121215</c:v>
                </c:pt>
                <c:pt idx="7" formatCode="0.0000">
                  <c:v>0.24242424242424221</c:v>
                </c:pt>
              </c:numCache>
              <c:extLst/>
            </c:numRef>
          </c:val>
          <c:extLst>
            <c:ext xmlns:c16="http://schemas.microsoft.com/office/drawing/2014/chart" uri="{C3380CC4-5D6E-409C-BE32-E72D297353CC}">
              <c16:uniqueId val="{00000001-8245-4DC4-B4CB-3D2EBCD571FB}"/>
            </c:ext>
          </c:extLst>
        </c:ser>
        <c:ser>
          <c:idx val="2"/>
          <c:order val="2"/>
          <c:tx>
            <c:strRef>
              <c:f>'Quarterly GDP chart fan'!$AG$16</c:f>
              <c:strCache>
                <c:ptCount val="1"/>
                <c:pt idx="0">
                  <c:v>Lower 9</c:v>
                </c:pt>
              </c:strCache>
            </c:strRef>
          </c:tx>
          <c:spPr>
            <a:solidFill>
              <a:srgbClr val="C00000">
                <a:alpha val="2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fan'!$AG$17:$AG$29</c:f>
              <c:numCache>
                <c:formatCode>0.00</c:formatCode>
                <c:ptCount val="8"/>
                <c:pt idx="0">
                  <c:v>0</c:v>
                </c:pt>
                <c:pt idx="1">
                  <c:v>0</c:v>
                </c:pt>
                <c:pt idx="2" formatCode="0.0000">
                  <c:v>0</c:v>
                </c:pt>
                <c:pt idx="3" formatCode="0.0000">
                  <c:v>0</c:v>
                </c:pt>
                <c:pt idx="4" formatCode="0.0000">
                  <c:v>0</c:v>
                </c:pt>
                <c:pt idx="5" formatCode="0.0000">
                  <c:v>0.16363636363636358</c:v>
                </c:pt>
                <c:pt idx="6" formatCode="0.0000">
                  <c:v>0.19090909090909092</c:v>
                </c:pt>
                <c:pt idx="7" formatCode="0.0000">
                  <c:v>0.21818181818181825</c:v>
                </c:pt>
              </c:numCache>
              <c:extLst/>
            </c:numRef>
          </c:val>
          <c:extLst>
            <c:ext xmlns:c16="http://schemas.microsoft.com/office/drawing/2014/chart" uri="{C3380CC4-5D6E-409C-BE32-E72D297353CC}">
              <c16:uniqueId val="{00000002-8245-4DC4-B4CB-3D2EBCD571FB}"/>
            </c:ext>
          </c:extLst>
        </c:ser>
        <c:ser>
          <c:idx val="3"/>
          <c:order val="3"/>
          <c:tx>
            <c:strRef>
              <c:f>'Quarterly GDP chart fan'!$AH$16</c:f>
              <c:strCache>
                <c:ptCount val="1"/>
                <c:pt idx="0">
                  <c:v>Lower 8</c:v>
                </c:pt>
              </c:strCache>
            </c:strRef>
          </c:tx>
          <c:spPr>
            <a:solidFill>
              <a:srgbClr val="C00000">
                <a:alpha val="3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fan'!$AH$17:$AH$29</c:f>
              <c:numCache>
                <c:formatCode>0.00</c:formatCode>
                <c:ptCount val="8"/>
                <c:pt idx="0">
                  <c:v>0</c:v>
                </c:pt>
                <c:pt idx="1">
                  <c:v>0</c:v>
                </c:pt>
                <c:pt idx="2" formatCode="0.0000">
                  <c:v>0</c:v>
                </c:pt>
                <c:pt idx="3" formatCode="0.0000">
                  <c:v>0</c:v>
                </c:pt>
                <c:pt idx="4" formatCode="0.0000">
                  <c:v>0</c:v>
                </c:pt>
                <c:pt idx="5" formatCode="0.0000">
                  <c:v>0.1454545454545455</c:v>
                </c:pt>
                <c:pt idx="6" formatCode="0.0000">
                  <c:v>0.1696969696969699</c:v>
                </c:pt>
                <c:pt idx="7" formatCode="0.0000">
                  <c:v>0.19393939393939386</c:v>
                </c:pt>
              </c:numCache>
              <c:extLst/>
            </c:numRef>
          </c:val>
          <c:extLst>
            <c:ext xmlns:c16="http://schemas.microsoft.com/office/drawing/2014/chart" uri="{C3380CC4-5D6E-409C-BE32-E72D297353CC}">
              <c16:uniqueId val="{00000003-8245-4DC4-B4CB-3D2EBCD571FB}"/>
            </c:ext>
          </c:extLst>
        </c:ser>
        <c:ser>
          <c:idx val="4"/>
          <c:order val="4"/>
          <c:tx>
            <c:strRef>
              <c:f>'Quarterly GDP chart fan'!$AI$16</c:f>
              <c:strCache>
                <c:ptCount val="1"/>
                <c:pt idx="0">
                  <c:v>Lower 7</c:v>
                </c:pt>
              </c:strCache>
            </c:strRef>
          </c:tx>
          <c:spPr>
            <a:solidFill>
              <a:srgbClr val="C00000">
                <a:alpha val="4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fan'!$AI$17:$AI$29</c:f>
              <c:numCache>
                <c:formatCode>0.00</c:formatCode>
                <c:ptCount val="8"/>
                <c:pt idx="0">
                  <c:v>0</c:v>
                </c:pt>
                <c:pt idx="1">
                  <c:v>0</c:v>
                </c:pt>
                <c:pt idx="2" formatCode="0.0000">
                  <c:v>0</c:v>
                </c:pt>
                <c:pt idx="3" formatCode="0.0000">
                  <c:v>0</c:v>
                </c:pt>
                <c:pt idx="4" formatCode="0.0000">
                  <c:v>0</c:v>
                </c:pt>
                <c:pt idx="5" formatCode="0.0000">
                  <c:v>0.12727272727272743</c:v>
                </c:pt>
                <c:pt idx="6" formatCode="0.0000">
                  <c:v>0.14848484848484844</c:v>
                </c:pt>
                <c:pt idx="7" formatCode="0.0000">
                  <c:v>0.1696969696969699</c:v>
                </c:pt>
              </c:numCache>
              <c:extLst/>
            </c:numRef>
          </c:val>
          <c:extLst>
            <c:ext xmlns:c16="http://schemas.microsoft.com/office/drawing/2014/chart" uri="{C3380CC4-5D6E-409C-BE32-E72D297353CC}">
              <c16:uniqueId val="{00000004-8245-4DC4-B4CB-3D2EBCD571FB}"/>
            </c:ext>
          </c:extLst>
        </c:ser>
        <c:ser>
          <c:idx val="5"/>
          <c:order val="5"/>
          <c:tx>
            <c:strRef>
              <c:f>'Quarterly GDP chart fan'!$AJ$16</c:f>
              <c:strCache>
                <c:ptCount val="1"/>
                <c:pt idx="0">
                  <c:v>Lower 6</c:v>
                </c:pt>
              </c:strCache>
            </c:strRef>
          </c:tx>
          <c:spPr>
            <a:solidFill>
              <a:srgbClr val="C00000">
                <a:alpha val="5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fan'!$AJ$17:$AJ$29</c:f>
              <c:numCache>
                <c:formatCode>0.00</c:formatCode>
                <c:ptCount val="8"/>
                <c:pt idx="0">
                  <c:v>0</c:v>
                </c:pt>
                <c:pt idx="1">
                  <c:v>0</c:v>
                </c:pt>
                <c:pt idx="2" formatCode="0.0000">
                  <c:v>0</c:v>
                </c:pt>
                <c:pt idx="3" formatCode="0.0000">
                  <c:v>0</c:v>
                </c:pt>
                <c:pt idx="4" formatCode="0.0000">
                  <c:v>0</c:v>
                </c:pt>
                <c:pt idx="5" formatCode="0.0000">
                  <c:v>0.10909090909090891</c:v>
                </c:pt>
                <c:pt idx="6" formatCode="0.0000">
                  <c:v>0.12727272727272743</c:v>
                </c:pt>
                <c:pt idx="7" formatCode="0.0000">
                  <c:v>0.1454545454545455</c:v>
                </c:pt>
              </c:numCache>
              <c:extLst/>
            </c:numRef>
          </c:val>
          <c:extLst>
            <c:ext xmlns:c16="http://schemas.microsoft.com/office/drawing/2014/chart" uri="{C3380CC4-5D6E-409C-BE32-E72D297353CC}">
              <c16:uniqueId val="{00000005-8245-4DC4-B4CB-3D2EBCD571FB}"/>
            </c:ext>
          </c:extLst>
        </c:ser>
        <c:ser>
          <c:idx val="6"/>
          <c:order val="6"/>
          <c:tx>
            <c:strRef>
              <c:f>'Quarterly GDP chart fan'!$AK$16</c:f>
              <c:strCache>
                <c:ptCount val="1"/>
                <c:pt idx="0">
                  <c:v>Lower 5</c:v>
                </c:pt>
              </c:strCache>
            </c:strRef>
          </c:tx>
          <c:spPr>
            <a:solidFill>
              <a:srgbClr val="C00000">
                <a:alpha val="6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fan'!$AK$17:$AK$29</c:f>
              <c:numCache>
                <c:formatCode>0.00</c:formatCode>
                <c:ptCount val="8"/>
                <c:pt idx="0">
                  <c:v>0</c:v>
                </c:pt>
                <c:pt idx="1">
                  <c:v>0</c:v>
                </c:pt>
                <c:pt idx="2" formatCode="0.0000">
                  <c:v>0</c:v>
                </c:pt>
                <c:pt idx="3" formatCode="0.0000">
                  <c:v>0</c:v>
                </c:pt>
                <c:pt idx="4" formatCode="0.0000">
                  <c:v>0</c:v>
                </c:pt>
                <c:pt idx="5" formatCode="0.0000">
                  <c:v>9.0909090909090828E-2</c:v>
                </c:pt>
                <c:pt idx="6" formatCode="0.0000">
                  <c:v>0.10606060606060597</c:v>
                </c:pt>
                <c:pt idx="7" formatCode="0.0000">
                  <c:v>0.1212121212121211</c:v>
                </c:pt>
              </c:numCache>
              <c:extLst/>
            </c:numRef>
          </c:val>
          <c:extLst>
            <c:ext xmlns:c16="http://schemas.microsoft.com/office/drawing/2014/chart" uri="{C3380CC4-5D6E-409C-BE32-E72D297353CC}">
              <c16:uniqueId val="{00000006-8245-4DC4-B4CB-3D2EBCD571FB}"/>
            </c:ext>
          </c:extLst>
        </c:ser>
        <c:ser>
          <c:idx val="7"/>
          <c:order val="7"/>
          <c:tx>
            <c:strRef>
              <c:f>'Quarterly GDP chart fan'!$AL$16</c:f>
              <c:strCache>
                <c:ptCount val="1"/>
                <c:pt idx="0">
                  <c:v>Lower 4</c:v>
                </c:pt>
              </c:strCache>
            </c:strRef>
          </c:tx>
          <c:spPr>
            <a:solidFill>
              <a:srgbClr val="C00000">
                <a:alpha val="7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fan'!$AL$17:$AL$29</c:f>
              <c:numCache>
                <c:formatCode>0.00</c:formatCode>
                <c:ptCount val="8"/>
                <c:pt idx="0">
                  <c:v>0</c:v>
                </c:pt>
                <c:pt idx="1">
                  <c:v>0</c:v>
                </c:pt>
                <c:pt idx="2" formatCode="0.0000">
                  <c:v>0</c:v>
                </c:pt>
                <c:pt idx="3" formatCode="0.0000">
                  <c:v>0</c:v>
                </c:pt>
                <c:pt idx="4" formatCode="0.0000">
                  <c:v>0</c:v>
                </c:pt>
                <c:pt idx="5" formatCode="0.0000">
                  <c:v>7.2727272727272751E-2</c:v>
                </c:pt>
                <c:pt idx="6" formatCode="0.0000">
                  <c:v>8.4848484848484951E-2</c:v>
                </c:pt>
                <c:pt idx="7" formatCode="0.0000">
                  <c:v>9.696969696969715E-2</c:v>
                </c:pt>
              </c:numCache>
              <c:extLst/>
            </c:numRef>
          </c:val>
          <c:extLst>
            <c:ext xmlns:c16="http://schemas.microsoft.com/office/drawing/2014/chart" uri="{C3380CC4-5D6E-409C-BE32-E72D297353CC}">
              <c16:uniqueId val="{00000007-8245-4DC4-B4CB-3D2EBCD571FB}"/>
            </c:ext>
          </c:extLst>
        </c:ser>
        <c:ser>
          <c:idx val="8"/>
          <c:order val="8"/>
          <c:tx>
            <c:strRef>
              <c:f>'Quarterly GDP chart fan'!$AM$16</c:f>
              <c:strCache>
                <c:ptCount val="1"/>
                <c:pt idx="0">
                  <c:v>Lower 3</c:v>
                </c:pt>
              </c:strCache>
            </c:strRef>
          </c:tx>
          <c:spPr>
            <a:solidFill>
              <a:srgbClr val="C00000">
                <a:alpha val="8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fan'!$AM$17:$AM$29</c:f>
              <c:numCache>
                <c:formatCode>0.00</c:formatCode>
                <c:ptCount val="8"/>
                <c:pt idx="0">
                  <c:v>0</c:v>
                </c:pt>
                <c:pt idx="1">
                  <c:v>0</c:v>
                </c:pt>
                <c:pt idx="2" formatCode="0.0000">
                  <c:v>0</c:v>
                </c:pt>
                <c:pt idx="3" formatCode="0.0000">
                  <c:v>0</c:v>
                </c:pt>
                <c:pt idx="4" formatCode="0.0000">
                  <c:v>0</c:v>
                </c:pt>
                <c:pt idx="5" formatCode="0.0000">
                  <c:v>5.4545454545454675E-2</c:v>
                </c:pt>
                <c:pt idx="6" formatCode="0.0000">
                  <c:v>6.3636363636363491E-2</c:v>
                </c:pt>
                <c:pt idx="7" formatCode="0.0000">
                  <c:v>7.2727272727272751E-2</c:v>
                </c:pt>
              </c:numCache>
              <c:extLst/>
            </c:numRef>
          </c:val>
          <c:extLst>
            <c:ext xmlns:c16="http://schemas.microsoft.com/office/drawing/2014/chart" uri="{C3380CC4-5D6E-409C-BE32-E72D297353CC}">
              <c16:uniqueId val="{00000008-8245-4DC4-B4CB-3D2EBCD571FB}"/>
            </c:ext>
          </c:extLst>
        </c:ser>
        <c:ser>
          <c:idx val="9"/>
          <c:order val="9"/>
          <c:tx>
            <c:strRef>
              <c:f>'Quarterly GDP chart fan'!$AN$16</c:f>
              <c:strCache>
                <c:ptCount val="1"/>
                <c:pt idx="0">
                  <c:v>Lower 2</c:v>
                </c:pt>
              </c:strCache>
            </c:strRef>
          </c:tx>
          <c:spPr>
            <a:solidFill>
              <a:srgbClr val="C00000">
                <a:alpha val="9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fan'!$AN$17:$AN$29</c:f>
              <c:numCache>
                <c:formatCode>0.00</c:formatCode>
                <c:ptCount val="8"/>
                <c:pt idx="0">
                  <c:v>0</c:v>
                </c:pt>
                <c:pt idx="1">
                  <c:v>0</c:v>
                </c:pt>
                <c:pt idx="2" formatCode="0.0000">
                  <c:v>0</c:v>
                </c:pt>
                <c:pt idx="3" formatCode="0.0000">
                  <c:v>0</c:v>
                </c:pt>
                <c:pt idx="4" formatCode="0.0000">
                  <c:v>0</c:v>
                </c:pt>
                <c:pt idx="5" formatCode="0.0000">
                  <c:v>3.6363636363636154E-2</c:v>
                </c:pt>
                <c:pt idx="6" formatCode="0.0000">
                  <c:v>4.2424242424242475E-2</c:v>
                </c:pt>
                <c:pt idx="7" formatCode="0.0000">
                  <c:v>4.8484848484848353E-2</c:v>
                </c:pt>
              </c:numCache>
              <c:extLst/>
            </c:numRef>
          </c:val>
          <c:extLst>
            <c:ext xmlns:c16="http://schemas.microsoft.com/office/drawing/2014/chart" uri="{C3380CC4-5D6E-409C-BE32-E72D297353CC}">
              <c16:uniqueId val="{00000009-8245-4DC4-B4CB-3D2EBCD571FB}"/>
            </c:ext>
          </c:extLst>
        </c:ser>
        <c:ser>
          <c:idx val="10"/>
          <c:order val="10"/>
          <c:tx>
            <c:strRef>
              <c:f>'Quarterly GDP chart fan'!$AO$16</c:f>
              <c:strCache>
                <c:ptCount val="1"/>
                <c:pt idx="0">
                  <c:v>Lower 1</c:v>
                </c:pt>
              </c:strCache>
            </c:strRef>
          </c:tx>
          <c:spPr>
            <a:solidFill>
              <a:srgbClr val="C00000"/>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fan'!$AO$17:$AO$29</c:f>
              <c:numCache>
                <c:formatCode>0.00</c:formatCode>
                <c:ptCount val="8"/>
                <c:pt idx="0">
                  <c:v>0</c:v>
                </c:pt>
                <c:pt idx="1">
                  <c:v>0</c:v>
                </c:pt>
                <c:pt idx="2" formatCode="0.0000">
                  <c:v>0</c:v>
                </c:pt>
                <c:pt idx="3" formatCode="0.0000">
                  <c:v>0</c:v>
                </c:pt>
                <c:pt idx="4" formatCode="0.0000">
                  <c:v>0</c:v>
                </c:pt>
                <c:pt idx="5" formatCode="0.0000">
                  <c:v>1.8181818181818077E-2</c:v>
                </c:pt>
                <c:pt idx="6" formatCode="0.0000">
                  <c:v>2.1212121212121016E-2</c:v>
                </c:pt>
                <c:pt idx="7" formatCode="0.0000">
                  <c:v>2.4242424242424399E-2</c:v>
                </c:pt>
              </c:numCache>
              <c:extLst/>
            </c:numRef>
          </c:val>
          <c:extLst>
            <c:ext xmlns:c16="http://schemas.microsoft.com/office/drawing/2014/chart" uri="{C3380CC4-5D6E-409C-BE32-E72D297353CC}">
              <c16:uniqueId val="{0000000A-8245-4DC4-B4CB-3D2EBCD571FB}"/>
            </c:ext>
          </c:extLst>
        </c:ser>
        <c:ser>
          <c:idx val="11"/>
          <c:order val="11"/>
          <c:tx>
            <c:strRef>
              <c:f>'Quarterly GDP chart fan'!$AP$16</c:f>
              <c:strCache>
                <c:ptCount val="1"/>
                <c:pt idx="0">
                  <c:v>Upper 1</c:v>
                </c:pt>
              </c:strCache>
            </c:strRef>
          </c:tx>
          <c:spPr>
            <a:solidFill>
              <a:srgbClr val="C00000"/>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fan'!$AP$17:$AP$29</c:f>
              <c:numCache>
                <c:formatCode>0.0000</c:formatCode>
                <c:ptCount val="8"/>
                <c:pt idx="0">
                  <c:v>0</c:v>
                </c:pt>
                <c:pt idx="1">
                  <c:v>0</c:v>
                </c:pt>
                <c:pt idx="2">
                  <c:v>0</c:v>
                </c:pt>
                <c:pt idx="3">
                  <c:v>0</c:v>
                </c:pt>
                <c:pt idx="4">
                  <c:v>0</c:v>
                </c:pt>
                <c:pt idx="5">
                  <c:v>1.9999999999999574E-2</c:v>
                </c:pt>
                <c:pt idx="6">
                  <c:v>2.3939393939393927E-2</c:v>
                </c:pt>
                <c:pt idx="7">
                  <c:v>2.7878787878787836E-2</c:v>
                </c:pt>
              </c:numCache>
              <c:extLst/>
            </c:numRef>
          </c:val>
          <c:extLst>
            <c:ext xmlns:c16="http://schemas.microsoft.com/office/drawing/2014/chart" uri="{C3380CC4-5D6E-409C-BE32-E72D297353CC}">
              <c16:uniqueId val="{0000000B-8245-4DC4-B4CB-3D2EBCD571FB}"/>
            </c:ext>
          </c:extLst>
        </c:ser>
        <c:ser>
          <c:idx val="12"/>
          <c:order val="12"/>
          <c:tx>
            <c:strRef>
              <c:f>'Quarterly GDP chart fan'!$AQ$16</c:f>
              <c:strCache>
                <c:ptCount val="1"/>
                <c:pt idx="0">
                  <c:v>Upper 2</c:v>
                </c:pt>
              </c:strCache>
            </c:strRef>
          </c:tx>
          <c:spPr>
            <a:solidFill>
              <a:srgbClr val="C00000">
                <a:alpha val="9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fan'!$AQ$17:$AQ$29</c:f>
              <c:numCache>
                <c:formatCode>0.0000</c:formatCode>
                <c:ptCount val="8"/>
                <c:pt idx="0">
                  <c:v>0</c:v>
                </c:pt>
                <c:pt idx="1">
                  <c:v>0</c:v>
                </c:pt>
                <c:pt idx="2">
                  <c:v>0</c:v>
                </c:pt>
                <c:pt idx="3">
                  <c:v>0</c:v>
                </c:pt>
                <c:pt idx="4">
                  <c:v>0</c:v>
                </c:pt>
                <c:pt idx="5">
                  <c:v>4.0000000000000036E-2</c:v>
                </c:pt>
                <c:pt idx="6">
                  <c:v>4.7878787878787854E-2</c:v>
                </c:pt>
                <c:pt idx="7">
                  <c:v>5.5757575757575673E-2</c:v>
                </c:pt>
              </c:numCache>
              <c:extLst/>
            </c:numRef>
          </c:val>
          <c:extLst>
            <c:ext xmlns:c16="http://schemas.microsoft.com/office/drawing/2014/chart" uri="{C3380CC4-5D6E-409C-BE32-E72D297353CC}">
              <c16:uniqueId val="{0000000C-8245-4DC4-B4CB-3D2EBCD571FB}"/>
            </c:ext>
          </c:extLst>
        </c:ser>
        <c:ser>
          <c:idx val="13"/>
          <c:order val="13"/>
          <c:tx>
            <c:strRef>
              <c:f>'Quarterly GDP chart fan'!$AR$16</c:f>
              <c:strCache>
                <c:ptCount val="1"/>
                <c:pt idx="0">
                  <c:v>Upper 3</c:v>
                </c:pt>
              </c:strCache>
            </c:strRef>
          </c:tx>
          <c:spPr>
            <a:solidFill>
              <a:srgbClr val="C00000">
                <a:alpha val="8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fan'!$AR$17:$AR$29</c:f>
              <c:numCache>
                <c:formatCode>0.0000</c:formatCode>
                <c:ptCount val="8"/>
                <c:pt idx="0">
                  <c:v>0</c:v>
                </c:pt>
                <c:pt idx="1">
                  <c:v>0</c:v>
                </c:pt>
                <c:pt idx="2">
                  <c:v>0</c:v>
                </c:pt>
                <c:pt idx="3">
                  <c:v>0</c:v>
                </c:pt>
                <c:pt idx="4">
                  <c:v>0</c:v>
                </c:pt>
                <c:pt idx="5">
                  <c:v>5.9999999999999609E-2</c:v>
                </c:pt>
                <c:pt idx="6">
                  <c:v>7.1818181818181781E-2</c:v>
                </c:pt>
                <c:pt idx="7">
                  <c:v>8.3636363636363509E-2</c:v>
                </c:pt>
              </c:numCache>
              <c:extLst/>
            </c:numRef>
          </c:val>
          <c:extLst>
            <c:ext xmlns:c16="http://schemas.microsoft.com/office/drawing/2014/chart" uri="{C3380CC4-5D6E-409C-BE32-E72D297353CC}">
              <c16:uniqueId val="{0000000D-8245-4DC4-B4CB-3D2EBCD571FB}"/>
            </c:ext>
          </c:extLst>
        </c:ser>
        <c:ser>
          <c:idx val="14"/>
          <c:order val="14"/>
          <c:tx>
            <c:strRef>
              <c:f>'Quarterly GDP chart fan'!$AS$16</c:f>
              <c:strCache>
                <c:ptCount val="1"/>
                <c:pt idx="0">
                  <c:v>Upper 4</c:v>
                </c:pt>
              </c:strCache>
            </c:strRef>
          </c:tx>
          <c:spPr>
            <a:solidFill>
              <a:srgbClr val="C00000">
                <a:alpha val="7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fan'!$AS$17:$AS$29</c:f>
              <c:numCache>
                <c:formatCode>0.0000</c:formatCode>
                <c:ptCount val="8"/>
                <c:pt idx="0">
                  <c:v>0</c:v>
                </c:pt>
                <c:pt idx="1">
                  <c:v>0</c:v>
                </c:pt>
                <c:pt idx="2">
                  <c:v>0</c:v>
                </c:pt>
                <c:pt idx="3">
                  <c:v>0</c:v>
                </c:pt>
                <c:pt idx="4">
                  <c:v>0</c:v>
                </c:pt>
                <c:pt idx="5">
                  <c:v>8.0000000000000071E-2</c:v>
                </c:pt>
                <c:pt idx="6">
                  <c:v>9.5757575757575708E-2</c:v>
                </c:pt>
                <c:pt idx="7">
                  <c:v>0.11151515151515135</c:v>
                </c:pt>
              </c:numCache>
              <c:extLst/>
            </c:numRef>
          </c:val>
          <c:extLst>
            <c:ext xmlns:c16="http://schemas.microsoft.com/office/drawing/2014/chart" uri="{C3380CC4-5D6E-409C-BE32-E72D297353CC}">
              <c16:uniqueId val="{0000000E-8245-4DC4-B4CB-3D2EBCD571FB}"/>
            </c:ext>
          </c:extLst>
        </c:ser>
        <c:ser>
          <c:idx val="15"/>
          <c:order val="15"/>
          <c:tx>
            <c:strRef>
              <c:f>'Quarterly GDP chart fan'!$AT$16</c:f>
              <c:strCache>
                <c:ptCount val="1"/>
                <c:pt idx="0">
                  <c:v>Upper 5</c:v>
                </c:pt>
              </c:strCache>
            </c:strRef>
          </c:tx>
          <c:spPr>
            <a:solidFill>
              <a:srgbClr val="C00000">
                <a:alpha val="6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fan'!$AT$17:$AT$29</c:f>
              <c:numCache>
                <c:formatCode>0.0000</c:formatCode>
                <c:ptCount val="8"/>
                <c:pt idx="0">
                  <c:v>0</c:v>
                </c:pt>
                <c:pt idx="1">
                  <c:v>0</c:v>
                </c:pt>
                <c:pt idx="2">
                  <c:v>0</c:v>
                </c:pt>
                <c:pt idx="3">
                  <c:v>0</c:v>
                </c:pt>
                <c:pt idx="4">
                  <c:v>0</c:v>
                </c:pt>
                <c:pt idx="5">
                  <c:v>9.9999999999999645E-2</c:v>
                </c:pt>
                <c:pt idx="6">
                  <c:v>0.11969696969696964</c:v>
                </c:pt>
                <c:pt idx="7">
                  <c:v>0.13939393939393963</c:v>
                </c:pt>
              </c:numCache>
              <c:extLst/>
            </c:numRef>
          </c:val>
          <c:extLst>
            <c:ext xmlns:c16="http://schemas.microsoft.com/office/drawing/2014/chart" uri="{C3380CC4-5D6E-409C-BE32-E72D297353CC}">
              <c16:uniqueId val="{0000000F-8245-4DC4-B4CB-3D2EBCD571FB}"/>
            </c:ext>
          </c:extLst>
        </c:ser>
        <c:ser>
          <c:idx val="16"/>
          <c:order val="16"/>
          <c:tx>
            <c:strRef>
              <c:f>'Quarterly GDP chart fan'!$AU$16</c:f>
              <c:strCache>
                <c:ptCount val="1"/>
                <c:pt idx="0">
                  <c:v>Upper 6</c:v>
                </c:pt>
              </c:strCache>
            </c:strRef>
          </c:tx>
          <c:spPr>
            <a:solidFill>
              <a:srgbClr val="C00000">
                <a:alpha val="5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fan'!$AU$17:$AU$29</c:f>
              <c:numCache>
                <c:formatCode>0.0000</c:formatCode>
                <c:ptCount val="8"/>
                <c:pt idx="0">
                  <c:v>0</c:v>
                </c:pt>
                <c:pt idx="1">
                  <c:v>0</c:v>
                </c:pt>
                <c:pt idx="2">
                  <c:v>0</c:v>
                </c:pt>
                <c:pt idx="3">
                  <c:v>0</c:v>
                </c:pt>
                <c:pt idx="4">
                  <c:v>0</c:v>
                </c:pt>
                <c:pt idx="5">
                  <c:v>0.12000000000000011</c:v>
                </c:pt>
                <c:pt idx="6">
                  <c:v>0.14363636363636356</c:v>
                </c:pt>
                <c:pt idx="7">
                  <c:v>0.16727272727272746</c:v>
                </c:pt>
              </c:numCache>
              <c:extLst/>
            </c:numRef>
          </c:val>
          <c:extLst>
            <c:ext xmlns:c16="http://schemas.microsoft.com/office/drawing/2014/chart" uri="{C3380CC4-5D6E-409C-BE32-E72D297353CC}">
              <c16:uniqueId val="{00000010-8245-4DC4-B4CB-3D2EBCD571FB}"/>
            </c:ext>
          </c:extLst>
        </c:ser>
        <c:ser>
          <c:idx val="17"/>
          <c:order val="17"/>
          <c:tx>
            <c:strRef>
              <c:f>'Quarterly GDP chart fan'!$AV$16</c:f>
              <c:strCache>
                <c:ptCount val="1"/>
                <c:pt idx="0">
                  <c:v>Upper 7</c:v>
                </c:pt>
              </c:strCache>
            </c:strRef>
          </c:tx>
          <c:spPr>
            <a:solidFill>
              <a:srgbClr val="C00000">
                <a:alpha val="4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fan'!$AV$17:$AV$29</c:f>
              <c:numCache>
                <c:formatCode>0.0000</c:formatCode>
                <c:ptCount val="8"/>
                <c:pt idx="0">
                  <c:v>0</c:v>
                </c:pt>
                <c:pt idx="1">
                  <c:v>0</c:v>
                </c:pt>
                <c:pt idx="2">
                  <c:v>0</c:v>
                </c:pt>
                <c:pt idx="3">
                  <c:v>0</c:v>
                </c:pt>
                <c:pt idx="4">
                  <c:v>0</c:v>
                </c:pt>
                <c:pt idx="5">
                  <c:v>0.13999999999999968</c:v>
                </c:pt>
                <c:pt idx="6">
                  <c:v>0.16757575757575749</c:v>
                </c:pt>
                <c:pt idx="7">
                  <c:v>0.1951515151515153</c:v>
                </c:pt>
              </c:numCache>
              <c:extLst/>
            </c:numRef>
          </c:val>
          <c:extLst>
            <c:ext xmlns:c16="http://schemas.microsoft.com/office/drawing/2014/chart" uri="{C3380CC4-5D6E-409C-BE32-E72D297353CC}">
              <c16:uniqueId val="{00000011-8245-4DC4-B4CB-3D2EBCD571FB}"/>
            </c:ext>
          </c:extLst>
        </c:ser>
        <c:ser>
          <c:idx val="18"/>
          <c:order val="18"/>
          <c:tx>
            <c:strRef>
              <c:f>'Quarterly GDP chart fan'!$AW$16</c:f>
              <c:strCache>
                <c:ptCount val="1"/>
                <c:pt idx="0">
                  <c:v>Upper 8</c:v>
                </c:pt>
              </c:strCache>
            </c:strRef>
          </c:tx>
          <c:spPr>
            <a:solidFill>
              <a:srgbClr val="C00000">
                <a:alpha val="3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fan'!$AW$17:$AW$29</c:f>
              <c:numCache>
                <c:formatCode>0.0000</c:formatCode>
                <c:ptCount val="8"/>
                <c:pt idx="0">
                  <c:v>0</c:v>
                </c:pt>
                <c:pt idx="1">
                  <c:v>0</c:v>
                </c:pt>
                <c:pt idx="2">
                  <c:v>0</c:v>
                </c:pt>
                <c:pt idx="3">
                  <c:v>0</c:v>
                </c:pt>
                <c:pt idx="4">
                  <c:v>0</c:v>
                </c:pt>
                <c:pt idx="5">
                  <c:v>0.16000000000000014</c:v>
                </c:pt>
                <c:pt idx="6">
                  <c:v>0.19151515151515142</c:v>
                </c:pt>
                <c:pt idx="7">
                  <c:v>0.22303030303030269</c:v>
                </c:pt>
              </c:numCache>
              <c:extLst/>
            </c:numRef>
          </c:val>
          <c:extLst>
            <c:ext xmlns:c16="http://schemas.microsoft.com/office/drawing/2014/chart" uri="{C3380CC4-5D6E-409C-BE32-E72D297353CC}">
              <c16:uniqueId val="{00000012-8245-4DC4-B4CB-3D2EBCD571FB}"/>
            </c:ext>
          </c:extLst>
        </c:ser>
        <c:ser>
          <c:idx val="19"/>
          <c:order val="19"/>
          <c:tx>
            <c:strRef>
              <c:f>'Quarterly GDP chart fan'!$AX$16</c:f>
              <c:strCache>
                <c:ptCount val="1"/>
                <c:pt idx="0">
                  <c:v>Upper 9</c:v>
                </c:pt>
              </c:strCache>
            </c:strRef>
          </c:tx>
          <c:spPr>
            <a:solidFill>
              <a:srgbClr val="C00000">
                <a:alpha val="2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fan'!$AX$17:$AX$29</c:f>
              <c:numCache>
                <c:formatCode>0.0000</c:formatCode>
                <c:ptCount val="8"/>
                <c:pt idx="0">
                  <c:v>0</c:v>
                </c:pt>
                <c:pt idx="1">
                  <c:v>0</c:v>
                </c:pt>
                <c:pt idx="2">
                  <c:v>0</c:v>
                </c:pt>
                <c:pt idx="3">
                  <c:v>0</c:v>
                </c:pt>
                <c:pt idx="4">
                  <c:v>0</c:v>
                </c:pt>
                <c:pt idx="5">
                  <c:v>0.17999999999999972</c:v>
                </c:pt>
                <c:pt idx="6">
                  <c:v>0.21545454545454579</c:v>
                </c:pt>
                <c:pt idx="7">
                  <c:v>0.25090909090909097</c:v>
                </c:pt>
              </c:numCache>
              <c:extLst/>
            </c:numRef>
          </c:val>
          <c:extLst>
            <c:ext xmlns:c16="http://schemas.microsoft.com/office/drawing/2014/chart" uri="{C3380CC4-5D6E-409C-BE32-E72D297353CC}">
              <c16:uniqueId val="{00000013-8245-4DC4-B4CB-3D2EBCD571FB}"/>
            </c:ext>
          </c:extLst>
        </c:ser>
        <c:ser>
          <c:idx val="20"/>
          <c:order val="20"/>
          <c:tx>
            <c:strRef>
              <c:f>'Quarterly GDP chart fan'!$AY$16</c:f>
              <c:strCache>
                <c:ptCount val="1"/>
                <c:pt idx="0">
                  <c:v>Upper 10</c:v>
                </c:pt>
              </c:strCache>
            </c:strRef>
          </c:tx>
          <c:spPr>
            <a:solidFill>
              <a:srgbClr val="C00000">
                <a:alpha val="10000"/>
              </a:srgbClr>
            </a:solidFill>
            <a:ln w="25400">
              <a:noFill/>
            </a:ln>
            <a:effectLst/>
          </c:spPr>
          <c:cat>
            <c:multiLvlStrRef>
              <c:f>'Quarterly GDP chart fan'!$B$17:$C$29</c:f>
              <c:multiLvlStrCache>
                <c:ptCount val="8"/>
                <c:lvl>
                  <c:pt idx="0">
                    <c:v>Q1</c:v>
                  </c:pt>
                  <c:pt idx="1">
                    <c:v>Q2</c:v>
                  </c:pt>
                  <c:pt idx="2">
                    <c:v>Q3</c:v>
                  </c:pt>
                  <c:pt idx="3">
                    <c:v>Q4</c:v>
                  </c:pt>
                  <c:pt idx="4">
                    <c:v>Q1</c:v>
                  </c:pt>
                  <c:pt idx="5">
                    <c:v>Q2</c:v>
                  </c:pt>
                  <c:pt idx="6">
                    <c:v>Q3</c:v>
                  </c:pt>
                  <c:pt idx="7">
                    <c:v>Q4</c:v>
                  </c:pt>
                </c:lvl>
                <c:lvl>
                  <c:pt idx="0">
                    <c:v>2023</c:v>
                  </c:pt>
                  <c:pt idx="4">
                    <c:v>2024</c:v>
                  </c:pt>
                </c:lvl>
              </c:multiLvlStrCache>
              <c:extLst/>
            </c:multiLvlStrRef>
          </c:cat>
          <c:val>
            <c:numRef>
              <c:f>'Quarterly GDP chart fan'!$AY$17:$AY$29</c:f>
              <c:numCache>
                <c:formatCode>0.0000</c:formatCode>
                <c:ptCount val="8"/>
                <c:pt idx="0">
                  <c:v>0</c:v>
                </c:pt>
                <c:pt idx="1">
                  <c:v>0</c:v>
                </c:pt>
                <c:pt idx="2">
                  <c:v>0</c:v>
                </c:pt>
                <c:pt idx="3">
                  <c:v>0</c:v>
                </c:pt>
                <c:pt idx="4">
                  <c:v>0</c:v>
                </c:pt>
                <c:pt idx="5">
                  <c:v>0.20000000000000018</c:v>
                </c:pt>
                <c:pt idx="6">
                  <c:v>0.23939393939393927</c:v>
                </c:pt>
                <c:pt idx="7">
                  <c:v>0.27878787878787925</c:v>
                </c:pt>
              </c:numCache>
              <c:extLst/>
            </c:numRef>
          </c:val>
          <c:extLst>
            <c:ext xmlns:c16="http://schemas.microsoft.com/office/drawing/2014/chart" uri="{C3380CC4-5D6E-409C-BE32-E72D297353CC}">
              <c16:uniqueId val="{00000014-8245-4DC4-B4CB-3D2EBCD571FB}"/>
            </c:ext>
          </c:extLst>
        </c:ser>
        <c:dLbls>
          <c:showLegendKey val="0"/>
          <c:showVal val="0"/>
          <c:showCatName val="0"/>
          <c:showSerName val="0"/>
          <c:showPercent val="0"/>
          <c:showBubbleSize val="0"/>
        </c:dLbls>
        <c:axId val="136355472"/>
        <c:axId val="136350480"/>
      </c:areaChart>
      <c:lineChart>
        <c:grouping val="standard"/>
        <c:varyColors val="0"/>
        <c:ser>
          <c:idx val="21"/>
          <c:order val="21"/>
          <c:tx>
            <c:strRef>
              <c:f>'Quarterly GDP chart fan'!$J$16</c:f>
              <c:strCache>
                <c:ptCount val="1"/>
                <c:pt idx="0">
                  <c:v>Kombinovana</c:v>
                </c:pt>
              </c:strCache>
            </c:strRef>
          </c:tx>
          <c:spPr>
            <a:ln w="12700" cap="rnd">
              <a:solidFill>
                <a:schemeClr val="tx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8"/>
              <c:pt idx="0">
                <c:v>2023 Q1</c:v>
              </c:pt>
              <c:pt idx="1">
                <c:v>2023 Q2</c:v>
              </c:pt>
              <c:pt idx="2">
                <c:v>2023 Q3</c:v>
              </c:pt>
              <c:pt idx="3">
                <c:v>2023 Q4</c:v>
              </c:pt>
              <c:pt idx="4">
                <c:v>2024 Q1</c:v>
              </c:pt>
              <c:pt idx="5">
                <c:v>2024 Q2</c:v>
              </c:pt>
              <c:pt idx="6">
                <c:v>2024 Q3</c:v>
              </c:pt>
              <c:pt idx="7">
                <c:v>2024 Q4</c:v>
              </c:pt>
              <c:extLst>
                <c:ext xmlns:c15="http://schemas.microsoft.com/office/drawing/2012/chart" uri="{02D57815-91ED-43cb-92C2-25804820EDAC}">
                  <c15:autoCat val="1"/>
                </c:ext>
              </c:extLst>
            </c:strLit>
          </c:cat>
          <c:val>
            <c:numRef>
              <c:f>'Quarterly GDP chart fan'!$J$17:$J$29</c:f>
              <c:numCache>
                <c:formatCode>0.0</c:formatCode>
                <c:ptCount val="8"/>
                <c:pt idx="0">
                  <c:v>0.90382744205183485</c:v>
                </c:pt>
                <c:pt idx="1">
                  <c:v>1.633734259681475</c:v>
                </c:pt>
                <c:pt idx="2">
                  <c:v>3.6346133522195885</c:v>
                </c:pt>
                <c:pt idx="3">
                  <c:v>3.8</c:v>
                </c:pt>
                <c:pt idx="4">
                  <c:v>4.7</c:v>
                </c:pt>
                <c:pt idx="5">
                  <c:v>4</c:v>
                </c:pt>
                <c:pt idx="6">
                  <c:v>3</c:v>
                </c:pt>
                <c:pt idx="7">
                  <c:v>3.4</c:v>
                </c:pt>
              </c:numCache>
              <c:extLst/>
            </c:numRef>
          </c:val>
          <c:smooth val="0"/>
          <c:extLst>
            <c:ext xmlns:c16="http://schemas.microsoft.com/office/drawing/2014/chart" uri="{C3380CC4-5D6E-409C-BE32-E72D297353CC}">
              <c16:uniqueId val="{00000015-8245-4DC4-B4CB-3D2EBCD571FB}"/>
            </c:ext>
          </c:extLst>
        </c:ser>
        <c:dLbls>
          <c:showLegendKey val="0"/>
          <c:showVal val="0"/>
          <c:showCatName val="0"/>
          <c:showSerName val="0"/>
          <c:showPercent val="0"/>
          <c:showBubbleSize val="0"/>
        </c:dLbls>
        <c:marker val="1"/>
        <c:smooth val="0"/>
        <c:axId val="136355472"/>
        <c:axId val="136350480"/>
      </c:lineChart>
      <c:catAx>
        <c:axId val="136355472"/>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750" b="0" i="0" u="none" strike="noStrike" kern="1200" baseline="0">
                <a:solidFill>
                  <a:schemeClr val="tx2"/>
                </a:solidFill>
                <a:latin typeface="+mn-lt"/>
                <a:ea typeface="+mn-ea"/>
                <a:cs typeface="+mn-cs"/>
              </a:defRPr>
            </a:pPr>
            <a:endParaRPr lang="sr-Latn-RS"/>
          </a:p>
        </c:txPr>
        <c:crossAx val="136350480"/>
        <c:crosses val="autoZero"/>
        <c:auto val="1"/>
        <c:lblAlgn val="ctr"/>
        <c:lblOffset val="100"/>
        <c:noMultiLvlLbl val="0"/>
      </c:catAx>
      <c:valAx>
        <c:axId val="136350480"/>
        <c:scaling>
          <c:orientation val="minMax"/>
          <c:max val="6"/>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36355472"/>
        <c:crosses val="autoZero"/>
        <c:crossBetween val="between"/>
        <c:majorUnit val="1"/>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sr-Latn-R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9238921957671962"/>
        </c:manualLayout>
      </c:layout>
      <c:barChart>
        <c:barDir val="col"/>
        <c:grouping val="stacked"/>
        <c:varyColors val="0"/>
        <c:ser>
          <c:idx val="2"/>
          <c:order val="0"/>
          <c:tx>
            <c:strRef>
              <c:f>BDP_doprinosi!$R$8</c:f>
              <c:strCache>
                <c:ptCount val="1"/>
                <c:pt idx="0">
                  <c:v>Приватна потрошња</c:v>
                </c:pt>
              </c:strCache>
            </c:strRef>
          </c:tx>
          <c:spPr>
            <a:solidFill>
              <a:srgbClr val="10103C"/>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numRef>
          </c:cat>
          <c:val>
            <c:numRef>
              <c:f>BDP_doprinosi!$AE$8:$AL$8</c:f>
              <c:numCache>
                <c:formatCode>0.0</c:formatCode>
                <c:ptCount val="7"/>
                <c:pt idx="0">
                  <c:v>5.2092399893278696</c:v>
                </c:pt>
                <c:pt idx="1">
                  <c:v>2.6100410848954074</c:v>
                </c:pt>
                <c:pt idx="2">
                  <c:v>0.58000512296926532</c:v>
                </c:pt>
                <c:pt idx="3">
                  <c:v>3.1303135089753993</c:v>
                </c:pt>
                <c:pt idx="4">
                  <c:v>2.7377287987991048</c:v>
                </c:pt>
                <c:pt idx="5">
                  <c:v>2.1019614404328908</c:v>
                </c:pt>
                <c:pt idx="6">
                  <c:v>1.7537336584794001</c:v>
                </c:pt>
              </c:numCache>
            </c:numRef>
          </c:val>
          <c:extLst>
            <c:ext xmlns:c16="http://schemas.microsoft.com/office/drawing/2014/chart" uri="{C3380CC4-5D6E-409C-BE32-E72D297353CC}">
              <c16:uniqueId val="{00000000-0162-4807-9DD8-48B9F26AEBDE}"/>
            </c:ext>
          </c:extLst>
        </c:ser>
        <c:ser>
          <c:idx val="3"/>
          <c:order val="1"/>
          <c:tx>
            <c:strRef>
              <c:f>BDP_doprinosi!$R$9</c:f>
              <c:strCache>
                <c:ptCount val="1"/>
                <c:pt idx="0">
                  <c:v>Државна потрошња</c:v>
                </c:pt>
              </c:strCache>
            </c:strRef>
          </c:tx>
          <c:spPr>
            <a:solidFill>
              <a:srgbClr val="29489A"/>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numRef>
          </c:cat>
          <c:val>
            <c:numRef>
              <c:f>BDP_doprinosi!$AE$9:$AL$9</c:f>
              <c:numCache>
                <c:formatCode>0.0</c:formatCode>
                <c:ptCount val="7"/>
                <c:pt idx="0">
                  <c:v>0.72388777142543881</c:v>
                </c:pt>
                <c:pt idx="1">
                  <c:v>6.0446395400530699E-2</c:v>
                </c:pt>
                <c:pt idx="2">
                  <c:v>5.342957355881342E-2</c:v>
                </c:pt>
                <c:pt idx="3">
                  <c:v>0.36540426751866856</c:v>
                </c:pt>
                <c:pt idx="4">
                  <c:v>0.30925340839972326</c:v>
                </c:pt>
                <c:pt idx="5">
                  <c:v>0.33187998306602329</c:v>
                </c:pt>
                <c:pt idx="6">
                  <c:v>0.27819645336372295</c:v>
                </c:pt>
              </c:numCache>
            </c:numRef>
          </c:val>
          <c:extLst>
            <c:ext xmlns:c16="http://schemas.microsoft.com/office/drawing/2014/chart" uri="{C3380CC4-5D6E-409C-BE32-E72D297353CC}">
              <c16:uniqueId val="{00000001-0162-4807-9DD8-48B9F26AEBDE}"/>
            </c:ext>
          </c:extLst>
        </c:ser>
        <c:ser>
          <c:idx val="1"/>
          <c:order val="2"/>
          <c:tx>
            <c:strRef>
              <c:f>BDP_doprinosi!$R$10</c:f>
              <c:strCache>
                <c:ptCount val="1"/>
                <c:pt idx="0">
                  <c:v>Инвестиције</c:v>
                </c:pt>
              </c:strCache>
            </c:strRef>
          </c:tx>
          <c:spPr>
            <a:solidFill>
              <a:srgbClr val="2183C4"/>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numRef>
          </c:cat>
          <c:val>
            <c:numRef>
              <c:f>BDP_doprinosi!$AE$10:$AL$10</c:f>
              <c:numCache>
                <c:formatCode>0.0</c:formatCode>
                <c:ptCount val="7"/>
                <c:pt idx="0">
                  <c:v>3.3665589316359066</c:v>
                </c:pt>
                <c:pt idx="1">
                  <c:v>0.43432470247982741</c:v>
                </c:pt>
                <c:pt idx="2">
                  <c:v>0.93867043729682376</c:v>
                </c:pt>
                <c:pt idx="3">
                  <c:v>2.181166503699552</c:v>
                </c:pt>
                <c:pt idx="4">
                  <c:v>1.9826308192406286</c:v>
                </c:pt>
                <c:pt idx="5">
                  <c:v>1.8517732332222165</c:v>
                </c:pt>
                <c:pt idx="6">
                  <c:v>1.9051897687959354</c:v>
                </c:pt>
              </c:numCache>
            </c:numRef>
          </c:val>
          <c:extLst>
            <c:ext xmlns:c16="http://schemas.microsoft.com/office/drawing/2014/chart" uri="{C3380CC4-5D6E-409C-BE32-E72D297353CC}">
              <c16:uniqueId val="{00000002-0162-4807-9DD8-48B9F26AEBDE}"/>
            </c:ext>
          </c:extLst>
        </c:ser>
        <c:ser>
          <c:idx val="0"/>
          <c:order val="3"/>
          <c:tx>
            <c:strRef>
              <c:f>BDP_doprinosi!$R$11</c:f>
              <c:strCache>
                <c:ptCount val="1"/>
                <c:pt idx="0">
                  <c:v>Нето извоз</c:v>
                </c:pt>
              </c:strCache>
            </c:strRef>
          </c:tx>
          <c:spPr>
            <a:solidFill>
              <a:srgbClr val="51BBE7"/>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numRef>
          </c:cat>
          <c:val>
            <c:numRef>
              <c:f>BDP_doprinosi!$AE$11:$AL$11</c:f>
              <c:numCache>
                <c:formatCode>0.0</c:formatCode>
                <c:ptCount val="7"/>
                <c:pt idx="0">
                  <c:v>-0.45558572398024072</c:v>
                </c:pt>
                <c:pt idx="1">
                  <c:v>-0.98364676731146439</c:v>
                </c:pt>
                <c:pt idx="2">
                  <c:v>2.3473638229034721</c:v>
                </c:pt>
                <c:pt idx="3">
                  <c:v>-1.9213108133468875</c:v>
                </c:pt>
                <c:pt idx="4">
                  <c:v>-0.87647396875262307</c:v>
                </c:pt>
                <c:pt idx="5">
                  <c:v>-0.24370955799598351</c:v>
                </c:pt>
                <c:pt idx="6">
                  <c:v>0.13480028339393987</c:v>
                </c:pt>
              </c:numCache>
            </c:numRef>
          </c:val>
          <c:extLst>
            <c:ext xmlns:c16="http://schemas.microsoft.com/office/drawing/2014/chart" uri="{C3380CC4-5D6E-409C-BE32-E72D297353CC}">
              <c16:uniqueId val="{00000003-0162-4807-9DD8-48B9F26AEBDE}"/>
            </c:ext>
          </c:extLst>
        </c:ser>
        <c:ser>
          <c:idx val="4"/>
          <c:order val="4"/>
          <c:tx>
            <c:strRef>
              <c:f>BDP_doprinosi!$R$12</c:f>
              <c:strCache>
                <c:ptCount val="1"/>
                <c:pt idx="0">
                  <c:v>Промена у залихама</c:v>
                </c:pt>
              </c:strCache>
            </c:strRef>
          </c:tx>
          <c:spPr>
            <a:solidFill>
              <a:srgbClr val="9ED1E6"/>
            </a:solidFill>
            <a:ln>
              <a:noFill/>
            </a:ln>
            <a:effectLst/>
          </c:spPr>
          <c:invertIfNegative val="0"/>
          <c:cat>
            <c:numRef>
              <c:f>BDP_doprinosi!$AE$6:$AL$6</c:f>
              <c:numCache>
                <c:formatCode>General</c:formatCode>
                <c:ptCount val="7"/>
                <c:pt idx="0">
                  <c:v>2021</c:v>
                </c:pt>
                <c:pt idx="1">
                  <c:v>2022</c:v>
                </c:pt>
                <c:pt idx="2">
                  <c:v>2023</c:v>
                </c:pt>
                <c:pt idx="3">
                  <c:v>2024</c:v>
                </c:pt>
                <c:pt idx="4">
                  <c:v>2025</c:v>
                </c:pt>
                <c:pt idx="5">
                  <c:v>2026</c:v>
                </c:pt>
                <c:pt idx="6">
                  <c:v>2027</c:v>
                </c:pt>
              </c:numCache>
            </c:numRef>
          </c:cat>
          <c:val>
            <c:numRef>
              <c:f>BDP_doprinosi!$AE$12:$AL$12</c:f>
              <c:numCache>
                <c:formatCode>0.0</c:formatCode>
                <c:ptCount val="7"/>
                <c:pt idx="0">
                  <c:v>-1.1181538014122658</c:v>
                </c:pt>
                <c:pt idx="1">
                  <c:v>0.42878898025471801</c:v>
                </c:pt>
                <c:pt idx="2">
                  <c:v>-1.3916757306784642</c:v>
                </c:pt>
                <c:pt idx="3">
                  <c:v>4.4426533153262983E-2</c:v>
                </c:pt>
                <c:pt idx="4">
                  <c:v>4.6860942313164816E-2</c:v>
                </c:pt>
                <c:pt idx="5">
                  <c:v>-4.1905098725132706E-2</c:v>
                </c:pt>
                <c:pt idx="6">
                  <c:v>-3.1920164032997286E-2</c:v>
                </c:pt>
              </c:numCache>
            </c:numRef>
          </c:val>
          <c:extLst>
            <c:ext xmlns:c16="http://schemas.microsoft.com/office/drawing/2014/chart" uri="{C3380CC4-5D6E-409C-BE32-E72D297353CC}">
              <c16:uniqueId val="{00000004-0162-4807-9DD8-48B9F26AEBDE}"/>
            </c:ext>
          </c:extLst>
        </c:ser>
        <c:dLbls>
          <c:showLegendKey val="0"/>
          <c:showVal val="0"/>
          <c:showCatName val="0"/>
          <c:showSerName val="0"/>
          <c:showPercent val="0"/>
          <c:showBubbleSize val="0"/>
        </c:dLbls>
        <c:gapWidth val="60"/>
        <c:overlap val="100"/>
        <c:axId val="1768857248"/>
        <c:axId val="1768855072"/>
      </c:barChart>
      <c:lineChart>
        <c:grouping val="standard"/>
        <c:varyColors val="0"/>
        <c:ser>
          <c:idx val="5"/>
          <c:order val="5"/>
          <c:tx>
            <c:strRef>
              <c:f>BDP_doprinosi!$R$13</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BDP_doprinosi!$AE$6:$AL$6</c:f>
              <c:numCache>
                <c:formatCode>General</c:formatCode>
                <c:ptCount val="7"/>
                <c:pt idx="0">
                  <c:v>2021</c:v>
                </c:pt>
                <c:pt idx="1">
                  <c:v>2022</c:v>
                </c:pt>
                <c:pt idx="2">
                  <c:v>2023</c:v>
                </c:pt>
                <c:pt idx="3">
                  <c:v>2024</c:v>
                </c:pt>
                <c:pt idx="4">
                  <c:v>2025</c:v>
                </c:pt>
                <c:pt idx="5">
                  <c:v>2026</c:v>
                </c:pt>
                <c:pt idx="6">
                  <c:v>2027</c:v>
                </c:pt>
              </c:numCache>
            </c:numRef>
          </c:cat>
          <c:val>
            <c:numRef>
              <c:f>BDP_doprinosi!$AE$13:$AL$13</c:f>
              <c:numCache>
                <c:formatCode>0.0</c:formatCode>
                <c:ptCount val="7"/>
                <c:pt idx="0">
                  <c:v>7.7259477767403411</c:v>
                </c:pt>
                <c:pt idx="1">
                  <c:v>2.5499555701369303</c:v>
                </c:pt>
                <c:pt idx="2">
                  <c:v>2.5277928096858915</c:v>
                </c:pt>
                <c:pt idx="3">
                  <c:v>3.8</c:v>
                </c:pt>
                <c:pt idx="4">
                  <c:v>4.2</c:v>
                </c:pt>
                <c:pt idx="5">
                  <c:v>4</c:v>
                </c:pt>
                <c:pt idx="6">
                  <c:v>4.04</c:v>
                </c:pt>
              </c:numCache>
            </c:numRef>
          </c:val>
          <c:smooth val="0"/>
          <c:extLst>
            <c:ext xmlns:c16="http://schemas.microsoft.com/office/drawing/2014/chart" uri="{C3380CC4-5D6E-409C-BE32-E72D297353CC}">
              <c16:uniqueId val="{00000005-0162-4807-9DD8-48B9F26AEBDE}"/>
            </c:ext>
          </c:extLst>
        </c:ser>
        <c:dLbls>
          <c:showLegendKey val="0"/>
          <c:showVal val="0"/>
          <c:showCatName val="0"/>
          <c:showSerName val="0"/>
          <c:showPercent val="0"/>
          <c:showBubbleSize val="0"/>
        </c:dLbls>
        <c:marker val="1"/>
        <c:smooth val="0"/>
        <c:axId val="1768857248"/>
        <c:axId val="1768855072"/>
      </c:lineChart>
      <c:catAx>
        <c:axId val="1768857248"/>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5072"/>
        <c:crosses val="autoZero"/>
        <c:auto val="1"/>
        <c:lblAlgn val="ctr"/>
        <c:lblOffset val="100"/>
        <c:noMultiLvlLbl val="0"/>
      </c:catAx>
      <c:valAx>
        <c:axId val="1768855072"/>
        <c:scaling>
          <c:orientation val="minMax"/>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248"/>
        <c:crosses val="autoZero"/>
        <c:crossBetween val="between"/>
      </c:valAx>
      <c:spPr>
        <a:noFill/>
        <a:ln>
          <a:noFill/>
        </a:ln>
        <a:effectLst/>
      </c:spPr>
    </c:plotArea>
    <c:legend>
      <c:legendPos val="b"/>
      <c:layout>
        <c:manualLayout>
          <c:xMode val="edge"/>
          <c:yMode val="edge"/>
          <c:x val="0"/>
          <c:y val="0.83244109195402283"/>
          <c:w val="1"/>
          <c:h val="0.167558908045977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372776319626709E-2"/>
          <c:y val="5.7408090185006533E-2"/>
          <c:w val="0.90740810185185183"/>
          <c:h val="0.66834989589248528"/>
        </c:manualLayout>
      </c:layout>
      <c:barChart>
        <c:barDir val="col"/>
        <c:grouping val="stacked"/>
        <c:varyColors val="0"/>
        <c:ser>
          <c:idx val="0"/>
          <c:order val="0"/>
          <c:tx>
            <c:strRef>
              <c:f>BDP_doprinosi!$R$34</c:f>
              <c:strCache>
                <c:ptCount val="1"/>
                <c:pt idx="0">
                  <c:v>Пољопривреда</c:v>
                </c:pt>
              </c:strCache>
            </c:strRef>
          </c:tx>
          <c:spPr>
            <a:solidFill>
              <a:srgbClr val="10103C"/>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BDP_doprinosi!$AF$34:$AL$34</c:f>
              <c:numCache>
                <c:formatCode>0.0</c:formatCode>
                <c:ptCount val="7"/>
                <c:pt idx="0">
                  <c:v>-0.34687329875682266</c:v>
                </c:pt>
                <c:pt idx="1">
                  <c:v>-0.52061008538983689</c:v>
                </c:pt>
                <c:pt idx="2">
                  <c:v>0.5259722436114268</c:v>
                </c:pt>
                <c:pt idx="3">
                  <c:v>-5.0131174694056507E-2</c:v>
                </c:pt>
                <c:pt idx="4">
                  <c:v>1.2532793673514127E-2</c:v>
                </c:pt>
                <c:pt idx="5">
                  <c:v>0</c:v>
                </c:pt>
                <c:pt idx="6">
                  <c:v>-2.5065587347028249E-3</c:v>
                </c:pt>
              </c:numCache>
            </c:numRef>
          </c:val>
          <c:extLst>
            <c:ext xmlns:c16="http://schemas.microsoft.com/office/drawing/2014/chart" uri="{C3380CC4-5D6E-409C-BE32-E72D297353CC}">
              <c16:uniqueId val="{00000000-0598-48A5-AE9E-45B051EBB9FD}"/>
            </c:ext>
          </c:extLst>
        </c:ser>
        <c:ser>
          <c:idx val="1"/>
          <c:order val="1"/>
          <c:tx>
            <c:strRef>
              <c:f>BDP_doprinosi!$R$35</c:f>
              <c:strCache>
                <c:ptCount val="1"/>
                <c:pt idx="0">
                  <c:v>Индустрија</c:v>
                </c:pt>
              </c:strCache>
            </c:strRef>
          </c:tx>
          <c:spPr>
            <a:solidFill>
              <a:srgbClr val="29489A"/>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BDP_doprinosi!$AF$35:$AL$35</c:f>
              <c:numCache>
                <c:formatCode>0.0</c:formatCode>
                <c:ptCount val="7"/>
                <c:pt idx="0">
                  <c:v>1.2528234982197806</c:v>
                </c:pt>
                <c:pt idx="1">
                  <c:v>0.57110444542333105</c:v>
                </c:pt>
                <c:pt idx="2">
                  <c:v>0.44355485193475885</c:v>
                </c:pt>
                <c:pt idx="3">
                  <c:v>0.57179556740627313</c:v>
                </c:pt>
                <c:pt idx="4">
                  <c:v>0.89393391524079335</c:v>
                </c:pt>
                <c:pt idx="5">
                  <c:v>0.89796064458872482</c:v>
                </c:pt>
                <c:pt idx="6">
                  <c:v>0.91809429132838227</c:v>
                </c:pt>
              </c:numCache>
            </c:numRef>
          </c:val>
          <c:extLst>
            <c:ext xmlns:c16="http://schemas.microsoft.com/office/drawing/2014/chart" uri="{C3380CC4-5D6E-409C-BE32-E72D297353CC}">
              <c16:uniqueId val="{00000001-0598-48A5-AE9E-45B051EBB9FD}"/>
            </c:ext>
          </c:extLst>
        </c:ser>
        <c:ser>
          <c:idx val="2"/>
          <c:order val="2"/>
          <c:tx>
            <c:strRef>
              <c:f>BDP_doprinosi!$R$36</c:f>
              <c:strCache>
                <c:ptCount val="1"/>
                <c:pt idx="0">
                  <c:v>Грађевинарство</c:v>
                </c:pt>
              </c:strCache>
            </c:strRef>
          </c:tx>
          <c:spPr>
            <a:solidFill>
              <a:srgbClr val="2183C4"/>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BDP_doprinosi!$AF$36:$AL$36</c:f>
              <c:numCache>
                <c:formatCode>0.0</c:formatCode>
                <c:ptCount val="7"/>
                <c:pt idx="0">
                  <c:v>0.99323806535048298</c:v>
                </c:pt>
                <c:pt idx="1">
                  <c:v>-0.58617462827892053</c:v>
                </c:pt>
                <c:pt idx="2">
                  <c:v>0.48187996112989545</c:v>
                </c:pt>
                <c:pt idx="3">
                  <c:v>0.49749462702001829</c:v>
                </c:pt>
                <c:pt idx="4">
                  <c:v>0.45922580955693998</c:v>
                </c:pt>
                <c:pt idx="5">
                  <c:v>0.39908909640067397</c:v>
                </c:pt>
                <c:pt idx="6">
                  <c:v>0.39143533290805832</c:v>
                </c:pt>
              </c:numCache>
            </c:numRef>
          </c:val>
          <c:extLst>
            <c:ext xmlns:c16="http://schemas.microsoft.com/office/drawing/2014/chart" uri="{C3380CC4-5D6E-409C-BE32-E72D297353CC}">
              <c16:uniqueId val="{00000002-0598-48A5-AE9E-45B051EBB9FD}"/>
            </c:ext>
          </c:extLst>
        </c:ser>
        <c:ser>
          <c:idx val="3"/>
          <c:order val="3"/>
          <c:tx>
            <c:strRef>
              <c:f>BDP_doprinosi!$R$37</c:f>
              <c:strCache>
                <c:ptCount val="1"/>
                <c:pt idx="0">
                  <c:v>Услуге</c:v>
                </c:pt>
              </c:strCache>
            </c:strRef>
          </c:tx>
          <c:spPr>
            <a:solidFill>
              <a:srgbClr val="51BBE7"/>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BDP_doprinosi!$AF$37:$AL$37</c:f>
              <c:numCache>
                <c:formatCode>0.0</c:formatCode>
                <c:ptCount val="7"/>
                <c:pt idx="0">
                  <c:v>4.4231023641209983</c:v>
                </c:pt>
                <c:pt idx="1">
                  <c:v>2.6059745398731327</c:v>
                </c:pt>
                <c:pt idx="2">
                  <c:v>1.0212774433523306</c:v>
                </c:pt>
                <c:pt idx="3">
                  <c:v>2.0377511769149286</c:v>
                </c:pt>
                <c:pt idx="4">
                  <c:v>2.1090724681069508</c:v>
                </c:pt>
                <c:pt idx="5">
                  <c:v>2.1192612239915256</c:v>
                </c:pt>
                <c:pt idx="6">
                  <c:v>2.1651106254721117</c:v>
                </c:pt>
              </c:numCache>
            </c:numRef>
          </c:val>
          <c:extLst>
            <c:ext xmlns:c16="http://schemas.microsoft.com/office/drawing/2014/chart" uri="{C3380CC4-5D6E-409C-BE32-E72D297353CC}">
              <c16:uniqueId val="{00000003-0598-48A5-AE9E-45B051EBB9FD}"/>
            </c:ext>
          </c:extLst>
        </c:ser>
        <c:ser>
          <c:idx val="4"/>
          <c:order val="4"/>
          <c:tx>
            <c:strRef>
              <c:f>BDP_doprinosi!$R$38</c:f>
              <c:strCache>
                <c:ptCount val="1"/>
                <c:pt idx="0">
                  <c:v>Нето порези</c:v>
                </c:pt>
              </c:strCache>
            </c:strRef>
          </c:tx>
          <c:spPr>
            <a:solidFill>
              <a:srgbClr val="9ED1E6"/>
            </a:solidFill>
            <a:ln>
              <a:noFill/>
            </a:ln>
            <a:effectLst/>
          </c:spPr>
          <c:invertIfNegative val="0"/>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BDP_doprinosi!$AF$38:$AL$38</c:f>
              <c:numCache>
                <c:formatCode>0.0</c:formatCode>
                <c:ptCount val="7"/>
                <c:pt idx="0">
                  <c:v>1.4036565380622645</c:v>
                </c:pt>
                <c:pt idx="1">
                  <c:v>0.47965656054549599</c:v>
                </c:pt>
                <c:pt idx="2">
                  <c:v>5.5108726021481577E-2</c:v>
                </c:pt>
                <c:pt idx="3">
                  <c:v>0.7</c:v>
                </c:pt>
                <c:pt idx="4">
                  <c:v>0.67725460125016335</c:v>
                </c:pt>
                <c:pt idx="5">
                  <c:v>0.62912483263340047</c:v>
                </c:pt>
                <c:pt idx="6">
                  <c:v>0.57755722340115445</c:v>
                </c:pt>
              </c:numCache>
            </c:numRef>
          </c:val>
          <c:extLst>
            <c:ext xmlns:c16="http://schemas.microsoft.com/office/drawing/2014/chart" uri="{C3380CC4-5D6E-409C-BE32-E72D297353CC}">
              <c16:uniqueId val="{00000004-0598-48A5-AE9E-45B051EBB9FD}"/>
            </c:ext>
          </c:extLst>
        </c:ser>
        <c:dLbls>
          <c:showLegendKey val="0"/>
          <c:showVal val="0"/>
          <c:showCatName val="0"/>
          <c:showSerName val="0"/>
          <c:showPercent val="0"/>
          <c:showBubbleSize val="0"/>
        </c:dLbls>
        <c:gapWidth val="60"/>
        <c:overlap val="100"/>
        <c:axId val="1768857792"/>
        <c:axId val="1768858336"/>
      </c:barChart>
      <c:lineChart>
        <c:grouping val="standard"/>
        <c:varyColors val="0"/>
        <c:ser>
          <c:idx val="5"/>
          <c:order val="5"/>
          <c:tx>
            <c:strRef>
              <c:f>BDP_doprinosi!$R$39</c:f>
              <c:strCache>
                <c:ptCount val="1"/>
                <c:pt idx="0">
                  <c:v>Реални раст БДП</c:v>
                </c:pt>
              </c:strCache>
            </c:strRef>
          </c:tx>
          <c:spPr>
            <a:ln w="25400" cap="rnd">
              <a:solidFill>
                <a:srgbClr val="FF0000"/>
              </a:solidFill>
              <a:round/>
            </a:ln>
            <a:effectLst/>
          </c:spPr>
          <c:marker>
            <c:symbol val="none"/>
          </c:marker>
          <c:dLbls>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BDP_doprinosi!$AF$33:$AL$33</c:f>
              <c:numCache>
                <c:formatCode>General</c:formatCode>
                <c:ptCount val="7"/>
                <c:pt idx="0">
                  <c:v>2021</c:v>
                </c:pt>
                <c:pt idx="1">
                  <c:v>2022</c:v>
                </c:pt>
                <c:pt idx="2">
                  <c:v>2023</c:v>
                </c:pt>
                <c:pt idx="3">
                  <c:v>2024</c:v>
                </c:pt>
                <c:pt idx="4">
                  <c:v>2025</c:v>
                </c:pt>
                <c:pt idx="5">
                  <c:v>2026</c:v>
                </c:pt>
                <c:pt idx="6">
                  <c:v>2027</c:v>
                </c:pt>
              </c:numCache>
            </c:numRef>
          </c:cat>
          <c:val>
            <c:numRef>
              <c:f>BDP_doprinosi!$AF$39:$AL$39</c:f>
              <c:numCache>
                <c:formatCode>0.0</c:formatCode>
                <c:ptCount val="7"/>
                <c:pt idx="0">
                  <c:v>7.7259477767403411</c:v>
                </c:pt>
                <c:pt idx="1">
                  <c:v>2.5499555701369303</c:v>
                </c:pt>
                <c:pt idx="2">
                  <c:v>2.5277928096858915</c:v>
                </c:pt>
                <c:pt idx="3">
                  <c:v>3.8</c:v>
                </c:pt>
                <c:pt idx="4">
                  <c:v>4.2</c:v>
                </c:pt>
                <c:pt idx="5">
                  <c:v>4</c:v>
                </c:pt>
                <c:pt idx="6">
                  <c:v>4.0199999999999996</c:v>
                </c:pt>
              </c:numCache>
            </c:numRef>
          </c:val>
          <c:smooth val="0"/>
          <c:extLst>
            <c:ext xmlns:c16="http://schemas.microsoft.com/office/drawing/2014/chart" uri="{C3380CC4-5D6E-409C-BE32-E72D297353CC}">
              <c16:uniqueId val="{00000005-0598-48A5-AE9E-45B051EBB9FD}"/>
            </c:ext>
          </c:extLst>
        </c:ser>
        <c:dLbls>
          <c:showLegendKey val="0"/>
          <c:showVal val="0"/>
          <c:showCatName val="0"/>
          <c:showSerName val="0"/>
          <c:showPercent val="0"/>
          <c:showBubbleSize val="0"/>
        </c:dLbls>
        <c:marker val="1"/>
        <c:smooth val="0"/>
        <c:axId val="1768857792"/>
        <c:axId val="1768858336"/>
      </c:lineChart>
      <c:catAx>
        <c:axId val="1768857792"/>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8336"/>
        <c:crosses val="autoZero"/>
        <c:auto val="1"/>
        <c:lblAlgn val="ctr"/>
        <c:lblOffset val="100"/>
        <c:noMultiLvlLbl val="0"/>
      </c:catAx>
      <c:valAx>
        <c:axId val="1768858336"/>
        <c:scaling>
          <c:orientation val="minMax"/>
          <c:max val="9"/>
          <c:min val="-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768857792"/>
        <c:crosses val="autoZero"/>
        <c:crossBetween val="between"/>
        <c:majorUnit val="2"/>
      </c:valAx>
      <c:spPr>
        <a:noFill/>
        <a:ln>
          <a:noFill/>
        </a:ln>
        <a:effectLst/>
      </c:spPr>
    </c:plotArea>
    <c:legend>
      <c:legendPos val="b"/>
      <c:layout>
        <c:manualLayout>
          <c:xMode val="edge"/>
          <c:yMode val="edge"/>
          <c:x val="2.9349664625255175E-2"/>
          <c:y val="0.81738596819079445"/>
          <c:w val="0.93586103820355804"/>
          <c:h val="0.1796447349148707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0"/>
          <c:order val="0"/>
          <c:tx>
            <c:strRef>
              <c:f>'Yearly GDP chart fan'!$AE$16</c:f>
              <c:strCache>
                <c:ptCount val="1"/>
                <c:pt idx="0">
                  <c:v>Baza</c:v>
                </c:pt>
              </c:strCache>
            </c:strRef>
          </c:tx>
          <c:spPr>
            <a:noFill/>
            <a:ln>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fan'!$AE$18:$AE$25</c:f>
              <c:numCache>
                <c:formatCode>0.00</c:formatCode>
                <c:ptCount val="8"/>
                <c:pt idx="0">
                  <c:v>-0.90321850152074035</c:v>
                </c:pt>
                <c:pt idx="1">
                  <c:v>7.7259477767403411</c:v>
                </c:pt>
                <c:pt idx="2">
                  <c:v>2.5499555701369303</c:v>
                </c:pt>
                <c:pt idx="3">
                  <c:v>2.5</c:v>
                </c:pt>
                <c:pt idx="4">
                  <c:v>2.6999999999999997</c:v>
                </c:pt>
                <c:pt idx="5">
                  <c:v>2.5666666666666673</c:v>
                </c:pt>
                <c:pt idx="6">
                  <c:v>1.8333333333333328</c:v>
                </c:pt>
                <c:pt idx="7">
                  <c:v>1.2999999999999998</c:v>
                </c:pt>
              </c:numCache>
              <c:extLst/>
            </c:numRef>
          </c:val>
          <c:extLst>
            <c:ext xmlns:c16="http://schemas.microsoft.com/office/drawing/2014/chart" uri="{C3380CC4-5D6E-409C-BE32-E72D297353CC}">
              <c16:uniqueId val="{00000000-7698-4FCA-BEB2-BD0847C30C47}"/>
            </c:ext>
          </c:extLst>
        </c:ser>
        <c:ser>
          <c:idx val="1"/>
          <c:order val="1"/>
          <c:tx>
            <c:strRef>
              <c:f>'Yearly GDP chart fan'!$AF$16</c:f>
              <c:strCache>
                <c:ptCount val="1"/>
                <c:pt idx="0">
                  <c:v>Lower 10</c:v>
                </c:pt>
              </c:strCache>
            </c:strRef>
          </c:tx>
          <c:spPr>
            <a:solidFill>
              <a:srgbClr val="C00000">
                <a:alpha val="1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fan'!$AF$18:$AF$25</c:f>
              <c:numCache>
                <c:formatCode>0.00</c:formatCode>
                <c:ptCount val="8"/>
                <c:pt idx="0">
                  <c:v>0</c:v>
                </c:pt>
                <c:pt idx="1">
                  <c:v>0</c:v>
                </c:pt>
                <c:pt idx="2">
                  <c:v>0</c:v>
                </c:pt>
                <c:pt idx="3" formatCode="0.0000">
                  <c:v>0</c:v>
                </c:pt>
                <c:pt idx="4" formatCode="0.0000">
                  <c:v>0.20952380952380967</c:v>
                </c:pt>
                <c:pt idx="5" formatCode="0.0000">
                  <c:v>0.31111111111111089</c:v>
                </c:pt>
                <c:pt idx="6" formatCode="0.0000">
                  <c:v>0.41269841269841279</c:v>
                </c:pt>
                <c:pt idx="7" formatCode="0.0000">
                  <c:v>0.51428571428571423</c:v>
                </c:pt>
              </c:numCache>
              <c:extLst/>
            </c:numRef>
          </c:val>
          <c:extLst>
            <c:ext xmlns:c16="http://schemas.microsoft.com/office/drawing/2014/chart" uri="{C3380CC4-5D6E-409C-BE32-E72D297353CC}">
              <c16:uniqueId val="{00000001-7698-4FCA-BEB2-BD0847C30C47}"/>
            </c:ext>
          </c:extLst>
        </c:ser>
        <c:ser>
          <c:idx val="2"/>
          <c:order val="2"/>
          <c:tx>
            <c:strRef>
              <c:f>'Yearly GDP chart fan'!$AG$16</c:f>
              <c:strCache>
                <c:ptCount val="1"/>
                <c:pt idx="0">
                  <c:v>Lower 9</c:v>
                </c:pt>
              </c:strCache>
            </c:strRef>
          </c:tx>
          <c:spPr>
            <a:solidFill>
              <a:srgbClr val="C00000">
                <a:alpha val="2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fan'!$AG$18:$AG$25</c:f>
              <c:numCache>
                <c:formatCode>0.00</c:formatCode>
                <c:ptCount val="8"/>
                <c:pt idx="0">
                  <c:v>0</c:v>
                </c:pt>
                <c:pt idx="1">
                  <c:v>0</c:v>
                </c:pt>
                <c:pt idx="2">
                  <c:v>0</c:v>
                </c:pt>
                <c:pt idx="3" formatCode="0.0000">
                  <c:v>0</c:v>
                </c:pt>
                <c:pt idx="4" formatCode="0.0000">
                  <c:v>0.18740740740740724</c:v>
                </c:pt>
                <c:pt idx="5" formatCode="0.0000">
                  <c:v>0.27827160493827163</c:v>
                </c:pt>
                <c:pt idx="6" formatCode="0.0000">
                  <c:v>0.36913580246913602</c:v>
                </c:pt>
                <c:pt idx="7" formatCode="0.0000">
                  <c:v>0.45999999999999996</c:v>
                </c:pt>
              </c:numCache>
              <c:extLst/>
            </c:numRef>
          </c:val>
          <c:extLst>
            <c:ext xmlns:c16="http://schemas.microsoft.com/office/drawing/2014/chart" uri="{C3380CC4-5D6E-409C-BE32-E72D297353CC}">
              <c16:uniqueId val="{00000002-7698-4FCA-BEB2-BD0847C30C47}"/>
            </c:ext>
          </c:extLst>
        </c:ser>
        <c:ser>
          <c:idx val="3"/>
          <c:order val="3"/>
          <c:tx>
            <c:strRef>
              <c:f>'Yearly GDP chart fan'!$AH$16</c:f>
              <c:strCache>
                <c:ptCount val="1"/>
                <c:pt idx="0">
                  <c:v>Lower 8</c:v>
                </c:pt>
              </c:strCache>
            </c:strRef>
          </c:tx>
          <c:spPr>
            <a:solidFill>
              <a:srgbClr val="C00000">
                <a:alpha val="3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fan'!$AH$18:$AH$25</c:f>
              <c:numCache>
                <c:formatCode>0.00</c:formatCode>
                <c:ptCount val="8"/>
                <c:pt idx="0">
                  <c:v>0</c:v>
                </c:pt>
                <c:pt idx="1">
                  <c:v>0</c:v>
                </c:pt>
                <c:pt idx="2">
                  <c:v>0</c:v>
                </c:pt>
                <c:pt idx="3" formatCode="0.0000">
                  <c:v>0</c:v>
                </c:pt>
                <c:pt idx="4" formatCode="0.0000">
                  <c:v>0.16529100529100527</c:v>
                </c:pt>
                <c:pt idx="5" formatCode="0.0000">
                  <c:v>0.24543209876543193</c:v>
                </c:pt>
                <c:pt idx="6" formatCode="0.0000">
                  <c:v>0.32557319223985903</c:v>
                </c:pt>
                <c:pt idx="7" formatCode="0.0000">
                  <c:v>0.40571428571428569</c:v>
                </c:pt>
              </c:numCache>
              <c:extLst/>
            </c:numRef>
          </c:val>
          <c:extLst>
            <c:ext xmlns:c16="http://schemas.microsoft.com/office/drawing/2014/chart" uri="{C3380CC4-5D6E-409C-BE32-E72D297353CC}">
              <c16:uniqueId val="{00000003-7698-4FCA-BEB2-BD0847C30C47}"/>
            </c:ext>
          </c:extLst>
        </c:ser>
        <c:ser>
          <c:idx val="4"/>
          <c:order val="4"/>
          <c:tx>
            <c:strRef>
              <c:f>'Yearly GDP chart fan'!$AI$16</c:f>
              <c:strCache>
                <c:ptCount val="1"/>
                <c:pt idx="0">
                  <c:v>Lower 7</c:v>
                </c:pt>
              </c:strCache>
            </c:strRef>
          </c:tx>
          <c:spPr>
            <a:solidFill>
              <a:srgbClr val="C00000">
                <a:alpha val="4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fan'!$AI$18:$AI$25</c:f>
              <c:numCache>
                <c:formatCode>0.00</c:formatCode>
                <c:ptCount val="8"/>
                <c:pt idx="0">
                  <c:v>0</c:v>
                </c:pt>
                <c:pt idx="1">
                  <c:v>0</c:v>
                </c:pt>
                <c:pt idx="2">
                  <c:v>0</c:v>
                </c:pt>
                <c:pt idx="3" formatCode="0.0000">
                  <c:v>0</c:v>
                </c:pt>
                <c:pt idx="4" formatCode="0.0000">
                  <c:v>0.14317460317460329</c:v>
                </c:pt>
                <c:pt idx="5" formatCode="0.0000">
                  <c:v>0.21259259259259267</c:v>
                </c:pt>
                <c:pt idx="6" formatCode="0.0000">
                  <c:v>0.28201058201058204</c:v>
                </c:pt>
                <c:pt idx="7" formatCode="0.0000">
                  <c:v>0.35142857142857142</c:v>
                </c:pt>
              </c:numCache>
              <c:extLst/>
            </c:numRef>
          </c:val>
          <c:extLst>
            <c:ext xmlns:c16="http://schemas.microsoft.com/office/drawing/2014/chart" uri="{C3380CC4-5D6E-409C-BE32-E72D297353CC}">
              <c16:uniqueId val="{00000004-7698-4FCA-BEB2-BD0847C30C47}"/>
            </c:ext>
          </c:extLst>
        </c:ser>
        <c:ser>
          <c:idx val="5"/>
          <c:order val="5"/>
          <c:tx>
            <c:strRef>
              <c:f>'Yearly GDP chart fan'!$AJ$16</c:f>
              <c:strCache>
                <c:ptCount val="1"/>
                <c:pt idx="0">
                  <c:v>Lower 6</c:v>
                </c:pt>
              </c:strCache>
            </c:strRef>
          </c:tx>
          <c:spPr>
            <a:solidFill>
              <a:srgbClr val="C00000">
                <a:alpha val="5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fan'!$AJ$18:$AJ$25</c:f>
              <c:numCache>
                <c:formatCode>0.00</c:formatCode>
                <c:ptCount val="8"/>
                <c:pt idx="0">
                  <c:v>0</c:v>
                </c:pt>
                <c:pt idx="1">
                  <c:v>0</c:v>
                </c:pt>
                <c:pt idx="2">
                  <c:v>0</c:v>
                </c:pt>
                <c:pt idx="3" formatCode="0.0000">
                  <c:v>0</c:v>
                </c:pt>
                <c:pt idx="4" formatCode="0.0000">
                  <c:v>0.12105820105820086</c:v>
                </c:pt>
                <c:pt idx="5" formatCode="0.0000">
                  <c:v>0.17975308641975296</c:v>
                </c:pt>
                <c:pt idx="6" formatCode="0.0000">
                  <c:v>0.23844797178130506</c:v>
                </c:pt>
                <c:pt idx="7" formatCode="0.0000">
                  <c:v>0.29714285714285715</c:v>
                </c:pt>
              </c:numCache>
              <c:extLst/>
            </c:numRef>
          </c:val>
          <c:extLst>
            <c:ext xmlns:c16="http://schemas.microsoft.com/office/drawing/2014/chart" uri="{C3380CC4-5D6E-409C-BE32-E72D297353CC}">
              <c16:uniqueId val="{00000005-7698-4FCA-BEB2-BD0847C30C47}"/>
            </c:ext>
          </c:extLst>
        </c:ser>
        <c:ser>
          <c:idx val="6"/>
          <c:order val="6"/>
          <c:tx>
            <c:strRef>
              <c:f>'Yearly GDP chart fan'!$AK$16</c:f>
              <c:strCache>
                <c:ptCount val="1"/>
                <c:pt idx="0">
                  <c:v>Lower 5</c:v>
                </c:pt>
              </c:strCache>
            </c:strRef>
          </c:tx>
          <c:spPr>
            <a:solidFill>
              <a:srgbClr val="C00000">
                <a:alpha val="6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fan'!$AK$18:$AK$25</c:f>
              <c:numCache>
                <c:formatCode>0.00</c:formatCode>
                <c:ptCount val="8"/>
                <c:pt idx="0">
                  <c:v>0</c:v>
                </c:pt>
                <c:pt idx="1">
                  <c:v>0</c:v>
                </c:pt>
                <c:pt idx="2">
                  <c:v>0</c:v>
                </c:pt>
                <c:pt idx="3" formatCode="0.0000">
                  <c:v>0</c:v>
                </c:pt>
                <c:pt idx="4" formatCode="0.0000">
                  <c:v>9.8941798941798886E-2</c:v>
                </c:pt>
                <c:pt idx="5" formatCode="0.0000">
                  <c:v>0.1469135802469137</c:v>
                </c:pt>
                <c:pt idx="6" formatCode="0.0000">
                  <c:v>0.19488536155202807</c:v>
                </c:pt>
                <c:pt idx="7" formatCode="0.0000">
                  <c:v>0.24285714285714288</c:v>
                </c:pt>
              </c:numCache>
              <c:extLst/>
            </c:numRef>
          </c:val>
          <c:extLst>
            <c:ext xmlns:c16="http://schemas.microsoft.com/office/drawing/2014/chart" uri="{C3380CC4-5D6E-409C-BE32-E72D297353CC}">
              <c16:uniqueId val="{00000006-7698-4FCA-BEB2-BD0847C30C47}"/>
            </c:ext>
          </c:extLst>
        </c:ser>
        <c:ser>
          <c:idx val="7"/>
          <c:order val="7"/>
          <c:tx>
            <c:strRef>
              <c:f>'Yearly GDP chart fan'!$AL$16</c:f>
              <c:strCache>
                <c:ptCount val="1"/>
                <c:pt idx="0">
                  <c:v>Lower 4</c:v>
                </c:pt>
              </c:strCache>
            </c:strRef>
          </c:tx>
          <c:spPr>
            <a:solidFill>
              <a:srgbClr val="C00000">
                <a:alpha val="7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fan'!$AL$18:$AL$25</c:f>
              <c:numCache>
                <c:formatCode>0.00</c:formatCode>
                <c:ptCount val="8"/>
                <c:pt idx="0">
                  <c:v>0</c:v>
                </c:pt>
                <c:pt idx="1">
                  <c:v>0</c:v>
                </c:pt>
                <c:pt idx="2">
                  <c:v>0</c:v>
                </c:pt>
                <c:pt idx="3" formatCode="0.0000">
                  <c:v>0</c:v>
                </c:pt>
                <c:pt idx="4" formatCode="0.0000">
                  <c:v>7.6825396825396908E-2</c:v>
                </c:pt>
                <c:pt idx="5" formatCode="0.0000">
                  <c:v>0.11407407407407399</c:v>
                </c:pt>
                <c:pt idx="6" formatCode="0.0000">
                  <c:v>0.15132275132275153</c:v>
                </c:pt>
                <c:pt idx="7" formatCode="0.0000">
                  <c:v>0.18857142857142861</c:v>
                </c:pt>
              </c:numCache>
              <c:extLst/>
            </c:numRef>
          </c:val>
          <c:extLst>
            <c:ext xmlns:c16="http://schemas.microsoft.com/office/drawing/2014/chart" uri="{C3380CC4-5D6E-409C-BE32-E72D297353CC}">
              <c16:uniqueId val="{00000007-7698-4FCA-BEB2-BD0847C30C47}"/>
            </c:ext>
          </c:extLst>
        </c:ser>
        <c:ser>
          <c:idx val="8"/>
          <c:order val="8"/>
          <c:tx>
            <c:strRef>
              <c:f>'Yearly GDP chart fan'!$AM$16</c:f>
              <c:strCache>
                <c:ptCount val="1"/>
                <c:pt idx="0">
                  <c:v>Lower 3</c:v>
                </c:pt>
              </c:strCache>
            </c:strRef>
          </c:tx>
          <c:spPr>
            <a:solidFill>
              <a:srgbClr val="C00000">
                <a:alpha val="8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fan'!$AM$18:$AM$25</c:f>
              <c:numCache>
                <c:formatCode>0.00</c:formatCode>
                <c:ptCount val="8"/>
                <c:pt idx="0">
                  <c:v>0</c:v>
                </c:pt>
                <c:pt idx="1">
                  <c:v>0</c:v>
                </c:pt>
                <c:pt idx="2">
                  <c:v>0</c:v>
                </c:pt>
                <c:pt idx="3" formatCode="0.0000">
                  <c:v>0</c:v>
                </c:pt>
                <c:pt idx="4" formatCode="0.0000">
                  <c:v>5.4708994708994929E-2</c:v>
                </c:pt>
                <c:pt idx="5" formatCode="0.0000">
                  <c:v>8.1234567901234733E-2</c:v>
                </c:pt>
                <c:pt idx="6" formatCode="0.0000">
                  <c:v>0.10776014109347454</c:v>
                </c:pt>
                <c:pt idx="7" formatCode="0.0000">
                  <c:v>0.13428571428571434</c:v>
                </c:pt>
              </c:numCache>
              <c:extLst/>
            </c:numRef>
          </c:val>
          <c:extLst>
            <c:ext xmlns:c16="http://schemas.microsoft.com/office/drawing/2014/chart" uri="{C3380CC4-5D6E-409C-BE32-E72D297353CC}">
              <c16:uniqueId val="{00000008-7698-4FCA-BEB2-BD0847C30C47}"/>
            </c:ext>
          </c:extLst>
        </c:ser>
        <c:ser>
          <c:idx val="9"/>
          <c:order val="9"/>
          <c:tx>
            <c:strRef>
              <c:f>'Yearly GDP chart fan'!$AN$16</c:f>
              <c:strCache>
                <c:ptCount val="1"/>
                <c:pt idx="0">
                  <c:v>Lower 2</c:v>
                </c:pt>
              </c:strCache>
            </c:strRef>
          </c:tx>
          <c:spPr>
            <a:solidFill>
              <a:srgbClr val="C00000">
                <a:alpha val="9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fan'!$AN$18:$AN$25</c:f>
              <c:numCache>
                <c:formatCode>0.00</c:formatCode>
                <c:ptCount val="8"/>
                <c:pt idx="0">
                  <c:v>0</c:v>
                </c:pt>
                <c:pt idx="1">
                  <c:v>0</c:v>
                </c:pt>
                <c:pt idx="2">
                  <c:v>0</c:v>
                </c:pt>
                <c:pt idx="3" formatCode="0.0000">
                  <c:v>0</c:v>
                </c:pt>
                <c:pt idx="4" formatCode="0.0000">
                  <c:v>3.2592592592592506E-2</c:v>
                </c:pt>
                <c:pt idx="5" formatCode="0.0000">
                  <c:v>4.8395061728395028E-2</c:v>
                </c:pt>
                <c:pt idx="6" formatCode="0.0000">
                  <c:v>6.419753086419755E-2</c:v>
                </c:pt>
                <c:pt idx="7" formatCode="0.0000">
                  <c:v>8.0000000000000071E-2</c:v>
                </c:pt>
              </c:numCache>
              <c:extLst/>
            </c:numRef>
          </c:val>
          <c:extLst>
            <c:ext xmlns:c16="http://schemas.microsoft.com/office/drawing/2014/chart" uri="{C3380CC4-5D6E-409C-BE32-E72D297353CC}">
              <c16:uniqueId val="{00000009-7698-4FCA-BEB2-BD0847C30C47}"/>
            </c:ext>
          </c:extLst>
        </c:ser>
        <c:ser>
          <c:idx val="10"/>
          <c:order val="10"/>
          <c:tx>
            <c:strRef>
              <c:f>'Yearly GDP chart fan'!$AO$16</c:f>
              <c:strCache>
                <c:ptCount val="1"/>
                <c:pt idx="0">
                  <c:v>Lower 1</c:v>
                </c:pt>
              </c:strCache>
            </c:strRef>
          </c:tx>
          <c:spPr>
            <a:solidFill>
              <a:srgbClr val="C00000"/>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fan'!$AO$18:$AO$25</c:f>
              <c:numCache>
                <c:formatCode>0.00</c:formatCode>
                <c:ptCount val="8"/>
                <c:pt idx="0">
                  <c:v>0</c:v>
                </c:pt>
                <c:pt idx="1">
                  <c:v>0</c:v>
                </c:pt>
                <c:pt idx="2">
                  <c:v>0</c:v>
                </c:pt>
                <c:pt idx="3" formatCode="0.0000">
                  <c:v>0</c:v>
                </c:pt>
                <c:pt idx="4" formatCode="0.0000">
                  <c:v>1.0476190476190528E-2</c:v>
                </c:pt>
                <c:pt idx="5" formatCode="0.0000">
                  <c:v>1.5555555555555323E-2</c:v>
                </c:pt>
                <c:pt idx="6" formatCode="0.0000">
                  <c:v>2.0634920634920562E-2</c:v>
                </c:pt>
                <c:pt idx="7" formatCode="0.0000">
                  <c:v>2.5714285714285801E-2</c:v>
                </c:pt>
              </c:numCache>
              <c:extLst/>
            </c:numRef>
          </c:val>
          <c:extLst>
            <c:ext xmlns:c16="http://schemas.microsoft.com/office/drawing/2014/chart" uri="{C3380CC4-5D6E-409C-BE32-E72D297353CC}">
              <c16:uniqueId val="{0000000A-7698-4FCA-BEB2-BD0847C30C47}"/>
            </c:ext>
          </c:extLst>
        </c:ser>
        <c:ser>
          <c:idx val="11"/>
          <c:order val="11"/>
          <c:tx>
            <c:strRef>
              <c:f>'Yearly GDP chart fan'!$AP$16</c:f>
              <c:strCache>
                <c:ptCount val="1"/>
                <c:pt idx="0">
                  <c:v>Upper 1</c:v>
                </c:pt>
              </c:strCache>
            </c:strRef>
          </c:tx>
          <c:spPr>
            <a:solidFill>
              <a:srgbClr val="C00000"/>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fan'!$AP$18:$AP$25</c:f>
              <c:numCache>
                <c:formatCode>0.0000</c:formatCode>
                <c:ptCount val="8"/>
                <c:pt idx="0">
                  <c:v>0</c:v>
                </c:pt>
                <c:pt idx="1">
                  <c:v>0</c:v>
                </c:pt>
                <c:pt idx="2">
                  <c:v>0</c:v>
                </c:pt>
                <c:pt idx="3">
                  <c:v>0</c:v>
                </c:pt>
                <c:pt idx="4">
                  <c:v>1.2380952380952159E-2</c:v>
                </c:pt>
                <c:pt idx="5">
                  <c:v>1.7460317460317398E-2</c:v>
                </c:pt>
                <c:pt idx="6">
                  <c:v>2.2539682539682637E-2</c:v>
                </c:pt>
                <c:pt idx="7">
                  <c:v>2.7619047619047876E-2</c:v>
                </c:pt>
              </c:numCache>
              <c:extLst/>
            </c:numRef>
          </c:val>
          <c:extLst>
            <c:ext xmlns:c16="http://schemas.microsoft.com/office/drawing/2014/chart" uri="{C3380CC4-5D6E-409C-BE32-E72D297353CC}">
              <c16:uniqueId val="{0000000B-7698-4FCA-BEB2-BD0847C30C47}"/>
            </c:ext>
          </c:extLst>
        </c:ser>
        <c:ser>
          <c:idx val="12"/>
          <c:order val="12"/>
          <c:tx>
            <c:strRef>
              <c:f>'Yearly GDP chart fan'!$AQ$16</c:f>
              <c:strCache>
                <c:ptCount val="1"/>
                <c:pt idx="0">
                  <c:v>Upper 2</c:v>
                </c:pt>
              </c:strCache>
            </c:strRef>
          </c:tx>
          <c:spPr>
            <a:solidFill>
              <a:srgbClr val="C00000">
                <a:alpha val="9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fan'!$AQ$18:$AQ$25</c:f>
              <c:numCache>
                <c:formatCode>0.0000</c:formatCode>
                <c:ptCount val="8"/>
                <c:pt idx="0">
                  <c:v>0</c:v>
                </c:pt>
                <c:pt idx="1">
                  <c:v>0</c:v>
                </c:pt>
                <c:pt idx="2">
                  <c:v>0</c:v>
                </c:pt>
                <c:pt idx="3">
                  <c:v>0</c:v>
                </c:pt>
                <c:pt idx="4">
                  <c:v>3.8518518518518619E-2</c:v>
                </c:pt>
                <c:pt idx="5">
                  <c:v>5.4320987654320696E-2</c:v>
                </c:pt>
                <c:pt idx="6">
                  <c:v>7.0123456790123662E-2</c:v>
                </c:pt>
                <c:pt idx="7">
                  <c:v>8.5925925925925739E-2</c:v>
                </c:pt>
              </c:numCache>
              <c:extLst/>
            </c:numRef>
          </c:val>
          <c:extLst>
            <c:ext xmlns:c16="http://schemas.microsoft.com/office/drawing/2014/chart" uri="{C3380CC4-5D6E-409C-BE32-E72D297353CC}">
              <c16:uniqueId val="{0000000C-7698-4FCA-BEB2-BD0847C30C47}"/>
            </c:ext>
          </c:extLst>
        </c:ser>
        <c:ser>
          <c:idx val="13"/>
          <c:order val="13"/>
          <c:tx>
            <c:strRef>
              <c:f>'Yearly GDP chart fan'!$AR$16</c:f>
              <c:strCache>
                <c:ptCount val="1"/>
                <c:pt idx="0">
                  <c:v>Upper 3</c:v>
                </c:pt>
              </c:strCache>
            </c:strRef>
          </c:tx>
          <c:spPr>
            <a:solidFill>
              <a:srgbClr val="C00000">
                <a:alpha val="8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fan'!$AR$18:$AR$25</c:f>
              <c:numCache>
                <c:formatCode>0.0000</c:formatCode>
                <c:ptCount val="8"/>
                <c:pt idx="0">
                  <c:v>0</c:v>
                </c:pt>
                <c:pt idx="1">
                  <c:v>0</c:v>
                </c:pt>
                <c:pt idx="2">
                  <c:v>0</c:v>
                </c:pt>
                <c:pt idx="3">
                  <c:v>0</c:v>
                </c:pt>
                <c:pt idx="4">
                  <c:v>6.4656084656084634E-2</c:v>
                </c:pt>
                <c:pt idx="5">
                  <c:v>9.1181657848324882E-2</c:v>
                </c:pt>
                <c:pt idx="6">
                  <c:v>0.11770723104056469</c:v>
                </c:pt>
                <c:pt idx="7">
                  <c:v>0.14423280423280449</c:v>
                </c:pt>
              </c:numCache>
              <c:extLst/>
            </c:numRef>
          </c:val>
          <c:extLst>
            <c:ext xmlns:c16="http://schemas.microsoft.com/office/drawing/2014/chart" uri="{C3380CC4-5D6E-409C-BE32-E72D297353CC}">
              <c16:uniqueId val="{0000000D-7698-4FCA-BEB2-BD0847C30C47}"/>
            </c:ext>
          </c:extLst>
        </c:ser>
        <c:ser>
          <c:idx val="14"/>
          <c:order val="14"/>
          <c:tx>
            <c:strRef>
              <c:f>'Yearly GDP chart fan'!$AS$16</c:f>
              <c:strCache>
                <c:ptCount val="1"/>
                <c:pt idx="0">
                  <c:v>Upper 4</c:v>
                </c:pt>
              </c:strCache>
            </c:strRef>
          </c:tx>
          <c:spPr>
            <a:solidFill>
              <a:srgbClr val="C00000">
                <a:alpha val="7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fan'!$AS$18:$AS$25</c:f>
              <c:numCache>
                <c:formatCode>0.0000</c:formatCode>
                <c:ptCount val="8"/>
                <c:pt idx="0">
                  <c:v>0</c:v>
                </c:pt>
                <c:pt idx="1">
                  <c:v>0</c:v>
                </c:pt>
                <c:pt idx="2">
                  <c:v>0</c:v>
                </c:pt>
                <c:pt idx="3">
                  <c:v>0</c:v>
                </c:pt>
                <c:pt idx="4">
                  <c:v>9.0793650793651093E-2</c:v>
                </c:pt>
                <c:pt idx="5">
                  <c:v>0.12804232804232818</c:v>
                </c:pt>
                <c:pt idx="6">
                  <c:v>0.16529100529100571</c:v>
                </c:pt>
                <c:pt idx="7">
                  <c:v>0.20253968253968235</c:v>
                </c:pt>
              </c:numCache>
              <c:extLst/>
            </c:numRef>
          </c:val>
          <c:extLst>
            <c:ext xmlns:c16="http://schemas.microsoft.com/office/drawing/2014/chart" uri="{C3380CC4-5D6E-409C-BE32-E72D297353CC}">
              <c16:uniqueId val="{0000000E-7698-4FCA-BEB2-BD0847C30C47}"/>
            </c:ext>
          </c:extLst>
        </c:ser>
        <c:ser>
          <c:idx val="15"/>
          <c:order val="15"/>
          <c:tx>
            <c:strRef>
              <c:f>'Yearly GDP chart fan'!$AT$16</c:f>
              <c:strCache>
                <c:ptCount val="1"/>
                <c:pt idx="0">
                  <c:v>Upper 5</c:v>
                </c:pt>
              </c:strCache>
            </c:strRef>
          </c:tx>
          <c:spPr>
            <a:solidFill>
              <a:srgbClr val="C00000">
                <a:alpha val="6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fan'!$AT$18:$AT$25</c:f>
              <c:numCache>
                <c:formatCode>0.0000</c:formatCode>
                <c:ptCount val="8"/>
                <c:pt idx="0">
                  <c:v>0</c:v>
                </c:pt>
                <c:pt idx="1">
                  <c:v>0</c:v>
                </c:pt>
                <c:pt idx="2">
                  <c:v>0</c:v>
                </c:pt>
                <c:pt idx="3">
                  <c:v>0</c:v>
                </c:pt>
                <c:pt idx="4">
                  <c:v>0.11693121693121711</c:v>
                </c:pt>
                <c:pt idx="5">
                  <c:v>0.16490299823633148</c:v>
                </c:pt>
                <c:pt idx="6">
                  <c:v>0.21287477954144585</c:v>
                </c:pt>
                <c:pt idx="7">
                  <c:v>0.2608465608465611</c:v>
                </c:pt>
              </c:numCache>
              <c:extLst/>
            </c:numRef>
          </c:val>
          <c:extLst>
            <c:ext xmlns:c16="http://schemas.microsoft.com/office/drawing/2014/chart" uri="{C3380CC4-5D6E-409C-BE32-E72D297353CC}">
              <c16:uniqueId val="{0000000F-7698-4FCA-BEB2-BD0847C30C47}"/>
            </c:ext>
          </c:extLst>
        </c:ser>
        <c:ser>
          <c:idx val="16"/>
          <c:order val="16"/>
          <c:tx>
            <c:strRef>
              <c:f>'Yearly GDP chart fan'!$AU$16</c:f>
              <c:strCache>
                <c:ptCount val="1"/>
                <c:pt idx="0">
                  <c:v>Upper 6</c:v>
                </c:pt>
              </c:strCache>
            </c:strRef>
          </c:tx>
          <c:spPr>
            <a:solidFill>
              <a:srgbClr val="C00000">
                <a:alpha val="5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fan'!$AU$18:$AU$25</c:f>
              <c:numCache>
                <c:formatCode>0.0000</c:formatCode>
                <c:ptCount val="8"/>
                <c:pt idx="0">
                  <c:v>0</c:v>
                </c:pt>
                <c:pt idx="1">
                  <c:v>0</c:v>
                </c:pt>
                <c:pt idx="2">
                  <c:v>0</c:v>
                </c:pt>
                <c:pt idx="3">
                  <c:v>0</c:v>
                </c:pt>
                <c:pt idx="4">
                  <c:v>0.14306878306878268</c:v>
                </c:pt>
                <c:pt idx="5">
                  <c:v>0.20176366843033477</c:v>
                </c:pt>
                <c:pt idx="6">
                  <c:v>0.26045855379188687</c:v>
                </c:pt>
                <c:pt idx="7">
                  <c:v>0.31915343915343897</c:v>
                </c:pt>
              </c:numCache>
              <c:extLst/>
            </c:numRef>
          </c:val>
          <c:extLst>
            <c:ext xmlns:c16="http://schemas.microsoft.com/office/drawing/2014/chart" uri="{C3380CC4-5D6E-409C-BE32-E72D297353CC}">
              <c16:uniqueId val="{00000010-7698-4FCA-BEB2-BD0847C30C47}"/>
            </c:ext>
          </c:extLst>
        </c:ser>
        <c:ser>
          <c:idx val="17"/>
          <c:order val="17"/>
          <c:tx>
            <c:strRef>
              <c:f>'Yearly GDP chart fan'!$AV$16</c:f>
              <c:strCache>
                <c:ptCount val="1"/>
                <c:pt idx="0">
                  <c:v>Upper 7</c:v>
                </c:pt>
              </c:strCache>
            </c:strRef>
          </c:tx>
          <c:spPr>
            <a:solidFill>
              <a:srgbClr val="C00000">
                <a:alpha val="4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fan'!$AV$18:$AV$25</c:f>
              <c:numCache>
                <c:formatCode>0.0000</c:formatCode>
                <c:ptCount val="8"/>
                <c:pt idx="0">
                  <c:v>0</c:v>
                </c:pt>
                <c:pt idx="1">
                  <c:v>0</c:v>
                </c:pt>
                <c:pt idx="2">
                  <c:v>0</c:v>
                </c:pt>
                <c:pt idx="3">
                  <c:v>0</c:v>
                </c:pt>
                <c:pt idx="4">
                  <c:v>0.16920634920634914</c:v>
                </c:pt>
                <c:pt idx="5">
                  <c:v>0.23862433862433896</c:v>
                </c:pt>
                <c:pt idx="6">
                  <c:v>0.3080423280423279</c:v>
                </c:pt>
                <c:pt idx="7">
                  <c:v>0.37746031746031772</c:v>
                </c:pt>
              </c:numCache>
              <c:extLst/>
            </c:numRef>
          </c:val>
          <c:extLst>
            <c:ext xmlns:c16="http://schemas.microsoft.com/office/drawing/2014/chart" uri="{C3380CC4-5D6E-409C-BE32-E72D297353CC}">
              <c16:uniqueId val="{00000011-7698-4FCA-BEB2-BD0847C30C47}"/>
            </c:ext>
          </c:extLst>
        </c:ser>
        <c:ser>
          <c:idx val="18"/>
          <c:order val="18"/>
          <c:tx>
            <c:strRef>
              <c:f>'Yearly GDP chart fan'!$AW$16</c:f>
              <c:strCache>
                <c:ptCount val="1"/>
                <c:pt idx="0">
                  <c:v>Upper 8</c:v>
                </c:pt>
              </c:strCache>
            </c:strRef>
          </c:tx>
          <c:spPr>
            <a:solidFill>
              <a:srgbClr val="C00000">
                <a:alpha val="3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fan'!$AW$18:$AW$25</c:f>
              <c:numCache>
                <c:formatCode>0.0000</c:formatCode>
                <c:ptCount val="8"/>
                <c:pt idx="0">
                  <c:v>0</c:v>
                </c:pt>
                <c:pt idx="1">
                  <c:v>0</c:v>
                </c:pt>
                <c:pt idx="2">
                  <c:v>0</c:v>
                </c:pt>
                <c:pt idx="3">
                  <c:v>0</c:v>
                </c:pt>
                <c:pt idx="4">
                  <c:v>0.1953439153439156</c:v>
                </c:pt>
                <c:pt idx="5">
                  <c:v>0.27548500881834226</c:v>
                </c:pt>
                <c:pt idx="6">
                  <c:v>0.35562610229276892</c:v>
                </c:pt>
                <c:pt idx="7">
                  <c:v>0.43576719576719558</c:v>
                </c:pt>
              </c:numCache>
              <c:extLst/>
            </c:numRef>
          </c:val>
          <c:extLst>
            <c:ext xmlns:c16="http://schemas.microsoft.com/office/drawing/2014/chart" uri="{C3380CC4-5D6E-409C-BE32-E72D297353CC}">
              <c16:uniqueId val="{00000012-7698-4FCA-BEB2-BD0847C30C47}"/>
            </c:ext>
          </c:extLst>
        </c:ser>
        <c:ser>
          <c:idx val="19"/>
          <c:order val="19"/>
          <c:tx>
            <c:strRef>
              <c:f>'Yearly GDP chart fan'!$AX$16</c:f>
              <c:strCache>
                <c:ptCount val="1"/>
                <c:pt idx="0">
                  <c:v>Upper 9</c:v>
                </c:pt>
              </c:strCache>
            </c:strRef>
          </c:tx>
          <c:spPr>
            <a:solidFill>
              <a:srgbClr val="C00000">
                <a:alpha val="2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fan'!$AX$18:$AX$25</c:f>
              <c:numCache>
                <c:formatCode>0.0000</c:formatCode>
                <c:ptCount val="8"/>
                <c:pt idx="0">
                  <c:v>0</c:v>
                </c:pt>
                <c:pt idx="1">
                  <c:v>0</c:v>
                </c:pt>
                <c:pt idx="2">
                  <c:v>0</c:v>
                </c:pt>
                <c:pt idx="3">
                  <c:v>0</c:v>
                </c:pt>
                <c:pt idx="4">
                  <c:v>0.22148148148148117</c:v>
                </c:pt>
                <c:pt idx="5">
                  <c:v>0.31234567901234556</c:v>
                </c:pt>
                <c:pt idx="6">
                  <c:v>0.40320987654320994</c:v>
                </c:pt>
                <c:pt idx="7">
                  <c:v>0.49407407407407433</c:v>
                </c:pt>
              </c:numCache>
              <c:extLst/>
            </c:numRef>
          </c:val>
          <c:extLst>
            <c:ext xmlns:c16="http://schemas.microsoft.com/office/drawing/2014/chart" uri="{C3380CC4-5D6E-409C-BE32-E72D297353CC}">
              <c16:uniqueId val="{00000013-7698-4FCA-BEB2-BD0847C30C47}"/>
            </c:ext>
          </c:extLst>
        </c:ser>
        <c:ser>
          <c:idx val="20"/>
          <c:order val="20"/>
          <c:tx>
            <c:strRef>
              <c:f>'Yearly GDP chart fan'!$AY$16</c:f>
              <c:strCache>
                <c:ptCount val="1"/>
                <c:pt idx="0">
                  <c:v>Upper 10</c:v>
                </c:pt>
              </c:strCache>
            </c:strRef>
          </c:tx>
          <c:spPr>
            <a:solidFill>
              <a:srgbClr val="C00000">
                <a:alpha val="10000"/>
              </a:srgbClr>
            </a:solidFill>
            <a:ln w="25400">
              <a:noFill/>
            </a:ln>
            <a:effectLst/>
          </c:spPr>
          <c:cat>
            <c:numRef>
              <c:f>'Yearly GDP chart fan'!$C$18:$C$25</c:f>
              <c:numCache>
                <c:formatCode>General</c:formatCode>
                <c:ptCount val="8"/>
                <c:pt idx="0">
                  <c:v>2020</c:v>
                </c:pt>
                <c:pt idx="1">
                  <c:v>2021</c:v>
                </c:pt>
                <c:pt idx="2">
                  <c:v>2022</c:v>
                </c:pt>
                <c:pt idx="3">
                  <c:v>2023</c:v>
                </c:pt>
                <c:pt idx="4">
                  <c:v>2024</c:v>
                </c:pt>
                <c:pt idx="5">
                  <c:v>2025</c:v>
                </c:pt>
                <c:pt idx="6">
                  <c:v>2026</c:v>
                </c:pt>
                <c:pt idx="7">
                  <c:v>2027</c:v>
                </c:pt>
              </c:numCache>
              <c:extLst/>
            </c:numRef>
          </c:cat>
          <c:val>
            <c:numRef>
              <c:f>'Yearly GDP chart fan'!$AY$18:$AY$25</c:f>
              <c:numCache>
                <c:formatCode>0.0000</c:formatCode>
                <c:ptCount val="8"/>
                <c:pt idx="0">
                  <c:v>0</c:v>
                </c:pt>
                <c:pt idx="1">
                  <c:v>0</c:v>
                </c:pt>
                <c:pt idx="2">
                  <c:v>0</c:v>
                </c:pt>
                <c:pt idx="3">
                  <c:v>0</c:v>
                </c:pt>
                <c:pt idx="4">
                  <c:v>0.24761904761904763</c:v>
                </c:pt>
                <c:pt idx="5">
                  <c:v>0.34920634920634885</c:v>
                </c:pt>
                <c:pt idx="6">
                  <c:v>0.45079365079365097</c:v>
                </c:pt>
                <c:pt idx="7">
                  <c:v>0.55238095238095219</c:v>
                </c:pt>
              </c:numCache>
              <c:extLst/>
            </c:numRef>
          </c:val>
          <c:extLst>
            <c:ext xmlns:c16="http://schemas.microsoft.com/office/drawing/2014/chart" uri="{C3380CC4-5D6E-409C-BE32-E72D297353CC}">
              <c16:uniqueId val="{00000014-7698-4FCA-BEB2-BD0847C30C47}"/>
            </c:ext>
          </c:extLst>
        </c:ser>
        <c:dLbls>
          <c:showLegendKey val="0"/>
          <c:showVal val="0"/>
          <c:showCatName val="0"/>
          <c:showSerName val="0"/>
          <c:showPercent val="0"/>
          <c:showBubbleSize val="0"/>
        </c:dLbls>
        <c:axId val="136355472"/>
        <c:axId val="136350480"/>
      </c:areaChart>
      <c:lineChart>
        <c:grouping val="standard"/>
        <c:varyColors val="0"/>
        <c:ser>
          <c:idx val="21"/>
          <c:order val="21"/>
          <c:tx>
            <c:strRef>
              <c:f>'Yearly GDP chart fan'!$J$16</c:f>
              <c:strCache>
                <c:ptCount val="1"/>
                <c:pt idx="0">
                  <c:v>Kombinovana</c:v>
                </c:pt>
              </c:strCache>
            </c:strRef>
          </c:tx>
          <c:spPr>
            <a:ln w="12700" cap="rnd">
              <a:solidFill>
                <a:schemeClr val="tx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8"/>
              <c:pt idx="0">
                <c:v>2020</c:v>
              </c:pt>
              <c:pt idx="1">
                <c:v>2021</c:v>
              </c:pt>
              <c:pt idx="2">
                <c:v>2022</c:v>
              </c:pt>
              <c:pt idx="3">
                <c:v>2023</c:v>
              </c:pt>
              <c:pt idx="4">
                <c:v>2024</c:v>
              </c:pt>
              <c:pt idx="5">
                <c:v>2025</c:v>
              </c:pt>
              <c:pt idx="6">
                <c:v>2026</c:v>
              </c:pt>
              <c:pt idx="7">
                <c:v>2027</c:v>
              </c:pt>
              <c:extLst>
                <c:ext xmlns:c15="http://schemas.microsoft.com/office/drawing/2012/chart" uri="{02D57815-91ED-43cb-92C2-25804820EDAC}">
                  <c15:autoCat val="1"/>
                </c:ext>
              </c:extLst>
            </c:strLit>
          </c:cat>
          <c:val>
            <c:numRef>
              <c:f>'Yearly GDP chart fan'!$J$18:$J$25</c:f>
              <c:numCache>
                <c:formatCode>0.0</c:formatCode>
                <c:ptCount val="8"/>
                <c:pt idx="0">
                  <c:v>-0.90321850152074035</c:v>
                </c:pt>
                <c:pt idx="1">
                  <c:v>7.7259477767403411</c:v>
                </c:pt>
                <c:pt idx="2">
                  <c:v>2.5499555701369303</c:v>
                </c:pt>
                <c:pt idx="3">
                  <c:v>2.5</c:v>
                </c:pt>
                <c:pt idx="4">
                  <c:v>3.8</c:v>
                </c:pt>
                <c:pt idx="5">
                  <c:v>4.2</c:v>
                </c:pt>
                <c:pt idx="6">
                  <c:v>4</c:v>
                </c:pt>
                <c:pt idx="7">
                  <c:v>4</c:v>
                </c:pt>
              </c:numCache>
              <c:extLst/>
            </c:numRef>
          </c:val>
          <c:smooth val="0"/>
          <c:extLst>
            <c:ext xmlns:c16="http://schemas.microsoft.com/office/drawing/2014/chart" uri="{C3380CC4-5D6E-409C-BE32-E72D297353CC}">
              <c16:uniqueId val="{00000015-7698-4FCA-BEB2-BD0847C30C47}"/>
            </c:ext>
          </c:extLst>
        </c:ser>
        <c:dLbls>
          <c:showLegendKey val="0"/>
          <c:showVal val="0"/>
          <c:showCatName val="0"/>
          <c:showSerName val="0"/>
          <c:showPercent val="0"/>
          <c:showBubbleSize val="0"/>
        </c:dLbls>
        <c:marker val="1"/>
        <c:smooth val="0"/>
        <c:axId val="136355472"/>
        <c:axId val="136350480"/>
      </c:lineChart>
      <c:catAx>
        <c:axId val="136355472"/>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800" b="0" i="0" u="none" strike="noStrike" kern="1200" baseline="0">
                <a:solidFill>
                  <a:schemeClr val="tx2"/>
                </a:solidFill>
                <a:latin typeface="+mn-lt"/>
                <a:ea typeface="+mn-ea"/>
                <a:cs typeface="+mn-cs"/>
              </a:defRPr>
            </a:pPr>
            <a:endParaRPr lang="sr-Latn-RS"/>
          </a:p>
        </c:txPr>
        <c:crossAx val="136350480"/>
        <c:crosses val="autoZero"/>
        <c:auto val="1"/>
        <c:lblAlgn val="ctr"/>
        <c:lblOffset val="100"/>
        <c:noMultiLvlLbl val="0"/>
      </c:catAx>
      <c:valAx>
        <c:axId val="13635048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n-lt"/>
                <a:ea typeface="+mn-ea"/>
                <a:cs typeface="+mn-cs"/>
              </a:defRPr>
            </a:pPr>
            <a:endParaRPr lang="sr-Latn-RS"/>
          </a:p>
        </c:txPr>
        <c:crossAx val="136355472"/>
        <c:crosses val="autoZero"/>
        <c:crossBetween val="between"/>
        <c:majorUnit val="2"/>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890798861412E-2"/>
          <c:y val="0.12259765625000001"/>
          <c:w val="0.90740810185185183"/>
          <c:h val="0.55332899305555561"/>
        </c:manualLayout>
      </c:layout>
      <c:barChart>
        <c:barDir val="col"/>
        <c:grouping val="stacked"/>
        <c:varyColors val="0"/>
        <c:ser>
          <c:idx val="2"/>
          <c:order val="1"/>
          <c:tx>
            <c:strRef>
              <c:f>'потенцијални BDP'!$D$5</c:f>
              <c:strCache>
                <c:ptCount val="1"/>
                <c:pt idx="0">
                  <c:v>Допринос фактора рада, п.п.</c:v>
                </c:pt>
              </c:strCache>
            </c:strRef>
          </c:tx>
          <c:spPr>
            <a:solidFill>
              <a:srgbClr val="10103C"/>
            </a:solidFill>
            <a:ln>
              <a:noFill/>
            </a:ln>
            <a:effectLst/>
          </c:spPr>
          <c:invertIfNegative val="0"/>
          <c:cat>
            <c:numRef>
              <c:f>'потенцијални BDP'!$B$13:$B$18</c:f>
              <c:numCache>
                <c:formatCode>General</c:formatCode>
                <c:ptCount val="6"/>
                <c:pt idx="0">
                  <c:v>2022</c:v>
                </c:pt>
                <c:pt idx="1">
                  <c:v>2023</c:v>
                </c:pt>
                <c:pt idx="2">
                  <c:v>2024</c:v>
                </c:pt>
                <c:pt idx="3">
                  <c:v>2025</c:v>
                </c:pt>
                <c:pt idx="4">
                  <c:v>2026</c:v>
                </c:pt>
                <c:pt idx="5">
                  <c:v>2027</c:v>
                </c:pt>
              </c:numCache>
            </c:numRef>
          </c:cat>
          <c:val>
            <c:numRef>
              <c:f>'потенцијални BDP'!$D$13:$D$18</c:f>
              <c:numCache>
                <c:formatCode>0.0</c:formatCode>
                <c:ptCount val="6"/>
                <c:pt idx="0">
                  <c:v>0.61429261513581301</c:v>
                </c:pt>
                <c:pt idx="1">
                  <c:v>0.5072571592941344</c:v>
                </c:pt>
                <c:pt idx="2">
                  <c:v>0.46348719158989971</c:v>
                </c:pt>
                <c:pt idx="3">
                  <c:v>0.46073843687543198</c:v>
                </c:pt>
                <c:pt idx="4">
                  <c:v>0.46825645170612384</c:v>
                </c:pt>
                <c:pt idx="5">
                  <c:v>0.42284857370978757</c:v>
                </c:pt>
              </c:numCache>
            </c:numRef>
          </c:val>
          <c:extLst>
            <c:ext xmlns:c16="http://schemas.microsoft.com/office/drawing/2014/chart" uri="{C3380CC4-5D6E-409C-BE32-E72D297353CC}">
              <c16:uniqueId val="{00000000-234C-4501-9681-AAEE53ECEC2E}"/>
            </c:ext>
          </c:extLst>
        </c:ser>
        <c:ser>
          <c:idx val="1"/>
          <c:order val="2"/>
          <c:tx>
            <c:strRef>
              <c:f>'потенцијални BDP'!$E$5</c:f>
              <c:strCache>
                <c:ptCount val="1"/>
                <c:pt idx="0">
                  <c:v>Допринос капитала, п.п.</c:v>
                </c:pt>
              </c:strCache>
            </c:strRef>
          </c:tx>
          <c:spPr>
            <a:solidFill>
              <a:srgbClr val="29489A"/>
            </a:solidFill>
            <a:ln>
              <a:noFill/>
            </a:ln>
            <a:effectLst/>
          </c:spPr>
          <c:invertIfNegative val="0"/>
          <c:cat>
            <c:numRef>
              <c:f>'потенцијални BDP'!$B$13:$B$18</c:f>
              <c:numCache>
                <c:formatCode>General</c:formatCode>
                <c:ptCount val="6"/>
                <c:pt idx="0">
                  <c:v>2022</c:v>
                </c:pt>
                <c:pt idx="1">
                  <c:v>2023</c:v>
                </c:pt>
                <c:pt idx="2">
                  <c:v>2024</c:v>
                </c:pt>
                <c:pt idx="3">
                  <c:v>2025</c:v>
                </c:pt>
                <c:pt idx="4">
                  <c:v>2026</c:v>
                </c:pt>
                <c:pt idx="5">
                  <c:v>2027</c:v>
                </c:pt>
              </c:numCache>
            </c:numRef>
          </c:cat>
          <c:val>
            <c:numRef>
              <c:f>'потенцијални BDP'!$E$13:$E$18</c:f>
              <c:numCache>
                <c:formatCode>0.0</c:formatCode>
                <c:ptCount val="6"/>
                <c:pt idx="0">
                  <c:v>1.5806738233471718</c:v>
                </c:pt>
                <c:pt idx="1">
                  <c:v>1.5560689096127087</c:v>
                </c:pt>
                <c:pt idx="2">
                  <c:v>1.6217704250863194</c:v>
                </c:pt>
                <c:pt idx="3">
                  <c:v>1.7613865548670935</c:v>
                </c:pt>
                <c:pt idx="4">
                  <c:v>1.7973462052742983</c:v>
                </c:pt>
                <c:pt idx="5">
                  <c:v>1.7791712392452061</c:v>
                </c:pt>
              </c:numCache>
            </c:numRef>
          </c:val>
          <c:extLst>
            <c:ext xmlns:c16="http://schemas.microsoft.com/office/drawing/2014/chart" uri="{C3380CC4-5D6E-409C-BE32-E72D297353CC}">
              <c16:uniqueId val="{00000001-234C-4501-9681-AAEE53ECEC2E}"/>
            </c:ext>
          </c:extLst>
        </c:ser>
        <c:ser>
          <c:idx val="3"/>
          <c:order val="3"/>
          <c:tx>
            <c:strRef>
              <c:f>'потенцијални BDP'!$F$5</c:f>
              <c:strCache>
                <c:ptCount val="1"/>
                <c:pt idx="0">
                  <c:v>ТФП, п.п.</c:v>
                </c:pt>
              </c:strCache>
            </c:strRef>
          </c:tx>
          <c:spPr>
            <a:solidFill>
              <a:srgbClr val="51BBE7"/>
            </a:solidFill>
            <a:ln>
              <a:noFill/>
            </a:ln>
            <a:effectLst/>
          </c:spPr>
          <c:invertIfNegative val="0"/>
          <c:cat>
            <c:numRef>
              <c:f>'потенцијални BDP'!$B$13:$B$18</c:f>
              <c:numCache>
                <c:formatCode>General</c:formatCode>
                <c:ptCount val="6"/>
                <c:pt idx="0">
                  <c:v>2022</c:v>
                </c:pt>
                <c:pt idx="1">
                  <c:v>2023</c:v>
                </c:pt>
                <c:pt idx="2">
                  <c:v>2024</c:v>
                </c:pt>
                <c:pt idx="3">
                  <c:v>2025</c:v>
                </c:pt>
                <c:pt idx="4">
                  <c:v>2026</c:v>
                </c:pt>
                <c:pt idx="5">
                  <c:v>2027</c:v>
                </c:pt>
              </c:numCache>
            </c:numRef>
          </c:cat>
          <c:val>
            <c:numRef>
              <c:f>'потенцијални BDP'!$F$13:$F$18</c:f>
              <c:numCache>
                <c:formatCode>0.0</c:formatCode>
                <c:ptCount val="6"/>
                <c:pt idx="0">
                  <c:v>1.3584114379923093</c:v>
                </c:pt>
                <c:pt idx="1">
                  <c:v>1.515816072044476</c:v>
                </c:pt>
                <c:pt idx="2">
                  <c:v>1.6028017814489572</c:v>
                </c:pt>
                <c:pt idx="3">
                  <c:v>1.6032715591042237</c:v>
                </c:pt>
                <c:pt idx="4">
                  <c:v>1.6590595866287228</c:v>
                </c:pt>
                <c:pt idx="5">
                  <c:v>1.773662421881093</c:v>
                </c:pt>
              </c:numCache>
            </c:numRef>
          </c:val>
          <c:extLst>
            <c:ext xmlns:c16="http://schemas.microsoft.com/office/drawing/2014/chart" uri="{C3380CC4-5D6E-409C-BE32-E72D297353CC}">
              <c16:uniqueId val="{00000002-234C-4501-9681-AAEE53ECEC2E}"/>
            </c:ext>
          </c:extLst>
        </c:ser>
        <c:dLbls>
          <c:showLegendKey val="0"/>
          <c:showVal val="0"/>
          <c:showCatName val="0"/>
          <c:showSerName val="0"/>
          <c:showPercent val="0"/>
          <c:showBubbleSize val="0"/>
        </c:dLbls>
        <c:gapWidth val="60"/>
        <c:overlap val="100"/>
        <c:axId val="1961428144"/>
        <c:axId val="1961437392"/>
      </c:barChart>
      <c:lineChart>
        <c:grouping val="standard"/>
        <c:varyColors val="0"/>
        <c:ser>
          <c:idx val="0"/>
          <c:order val="0"/>
          <c:tx>
            <c:strRef>
              <c:f>'потенцијални BDP'!$C$5</c:f>
              <c:strCache>
                <c:ptCount val="1"/>
                <c:pt idx="0">
                  <c:v>Раст потенцијалног БДП, %</c:v>
                </c:pt>
              </c:strCache>
            </c:strRef>
          </c:tx>
          <c:spPr>
            <a:ln w="28575" cap="rnd">
              <a:solidFill>
                <a:srgbClr val="FF0000"/>
              </a:solidFill>
              <a:round/>
            </a:ln>
            <a:effectLst/>
          </c:spPr>
          <c:marker>
            <c:symbol val="none"/>
          </c:marker>
          <c:dLbls>
            <c:dLbl>
              <c:idx val="4"/>
              <c:tx>
                <c:rich>
                  <a:bodyPr/>
                  <a:lstStyle/>
                  <a:p>
                    <a:r>
                      <a:rPr lang="en-US"/>
                      <a:t>4.0</a:t>
                    </a:r>
                  </a:p>
                </c:rich>
              </c:tx>
              <c:dLblPos val="t"/>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5832-476A-895A-09552018A17E}"/>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'потенцијални BDP'!$B$13:$B$18</c:f>
              <c:numCache>
                <c:formatCode>General</c:formatCode>
                <c:ptCount val="6"/>
                <c:pt idx="0">
                  <c:v>2022</c:v>
                </c:pt>
                <c:pt idx="1">
                  <c:v>2023</c:v>
                </c:pt>
                <c:pt idx="2">
                  <c:v>2024</c:v>
                </c:pt>
                <c:pt idx="3">
                  <c:v>2025</c:v>
                </c:pt>
                <c:pt idx="4">
                  <c:v>2026</c:v>
                </c:pt>
                <c:pt idx="5">
                  <c:v>2027</c:v>
                </c:pt>
              </c:numCache>
            </c:numRef>
          </c:cat>
          <c:val>
            <c:numRef>
              <c:f>'потенцијални BDP'!$C$13:$C$18</c:f>
              <c:numCache>
                <c:formatCode>0.0</c:formatCode>
                <c:ptCount val="6"/>
                <c:pt idx="0">
                  <c:v>3.5533778764752944</c:v>
                </c:pt>
                <c:pt idx="1">
                  <c:v>3.5791421409513191</c:v>
                </c:pt>
                <c:pt idx="2">
                  <c:v>3.6880593981251764</c:v>
                </c:pt>
                <c:pt idx="3">
                  <c:v>3.8253965508467491</c:v>
                </c:pt>
                <c:pt idx="4">
                  <c:v>3.9646622436091401</c:v>
                </c:pt>
                <c:pt idx="5">
                  <c:v>3.9756822348360865</c:v>
                </c:pt>
              </c:numCache>
            </c:numRef>
          </c:val>
          <c:smooth val="0"/>
          <c:extLst>
            <c:ext xmlns:c16="http://schemas.microsoft.com/office/drawing/2014/chart" uri="{C3380CC4-5D6E-409C-BE32-E72D297353CC}">
              <c16:uniqueId val="{00000003-234C-4501-9681-AAEE53ECEC2E}"/>
            </c:ext>
          </c:extLst>
        </c:ser>
        <c:dLbls>
          <c:showLegendKey val="0"/>
          <c:showVal val="0"/>
          <c:showCatName val="0"/>
          <c:showSerName val="0"/>
          <c:showPercent val="0"/>
          <c:showBubbleSize val="0"/>
        </c:dLbls>
        <c:marker val="1"/>
        <c:smooth val="0"/>
        <c:axId val="1961428144"/>
        <c:axId val="1961437392"/>
      </c:lineChart>
      <c:catAx>
        <c:axId val="196142814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37392"/>
        <c:crossesAt val="0"/>
        <c:auto val="1"/>
        <c:lblAlgn val="ctr"/>
        <c:lblOffset val="100"/>
        <c:noMultiLvlLbl val="0"/>
      </c:catAx>
      <c:valAx>
        <c:axId val="1961437392"/>
        <c:scaling>
          <c:orientation val="minMax"/>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crossAx val="1961428144"/>
        <c:crosses val="autoZero"/>
        <c:crossBetween val="between"/>
        <c:majorUnit val="1"/>
        <c:minorUnit val="0.2"/>
      </c:valAx>
      <c:spPr>
        <a:noFill/>
        <a:ln>
          <a:noFill/>
        </a:ln>
        <a:effectLst/>
      </c:spPr>
    </c:plotArea>
    <c:legend>
      <c:legendPos val="b"/>
      <c:layout>
        <c:manualLayout>
          <c:xMode val="edge"/>
          <c:yMode val="edge"/>
          <c:x val="1.4346234889652889E-3"/>
          <c:y val="0.79209678819444451"/>
          <c:w val="0.99827437063324831"/>
          <c:h val="0.19444878472222224"/>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sr-Latn-RS"/>
        </a:p>
      </c:txPr>
    </c:legend>
    <c:plotVisOnly val="1"/>
    <c:dispBlanksAs val="gap"/>
    <c:showDLblsOverMax val="0"/>
  </c:chart>
  <c:spPr>
    <a:solidFill>
      <a:sysClr val="window" lastClr="FFFFFF"/>
    </a:solidFill>
    <a:ln w="9525" cap="flat" cmpd="sng" algn="ctr">
      <a:noFill/>
      <a:round/>
    </a:ln>
    <a:effectLst/>
  </c:spPr>
  <c:txPr>
    <a:bodyPr/>
    <a:lstStyle/>
    <a:p>
      <a:pPr>
        <a:defRPr sz="750">
          <a:solidFill>
            <a:schemeClr val="tx2"/>
          </a:solidFill>
          <a:latin typeface="+mn-lt"/>
          <a:cs typeface="Arial" panose="020B0604020202020204" pitchFamily="34" charset="0"/>
        </a:defRPr>
      </a:pPr>
      <a:endParaRPr lang="sr-Latn-RS"/>
    </a:p>
  </c:txPr>
  <c:externalData r:id="rId4">
    <c:autoUpdate val="0"/>
  </c:externalData>
  <c:userShapes r:id="rId5"/>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165682414698163"/>
          <c:y val="6.035665294924554E-2"/>
          <c:w val="0.71252661125692618"/>
          <c:h val="0.70831513409961688"/>
        </c:manualLayout>
      </c:layout>
      <c:barChart>
        <c:barDir val="col"/>
        <c:grouping val="clustered"/>
        <c:varyColors val="0"/>
        <c:ser>
          <c:idx val="1"/>
          <c:order val="1"/>
          <c:tx>
            <c:strRef>
              <c:f>'Trziste rada-br zap croso'!$B$15</c:f>
              <c:strCache>
                <c:ptCount val="1"/>
                <c:pt idx="0">
                  <c:v>Стопа раста, у % (десна скала)</c:v>
                </c:pt>
              </c:strCache>
            </c:strRef>
          </c:tx>
          <c:spPr>
            <a:solidFill>
              <a:srgbClr val="2948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croso'!$C$13:$I$13</c:f>
              <c:strCache>
                <c:ptCount val="7"/>
                <c:pt idx="0">
                  <c:v>2018</c:v>
                </c:pt>
                <c:pt idx="1">
                  <c:v>2019</c:v>
                </c:pt>
                <c:pt idx="2">
                  <c:v>2020</c:v>
                </c:pt>
                <c:pt idx="3">
                  <c:v>2021</c:v>
                </c:pt>
                <c:pt idx="4">
                  <c:v>2022</c:v>
                </c:pt>
                <c:pt idx="5">
                  <c:v>2023</c:v>
                </c:pt>
                <c:pt idx="6">
                  <c:v>I-IV 2024</c:v>
                </c:pt>
              </c:strCache>
            </c:strRef>
          </c:cat>
          <c:val>
            <c:numRef>
              <c:f>'Trziste rada-br zap croso'!$C$15:$I$15</c:f>
              <c:numCache>
                <c:formatCode>#,#00</c:formatCode>
                <c:ptCount val="7"/>
                <c:pt idx="0">
                  <c:v>3.8024992025341504</c:v>
                </c:pt>
                <c:pt idx="1">
                  <c:v>2.3736491221046947</c:v>
                </c:pt>
                <c:pt idx="2">
                  <c:v>2.2763571179288817</c:v>
                </c:pt>
                <c:pt idx="3">
                  <c:v>2.9561962168021836</c:v>
                </c:pt>
                <c:pt idx="4">
                  <c:v>1.8458948204450394</c:v>
                </c:pt>
                <c:pt idx="5">
                  <c:v>2.4</c:v>
                </c:pt>
                <c:pt idx="6">
                  <c:v>0.6</c:v>
                </c:pt>
              </c:numCache>
            </c:numRef>
          </c:val>
          <c:extLst>
            <c:ext xmlns:c16="http://schemas.microsoft.com/office/drawing/2014/chart" uri="{C3380CC4-5D6E-409C-BE32-E72D297353CC}">
              <c16:uniqueId val="{00000000-D364-4CAA-9055-58E0D5DAAA6D}"/>
            </c:ext>
          </c:extLst>
        </c:ser>
        <c:dLbls>
          <c:showLegendKey val="0"/>
          <c:showVal val="0"/>
          <c:showCatName val="0"/>
          <c:showSerName val="0"/>
          <c:showPercent val="0"/>
          <c:showBubbleSize val="0"/>
        </c:dLbls>
        <c:gapWidth val="32"/>
        <c:axId val="1699767695"/>
        <c:axId val="1699779759"/>
      </c:barChart>
      <c:lineChart>
        <c:grouping val="standard"/>
        <c:varyColors val="0"/>
        <c:ser>
          <c:idx val="0"/>
          <c:order val="0"/>
          <c:tx>
            <c:strRef>
              <c:f>'Trziste rada-br zap croso'!$B$14</c:f>
              <c:strCache>
                <c:ptCount val="1"/>
                <c:pt idx="0">
                  <c:v>Просечан број запослених, у хиљ.</c:v>
                </c:pt>
              </c:strCache>
            </c:strRef>
          </c:tx>
          <c:spPr>
            <a:ln w="28575" cap="rnd">
              <a:solidFill>
                <a:srgbClr val="FF0000"/>
              </a:solidFill>
              <a:round/>
            </a:ln>
            <a:effectLst/>
          </c:spPr>
          <c:marker>
            <c:symbol val="circle"/>
            <c:size val="18"/>
            <c:spPr>
              <a:solidFill>
                <a:srgbClr val="FF0000"/>
              </a:solidFill>
              <a:ln w="9525">
                <a:solidFill>
                  <a:srgbClr val="ED1C2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'Trziste rada-br zap croso'!$C$13:$I$13</c:f>
              <c:strCache>
                <c:ptCount val="7"/>
                <c:pt idx="0">
                  <c:v>2018</c:v>
                </c:pt>
                <c:pt idx="1">
                  <c:v>2019</c:v>
                </c:pt>
                <c:pt idx="2">
                  <c:v>2020</c:v>
                </c:pt>
                <c:pt idx="3">
                  <c:v>2021</c:v>
                </c:pt>
                <c:pt idx="4">
                  <c:v>2022</c:v>
                </c:pt>
                <c:pt idx="5">
                  <c:v>2023</c:v>
                </c:pt>
                <c:pt idx="6">
                  <c:v>I-IV 2024</c:v>
                </c:pt>
              </c:strCache>
            </c:strRef>
          </c:cat>
          <c:val>
            <c:numRef>
              <c:f>'Trziste rada-br zap croso'!$C$14:$I$14</c:f>
              <c:numCache>
                <c:formatCode>0</c:formatCode>
                <c:ptCount val="7"/>
                <c:pt idx="0">
                  <c:v>2052.5464166666666</c:v>
                </c:pt>
                <c:pt idx="1">
                  <c:v>2101.2666666666664</c:v>
                </c:pt>
                <c:pt idx="2">
                  <c:v>2149.0990000000002</c:v>
                </c:pt>
                <c:pt idx="3">
                  <c:v>2212.6305833333336</c:v>
                </c:pt>
                <c:pt idx="4">
                  <c:v>2253.4734166666667</c:v>
                </c:pt>
                <c:pt idx="5">
                  <c:v>2306.9553333333333</c:v>
                </c:pt>
                <c:pt idx="6">
                  <c:v>2313.4037499999999</c:v>
                </c:pt>
              </c:numCache>
            </c:numRef>
          </c:val>
          <c:smooth val="0"/>
          <c:extLst>
            <c:ext xmlns:c16="http://schemas.microsoft.com/office/drawing/2014/chart" uri="{C3380CC4-5D6E-409C-BE32-E72D297353CC}">
              <c16:uniqueId val="{00000001-D364-4CAA-9055-58E0D5DAAA6D}"/>
            </c:ext>
          </c:extLst>
        </c:ser>
        <c:dLbls>
          <c:showLegendKey val="0"/>
          <c:showVal val="0"/>
          <c:showCatName val="0"/>
          <c:showSerName val="0"/>
          <c:showPercent val="0"/>
          <c:showBubbleSize val="0"/>
        </c:dLbls>
        <c:marker val="1"/>
        <c:smooth val="0"/>
        <c:axId val="1299337759"/>
        <c:axId val="1299338591"/>
      </c:lineChart>
      <c:catAx>
        <c:axId val="1299337759"/>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8591"/>
        <c:crosses val="autoZero"/>
        <c:auto val="1"/>
        <c:lblAlgn val="ctr"/>
        <c:lblOffset val="100"/>
        <c:noMultiLvlLbl val="0"/>
      </c:catAx>
      <c:valAx>
        <c:axId val="129933859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299337759"/>
        <c:crosses val="autoZero"/>
        <c:crossBetween val="between"/>
      </c:valAx>
      <c:valAx>
        <c:axId val="1699779759"/>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a:t>
                </a:r>
                <a:r>
                  <a:rPr lang="sr-Cyrl-RS" sz="700" baseline="0">
                    <a:solidFill>
                      <a:schemeClr val="tx2"/>
                    </a:solidFill>
                  </a:rPr>
                  <a:t> на и</a:t>
                </a:r>
                <a:r>
                  <a:rPr lang="sr-Cyrl-RS" sz="700">
                    <a:solidFill>
                      <a:schemeClr val="tx2"/>
                    </a:solidFill>
                  </a:rPr>
                  <a:t>сти период претходне године, %</a:t>
                </a:r>
                <a:endParaRPr lang="en-GB" sz="700">
                  <a:solidFill>
                    <a:schemeClr val="tx2"/>
                  </a:solidFill>
                </a:endParaRPr>
              </a:p>
            </c:rich>
          </c:tx>
          <c:layout>
            <c:manualLayout>
              <c:xMode val="edge"/>
              <c:yMode val="edge"/>
              <c:x val="0.90699074074074071"/>
              <c:y val="0.1016364725082481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699767695"/>
        <c:crosses val="max"/>
        <c:crossBetween val="between"/>
      </c:valAx>
      <c:catAx>
        <c:axId val="1699767695"/>
        <c:scaling>
          <c:orientation val="minMax"/>
        </c:scaling>
        <c:delete val="1"/>
        <c:axPos val="b"/>
        <c:numFmt formatCode="General" sourceLinked="1"/>
        <c:majorTickMark val="out"/>
        <c:minorTickMark val="none"/>
        <c:tickLblPos val="nextTo"/>
        <c:crossAx val="1699779759"/>
        <c:crosses val="autoZero"/>
        <c:auto val="1"/>
        <c:lblAlgn val="ctr"/>
        <c:lblOffset val="100"/>
        <c:noMultiLvlLbl val="0"/>
      </c:catAx>
      <c:spPr>
        <a:noFill/>
        <a:ln>
          <a:noFill/>
        </a:ln>
        <a:effectLst/>
      </c:spPr>
    </c:plotArea>
    <c:legend>
      <c:legendPos val="b"/>
      <c:layout>
        <c:manualLayout>
          <c:xMode val="edge"/>
          <c:yMode val="edge"/>
          <c:x val="0"/>
          <c:y val="0.88085296934865898"/>
          <c:w val="0.81666666666666665"/>
          <c:h val="0.119147030651341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179862933799949E-2"/>
          <c:y val="9.8260956915078204E-2"/>
          <c:w val="0.92629337999416761"/>
          <c:h val="0.72096111111111116"/>
        </c:manualLayout>
      </c:layout>
      <c:barChart>
        <c:barDir val="col"/>
        <c:grouping val="clustered"/>
        <c:varyColors val="0"/>
        <c:ser>
          <c:idx val="0"/>
          <c:order val="0"/>
          <c:spPr>
            <a:solidFill>
              <a:srgbClr val="29489A"/>
            </a:solidFill>
            <a:ln>
              <a:noFill/>
            </a:ln>
            <a:effectLst/>
          </c:spPr>
          <c:invertIfNegative val="0"/>
          <c:dLbls>
            <c:dLbl>
              <c:idx val="0"/>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9A2-42EB-B7CC-F32D6B6289EB}"/>
                </c:ext>
              </c:extLst>
            </c:dLbl>
            <c:dLbl>
              <c:idx val="1"/>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9A2-42EB-B7CC-F32D6B6289EB}"/>
                </c:ext>
              </c:extLst>
            </c:dLbl>
            <c:dLbl>
              <c:idx val="2"/>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9A2-42EB-B7CC-F32D6B6289EB}"/>
                </c:ext>
              </c:extLst>
            </c:dLbl>
            <c:dLbl>
              <c:idx val="3"/>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29489A"/>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9A2-42EB-B7CC-F32D6B6289EB}"/>
                </c:ext>
              </c:extLst>
            </c:dLbl>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17"/>
                <c:lvl>
                  <c:pt idx="0">
                    <c:v>I</c:v>
                  </c:pt>
                  <c:pt idx="1">
                    <c:v>II</c:v>
                  </c:pt>
                  <c:pt idx="2">
                    <c:v>III</c:v>
                  </c:pt>
                  <c:pt idx="3">
                    <c:v>IV</c:v>
                  </c:pt>
                  <c:pt idx="4">
                    <c:v>I</c:v>
                  </c:pt>
                  <c:pt idx="5">
                    <c:v> </c:v>
                  </c:pt>
                  <c:pt idx="6">
                    <c:v>I</c:v>
                  </c:pt>
                  <c:pt idx="7">
                    <c:v>II</c:v>
                  </c:pt>
                  <c:pt idx="8">
                    <c:v>III</c:v>
                  </c:pt>
                  <c:pt idx="9">
                    <c:v>IV</c:v>
                  </c:pt>
                  <c:pt idx="10">
                    <c:v>I</c:v>
                  </c:pt>
                  <c:pt idx="11">
                    <c:v> </c:v>
                  </c:pt>
                  <c:pt idx="12">
                    <c:v>I</c:v>
                  </c:pt>
                  <c:pt idx="13">
                    <c:v>II</c:v>
                  </c:pt>
                  <c:pt idx="14">
                    <c:v>III</c:v>
                  </c:pt>
                  <c:pt idx="15">
                    <c:v>IV</c:v>
                  </c:pt>
                  <c:pt idx="16">
                    <c:v>I</c:v>
                  </c:pt>
                </c:lvl>
                <c:lvl>
                  <c:pt idx="0">
                    <c:v>2023</c:v>
                  </c:pt>
                  <c:pt idx="4">
                    <c:v>2024</c:v>
                  </c:pt>
                  <c:pt idx="5">
                    <c:v> </c:v>
                  </c:pt>
                  <c:pt idx="6">
                    <c:v>2023</c:v>
                  </c:pt>
                  <c:pt idx="10">
                    <c:v>2024</c:v>
                  </c:pt>
                  <c:pt idx="11">
                    <c:v> </c:v>
                  </c:pt>
                  <c:pt idx="12">
                    <c:v>2023</c:v>
                  </c:pt>
                  <c:pt idx="16">
                    <c:v>2024</c:v>
                  </c:pt>
                </c:lvl>
              </c:multiLvlStrCache>
            </c:multiLvlStrRef>
          </c:cat>
          <c:val>
            <c:numRef>
              <c:f>'Trziste rada-ARS'!$E$39:$E$64</c:f>
              <c:numCache>
                <c:formatCode>#,#00%</c:formatCode>
                <c:ptCount val="17"/>
                <c:pt idx="0">
                  <c:v>0.1</c:v>
                </c:pt>
                <c:pt idx="1">
                  <c:v>9.6000000000000002E-2</c:v>
                </c:pt>
                <c:pt idx="2">
                  <c:v>0.09</c:v>
                </c:pt>
                <c:pt idx="3">
                  <c:v>9.0999999999999998E-2</c:v>
                </c:pt>
                <c:pt idx="6">
                  <c:v>0.495</c:v>
                </c:pt>
                <c:pt idx="7">
                  <c:v>0.503</c:v>
                </c:pt>
                <c:pt idx="8">
                  <c:v>0.505</c:v>
                </c:pt>
                <c:pt idx="9">
                  <c:v>0.503</c:v>
                </c:pt>
                <c:pt idx="12">
                  <c:v>0.45</c:v>
                </c:pt>
                <c:pt idx="13">
                  <c:v>0.44400000000000001</c:v>
                </c:pt>
                <c:pt idx="14">
                  <c:v>0.44500000000000001</c:v>
                </c:pt>
                <c:pt idx="15">
                  <c:v>0.44700000000000001</c:v>
                </c:pt>
              </c:numCache>
            </c:numRef>
          </c:val>
          <c:extLst>
            <c:ext xmlns:c16="http://schemas.microsoft.com/office/drawing/2014/chart" uri="{C3380CC4-5D6E-409C-BE32-E72D297353CC}">
              <c16:uniqueId val="{00000004-89A2-42EB-B7CC-F32D6B6289EB}"/>
            </c:ext>
          </c:extLst>
        </c:ser>
        <c:dLbls>
          <c:showLegendKey val="0"/>
          <c:showVal val="0"/>
          <c:showCatName val="0"/>
          <c:showSerName val="0"/>
          <c:showPercent val="0"/>
          <c:showBubbleSize val="0"/>
        </c:dLbls>
        <c:gapWidth val="14"/>
        <c:overlap val="-27"/>
        <c:axId val="961497464"/>
        <c:axId val="961498448"/>
      </c:barChart>
      <c:barChart>
        <c:barDir val="col"/>
        <c:grouping val="clustered"/>
        <c:varyColors val="0"/>
        <c:ser>
          <c:idx val="1"/>
          <c:order val="1"/>
          <c:spPr>
            <a:solidFill>
              <a:srgbClr val="FF0000"/>
            </a:solidFill>
            <a:ln>
              <a:noFill/>
            </a:ln>
            <a:effectLst/>
          </c:spPr>
          <c:invertIfNegative val="0"/>
          <c:dLbls>
            <c:dLbl>
              <c:idx val="4"/>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rgbClr val="FF0000"/>
                      </a:solidFill>
                      <a:latin typeface="+mn-lt"/>
                      <a:ea typeface="+mn-ea"/>
                      <a:cs typeface="+mn-cs"/>
                    </a:defRPr>
                  </a:pPr>
                  <a:endParaRPr lang="sr-Latn-RS"/>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9A2-42EB-B7CC-F32D6B6289EB}"/>
                </c:ext>
              </c:extLst>
            </c:dLbl>
            <c:numFmt formatCode="0.0%" sourceLinked="0"/>
            <c:spPr>
              <a:noFill/>
              <a:ln>
                <a:noFill/>
              </a:ln>
              <a:effectLst/>
            </c:spPr>
            <c:txPr>
              <a:bodyPr rot="-5400000" spcFirstLastPara="1" vertOverflow="ellipsis" vert="horz" wrap="square" lIns="38100" tIns="19050" rIns="38100" bIns="19050" anchor="ctr" anchorCtr="1">
                <a:spAutoFit/>
              </a:bodyPr>
              <a:lstStyle/>
              <a:p>
                <a:pPr>
                  <a:defRPr sz="750" b="0" i="0" u="none" strike="noStrike" kern="1200" baseline="0">
                    <a:solidFill>
                      <a:schemeClr val="bg1"/>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'Trziste rada-ARS'!$C$39:$D$64</c:f>
              <c:multiLvlStrCache>
                <c:ptCount val="17"/>
                <c:lvl>
                  <c:pt idx="0">
                    <c:v>I</c:v>
                  </c:pt>
                  <c:pt idx="1">
                    <c:v>II</c:v>
                  </c:pt>
                  <c:pt idx="2">
                    <c:v>III</c:v>
                  </c:pt>
                  <c:pt idx="3">
                    <c:v>IV</c:v>
                  </c:pt>
                  <c:pt idx="4">
                    <c:v>I</c:v>
                  </c:pt>
                  <c:pt idx="5">
                    <c:v> </c:v>
                  </c:pt>
                  <c:pt idx="6">
                    <c:v>I</c:v>
                  </c:pt>
                  <c:pt idx="7">
                    <c:v>II</c:v>
                  </c:pt>
                  <c:pt idx="8">
                    <c:v>III</c:v>
                  </c:pt>
                  <c:pt idx="9">
                    <c:v>IV</c:v>
                  </c:pt>
                  <c:pt idx="10">
                    <c:v>I</c:v>
                  </c:pt>
                  <c:pt idx="11">
                    <c:v> </c:v>
                  </c:pt>
                  <c:pt idx="12">
                    <c:v>I</c:v>
                  </c:pt>
                  <c:pt idx="13">
                    <c:v>II</c:v>
                  </c:pt>
                  <c:pt idx="14">
                    <c:v>III</c:v>
                  </c:pt>
                  <c:pt idx="15">
                    <c:v>IV</c:v>
                  </c:pt>
                  <c:pt idx="16">
                    <c:v>I</c:v>
                  </c:pt>
                </c:lvl>
                <c:lvl>
                  <c:pt idx="0">
                    <c:v>2023</c:v>
                  </c:pt>
                  <c:pt idx="4">
                    <c:v>2024</c:v>
                  </c:pt>
                  <c:pt idx="5">
                    <c:v> </c:v>
                  </c:pt>
                  <c:pt idx="6">
                    <c:v>2023</c:v>
                  </c:pt>
                  <c:pt idx="10">
                    <c:v>2024</c:v>
                  </c:pt>
                  <c:pt idx="11">
                    <c:v> </c:v>
                  </c:pt>
                  <c:pt idx="12">
                    <c:v>2023</c:v>
                  </c:pt>
                  <c:pt idx="16">
                    <c:v>2024</c:v>
                  </c:pt>
                </c:lvl>
              </c:multiLvlStrCache>
            </c:multiLvlStrRef>
          </c:cat>
          <c:val>
            <c:numRef>
              <c:f>'Trziste rada-ARS'!$F$39:$F$64</c:f>
              <c:numCache>
                <c:formatCode>General</c:formatCode>
                <c:ptCount val="17"/>
                <c:pt idx="4" formatCode="#,#00%">
                  <c:v>9.4E-2</c:v>
                </c:pt>
                <c:pt idx="10" formatCode="#,#00%">
                  <c:v>0.50900000000000001</c:v>
                </c:pt>
                <c:pt idx="16" formatCode="#,#00%">
                  <c:v>0.438</c:v>
                </c:pt>
              </c:numCache>
            </c:numRef>
          </c:val>
          <c:extLst>
            <c:ext xmlns:c16="http://schemas.microsoft.com/office/drawing/2014/chart" uri="{C3380CC4-5D6E-409C-BE32-E72D297353CC}">
              <c16:uniqueId val="{00000006-89A2-42EB-B7CC-F32D6B6289EB}"/>
            </c:ext>
          </c:extLst>
        </c:ser>
        <c:dLbls>
          <c:showLegendKey val="0"/>
          <c:showVal val="0"/>
          <c:showCatName val="0"/>
          <c:showSerName val="0"/>
          <c:showPercent val="0"/>
          <c:showBubbleSize val="0"/>
        </c:dLbls>
        <c:gapWidth val="14"/>
        <c:overlap val="-27"/>
        <c:axId val="1025104512"/>
        <c:axId val="1025106808"/>
      </c:barChart>
      <c:lineChart>
        <c:grouping val="standard"/>
        <c:varyColors val="0"/>
        <c:ser>
          <c:idx val="2"/>
          <c:order val="2"/>
          <c:spPr>
            <a:ln w="28575" cap="rnd">
              <a:noFill/>
              <a:round/>
            </a:ln>
            <a:effectLst/>
          </c:spPr>
          <c:marker>
            <c:symbol val="none"/>
          </c:marker>
          <c:dLbls>
            <c:dLbl>
              <c:idx val="0"/>
              <c:tx>
                <c:rich>
                  <a:bodyPr/>
                  <a:lstStyle/>
                  <a:p>
                    <a:fld id="{7E041C6F-ECAF-4D5B-BBF4-DAA565E0915F}"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89A2-42EB-B7CC-F32D6B6289EB}"/>
                </c:ext>
              </c:extLst>
            </c:dLbl>
            <c:dLbl>
              <c:idx val="1"/>
              <c:tx>
                <c:rich>
                  <a:bodyPr/>
                  <a:lstStyle/>
                  <a:p>
                    <a:fld id="{F4A3A211-5E24-48F9-8FD7-B8CE19218D52}"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89A2-42EB-B7CC-F32D6B6289EB}"/>
                </c:ext>
              </c:extLst>
            </c:dLbl>
            <c:dLbl>
              <c:idx val="2"/>
              <c:tx>
                <c:rich>
                  <a:bodyPr/>
                  <a:lstStyle/>
                  <a:p>
                    <a:fld id="{0EA915B9-3B25-4762-A8EE-45D9C0EC34C3}"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89A2-42EB-B7CC-F32D6B6289EB}"/>
                </c:ext>
              </c:extLst>
            </c:dLbl>
            <c:dLbl>
              <c:idx val="3"/>
              <c:tx>
                <c:rich>
                  <a:bodyPr/>
                  <a:lstStyle/>
                  <a:p>
                    <a:fld id="{06AEF57D-8BE4-4570-B623-089FB175C77E}"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89A2-42EB-B7CC-F32D6B6289EB}"/>
                </c:ext>
              </c:extLst>
            </c:dLbl>
            <c:dLbl>
              <c:idx val="4"/>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89A2-42EB-B7CC-F32D6B6289EB}"/>
                </c:ext>
              </c:extLst>
            </c:dLbl>
            <c:dLbl>
              <c:idx val="5"/>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89A2-42EB-B7CC-F32D6B6289EB}"/>
                </c:ext>
              </c:extLst>
            </c:dLbl>
            <c:dLbl>
              <c:idx val="6"/>
              <c:tx>
                <c:rich>
                  <a:bodyPr/>
                  <a:lstStyle/>
                  <a:p>
                    <a:fld id="{27642DDA-6425-4385-B1BB-6836C5F86F42}"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89A2-42EB-B7CC-F32D6B6289EB}"/>
                </c:ext>
              </c:extLst>
            </c:dLbl>
            <c:dLbl>
              <c:idx val="7"/>
              <c:tx>
                <c:rich>
                  <a:bodyPr/>
                  <a:lstStyle/>
                  <a:p>
                    <a:fld id="{C5459637-F919-4CBF-9BB1-8825F9DC8E12}"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89A2-42EB-B7CC-F32D6B6289EB}"/>
                </c:ext>
              </c:extLst>
            </c:dLbl>
            <c:dLbl>
              <c:idx val="8"/>
              <c:tx>
                <c:rich>
                  <a:bodyPr/>
                  <a:lstStyle/>
                  <a:p>
                    <a:fld id="{203F5B33-715C-4A40-A5A6-9C247E1F7175}"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89A2-42EB-B7CC-F32D6B6289EB}"/>
                </c:ext>
              </c:extLst>
            </c:dLbl>
            <c:dLbl>
              <c:idx val="9"/>
              <c:tx>
                <c:rich>
                  <a:bodyPr/>
                  <a:lstStyle/>
                  <a:p>
                    <a:fld id="{E2C02A1E-FE9D-46E6-A1F0-F09C6986345E}"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89A2-42EB-B7CC-F32D6B6289EB}"/>
                </c:ext>
              </c:extLst>
            </c:dLbl>
            <c:dLbl>
              <c:idx val="1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89A2-42EB-B7CC-F32D6B6289EB}"/>
                </c:ext>
              </c:extLst>
            </c:dLbl>
            <c:dLbl>
              <c:idx val="1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89A2-42EB-B7CC-F32D6B6289EB}"/>
                </c:ext>
              </c:extLst>
            </c:dLbl>
            <c:dLbl>
              <c:idx val="12"/>
              <c:tx>
                <c:rich>
                  <a:bodyPr/>
                  <a:lstStyle/>
                  <a:p>
                    <a:fld id="{B17CC5A5-E7E6-4D2D-A357-9AEBA0BD6070}"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89A2-42EB-B7CC-F32D6B6289EB}"/>
                </c:ext>
              </c:extLst>
            </c:dLbl>
            <c:dLbl>
              <c:idx val="13"/>
              <c:tx>
                <c:rich>
                  <a:bodyPr/>
                  <a:lstStyle/>
                  <a:p>
                    <a:fld id="{9A1C5472-1D23-40BB-B31C-AC18F9C1A2F9}"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89A2-42EB-B7CC-F32D6B6289EB}"/>
                </c:ext>
              </c:extLst>
            </c:dLbl>
            <c:dLbl>
              <c:idx val="14"/>
              <c:tx>
                <c:rich>
                  <a:bodyPr/>
                  <a:lstStyle/>
                  <a:p>
                    <a:fld id="{A27E9F38-041F-4EFF-895E-F36EBFFBD736}"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89A2-42EB-B7CC-F32D6B6289EB}"/>
                </c:ext>
              </c:extLst>
            </c:dLbl>
            <c:dLbl>
              <c:idx val="15"/>
              <c:tx>
                <c:rich>
                  <a:bodyPr/>
                  <a:lstStyle/>
                  <a:p>
                    <a:fld id="{B27E6E4D-B1F1-4FD9-82AA-E21F6673B6E3}"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89A2-42EB-B7CC-F32D6B6289EB}"/>
                </c:ext>
              </c:extLst>
            </c:dLbl>
            <c:dLbl>
              <c:idx val="1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7-89A2-42EB-B7CC-F32D6B6289EB}"/>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29489A"/>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7"/>
                <c:lvl>
                  <c:pt idx="0">
                    <c:v>I</c:v>
                  </c:pt>
                  <c:pt idx="1">
                    <c:v>II</c:v>
                  </c:pt>
                  <c:pt idx="2">
                    <c:v>III</c:v>
                  </c:pt>
                  <c:pt idx="3">
                    <c:v>IV</c:v>
                  </c:pt>
                  <c:pt idx="4">
                    <c:v>I</c:v>
                  </c:pt>
                  <c:pt idx="5">
                    <c:v> </c:v>
                  </c:pt>
                  <c:pt idx="6">
                    <c:v>I</c:v>
                  </c:pt>
                  <c:pt idx="7">
                    <c:v>II</c:v>
                  </c:pt>
                  <c:pt idx="8">
                    <c:v>III</c:v>
                  </c:pt>
                  <c:pt idx="9">
                    <c:v>IV</c:v>
                  </c:pt>
                  <c:pt idx="10">
                    <c:v>I</c:v>
                  </c:pt>
                  <c:pt idx="11">
                    <c:v> </c:v>
                  </c:pt>
                  <c:pt idx="12">
                    <c:v>I</c:v>
                  </c:pt>
                  <c:pt idx="13">
                    <c:v>II</c:v>
                  </c:pt>
                  <c:pt idx="14">
                    <c:v>III</c:v>
                  </c:pt>
                  <c:pt idx="15">
                    <c:v>IV</c:v>
                  </c:pt>
                  <c:pt idx="16">
                    <c:v>I</c:v>
                  </c:pt>
                </c:lvl>
                <c:lvl>
                  <c:pt idx="0">
                    <c:v>2023</c:v>
                  </c:pt>
                  <c:pt idx="4">
                    <c:v>2024</c:v>
                  </c:pt>
                  <c:pt idx="5">
                    <c:v> </c:v>
                  </c:pt>
                  <c:pt idx="6">
                    <c:v>2023</c:v>
                  </c:pt>
                  <c:pt idx="10">
                    <c:v>2024</c:v>
                  </c:pt>
                  <c:pt idx="11">
                    <c:v> </c:v>
                  </c:pt>
                  <c:pt idx="12">
                    <c:v>2023</c:v>
                  </c:pt>
                  <c:pt idx="16">
                    <c:v>2024</c:v>
                  </c:pt>
                </c:lvl>
              </c:multiLvlStrCache>
            </c:multiLvlStrRef>
          </c:cat>
          <c:val>
            <c:numRef>
              <c:f>'Trziste rada-ARS'!$G$39:$G$64</c:f>
              <c:numCache>
                <c:formatCode>General</c:formatCode>
                <c:ptCount val="17"/>
                <c:pt idx="0">
                  <c:v>0</c:v>
                </c:pt>
                <c:pt idx="1">
                  <c:v>0</c:v>
                </c:pt>
                <c:pt idx="2">
                  <c:v>0</c:v>
                </c:pt>
                <c:pt idx="3">
                  <c:v>0</c:v>
                </c:pt>
                <c:pt idx="6">
                  <c:v>0</c:v>
                </c:pt>
                <c:pt idx="7">
                  <c:v>0</c:v>
                </c:pt>
                <c:pt idx="8">
                  <c:v>0</c:v>
                </c:pt>
                <c:pt idx="9">
                  <c:v>0</c:v>
                </c:pt>
                <c:pt idx="12">
                  <c:v>0</c:v>
                </c:pt>
                <c:pt idx="13">
                  <c:v>0</c:v>
                </c:pt>
                <c:pt idx="14">
                  <c:v>0</c:v>
                </c:pt>
                <c:pt idx="15">
                  <c:v>0</c:v>
                </c:pt>
              </c:numCache>
            </c:numRef>
          </c:val>
          <c:smooth val="0"/>
          <c:extLst>
            <c:ext xmlns:c15="http://schemas.microsoft.com/office/drawing/2012/chart" uri="{02D57815-91ED-43cb-92C2-25804820EDAC}">
              <c15:datalabelsRange>
                <c15:f>'Trziste rada-ARS'!$K$39:$K$64</c15:f>
                <c15:dlblRangeCache>
                  <c:ptCount val="17"/>
                  <c:pt idx="0">
                    <c:v>I</c:v>
                  </c:pt>
                  <c:pt idx="1">
                    <c:v>II</c:v>
                  </c:pt>
                  <c:pt idx="2">
                    <c:v>III</c:v>
                  </c:pt>
                  <c:pt idx="3">
                    <c:v>IV</c:v>
                  </c:pt>
                  <c:pt idx="5">
                    <c:v> </c:v>
                  </c:pt>
                  <c:pt idx="6">
                    <c:v>I</c:v>
                  </c:pt>
                  <c:pt idx="7">
                    <c:v>II</c:v>
                  </c:pt>
                  <c:pt idx="8">
                    <c:v>III</c:v>
                  </c:pt>
                  <c:pt idx="9">
                    <c:v>IV</c:v>
                  </c:pt>
                  <c:pt idx="11">
                    <c:v> </c:v>
                  </c:pt>
                  <c:pt idx="12">
                    <c:v>I</c:v>
                  </c:pt>
                  <c:pt idx="13">
                    <c:v>II</c:v>
                  </c:pt>
                  <c:pt idx="14">
                    <c:v>III</c:v>
                  </c:pt>
                  <c:pt idx="15">
                    <c:v>IV</c:v>
                  </c:pt>
                </c15:dlblRangeCache>
              </c15:datalabelsRange>
            </c:ext>
            <c:ext xmlns:c16="http://schemas.microsoft.com/office/drawing/2014/chart" uri="{C3380CC4-5D6E-409C-BE32-E72D297353CC}">
              <c16:uniqueId val="{00000018-89A2-42EB-B7CC-F32D6B6289EB}"/>
            </c:ext>
          </c:extLst>
        </c:ser>
        <c:ser>
          <c:idx val="3"/>
          <c:order val="3"/>
          <c:spPr>
            <a:ln w="28575" cap="rnd">
              <a:noFill/>
              <a:round/>
            </a:ln>
            <a:effectLst/>
          </c:spPr>
          <c:marker>
            <c:symbol val="none"/>
          </c:marker>
          <c:dLbls>
            <c:dLbl>
              <c:idx val="0"/>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9-89A2-42EB-B7CC-F32D6B6289EB}"/>
                </c:ext>
              </c:extLst>
            </c:dLbl>
            <c:dLbl>
              <c:idx val="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A-89A2-42EB-B7CC-F32D6B6289EB}"/>
                </c:ext>
              </c:extLst>
            </c:dLbl>
            <c:dLbl>
              <c:idx val="2"/>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89A2-42EB-B7CC-F32D6B6289EB}"/>
                </c:ext>
              </c:extLst>
            </c:dLbl>
            <c:dLbl>
              <c:idx val="3"/>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89A2-42EB-B7CC-F32D6B6289EB}"/>
                </c:ext>
              </c:extLst>
            </c:dLbl>
            <c:dLbl>
              <c:idx val="4"/>
              <c:tx>
                <c:rich>
                  <a:bodyPr/>
                  <a:lstStyle/>
                  <a:p>
                    <a:fld id="{E8D86F12-AD6F-4418-833F-8A01DF7E6B02}"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89A2-42EB-B7CC-F32D6B6289EB}"/>
                </c:ext>
              </c:extLst>
            </c:dLbl>
            <c:dLbl>
              <c:idx val="5"/>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89A2-42EB-B7CC-F32D6B6289EB}"/>
                </c:ext>
              </c:extLst>
            </c:dLbl>
            <c:dLbl>
              <c:idx val="6"/>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F-89A2-42EB-B7CC-F32D6B6289EB}"/>
                </c:ext>
              </c:extLst>
            </c:dLbl>
            <c:dLbl>
              <c:idx val="7"/>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0-89A2-42EB-B7CC-F32D6B6289EB}"/>
                </c:ext>
              </c:extLst>
            </c:dLbl>
            <c:dLbl>
              <c:idx val="8"/>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1-89A2-42EB-B7CC-F32D6B6289EB}"/>
                </c:ext>
              </c:extLst>
            </c:dLbl>
            <c:dLbl>
              <c:idx val="9"/>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2-89A2-42EB-B7CC-F32D6B6289EB}"/>
                </c:ext>
              </c:extLst>
            </c:dLbl>
            <c:dLbl>
              <c:idx val="10"/>
              <c:tx>
                <c:rich>
                  <a:bodyPr/>
                  <a:lstStyle/>
                  <a:p>
                    <a:fld id="{1C30EEFD-ED62-4D1F-BA35-E9B3EACA245F}"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89A2-42EB-B7CC-F32D6B6289EB}"/>
                </c:ext>
              </c:extLst>
            </c:dLbl>
            <c:dLbl>
              <c:idx val="11"/>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4-89A2-42EB-B7CC-F32D6B6289EB}"/>
                </c:ext>
              </c:extLst>
            </c:dLbl>
            <c:dLbl>
              <c:idx val="12"/>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5-89A2-42EB-B7CC-F32D6B6289EB}"/>
                </c:ext>
              </c:extLst>
            </c:dLbl>
            <c:dLbl>
              <c:idx val="13"/>
              <c:tx>
                <c:rich>
                  <a:bodyPr/>
                  <a:lstStyle/>
                  <a:p>
                    <a:endParaRPr lang="en-GB"/>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6-89A2-42EB-B7CC-F32D6B6289EB}"/>
                </c:ext>
              </c:extLst>
            </c:dLbl>
            <c:dLbl>
              <c:idx val="14"/>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7-89A2-42EB-B7CC-F32D6B6289EB}"/>
                </c:ext>
              </c:extLst>
            </c:dLbl>
            <c:dLbl>
              <c:idx val="15"/>
              <c:tx>
                <c:rich>
                  <a:bodyPr/>
                  <a:lstStyle/>
                  <a:p>
                    <a:endParaRPr lang="en-US"/>
                  </a:p>
                </c:rich>
              </c:tx>
              <c:dLblPos val="b"/>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8-89A2-42EB-B7CC-F32D6B6289EB}"/>
                </c:ext>
              </c:extLst>
            </c:dLbl>
            <c:dLbl>
              <c:idx val="16"/>
              <c:tx>
                <c:rich>
                  <a:bodyPr/>
                  <a:lstStyle/>
                  <a:p>
                    <a:fld id="{55976C32-4135-4872-BFC2-E8AF60421675}" type="CELLRANGE">
                      <a:rPr lang="sr-Latn-RS"/>
                      <a:pPr/>
                      <a:t>[CELLRANGE]</a:t>
                    </a:fld>
                    <a:endParaRPr lang="sr-Latn-RS"/>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89A2-42EB-B7CC-F32D6B6289EB}"/>
                </c:ext>
              </c:extLst>
            </c:dLbl>
            <c:spPr>
              <a:noFill/>
              <a:ln>
                <a:noFill/>
              </a:ln>
              <a:effectLst/>
            </c:spPr>
            <c:txPr>
              <a:bodyPr rot="0" spcFirstLastPara="1" vertOverflow="ellipsis" vert="horz" wrap="square" lIns="38100" tIns="0" rIns="38100" bIns="0" anchor="t" anchorCtr="0">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7"/>
                <c:lvl>
                  <c:pt idx="0">
                    <c:v>I</c:v>
                  </c:pt>
                  <c:pt idx="1">
                    <c:v>II</c:v>
                  </c:pt>
                  <c:pt idx="2">
                    <c:v>III</c:v>
                  </c:pt>
                  <c:pt idx="3">
                    <c:v>IV</c:v>
                  </c:pt>
                  <c:pt idx="4">
                    <c:v>I</c:v>
                  </c:pt>
                  <c:pt idx="5">
                    <c:v> </c:v>
                  </c:pt>
                  <c:pt idx="6">
                    <c:v>I</c:v>
                  </c:pt>
                  <c:pt idx="7">
                    <c:v>II</c:v>
                  </c:pt>
                  <c:pt idx="8">
                    <c:v>III</c:v>
                  </c:pt>
                  <c:pt idx="9">
                    <c:v>IV</c:v>
                  </c:pt>
                  <c:pt idx="10">
                    <c:v>I</c:v>
                  </c:pt>
                  <c:pt idx="11">
                    <c:v> </c:v>
                  </c:pt>
                  <c:pt idx="12">
                    <c:v>I</c:v>
                  </c:pt>
                  <c:pt idx="13">
                    <c:v>II</c:v>
                  </c:pt>
                  <c:pt idx="14">
                    <c:v>III</c:v>
                  </c:pt>
                  <c:pt idx="15">
                    <c:v>IV</c:v>
                  </c:pt>
                  <c:pt idx="16">
                    <c:v>I</c:v>
                  </c:pt>
                </c:lvl>
                <c:lvl>
                  <c:pt idx="0">
                    <c:v>2023</c:v>
                  </c:pt>
                  <c:pt idx="4">
                    <c:v>2024</c:v>
                  </c:pt>
                  <c:pt idx="5">
                    <c:v> </c:v>
                  </c:pt>
                  <c:pt idx="6">
                    <c:v>2023</c:v>
                  </c:pt>
                  <c:pt idx="10">
                    <c:v>2024</c:v>
                  </c:pt>
                  <c:pt idx="11">
                    <c:v> </c:v>
                  </c:pt>
                  <c:pt idx="12">
                    <c:v>2023</c:v>
                  </c:pt>
                  <c:pt idx="16">
                    <c:v>2024</c:v>
                  </c:pt>
                </c:lvl>
              </c:multiLvlStrCache>
            </c:multiLvlStrRef>
          </c:cat>
          <c:val>
            <c:numRef>
              <c:f>'Trziste rada-ARS'!$H$39:$H$64</c:f>
              <c:numCache>
                <c:formatCode>General</c:formatCode>
                <c:ptCount val="17"/>
                <c:pt idx="4">
                  <c:v>0</c:v>
                </c:pt>
                <c:pt idx="10">
                  <c:v>0</c:v>
                </c:pt>
                <c:pt idx="16">
                  <c:v>0</c:v>
                </c:pt>
              </c:numCache>
            </c:numRef>
          </c:val>
          <c:smooth val="0"/>
          <c:extLst>
            <c:ext xmlns:c15="http://schemas.microsoft.com/office/drawing/2012/chart" uri="{02D57815-91ED-43cb-92C2-25804820EDAC}">
              <c15:datalabelsRange>
                <c15:f>'Trziste rada-ARS'!$L$39:$L$64</c15:f>
                <c15:dlblRangeCache>
                  <c:ptCount val="17"/>
                  <c:pt idx="4">
                    <c:v>I</c:v>
                  </c:pt>
                  <c:pt idx="10">
                    <c:v>I</c:v>
                  </c:pt>
                  <c:pt idx="16">
                    <c:v>I</c:v>
                  </c:pt>
                </c15:dlblRangeCache>
              </c15:datalabelsRange>
            </c:ext>
            <c:ext xmlns:c16="http://schemas.microsoft.com/office/drawing/2014/chart" uri="{C3380CC4-5D6E-409C-BE32-E72D297353CC}">
              <c16:uniqueId val="{0000002A-89A2-42EB-B7CC-F32D6B6289EB}"/>
            </c:ext>
          </c:extLst>
        </c:ser>
        <c:ser>
          <c:idx val="4"/>
          <c:order val="4"/>
          <c:spPr>
            <a:ln w="28575" cap="rnd">
              <a:noFill/>
              <a:round/>
            </a:ln>
            <a:effectLst/>
          </c:spPr>
          <c:marker>
            <c:symbol val="none"/>
          </c:marker>
          <c:dLbls>
            <c:dLbl>
              <c:idx val="0"/>
              <c:layout>
                <c:manualLayout>
                  <c:x val="2.5083843686205995E-3"/>
                  <c:y val="0.13676670797237148"/>
                </c:manualLayout>
              </c:layout>
              <c:tx>
                <c:rich>
                  <a:bodyPr/>
                  <a:lstStyle/>
                  <a:p>
                    <a:fld id="{79FD7A76-FF0F-4655-9277-3EA6B2A377E9}"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89A2-42EB-B7CC-F32D6B6289EB}"/>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C-89A2-42EB-B7CC-F32D6B6289EB}"/>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D-89A2-42EB-B7CC-F32D6B6289EB}"/>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E-89A2-42EB-B7CC-F32D6B6289EB}"/>
                </c:ext>
              </c:extLst>
            </c:dLbl>
            <c:dLbl>
              <c:idx val="4"/>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2F-89A2-42EB-B7CC-F32D6B6289EB}"/>
                </c:ext>
              </c:extLst>
            </c:dLbl>
            <c:dLbl>
              <c:idx val="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0-89A2-42EB-B7CC-F32D6B6289EB}"/>
                </c:ext>
              </c:extLst>
            </c:dLbl>
            <c:dLbl>
              <c:idx val="6"/>
              <c:layout>
                <c:manualLayout>
                  <c:x val="9.6274424030329542E-3"/>
                  <c:y val="0.13676670797237148"/>
                </c:manualLayout>
              </c:layout>
              <c:tx>
                <c:rich>
                  <a:bodyPr/>
                  <a:lstStyle/>
                  <a:p>
                    <a:fld id="{6478CAFC-072F-4C95-B02E-D35AA43DF3D9}"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1-89A2-42EB-B7CC-F32D6B6289EB}"/>
                </c:ext>
              </c:extLst>
            </c:dLbl>
            <c:dLbl>
              <c:idx val="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2-89A2-42EB-B7CC-F32D6B6289EB}"/>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3-89A2-42EB-B7CC-F32D6B6289EB}"/>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4-89A2-42EB-B7CC-F32D6B6289EB}"/>
                </c:ext>
              </c:extLst>
            </c:dLbl>
            <c:dLbl>
              <c:idx val="1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5-89A2-42EB-B7CC-F32D6B6289EB}"/>
                </c:ext>
              </c:extLst>
            </c:dLbl>
            <c:dLbl>
              <c:idx val="1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6-89A2-42EB-B7CC-F32D6B6289EB}"/>
                </c:ext>
              </c:extLst>
            </c:dLbl>
            <c:dLbl>
              <c:idx val="12"/>
              <c:layout>
                <c:manualLayout>
                  <c:x val="7.5444736074657334E-3"/>
                  <c:y val="0.13676670797237148"/>
                </c:manualLayout>
              </c:layout>
              <c:tx>
                <c:rich>
                  <a:bodyPr/>
                  <a:lstStyle/>
                  <a:p>
                    <a:fld id="{751E393C-326D-4B7B-8AEE-7A264129D5A6}"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37-89A2-42EB-B7CC-F32D6B6289EB}"/>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8-89A2-42EB-B7CC-F32D6B6289EB}"/>
                </c:ext>
              </c:extLst>
            </c:dLbl>
            <c:dLbl>
              <c:idx val="1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9-89A2-42EB-B7CC-F32D6B6289EB}"/>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A-89A2-42EB-B7CC-F32D6B6289EB}"/>
                </c:ext>
              </c:extLst>
            </c:dLbl>
            <c:dLbl>
              <c:idx val="1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B-89A2-42EB-B7CC-F32D6B6289EB}"/>
                </c:ext>
              </c:extLst>
            </c:dLbl>
            <c:spPr>
              <a:noFill/>
              <a:ln>
                <a:noFill/>
              </a:ln>
              <a:effectLst/>
            </c:spPr>
            <c:txPr>
              <a:bodyPr rot="0" spcFirstLastPara="1" vertOverflow="ellipsis" vert="horz" wrap="none" lIns="38100" tIns="19050" rIns="38100" bIns="19050" anchor="ctr" anchorCtr="1">
                <a:spAutoFit/>
              </a:bodyPr>
              <a:lstStyle/>
              <a:p>
                <a:pPr>
                  <a:defRPr sz="759" b="1" i="0" u="none" strike="noStrike" kern="1200" baseline="0">
                    <a:solidFill>
                      <a:srgbClr val="29489A"/>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7"/>
                <c:lvl>
                  <c:pt idx="0">
                    <c:v>I</c:v>
                  </c:pt>
                  <c:pt idx="1">
                    <c:v>II</c:v>
                  </c:pt>
                  <c:pt idx="2">
                    <c:v>III</c:v>
                  </c:pt>
                  <c:pt idx="3">
                    <c:v>IV</c:v>
                  </c:pt>
                  <c:pt idx="4">
                    <c:v>I</c:v>
                  </c:pt>
                  <c:pt idx="5">
                    <c:v> </c:v>
                  </c:pt>
                  <c:pt idx="6">
                    <c:v>I</c:v>
                  </c:pt>
                  <c:pt idx="7">
                    <c:v>II</c:v>
                  </c:pt>
                  <c:pt idx="8">
                    <c:v>III</c:v>
                  </c:pt>
                  <c:pt idx="9">
                    <c:v>IV</c:v>
                  </c:pt>
                  <c:pt idx="10">
                    <c:v>I</c:v>
                  </c:pt>
                  <c:pt idx="11">
                    <c:v> </c:v>
                  </c:pt>
                  <c:pt idx="12">
                    <c:v>I</c:v>
                  </c:pt>
                  <c:pt idx="13">
                    <c:v>II</c:v>
                  </c:pt>
                  <c:pt idx="14">
                    <c:v>III</c:v>
                  </c:pt>
                  <c:pt idx="15">
                    <c:v>IV</c:v>
                  </c:pt>
                  <c:pt idx="16">
                    <c:v>I</c:v>
                  </c:pt>
                </c:lvl>
                <c:lvl>
                  <c:pt idx="0">
                    <c:v>2023</c:v>
                  </c:pt>
                  <c:pt idx="4">
                    <c:v>2024</c:v>
                  </c:pt>
                  <c:pt idx="5">
                    <c:v> </c:v>
                  </c:pt>
                  <c:pt idx="6">
                    <c:v>2023</c:v>
                  </c:pt>
                  <c:pt idx="10">
                    <c:v>2024</c:v>
                  </c:pt>
                  <c:pt idx="11">
                    <c:v> </c:v>
                  </c:pt>
                  <c:pt idx="12">
                    <c:v>2023</c:v>
                  </c:pt>
                  <c:pt idx="16">
                    <c:v>2024</c:v>
                  </c:pt>
                </c:lvl>
              </c:multiLvlStrCache>
            </c:multiLvlStrRef>
          </c:cat>
          <c:val>
            <c:numRef>
              <c:f>'Trziste rada-ARS'!$I$39:$I$64</c:f>
              <c:numCache>
                <c:formatCode>General</c:formatCode>
                <c:ptCount val="17"/>
                <c:pt idx="0">
                  <c:v>0</c:v>
                </c:pt>
                <c:pt idx="6">
                  <c:v>0</c:v>
                </c:pt>
                <c:pt idx="12">
                  <c:v>0</c:v>
                </c:pt>
              </c:numCache>
            </c:numRef>
          </c:val>
          <c:smooth val="0"/>
          <c:extLst>
            <c:ext xmlns:c15="http://schemas.microsoft.com/office/drawing/2012/chart" uri="{02D57815-91ED-43cb-92C2-25804820EDAC}">
              <c15:datalabelsRange>
                <c15:f>'Trziste rada-ARS'!$M$39:$M$64</c15:f>
                <c15:dlblRangeCache>
                  <c:ptCount val="17"/>
                  <c:pt idx="0">
                    <c:v>2023</c:v>
                  </c:pt>
                  <c:pt idx="6">
                    <c:v>2023</c:v>
                  </c:pt>
                  <c:pt idx="12">
                    <c:v>2023</c:v>
                  </c:pt>
                </c15:dlblRangeCache>
              </c15:datalabelsRange>
            </c:ext>
            <c:ext xmlns:c16="http://schemas.microsoft.com/office/drawing/2014/chart" uri="{C3380CC4-5D6E-409C-BE32-E72D297353CC}">
              <c16:uniqueId val="{0000003C-89A2-42EB-B7CC-F32D6B6289EB}"/>
            </c:ext>
          </c:extLst>
        </c:ser>
        <c:ser>
          <c:idx val="5"/>
          <c:order val="5"/>
          <c:spPr>
            <a:ln w="28575" cap="rnd">
              <a:solidFill>
                <a:schemeClr val="accent6"/>
              </a:solidFill>
              <a:round/>
            </a:ln>
            <a:effectLst/>
          </c:spPr>
          <c:marker>
            <c:symbol val="none"/>
          </c:marker>
          <c:dLbls>
            <c:dLbl>
              <c:idx val="0"/>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D-89A2-42EB-B7CC-F32D6B6289EB}"/>
                </c:ext>
              </c:extLst>
            </c:dLbl>
            <c:dLbl>
              <c:idx val="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E-89A2-42EB-B7CC-F32D6B6289EB}"/>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3F-89A2-42EB-B7CC-F32D6B6289EB}"/>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0-89A2-42EB-B7CC-F32D6B6289EB}"/>
                </c:ext>
              </c:extLst>
            </c:dLbl>
            <c:dLbl>
              <c:idx val="4"/>
              <c:layout>
                <c:manualLayout>
                  <c:x val="-7.1595217264508598E-2"/>
                  <c:y val="0.13716124228296445"/>
                </c:manualLayout>
              </c:layout>
              <c:tx>
                <c:rich>
                  <a:bodyPr/>
                  <a:lstStyle/>
                  <a:p>
                    <a:fld id="{C89FCCE3-78A7-4AA4-B4DF-3936F1CDACC2}" type="CELLRANGE">
                      <a:rPr lang="en-US"/>
                      <a:pPr/>
                      <a:t>[CELLRANGE]</a:t>
                    </a:fld>
                    <a:endParaRPr lang="sr-Latn-RS"/>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1-89A2-42EB-B7CC-F32D6B6289EB}"/>
                </c:ext>
              </c:extLst>
            </c:dLbl>
            <c:dLbl>
              <c:idx val="5"/>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2-89A2-42EB-B7CC-F32D6B6289EB}"/>
                </c:ext>
              </c:extLst>
            </c:dLbl>
            <c:dLbl>
              <c:idx val="6"/>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3-89A2-42EB-B7CC-F32D6B6289EB}"/>
                </c:ext>
              </c:extLst>
            </c:dLbl>
            <c:dLbl>
              <c:idx val="7"/>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4-89A2-42EB-B7CC-F32D6B6289EB}"/>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5-89A2-42EB-B7CC-F32D6B6289EB}"/>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6-89A2-42EB-B7CC-F32D6B6289EB}"/>
                </c:ext>
              </c:extLst>
            </c:dLbl>
            <c:dLbl>
              <c:idx val="10"/>
              <c:layout>
                <c:manualLayout>
                  <c:x val="-7.3708078156897061E-2"/>
                  <c:y val="0.13716124228296445"/>
                </c:manualLayout>
              </c:layout>
              <c:tx>
                <c:rich>
                  <a:bodyPr/>
                  <a:lstStyle/>
                  <a:p>
                    <a:fld id="{0A9F82B8-8BEF-4A38-9F75-C7EA8BC0C5F9}"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7-89A2-42EB-B7CC-F32D6B6289EB}"/>
                </c:ext>
              </c:extLst>
            </c:dLbl>
            <c:dLbl>
              <c:idx val="11"/>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8-89A2-42EB-B7CC-F32D6B6289EB}"/>
                </c:ext>
              </c:extLst>
            </c:dLbl>
            <c:dLbl>
              <c:idx val="12"/>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9-89A2-42EB-B7CC-F32D6B6289EB}"/>
                </c:ext>
              </c:extLst>
            </c:dLbl>
            <c:dLbl>
              <c:idx val="13"/>
              <c:tx>
                <c:rich>
                  <a:bodyPr/>
                  <a:lstStyle/>
                  <a:p>
                    <a:endParaRPr lang="en-GB"/>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A-89A2-42EB-B7CC-F32D6B6289EB}"/>
                </c:ext>
              </c:extLst>
            </c:dLbl>
            <c:dLbl>
              <c:idx val="1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B-89A2-42EB-B7CC-F32D6B6289EB}"/>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4C-89A2-42EB-B7CC-F32D6B6289EB}"/>
                </c:ext>
              </c:extLst>
            </c:dLbl>
            <c:dLbl>
              <c:idx val="16"/>
              <c:layout>
                <c:manualLayout>
                  <c:x val="-1.3509769612131817E-2"/>
                  <c:y val="0.13716124228296445"/>
                </c:manualLayout>
              </c:layout>
              <c:tx>
                <c:rich>
                  <a:bodyPr/>
                  <a:lstStyle/>
                  <a:p>
                    <a:fld id="{A283A2D3-0480-452E-B2FD-C5E628B64640}"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4D-89A2-42EB-B7CC-F32D6B6289EB}"/>
                </c:ext>
              </c:extLst>
            </c:dLbl>
            <c:spPr>
              <a:noFill/>
              <a:ln>
                <a:noFill/>
              </a:ln>
              <a:effectLst/>
            </c:spPr>
            <c:txPr>
              <a:bodyPr rot="0" spcFirstLastPara="1" vertOverflow="ellipsis" vert="horz" wrap="non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0"/>
              </c:ext>
            </c:extLst>
          </c:dLbls>
          <c:cat>
            <c:multiLvlStrRef>
              <c:f>'Trziste rada-ARS'!$C$39:$D$64</c:f>
              <c:multiLvlStrCache>
                <c:ptCount val="17"/>
                <c:lvl>
                  <c:pt idx="0">
                    <c:v>I</c:v>
                  </c:pt>
                  <c:pt idx="1">
                    <c:v>II</c:v>
                  </c:pt>
                  <c:pt idx="2">
                    <c:v>III</c:v>
                  </c:pt>
                  <c:pt idx="3">
                    <c:v>IV</c:v>
                  </c:pt>
                  <c:pt idx="4">
                    <c:v>I</c:v>
                  </c:pt>
                  <c:pt idx="5">
                    <c:v> </c:v>
                  </c:pt>
                  <c:pt idx="6">
                    <c:v>I</c:v>
                  </c:pt>
                  <c:pt idx="7">
                    <c:v>II</c:v>
                  </c:pt>
                  <c:pt idx="8">
                    <c:v>III</c:v>
                  </c:pt>
                  <c:pt idx="9">
                    <c:v>IV</c:v>
                  </c:pt>
                  <c:pt idx="10">
                    <c:v>I</c:v>
                  </c:pt>
                  <c:pt idx="11">
                    <c:v> </c:v>
                  </c:pt>
                  <c:pt idx="12">
                    <c:v>I</c:v>
                  </c:pt>
                  <c:pt idx="13">
                    <c:v>II</c:v>
                  </c:pt>
                  <c:pt idx="14">
                    <c:v>III</c:v>
                  </c:pt>
                  <c:pt idx="15">
                    <c:v>IV</c:v>
                  </c:pt>
                  <c:pt idx="16">
                    <c:v>I</c:v>
                  </c:pt>
                </c:lvl>
                <c:lvl>
                  <c:pt idx="0">
                    <c:v>2023</c:v>
                  </c:pt>
                  <c:pt idx="4">
                    <c:v>2024</c:v>
                  </c:pt>
                  <c:pt idx="5">
                    <c:v> </c:v>
                  </c:pt>
                  <c:pt idx="6">
                    <c:v>2023</c:v>
                  </c:pt>
                  <c:pt idx="10">
                    <c:v>2024</c:v>
                  </c:pt>
                  <c:pt idx="11">
                    <c:v> </c:v>
                  </c:pt>
                  <c:pt idx="12">
                    <c:v>2023</c:v>
                  </c:pt>
                  <c:pt idx="16">
                    <c:v>2024</c:v>
                  </c:pt>
                </c:lvl>
              </c:multiLvlStrCache>
            </c:multiLvlStrRef>
          </c:cat>
          <c:val>
            <c:numRef>
              <c:f>'Trziste rada-ARS'!$J$39:$J$64</c:f>
              <c:numCache>
                <c:formatCode>General</c:formatCode>
                <c:ptCount val="17"/>
                <c:pt idx="4">
                  <c:v>0</c:v>
                </c:pt>
                <c:pt idx="10">
                  <c:v>0</c:v>
                </c:pt>
                <c:pt idx="16">
                  <c:v>0</c:v>
                </c:pt>
              </c:numCache>
            </c:numRef>
          </c:val>
          <c:smooth val="0"/>
          <c:extLst>
            <c:ext xmlns:c15="http://schemas.microsoft.com/office/drawing/2012/chart" uri="{02D57815-91ED-43cb-92C2-25804820EDAC}">
              <c15:datalabelsRange>
                <c15:f>'Trziste rada-ARS'!$N$39:$N$64</c15:f>
                <c15:dlblRangeCache>
                  <c:ptCount val="17"/>
                  <c:pt idx="4">
                    <c:v>2024</c:v>
                  </c:pt>
                  <c:pt idx="10">
                    <c:v>2024</c:v>
                  </c:pt>
                  <c:pt idx="16">
                    <c:v>2024</c:v>
                  </c:pt>
                </c15:dlblRangeCache>
              </c15:datalabelsRange>
            </c:ext>
            <c:ext xmlns:c16="http://schemas.microsoft.com/office/drawing/2014/chart" uri="{C3380CC4-5D6E-409C-BE32-E72D297353CC}">
              <c16:uniqueId val="{0000004E-89A2-42EB-B7CC-F32D6B6289EB}"/>
            </c:ext>
          </c:extLst>
        </c:ser>
        <c:dLbls>
          <c:showLegendKey val="0"/>
          <c:showVal val="0"/>
          <c:showCatName val="0"/>
          <c:showSerName val="0"/>
          <c:showPercent val="0"/>
          <c:showBubbleSize val="0"/>
        </c:dLbls>
        <c:marker val="1"/>
        <c:smooth val="0"/>
        <c:axId val="961497464"/>
        <c:axId val="961498448"/>
      </c:lineChart>
      <c:catAx>
        <c:axId val="961497464"/>
        <c:scaling>
          <c:orientation val="minMax"/>
        </c:scaling>
        <c:delete val="0"/>
        <c:axPos val="b"/>
        <c:numFmt formatCode="General" sourceLinked="1"/>
        <c:majorTickMark val="none"/>
        <c:minorTickMark val="none"/>
        <c:tickLblPos val="none"/>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61498448"/>
        <c:crosses val="autoZero"/>
        <c:auto val="1"/>
        <c:lblAlgn val="ctr"/>
        <c:lblOffset val="100"/>
        <c:noMultiLvlLbl val="0"/>
      </c:catAx>
      <c:valAx>
        <c:axId val="961498448"/>
        <c:scaling>
          <c:orientation val="minMax"/>
        </c:scaling>
        <c:delete val="0"/>
        <c:axPos val="l"/>
        <c:numFmt formatCode="0%" sourceLinked="0"/>
        <c:majorTickMark val="none"/>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961497464"/>
        <c:crosses val="autoZero"/>
        <c:crossBetween val="between"/>
      </c:valAx>
      <c:valAx>
        <c:axId val="1025106808"/>
        <c:scaling>
          <c:orientation val="minMax"/>
        </c:scaling>
        <c:delete val="0"/>
        <c:axPos val="r"/>
        <c:numFmt formatCode="0%" sourceLinked="0"/>
        <c:majorTickMark val="out"/>
        <c:minorTickMark val="none"/>
        <c:tickLblPos val="none"/>
        <c:spPr>
          <a:noFill/>
          <a:ln>
            <a:noFill/>
          </a:ln>
          <a:effectLst/>
        </c:spPr>
        <c:txPr>
          <a:bodyPr rot="-60000000" spcFirstLastPara="1" vertOverflow="ellipsis" vert="horz" wrap="square" anchor="ctr" anchorCtr="1"/>
          <a:lstStyle/>
          <a:p>
            <a:pPr>
              <a:defRPr sz="750" b="0" i="0" u="none" strike="noStrike" kern="1200" baseline="0">
                <a:solidFill>
                  <a:schemeClr val="tx1">
                    <a:lumMod val="65000"/>
                    <a:lumOff val="35000"/>
                  </a:schemeClr>
                </a:solidFill>
                <a:latin typeface="+mn-lt"/>
                <a:ea typeface="+mn-ea"/>
                <a:cs typeface="+mn-cs"/>
              </a:defRPr>
            </a:pPr>
            <a:endParaRPr lang="sr-Latn-RS"/>
          </a:p>
        </c:txPr>
        <c:crossAx val="1025104512"/>
        <c:crosses val="max"/>
        <c:crossBetween val="between"/>
      </c:valAx>
      <c:catAx>
        <c:axId val="1025104512"/>
        <c:scaling>
          <c:orientation val="minMax"/>
        </c:scaling>
        <c:delete val="1"/>
        <c:axPos val="b"/>
        <c:numFmt formatCode="General" sourceLinked="1"/>
        <c:majorTickMark val="out"/>
        <c:minorTickMark val="none"/>
        <c:tickLblPos val="nextTo"/>
        <c:crossAx val="1025106808"/>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sr-Latn-RS"/>
    </a:p>
  </c:txPr>
  <c:externalData r:id="rId2">
    <c:autoUpdate val="0"/>
  </c:externalData>
  <c:userShapes r:id="rId3"/>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700459317585304"/>
          <c:y val="6.4675925925925928E-2"/>
          <c:w val="0.66217155147273266"/>
          <c:h val="0.66223309478603765"/>
        </c:manualLayout>
      </c:layout>
      <c:barChart>
        <c:barDir val="col"/>
        <c:grouping val="clustered"/>
        <c:varyColors val="0"/>
        <c:ser>
          <c:idx val="0"/>
          <c:order val="0"/>
          <c:tx>
            <c:strRef>
              <c:f>Inflacija!$U$182</c:f>
              <c:strCache>
                <c:ptCount val="1"/>
                <c:pt idx="0">
                  <c:v>Месечна инфлација</c:v>
                </c:pt>
              </c:strCache>
            </c:strRef>
          </c:tx>
          <c:spPr>
            <a:solidFill>
              <a:srgbClr val="29489A"/>
            </a:solidFill>
            <a:ln>
              <a:noFill/>
            </a:ln>
            <a:effectLst/>
          </c:spPr>
          <c:invertIfNegative val="0"/>
          <c:cat>
            <c:multiLvlStrRef>
              <c:f>Inflacija!$R$183:$S$199</c:f>
              <c:multiLvlStrCache>
                <c:ptCount val="17"/>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lvl>
                <c:lvl>
                  <c:pt idx="0">
                    <c:v>2023</c:v>
                  </c:pt>
                  <c:pt idx="12">
                    <c:v>2024</c:v>
                  </c:pt>
                </c:lvl>
              </c:multiLvlStrCache>
            </c:multiLvlStrRef>
          </c:cat>
          <c:val>
            <c:numRef>
              <c:f>Inflacija!$U$183:$U$199</c:f>
              <c:numCache>
                <c:formatCode>#,#00</c:formatCode>
                <c:ptCount val="17"/>
                <c:pt idx="0">
                  <c:v>1.4</c:v>
                </c:pt>
                <c:pt idx="1">
                  <c:v>1.4</c:v>
                </c:pt>
                <c:pt idx="2">
                  <c:v>0.9</c:v>
                </c:pt>
                <c:pt idx="3">
                  <c:v>0.7</c:v>
                </c:pt>
                <c:pt idx="4">
                  <c:v>0.9</c:v>
                </c:pt>
                <c:pt idx="5">
                  <c:v>0.7</c:v>
                </c:pt>
                <c:pt idx="6">
                  <c:v>-0.1</c:v>
                </c:pt>
                <c:pt idx="7">
                  <c:v>0.4</c:v>
                </c:pt>
                <c:pt idx="8">
                  <c:v>0.29999999999999716</c:v>
                </c:pt>
                <c:pt idx="9">
                  <c:v>0.29999999999999716</c:v>
                </c:pt>
                <c:pt idx="10">
                  <c:v>0.5</c:v>
                </c:pt>
                <c:pt idx="11">
                  <c:v>9.9999999999994316E-2</c:v>
                </c:pt>
                <c:pt idx="12">
                  <c:v>0.29999999999999716</c:v>
                </c:pt>
                <c:pt idx="13">
                  <c:v>0.59999999999999432</c:v>
                </c:pt>
                <c:pt idx="14">
                  <c:v>0.29999999999999716</c:v>
                </c:pt>
                <c:pt idx="15">
                  <c:v>0.70000000000000284</c:v>
                </c:pt>
                <c:pt idx="16">
                  <c:v>0.4</c:v>
                </c:pt>
              </c:numCache>
            </c:numRef>
          </c:val>
          <c:extLst>
            <c:ext xmlns:c16="http://schemas.microsoft.com/office/drawing/2014/chart" uri="{C3380CC4-5D6E-409C-BE32-E72D297353CC}">
              <c16:uniqueId val="{00000000-349B-4D37-B9E1-D5FEECA57EF9}"/>
            </c:ext>
          </c:extLst>
        </c:ser>
        <c:dLbls>
          <c:showLegendKey val="0"/>
          <c:showVal val="0"/>
          <c:showCatName val="0"/>
          <c:showSerName val="0"/>
          <c:showPercent val="0"/>
          <c:showBubbleSize val="0"/>
        </c:dLbls>
        <c:gapWidth val="59"/>
        <c:axId val="807687135"/>
        <c:axId val="807693375"/>
      </c:barChart>
      <c:lineChart>
        <c:grouping val="standard"/>
        <c:varyColors val="0"/>
        <c:ser>
          <c:idx val="1"/>
          <c:order val="1"/>
          <c:tx>
            <c:strRef>
              <c:f>Inflacija!$V$182</c:f>
              <c:strCache>
                <c:ptCount val="1"/>
                <c:pt idx="0">
                  <c:v>Међугодишња инфлација (десна скала)</c:v>
                </c:pt>
              </c:strCache>
            </c:strRef>
          </c:tx>
          <c:spPr>
            <a:ln w="22225" cap="rnd">
              <a:solidFill>
                <a:srgbClr val="FF0000"/>
              </a:solidFill>
              <a:round/>
            </a:ln>
            <a:effectLst/>
          </c:spPr>
          <c:marker>
            <c:symbol val="none"/>
          </c:marker>
          <c:cat>
            <c:multiLvlStrRef>
              <c:f>Inflacija!$R$183:$S$199</c:f>
              <c:multiLvlStrCache>
                <c:ptCount val="17"/>
                <c:lvl>
                  <c:pt idx="0">
                    <c:v>I</c:v>
                  </c:pt>
                  <c:pt idx="1">
                    <c:v>II</c:v>
                  </c:pt>
                  <c:pt idx="2">
                    <c:v>III</c:v>
                  </c:pt>
                  <c:pt idx="3">
                    <c:v>IV</c:v>
                  </c:pt>
                  <c:pt idx="4">
                    <c:v>V</c:v>
                  </c:pt>
                  <c:pt idx="5">
                    <c:v>VI</c:v>
                  </c:pt>
                  <c:pt idx="6">
                    <c:v>VII</c:v>
                  </c:pt>
                  <c:pt idx="7">
                    <c:v>VIII</c:v>
                  </c:pt>
                  <c:pt idx="8">
                    <c:v>IX</c:v>
                  </c:pt>
                  <c:pt idx="9">
                    <c:v>X</c:v>
                  </c:pt>
                  <c:pt idx="10">
                    <c:v>XI</c:v>
                  </c:pt>
                  <c:pt idx="11">
                    <c:v>XII</c:v>
                  </c:pt>
                  <c:pt idx="12">
                    <c:v>I</c:v>
                  </c:pt>
                  <c:pt idx="13">
                    <c:v>II</c:v>
                  </c:pt>
                  <c:pt idx="14">
                    <c:v>III</c:v>
                  </c:pt>
                  <c:pt idx="15">
                    <c:v>IV</c:v>
                  </c:pt>
                  <c:pt idx="16">
                    <c:v>V</c:v>
                  </c:pt>
                </c:lvl>
                <c:lvl>
                  <c:pt idx="0">
                    <c:v>2023</c:v>
                  </c:pt>
                  <c:pt idx="12">
                    <c:v>2024</c:v>
                  </c:pt>
                </c:lvl>
              </c:multiLvlStrCache>
            </c:multiLvlStrRef>
          </c:cat>
          <c:val>
            <c:numRef>
              <c:f>Inflacija!$V$183:$V$199</c:f>
              <c:numCache>
                <c:formatCode>#,#00</c:formatCode>
                <c:ptCount val="17"/>
                <c:pt idx="0">
                  <c:v>15.8</c:v>
                </c:pt>
                <c:pt idx="1">
                  <c:v>16.100000000000001</c:v>
                </c:pt>
                <c:pt idx="2">
                  <c:v>16.2</c:v>
                </c:pt>
                <c:pt idx="3">
                  <c:v>15.1</c:v>
                </c:pt>
                <c:pt idx="4">
                  <c:v>14.8</c:v>
                </c:pt>
                <c:pt idx="5">
                  <c:v>13.7</c:v>
                </c:pt>
                <c:pt idx="6">
                  <c:v>12.5</c:v>
                </c:pt>
                <c:pt idx="7">
                  <c:v>11.5</c:v>
                </c:pt>
                <c:pt idx="8">
                  <c:v>10.200000000000003</c:v>
                </c:pt>
                <c:pt idx="9">
                  <c:v>8.5</c:v>
                </c:pt>
                <c:pt idx="10">
                  <c:v>8</c:v>
                </c:pt>
                <c:pt idx="11">
                  <c:v>7.5999999999999943</c:v>
                </c:pt>
                <c:pt idx="12">
                  <c:v>6.4000000000000057</c:v>
                </c:pt>
                <c:pt idx="13">
                  <c:v>5.5999999999999943</c:v>
                </c:pt>
                <c:pt idx="14">
                  <c:v>5</c:v>
                </c:pt>
                <c:pt idx="15">
                  <c:v>5</c:v>
                </c:pt>
                <c:pt idx="16">
                  <c:v>4.5</c:v>
                </c:pt>
              </c:numCache>
            </c:numRef>
          </c:val>
          <c:smooth val="0"/>
          <c:extLst>
            <c:ext xmlns:c16="http://schemas.microsoft.com/office/drawing/2014/chart" uri="{C3380CC4-5D6E-409C-BE32-E72D297353CC}">
              <c16:uniqueId val="{00000001-349B-4D37-B9E1-D5FEECA57EF9}"/>
            </c:ext>
          </c:extLst>
        </c:ser>
        <c:dLbls>
          <c:showLegendKey val="0"/>
          <c:showVal val="0"/>
          <c:showCatName val="0"/>
          <c:showSerName val="0"/>
          <c:showPercent val="0"/>
          <c:showBubbleSize val="0"/>
        </c:dLbls>
        <c:marker val="1"/>
        <c:smooth val="0"/>
        <c:axId val="1141220367"/>
        <c:axId val="1141215375"/>
      </c:lineChart>
      <c:catAx>
        <c:axId val="807687135"/>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0" spcFirstLastPara="1" vertOverflow="ellipsis" wrap="square" anchor="t" anchorCtr="0"/>
          <a:lstStyle/>
          <a:p>
            <a:pPr>
              <a:defRPr sz="700" b="0" i="0" u="none" strike="noStrike" kern="1200" baseline="0">
                <a:solidFill>
                  <a:schemeClr val="tx2"/>
                </a:solidFill>
                <a:latin typeface="+mn-lt"/>
                <a:ea typeface="+mn-ea"/>
                <a:cs typeface="+mn-cs"/>
              </a:defRPr>
            </a:pPr>
            <a:endParaRPr lang="sr-Latn-RS"/>
          </a:p>
        </c:txPr>
        <c:crossAx val="807693375"/>
        <c:crosses val="autoZero"/>
        <c:auto val="1"/>
        <c:lblAlgn val="ctr"/>
        <c:lblOffset val="100"/>
        <c:noMultiLvlLbl val="1"/>
      </c:catAx>
      <c:valAx>
        <c:axId val="807693375"/>
        <c:scaling>
          <c:orientation val="minMax"/>
        </c:scaling>
        <c:delete val="0"/>
        <c:axPos val="l"/>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претходни месец, %</a:t>
                </a:r>
              </a:p>
            </c:rich>
          </c:tx>
          <c:layout>
            <c:manualLayout>
              <c:xMode val="edge"/>
              <c:yMode val="edge"/>
              <c:x val="2.9932560513269174E-2"/>
              <c:y val="9.9343869731800764E-3"/>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807687135"/>
        <c:crosses val="autoZero"/>
        <c:crossBetween val="between"/>
      </c:valAx>
      <c:valAx>
        <c:axId val="1141215375"/>
        <c:scaling>
          <c:orientation val="minMax"/>
        </c:scaling>
        <c:delete val="0"/>
        <c:axPos val="r"/>
        <c:title>
          <c:tx>
            <c:rich>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r>
                  <a:rPr lang="sr-Cyrl-RS" sz="700">
                    <a:solidFill>
                      <a:schemeClr val="tx2"/>
                    </a:solidFill>
                  </a:rPr>
                  <a:t>Промена у односу на исти месец претходне године, %</a:t>
                </a:r>
              </a:p>
            </c:rich>
          </c:tx>
          <c:layout>
            <c:manualLayout>
              <c:xMode val="edge"/>
              <c:yMode val="edge"/>
              <c:x val="0.90699074074074071"/>
              <c:y val="6.4024425287356301E-2"/>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2"/>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141220367"/>
        <c:crosses val="max"/>
        <c:crossBetween val="between"/>
      </c:valAx>
      <c:catAx>
        <c:axId val="1141220367"/>
        <c:scaling>
          <c:orientation val="minMax"/>
        </c:scaling>
        <c:delete val="1"/>
        <c:axPos val="b"/>
        <c:numFmt formatCode="General" sourceLinked="1"/>
        <c:majorTickMark val="out"/>
        <c:minorTickMark val="none"/>
        <c:tickLblPos val="nextTo"/>
        <c:crossAx val="1141215375"/>
        <c:crosses val="autoZero"/>
        <c:auto val="1"/>
        <c:lblAlgn val="ctr"/>
        <c:lblOffset val="100"/>
        <c:noMultiLvlLbl val="0"/>
      </c:catAx>
      <c:spPr>
        <a:noFill/>
        <a:ln>
          <a:noFill/>
        </a:ln>
        <a:effectLst/>
      </c:spPr>
    </c:plotArea>
    <c:legend>
      <c:legendPos val="b"/>
      <c:layout>
        <c:manualLayout>
          <c:xMode val="edge"/>
          <c:yMode val="edge"/>
          <c:x val="0.10446741032370954"/>
          <c:y val="0.87872129629629614"/>
          <c:w val="0.77717592592592588"/>
          <c:h val="0.1095194444444444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468321668124818"/>
          <c:y val="3.9230096237970254E-2"/>
          <c:w val="0.86814268008165651"/>
          <c:h val="0.6289622222222222"/>
        </c:manualLayout>
      </c:layout>
      <c:lineChart>
        <c:grouping val="standard"/>
        <c:varyColors val="0"/>
        <c:ser>
          <c:idx val="0"/>
          <c:order val="0"/>
          <c:tx>
            <c:strRef>
              <c:f>Inflacija!$U$3</c:f>
              <c:strCache>
                <c:ptCount val="1"/>
                <c:pt idx="0">
                  <c:v>Референтна каматна стопа</c:v>
                </c:pt>
              </c:strCache>
            </c:strRef>
          </c:tx>
          <c:spPr>
            <a:ln w="22225" cap="rnd">
              <a:solidFill>
                <a:srgbClr val="51BBE7"/>
              </a:solidFill>
              <a:round/>
            </a:ln>
            <a:effectLst/>
          </c:spPr>
          <c:marker>
            <c:symbol val="none"/>
          </c:marker>
          <c:cat>
            <c:numRef>
              <c:f>Inflacija!$Q$40:$Q$176</c:f>
              <c:numCache>
                <c:formatCode>yyyy</c:formatCode>
                <c:ptCount val="137"/>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numCache>
            </c:numRef>
          </c:cat>
          <c:val>
            <c:numRef>
              <c:f>Inflacija!$U$40:$U$176</c:f>
              <c:numCache>
                <c:formatCode>0.00</c:formatCode>
                <c:ptCount val="137"/>
                <c:pt idx="0">
                  <c:v>11.5</c:v>
                </c:pt>
                <c:pt idx="1">
                  <c:v>11.75</c:v>
                </c:pt>
                <c:pt idx="2">
                  <c:v>11.75</c:v>
                </c:pt>
                <c:pt idx="3">
                  <c:v>11.75</c:v>
                </c:pt>
                <c:pt idx="4">
                  <c:v>11.25</c:v>
                </c:pt>
                <c:pt idx="5">
                  <c:v>11</c:v>
                </c:pt>
                <c:pt idx="6">
                  <c:v>11</c:v>
                </c:pt>
                <c:pt idx="7">
                  <c:v>11</c:v>
                </c:pt>
                <c:pt idx="8">
                  <c:v>11</c:v>
                </c:pt>
                <c:pt idx="9">
                  <c:v>10.5</c:v>
                </c:pt>
                <c:pt idx="10">
                  <c:v>10</c:v>
                </c:pt>
                <c:pt idx="11">
                  <c:v>9.5</c:v>
                </c:pt>
                <c:pt idx="12">
                  <c:v>9.5</c:v>
                </c:pt>
                <c:pt idx="13">
                  <c:v>9.5</c:v>
                </c:pt>
                <c:pt idx="14">
                  <c:v>9.5</c:v>
                </c:pt>
                <c:pt idx="15">
                  <c:v>9.5</c:v>
                </c:pt>
                <c:pt idx="16">
                  <c:v>9</c:v>
                </c:pt>
                <c:pt idx="17">
                  <c:v>8.5</c:v>
                </c:pt>
                <c:pt idx="18">
                  <c:v>8.5</c:v>
                </c:pt>
                <c:pt idx="19">
                  <c:v>8.5</c:v>
                </c:pt>
                <c:pt idx="20">
                  <c:v>8.5</c:v>
                </c:pt>
                <c:pt idx="21">
                  <c:v>8.5</c:v>
                </c:pt>
                <c:pt idx="22">
                  <c:v>8</c:v>
                </c:pt>
                <c:pt idx="23">
                  <c:v>8</c:v>
                </c:pt>
                <c:pt idx="24">
                  <c:v>8</c:v>
                </c:pt>
                <c:pt idx="25">
                  <c:v>8</c:v>
                </c:pt>
                <c:pt idx="26">
                  <c:v>7.5</c:v>
                </c:pt>
                <c:pt idx="27">
                  <c:v>7</c:v>
                </c:pt>
                <c:pt idx="28">
                  <c:v>6.5</c:v>
                </c:pt>
                <c:pt idx="29">
                  <c:v>6</c:v>
                </c:pt>
                <c:pt idx="30">
                  <c:v>6</c:v>
                </c:pt>
                <c:pt idx="31">
                  <c:v>5.5</c:v>
                </c:pt>
                <c:pt idx="32">
                  <c:v>5</c:v>
                </c:pt>
                <c:pt idx="33">
                  <c:v>4.5</c:v>
                </c:pt>
                <c:pt idx="34">
                  <c:v>4.5</c:v>
                </c:pt>
                <c:pt idx="35">
                  <c:v>4.5</c:v>
                </c:pt>
                <c:pt idx="36">
                  <c:v>4.5</c:v>
                </c:pt>
                <c:pt idx="37">
                  <c:v>4.25</c:v>
                </c:pt>
                <c:pt idx="38">
                  <c:v>4.25</c:v>
                </c:pt>
                <c:pt idx="39">
                  <c:v>4.25</c:v>
                </c:pt>
                <c:pt idx="40">
                  <c:v>4.25</c:v>
                </c:pt>
                <c:pt idx="41">
                  <c:v>4.25</c:v>
                </c:pt>
                <c:pt idx="42">
                  <c:v>4</c:v>
                </c:pt>
                <c:pt idx="43">
                  <c:v>4</c:v>
                </c:pt>
                <c:pt idx="44">
                  <c:v>4</c:v>
                </c:pt>
                <c:pt idx="45">
                  <c:v>4</c:v>
                </c:pt>
                <c:pt idx="46">
                  <c:v>4</c:v>
                </c:pt>
                <c:pt idx="47">
                  <c:v>4</c:v>
                </c:pt>
                <c:pt idx="48">
                  <c:v>4</c:v>
                </c:pt>
                <c:pt idx="49">
                  <c:v>4</c:v>
                </c:pt>
                <c:pt idx="50">
                  <c:v>4</c:v>
                </c:pt>
                <c:pt idx="51">
                  <c:v>4</c:v>
                </c:pt>
                <c:pt idx="52">
                  <c:v>4</c:v>
                </c:pt>
                <c:pt idx="53">
                  <c:v>4</c:v>
                </c:pt>
                <c:pt idx="54">
                  <c:v>4</c:v>
                </c:pt>
                <c:pt idx="55">
                  <c:v>4</c:v>
                </c:pt>
                <c:pt idx="56">
                  <c:v>3.75</c:v>
                </c:pt>
                <c:pt idx="57">
                  <c:v>3.5</c:v>
                </c:pt>
                <c:pt idx="58">
                  <c:v>3.5</c:v>
                </c:pt>
                <c:pt idx="59">
                  <c:v>3.5</c:v>
                </c:pt>
                <c:pt idx="60">
                  <c:v>3.5</c:v>
                </c:pt>
                <c:pt idx="61">
                  <c:v>3.5</c:v>
                </c:pt>
                <c:pt idx="62">
                  <c:v>3.25</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2.75</c:v>
                </c:pt>
                <c:pt idx="79">
                  <c:v>2.5</c:v>
                </c:pt>
                <c:pt idx="80">
                  <c:v>2.5</c:v>
                </c:pt>
                <c:pt idx="81">
                  <c:v>2.5</c:v>
                </c:pt>
                <c:pt idx="82">
                  <c:v>2.25</c:v>
                </c:pt>
                <c:pt idx="83">
                  <c:v>2.25</c:v>
                </c:pt>
                <c:pt idx="84">
                  <c:v>2.25</c:v>
                </c:pt>
                <c:pt idx="85">
                  <c:v>2.25</c:v>
                </c:pt>
                <c:pt idx="86">
                  <c:v>1.75</c:v>
                </c:pt>
                <c:pt idx="87">
                  <c:v>1.5</c:v>
                </c:pt>
                <c:pt idx="88">
                  <c:v>1.5</c:v>
                </c:pt>
                <c:pt idx="89">
                  <c:v>1.25</c:v>
                </c:pt>
                <c:pt idx="90">
                  <c:v>1.25</c:v>
                </c:pt>
                <c:pt idx="91">
                  <c:v>1.25</c:v>
                </c:pt>
                <c:pt idx="92">
                  <c:v>1.25</c:v>
                </c:pt>
                <c:pt idx="93" formatCode="General">
                  <c:v>1.25</c:v>
                </c:pt>
                <c:pt idx="94" formatCode="General">
                  <c:v>1.25</c:v>
                </c:pt>
                <c:pt idx="95">
                  <c:v>1</c:v>
                </c:pt>
                <c:pt idx="96">
                  <c:v>1</c:v>
                </c:pt>
                <c:pt idx="97">
                  <c:v>1</c:v>
                </c:pt>
                <c:pt idx="98">
                  <c:v>1</c:v>
                </c:pt>
                <c:pt idx="99">
                  <c:v>1</c:v>
                </c:pt>
                <c:pt idx="100">
                  <c:v>1</c:v>
                </c:pt>
                <c:pt idx="101">
                  <c:v>1</c:v>
                </c:pt>
                <c:pt idx="102">
                  <c:v>1</c:v>
                </c:pt>
                <c:pt idx="103">
                  <c:v>1</c:v>
                </c:pt>
                <c:pt idx="104">
                  <c:v>1</c:v>
                </c:pt>
                <c:pt idx="105">
                  <c:v>1</c:v>
                </c:pt>
                <c:pt idx="106">
                  <c:v>1</c:v>
                </c:pt>
                <c:pt idx="107">
                  <c:v>1</c:v>
                </c:pt>
                <c:pt idx="108">
                  <c:v>1</c:v>
                </c:pt>
                <c:pt idx="109">
                  <c:v>1</c:v>
                </c:pt>
                <c:pt idx="110">
                  <c:v>1</c:v>
                </c:pt>
                <c:pt idx="111">
                  <c:v>1.5</c:v>
                </c:pt>
                <c:pt idx="112">
                  <c:v>2</c:v>
                </c:pt>
                <c:pt idx="113">
                  <c:v>2.5</c:v>
                </c:pt>
                <c:pt idx="114">
                  <c:v>2.75</c:v>
                </c:pt>
                <c:pt idx="115">
                  <c:v>3</c:v>
                </c:pt>
                <c:pt idx="116">
                  <c:v>3.5</c:v>
                </c:pt>
                <c:pt idx="117">
                  <c:v>4</c:v>
                </c:pt>
                <c:pt idx="118">
                  <c:v>4.5</c:v>
                </c:pt>
                <c:pt idx="119">
                  <c:v>5</c:v>
                </c:pt>
                <c:pt idx="120">
                  <c:v>5.25</c:v>
                </c:pt>
                <c:pt idx="121">
                  <c:v>5.5</c:v>
                </c:pt>
                <c:pt idx="122">
                  <c:v>5.75</c:v>
                </c:pt>
                <c:pt idx="123">
                  <c:v>6</c:v>
                </c:pt>
                <c:pt idx="124">
                  <c:v>6</c:v>
                </c:pt>
                <c:pt idx="125" formatCode="General">
                  <c:v>6.25</c:v>
                </c:pt>
                <c:pt idx="126">
                  <c:v>6.5</c:v>
                </c:pt>
                <c:pt idx="127">
                  <c:v>6.5</c:v>
                </c:pt>
                <c:pt idx="128">
                  <c:v>6.5</c:v>
                </c:pt>
                <c:pt idx="129">
                  <c:v>6.5</c:v>
                </c:pt>
                <c:pt idx="130">
                  <c:v>6.5</c:v>
                </c:pt>
                <c:pt idx="131">
                  <c:v>6.5</c:v>
                </c:pt>
                <c:pt idx="132">
                  <c:v>6.5</c:v>
                </c:pt>
                <c:pt idx="133">
                  <c:v>6.5</c:v>
                </c:pt>
                <c:pt idx="134">
                  <c:v>6.5</c:v>
                </c:pt>
                <c:pt idx="135">
                  <c:v>6.5</c:v>
                </c:pt>
                <c:pt idx="136">
                  <c:v>6.5</c:v>
                </c:pt>
              </c:numCache>
            </c:numRef>
          </c:val>
          <c:smooth val="0"/>
          <c:extLst>
            <c:ext xmlns:c16="http://schemas.microsoft.com/office/drawing/2014/chart" uri="{C3380CC4-5D6E-409C-BE32-E72D297353CC}">
              <c16:uniqueId val="{00000000-A70B-45FE-83B9-9C33CAFEDB6A}"/>
            </c:ext>
          </c:extLst>
        </c:ser>
        <c:ser>
          <c:idx val="1"/>
          <c:order val="1"/>
          <c:tx>
            <c:strRef>
              <c:f>Inflacija!$V$3</c:f>
              <c:strCache>
                <c:ptCount val="1"/>
                <c:pt idx="0">
                  <c:v>Потрошачке цене</c:v>
                </c:pt>
              </c:strCache>
            </c:strRef>
          </c:tx>
          <c:spPr>
            <a:ln w="22225" cap="rnd">
              <a:solidFill>
                <a:srgbClr val="7F3F98"/>
              </a:solidFill>
              <a:round/>
            </a:ln>
            <a:effectLst/>
          </c:spPr>
          <c:marker>
            <c:symbol val="none"/>
          </c:marker>
          <c:cat>
            <c:numRef>
              <c:f>Inflacija!$Q$40:$Q$176</c:f>
              <c:numCache>
                <c:formatCode>yyyy</c:formatCode>
                <c:ptCount val="137"/>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numCache>
            </c:numRef>
          </c:cat>
          <c:val>
            <c:numRef>
              <c:f>Inflacija!$V$40:$V$176</c:f>
              <c:numCache>
                <c:formatCode>#,#00</c:formatCode>
                <c:ptCount val="137"/>
                <c:pt idx="0">
                  <c:v>12.753293315144077</c:v>
                </c:pt>
                <c:pt idx="1">
                  <c:v>12.412739988820135</c:v>
                </c:pt>
                <c:pt idx="2">
                  <c:v>11.175774206136737</c:v>
                </c:pt>
                <c:pt idx="3">
                  <c:v>11.4</c:v>
                </c:pt>
                <c:pt idx="4">
                  <c:v>9.9</c:v>
                </c:pt>
                <c:pt idx="5">
                  <c:v>9.8000000000000007</c:v>
                </c:pt>
                <c:pt idx="6">
                  <c:v>8.6</c:v>
                </c:pt>
                <c:pt idx="7" formatCode="General">
                  <c:v>7.3</c:v>
                </c:pt>
                <c:pt idx="8">
                  <c:v>4.8545411542100254</c:v>
                </c:pt>
                <c:pt idx="9">
                  <c:v>2.1686608375517835</c:v>
                </c:pt>
                <c:pt idx="10">
                  <c:v>1.5706806282722425</c:v>
                </c:pt>
                <c:pt idx="11">
                  <c:v>2.2241478913922492</c:v>
                </c:pt>
                <c:pt idx="12" formatCode="General">
                  <c:v>3.1</c:v>
                </c:pt>
                <c:pt idx="13" formatCode="General">
                  <c:v>2.6</c:v>
                </c:pt>
                <c:pt idx="14" formatCode="General">
                  <c:v>2.2999999999999998</c:v>
                </c:pt>
                <c:pt idx="15" formatCode="General">
                  <c:v>2.1</c:v>
                </c:pt>
                <c:pt idx="16">
                  <c:v>2.1</c:v>
                </c:pt>
                <c:pt idx="17" formatCode="General">
                  <c:v>1.3</c:v>
                </c:pt>
                <c:pt idx="18" formatCode="General">
                  <c:v>2.1</c:v>
                </c:pt>
                <c:pt idx="19" formatCode="General">
                  <c:v>1.5</c:v>
                </c:pt>
                <c:pt idx="20" formatCode="General">
                  <c:v>2.1</c:v>
                </c:pt>
                <c:pt idx="21" formatCode="General">
                  <c:v>1.8</c:v>
                </c:pt>
                <c:pt idx="22" formatCode="General">
                  <c:v>2.4</c:v>
                </c:pt>
                <c:pt idx="23" formatCode="General">
                  <c:v>1.7</c:v>
                </c:pt>
                <c:pt idx="24" formatCode="General">
                  <c:v>0.1</c:v>
                </c:pt>
                <c:pt idx="25" formatCode="General">
                  <c:v>0.8</c:v>
                </c:pt>
                <c:pt idx="26" formatCode="General">
                  <c:v>1.9</c:v>
                </c:pt>
                <c:pt idx="27" formatCode="General">
                  <c:v>1.8</c:v>
                </c:pt>
                <c:pt idx="28">
                  <c:v>1.5</c:v>
                </c:pt>
                <c:pt idx="29">
                  <c:v>1.9</c:v>
                </c:pt>
                <c:pt idx="30">
                  <c:v>1</c:v>
                </c:pt>
                <c:pt idx="31" formatCode="General">
                  <c:v>2.1</c:v>
                </c:pt>
                <c:pt idx="32" formatCode="General">
                  <c:v>1.4</c:v>
                </c:pt>
                <c:pt idx="33" formatCode="General">
                  <c:v>1.4</c:v>
                </c:pt>
                <c:pt idx="34" formatCode="General">
                  <c:v>1.3</c:v>
                </c:pt>
                <c:pt idx="35" formatCode="General">
                  <c:v>1.5</c:v>
                </c:pt>
                <c:pt idx="36" formatCode="General">
                  <c:v>2.4</c:v>
                </c:pt>
                <c:pt idx="37" formatCode="General">
                  <c:v>1.5</c:v>
                </c:pt>
                <c:pt idx="38" formatCode="General">
                  <c:v>0.6</c:v>
                </c:pt>
                <c:pt idx="39" formatCode="General">
                  <c:v>0.4</c:v>
                </c:pt>
                <c:pt idx="40">
                  <c:v>0.7</c:v>
                </c:pt>
                <c:pt idx="41">
                  <c:v>0.3</c:v>
                </c:pt>
                <c:pt idx="42">
                  <c:v>1.2</c:v>
                </c:pt>
                <c:pt idx="43" formatCode="General">
                  <c:v>1.2</c:v>
                </c:pt>
                <c:pt idx="44" formatCode="General">
                  <c:v>0.6</c:v>
                </c:pt>
                <c:pt idx="45" formatCode="General">
                  <c:v>1.5</c:v>
                </c:pt>
                <c:pt idx="46" formatCode="General">
                  <c:v>1.5</c:v>
                </c:pt>
                <c:pt idx="47" formatCode="General">
                  <c:v>1.6</c:v>
                </c:pt>
                <c:pt idx="48" formatCode="General">
                  <c:v>2.4</c:v>
                </c:pt>
                <c:pt idx="49" formatCode="General">
                  <c:v>3.2</c:v>
                </c:pt>
                <c:pt idx="50" formatCode="General">
                  <c:v>3.6</c:v>
                </c:pt>
                <c:pt idx="51">
                  <c:v>4</c:v>
                </c:pt>
                <c:pt idx="52">
                  <c:v>3.5</c:v>
                </c:pt>
                <c:pt idx="53">
                  <c:v>3.6</c:v>
                </c:pt>
                <c:pt idx="54">
                  <c:v>3.2</c:v>
                </c:pt>
                <c:pt idx="55" formatCode="General">
                  <c:v>2.5</c:v>
                </c:pt>
                <c:pt idx="56" formatCode="General">
                  <c:v>3.2</c:v>
                </c:pt>
                <c:pt idx="57" formatCode="General">
                  <c:v>2.8</c:v>
                </c:pt>
                <c:pt idx="58" formatCode="General">
                  <c:v>2.8</c:v>
                </c:pt>
                <c:pt idx="59">
                  <c:v>3</c:v>
                </c:pt>
                <c:pt idx="60">
                  <c:v>1.9</c:v>
                </c:pt>
                <c:pt idx="61" formatCode="General">
                  <c:v>1.5</c:v>
                </c:pt>
                <c:pt idx="62" formatCode="General">
                  <c:v>1.4</c:v>
                </c:pt>
                <c:pt idx="63">
                  <c:v>1.1000000000000001</c:v>
                </c:pt>
                <c:pt idx="64" formatCode="General">
                  <c:v>2.1</c:v>
                </c:pt>
                <c:pt idx="65" formatCode="General">
                  <c:v>2.2999999999999998</c:v>
                </c:pt>
                <c:pt idx="66" formatCode="General">
                  <c:v>2.4</c:v>
                </c:pt>
                <c:pt idx="67" formatCode="General">
                  <c:v>2.6</c:v>
                </c:pt>
                <c:pt idx="68" formatCode="General">
                  <c:v>2.1</c:v>
                </c:pt>
                <c:pt idx="69" formatCode="General">
                  <c:v>2.2000000000000002</c:v>
                </c:pt>
                <c:pt idx="70" formatCode="General">
                  <c:v>1.9</c:v>
                </c:pt>
                <c:pt idx="71">
                  <c:v>2</c:v>
                </c:pt>
                <c:pt idx="72">
                  <c:v>2.1</c:v>
                </c:pt>
                <c:pt idx="73">
                  <c:v>2.4</c:v>
                </c:pt>
                <c:pt idx="74" formatCode="General">
                  <c:v>2.8</c:v>
                </c:pt>
                <c:pt idx="75" formatCode="General">
                  <c:v>3.1</c:v>
                </c:pt>
                <c:pt idx="76" formatCode="General">
                  <c:v>2.2000000000000002</c:v>
                </c:pt>
                <c:pt idx="77" formatCode="General">
                  <c:v>1.5</c:v>
                </c:pt>
                <c:pt idx="78" formatCode="General">
                  <c:v>1.6</c:v>
                </c:pt>
                <c:pt idx="79" formatCode="General">
                  <c:v>1.3</c:v>
                </c:pt>
                <c:pt idx="80" formatCode="General">
                  <c:v>1.1000000000000001</c:v>
                </c:pt>
                <c:pt idx="81">
                  <c:v>1</c:v>
                </c:pt>
                <c:pt idx="82">
                  <c:v>1.5</c:v>
                </c:pt>
                <c:pt idx="83">
                  <c:v>1.9</c:v>
                </c:pt>
                <c:pt idx="84">
                  <c:v>2</c:v>
                </c:pt>
                <c:pt idx="85">
                  <c:v>1.9</c:v>
                </c:pt>
                <c:pt idx="86">
                  <c:v>1.3</c:v>
                </c:pt>
                <c:pt idx="87">
                  <c:v>0.6</c:v>
                </c:pt>
                <c:pt idx="88">
                  <c:v>0.7</c:v>
                </c:pt>
                <c:pt idx="89">
                  <c:v>1.6</c:v>
                </c:pt>
                <c:pt idx="90">
                  <c:v>2</c:v>
                </c:pt>
                <c:pt idx="91">
                  <c:v>1.9</c:v>
                </c:pt>
                <c:pt idx="92">
                  <c:v>1.8</c:v>
                </c:pt>
                <c:pt idx="93">
                  <c:v>1.8</c:v>
                </c:pt>
                <c:pt idx="94">
                  <c:v>1.7</c:v>
                </c:pt>
                <c:pt idx="95">
                  <c:v>1.3</c:v>
                </c:pt>
                <c:pt idx="96">
                  <c:v>1.1000000000000001</c:v>
                </c:pt>
                <c:pt idx="97">
                  <c:v>1.2</c:v>
                </c:pt>
                <c:pt idx="98">
                  <c:v>1.8</c:v>
                </c:pt>
                <c:pt idx="99">
                  <c:v>2.8</c:v>
                </c:pt>
                <c:pt idx="100">
                  <c:v>3.6</c:v>
                </c:pt>
                <c:pt idx="101">
                  <c:v>3.3</c:v>
                </c:pt>
                <c:pt idx="102">
                  <c:v>3.3</c:v>
                </c:pt>
                <c:pt idx="103">
                  <c:v>4.3</c:v>
                </c:pt>
                <c:pt idx="104">
                  <c:v>5.7</c:v>
                </c:pt>
                <c:pt idx="105" formatCode="General">
                  <c:v>6.6</c:v>
                </c:pt>
                <c:pt idx="106" formatCode="General">
                  <c:v>7.5</c:v>
                </c:pt>
                <c:pt idx="107" formatCode="General">
                  <c:v>7.9</c:v>
                </c:pt>
                <c:pt idx="108" formatCode="General">
                  <c:v>8.1999999999999993</c:v>
                </c:pt>
                <c:pt idx="109" formatCode="General">
                  <c:v>8.8000000000000007</c:v>
                </c:pt>
                <c:pt idx="110" formatCode="General">
                  <c:v>9.1</c:v>
                </c:pt>
                <c:pt idx="111" formatCode="General">
                  <c:v>9.6</c:v>
                </c:pt>
                <c:pt idx="112" formatCode="General">
                  <c:v>10.4</c:v>
                </c:pt>
                <c:pt idx="113" formatCode="General">
                  <c:v>11.9</c:v>
                </c:pt>
                <c:pt idx="114" formatCode="General">
                  <c:v>12.8</c:v>
                </c:pt>
                <c:pt idx="115" formatCode="General">
                  <c:v>13.2</c:v>
                </c:pt>
                <c:pt idx="116">
                  <c:v>14</c:v>
                </c:pt>
                <c:pt idx="117">
                  <c:v>15</c:v>
                </c:pt>
                <c:pt idx="118" formatCode="General">
                  <c:v>15.1</c:v>
                </c:pt>
                <c:pt idx="119" formatCode="General">
                  <c:v>15.1</c:v>
                </c:pt>
                <c:pt idx="120" formatCode="General">
                  <c:v>15.8</c:v>
                </c:pt>
                <c:pt idx="121" formatCode="General">
                  <c:v>16.100000000000001</c:v>
                </c:pt>
                <c:pt idx="122" formatCode="General">
                  <c:v>16.2</c:v>
                </c:pt>
                <c:pt idx="123" formatCode="General">
                  <c:v>15.1</c:v>
                </c:pt>
                <c:pt idx="124" formatCode="General">
                  <c:v>14.8</c:v>
                </c:pt>
                <c:pt idx="125" formatCode="General">
                  <c:v>13.7</c:v>
                </c:pt>
                <c:pt idx="126" formatCode="General">
                  <c:v>12.5</c:v>
                </c:pt>
                <c:pt idx="127" formatCode="General">
                  <c:v>11.5</c:v>
                </c:pt>
                <c:pt idx="128">
                  <c:v>10.200000000000003</c:v>
                </c:pt>
                <c:pt idx="129">
                  <c:v>8.5</c:v>
                </c:pt>
                <c:pt idx="130">
                  <c:v>8</c:v>
                </c:pt>
                <c:pt idx="131">
                  <c:v>7.5999999999999943</c:v>
                </c:pt>
                <c:pt idx="132">
                  <c:v>6.4000000000000057</c:v>
                </c:pt>
                <c:pt idx="133">
                  <c:v>5.5999999999999943</c:v>
                </c:pt>
                <c:pt idx="134">
                  <c:v>5</c:v>
                </c:pt>
                <c:pt idx="135">
                  <c:v>5</c:v>
                </c:pt>
                <c:pt idx="136" formatCode="General">
                  <c:v>4.5</c:v>
                </c:pt>
              </c:numCache>
            </c:numRef>
          </c:val>
          <c:smooth val="0"/>
          <c:extLst>
            <c:ext xmlns:c16="http://schemas.microsoft.com/office/drawing/2014/chart" uri="{C3380CC4-5D6E-409C-BE32-E72D297353CC}">
              <c16:uniqueId val="{00000001-A70B-45FE-83B9-9C33CAFEDB6A}"/>
            </c:ext>
          </c:extLst>
        </c:ser>
        <c:ser>
          <c:idx val="2"/>
          <c:order val="2"/>
          <c:tx>
            <c:strRef>
              <c:f>Inflacija!$W$3</c:f>
              <c:strCache>
                <c:ptCount val="1"/>
                <c:pt idx="0">
                  <c:v>Циљана инфлација</c:v>
                </c:pt>
              </c:strCache>
            </c:strRef>
          </c:tx>
          <c:spPr>
            <a:ln w="22225" cap="rnd">
              <a:solidFill>
                <a:srgbClr val="FF0000"/>
              </a:solidFill>
              <a:round/>
            </a:ln>
            <a:effectLst/>
          </c:spPr>
          <c:marker>
            <c:symbol val="none"/>
          </c:marker>
          <c:cat>
            <c:numRef>
              <c:f>Inflacija!$Q$40:$Q$176</c:f>
              <c:numCache>
                <c:formatCode>yyyy</c:formatCode>
                <c:ptCount val="137"/>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numCache>
            </c:numRef>
          </c:cat>
          <c:val>
            <c:numRef>
              <c:f>Inflacija!$W$40:$W$176</c:f>
              <c:numCache>
                <c:formatCode>#,#00</c:formatCode>
                <c:ptCount val="137"/>
                <c:pt idx="0">
                  <c:v>4</c:v>
                </c:pt>
                <c:pt idx="1">
                  <c:v>4</c:v>
                </c:pt>
                <c:pt idx="2">
                  <c:v>4</c:v>
                </c:pt>
                <c:pt idx="3">
                  <c:v>4</c:v>
                </c:pt>
                <c:pt idx="4">
                  <c:v>4</c:v>
                </c:pt>
                <c:pt idx="5">
                  <c:v>4</c:v>
                </c:pt>
                <c:pt idx="6">
                  <c:v>4</c:v>
                </c:pt>
                <c:pt idx="7">
                  <c:v>4</c:v>
                </c:pt>
                <c:pt idx="8">
                  <c:v>4</c:v>
                </c:pt>
                <c:pt idx="9">
                  <c:v>4</c:v>
                </c:pt>
                <c:pt idx="10">
                  <c:v>4</c:v>
                </c:pt>
                <c:pt idx="11">
                  <c:v>4</c:v>
                </c:pt>
                <c:pt idx="12">
                  <c:v>4</c:v>
                </c:pt>
                <c:pt idx="13">
                  <c:v>4</c:v>
                </c:pt>
                <c:pt idx="14">
                  <c:v>4</c:v>
                </c:pt>
                <c:pt idx="15">
                  <c:v>4</c:v>
                </c:pt>
                <c:pt idx="16">
                  <c:v>4</c:v>
                </c:pt>
                <c:pt idx="17">
                  <c:v>4</c:v>
                </c:pt>
                <c:pt idx="18">
                  <c:v>4</c:v>
                </c:pt>
                <c:pt idx="19">
                  <c:v>4</c:v>
                </c:pt>
                <c:pt idx="20">
                  <c:v>4</c:v>
                </c:pt>
                <c:pt idx="21">
                  <c:v>4</c:v>
                </c:pt>
                <c:pt idx="22">
                  <c:v>4</c:v>
                </c:pt>
                <c:pt idx="23">
                  <c:v>4</c:v>
                </c:pt>
                <c:pt idx="24">
                  <c:v>4</c:v>
                </c:pt>
                <c:pt idx="25">
                  <c:v>4</c:v>
                </c:pt>
                <c:pt idx="26">
                  <c:v>4</c:v>
                </c:pt>
                <c:pt idx="27">
                  <c:v>4</c:v>
                </c:pt>
                <c:pt idx="28">
                  <c:v>4</c:v>
                </c:pt>
                <c:pt idx="29">
                  <c:v>4</c:v>
                </c:pt>
                <c:pt idx="30">
                  <c:v>4</c:v>
                </c:pt>
                <c:pt idx="31">
                  <c:v>4</c:v>
                </c:pt>
                <c:pt idx="32">
                  <c:v>4</c:v>
                </c:pt>
                <c:pt idx="33">
                  <c:v>4</c:v>
                </c:pt>
                <c:pt idx="34">
                  <c:v>4</c:v>
                </c:pt>
                <c:pt idx="35">
                  <c:v>4</c:v>
                </c:pt>
                <c:pt idx="36">
                  <c:v>4</c:v>
                </c:pt>
                <c:pt idx="37">
                  <c:v>4</c:v>
                </c:pt>
                <c:pt idx="38">
                  <c:v>4</c:v>
                </c:pt>
                <c:pt idx="39">
                  <c:v>4</c:v>
                </c:pt>
                <c:pt idx="40">
                  <c:v>4</c:v>
                </c:pt>
                <c:pt idx="41">
                  <c:v>4</c:v>
                </c:pt>
                <c:pt idx="42">
                  <c:v>4</c:v>
                </c:pt>
                <c:pt idx="43">
                  <c:v>4</c:v>
                </c:pt>
                <c:pt idx="44">
                  <c:v>4</c:v>
                </c:pt>
                <c:pt idx="45">
                  <c:v>4</c:v>
                </c:pt>
                <c:pt idx="46">
                  <c:v>4</c:v>
                </c:pt>
                <c:pt idx="47">
                  <c:v>4</c:v>
                </c:pt>
                <c:pt idx="48">
                  <c:v>3</c:v>
                </c:pt>
                <c:pt idx="49">
                  <c:v>3</c:v>
                </c:pt>
                <c:pt idx="50">
                  <c:v>3</c:v>
                </c:pt>
                <c:pt idx="51">
                  <c:v>3</c:v>
                </c:pt>
                <c:pt idx="52">
                  <c:v>3</c:v>
                </c:pt>
                <c:pt idx="53">
                  <c:v>3</c:v>
                </c:pt>
                <c:pt idx="54">
                  <c:v>3</c:v>
                </c:pt>
                <c:pt idx="55">
                  <c:v>3</c:v>
                </c:pt>
                <c:pt idx="56">
                  <c:v>3</c:v>
                </c:pt>
                <c:pt idx="57">
                  <c:v>3</c:v>
                </c:pt>
                <c:pt idx="58">
                  <c:v>3</c:v>
                </c:pt>
                <c:pt idx="59">
                  <c:v>3</c:v>
                </c:pt>
                <c:pt idx="60">
                  <c:v>3</c:v>
                </c:pt>
                <c:pt idx="61">
                  <c:v>3</c:v>
                </c:pt>
                <c:pt idx="62">
                  <c:v>3</c:v>
                </c:pt>
                <c:pt idx="63">
                  <c:v>3</c:v>
                </c:pt>
                <c:pt idx="64">
                  <c:v>3</c:v>
                </c:pt>
                <c:pt idx="65">
                  <c:v>3</c:v>
                </c:pt>
                <c:pt idx="66">
                  <c:v>3</c:v>
                </c:pt>
                <c:pt idx="67">
                  <c:v>3</c:v>
                </c:pt>
                <c:pt idx="68">
                  <c:v>3</c:v>
                </c:pt>
                <c:pt idx="69">
                  <c:v>3</c:v>
                </c:pt>
                <c:pt idx="70">
                  <c:v>3</c:v>
                </c:pt>
                <c:pt idx="71">
                  <c:v>3</c:v>
                </c:pt>
                <c:pt idx="72">
                  <c:v>3</c:v>
                </c:pt>
                <c:pt idx="73">
                  <c:v>3</c:v>
                </c:pt>
                <c:pt idx="74">
                  <c:v>3</c:v>
                </c:pt>
                <c:pt idx="75">
                  <c:v>3</c:v>
                </c:pt>
                <c:pt idx="76">
                  <c:v>3</c:v>
                </c:pt>
                <c:pt idx="77">
                  <c:v>3</c:v>
                </c:pt>
                <c:pt idx="78">
                  <c:v>3</c:v>
                </c:pt>
                <c:pt idx="79">
                  <c:v>3</c:v>
                </c:pt>
                <c:pt idx="80">
                  <c:v>3</c:v>
                </c:pt>
                <c:pt idx="81">
                  <c:v>3</c:v>
                </c:pt>
                <c:pt idx="82">
                  <c:v>3</c:v>
                </c:pt>
                <c:pt idx="83">
                  <c:v>3</c:v>
                </c:pt>
                <c:pt idx="84">
                  <c:v>3</c:v>
                </c:pt>
                <c:pt idx="85">
                  <c:v>3</c:v>
                </c:pt>
                <c:pt idx="86">
                  <c:v>3</c:v>
                </c:pt>
                <c:pt idx="87">
                  <c:v>3</c:v>
                </c:pt>
                <c:pt idx="88">
                  <c:v>3</c:v>
                </c:pt>
                <c:pt idx="89">
                  <c:v>3</c:v>
                </c:pt>
                <c:pt idx="90">
                  <c:v>3</c:v>
                </c:pt>
                <c:pt idx="91">
                  <c:v>3</c:v>
                </c:pt>
                <c:pt idx="92">
                  <c:v>3</c:v>
                </c:pt>
                <c:pt idx="93">
                  <c:v>3</c:v>
                </c:pt>
                <c:pt idx="94">
                  <c:v>3</c:v>
                </c:pt>
                <c:pt idx="95">
                  <c:v>3</c:v>
                </c:pt>
                <c:pt idx="96">
                  <c:v>3</c:v>
                </c:pt>
                <c:pt idx="97">
                  <c:v>3</c:v>
                </c:pt>
                <c:pt idx="98">
                  <c:v>3</c:v>
                </c:pt>
                <c:pt idx="99">
                  <c:v>3</c:v>
                </c:pt>
                <c:pt idx="100">
                  <c:v>3</c:v>
                </c:pt>
                <c:pt idx="101">
                  <c:v>3</c:v>
                </c:pt>
                <c:pt idx="102">
                  <c:v>3</c:v>
                </c:pt>
                <c:pt idx="103">
                  <c:v>3</c:v>
                </c:pt>
                <c:pt idx="104">
                  <c:v>3</c:v>
                </c:pt>
                <c:pt idx="105">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numCache>
            </c:numRef>
          </c:val>
          <c:smooth val="0"/>
          <c:extLst>
            <c:ext xmlns:c16="http://schemas.microsoft.com/office/drawing/2014/chart" uri="{C3380CC4-5D6E-409C-BE32-E72D297353CC}">
              <c16:uniqueId val="{00000002-A70B-45FE-83B9-9C33CAFEDB6A}"/>
            </c:ext>
          </c:extLst>
        </c:ser>
        <c:ser>
          <c:idx val="3"/>
          <c:order val="3"/>
          <c:tx>
            <c:strRef>
              <c:f>Inflacija!$X$3</c:f>
              <c:strCache>
                <c:ptCount val="1"/>
                <c:pt idx="0">
                  <c:v>Коридор инфлације</c:v>
                </c:pt>
              </c:strCache>
            </c:strRef>
          </c:tx>
          <c:spPr>
            <a:ln w="12700" cap="rnd">
              <a:solidFill>
                <a:srgbClr val="898989"/>
              </a:solidFill>
              <a:prstDash val="sysDash"/>
              <a:round/>
            </a:ln>
            <a:effectLst/>
          </c:spPr>
          <c:marker>
            <c:symbol val="none"/>
          </c:marker>
          <c:cat>
            <c:numRef>
              <c:f>Inflacija!$Q$40:$Q$176</c:f>
              <c:numCache>
                <c:formatCode>yyyy</c:formatCode>
                <c:ptCount val="137"/>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numCache>
            </c:numRef>
          </c:cat>
          <c:val>
            <c:numRef>
              <c:f>Inflacija!$X$40:$X$176</c:f>
              <c:numCache>
                <c:formatCode>#,#00</c:formatCode>
                <c:ptCount val="137"/>
                <c:pt idx="0">
                  <c:v>5.5</c:v>
                </c:pt>
                <c:pt idx="1">
                  <c:v>5.5</c:v>
                </c:pt>
                <c:pt idx="2">
                  <c:v>5.5</c:v>
                </c:pt>
                <c:pt idx="3">
                  <c:v>5.5</c:v>
                </c:pt>
                <c:pt idx="4">
                  <c:v>5.5</c:v>
                </c:pt>
                <c:pt idx="5">
                  <c:v>5.5</c:v>
                </c:pt>
                <c:pt idx="6">
                  <c:v>5.5</c:v>
                </c:pt>
                <c:pt idx="7">
                  <c:v>5.5</c:v>
                </c:pt>
                <c:pt idx="8">
                  <c:v>5.5</c:v>
                </c:pt>
                <c:pt idx="9">
                  <c:v>5.5</c:v>
                </c:pt>
                <c:pt idx="10">
                  <c:v>5.5</c:v>
                </c:pt>
                <c:pt idx="11">
                  <c:v>5.5</c:v>
                </c:pt>
                <c:pt idx="12">
                  <c:v>5.5</c:v>
                </c:pt>
                <c:pt idx="13">
                  <c:v>5.5</c:v>
                </c:pt>
                <c:pt idx="14">
                  <c:v>5.5</c:v>
                </c:pt>
                <c:pt idx="15">
                  <c:v>5.5</c:v>
                </c:pt>
                <c:pt idx="16">
                  <c:v>5.5</c:v>
                </c:pt>
                <c:pt idx="17">
                  <c:v>5.5</c:v>
                </c:pt>
                <c:pt idx="18">
                  <c:v>5.5</c:v>
                </c:pt>
                <c:pt idx="19">
                  <c:v>5.5</c:v>
                </c:pt>
                <c:pt idx="20">
                  <c:v>5.5</c:v>
                </c:pt>
                <c:pt idx="21">
                  <c:v>5.5</c:v>
                </c:pt>
                <c:pt idx="22">
                  <c:v>5.5</c:v>
                </c:pt>
                <c:pt idx="23">
                  <c:v>5.5</c:v>
                </c:pt>
                <c:pt idx="24">
                  <c:v>5.5</c:v>
                </c:pt>
                <c:pt idx="25">
                  <c:v>5.5</c:v>
                </c:pt>
                <c:pt idx="26">
                  <c:v>5.5</c:v>
                </c:pt>
                <c:pt idx="27">
                  <c:v>5.5</c:v>
                </c:pt>
                <c:pt idx="28">
                  <c:v>5.5</c:v>
                </c:pt>
                <c:pt idx="29">
                  <c:v>5.5</c:v>
                </c:pt>
                <c:pt idx="30">
                  <c:v>5.5</c:v>
                </c:pt>
                <c:pt idx="31">
                  <c:v>5.5</c:v>
                </c:pt>
                <c:pt idx="32">
                  <c:v>5.5</c:v>
                </c:pt>
                <c:pt idx="33">
                  <c:v>5.5</c:v>
                </c:pt>
                <c:pt idx="34">
                  <c:v>5.5</c:v>
                </c:pt>
                <c:pt idx="35">
                  <c:v>5.5</c:v>
                </c:pt>
                <c:pt idx="36">
                  <c:v>5.5</c:v>
                </c:pt>
                <c:pt idx="37" formatCode="General">
                  <c:v>5.5</c:v>
                </c:pt>
                <c:pt idx="38" formatCode="General">
                  <c:v>5.5</c:v>
                </c:pt>
                <c:pt idx="39" formatCode="General">
                  <c:v>5.5</c:v>
                </c:pt>
                <c:pt idx="40" formatCode="General">
                  <c:v>5.5</c:v>
                </c:pt>
                <c:pt idx="41" formatCode="General">
                  <c:v>5.5</c:v>
                </c:pt>
                <c:pt idx="42" formatCode="General">
                  <c:v>5.5</c:v>
                </c:pt>
                <c:pt idx="43" formatCode="General">
                  <c:v>5.5</c:v>
                </c:pt>
                <c:pt idx="44" formatCode="General">
                  <c:v>5.5</c:v>
                </c:pt>
                <c:pt idx="45" formatCode="General">
                  <c:v>5.5</c:v>
                </c:pt>
                <c:pt idx="46" formatCode="General">
                  <c:v>5.5</c:v>
                </c:pt>
                <c:pt idx="47" formatCode="General">
                  <c:v>5.5</c:v>
                </c:pt>
                <c:pt idx="48">
                  <c:v>4.5</c:v>
                </c:pt>
                <c:pt idx="49">
                  <c:v>4.5</c:v>
                </c:pt>
                <c:pt idx="50">
                  <c:v>4.5</c:v>
                </c:pt>
                <c:pt idx="51">
                  <c:v>4.5</c:v>
                </c:pt>
                <c:pt idx="52">
                  <c:v>4.5</c:v>
                </c:pt>
                <c:pt idx="53">
                  <c:v>4.5</c:v>
                </c:pt>
                <c:pt idx="54">
                  <c:v>4.5</c:v>
                </c:pt>
                <c:pt idx="55">
                  <c:v>4.5</c:v>
                </c:pt>
                <c:pt idx="56">
                  <c:v>4.5</c:v>
                </c:pt>
                <c:pt idx="57">
                  <c:v>4.5</c:v>
                </c:pt>
                <c:pt idx="58">
                  <c:v>4.5</c:v>
                </c:pt>
                <c:pt idx="59">
                  <c:v>4.5</c:v>
                </c:pt>
                <c:pt idx="60">
                  <c:v>4.5</c:v>
                </c:pt>
                <c:pt idx="61">
                  <c:v>4.5</c:v>
                </c:pt>
                <c:pt idx="62">
                  <c:v>4.5</c:v>
                </c:pt>
                <c:pt idx="63">
                  <c:v>4.5</c:v>
                </c:pt>
                <c:pt idx="64">
                  <c:v>4.5</c:v>
                </c:pt>
                <c:pt idx="65" formatCode="General">
                  <c:v>4.5</c:v>
                </c:pt>
                <c:pt idx="66" formatCode="General">
                  <c:v>4.5</c:v>
                </c:pt>
                <c:pt idx="67" formatCode="General">
                  <c:v>4.5</c:v>
                </c:pt>
                <c:pt idx="68">
                  <c:v>4.5</c:v>
                </c:pt>
                <c:pt idx="69">
                  <c:v>4.5</c:v>
                </c:pt>
                <c:pt idx="70">
                  <c:v>4.5</c:v>
                </c:pt>
                <c:pt idx="71">
                  <c:v>4.5</c:v>
                </c:pt>
                <c:pt idx="72">
                  <c:v>4.5</c:v>
                </c:pt>
                <c:pt idx="73">
                  <c:v>4.5</c:v>
                </c:pt>
                <c:pt idx="74">
                  <c:v>4.5</c:v>
                </c:pt>
                <c:pt idx="75">
                  <c:v>4.5</c:v>
                </c:pt>
                <c:pt idx="76">
                  <c:v>4.5</c:v>
                </c:pt>
                <c:pt idx="77">
                  <c:v>4.5</c:v>
                </c:pt>
                <c:pt idx="78">
                  <c:v>4.5</c:v>
                </c:pt>
                <c:pt idx="79">
                  <c:v>4.5</c:v>
                </c:pt>
                <c:pt idx="80">
                  <c:v>4.5</c:v>
                </c:pt>
                <c:pt idx="81">
                  <c:v>4.5</c:v>
                </c:pt>
                <c:pt idx="82">
                  <c:v>4.5</c:v>
                </c:pt>
                <c:pt idx="83">
                  <c:v>4.5</c:v>
                </c:pt>
                <c:pt idx="84">
                  <c:v>4.5</c:v>
                </c:pt>
                <c:pt idx="85">
                  <c:v>4.5</c:v>
                </c:pt>
                <c:pt idx="86">
                  <c:v>4.5</c:v>
                </c:pt>
                <c:pt idx="87">
                  <c:v>4.5</c:v>
                </c:pt>
                <c:pt idx="88">
                  <c:v>4.5</c:v>
                </c:pt>
                <c:pt idx="89">
                  <c:v>4.5</c:v>
                </c:pt>
                <c:pt idx="90">
                  <c:v>4.5</c:v>
                </c:pt>
                <c:pt idx="91">
                  <c:v>4.5</c:v>
                </c:pt>
                <c:pt idx="92">
                  <c:v>4.5</c:v>
                </c:pt>
                <c:pt idx="93">
                  <c:v>4.5</c:v>
                </c:pt>
                <c:pt idx="94">
                  <c:v>4.5</c:v>
                </c:pt>
                <c:pt idx="95">
                  <c:v>4.5</c:v>
                </c:pt>
                <c:pt idx="96">
                  <c:v>4.5</c:v>
                </c:pt>
                <c:pt idx="97">
                  <c:v>4.5</c:v>
                </c:pt>
                <c:pt idx="98">
                  <c:v>4.5</c:v>
                </c:pt>
                <c:pt idx="99">
                  <c:v>4.5</c:v>
                </c:pt>
                <c:pt idx="100">
                  <c:v>4.5</c:v>
                </c:pt>
                <c:pt idx="101">
                  <c:v>4.5</c:v>
                </c:pt>
                <c:pt idx="102">
                  <c:v>4.5</c:v>
                </c:pt>
                <c:pt idx="103">
                  <c:v>4.5</c:v>
                </c:pt>
                <c:pt idx="104">
                  <c:v>4.5</c:v>
                </c:pt>
                <c:pt idx="105" formatCode="General">
                  <c:v>4.5</c:v>
                </c:pt>
                <c:pt idx="106" formatCode="General">
                  <c:v>4.5</c:v>
                </c:pt>
                <c:pt idx="107" formatCode="General">
                  <c:v>4.5</c:v>
                </c:pt>
                <c:pt idx="108" formatCode="General">
                  <c:v>4.5</c:v>
                </c:pt>
                <c:pt idx="109" formatCode="General">
                  <c:v>4.5</c:v>
                </c:pt>
                <c:pt idx="110" formatCode="General">
                  <c:v>4.5</c:v>
                </c:pt>
                <c:pt idx="111" formatCode="General">
                  <c:v>4.5</c:v>
                </c:pt>
                <c:pt idx="112" formatCode="General">
                  <c:v>4.5</c:v>
                </c:pt>
                <c:pt idx="113" formatCode="General">
                  <c:v>4.5</c:v>
                </c:pt>
                <c:pt idx="114" formatCode="General">
                  <c:v>4.5</c:v>
                </c:pt>
                <c:pt idx="115" formatCode="General">
                  <c:v>4.5</c:v>
                </c:pt>
                <c:pt idx="116" formatCode="General">
                  <c:v>4.5</c:v>
                </c:pt>
                <c:pt idx="117" formatCode="General">
                  <c:v>4.5</c:v>
                </c:pt>
                <c:pt idx="118" formatCode="General">
                  <c:v>4.5</c:v>
                </c:pt>
                <c:pt idx="119" formatCode="General">
                  <c:v>4.5</c:v>
                </c:pt>
                <c:pt idx="120" formatCode="General">
                  <c:v>4.5</c:v>
                </c:pt>
                <c:pt idx="121" formatCode="General">
                  <c:v>4.5</c:v>
                </c:pt>
                <c:pt idx="122" formatCode="General">
                  <c:v>4.5</c:v>
                </c:pt>
                <c:pt idx="123" formatCode="General">
                  <c:v>4.5</c:v>
                </c:pt>
                <c:pt idx="124" formatCode="General">
                  <c:v>4.5</c:v>
                </c:pt>
                <c:pt idx="125" formatCode="General">
                  <c:v>4.5</c:v>
                </c:pt>
                <c:pt idx="126" formatCode="General">
                  <c:v>4.5</c:v>
                </c:pt>
                <c:pt idx="127" formatCode="General">
                  <c:v>4.5</c:v>
                </c:pt>
                <c:pt idx="128" formatCode="General">
                  <c:v>4.5</c:v>
                </c:pt>
                <c:pt idx="129" formatCode="General">
                  <c:v>4.5</c:v>
                </c:pt>
                <c:pt idx="130" formatCode="General">
                  <c:v>4.5</c:v>
                </c:pt>
                <c:pt idx="131" formatCode="General">
                  <c:v>4.5</c:v>
                </c:pt>
                <c:pt idx="132" formatCode="General">
                  <c:v>4.5</c:v>
                </c:pt>
                <c:pt idx="133" formatCode="General">
                  <c:v>4.5</c:v>
                </c:pt>
                <c:pt idx="134" formatCode="General">
                  <c:v>4.5</c:v>
                </c:pt>
                <c:pt idx="135" formatCode="General">
                  <c:v>4.5</c:v>
                </c:pt>
                <c:pt idx="136" formatCode="General">
                  <c:v>4.5</c:v>
                </c:pt>
              </c:numCache>
            </c:numRef>
          </c:val>
          <c:smooth val="0"/>
          <c:extLst>
            <c:ext xmlns:c16="http://schemas.microsoft.com/office/drawing/2014/chart" uri="{C3380CC4-5D6E-409C-BE32-E72D297353CC}">
              <c16:uniqueId val="{00000003-A70B-45FE-83B9-9C33CAFEDB6A}"/>
            </c:ext>
          </c:extLst>
        </c:ser>
        <c:ser>
          <c:idx val="4"/>
          <c:order val="4"/>
          <c:tx>
            <c:strRef>
              <c:f>Inflacija!$Y$3</c:f>
              <c:strCache>
                <c:ptCount val="1"/>
              </c:strCache>
            </c:strRef>
          </c:tx>
          <c:spPr>
            <a:ln w="12700" cap="rnd">
              <a:solidFill>
                <a:srgbClr val="898989"/>
              </a:solidFill>
              <a:prstDash val="sysDash"/>
              <a:round/>
            </a:ln>
            <a:effectLst/>
          </c:spPr>
          <c:marker>
            <c:symbol val="none"/>
          </c:marker>
          <c:cat>
            <c:numRef>
              <c:f>Inflacija!$Q$40:$Q$176</c:f>
              <c:numCache>
                <c:formatCode>yyyy</c:formatCode>
                <c:ptCount val="137"/>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numCache>
            </c:numRef>
          </c:cat>
          <c:val>
            <c:numRef>
              <c:f>Inflacija!$Y$40:$Y$176</c:f>
              <c:numCache>
                <c:formatCode>#,#00</c:formatCode>
                <c:ptCount val="137"/>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formatCode="General">
                  <c:v>2.5</c:v>
                </c:pt>
                <c:pt idx="38" formatCode="General">
                  <c:v>2.5</c:v>
                </c:pt>
                <c:pt idx="39" formatCode="General">
                  <c:v>2.5</c:v>
                </c:pt>
                <c:pt idx="40" formatCode="General">
                  <c:v>2.5</c:v>
                </c:pt>
                <c:pt idx="41" formatCode="General">
                  <c:v>2.5</c:v>
                </c:pt>
                <c:pt idx="42" formatCode="General">
                  <c:v>2.5</c:v>
                </c:pt>
                <c:pt idx="43" formatCode="General">
                  <c:v>2.5</c:v>
                </c:pt>
                <c:pt idx="44" formatCode="General">
                  <c:v>2.5</c:v>
                </c:pt>
                <c:pt idx="45" formatCode="General">
                  <c:v>2.5</c:v>
                </c:pt>
                <c:pt idx="46" formatCode="General">
                  <c:v>2.5</c:v>
                </c:pt>
                <c:pt idx="47" formatCode="General">
                  <c:v>2.5</c:v>
                </c:pt>
                <c:pt idx="48">
                  <c:v>1.5</c:v>
                </c:pt>
                <c:pt idx="49">
                  <c:v>1.5</c:v>
                </c:pt>
                <c:pt idx="50">
                  <c:v>1.5</c:v>
                </c:pt>
                <c:pt idx="51">
                  <c:v>1.5</c:v>
                </c:pt>
                <c:pt idx="52">
                  <c:v>1.5</c:v>
                </c:pt>
                <c:pt idx="53">
                  <c:v>1.5</c:v>
                </c:pt>
                <c:pt idx="54">
                  <c:v>1.5</c:v>
                </c:pt>
                <c:pt idx="55">
                  <c:v>1.5</c:v>
                </c:pt>
                <c:pt idx="56">
                  <c:v>1.5</c:v>
                </c:pt>
                <c:pt idx="57">
                  <c:v>1.5</c:v>
                </c:pt>
                <c:pt idx="58">
                  <c:v>1.5</c:v>
                </c:pt>
                <c:pt idx="59">
                  <c:v>1.5</c:v>
                </c:pt>
                <c:pt idx="60">
                  <c:v>1.5</c:v>
                </c:pt>
                <c:pt idx="61">
                  <c:v>1.5</c:v>
                </c:pt>
                <c:pt idx="62">
                  <c:v>1.5</c:v>
                </c:pt>
                <c:pt idx="63">
                  <c:v>1.5</c:v>
                </c:pt>
                <c:pt idx="64">
                  <c:v>1.5</c:v>
                </c:pt>
                <c:pt idx="65" formatCode="General">
                  <c:v>1.5</c:v>
                </c:pt>
                <c:pt idx="66" formatCode="General">
                  <c:v>1.5</c:v>
                </c:pt>
                <c:pt idx="67" formatCode="General">
                  <c:v>1.5</c:v>
                </c:pt>
                <c:pt idx="68">
                  <c:v>1.5</c:v>
                </c:pt>
                <c:pt idx="69">
                  <c:v>1.5</c:v>
                </c:pt>
                <c:pt idx="70">
                  <c:v>1.5</c:v>
                </c:pt>
                <c:pt idx="71">
                  <c:v>1.5</c:v>
                </c:pt>
                <c:pt idx="72">
                  <c:v>1.5</c:v>
                </c:pt>
                <c:pt idx="73">
                  <c:v>1.5</c:v>
                </c:pt>
                <c:pt idx="74">
                  <c:v>1.5</c:v>
                </c:pt>
                <c:pt idx="75">
                  <c:v>1.5</c:v>
                </c:pt>
                <c:pt idx="76">
                  <c:v>1.5</c:v>
                </c:pt>
                <c:pt idx="77">
                  <c:v>1.5</c:v>
                </c:pt>
                <c:pt idx="78">
                  <c:v>1.5</c:v>
                </c:pt>
                <c:pt idx="79">
                  <c:v>1.5</c:v>
                </c:pt>
                <c:pt idx="80">
                  <c:v>1.5</c:v>
                </c:pt>
                <c:pt idx="81">
                  <c:v>1.5</c:v>
                </c:pt>
                <c:pt idx="82">
                  <c:v>1.5</c:v>
                </c:pt>
                <c:pt idx="83">
                  <c:v>1.5</c:v>
                </c:pt>
                <c:pt idx="84">
                  <c:v>1.5</c:v>
                </c:pt>
                <c:pt idx="85">
                  <c:v>1.5</c:v>
                </c:pt>
                <c:pt idx="86">
                  <c:v>1.5</c:v>
                </c:pt>
                <c:pt idx="87">
                  <c:v>1.5</c:v>
                </c:pt>
                <c:pt idx="88">
                  <c:v>1.5</c:v>
                </c:pt>
                <c:pt idx="89">
                  <c:v>1.5</c:v>
                </c:pt>
                <c:pt idx="90">
                  <c:v>1.5</c:v>
                </c:pt>
                <c:pt idx="91">
                  <c:v>1.5</c:v>
                </c:pt>
                <c:pt idx="92">
                  <c:v>1.5</c:v>
                </c:pt>
                <c:pt idx="93">
                  <c:v>1.5</c:v>
                </c:pt>
                <c:pt idx="94">
                  <c:v>1.5</c:v>
                </c:pt>
                <c:pt idx="95">
                  <c:v>1.5</c:v>
                </c:pt>
                <c:pt idx="96">
                  <c:v>1.5</c:v>
                </c:pt>
                <c:pt idx="97">
                  <c:v>1.5</c:v>
                </c:pt>
                <c:pt idx="98">
                  <c:v>1.5</c:v>
                </c:pt>
                <c:pt idx="99">
                  <c:v>1.5</c:v>
                </c:pt>
                <c:pt idx="100">
                  <c:v>1.5</c:v>
                </c:pt>
                <c:pt idx="101">
                  <c:v>1.5</c:v>
                </c:pt>
                <c:pt idx="102">
                  <c:v>1.5</c:v>
                </c:pt>
                <c:pt idx="103">
                  <c:v>1.5</c:v>
                </c:pt>
                <c:pt idx="104">
                  <c:v>1.5</c:v>
                </c:pt>
                <c:pt idx="105" formatCode="General">
                  <c:v>1.5</c:v>
                </c:pt>
                <c:pt idx="106" formatCode="General">
                  <c:v>1.5</c:v>
                </c:pt>
                <c:pt idx="107" formatCode="General">
                  <c:v>1.5</c:v>
                </c:pt>
                <c:pt idx="108" formatCode="General">
                  <c:v>1.5</c:v>
                </c:pt>
                <c:pt idx="109" formatCode="General">
                  <c:v>1.5</c:v>
                </c:pt>
                <c:pt idx="110" formatCode="General">
                  <c:v>1.5</c:v>
                </c:pt>
                <c:pt idx="111" formatCode="General">
                  <c:v>1.5</c:v>
                </c:pt>
                <c:pt idx="112" formatCode="General">
                  <c:v>1.5</c:v>
                </c:pt>
                <c:pt idx="113" formatCode="General">
                  <c:v>1.5</c:v>
                </c:pt>
                <c:pt idx="114" formatCode="General">
                  <c:v>1.5</c:v>
                </c:pt>
                <c:pt idx="115" formatCode="General">
                  <c:v>1.5</c:v>
                </c:pt>
                <c:pt idx="116" formatCode="General">
                  <c:v>1.5</c:v>
                </c:pt>
                <c:pt idx="117" formatCode="General">
                  <c:v>1.5</c:v>
                </c:pt>
                <c:pt idx="118" formatCode="General">
                  <c:v>1.5</c:v>
                </c:pt>
                <c:pt idx="119" formatCode="General">
                  <c:v>1.5</c:v>
                </c:pt>
                <c:pt idx="120" formatCode="General">
                  <c:v>1.5</c:v>
                </c:pt>
                <c:pt idx="121" formatCode="General">
                  <c:v>1.5</c:v>
                </c:pt>
                <c:pt idx="122" formatCode="General">
                  <c:v>1.5</c:v>
                </c:pt>
                <c:pt idx="123" formatCode="General">
                  <c:v>1.5</c:v>
                </c:pt>
                <c:pt idx="124" formatCode="General">
                  <c:v>1.5</c:v>
                </c:pt>
                <c:pt idx="125" formatCode="General">
                  <c:v>1.5</c:v>
                </c:pt>
                <c:pt idx="126" formatCode="General">
                  <c:v>1.5</c:v>
                </c:pt>
                <c:pt idx="127" formatCode="General">
                  <c:v>1.5</c:v>
                </c:pt>
                <c:pt idx="128" formatCode="General">
                  <c:v>1.5</c:v>
                </c:pt>
                <c:pt idx="129" formatCode="General">
                  <c:v>1.5</c:v>
                </c:pt>
                <c:pt idx="130" formatCode="General">
                  <c:v>1.5</c:v>
                </c:pt>
                <c:pt idx="131" formatCode="General">
                  <c:v>1.5</c:v>
                </c:pt>
                <c:pt idx="132" formatCode="General">
                  <c:v>1.5</c:v>
                </c:pt>
                <c:pt idx="133" formatCode="General">
                  <c:v>1.5</c:v>
                </c:pt>
                <c:pt idx="134" formatCode="General">
                  <c:v>1.5</c:v>
                </c:pt>
                <c:pt idx="135" formatCode="General">
                  <c:v>1.5</c:v>
                </c:pt>
                <c:pt idx="136" formatCode="General">
                  <c:v>1.5</c:v>
                </c:pt>
              </c:numCache>
            </c:numRef>
          </c:val>
          <c:smooth val="0"/>
          <c:extLst>
            <c:ext xmlns:c16="http://schemas.microsoft.com/office/drawing/2014/chart" uri="{C3380CC4-5D6E-409C-BE32-E72D297353CC}">
              <c16:uniqueId val="{00000004-A70B-45FE-83B9-9C33CAFEDB6A}"/>
            </c:ext>
          </c:extLst>
        </c:ser>
        <c:ser>
          <c:idx val="5"/>
          <c:order val="5"/>
          <c:tx>
            <c:strRef>
              <c:f>Inflacija!$Z$3</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170047737570141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70B-45FE-83B9-9C33CAFEDB6A}"/>
                </c:ext>
              </c:extLst>
            </c:dLbl>
            <c:dLbl>
              <c:idx val="12"/>
              <c:layout>
                <c:manualLayout>
                  <c:x val="-2.171326137127528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70B-45FE-83B9-9C33CAFEDB6A}"/>
                </c:ext>
              </c:extLst>
            </c:dLbl>
            <c:dLbl>
              <c:idx val="24"/>
              <c:layout>
                <c:manualLayout>
                  <c:x val="-2.0699064389079484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70B-45FE-83B9-9C33CAFEDB6A}"/>
                </c:ext>
              </c:extLst>
            </c:dLbl>
            <c:dLbl>
              <c:idx val="36"/>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70B-45FE-83B9-9C33CAFEDB6A}"/>
                </c:ext>
              </c:extLst>
            </c:dLbl>
            <c:dLbl>
              <c:idx val="48"/>
              <c:layout>
                <c:manualLayout>
                  <c:x val="-2.068166395065946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70B-45FE-83B9-9C33CAFEDB6A}"/>
                </c:ext>
              </c:extLst>
            </c:dLbl>
            <c:dLbl>
              <c:idx val="60"/>
              <c:layout>
                <c:manualLayout>
                  <c:x val="-2.1690534268032802E-2"/>
                  <c:y val="3.591339740739474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70B-45FE-83B9-9C33CAFEDB6A}"/>
                </c:ext>
              </c:extLst>
            </c:dLbl>
            <c:dLbl>
              <c:idx val="72"/>
              <c:layout>
                <c:manualLayout>
                  <c:x val="-1.9029687633721565E-2"/>
                  <c:y val="3.57962092722168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70B-45FE-83B9-9C33CAFEDB6A}"/>
                </c:ext>
              </c:extLst>
            </c:dLbl>
            <c:dLbl>
              <c:idx val="84"/>
              <c:layout>
                <c:manualLayout>
                  <c:x val="-2.2446565561833522E-2"/>
                  <c:y val="3.552931189257716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70B-45FE-83B9-9C33CAFEDB6A}"/>
                </c:ext>
              </c:extLst>
            </c:dLbl>
            <c:dLbl>
              <c:idx val="96"/>
              <c:layout>
                <c:manualLayout>
                  <c:x val="-2.162803473411614E-2"/>
                  <c:y val="3.620833022607217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70B-45FE-83B9-9C33CAFEDB6A}"/>
                </c:ext>
              </c:extLst>
            </c:dLbl>
            <c:dLbl>
              <c:idx val="108"/>
              <c:layout>
                <c:manualLayout>
                  <c:x val="-2.5283475783475784E-2"/>
                  <c:y val="3.615711130995147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70B-45FE-83B9-9C33CAFEDB6A}"/>
                </c:ext>
              </c:extLst>
            </c:dLbl>
            <c:dLbl>
              <c:idx val="120"/>
              <c:layout>
                <c:manualLayout>
                  <c:x val="-3.1016331291921842E-2"/>
                  <c:y val="3.567278900538286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F-A70B-45FE-83B9-9C33CAFEDB6A}"/>
                </c:ext>
              </c:extLst>
            </c:dLbl>
            <c:dLbl>
              <c:idx val="132"/>
              <c:layout>
                <c:manualLayout>
                  <c:x val="-2.9800962379704235E-3"/>
                  <c:y val="3.66743160355226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11-A70B-45FE-83B9-9C33CAFEDB6A}"/>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Inflacija!$Q$40:$Q$176</c:f>
              <c:numCache>
                <c:formatCode>yyyy</c:formatCode>
                <c:ptCount val="137"/>
                <c:pt idx="0">
                  <c:v>41275</c:v>
                </c:pt>
                <c:pt idx="1">
                  <c:v>41306</c:v>
                </c:pt>
                <c:pt idx="2">
                  <c:v>41334</c:v>
                </c:pt>
                <c:pt idx="3">
                  <c:v>41365</c:v>
                </c:pt>
                <c:pt idx="4">
                  <c:v>41395</c:v>
                </c:pt>
                <c:pt idx="5">
                  <c:v>41426</c:v>
                </c:pt>
                <c:pt idx="6">
                  <c:v>41456</c:v>
                </c:pt>
                <c:pt idx="7">
                  <c:v>41487</c:v>
                </c:pt>
                <c:pt idx="8">
                  <c:v>41518</c:v>
                </c:pt>
                <c:pt idx="9">
                  <c:v>41548</c:v>
                </c:pt>
                <c:pt idx="10">
                  <c:v>41579</c:v>
                </c:pt>
                <c:pt idx="11">
                  <c:v>41609</c:v>
                </c:pt>
                <c:pt idx="12">
                  <c:v>41640</c:v>
                </c:pt>
                <c:pt idx="13">
                  <c:v>41671</c:v>
                </c:pt>
                <c:pt idx="14">
                  <c:v>41699</c:v>
                </c:pt>
                <c:pt idx="15">
                  <c:v>41730</c:v>
                </c:pt>
                <c:pt idx="16">
                  <c:v>41760</c:v>
                </c:pt>
                <c:pt idx="17">
                  <c:v>41791</c:v>
                </c:pt>
                <c:pt idx="18">
                  <c:v>41821</c:v>
                </c:pt>
                <c:pt idx="19">
                  <c:v>41852</c:v>
                </c:pt>
                <c:pt idx="20">
                  <c:v>41883</c:v>
                </c:pt>
                <c:pt idx="21">
                  <c:v>41913</c:v>
                </c:pt>
                <c:pt idx="22">
                  <c:v>41944</c:v>
                </c:pt>
                <c:pt idx="23">
                  <c:v>41974</c:v>
                </c:pt>
                <c:pt idx="24">
                  <c:v>42005</c:v>
                </c:pt>
                <c:pt idx="25">
                  <c:v>42036</c:v>
                </c:pt>
                <c:pt idx="26">
                  <c:v>42064</c:v>
                </c:pt>
                <c:pt idx="27">
                  <c:v>42095</c:v>
                </c:pt>
                <c:pt idx="28">
                  <c:v>42125</c:v>
                </c:pt>
                <c:pt idx="29">
                  <c:v>42156</c:v>
                </c:pt>
                <c:pt idx="30">
                  <c:v>42186</c:v>
                </c:pt>
                <c:pt idx="31">
                  <c:v>42217</c:v>
                </c:pt>
                <c:pt idx="32">
                  <c:v>42248</c:v>
                </c:pt>
                <c:pt idx="33">
                  <c:v>42278</c:v>
                </c:pt>
                <c:pt idx="34">
                  <c:v>42309</c:v>
                </c:pt>
                <c:pt idx="35">
                  <c:v>42339</c:v>
                </c:pt>
                <c:pt idx="36">
                  <c:v>42370</c:v>
                </c:pt>
                <c:pt idx="37">
                  <c:v>42401</c:v>
                </c:pt>
                <c:pt idx="38">
                  <c:v>42430</c:v>
                </c:pt>
                <c:pt idx="39">
                  <c:v>42461</c:v>
                </c:pt>
                <c:pt idx="40">
                  <c:v>42491</c:v>
                </c:pt>
                <c:pt idx="41">
                  <c:v>42522</c:v>
                </c:pt>
                <c:pt idx="42">
                  <c:v>42552</c:v>
                </c:pt>
                <c:pt idx="43">
                  <c:v>42583</c:v>
                </c:pt>
                <c:pt idx="44">
                  <c:v>42614</c:v>
                </c:pt>
                <c:pt idx="45">
                  <c:v>42644</c:v>
                </c:pt>
                <c:pt idx="46">
                  <c:v>42675</c:v>
                </c:pt>
                <c:pt idx="47">
                  <c:v>42705</c:v>
                </c:pt>
                <c:pt idx="48">
                  <c:v>42736</c:v>
                </c:pt>
                <c:pt idx="49">
                  <c:v>42767</c:v>
                </c:pt>
                <c:pt idx="50">
                  <c:v>42795</c:v>
                </c:pt>
                <c:pt idx="51">
                  <c:v>42826</c:v>
                </c:pt>
                <c:pt idx="52">
                  <c:v>42856</c:v>
                </c:pt>
                <c:pt idx="53">
                  <c:v>42887</c:v>
                </c:pt>
                <c:pt idx="54">
                  <c:v>42917</c:v>
                </c:pt>
                <c:pt idx="55">
                  <c:v>42948</c:v>
                </c:pt>
                <c:pt idx="56">
                  <c:v>42979</c:v>
                </c:pt>
                <c:pt idx="57">
                  <c:v>43009</c:v>
                </c:pt>
                <c:pt idx="58">
                  <c:v>43040</c:v>
                </c:pt>
                <c:pt idx="59">
                  <c:v>43070</c:v>
                </c:pt>
                <c:pt idx="60">
                  <c:v>43101</c:v>
                </c:pt>
                <c:pt idx="61">
                  <c:v>43132</c:v>
                </c:pt>
                <c:pt idx="62">
                  <c:v>43160</c:v>
                </c:pt>
                <c:pt idx="63">
                  <c:v>43191</c:v>
                </c:pt>
                <c:pt idx="64">
                  <c:v>43221</c:v>
                </c:pt>
                <c:pt idx="65">
                  <c:v>43252</c:v>
                </c:pt>
                <c:pt idx="66">
                  <c:v>43282</c:v>
                </c:pt>
                <c:pt idx="67">
                  <c:v>43313</c:v>
                </c:pt>
                <c:pt idx="68">
                  <c:v>43344</c:v>
                </c:pt>
                <c:pt idx="69">
                  <c:v>43374</c:v>
                </c:pt>
                <c:pt idx="70">
                  <c:v>43405</c:v>
                </c:pt>
                <c:pt idx="71">
                  <c:v>43435</c:v>
                </c:pt>
                <c:pt idx="72">
                  <c:v>43466</c:v>
                </c:pt>
                <c:pt idx="73">
                  <c:v>43497</c:v>
                </c:pt>
                <c:pt idx="74">
                  <c:v>43525</c:v>
                </c:pt>
                <c:pt idx="75">
                  <c:v>43556</c:v>
                </c:pt>
                <c:pt idx="76">
                  <c:v>43586</c:v>
                </c:pt>
                <c:pt idx="77">
                  <c:v>43617</c:v>
                </c:pt>
                <c:pt idx="78">
                  <c:v>43647</c:v>
                </c:pt>
                <c:pt idx="79">
                  <c:v>43678</c:v>
                </c:pt>
                <c:pt idx="80">
                  <c:v>43709</c:v>
                </c:pt>
                <c:pt idx="81">
                  <c:v>43739</c:v>
                </c:pt>
                <c:pt idx="82">
                  <c:v>43770</c:v>
                </c:pt>
                <c:pt idx="83">
                  <c:v>43800</c:v>
                </c:pt>
                <c:pt idx="84">
                  <c:v>43831</c:v>
                </c:pt>
                <c:pt idx="85">
                  <c:v>43862</c:v>
                </c:pt>
                <c:pt idx="86">
                  <c:v>43891</c:v>
                </c:pt>
                <c:pt idx="87">
                  <c:v>43922</c:v>
                </c:pt>
                <c:pt idx="88">
                  <c:v>43952</c:v>
                </c:pt>
                <c:pt idx="89">
                  <c:v>43983</c:v>
                </c:pt>
                <c:pt idx="90">
                  <c:v>44013</c:v>
                </c:pt>
                <c:pt idx="91">
                  <c:v>44044</c:v>
                </c:pt>
                <c:pt idx="92">
                  <c:v>44075</c:v>
                </c:pt>
                <c:pt idx="93">
                  <c:v>44105</c:v>
                </c:pt>
                <c:pt idx="94">
                  <c:v>44136</c:v>
                </c:pt>
                <c:pt idx="95">
                  <c:v>44166</c:v>
                </c:pt>
                <c:pt idx="96">
                  <c:v>44197</c:v>
                </c:pt>
                <c:pt idx="97">
                  <c:v>44228</c:v>
                </c:pt>
                <c:pt idx="98">
                  <c:v>44256</c:v>
                </c:pt>
                <c:pt idx="99">
                  <c:v>44287</c:v>
                </c:pt>
                <c:pt idx="100">
                  <c:v>44317</c:v>
                </c:pt>
                <c:pt idx="101">
                  <c:v>44348</c:v>
                </c:pt>
                <c:pt idx="102">
                  <c:v>44378</c:v>
                </c:pt>
                <c:pt idx="103">
                  <c:v>44409</c:v>
                </c:pt>
                <c:pt idx="104">
                  <c:v>44440</c:v>
                </c:pt>
                <c:pt idx="105">
                  <c:v>44470</c:v>
                </c:pt>
                <c:pt idx="106">
                  <c:v>44501</c:v>
                </c:pt>
                <c:pt idx="107">
                  <c:v>44531</c:v>
                </c:pt>
                <c:pt idx="108">
                  <c:v>44562</c:v>
                </c:pt>
                <c:pt idx="109">
                  <c:v>44593</c:v>
                </c:pt>
                <c:pt idx="110">
                  <c:v>44621</c:v>
                </c:pt>
                <c:pt idx="111">
                  <c:v>44652</c:v>
                </c:pt>
                <c:pt idx="112">
                  <c:v>44682</c:v>
                </c:pt>
                <c:pt idx="113">
                  <c:v>44713</c:v>
                </c:pt>
                <c:pt idx="114">
                  <c:v>44743</c:v>
                </c:pt>
                <c:pt idx="115">
                  <c:v>44774</c:v>
                </c:pt>
                <c:pt idx="116">
                  <c:v>44805</c:v>
                </c:pt>
                <c:pt idx="117">
                  <c:v>44835</c:v>
                </c:pt>
                <c:pt idx="118">
                  <c:v>44866</c:v>
                </c:pt>
                <c:pt idx="119">
                  <c:v>44896</c:v>
                </c:pt>
                <c:pt idx="120">
                  <c:v>44927</c:v>
                </c:pt>
                <c:pt idx="121">
                  <c:v>44958</c:v>
                </c:pt>
                <c:pt idx="122">
                  <c:v>44986</c:v>
                </c:pt>
                <c:pt idx="123">
                  <c:v>45017</c:v>
                </c:pt>
                <c:pt idx="124">
                  <c:v>45047</c:v>
                </c:pt>
                <c:pt idx="125">
                  <c:v>45078</c:v>
                </c:pt>
                <c:pt idx="126">
                  <c:v>45108</c:v>
                </c:pt>
                <c:pt idx="127">
                  <c:v>45139</c:v>
                </c:pt>
                <c:pt idx="128">
                  <c:v>45170</c:v>
                </c:pt>
                <c:pt idx="129">
                  <c:v>45200</c:v>
                </c:pt>
                <c:pt idx="130">
                  <c:v>45231</c:v>
                </c:pt>
                <c:pt idx="131">
                  <c:v>45261</c:v>
                </c:pt>
                <c:pt idx="132" formatCode="yy">
                  <c:v>45292</c:v>
                </c:pt>
                <c:pt idx="133" formatCode="yy">
                  <c:v>45323</c:v>
                </c:pt>
                <c:pt idx="134" formatCode="yy">
                  <c:v>45352</c:v>
                </c:pt>
                <c:pt idx="135" formatCode="yy">
                  <c:v>45383</c:v>
                </c:pt>
                <c:pt idx="136" formatCode="yy">
                  <c:v>45413</c:v>
                </c:pt>
              </c:numCache>
            </c:numRef>
          </c:cat>
          <c:val>
            <c:numRef>
              <c:f>Inflacija!$Z$40:$Z$176</c:f>
              <c:numCache>
                <c:formatCode>General</c:formatCode>
                <c:ptCount val="137"/>
                <c:pt idx="0">
                  <c:v>0</c:v>
                </c:pt>
                <c:pt idx="12">
                  <c:v>0</c:v>
                </c:pt>
                <c:pt idx="24">
                  <c:v>0</c:v>
                </c:pt>
                <c:pt idx="36">
                  <c:v>0</c:v>
                </c:pt>
                <c:pt idx="48">
                  <c:v>0</c:v>
                </c:pt>
                <c:pt idx="60">
                  <c:v>0</c:v>
                </c:pt>
                <c:pt idx="72">
                  <c:v>0</c:v>
                </c:pt>
                <c:pt idx="84">
                  <c:v>0</c:v>
                </c:pt>
                <c:pt idx="96">
                  <c:v>0</c:v>
                </c:pt>
                <c:pt idx="108">
                  <c:v>0</c:v>
                </c:pt>
                <c:pt idx="120">
                  <c:v>0</c:v>
                </c:pt>
                <c:pt idx="132">
                  <c:v>0</c:v>
                </c:pt>
              </c:numCache>
            </c:numRef>
          </c:val>
          <c:smooth val="0"/>
          <c:extLst>
            <c:ext xmlns:c16="http://schemas.microsoft.com/office/drawing/2014/chart" uri="{C3380CC4-5D6E-409C-BE32-E72D297353CC}">
              <c16:uniqueId val="{00000010-A70B-45FE-83B9-9C33CAFEDB6A}"/>
            </c:ext>
          </c:extLst>
        </c:ser>
        <c:dLbls>
          <c:showLegendKey val="0"/>
          <c:showVal val="0"/>
          <c:showCatName val="0"/>
          <c:showSerName val="0"/>
          <c:showPercent val="0"/>
          <c:showBubbleSize val="0"/>
        </c:dLbls>
        <c:smooth val="0"/>
        <c:axId val="2067917072"/>
        <c:axId val="2067937744"/>
      </c:lineChart>
      <c:catAx>
        <c:axId val="2067917072"/>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744"/>
        <c:crosses val="autoZero"/>
        <c:auto val="0"/>
        <c:lblAlgn val="ctr"/>
        <c:lblOffset val="100"/>
        <c:tickLblSkip val="12"/>
        <c:tickMarkSkip val="1"/>
        <c:noMultiLvlLbl val="1"/>
      </c:catAx>
      <c:valAx>
        <c:axId val="2067937744"/>
        <c:scaling>
          <c:orientation val="minMax"/>
        </c:scaling>
        <c:delete val="0"/>
        <c:axPos val="l"/>
        <c:title>
          <c:tx>
            <c:rich>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r>
                  <a:rPr lang="sr-Latn-RS"/>
                  <a:t>%</a:t>
                </a:r>
                <a:endParaRPr lang="en-GB"/>
              </a:p>
            </c:rich>
          </c:tx>
          <c:layout>
            <c:manualLayout>
              <c:xMode val="edge"/>
              <c:yMode val="edge"/>
              <c:x val="0"/>
              <c:y val="0.37040632651146127"/>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7072"/>
        <c:crosses val="autoZero"/>
        <c:crossBetween val="midCat"/>
        <c:majorUnit val="2"/>
      </c:valAx>
      <c:spPr>
        <a:noFill/>
        <a:ln>
          <a:noFill/>
        </a:ln>
        <a:effectLst/>
      </c:spPr>
    </c:plotArea>
    <c:legend>
      <c:legendPos val="b"/>
      <c:legendEntry>
        <c:idx val="4"/>
        <c:delete val="1"/>
      </c:legendEntry>
      <c:legendEntry>
        <c:idx val="5"/>
        <c:delete val="1"/>
      </c:legendEntry>
      <c:layout>
        <c:manualLayout>
          <c:xMode val="edge"/>
          <c:yMode val="edge"/>
          <c:x val="5.2445156695156696E-2"/>
          <c:y val="0.75916055555555551"/>
          <c:w val="0.89270036496097616"/>
          <c:h val="0.2375377777777777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178986378388172E-2"/>
          <c:y val="5.3106332138590201E-2"/>
          <c:w val="0.80840046303318902"/>
          <c:h val="0.58882795698924728"/>
        </c:manualLayout>
      </c:layout>
      <c:barChart>
        <c:barDir val="col"/>
        <c:grouping val="stacked"/>
        <c:varyColors val="0"/>
        <c:ser>
          <c:idx val="0"/>
          <c:order val="0"/>
          <c:tx>
            <c:strRef>
              <c:f>NPL!$S$4</c:f>
              <c:strCache>
                <c:ptCount val="1"/>
                <c:pt idx="0">
                  <c:v>Привреда</c:v>
                </c:pt>
              </c:strCache>
            </c:strRef>
          </c:tx>
          <c:spPr>
            <a:solidFill>
              <a:srgbClr val="10103C"/>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IV 2024</c:v>
                </c:pt>
              </c:strCache>
            </c:strRef>
          </c:cat>
          <c:val>
            <c:numRef>
              <c:f>NPL!$S$5:$S$16</c:f>
              <c:numCache>
                <c:formatCode>#,##0</c:formatCode>
                <c:ptCount val="12"/>
                <c:pt idx="0">
                  <c:v>238.4</c:v>
                </c:pt>
                <c:pt idx="1">
                  <c:v>248.4</c:v>
                </c:pt>
                <c:pt idx="2" formatCode="0">
                  <c:v>216.8</c:v>
                </c:pt>
                <c:pt idx="3" formatCode="0">
                  <c:v>172.8</c:v>
                </c:pt>
                <c:pt idx="4" formatCode="0">
                  <c:v>107.6</c:v>
                </c:pt>
                <c:pt idx="5" formatCode="0">
                  <c:v>56.849434000000002</c:v>
                </c:pt>
                <c:pt idx="6" formatCode="0">
                  <c:v>38.949154999999998</c:v>
                </c:pt>
                <c:pt idx="7" formatCode="0">
                  <c:v>41.826799999999999</c:v>
                </c:pt>
                <c:pt idx="8" formatCode="0">
                  <c:v>43.140020999999997</c:v>
                </c:pt>
                <c:pt idx="9" formatCode="0">
                  <c:v>33.740698000000002</c:v>
                </c:pt>
                <c:pt idx="10" formatCode="0">
                  <c:v>34.603248999999998</c:v>
                </c:pt>
              </c:numCache>
            </c:numRef>
          </c:val>
          <c:extLst>
            <c:ext xmlns:c16="http://schemas.microsoft.com/office/drawing/2014/chart" uri="{C3380CC4-5D6E-409C-BE32-E72D297353CC}">
              <c16:uniqueId val="{00000000-C7D4-415B-93FE-0C808D860A79}"/>
            </c:ext>
          </c:extLst>
        </c:ser>
        <c:ser>
          <c:idx val="1"/>
          <c:order val="1"/>
          <c:tx>
            <c:strRef>
              <c:f>NPL!$T$4</c:f>
              <c:strCache>
                <c:ptCount val="1"/>
                <c:pt idx="0">
                  <c:v>Становништво</c:v>
                </c:pt>
              </c:strCache>
            </c:strRef>
          </c:tx>
          <c:spPr>
            <a:solidFill>
              <a:srgbClr val="2183C4"/>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IV 2024</c:v>
                </c:pt>
              </c:strCache>
            </c:strRef>
          </c:cat>
          <c:val>
            <c:numRef>
              <c:f>NPL!$T$5:$T$16</c:f>
              <c:numCache>
                <c:formatCode>#,##0</c:formatCode>
                <c:ptCount val="12"/>
                <c:pt idx="0">
                  <c:v>56.7</c:v>
                </c:pt>
                <c:pt idx="1">
                  <c:v>66.400000000000006</c:v>
                </c:pt>
                <c:pt idx="2" formatCode="0">
                  <c:v>73.400000000000006</c:v>
                </c:pt>
                <c:pt idx="3" formatCode="0">
                  <c:v>69.2</c:v>
                </c:pt>
                <c:pt idx="4" formatCode="0">
                  <c:v>45.4</c:v>
                </c:pt>
                <c:pt idx="5" formatCode="0">
                  <c:v>39.608241</c:v>
                </c:pt>
                <c:pt idx="6" formatCode="0">
                  <c:v>39.016837000000002</c:v>
                </c:pt>
                <c:pt idx="7" formatCode="0">
                  <c:v>40.746828000000001</c:v>
                </c:pt>
                <c:pt idx="8" formatCode="0">
                  <c:v>51.147905000000002</c:v>
                </c:pt>
                <c:pt idx="9" formatCode="0">
                  <c:v>52.061318999999997</c:v>
                </c:pt>
                <c:pt idx="10" formatCode="0">
                  <c:v>58.331890999999999</c:v>
                </c:pt>
              </c:numCache>
            </c:numRef>
          </c:val>
          <c:extLst>
            <c:ext xmlns:c16="http://schemas.microsoft.com/office/drawing/2014/chart" uri="{C3380CC4-5D6E-409C-BE32-E72D297353CC}">
              <c16:uniqueId val="{00000001-C7D4-415B-93FE-0C808D860A79}"/>
            </c:ext>
          </c:extLst>
        </c:ser>
        <c:ser>
          <c:idx val="2"/>
          <c:order val="2"/>
          <c:tx>
            <c:strRef>
              <c:f>NPL!$U$4</c:f>
              <c:strCache>
                <c:ptCount val="1"/>
                <c:pt idx="0">
                  <c:v>Остали</c:v>
                </c:pt>
              </c:strCache>
            </c:strRef>
          </c:tx>
          <c:spPr>
            <a:solidFill>
              <a:srgbClr val="51BBE7"/>
            </a:solidFill>
            <a:ln>
              <a:noFill/>
            </a:ln>
            <a:effectLst/>
          </c:spPr>
          <c:invertIfNegative val="0"/>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IV 2024</c:v>
                </c:pt>
              </c:strCache>
            </c:strRef>
          </c:cat>
          <c:val>
            <c:numRef>
              <c:f>NPL!$U$5:$U$16</c:f>
              <c:numCache>
                <c:formatCode>#,##0</c:formatCode>
                <c:ptCount val="12"/>
                <c:pt idx="0">
                  <c:v>100.2</c:v>
                </c:pt>
                <c:pt idx="1">
                  <c:v>106.4</c:v>
                </c:pt>
                <c:pt idx="2" formatCode="0">
                  <c:v>134.4</c:v>
                </c:pt>
                <c:pt idx="3" formatCode="0">
                  <c:v>103.8</c:v>
                </c:pt>
                <c:pt idx="4" formatCode="0">
                  <c:v>51.9</c:v>
                </c:pt>
                <c:pt idx="5" formatCode="0">
                  <c:v>34.192292000000002</c:v>
                </c:pt>
                <c:pt idx="6" formatCode="0">
                  <c:v>23.450085000000001</c:v>
                </c:pt>
                <c:pt idx="7" formatCode="0">
                  <c:v>19.835072</c:v>
                </c:pt>
                <c:pt idx="8" formatCode="0">
                  <c:v>14.723131</c:v>
                </c:pt>
                <c:pt idx="9" formatCode="0">
                  <c:v>13.706968</c:v>
                </c:pt>
                <c:pt idx="10" formatCode="0">
                  <c:v>14.360376</c:v>
                </c:pt>
              </c:numCache>
            </c:numRef>
          </c:val>
          <c:extLst>
            <c:ext xmlns:c16="http://schemas.microsoft.com/office/drawing/2014/chart" uri="{C3380CC4-5D6E-409C-BE32-E72D297353CC}">
              <c16:uniqueId val="{00000002-C7D4-415B-93FE-0C808D860A79}"/>
            </c:ext>
          </c:extLst>
        </c:ser>
        <c:dLbls>
          <c:showLegendKey val="0"/>
          <c:showVal val="0"/>
          <c:showCatName val="0"/>
          <c:showSerName val="0"/>
          <c:showPercent val="0"/>
          <c:showBubbleSize val="0"/>
        </c:dLbls>
        <c:gapWidth val="40"/>
        <c:overlap val="100"/>
        <c:axId val="1839178672"/>
        <c:axId val="1839199888"/>
      </c:barChart>
      <c:lineChart>
        <c:grouping val="standard"/>
        <c:varyColors val="0"/>
        <c:ser>
          <c:idx val="3"/>
          <c:order val="3"/>
          <c:tx>
            <c:strRef>
              <c:f>NPL!$V$4</c:f>
              <c:strCache>
                <c:ptCount val="1"/>
                <c:pt idx="0">
                  <c:v>NPL % (бруто)</c:v>
                </c:pt>
              </c:strCache>
            </c:strRef>
          </c:tx>
          <c:spPr>
            <a:ln w="25400" cap="rnd">
              <a:solidFill>
                <a:srgbClr val="FF0000"/>
              </a:solidFill>
              <a:round/>
            </a:ln>
            <a:effectLst/>
          </c:spPr>
          <c:marker>
            <c:symbol val="none"/>
          </c:marker>
          <c:dLbls>
            <c:dLbl>
              <c:idx val="1"/>
              <c:layout>
                <c:manualLayout>
                  <c:x val="-6.9537037037037064E-2"/>
                  <c:y val="-8.848649229923649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7D4-415B-93FE-0C808D860A79}"/>
                </c:ext>
              </c:extLst>
            </c:dLbl>
            <c:dLbl>
              <c:idx val="2"/>
              <c:layout>
                <c:manualLayout>
                  <c:x val="-5.564814814814819E-2"/>
                  <c:y val="-8.08992388849724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7D4-415B-93FE-0C808D860A79}"/>
                </c:ext>
              </c:extLst>
            </c:dLbl>
            <c:dLbl>
              <c:idx val="4"/>
              <c:layout>
                <c:manualLayout>
                  <c:x val="-5.3240740740740741E-2"/>
                  <c:y val="-8.848649229923652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7D4-415B-93FE-0C808D860A79}"/>
                </c:ext>
              </c:extLst>
            </c:dLbl>
            <c:dLbl>
              <c:idx val="11"/>
              <c:layout>
                <c:manualLayout>
                  <c:x val="-6.7129629629629636E-2"/>
                  <c:y val="-5.81374786421803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7D4-415B-93FE-0C808D860A79}"/>
                </c:ext>
              </c:extLst>
            </c:dLbl>
            <c:numFmt formatCode="0.0%" sourceLinked="0"/>
            <c:spPr>
              <a:noFill/>
              <a:ln>
                <a:noFill/>
              </a:ln>
              <a:effectLst/>
            </c:spPr>
            <c:txPr>
              <a:bodyPr rot="0" spcFirstLastPara="1" vertOverflow="ellipsis" vert="horz" wrap="square" anchor="ctr" anchorCtr="1"/>
              <a:lstStyle/>
              <a:p>
                <a:pPr>
                  <a:defRPr sz="60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NPL!$Q$5:$Q$16</c:f>
              <c:strCache>
                <c:ptCount val="12"/>
                <c:pt idx="0">
                  <c:v>2013</c:v>
                </c:pt>
                <c:pt idx="1">
                  <c:v>2014</c:v>
                </c:pt>
                <c:pt idx="2">
                  <c:v>2015</c:v>
                </c:pt>
                <c:pt idx="3">
                  <c:v>2016</c:v>
                </c:pt>
                <c:pt idx="4">
                  <c:v>2017</c:v>
                </c:pt>
                <c:pt idx="5">
                  <c:v>2018</c:v>
                </c:pt>
                <c:pt idx="6">
                  <c:v>2019</c:v>
                </c:pt>
                <c:pt idx="7">
                  <c:v>2020</c:v>
                </c:pt>
                <c:pt idx="8">
                  <c:v>2021</c:v>
                </c:pt>
                <c:pt idx="9">
                  <c:v>2022</c:v>
                </c:pt>
                <c:pt idx="10">
                  <c:v>2023</c:v>
                </c:pt>
                <c:pt idx="11">
                  <c:v>IV 2024</c:v>
                </c:pt>
              </c:strCache>
            </c:strRef>
          </c:cat>
          <c:val>
            <c:numRef>
              <c:f>NPL!$V$5:$V$16</c:f>
              <c:numCache>
                <c:formatCode>#,#00%</c:formatCode>
                <c:ptCount val="12"/>
                <c:pt idx="0">
                  <c:v>0.2137</c:v>
                </c:pt>
                <c:pt idx="1">
                  <c:v>0.21539999999999998</c:v>
                </c:pt>
                <c:pt idx="2">
                  <c:v>0.216</c:v>
                </c:pt>
                <c:pt idx="3">
                  <c:v>0.17030000000000001</c:v>
                </c:pt>
                <c:pt idx="4">
                  <c:v>9.8500000000000004E-2</c:v>
                </c:pt>
                <c:pt idx="5">
                  <c:v>5.7000000000000002E-2</c:v>
                </c:pt>
                <c:pt idx="6">
                  <c:v>4.1000000000000002E-2</c:v>
                </c:pt>
                <c:pt idx="7">
                  <c:v>3.6999999999999998E-2</c:v>
                </c:pt>
                <c:pt idx="8">
                  <c:v>3.5999999999999997E-2</c:v>
                </c:pt>
                <c:pt idx="9">
                  <c:v>0.03</c:v>
                </c:pt>
                <c:pt idx="10">
                  <c:v>3.2000000000000001E-2</c:v>
                </c:pt>
                <c:pt idx="11">
                  <c:v>3.1E-2</c:v>
                </c:pt>
              </c:numCache>
            </c:numRef>
          </c:val>
          <c:smooth val="0"/>
          <c:extLst>
            <c:ext xmlns:c16="http://schemas.microsoft.com/office/drawing/2014/chart" uri="{C3380CC4-5D6E-409C-BE32-E72D297353CC}">
              <c16:uniqueId val="{00000003-C7D4-415B-93FE-0C808D860A79}"/>
            </c:ext>
          </c:extLst>
        </c:ser>
        <c:dLbls>
          <c:showLegendKey val="0"/>
          <c:showVal val="0"/>
          <c:showCatName val="0"/>
          <c:showSerName val="0"/>
          <c:showPercent val="0"/>
          <c:showBubbleSize val="0"/>
        </c:dLbls>
        <c:marker val="1"/>
        <c:smooth val="0"/>
        <c:axId val="1839198256"/>
        <c:axId val="1839197712"/>
      </c:lineChart>
      <c:catAx>
        <c:axId val="1839178672"/>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9888"/>
        <c:crosses val="autoZero"/>
        <c:auto val="1"/>
        <c:lblAlgn val="ctr"/>
        <c:lblOffset val="100"/>
        <c:noMultiLvlLbl val="0"/>
      </c:catAx>
      <c:valAx>
        <c:axId val="1839199888"/>
        <c:scaling>
          <c:orientation val="minMax"/>
          <c:max val="4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8672"/>
        <c:crosses val="autoZero"/>
        <c:crossBetween val="between"/>
        <c:majorUnit val="100"/>
      </c:valAx>
      <c:valAx>
        <c:axId val="1839197712"/>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8256"/>
        <c:crosses val="max"/>
        <c:crossBetween val="between"/>
      </c:valAx>
      <c:catAx>
        <c:axId val="1839198256"/>
        <c:scaling>
          <c:orientation val="minMax"/>
        </c:scaling>
        <c:delete val="1"/>
        <c:axPos val="b"/>
        <c:numFmt formatCode="General" sourceLinked="1"/>
        <c:majorTickMark val="out"/>
        <c:minorTickMark val="none"/>
        <c:tickLblPos val="nextTo"/>
        <c:crossAx val="1839197712"/>
        <c:crosses val="autoZero"/>
        <c:auto val="1"/>
        <c:lblAlgn val="ctr"/>
        <c:lblOffset val="100"/>
        <c:noMultiLvlLbl val="0"/>
      </c:catAx>
      <c:spPr>
        <a:noFill/>
        <a:ln>
          <a:noFill/>
        </a:ln>
        <a:effectLst/>
      </c:spPr>
    </c:plotArea>
    <c:legend>
      <c:legendPos val="b"/>
      <c:layout>
        <c:manualLayout>
          <c:xMode val="edge"/>
          <c:yMode val="edge"/>
          <c:x val="0.14793963254593176"/>
          <c:y val="0.82833811230585419"/>
          <c:w val="0.76430592009332154"/>
          <c:h val="0.14890203106332139"/>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067586007101372E-2"/>
          <c:y val="5.6338028169014086E-2"/>
          <c:w val="0.79899510791436967"/>
          <c:h val="0.65544933643857894"/>
        </c:manualLayout>
      </c:layout>
      <c:barChart>
        <c:barDir val="col"/>
        <c:grouping val="clustered"/>
        <c:varyColors val="0"/>
        <c:ser>
          <c:idx val="1"/>
          <c:order val="1"/>
          <c:tx>
            <c:strRef>
              <c:f>'Devizni kurs'!$V$2</c:f>
              <c:strCache>
                <c:ptCount val="1"/>
                <c:pt idx="0">
                  <c:v>Интервенције НБС, нето, мил. евра (десна скала)</c:v>
                </c:pt>
              </c:strCache>
            </c:strRef>
          </c:tx>
          <c:spPr>
            <a:solidFill>
              <a:srgbClr val="29489A"/>
            </a:solidFill>
            <a:ln>
              <a:noFill/>
            </a:ln>
            <a:effectLst/>
          </c:spPr>
          <c:invertIfNegative val="0"/>
          <c:cat>
            <c:numRef>
              <c:f>'Devizni kurs'!$Q$39:$Q$163</c:f>
              <c:numCache>
                <c:formatCode>yyyy</c:formatCode>
                <c:ptCount val="125"/>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numCache>
            </c:numRef>
          </c:cat>
          <c:val>
            <c:numRef>
              <c:f>'Devizni kurs'!$V$39:$V$163</c:f>
              <c:numCache>
                <c:formatCode>General</c:formatCode>
                <c:ptCount val="125"/>
                <c:pt idx="0">
                  <c:v>330</c:v>
                </c:pt>
                <c:pt idx="1">
                  <c:v>280</c:v>
                </c:pt>
                <c:pt idx="2">
                  <c:v>190</c:v>
                </c:pt>
                <c:pt idx="3">
                  <c:v>-110</c:v>
                </c:pt>
                <c:pt idx="4">
                  <c:v>-20</c:v>
                </c:pt>
                <c:pt idx="5" formatCode="0">
                  <c:v>-40</c:v>
                </c:pt>
                <c:pt idx="6">
                  <c:v>30</c:v>
                </c:pt>
                <c:pt idx="7">
                  <c:v>60</c:v>
                </c:pt>
                <c:pt idx="8">
                  <c:v>135</c:v>
                </c:pt>
                <c:pt idx="9">
                  <c:v>140</c:v>
                </c:pt>
                <c:pt idx="10">
                  <c:v>250</c:v>
                </c:pt>
                <c:pt idx="11">
                  <c:v>375</c:v>
                </c:pt>
                <c:pt idx="12">
                  <c:v>90</c:v>
                </c:pt>
                <c:pt idx="13">
                  <c:v>-140</c:v>
                </c:pt>
                <c:pt idx="14">
                  <c:v>-120</c:v>
                </c:pt>
                <c:pt idx="15">
                  <c:v>-110</c:v>
                </c:pt>
                <c:pt idx="16">
                  <c:v>0</c:v>
                </c:pt>
                <c:pt idx="17">
                  <c:v>-10</c:v>
                </c:pt>
                <c:pt idx="18">
                  <c:v>-230</c:v>
                </c:pt>
                <c:pt idx="19">
                  <c:v>-130</c:v>
                </c:pt>
                <c:pt idx="20">
                  <c:v>-80</c:v>
                </c:pt>
                <c:pt idx="21">
                  <c:v>-60</c:v>
                </c:pt>
                <c:pt idx="22">
                  <c:v>0</c:v>
                </c:pt>
                <c:pt idx="23">
                  <c:v>270</c:v>
                </c:pt>
                <c:pt idx="24">
                  <c:v>290</c:v>
                </c:pt>
                <c:pt idx="25">
                  <c:v>100</c:v>
                </c:pt>
                <c:pt idx="26">
                  <c:v>175</c:v>
                </c:pt>
                <c:pt idx="27">
                  <c:v>140</c:v>
                </c:pt>
                <c:pt idx="28">
                  <c:v>65</c:v>
                </c:pt>
                <c:pt idx="29">
                  <c:v>50</c:v>
                </c:pt>
                <c:pt idx="30">
                  <c:v>-355</c:v>
                </c:pt>
                <c:pt idx="31">
                  <c:v>-90</c:v>
                </c:pt>
                <c:pt idx="32">
                  <c:v>-30</c:v>
                </c:pt>
                <c:pt idx="33">
                  <c:v>-135</c:v>
                </c:pt>
                <c:pt idx="34">
                  <c:v>-60</c:v>
                </c:pt>
                <c:pt idx="35">
                  <c:v>10</c:v>
                </c:pt>
                <c:pt idx="36">
                  <c:v>225</c:v>
                </c:pt>
                <c:pt idx="37">
                  <c:v>105</c:v>
                </c:pt>
                <c:pt idx="38">
                  <c:v>15</c:v>
                </c:pt>
                <c:pt idx="39">
                  <c:v>-40</c:v>
                </c:pt>
                <c:pt idx="40">
                  <c:v>-120</c:v>
                </c:pt>
                <c:pt idx="41">
                  <c:v>-345</c:v>
                </c:pt>
                <c:pt idx="42">
                  <c:v>-165</c:v>
                </c:pt>
                <c:pt idx="43">
                  <c:v>-290</c:v>
                </c:pt>
                <c:pt idx="44">
                  <c:v>-150</c:v>
                </c:pt>
                <c:pt idx="45">
                  <c:v>-15</c:v>
                </c:pt>
                <c:pt idx="46">
                  <c:v>-50</c:v>
                </c:pt>
                <c:pt idx="47">
                  <c:v>135</c:v>
                </c:pt>
                <c:pt idx="48">
                  <c:v>180</c:v>
                </c:pt>
                <c:pt idx="49">
                  <c:v>-180</c:v>
                </c:pt>
                <c:pt idx="50">
                  <c:v>-400</c:v>
                </c:pt>
                <c:pt idx="51">
                  <c:v>-205</c:v>
                </c:pt>
                <c:pt idx="52">
                  <c:v>-220</c:v>
                </c:pt>
                <c:pt idx="53">
                  <c:v>-365</c:v>
                </c:pt>
                <c:pt idx="54">
                  <c:v>-220</c:v>
                </c:pt>
                <c:pt idx="55">
                  <c:v>-190</c:v>
                </c:pt>
                <c:pt idx="56">
                  <c:v>5</c:v>
                </c:pt>
                <c:pt idx="57">
                  <c:v>30</c:v>
                </c:pt>
                <c:pt idx="58">
                  <c:v>-15</c:v>
                </c:pt>
                <c:pt idx="59">
                  <c:v>0</c:v>
                </c:pt>
                <c:pt idx="60">
                  <c:v>130</c:v>
                </c:pt>
                <c:pt idx="61">
                  <c:v>-30</c:v>
                </c:pt>
                <c:pt idx="62">
                  <c:v>-135</c:v>
                </c:pt>
                <c:pt idx="63">
                  <c:v>-75</c:v>
                </c:pt>
                <c:pt idx="64" formatCode="0">
                  <c:v>-110</c:v>
                </c:pt>
                <c:pt idx="65" formatCode="0">
                  <c:v>-735</c:v>
                </c:pt>
                <c:pt idx="66" formatCode="0">
                  <c:v>-645</c:v>
                </c:pt>
                <c:pt idx="67" formatCode="0">
                  <c:v>-105</c:v>
                </c:pt>
                <c:pt idx="68" formatCode="0">
                  <c:v>-410</c:v>
                </c:pt>
                <c:pt idx="69">
                  <c:v>-235</c:v>
                </c:pt>
                <c:pt idx="70">
                  <c:v>0</c:v>
                </c:pt>
                <c:pt idx="71">
                  <c:v>-355</c:v>
                </c:pt>
                <c:pt idx="72">
                  <c:v>-15</c:v>
                </c:pt>
                <c:pt idx="73">
                  <c:v>65</c:v>
                </c:pt>
                <c:pt idx="74">
                  <c:v>135</c:v>
                </c:pt>
                <c:pt idx="75">
                  <c:v>440</c:v>
                </c:pt>
                <c:pt idx="76">
                  <c:v>250</c:v>
                </c:pt>
                <c:pt idx="77">
                  <c:v>155</c:v>
                </c:pt>
                <c:pt idx="78">
                  <c:v>325</c:v>
                </c:pt>
                <c:pt idx="79">
                  <c:v>160</c:v>
                </c:pt>
                <c:pt idx="80">
                  <c:v>120</c:v>
                </c:pt>
                <c:pt idx="81">
                  <c:v>100</c:v>
                </c:pt>
                <c:pt idx="82">
                  <c:v>-115</c:v>
                </c:pt>
                <c:pt idx="83">
                  <c:v>-170</c:v>
                </c:pt>
                <c:pt idx="84">
                  <c:v>105</c:v>
                </c:pt>
                <c:pt idx="85">
                  <c:v>-55</c:v>
                </c:pt>
                <c:pt idx="86">
                  <c:v>0</c:v>
                </c:pt>
                <c:pt idx="87">
                  <c:v>0</c:v>
                </c:pt>
                <c:pt idx="88">
                  <c:v>-45</c:v>
                </c:pt>
                <c:pt idx="89">
                  <c:v>-325</c:v>
                </c:pt>
                <c:pt idx="90">
                  <c:v>-380</c:v>
                </c:pt>
                <c:pt idx="91">
                  <c:v>-265</c:v>
                </c:pt>
                <c:pt idx="92">
                  <c:v>-135</c:v>
                </c:pt>
                <c:pt idx="93">
                  <c:v>140</c:v>
                </c:pt>
                <c:pt idx="94">
                  <c:v>110</c:v>
                </c:pt>
                <c:pt idx="95">
                  <c:v>205</c:v>
                </c:pt>
                <c:pt idx="96">
                  <c:v>340</c:v>
                </c:pt>
                <c:pt idx="97">
                  <c:v>605</c:v>
                </c:pt>
                <c:pt idx="98">
                  <c:v>1170</c:v>
                </c:pt>
                <c:pt idx="99">
                  <c:v>155</c:v>
                </c:pt>
                <c:pt idx="100">
                  <c:v>-75</c:v>
                </c:pt>
                <c:pt idx="101">
                  <c:v>-405</c:v>
                </c:pt>
                <c:pt idx="102">
                  <c:v>-435</c:v>
                </c:pt>
                <c:pt idx="103">
                  <c:v>-450</c:v>
                </c:pt>
                <c:pt idx="104">
                  <c:v>-480</c:v>
                </c:pt>
                <c:pt idx="105">
                  <c:v>-525</c:v>
                </c:pt>
                <c:pt idx="106">
                  <c:v>-350</c:v>
                </c:pt>
                <c:pt idx="107">
                  <c:v>-550</c:v>
                </c:pt>
                <c:pt idx="108">
                  <c:v>225</c:v>
                </c:pt>
                <c:pt idx="109">
                  <c:v>-390</c:v>
                </c:pt>
                <c:pt idx="110">
                  <c:v>-300</c:v>
                </c:pt>
                <c:pt idx="111">
                  <c:v>-600</c:v>
                </c:pt>
                <c:pt idx="112">
                  <c:v>-255</c:v>
                </c:pt>
                <c:pt idx="113">
                  <c:v>-540</c:v>
                </c:pt>
                <c:pt idx="114">
                  <c:v>-595</c:v>
                </c:pt>
                <c:pt idx="115">
                  <c:v>-315</c:v>
                </c:pt>
                <c:pt idx="116">
                  <c:v>-615</c:v>
                </c:pt>
                <c:pt idx="117">
                  <c:v>-25</c:v>
                </c:pt>
                <c:pt idx="118">
                  <c:v>60</c:v>
                </c:pt>
                <c:pt idx="119">
                  <c:v>-590</c:v>
                </c:pt>
                <c:pt idx="120">
                  <c:v>45</c:v>
                </c:pt>
                <c:pt idx="121">
                  <c:v>-345</c:v>
                </c:pt>
                <c:pt idx="122">
                  <c:v>-20</c:v>
                </c:pt>
                <c:pt idx="123">
                  <c:v>-210</c:v>
                </c:pt>
                <c:pt idx="124">
                  <c:v>-105</c:v>
                </c:pt>
              </c:numCache>
            </c:numRef>
          </c:val>
          <c:extLst>
            <c:ext xmlns:c16="http://schemas.microsoft.com/office/drawing/2014/chart" uri="{C3380CC4-5D6E-409C-BE32-E72D297353CC}">
              <c16:uniqueId val="{00000000-A308-45B4-8011-A64AA289FB16}"/>
            </c:ext>
          </c:extLst>
        </c:ser>
        <c:dLbls>
          <c:showLegendKey val="0"/>
          <c:showVal val="0"/>
          <c:showCatName val="0"/>
          <c:showSerName val="0"/>
          <c:showPercent val="0"/>
          <c:showBubbleSize val="0"/>
        </c:dLbls>
        <c:gapWidth val="30"/>
        <c:axId val="1839186832"/>
        <c:axId val="1839203696"/>
      </c:barChart>
      <c:lineChart>
        <c:grouping val="standard"/>
        <c:varyColors val="0"/>
        <c:ser>
          <c:idx val="0"/>
          <c:order val="0"/>
          <c:tx>
            <c:strRef>
              <c:f>'Devizni kurs'!$U$2</c:f>
              <c:strCache>
                <c:ptCount val="1"/>
                <c:pt idx="0">
                  <c:v>Просечан девизни курс ЕУР/РСД</c:v>
                </c:pt>
              </c:strCache>
            </c:strRef>
          </c:tx>
          <c:spPr>
            <a:ln w="22225" cap="rnd">
              <a:solidFill>
                <a:srgbClr val="FF0000"/>
              </a:solidFill>
              <a:round/>
            </a:ln>
            <a:effectLst/>
          </c:spPr>
          <c:marker>
            <c:symbol val="none"/>
          </c:marker>
          <c:cat>
            <c:numRef>
              <c:f>'Devizni kurs'!$Q$39:$Q$163</c:f>
              <c:numCache>
                <c:formatCode>yyyy</c:formatCode>
                <c:ptCount val="125"/>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numCache>
            </c:numRef>
          </c:cat>
          <c:val>
            <c:numRef>
              <c:f>'Devizni kurs'!$U$39:$U$163</c:f>
              <c:numCache>
                <c:formatCode>0.00</c:formatCode>
                <c:ptCount val="125"/>
                <c:pt idx="0">
                  <c:v>115.50068000000002</c:v>
                </c:pt>
                <c:pt idx="1">
                  <c:v>115.89948421052632</c:v>
                </c:pt>
                <c:pt idx="2">
                  <c:v>115.84343333333334</c:v>
                </c:pt>
                <c:pt idx="3">
                  <c:v>115.5407</c:v>
                </c:pt>
                <c:pt idx="4">
                  <c:v>115.65779999999999</c:v>
                </c:pt>
                <c:pt idx="5">
                  <c:v>115.5341</c:v>
                </c:pt>
                <c:pt idx="6">
                  <c:v>116.22490000000001</c:v>
                </c:pt>
                <c:pt idx="7">
                  <c:v>117.3078</c:v>
                </c:pt>
                <c:pt idx="8">
                  <c:v>118.61799999999999</c:v>
                </c:pt>
                <c:pt idx="9">
                  <c:v>119.3497</c:v>
                </c:pt>
                <c:pt idx="10">
                  <c:v>119.9829</c:v>
                </c:pt>
                <c:pt idx="11">
                  <c:v>121.53</c:v>
                </c:pt>
                <c:pt idx="12">
                  <c:v>122.62</c:v>
                </c:pt>
                <c:pt idx="13">
                  <c:v>121.58</c:v>
                </c:pt>
                <c:pt idx="14">
                  <c:v>120.47</c:v>
                </c:pt>
                <c:pt idx="15">
                  <c:v>120.17</c:v>
                </c:pt>
                <c:pt idx="16">
                  <c:v>120.59</c:v>
                </c:pt>
                <c:pt idx="17">
                  <c:v>120.55517727272726</c:v>
                </c:pt>
                <c:pt idx="18">
                  <c:v>120.21342173913044</c:v>
                </c:pt>
                <c:pt idx="19">
                  <c:v>120.22183333333331</c:v>
                </c:pt>
                <c:pt idx="20">
                  <c:v>120.18703181818181</c:v>
                </c:pt>
                <c:pt idx="21">
                  <c:v>120.07991818181817</c:v>
                </c:pt>
                <c:pt idx="22">
                  <c:v>120.65054000000001</c:v>
                </c:pt>
                <c:pt idx="23">
                  <c:v>121.75174782608696</c:v>
                </c:pt>
                <c:pt idx="24">
                  <c:v>122.54524736842107</c:v>
                </c:pt>
                <c:pt idx="25">
                  <c:v>122.87654736842104</c:v>
                </c:pt>
                <c:pt idx="26">
                  <c:v>123.13206956521738</c:v>
                </c:pt>
                <c:pt idx="27">
                  <c:v>122.80799500000001</c:v>
                </c:pt>
                <c:pt idx="28">
                  <c:v>122.82450500000002</c:v>
                </c:pt>
                <c:pt idx="29">
                  <c:v>123.40000909090909</c:v>
                </c:pt>
                <c:pt idx="30">
                  <c:v>123.34886190476189</c:v>
                </c:pt>
                <c:pt idx="31">
                  <c:v>123.30531739130437</c:v>
                </c:pt>
                <c:pt idx="32">
                  <c:v>123.23121818181816</c:v>
                </c:pt>
                <c:pt idx="33">
                  <c:v>123.17817142857142</c:v>
                </c:pt>
                <c:pt idx="34">
                  <c:v>123.18741904761906</c:v>
                </c:pt>
                <c:pt idx="35">
                  <c:v>123.42</c:v>
                </c:pt>
                <c:pt idx="36">
                  <c:v>123.8</c:v>
                </c:pt>
                <c:pt idx="37">
                  <c:v>123.94</c:v>
                </c:pt>
                <c:pt idx="38">
                  <c:v>123.89</c:v>
                </c:pt>
                <c:pt idx="39">
                  <c:v>123.66</c:v>
                </c:pt>
                <c:pt idx="40">
                  <c:v>123.05</c:v>
                </c:pt>
                <c:pt idx="41">
                  <c:v>122.02</c:v>
                </c:pt>
                <c:pt idx="42">
                  <c:v>120.42</c:v>
                </c:pt>
                <c:pt idx="43">
                  <c:v>119.57</c:v>
                </c:pt>
                <c:pt idx="44">
                  <c:v>119.2957</c:v>
                </c:pt>
                <c:pt idx="45">
                  <c:v>119.2818</c:v>
                </c:pt>
                <c:pt idx="46">
                  <c:v>118.89884545454547</c:v>
                </c:pt>
                <c:pt idx="47">
                  <c:v>119.13943333333332</c:v>
                </c:pt>
                <c:pt idx="48">
                  <c:v>118.61770952380952</c:v>
                </c:pt>
                <c:pt idx="49">
                  <c:v>118.39149999999999</c:v>
                </c:pt>
                <c:pt idx="50">
                  <c:v>118.2688</c:v>
                </c:pt>
                <c:pt idx="51">
                  <c:v>118.19159999999999</c:v>
                </c:pt>
                <c:pt idx="52">
                  <c:v>118.18894761904762</c:v>
                </c:pt>
                <c:pt idx="53">
                  <c:v>118.13484285714287</c:v>
                </c:pt>
                <c:pt idx="54">
                  <c:v>118.04732272727273</c:v>
                </c:pt>
                <c:pt idx="55">
                  <c:v>118.10411304347828</c:v>
                </c:pt>
                <c:pt idx="56">
                  <c:v>118.278565</c:v>
                </c:pt>
                <c:pt idx="57">
                  <c:v>118.43672608695648</c:v>
                </c:pt>
                <c:pt idx="58">
                  <c:v>118.34287619047618</c:v>
                </c:pt>
                <c:pt idx="59">
                  <c:v>118.27724285714282</c:v>
                </c:pt>
                <c:pt idx="60">
                  <c:v>118.41</c:v>
                </c:pt>
                <c:pt idx="61">
                  <c:v>118.24</c:v>
                </c:pt>
                <c:pt idx="62">
                  <c:v>118.04</c:v>
                </c:pt>
                <c:pt idx="63">
                  <c:v>117.99</c:v>
                </c:pt>
                <c:pt idx="64">
                  <c:v>117.96469999999999</c:v>
                </c:pt>
                <c:pt idx="65">
                  <c:v>117.93766999999998</c:v>
                </c:pt>
                <c:pt idx="66">
                  <c:v>117.78449999999999</c:v>
                </c:pt>
                <c:pt idx="67">
                  <c:v>117.777</c:v>
                </c:pt>
                <c:pt idx="68">
                  <c:v>117.5958</c:v>
                </c:pt>
                <c:pt idx="69">
                  <c:v>117.5453</c:v>
                </c:pt>
                <c:pt idx="70">
                  <c:v>117.51315499999998</c:v>
                </c:pt>
                <c:pt idx="71">
                  <c:v>117.54</c:v>
                </c:pt>
                <c:pt idx="72">
                  <c:v>117.5643</c:v>
                </c:pt>
                <c:pt idx="73">
                  <c:v>117.57170000000001</c:v>
                </c:pt>
                <c:pt idx="74">
                  <c:v>117.5625</c:v>
                </c:pt>
                <c:pt idx="75">
                  <c:v>117.5694</c:v>
                </c:pt>
                <c:pt idx="76">
                  <c:v>117.5913</c:v>
                </c:pt>
                <c:pt idx="77">
                  <c:v>117.5852</c:v>
                </c:pt>
                <c:pt idx="78">
                  <c:v>117.58579130434782</c:v>
                </c:pt>
                <c:pt idx="79">
                  <c:v>117.58645238095237</c:v>
                </c:pt>
                <c:pt idx="80">
                  <c:v>117.58302727272726</c:v>
                </c:pt>
                <c:pt idx="81" formatCode="General">
                  <c:v>117.58</c:v>
                </c:pt>
                <c:pt idx="82">
                  <c:v>117.57380000000001</c:v>
                </c:pt>
                <c:pt idx="83">
                  <c:v>117.57769999999999</c:v>
                </c:pt>
                <c:pt idx="84">
                  <c:v>117.58203684210527</c:v>
                </c:pt>
                <c:pt idx="85">
                  <c:v>117.57634999999998</c:v>
                </c:pt>
                <c:pt idx="86">
                  <c:v>117.57657826086957</c:v>
                </c:pt>
                <c:pt idx="87">
                  <c:v>117.57283333333332</c:v>
                </c:pt>
                <c:pt idx="88">
                  <c:v>117.57888421052631</c:v>
                </c:pt>
                <c:pt idx="89">
                  <c:v>117.57026363636363</c:v>
                </c:pt>
                <c:pt idx="90">
                  <c:v>117.56288181818182</c:v>
                </c:pt>
                <c:pt idx="91">
                  <c:v>117.56745909090908</c:v>
                </c:pt>
                <c:pt idx="92">
                  <c:v>117.5668</c:v>
                </c:pt>
                <c:pt idx="93">
                  <c:v>117.56744285714285</c:v>
                </c:pt>
                <c:pt idx="94">
                  <c:v>117.58056666666668</c:v>
                </c:pt>
                <c:pt idx="95">
                  <c:v>117.58005217391303</c:v>
                </c:pt>
                <c:pt idx="96">
                  <c:v>117.58427894736842</c:v>
                </c:pt>
                <c:pt idx="97">
                  <c:v>117.59068333333335</c:v>
                </c:pt>
                <c:pt idx="98">
                  <c:v>117.67664782608693</c:v>
                </c:pt>
                <c:pt idx="99">
                  <c:v>117.72751578947369</c:v>
                </c:pt>
                <c:pt idx="100">
                  <c:v>117.55720999999998</c:v>
                </c:pt>
                <c:pt idx="101">
                  <c:v>117.42971363636362</c:v>
                </c:pt>
                <c:pt idx="102">
                  <c:v>117.39375714285714</c:v>
                </c:pt>
                <c:pt idx="103">
                  <c:v>117.35496086956519</c:v>
                </c:pt>
                <c:pt idx="104">
                  <c:v>117.32463636363637</c:v>
                </c:pt>
                <c:pt idx="105">
                  <c:v>117.31286666666665</c:v>
                </c:pt>
                <c:pt idx="106">
                  <c:v>117.30856666666664</c:v>
                </c:pt>
                <c:pt idx="107">
                  <c:v>117.30965454545456</c:v>
                </c:pt>
                <c:pt idx="108">
                  <c:v>117.36350499999999</c:v>
                </c:pt>
                <c:pt idx="109">
                  <c:v>117.32664444444445</c:v>
                </c:pt>
                <c:pt idx="110">
                  <c:v>117.31440869565216</c:v>
                </c:pt>
                <c:pt idx="111">
                  <c:v>117.2824</c:v>
                </c:pt>
                <c:pt idx="112">
                  <c:v>117.2831</c:v>
                </c:pt>
                <c:pt idx="113">
                  <c:v>117.2731</c:v>
                </c:pt>
                <c:pt idx="114">
                  <c:v>117.2269</c:v>
                </c:pt>
                <c:pt idx="115">
                  <c:v>117.2139</c:v>
                </c:pt>
                <c:pt idx="116">
                  <c:v>117.20146666666668</c:v>
                </c:pt>
                <c:pt idx="117">
                  <c:v>117.1851590909091</c:v>
                </c:pt>
                <c:pt idx="118">
                  <c:v>117.19343181818181</c:v>
                </c:pt>
                <c:pt idx="119">
                  <c:v>117.17399523809523</c:v>
                </c:pt>
                <c:pt idx="120">
                  <c:v>117.21023333333335</c:v>
                </c:pt>
                <c:pt idx="121">
                  <c:v>117.17954210526314</c:v>
                </c:pt>
                <c:pt idx="122">
                  <c:v>117.19119047619047</c:v>
                </c:pt>
                <c:pt idx="123">
                  <c:v>117.13836363636364</c:v>
                </c:pt>
                <c:pt idx="124">
                  <c:v>117.11607368421052</c:v>
                </c:pt>
              </c:numCache>
            </c:numRef>
          </c:val>
          <c:smooth val="0"/>
          <c:extLst>
            <c:ext xmlns:c16="http://schemas.microsoft.com/office/drawing/2014/chart" uri="{C3380CC4-5D6E-409C-BE32-E72D297353CC}">
              <c16:uniqueId val="{00000001-A308-45B4-8011-A64AA289FB16}"/>
            </c:ext>
          </c:extLst>
        </c:ser>
        <c:ser>
          <c:idx val="2"/>
          <c:order val="2"/>
          <c:tx>
            <c:strRef>
              <c:f>'Devizni kurs'!$W$2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8575676036203562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308-45B4-8011-A64AA289FB16}"/>
                </c:ext>
              </c:extLst>
            </c:dLbl>
            <c:dLbl>
              <c:idx val="12"/>
              <c:layout>
                <c:manualLayout>
                  <c:x val="-2.3980625329626394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308-45B4-8011-A64AA289FB16}"/>
                </c:ext>
              </c:extLst>
            </c:dLbl>
            <c:dLbl>
              <c:idx val="24"/>
              <c:layout>
                <c:manualLayout>
                  <c:x val="-2.39766271048381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308-45B4-8011-A64AA289FB16}"/>
                </c:ext>
              </c:extLst>
            </c:dLbl>
            <c:dLbl>
              <c:idx val="36"/>
              <c:layout>
                <c:manualLayout>
                  <c:x val="-2.3982547555871456E-2"/>
                  <c:y val="3.838557045024561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308-45B4-8011-A64AA289FB16}"/>
                </c:ext>
              </c:extLst>
            </c:dLbl>
            <c:dLbl>
              <c:idx val="48"/>
              <c:layout>
                <c:manualLayout>
                  <c:x val="-2.4758461788420488E-2"/>
                  <c:y val="3.838530780923427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308-45B4-8011-A64AA289FB16}"/>
                </c:ext>
              </c:extLst>
            </c:dLbl>
            <c:dLbl>
              <c:idx val="60"/>
              <c:layout>
                <c:manualLayout>
                  <c:x val="-2.5432706328375621E-2"/>
                  <c:y val="3.8385504971952492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308-45B4-8011-A64AA289FB16}"/>
                </c:ext>
              </c:extLst>
            </c:dLbl>
            <c:dLbl>
              <c:idx val="72"/>
              <c:layout>
                <c:manualLayout>
                  <c:x val="-2.5972951297754447E-2"/>
                  <c:y val="3.790442361315454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308-45B4-8011-A64AA289FB16}"/>
                </c:ext>
              </c:extLst>
            </c:dLbl>
            <c:dLbl>
              <c:idx val="84"/>
              <c:layout>
                <c:manualLayout>
                  <c:x val="-2.6866433362496354E-2"/>
                  <c:y val="3.752960051564448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308-45B4-8011-A64AA289FB16}"/>
                </c:ext>
              </c:extLst>
            </c:dLbl>
            <c:dLbl>
              <c:idx val="96"/>
              <c:layout>
                <c:manualLayout>
                  <c:x val="-3.1481481481481652E-2"/>
                  <c:y val="3.79499628679922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308-45B4-8011-A64AA289FB16}"/>
                </c:ext>
              </c:extLst>
            </c:dLbl>
            <c:dLbl>
              <c:idx val="108"/>
              <c:layout>
                <c:manualLayout>
                  <c:x val="-3.6005831592591069E-2"/>
                  <c:y val="3.8289117423522707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308-45B4-8011-A64AA289FB16}"/>
                </c:ext>
              </c:extLst>
            </c:dLbl>
            <c:dLbl>
              <c:idx val="120"/>
              <c:layout>
                <c:manualLayout>
                  <c:x val="-3.6111111111111108E-2"/>
                  <c:y val="3.796305835602325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308-45B4-8011-A64AA289FB16}"/>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'Devizni kurs'!$Q$39:$Q$163</c:f>
              <c:numCache>
                <c:formatCode>yyyy</c:formatCode>
                <c:ptCount val="125"/>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numCache>
            </c:numRef>
          </c:cat>
          <c:val>
            <c:numRef>
              <c:f>'Devizni kurs'!$W$39:$W$163</c:f>
              <c:numCache>
                <c:formatCode>General</c:formatCode>
                <c:ptCount val="125"/>
                <c:pt idx="0">
                  <c:v>85</c:v>
                </c:pt>
                <c:pt idx="12">
                  <c:v>85</c:v>
                </c:pt>
                <c:pt idx="24">
                  <c:v>85</c:v>
                </c:pt>
                <c:pt idx="36">
                  <c:v>85</c:v>
                </c:pt>
                <c:pt idx="48">
                  <c:v>85</c:v>
                </c:pt>
                <c:pt idx="60">
                  <c:v>85</c:v>
                </c:pt>
                <c:pt idx="72">
                  <c:v>85</c:v>
                </c:pt>
                <c:pt idx="84">
                  <c:v>85</c:v>
                </c:pt>
                <c:pt idx="96">
                  <c:v>85</c:v>
                </c:pt>
                <c:pt idx="108">
                  <c:v>85</c:v>
                </c:pt>
                <c:pt idx="120">
                  <c:v>85</c:v>
                </c:pt>
              </c:numCache>
            </c:numRef>
          </c:val>
          <c:smooth val="0"/>
          <c:extLst>
            <c:ext xmlns:c16="http://schemas.microsoft.com/office/drawing/2014/chart" uri="{C3380CC4-5D6E-409C-BE32-E72D297353CC}">
              <c16:uniqueId val="{0000000C-A308-45B4-8011-A64AA289FB16}"/>
            </c:ext>
          </c:extLst>
        </c:ser>
        <c:dLbls>
          <c:showLegendKey val="0"/>
          <c:showVal val="0"/>
          <c:showCatName val="0"/>
          <c:showSerName val="0"/>
          <c:showPercent val="0"/>
          <c:showBubbleSize val="0"/>
        </c:dLbls>
        <c:marker val="1"/>
        <c:smooth val="0"/>
        <c:axId val="1839186288"/>
        <c:axId val="1839187920"/>
      </c:lineChart>
      <c:catAx>
        <c:axId val="1839186288"/>
        <c:scaling>
          <c:orientation val="minMax"/>
        </c:scaling>
        <c:delete val="0"/>
        <c:axPos val="b"/>
        <c:numFmt formatCode="\I\ 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7920"/>
        <c:crosses val="autoZero"/>
        <c:auto val="0"/>
        <c:lblAlgn val="ctr"/>
        <c:lblOffset val="100"/>
        <c:tickLblSkip val="12"/>
        <c:noMultiLvlLbl val="1"/>
      </c:catAx>
      <c:valAx>
        <c:axId val="1839187920"/>
        <c:scaling>
          <c:orientation val="minMax"/>
          <c:max val="140"/>
          <c:min val="85"/>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288"/>
        <c:crosses val="autoZero"/>
        <c:crossBetween val="midCat"/>
        <c:majorUnit val="10"/>
      </c:valAx>
      <c:valAx>
        <c:axId val="1839203696"/>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6832"/>
        <c:crosses val="max"/>
        <c:crossBetween val="between"/>
        <c:majorUnit val="200"/>
      </c:valAx>
      <c:dateAx>
        <c:axId val="1839186832"/>
        <c:scaling>
          <c:orientation val="minMax"/>
        </c:scaling>
        <c:delete val="1"/>
        <c:axPos val="b"/>
        <c:numFmt formatCode="yyyy" sourceLinked="1"/>
        <c:majorTickMark val="out"/>
        <c:minorTickMark val="none"/>
        <c:tickLblPos val="nextTo"/>
        <c:crossAx val="1839203696"/>
        <c:crosses val="autoZero"/>
        <c:auto val="1"/>
        <c:lblOffset val="100"/>
        <c:baseTimeUnit val="months"/>
      </c:dateAx>
      <c:spPr>
        <a:noFill/>
        <a:ln>
          <a:noFill/>
        </a:ln>
        <a:effectLst/>
      </c:spPr>
    </c:plotArea>
    <c:legend>
      <c:legendPos val="b"/>
      <c:legendEntry>
        <c:idx val="2"/>
        <c:delete val="1"/>
      </c:legendEntry>
      <c:layout>
        <c:manualLayout>
          <c:xMode val="edge"/>
          <c:yMode val="edge"/>
          <c:x val="0"/>
          <c:y val="0.83348870056497193"/>
          <c:w val="0.99854002624671911"/>
          <c:h val="0.1541596045197740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4.9388888888888892E-2"/>
          <c:w val="0.82380796150481195"/>
          <c:h val="0.68513222222222225"/>
        </c:manualLayout>
      </c:layout>
      <c:barChart>
        <c:barDir val="col"/>
        <c:grouping val="clustered"/>
        <c:varyColors val="0"/>
        <c:ser>
          <c:idx val="1"/>
          <c:order val="1"/>
          <c:tx>
            <c:strRef>
              <c:f>'Stednja i rezerve'!$V$2</c:f>
              <c:strCache>
                <c:ptCount val="1"/>
                <c:pt idx="0">
                  <c:v>Девизне резерве НБС </c:v>
                </c:pt>
              </c:strCache>
            </c:strRef>
          </c:tx>
          <c:spPr>
            <a:solidFill>
              <a:srgbClr val="9ED1E6"/>
            </a:solidFill>
            <a:ln>
              <a:noFill/>
            </a:ln>
            <a:effectLst/>
          </c:spPr>
          <c:invertIfNegative val="0"/>
          <c:cat>
            <c:numRef>
              <c:f>'Stednja i rezerve'!$Q$27:$Q$151</c:f>
              <c:numCache>
                <c:formatCode>yyyy</c:formatCode>
                <c:ptCount val="125"/>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numCache>
            </c:numRef>
          </c:cat>
          <c:val>
            <c:numRef>
              <c:f>'Stednja i rezerve'!$V$27:$V$151</c:f>
              <c:numCache>
                <c:formatCode>0,000</c:formatCode>
                <c:ptCount val="125"/>
                <c:pt idx="0">
                  <c:v>11.125999999999999</c:v>
                </c:pt>
                <c:pt idx="1">
                  <c:v>10.832000000000001</c:v>
                </c:pt>
                <c:pt idx="2">
                  <c:v>10.428000000000001</c:v>
                </c:pt>
                <c:pt idx="3">
                  <c:v>10.448</c:v>
                </c:pt>
                <c:pt idx="4">
                  <c:v>10.37</c:v>
                </c:pt>
                <c:pt idx="5">
                  <c:v>10.125</c:v>
                </c:pt>
                <c:pt idx="6">
                  <c:v>10.122999999999999</c:v>
                </c:pt>
                <c:pt idx="7">
                  <c:v>10.949</c:v>
                </c:pt>
                <c:pt idx="8">
                  <c:v>10.878</c:v>
                </c:pt>
                <c:pt idx="9">
                  <c:v>10.714</c:v>
                </c:pt>
                <c:pt idx="10">
                  <c:v>10.271000000000001</c:v>
                </c:pt>
                <c:pt idx="11">
                  <c:v>9.907</c:v>
                </c:pt>
                <c:pt idx="12">
                  <c:v>10.048999999999999</c:v>
                </c:pt>
                <c:pt idx="13">
                  <c:v>10.313000000000001</c:v>
                </c:pt>
                <c:pt idx="14">
                  <c:v>10.515000000000001</c:v>
                </c:pt>
                <c:pt idx="15">
                  <c:v>10.534000000000001</c:v>
                </c:pt>
                <c:pt idx="16">
                  <c:v>10.545</c:v>
                </c:pt>
                <c:pt idx="17">
                  <c:v>10.292999999999999</c:v>
                </c:pt>
                <c:pt idx="18">
                  <c:v>10.631</c:v>
                </c:pt>
                <c:pt idx="19">
                  <c:v>10.61</c:v>
                </c:pt>
                <c:pt idx="20">
                  <c:v>10.510999999999999</c:v>
                </c:pt>
                <c:pt idx="21">
                  <c:v>10.673999999999999</c:v>
                </c:pt>
                <c:pt idx="22">
                  <c:v>10.746</c:v>
                </c:pt>
                <c:pt idx="23">
                  <c:v>10.378</c:v>
                </c:pt>
                <c:pt idx="24">
                  <c:v>10.1045</c:v>
                </c:pt>
                <c:pt idx="25">
                  <c:v>9.8507999999999996</c:v>
                </c:pt>
                <c:pt idx="26">
                  <c:v>9.5008999999999997</c:v>
                </c:pt>
                <c:pt idx="27">
                  <c:v>9.3379999999999992</c:v>
                </c:pt>
                <c:pt idx="28">
                  <c:v>9.2639999999999993</c:v>
                </c:pt>
                <c:pt idx="29">
                  <c:v>9.2910000000000004</c:v>
                </c:pt>
                <c:pt idx="30">
                  <c:v>9.6059999999999999</c:v>
                </c:pt>
                <c:pt idx="31">
                  <c:v>9.5839999999999996</c:v>
                </c:pt>
                <c:pt idx="32">
                  <c:v>9.5519999999999996</c:v>
                </c:pt>
                <c:pt idx="33">
                  <c:v>9.7070000000000007</c:v>
                </c:pt>
                <c:pt idx="34">
                  <c:v>9.8179999999999996</c:v>
                </c:pt>
                <c:pt idx="35">
                  <c:v>10.205</c:v>
                </c:pt>
                <c:pt idx="36">
                  <c:v>9.8539999999999992</c:v>
                </c:pt>
                <c:pt idx="37">
                  <c:v>9.7590000000000003</c:v>
                </c:pt>
                <c:pt idx="38">
                  <c:v>9.73</c:v>
                </c:pt>
                <c:pt idx="39">
                  <c:v>9.4090000000000007</c:v>
                </c:pt>
                <c:pt idx="40">
                  <c:v>9.4920000000000009</c:v>
                </c:pt>
                <c:pt idx="41">
                  <c:v>9.67</c:v>
                </c:pt>
                <c:pt idx="42">
                  <c:v>9.9480000000000004</c:v>
                </c:pt>
                <c:pt idx="43">
                  <c:v>10.278</c:v>
                </c:pt>
                <c:pt idx="44">
                  <c:v>10.635999999999999</c:v>
                </c:pt>
                <c:pt idx="45">
                  <c:v>10.76</c:v>
                </c:pt>
                <c:pt idx="46">
                  <c:v>10.105</c:v>
                </c:pt>
                <c:pt idx="47">
                  <c:v>9.9617000000000004</c:v>
                </c:pt>
                <c:pt idx="48">
                  <c:v>9.6477000000000004</c:v>
                </c:pt>
                <c:pt idx="49">
                  <c:v>9.7910000000000004</c:v>
                </c:pt>
                <c:pt idx="50">
                  <c:v>10.234999999999999</c:v>
                </c:pt>
                <c:pt idx="51">
                  <c:v>10.43</c:v>
                </c:pt>
                <c:pt idx="52">
                  <c:v>10.882999999999999</c:v>
                </c:pt>
                <c:pt idx="53">
                  <c:v>11.103999999999999</c:v>
                </c:pt>
                <c:pt idx="54">
                  <c:v>11.403</c:v>
                </c:pt>
                <c:pt idx="55">
                  <c:v>11.326000000000001</c:v>
                </c:pt>
                <c:pt idx="56">
                  <c:v>11.17249</c:v>
                </c:pt>
                <c:pt idx="57">
                  <c:v>11.5504</c:v>
                </c:pt>
                <c:pt idx="58">
                  <c:v>11.627000000000001</c:v>
                </c:pt>
                <c:pt idx="59">
                  <c:v>11.262</c:v>
                </c:pt>
                <c:pt idx="60">
                  <c:v>11.346</c:v>
                </c:pt>
                <c:pt idx="61">
                  <c:v>11.398</c:v>
                </c:pt>
                <c:pt idx="62">
                  <c:v>11.44</c:v>
                </c:pt>
                <c:pt idx="63">
                  <c:v>11.336</c:v>
                </c:pt>
                <c:pt idx="64">
                  <c:v>11.656000000000001</c:v>
                </c:pt>
                <c:pt idx="65">
                  <c:v>12.146000000000001</c:v>
                </c:pt>
                <c:pt idx="66">
                  <c:v>12.757999999999999</c:v>
                </c:pt>
                <c:pt idx="67">
                  <c:v>13.1</c:v>
                </c:pt>
                <c:pt idx="68">
                  <c:v>13.295</c:v>
                </c:pt>
                <c:pt idx="69">
                  <c:v>13.499000000000001</c:v>
                </c:pt>
                <c:pt idx="70">
                  <c:v>13.464700000000001</c:v>
                </c:pt>
                <c:pt idx="71">
                  <c:v>13.378500000000001</c:v>
                </c:pt>
                <c:pt idx="72">
                  <c:v>13.694000000000001</c:v>
                </c:pt>
                <c:pt idx="73">
                  <c:v>13.459</c:v>
                </c:pt>
                <c:pt idx="74">
                  <c:v>13.115</c:v>
                </c:pt>
                <c:pt idx="75">
                  <c:v>12.792999999999999</c:v>
                </c:pt>
                <c:pt idx="76">
                  <c:v>14.345000000000001</c:v>
                </c:pt>
                <c:pt idx="77">
                  <c:v>13.956</c:v>
                </c:pt>
                <c:pt idx="78">
                  <c:v>13.521000000000001</c:v>
                </c:pt>
                <c:pt idx="79">
                  <c:v>13.369</c:v>
                </c:pt>
                <c:pt idx="80">
                  <c:v>13.03</c:v>
                </c:pt>
                <c:pt idx="81">
                  <c:v>13.05</c:v>
                </c:pt>
                <c:pt idx="82" formatCode="General">
                  <c:v>12.843999999999999</c:v>
                </c:pt>
                <c:pt idx="83" formatCode="General">
                  <c:v>13.492000000000001</c:v>
                </c:pt>
                <c:pt idx="84">
                  <c:v>13.602928</c:v>
                </c:pt>
                <c:pt idx="85">
                  <c:v>13.4227504</c:v>
                </c:pt>
                <c:pt idx="86">
                  <c:v>14.275499999999999</c:v>
                </c:pt>
                <c:pt idx="87">
                  <c:v>13.997441199999999</c:v>
                </c:pt>
                <c:pt idx="88">
                  <c:v>14.181562900000001</c:v>
                </c:pt>
                <c:pt idx="89">
                  <c:v>14.091799999999999</c:v>
                </c:pt>
                <c:pt idx="90">
                  <c:v>14.5802736</c:v>
                </c:pt>
                <c:pt idx="91">
                  <c:v>15.585386699999999</c:v>
                </c:pt>
                <c:pt idx="92">
                  <c:v>16.802540499999999</c:v>
                </c:pt>
                <c:pt idx="93">
                  <c:v>16.277799999999999</c:v>
                </c:pt>
                <c:pt idx="94">
                  <c:v>16.453099999999999</c:v>
                </c:pt>
                <c:pt idx="95">
                  <c:v>16.454510200000001</c:v>
                </c:pt>
                <c:pt idx="96">
                  <c:v>16.110843299999999</c:v>
                </c:pt>
                <c:pt idx="97">
                  <c:v>15.561500000000001</c:v>
                </c:pt>
                <c:pt idx="98">
                  <c:v>14.296276199999999</c:v>
                </c:pt>
                <c:pt idx="99">
                  <c:v>14.1136</c:v>
                </c:pt>
                <c:pt idx="100">
                  <c:v>13.903600000000001</c:v>
                </c:pt>
                <c:pt idx="101">
                  <c:v>14.775700000000001</c:v>
                </c:pt>
                <c:pt idx="102">
                  <c:v>15.0228</c:v>
                </c:pt>
                <c:pt idx="103">
                  <c:v>15.8756</c:v>
                </c:pt>
                <c:pt idx="104">
                  <c:v>16.502299999999998</c:v>
                </c:pt>
                <c:pt idx="105" formatCode="General">
                  <c:v>16.870999999999999</c:v>
                </c:pt>
                <c:pt idx="106" formatCode="General">
                  <c:v>17.266999999999999</c:v>
                </c:pt>
                <c:pt idx="107" formatCode="General">
                  <c:v>19.416</c:v>
                </c:pt>
                <c:pt idx="108">
                  <c:v>20.913319099999999</c:v>
                </c:pt>
                <c:pt idx="109">
                  <c:v>21.196145100000003</c:v>
                </c:pt>
                <c:pt idx="110">
                  <c:v>21.380610300000001</c:v>
                </c:pt>
                <c:pt idx="111">
                  <c:v>21.556726999999999</c:v>
                </c:pt>
                <c:pt idx="112">
                  <c:v>22.088187399999999</c:v>
                </c:pt>
                <c:pt idx="113">
                  <c:v>22.58493</c:v>
                </c:pt>
                <c:pt idx="114">
                  <c:v>23.134196199999998</c:v>
                </c:pt>
                <c:pt idx="115">
                  <c:v>23.623699999999999</c:v>
                </c:pt>
                <c:pt idx="116">
                  <c:v>24.182471699999997</c:v>
                </c:pt>
                <c:pt idx="117">
                  <c:v>24.388775200000001</c:v>
                </c:pt>
                <c:pt idx="118">
                  <c:v>24.1630912</c:v>
                </c:pt>
                <c:pt idx="119">
                  <c:v>24.909095799999999</c:v>
                </c:pt>
                <c:pt idx="120">
                  <c:v>25.036858199999998</c:v>
                </c:pt>
                <c:pt idx="121">
                  <c:v>25.031424999999999</c:v>
                </c:pt>
                <c:pt idx="122">
                  <c:v>24.942164200000001</c:v>
                </c:pt>
                <c:pt idx="123">
                  <c:v>25.129200000000001</c:v>
                </c:pt>
                <c:pt idx="124">
                  <c:v>25.1571</c:v>
                </c:pt>
              </c:numCache>
            </c:numRef>
          </c:val>
          <c:extLst>
            <c:ext xmlns:c16="http://schemas.microsoft.com/office/drawing/2014/chart" uri="{C3380CC4-5D6E-409C-BE32-E72D297353CC}">
              <c16:uniqueId val="{00000000-0F8D-4B36-BA70-CBB678D9992E}"/>
            </c:ext>
          </c:extLst>
        </c:ser>
        <c:dLbls>
          <c:showLegendKey val="0"/>
          <c:showVal val="0"/>
          <c:showCatName val="0"/>
          <c:showSerName val="0"/>
          <c:showPercent val="0"/>
          <c:showBubbleSize val="0"/>
        </c:dLbls>
        <c:gapWidth val="100"/>
        <c:axId val="2067915440"/>
        <c:axId val="2067938832"/>
      </c:barChart>
      <c:lineChart>
        <c:grouping val="standard"/>
        <c:varyColors val="0"/>
        <c:ser>
          <c:idx val="0"/>
          <c:order val="0"/>
          <c:tx>
            <c:strRef>
              <c:f>'Stednja i rezerve'!$U$2</c:f>
              <c:strCache>
                <c:ptCount val="1"/>
                <c:pt idx="0">
                  <c:v>Девизна штедња становништва</c:v>
                </c:pt>
              </c:strCache>
            </c:strRef>
          </c:tx>
          <c:spPr>
            <a:ln w="22225" cap="rnd">
              <a:solidFill>
                <a:srgbClr val="FF0000"/>
              </a:solidFill>
              <a:round/>
            </a:ln>
            <a:effectLst/>
          </c:spPr>
          <c:marker>
            <c:symbol val="none"/>
          </c:marker>
          <c:cat>
            <c:numRef>
              <c:f>'Stednja i rezerve'!$Q$27:$Q$151</c:f>
              <c:numCache>
                <c:formatCode>yyyy</c:formatCode>
                <c:ptCount val="125"/>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numCache>
            </c:numRef>
          </c:cat>
          <c:val>
            <c:numRef>
              <c:f>'Stednja i rezerve'!$U$27:$U$151</c:f>
              <c:numCache>
                <c:formatCode>0,000</c:formatCode>
                <c:ptCount val="125"/>
                <c:pt idx="0">
                  <c:v>8.3740000000000006</c:v>
                </c:pt>
                <c:pt idx="1">
                  <c:v>8.4179999999999993</c:v>
                </c:pt>
                <c:pt idx="2">
                  <c:v>8.4039999999999999</c:v>
                </c:pt>
                <c:pt idx="3">
                  <c:v>8.4369999999999994</c:v>
                </c:pt>
                <c:pt idx="4">
                  <c:v>8.4329999999999998</c:v>
                </c:pt>
                <c:pt idx="5">
                  <c:v>8.4860000000000007</c:v>
                </c:pt>
                <c:pt idx="6">
                  <c:v>8.4960000000000004</c:v>
                </c:pt>
                <c:pt idx="7">
                  <c:v>8.4890000000000008</c:v>
                </c:pt>
                <c:pt idx="8">
                  <c:v>8.4890000000000008</c:v>
                </c:pt>
                <c:pt idx="9">
                  <c:v>8.5120000000000005</c:v>
                </c:pt>
                <c:pt idx="10">
                  <c:v>8.4830000000000005</c:v>
                </c:pt>
                <c:pt idx="11">
                  <c:v>8.5250000000000004</c:v>
                </c:pt>
                <c:pt idx="12">
                  <c:v>8.6050000000000004</c:v>
                </c:pt>
                <c:pt idx="13">
                  <c:v>8.61</c:v>
                </c:pt>
                <c:pt idx="14">
                  <c:v>8.6419999999999995</c:v>
                </c:pt>
                <c:pt idx="15">
                  <c:v>8.6389999999999993</c:v>
                </c:pt>
                <c:pt idx="16">
                  <c:v>8.6349999999999998</c:v>
                </c:pt>
                <c:pt idx="17">
                  <c:v>8.67</c:v>
                </c:pt>
                <c:pt idx="18">
                  <c:v>8.6210000000000004</c:v>
                </c:pt>
                <c:pt idx="19">
                  <c:v>8.6050000000000004</c:v>
                </c:pt>
                <c:pt idx="20">
                  <c:v>8.59</c:v>
                </c:pt>
                <c:pt idx="21">
                  <c:v>8.6039999999999992</c:v>
                </c:pt>
                <c:pt idx="22">
                  <c:v>8.5969999999999995</c:v>
                </c:pt>
                <c:pt idx="23">
                  <c:v>8.6289999999999996</c:v>
                </c:pt>
                <c:pt idx="24">
                  <c:v>8.6264760000000003</c:v>
                </c:pt>
                <c:pt idx="25">
                  <c:v>8.636355</c:v>
                </c:pt>
                <c:pt idx="26">
                  <c:v>8.6437650000000001</c:v>
                </c:pt>
                <c:pt idx="27">
                  <c:v>8.6690000000000005</c:v>
                </c:pt>
                <c:pt idx="28">
                  <c:v>8.7550000000000008</c:v>
                </c:pt>
                <c:pt idx="29">
                  <c:v>8.7959999999999994</c:v>
                </c:pt>
                <c:pt idx="30">
                  <c:v>8.8219999999999992</c:v>
                </c:pt>
                <c:pt idx="31">
                  <c:v>8.8309999999999995</c:v>
                </c:pt>
                <c:pt idx="32">
                  <c:v>8.843</c:v>
                </c:pt>
                <c:pt idx="33">
                  <c:v>8.8960000000000008</c:v>
                </c:pt>
                <c:pt idx="34">
                  <c:v>8.9149999999999991</c:v>
                </c:pt>
                <c:pt idx="35">
                  <c:v>8.9870000000000001</c:v>
                </c:pt>
                <c:pt idx="36">
                  <c:v>9.0310000000000006</c:v>
                </c:pt>
                <c:pt idx="37">
                  <c:v>9.0555649999999996</c:v>
                </c:pt>
                <c:pt idx="38">
                  <c:v>9.0842139999999993</c:v>
                </c:pt>
                <c:pt idx="39">
                  <c:v>9.1143780000000003</c:v>
                </c:pt>
                <c:pt idx="40">
                  <c:v>9.1059999999999999</c:v>
                </c:pt>
                <c:pt idx="41">
                  <c:v>9.1370000000000005</c:v>
                </c:pt>
                <c:pt idx="42">
                  <c:v>9.1780000000000008</c:v>
                </c:pt>
                <c:pt idx="43">
                  <c:v>9.2170000000000005</c:v>
                </c:pt>
                <c:pt idx="44">
                  <c:v>9.2629999999999999</c:v>
                </c:pt>
                <c:pt idx="45">
                  <c:v>9.2880000000000003</c:v>
                </c:pt>
                <c:pt idx="46">
                  <c:v>9.298</c:v>
                </c:pt>
                <c:pt idx="47">
                  <c:v>9.373151</c:v>
                </c:pt>
                <c:pt idx="48">
                  <c:v>9.4209999999999994</c:v>
                </c:pt>
                <c:pt idx="49">
                  <c:v>9.5150000000000006</c:v>
                </c:pt>
                <c:pt idx="50">
                  <c:v>9.5660000000000007</c:v>
                </c:pt>
                <c:pt idx="51">
                  <c:v>9.5939999999999994</c:v>
                </c:pt>
                <c:pt idx="52">
                  <c:v>9.6340000000000003</c:v>
                </c:pt>
                <c:pt idx="53">
                  <c:v>9.6869999999999994</c:v>
                </c:pt>
                <c:pt idx="54">
                  <c:v>9.718</c:v>
                </c:pt>
                <c:pt idx="55">
                  <c:v>9.7629999999999999</c:v>
                </c:pt>
                <c:pt idx="56">
                  <c:v>9.7824939999999998</c:v>
                </c:pt>
                <c:pt idx="57">
                  <c:v>9.8469999999999995</c:v>
                </c:pt>
                <c:pt idx="58">
                  <c:v>9.875</c:v>
                </c:pt>
                <c:pt idx="59">
                  <c:v>9.9550000000000001</c:v>
                </c:pt>
                <c:pt idx="60">
                  <c:v>10.105</c:v>
                </c:pt>
                <c:pt idx="61">
                  <c:v>10.167</c:v>
                </c:pt>
                <c:pt idx="62">
                  <c:v>10.217000000000001</c:v>
                </c:pt>
                <c:pt idx="63">
                  <c:v>10.295999999999999</c:v>
                </c:pt>
                <c:pt idx="64">
                  <c:v>10.340999999999999</c:v>
                </c:pt>
                <c:pt idx="65">
                  <c:v>10.391</c:v>
                </c:pt>
                <c:pt idx="66">
                  <c:v>10.474</c:v>
                </c:pt>
                <c:pt idx="67">
                  <c:v>10.547000000000001</c:v>
                </c:pt>
                <c:pt idx="68">
                  <c:v>10.612</c:v>
                </c:pt>
                <c:pt idx="69">
                  <c:v>10.661</c:v>
                </c:pt>
                <c:pt idx="70">
                  <c:v>10.72</c:v>
                </c:pt>
                <c:pt idx="71">
                  <c:v>10.804</c:v>
                </c:pt>
                <c:pt idx="72">
                  <c:v>10.941129999999999</c:v>
                </c:pt>
                <c:pt idx="73">
                  <c:v>11.007695</c:v>
                </c:pt>
                <c:pt idx="74">
                  <c:v>10.819725</c:v>
                </c:pt>
                <c:pt idx="75">
                  <c:v>10.889227</c:v>
                </c:pt>
                <c:pt idx="76">
                  <c:v>10.915190000000001</c:v>
                </c:pt>
                <c:pt idx="77">
                  <c:v>10.987965000000001</c:v>
                </c:pt>
                <c:pt idx="78">
                  <c:v>10.998704</c:v>
                </c:pt>
                <c:pt idx="79">
                  <c:v>11.069706</c:v>
                </c:pt>
                <c:pt idx="80">
                  <c:v>11.155711999999999</c:v>
                </c:pt>
                <c:pt idx="81" formatCode="General">
                  <c:v>11.256</c:v>
                </c:pt>
                <c:pt idx="82" formatCode="General">
                  <c:v>11.291</c:v>
                </c:pt>
                <c:pt idx="83" formatCode="General">
                  <c:v>11.436</c:v>
                </c:pt>
                <c:pt idx="84" formatCode="General">
                  <c:v>11.586</c:v>
                </c:pt>
                <c:pt idx="85" formatCode="General">
                  <c:v>11.683999999999999</c:v>
                </c:pt>
                <c:pt idx="86">
                  <c:v>11.778</c:v>
                </c:pt>
                <c:pt idx="87">
                  <c:v>11.84</c:v>
                </c:pt>
                <c:pt idx="88">
                  <c:v>12.006</c:v>
                </c:pt>
                <c:pt idx="89">
                  <c:v>12.118</c:v>
                </c:pt>
                <c:pt idx="90">
                  <c:v>12.221</c:v>
                </c:pt>
                <c:pt idx="91">
                  <c:v>12.275</c:v>
                </c:pt>
                <c:pt idx="92">
                  <c:v>12.321999999999999</c:v>
                </c:pt>
                <c:pt idx="93">
                  <c:v>12.417999999999999</c:v>
                </c:pt>
                <c:pt idx="94">
                  <c:v>12.554</c:v>
                </c:pt>
                <c:pt idx="95">
                  <c:v>12.736000000000001</c:v>
                </c:pt>
                <c:pt idx="96">
                  <c:v>12.88</c:v>
                </c:pt>
                <c:pt idx="97">
                  <c:v>12.94</c:v>
                </c:pt>
                <c:pt idx="98">
                  <c:v>12.803000000000001</c:v>
                </c:pt>
                <c:pt idx="99">
                  <c:v>12.930524</c:v>
                </c:pt>
                <c:pt idx="100">
                  <c:v>12.987158000000001</c:v>
                </c:pt>
                <c:pt idx="101">
                  <c:v>13.180187999999999</c:v>
                </c:pt>
                <c:pt idx="102">
                  <c:v>13.3729</c:v>
                </c:pt>
                <c:pt idx="103">
                  <c:v>13.474511</c:v>
                </c:pt>
                <c:pt idx="104">
                  <c:v>13.526999999999999</c:v>
                </c:pt>
                <c:pt idx="105" formatCode="General">
                  <c:v>13.566000000000001</c:v>
                </c:pt>
                <c:pt idx="106">
                  <c:v>13.62</c:v>
                </c:pt>
                <c:pt idx="107" formatCode="General">
                  <c:v>13.715</c:v>
                </c:pt>
                <c:pt idx="108" formatCode="General">
                  <c:v>13.788</c:v>
                </c:pt>
                <c:pt idx="109" formatCode="General">
                  <c:v>13.925000000000001</c:v>
                </c:pt>
                <c:pt idx="110" formatCode="General">
                  <c:v>13.834</c:v>
                </c:pt>
                <c:pt idx="111" formatCode="General">
                  <c:v>13.847</c:v>
                </c:pt>
                <c:pt idx="112">
                  <c:v>13.9</c:v>
                </c:pt>
                <c:pt idx="113">
                  <c:v>13.92</c:v>
                </c:pt>
                <c:pt idx="114">
                  <c:v>13.978</c:v>
                </c:pt>
                <c:pt idx="115">
                  <c:v>14.022053</c:v>
                </c:pt>
                <c:pt idx="116">
                  <c:v>14.126598</c:v>
                </c:pt>
                <c:pt idx="117">
                  <c:v>14.152494000000001</c:v>
                </c:pt>
                <c:pt idx="118">
                  <c:v>14.246537</c:v>
                </c:pt>
                <c:pt idx="119">
                  <c:v>14.416103999999999</c:v>
                </c:pt>
                <c:pt idx="120">
                  <c:v>14.650832000000001</c:v>
                </c:pt>
                <c:pt idx="121">
                  <c:v>14.690485000000001</c:v>
                </c:pt>
                <c:pt idx="122">
                  <c:v>14.813583000000001</c:v>
                </c:pt>
                <c:pt idx="123">
                  <c:v>14.858000000000001</c:v>
                </c:pt>
              </c:numCache>
            </c:numRef>
          </c:val>
          <c:smooth val="0"/>
          <c:extLst>
            <c:ext xmlns:c16="http://schemas.microsoft.com/office/drawing/2014/chart" uri="{C3380CC4-5D6E-409C-BE32-E72D297353CC}">
              <c16:uniqueId val="{00000001-0F8D-4B36-BA70-CBB678D9992E}"/>
            </c:ext>
          </c:extLst>
        </c:ser>
        <c:ser>
          <c:idx val="2"/>
          <c:order val="2"/>
          <c:tx>
            <c:strRef>
              <c:f>'Stednja i rezerve'!$W$2</c:f>
              <c:strCache>
                <c:ptCount val="1"/>
              </c:strCache>
            </c:strRef>
          </c:tx>
          <c:spPr>
            <a:ln w="28575" cap="rnd">
              <a:noFill/>
              <a:round/>
            </a:ln>
            <a:effectLst/>
          </c:spPr>
          <c:marker>
            <c:symbol val="square"/>
            <c:size val="2"/>
            <c:spPr>
              <a:solidFill>
                <a:schemeClr val="bg1"/>
              </a:solidFill>
              <a:ln w="9525">
                <a:noFill/>
              </a:ln>
              <a:effectLst/>
            </c:spPr>
          </c:marker>
          <c:dLbls>
            <c:dLbl>
              <c:idx val="0"/>
              <c:layout>
                <c:manualLayout>
                  <c:x val="-2.0235126859142607E-2"/>
                  <c:y val="2.7915643691789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F8D-4B36-BA70-CBB678D9992E}"/>
                </c:ext>
              </c:extLst>
            </c:dLbl>
            <c:dLbl>
              <c:idx val="12"/>
              <c:layout>
                <c:manualLayout>
                  <c:x val="-2.2924743555378331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F8D-4B36-BA70-CBB678D9992E}"/>
                </c:ext>
              </c:extLst>
            </c:dLbl>
            <c:dLbl>
              <c:idx val="24"/>
              <c:layout>
                <c:manualLayout>
                  <c:x val="-2.2924743555378352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F8D-4B36-BA70-CBB678D9992E}"/>
                </c:ext>
              </c:extLst>
            </c:dLbl>
            <c:dLbl>
              <c:idx val="36"/>
              <c:layout>
                <c:manualLayout>
                  <c:x val="-2.2931977252843436E-2"/>
                  <c:y val="2.8023083602575913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F8D-4B36-BA70-CBB678D9992E}"/>
                </c:ext>
              </c:extLst>
            </c:dLbl>
            <c:dLbl>
              <c:idx val="48"/>
              <c:layout>
                <c:manualLayout>
                  <c:x val="-2.4774210326358969E-2"/>
                  <c:y val="2.802311915741122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F8D-4B36-BA70-CBB678D9992E}"/>
                </c:ext>
              </c:extLst>
            </c:dLbl>
            <c:dLbl>
              <c:idx val="60"/>
              <c:layout>
                <c:manualLayout>
                  <c:x val="-2.2561533270425312E-2"/>
                  <c:y val="2.802255844831594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F8D-4B36-BA70-CBB678D9992E}"/>
                </c:ext>
              </c:extLst>
            </c:dLbl>
            <c:dLbl>
              <c:idx val="72"/>
              <c:layout>
                <c:manualLayout>
                  <c:x val="-2.1332429666144369E-2"/>
                  <c:y val="2.8734098290061544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F8D-4B36-BA70-CBB678D9992E}"/>
                </c:ext>
              </c:extLst>
            </c:dLbl>
            <c:dLbl>
              <c:idx val="84"/>
              <c:layout>
                <c:manualLayout>
                  <c:x val="-2.0649957540717773E-2"/>
                  <c:y val="2.853448585218811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F8D-4B36-BA70-CBB678D9992E}"/>
                </c:ext>
              </c:extLst>
            </c:dLbl>
            <c:dLbl>
              <c:idx val="96"/>
              <c:layout>
                <c:manualLayout>
                  <c:x val="-2.7507730930915394E-2"/>
                  <c:y val="2.8768862253960848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F8D-4B36-BA70-CBB678D9992E}"/>
                </c:ext>
              </c:extLst>
            </c:dLbl>
            <c:dLbl>
              <c:idx val="108"/>
              <c:layout>
                <c:manualLayout>
                  <c:x val="-2.1046176019916239E-2"/>
                  <c:y val="2.8694236222240939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F8D-4B36-BA70-CBB678D9992E}"/>
                </c:ext>
              </c:extLst>
            </c:dLbl>
            <c:dLbl>
              <c:idx val="120"/>
              <c:layout>
                <c:manualLayout>
                  <c:x val="-2.2222222222222393E-2"/>
                  <c:y val="2.8775998977544886E-2"/>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F8D-4B36-BA70-CBB678D9992E}"/>
                </c:ext>
              </c:extLst>
            </c:dLbl>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'Stednja i rezerve'!$Q$27:$Q$151</c:f>
              <c:numCache>
                <c:formatCode>yyyy</c:formatCode>
                <c:ptCount val="125"/>
                <c:pt idx="0">
                  <c:v>41640</c:v>
                </c:pt>
                <c:pt idx="1">
                  <c:v>41671</c:v>
                </c:pt>
                <c:pt idx="2">
                  <c:v>41699</c:v>
                </c:pt>
                <c:pt idx="3">
                  <c:v>41730</c:v>
                </c:pt>
                <c:pt idx="4">
                  <c:v>41760</c:v>
                </c:pt>
                <c:pt idx="5">
                  <c:v>41791</c:v>
                </c:pt>
                <c:pt idx="6">
                  <c:v>41821</c:v>
                </c:pt>
                <c:pt idx="7">
                  <c:v>41852</c:v>
                </c:pt>
                <c:pt idx="8">
                  <c:v>41883</c:v>
                </c:pt>
                <c:pt idx="9">
                  <c:v>41913</c:v>
                </c:pt>
                <c:pt idx="10">
                  <c:v>41944</c:v>
                </c:pt>
                <c:pt idx="11">
                  <c:v>41974</c:v>
                </c:pt>
                <c:pt idx="12">
                  <c:v>42005</c:v>
                </c:pt>
                <c:pt idx="13">
                  <c:v>42036</c:v>
                </c:pt>
                <c:pt idx="14">
                  <c:v>42064</c:v>
                </c:pt>
                <c:pt idx="15">
                  <c:v>42095</c:v>
                </c:pt>
                <c:pt idx="16">
                  <c:v>42125</c:v>
                </c:pt>
                <c:pt idx="17">
                  <c:v>42156</c:v>
                </c:pt>
                <c:pt idx="18">
                  <c:v>42186</c:v>
                </c:pt>
                <c:pt idx="19">
                  <c:v>42217</c:v>
                </c:pt>
                <c:pt idx="20">
                  <c:v>42248</c:v>
                </c:pt>
                <c:pt idx="21">
                  <c:v>42278</c:v>
                </c:pt>
                <c:pt idx="22">
                  <c:v>42309</c:v>
                </c:pt>
                <c:pt idx="23">
                  <c:v>42339</c:v>
                </c:pt>
                <c:pt idx="24">
                  <c:v>42370</c:v>
                </c:pt>
                <c:pt idx="25">
                  <c:v>42401</c:v>
                </c:pt>
                <c:pt idx="26">
                  <c:v>42430</c:v>
                </c:pt>
                <c:pt idx="27">
                  <c:v>42461</c:v>
                </c:pt>
                <c:pt idx="28">
                  <c:v>42491</c:v>
                </c:pt>
                <c:pt idx="29">
                  <c:v>42522</c:v>
                </c:pt>
                <c:pt idx="30">
                  <c:v>42552</c:v>
                </c:pt>
                <c:pt idx="31">
                  <c:v>42583</c:v>
                </c:pt>
                <c:pt idx="32">
                  <c:v>42614</c:v>
                </c:pt>
                <c:pt idx="33">
                  <c:v>42644</c:v>
                </c:pt>
                <c:pt idx="34">
                  <c:v>42675</c:v>
                </c:pt>
                <c:pt idx="35">
                  <c:v>42705</c:v>
                </c:pt>
                <c:pt idx="36">
                  <c:v>42736</c:v>
                </c:pt>
                <c:pt idx="37">
                  <c:v>42767</c:v>
                </c:pt>
                <c:pt idx="38">
                  <c:v>42795</c:v>
                </c:pt>
                <c:pt idx="39">
                  <c:v>42826</c:v>
                </c:pt>
                <c:pt idx="40">
                  <c:v>42856</c:v>
                </c:pt>
                <c:pt idx="41">
                  <c:v>42887</c:v>
                </c:pt>
                <c:pt idx="42">
                  <c:v>42917</c:v>
                </c:pt>
                <c:pt idx="43">
                  <c:v>42948</c:v>
                </c:pt>
                <c:pt idx="44">
                  <c:v>42979</c:v>
                </c:pt>
                <c:pt idx="45">
                  <c:v>43009</c:v>
                </c:pt>
                <c:pt idx="46">
                  <c:v>43040</c:v>
                </c:pt>
                <c:pt idx="47">
                  <c:v>43070</c:v>
                </c:pt>
                <c:pt idx="48">
                  <c:v>43101</c:v>
                </c:pt>
                <c:pt idx="49">
                  <c:v>43132</c:v>
                </c:pt>
                <c:pt idx="50">
                  <c:v>43160</c:v>
                </c:pt>
                <c:pt idx="51">
                  <c:v>43191</c:v>
                </c:pt>
                <c:pt idx="52">
                  <c:v>43221</c:v>
                </c:pt>
                <c:pt idx="53">
                  <c:v>43252</c:v>
                </c:pt>
                <c:pt idx="54">
                  <c:v>43282</c:v>
                </c:pt>
                <c:pt idx="55">
                  <c:v>43313</c:v>
                </c:pt>
                <c:pt idx="56">
                  <c:v>43344</c:v>
                </c:pt>
                <c:pt idx="57">
                  <c:v>43374</c:v>
                </c:pt>
                <c:pt idx="58">
                  <c:v>43405</c:v>
                </c:pt>
                <c:pt idx="59">
                  <c:v>43435</c:v>
                </c:pt>
                <c:pt idx="60">
                  <c:v>43466</c:v>
                </c:pt>
                <c:pt idx="61">
                  <c:v>43497</c:v>
                </c:pt>
                <c:pt idx="62">
                  <c:v>43525</c:v>
                </c:pt>
                <c:pt idx="63">
                  <c:v>43556</c:v>
                </c:pt>
                <c:pt idx="64">
                  <c:v>43586</c:v>
                </c:pt>
                <c:pt idx="65">
                  <c:v>43617</c:v>
                </c:pt>
                <c:pt idx="66">
                  <c:v>43647</c:v>
                </c:pt>
                <c:pt idx="67">
                  <c:v>43678</c:v>
                </c:pt>
                <c:pt idx="68">
                  <c:v>43709</c:v>
                </c:pt>
                <c:pt idx="69">
                  <c:v>43739</c:v>
                </c:pt>
                <c:pt idx="70">
                  <c:v>43770</c:v>
                </c:pt>
                <c:pt idx="71">
                  <c:v>43800</c:v>
                </c:pt>
                <c:pt idx="72">
                  <c:v>43831</c:v>
                </c:pt>
                <c:pt idx="73">
                  <c:v>43862</c:v>
                </c:pt>
                <c:pt idx="74">
                  <c:v>43891</c:v>
                </c:pt>
                <c:pt idx="75">
                  <c:v>43922</c:v>
                </c:pt>
                <c:pt idx="76">
                  <c:v>43952</c:v>
                </c:pt>
                <c:pt idx="77">
                  <c:v>43983</c:v>
                </c:pt>
                <c:pt idx="78">
                  <c:v>44013</c:v>
                </c:pt>
                <c:pt idx="79">
                  <c:v>44044</c:v>
                </c:pt>
                <c:pt idx="80">
                  <c:v>44075</c:v>
                </c:pt>
                <c:pt idx="81">
                  <c:v>44105</c:v>
                </c:pt>
                <c:pt idx="82">
                  <c:v>44136</c:v>
                </c:pt>
                <c:pt idx="83">
                  <c:v>44166</c:v>
                </c:pt>
                <c:pt idx="84">
                  <c:v>44197</c:v>
                </c:pt>
                <c:pt idx="85">
                  <c:v>44228</c:v>
                </c:pt>
                <c:pt idx="86">
                  <c:v>44256</c:v>
                </c:pt>
                <c:pt idx="87">
                  <c:v>44287</c:v>
                </c:pt>
                <c:pt idx="88">
                  <c:v>44317</c:v>
                </c:pt>
                <c:pt idx="89">
                  <c:v>44348</c:v>
                </c:pt>
                <c:pt idx="90">
                  <c:v>44378</c:v>
                </c:pt>
                <c:pt idx="91">
                  <c:v>44409</c:v>
                </c:pt>
                <c:pt idx="92">
                  <c:v>44440</c:v>
                </c:pt>
                <c:pt idx="93">
                  <c:v>44470</c:v>
                </c:pt>
                <c:pt idx="94">
                  <c:v>44501</c:v>
                </c:pt>
                <c:pt idx="95">
                  <c:v>44531</c:v>
                </c:pt>
                <c:pt idx="96">
                  <c:v>44562</c:v>
                </c:pt>
                <c:pt idx="97">
                  <c:v>44593</c:v>
                </c:pt>
                <c:pt idx="98">
                  <c:v>44621</c:v>
                </c:pt>
                <c:pt idx="99">
                  <c:v>44652</c:v>
                </c:pt>
                <c:pt idx="100">
                  <c:v>44682</c:v>
                </c:pt>
                <c:pt idx="101">
                  <c:v>44713</c:v>
                </c:pt>
                <c:pt idx="102">
                  <c:v>44743</c:v>
                </c:pt>
                <c:pt idx="103">
                  <c:v>44774</c:v>
                </c:pt>
                <c:pt idx="104">
                  <c:v>44805</c:v>
                </c:pt>
                <c:pt idx="105">
                  <c:v>44835</c:v>
                </c:pt>
                <c:pt idx="106">
                  <c:v>44866</c:v>
                </c:pt>
                <c:pt idx="107">
                  <c:v>44896</c:v>
                </c:pt>
                <c:pt idx="108">
                  <c:v>44927</c:v>
                </c:pt>
                <c:pt idx="109">
                  <c:v>44958</c:v>
                </c:pt>
                <c:pt idx="110">
                  <c:v>44986</c:v>
                </c:pt>
                <c:pt idx="111">
                  <c:v>45017</c:v>
                </c:pt>
                <c:pt idx="112">
                  <c:v>45047</c:v>
                </c:pt>
                <c:pt idx="113">
                  <c:v>45078</c:v>
                </c:pt>
                <c:pt idx="114">
                  <c:v>45108</c:v>
                </c:pt>
                <c:pt idx="115">
                  <c:v>45139</c:v>
                </c:pt>
                <c:pt idx="116">
                  <c:v>45170</c:v>
                </c:pt>
                <c:pt idx="117">
                  <c:v>45200</c:v>
                </c:pt>
                <c:pt idx="118">
                  <c:v>45231</c:v>
                </c:pt>
                <c:pt idx="119">
                  <c:v>45261</c:v>
                </c:pt>
                <c:pt idx="120" formatCode="yy">
                  <c:v>45292</c:v>
                </c:pt>
                <c:pt idx="121" formatCode="yy">
                  <c:v>45323</c:v>
                </c:pt>
                <c:pt idx="122" formatCode="yy">
                  <c:v>45352</c:v>
                </c:pt>
                <c:pt idx="123" formatCode="yy">
                  <c:v>45383</c:v>
                </c:pt>
                <c:pt idx="124" formatCode="yy">
                  <c:v>45413</c:v>
                </c:pt>
              </c:numCache>
            </c:numRef>
          </c:cat>
          <c:val>
            <c:numRef>
              <c:f>'Stednja i rezerve'!$W$27:$W$151</c:f>
              <c:numCache>
                <c:formatCode>General</c:formatCode>
                <c:ptCount val="125"/>
                <c:pt idx="0">
                  <c:v>7</c:v>
                </c:pt>
                <c:pt idx="12">
                  <c:v>7</c:v>
                </c:pt>
                <c:pt idx="24">
                  <c:v>7</c:v>
                </c:pt>
                <c:pt idx="36">
                  <c:v>7</c:v>
                </c:pt>
                <c:pt idx="48">
                  <c:v>7</c:v>
                </c:pt>
                <c:pt idx="60">
                  <c:v>7</c:v>
                </c:pt>
                <c:pt idx="72">
                  <c:v>7</c:v>
                </c:pt>
                <c:pt idx="84">
                  <c:v>7</c:v>
                </c:pt>
                <c:pt idx="96">
                  <c:v>7</c:v>
                </c:pt>
                <c:pt idx="108">
                  <c:v>7</c:v>
                </c:pt>
                <c:pt idx="120">
                  <c:v>7</c:v>
                </c:pt>
              </c:numCache>
            </c:numRef>
          </c:val>
          <c:smooth val="0"/>
          <c:extLst>
            <c:ext xmlns:c16="http://schemas.microsoft.com/office/drawing/2014/chart" uri="{C3380CC4-5D6E-409C-BE32-E72D297353CC}">
              <c16:uniqueId val="{0000000C-0F8D-4B36-BA70-CBB678D9992E}"/>
            </c:ext>
          </c:extLst>
        </c:ser>
        <c:dLbls>
          <c:showLegendKey val="0"/>
          <c:showVal val="0"/>
          <c:showCatName val="0"/>
          <c:showSerName val="0"/>
          <c:showPercent val="0"/>
          <c:showBubbleSize val="0"/>
        </c:dLbls>
        <c:marker val="1"/>
        <c:smooth val="0"/>
        <c:axId val="2067915440"/>
        <c:axId val="2067938832"/>
      </c:lineChart>
      <c:catAx>
        <c:axId val="2067915440"/>
        <c:scaling>
          <c:orientation val="minMax"/>
        </c:scaling>
        <c:delete val="0"/>
        <c:axPos val="b"/>
        <c:numFmt formatCode="yyyy" sourceLinked="0"/>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8832"/>
        <c:crosses val="autoZero"/>
        <c:auto val="0"/>
        <c:lblAlgn val="ctr"/>
        <c:lblOffset val="100"/>
        <c:tickLblSkip val="12"/>
        <c:noMultiLvlLbl val="1"/>
      </c:catAx>
      <c:valAx>
        <c:axId val="2067938832"/>
        <c:scaling>
          <c:orientation val="minMax"/>
          <c:max val="26"/>
          <c:min val="7"/>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15440"/>
        <c:crosses val="autoZero"/>
        <c:crossBetween val="midCat"/>
        <c:majorUnit val="2"/>
      </c:valAx>
      <c:spPr>
        <a:noFill/>
        <a:ln>
          <a:noFill/>
        </a:ln>
        <a:effectLst/>
      </c:spPr>
    </c:plotArea>
    <c:legend>
      <c:legendPos val="b"/>
      <c:legendEntry>
        <c:idx val="2"/>
        <c:delete val="1"/>
      </c:legendEntry>
      <c:layout>
        <c:manualLayout>
          <c:xMode val="edge"/>
          <c:yMode val="edge"/>
          <c:x val="5.2835374744823561E-2"/>
          <c:y val="0.81213222222222226"/>
          <c:w val="0.91284740449110524"/>
          <c:h val="0.1455344444444444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336188914802072E-2"/>
          <c:y val="5.633805593782408E-2"/>
          <c:w val="0.86437336615075899"/>
          <c:h val="0.64068107026989318"/>
        </c:manualLayout>
      </c:layout>
      <c:lineChart>
        <c:grouping val="standard"/>
        <c:varyColors val="0"/>
        <c:ser>
          <c:idx val="1"/>
          <c:order val="0"/>
          <c:tx>
            <c:strRef>
              <c:f>'Projekcija inflacije'!$C$7</c:f>
              <c:strCache>
                <c:ptCount val="1"/>
                <c:pt idx="0">
                  <c:v>Инфлација, просек периода</c:v>
                </c:pt>
              </c:strCache>
            </c:strRef>
          </c:tx>
          <c:spPr>
            <a:ln w="22225" cap="rnd">
              <a:solidFill>
                <a:srgbClr val="EC008C"/>
              </a:solidFill>
              <a:round/>
            </a:ln>
            <a:effectLst/>
          </c:spPr>
          <c:marker>
            <c:symbol val="none"/>
          </c:marker>
          <c:cat>
            <c:numRef>
              <c:f>'Projekcija inflacije'!$I$5:$W$5</c:f>
              <c:numCache>
                <c:formatCode>General</c:formatCode>
                <c:ptCount val="15"/>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numCache>
            </c:numRef>
          </c:cat>
          <c:val>
            <c:numRef>
              <c:f>'Projekcija inflacije'!$I$7:$W$7</c:f>
              <c:numCache>
                <c:formatCode>0.0</c:formatCode>
                <c:ptCount val="15"/>
                <c:pt idx="0">
                  <c:v>7.8</c:v>
                </c:pt>
                <c:pt idx="1">
                  <c:v>2.9</c:v>
                </c:pt>
                <c:pt idx="2">
                  <c:v>1.9</c:v>
                </c:pt>
                <c:pt idx="3">
                  <c:v>1.2</c:v>
                </c:pt>
                <c:pt idx="4">
                  <c:v>3</c:v>
                </c:pt>
                <c:pt idx="5">
                  <c:v>2</c:v>
                </c:pt>
                <c:pt idx="6">
                  <c:v>1.7</c:v>
                </c:pt>
                <c:pt idx="7">
                  <c:v>1.6</c:v>
                </c:pt>
                <c:pt idx="8">
                  <c:v>4</c:v>
                </c:pt>
                <c:pt idx="9">
                  <c:v>11.9</c:v>
                </c:pt>
                <c:pt idx="10">
                  <c:v>12.1</c:v>
                </c:pt>
                <c:pt idx="11">
                  <c:v>4.9000000000000004</c:v>
                </c:pt>
                <c:pt idx="12">
                  <c:v>3.5</c:v>
                </c:pt>
                <c:pt idx="13">
                  <c:v>3.5</c:v>
                </c:pt>
                <c:pt idx="14">
                  <c:v>3.5</c:v>
                </c:pt>
              </c:numCache>
            </c:numRef>
          </c:val>
          <c:smooth val="0"/>
          <c:extLst>
            <c:ext xmlns:c16="http://schemas.microsoft.com/office/drawing/2014/chart" uri="{C3380CC4-5D6E-409C-BE32-E72D297353CC}">
              <c16:uniqueId val="{00000000-0E13-4D03-8A50-2A47A5759691}"/>
            </c:ext>
          </c:extLst>
        </c:ser>
        <c:ser>
          <c:idx val="2"/>
          <c:order val="1"/>
          <c:tx>
            <c:strRef>
              <c:f>'Projekcija inflacije'!$C$8</c:f>
              <c:strCache>
                <c:ptCount val="1"/>
                <c:pt idx="0">
                  <c:v>Дефлатор БДП</c:v>
                </c:pt>
              </c:strCache>
            </c:strRef>
          </c:tx>
          <c:spPr>
            <a:ln w="22225" cap="rnd">
              <a:solidFill>
                <a:srgbClr val="7F3F98"/>
              </a:solidFill>
              <a:round/>
            </a:ln>
            <a:effectLst/>
          </c:spPr>
          <c:marker>
            <c:symbol val="none"/>
          </c:marker>
          <c:cat>
            <c:numRef>
              <c:f>'Projekcija inflacije'!$I$5:$W$5</c:f>
              <c:numCache>
                <c:formatCode>General</c:formatCode>
                <c:ptCount val="15"/>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numCache>
            </c:numRef>
          </c:cat>
          <c:val>
            <c:numRef>
              <c:f>'Projekcija inflacije'!$I$8:$W$8</c:f>
              <c:numCache>
                <c:formatCode>0.0</c:formatCode>
                <c:ptCount val="15"/>
                <c:pt idx="0">
                  <c:v>5.1254413454188068</c:v>
                </c:pt>
                <c:pt idx="1">
                  <c:v>2.585383220508831</c:v>
                </c:pt>
                <c:pt idx="2">
                  <c:v>1.872893376087049</c:v>
                </c:pt>
                <c:pt idx="3">
                  <c:v>1.5498888324771798</c:v>
                </c:pt>
                <c:pt idx="4">
                  <c:v>2.9707931698183216</c:v>
                </c:pt>
                <c:pt idx="5">
                  <c:v>1.9749425621523642</c:v>
                </c:pt>
                <c:pt idx="6">
                  <c:v>2.440598124427737</c:v>
                </c:pt>
                <c:pt idx="7">
                  <c:v>2.4499700873471966</c:v>
                </c:pt>
                <c:pt idx="8">
                  <c:v>5.8</c:v>
                </c:pt>
                <c:pt idx="9">
                  <c:v>10.4</c:v>
                </c:pt>
                <c:pt idx="10">
                  <c:v>12</c:v>
                </c:pt>
                <c:pt idx="11">
                  <c:v>5.7</c:v>
                </c:pt>
                <c:pt idx="12">
                  <c:v>3.3</c:v>
                </c:pt>
                <c:pt idx="13">
                  <c:v>3.2</c:v>
                </c:pt>
                <c:pt idx="14">
                  <c:v>3.1</c:v>
                </c:pt>
              </c:numCache>
            </c:numRef>
          </c:val>
          <c:smooth val="0"/>
          <c:extLst>
            <c:ext xmlns:c16="http://schemas.microsoft.com/office/drawing/2014/chart" uri="{C3380CC4-5D6E-409C-BE32-E72D297353CC}">
              <c16:uniqueId val="{00000001-0E13-4D03-8A50-2A47A5759691}"/>
            </c:ext>
          </c:extLst>
        </c:ser>
        <c:ser>
          <c:idx val="3"/>
          <c:order val="2"/>
          <c:tx>
            <c:strRef>
              <c:f>'Projekcija inflacije'!$C$9</c:f>
              <c:strCache>
                <c:ptCount val="1"/>
              </c:strCache>
            </c:strRef>
          </c:tx>
          <c:spPr>
            <a:ln w="28575" cap="rnd">
              <a:noFill/>
              <a:round/>
            </a:ln>
            <a:effectLst/>
          </c:spPr>
          <c:marker>
            <c:symbol val="square"/>
            <c:size val="2"/>
            <c:spPr>
              <a:solidFill>
                <a:schemeClr val="bg1"/>
              </a:solidFill>
              <a:ln w="9525">
                <a:noFill/>
              </a:ln>
              <a:effectLst/>
            </c:spPr>
          </c:marker>
          <c:dLbls>
            <c:spPr>
              <a:noFill/>
              <a:ln>
                <a:noFill/>
              </a:ln>
              <a:effectLst/>
            </c:spPr>
            <c:txPr>
              <a:bodyPr rot="-5400000" spcFirstLastPara="1" vertOverflow="ellipsis" wrap="square" lIns="38100" tIns="19050" rIns="38100" bIns="19050" anchor="ctr" anchorCtr="1">
                <a:spAutoFit/>
              </a:bodyPr>
              <a:lstStyle/>
              <a:p>
                <a:pPr>
                  <a:defRPr sz="750" b="0" i="0" u="none" strike="noStrike" kern="1200" baseline="0">
                    <a:solidFill>
                      <a:schemeClr val="tx2"/>
                    </a:solidFill>
                    <a:latin typeface="+mn-lt"/>
                    <a:ea typeface="+mn-ea"/>
                    <a:cs typeface="+mn-cs"/>
                  </a:defRPr>
                </a:pPr>
                <a:endParaRPr lang="sr-Latn-RS"/>
              </a:p>
            </c:txPr>
            <c:dLblPos val="b"/>
            <c:showLegendKey val="0"/>
            <c:showVal val="0"/>
            <c:showCatName val="1"/>
            <c:showSerName val="0"/>
            <c:showPercent val="0"/>
            <c:showBubbleSize val="0"/>
            <c:showLeaderLines val="0"/>
            <c:extLst>
              <c:ext xmlns:c15="http://schemas.microsoft.com/office/drawing/2012/chart" uri="{CE6537A1-D6FC-4f65-9D91-7224C49458BB}">
                <c15:showLeaderLines val="0"/>
              </c:ext>
            </c:extLst>
          </c:dLbls>
          <c:cat>
            <c:numRef>
              <c:f>'Projekcija inflacije'!$I$5:$W$5</c:f>
              <c:numCache>
                <c:formatCode>General</c:formatCode>
                <c:ptCount val="15"/>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numCache>
            </c:numRef>
          </c:cat>
          <c:val>
            <c:numRef>
              <c:f>'Projekcija inflacije'!$I$9:$W$9</c:f>
              <c:numCache>
                <c:formatCode>General</c:formatCode>
                <c:ptCount val="15"/>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numCache>
            </c:numRef>
          </c:val>
          <c:smooth val="0"/>
          <c:extLst>
            <c:ext xmlns:c16="http://schemas.microsoft.com/office/drawing/2014/chart" uri="{C3380CC4-5D6E-409C-BE32-E72D297353CC}">
              <c16:uniqueId val="{00000002-0E13-4D03-8A50-2A47A5759691}"/>
            </c:ext>
          </c:extLst>
        </c:ser>
        <c:dLbls>
          <c:showLegendKey val="0"/>
          <c:showVal val="0"/>
          <c:showCatName val="0"/>
          <c:showSerName val="0"/>
          <c:showPercent val="0"/>
          <c:showBubbleSize val="0"/>
        </c:dLbls>
        <c:smooth val="0"/>
        <c:axId val="2067937200"/>
        <c:axId val="2067931760"/>
      </c:lineChart>
      <c:catAx>
        <c:axId val="2067937200"/>
        <c:scaling>
          <c:orientation val="minMax"/>
        </c:scaling>
        <c:delete val="0"/>
        <c:axPos val="b"/>
        <c:numFmt formatCode="General" sourceLinked="1"/>
        <c:majorTickMark val="none"/>
        <c:minorTickMark val="none"/>
        <c:tickLblPos val="none"/>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1760"/>
        <c:crosses val="autoZero"/>
        <c:auto val="1"/>
        <c:lblAlgn val="ctr"/>
        <c:lblOffset val="100"/>
        <c:noMultiLvlLbl val="0"/>
      </c:catAx>
      <c:valAx>
        <c:axId val="2067931760"/>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2067937200"/>
        <c:crosses val="autoZero"/>
        <c:crossBetween val="midCat"/>
        <c:majorUnit val="2"/>
      </c:valAx>
      <c:spPr>
        <a:noFill/>
        <a:ln>
          <a:noFill/>
        </a:ln>
        <a:effectLst/>
      </c:spPr>
    </c:plotArea>
    <c:legend>
      <c:legendPos val="b"/>
      <c:legendEntry>
        <c:idx val="2"/>
        <c:delete val="1"/>
      </c:legendEntry>
      <c:layout>
        <c:manualLayout>
          <c:xMode val="edge"/>
          <c:yMode val="edge"/>
          <c:x val="2.5218401951955399E-3"/>
          <c:y val="0.81351522231044981"/>
          <c:w val="0.99380576517352959"/>
          <c:h val="0.18648477768955027"/>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userShapes r:id="rId5"/>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7488334791484402E-2"/>
          <c:y val="7.2092777777777783E-2"/>
          <c:w val="0.85158573928258963"/>
          <c:h val="0.61694696969696972"/>
        </c:manualLayout>
      </c:layout>
      <c:barChart>
        <c:barDir val="col"/>
        <c:grouping val="stacked"/>
        <c:varyColors val="0"/>
        <c:ser>
          <c:idx val="5"/>
          <c:order val="1"/>
          <c:tx>
            <c:strRef>
              <c:f>'Uvoz_ek. namena'!$B$7</c:f>
              <c:strCache>
                <c:ptCount val="1"/>
                <c:pt idx="0">
                  <c:v>Средства за рад</c:v>
                </c:pt>
              </c:strCache>
            </c:strRef>
          </c:tx>
          <c:spPr>
            <a:solidFill>
              <a:srgbClr val="10103C"/>
            </a:solidFill>
            <a:ln>
              <a:noFill/>
            </a:ln>
            <a:effectLst/>
          </c:spPr>
          <c:invertIfNegative val="0"/>
          <c:cat>
            <c:strRef>
              <c:f>'Uvoz_ek. namena'!$F$5:$J$5</c:f>
              <c:strCache>
                <c:ptCount val="5"/>
                <c:pt idx="0">
                  <c:v>2020</c:v>
                </c:pt>
                <c:pt idx="1">
                  <c:v>2021</c:v>
                </c:pt>
                <c:pt idx="2">
                  <c:v>2022</c:v>
                </c:pt>
                <c:pt idx="3">
                  <c:v>2023</c:v>
                </c:pt>
                <c:pt idx="4">
                  <c:v>I-IV 2024</c:v>
                </c:pt>
              </c:strCache>
            </c:strRef>
          </c:cat>
          <c:val>
            <c:numRef>
              <c:f>'Uvoz_ek. namena'!$F$7:$J$7</c:f>
              <c:numCache>
                <c:formatCode>#,#00</c:formatCode>
                <c:ptCount val="5"/>
                <c:pt idx="0">
                  <c:v>0.22111135776304344</c:v>
                </c:pt>
                <c:pt idx="1">
                  <c:v>2.4615367594016599</c:v>
                </c:pt>
                <c:pt idx="2">
                  <c:v>2.6977428953561877</c:v>
                </c:pt>
                <c:pt idx="3">
                  <c:v>-0.82687417979002475</c:v>
                </c:pt>
                <c:pt idx="4">
                  <c:v>1.5727636632320809</c:v>
                </c:pt>
              </c:numCache>
            </c:numRef>
          </c:val>
          <c:extLst>
            <c:ext xmlns:c16="http://schemas.microsoft.com/office/drawing/2014/chart" uri="{C3380CC4-5D6E-409C-BE32-E72D297353CC}">
              <c16:uniqueId val="{00000000-EFC6-43D9-91DD-F60EE966965F}"/>
            </c:ext>
          </c:extLst>
        </c:ser>
        <c:ser>
          <c:idx val="0"/>
          <c:order val="2"/>
          <c:tx>
            <c:strRef>
              <c:f>'Uvoz_ek. namena'!$B$8</c:f>
              <c:strCache>
                <c:ptCount val="1"/>
                <c:pt idx="0">
                  <c:v>Репродукција</c:v>
                </c:pt>
              </c:strCache>
            </c:strRef>
          </c:tx>
          <c:spPr>
            <a:solidFill>
              <a:srgbClr val="2183C4"/>
            </a:solidFill>
            <a:ln>
              <a:noFill/>
            </a:ln>
            <a:effectLst/>
          </c:spPr>
          <c:invertIfNegative val="0"/>
          <c:cat>
            <c:strRef>
              <c:f>'Uvoz_ek. namena'!$F$5:$J$5</c:f>
              <c:strCache>
                <c:ptCount val="5"/>
                <c:pt idx="0">
                  <c:v>2020</c:v>
                </c:pt>
                <c:pt idx="1">
                  <c:v>2021</c:v>
                </c:pt>
                <c:pt idx="2">
                  <c:v>2022</c:v>
                </c:pt>
                <c:pt idx="3">
                  <c:v>2023</c:v>
                </c:pt>
                <c:pt idx="4">
                  <c:v>I-IV 2024</c:v>
                </c:pt>
              </c:strCache>
            </c:strRef>
          </c:cat>
          <c:val>
            <c:numRef>
              <c:f>'Uvoz_ek. namena'!$F$8:$J$8</c:f>
              <c:numCache>
                <c:formatCode>#,#00</c:formatCode>
                <c:ptCount val="5"/>
                <c:pt idx="0">
                  <c:v>-5.8440229023300203</c:v>
                </c:pt>
                <c:pt idx="1">
                  <c:v>18.49881405126126</c:v>
                </c:pt>
                <c:pt idx="2">
                  <c:v>24.176006469606328</c:v>
                </c:pt>
                <c:pt idx="3">
                  <c:v>-6.7800606955380545</c:v>
                </c:pt>
                <c:pt idx="4">
                  <c:v>-3.6197111051567448</c:v>
                </c:pt>
              </c:numCache>
            </c:numRef>
          </c:val>
          <c:extLst>
            <c:ext xmlns:c16="http://schemas.microsoft.com/office/drawing/2014/chart" uri="{C3380CC4-5D6E-409C-BE32-E72D297353CC}">
              <c16:uniqueId val="{00000001-EFC6-43D9-91DD-F60EE966965F}"/>
            </c:ext>
          </c:extLst>
        </c:ser>
        <c:ser>
          <c:idx val="1"/>
          <c:order val="3"/>
          <c:tx>
            <c:strRef>
              <c:f>'Uvoz_ek. namena'!$B$9</c:f>
              <c:strCache>
                <c:ptCount val="1"/>
                <c:pt idx="0">
                  <c:v>Потрошна роба</c:v>
                </c:pt>
              </c:strCache>
            </c:strRef>
          </c:tx>
          <c:spPr>
            <a:solidFill>
              <a:srgbClr val="51BBE7"/>
            </a:solidFill>
            <a:ln>
              <a:noFill/>
            </a:ln>
            <a:effectLst/>
          </c:spPr>
          <c:invertIfNegative val="0"/>
          <c:cat>
            <c:strRef>
              <c:f>'Uvoz_ek. namena'!$F$5:$J$5</c:f>
              <c:strCache>
                <c:ptCount val="5"/>
                <c:pt idx="0">
                  <c:v>2020</c:v>
                </c:pt>
                <c:pt idx="1">
                  <c:v>2021</c:v>
                </c:pt>
                <c:pt idx="2">
                  <c:v>2022</c:v>
                </c:pt>
                <c:pt idx="3">
                  <c:v>2023</c:v>
                </c:pt>
                <c:pt idx="4">
                  <c:v>I-IV 2024</c:v>
                </c:pt>
              </c:strCache>
            </c:strRef>
          </c:cat>
          <c:val>
            <c:numRef>
              <c:f>'Uvoz_ek. namena'!$F$9:$J$9</c:f>
              <c:numCache>
                <c:formatCode>#,#00</c:formatCode>
                <c:ptCount val="5"/>
                <c:pt idx="0">
                  <c:v>1.5972699819478706</c:v>
                </c:pt>
                <c:pt idx="1">
                  <c:v>2.7892630966283947</c:v>
                </c:pt>
                <c:pt idx="2">
                  <c:v>4.4717006562917954</c:v>
                </c:pt>
                <c:pt idx="3">
                  <c:v>0.9327325295275577</c:v>
                </c:pt>
                <c:pt idx="4">
                  <c:v>2.2166467736828026</c:v>
                </c:pt>
              </c:numCache>
            </c:numRef>
          </c:val>
          <c:extLst>
            <c:ext xmlns:c16="http://schemas.microsoft.com/office/drawing/2014/chart" uri="{C3380CC4-5D6E-409C-BE32-E72D297353CC}">
              <c16:uniqueId val="{00000002-EFC6-43D9-91DD-F60EE966965F}"/>
            </c:ext>
          </c:extLst>
        </c:ser>
        <c:ser>
          <c:idx val="2"/>
          <c:order val="4"/>
          <c:tx>
            <c:strRef>
              <c:f>'Uvoz_ek. namena'!$B$10</c:f>
              <c:strCache>
                <c:ptCount val="1"/>
                <c:pt idx="0">
                  <c:v>Некласификовано</c:v>
                </c:pt>
              </c:strCache>
            </c:strRef>
          </c:tx>
          <c:spPr>
            <a:solidFill>
              <a:srgbClr val="C9E4EB"/>
            </a:solidFill>
            <a:ln>
              <a:noFill/>
            </a:ln>
            <a:effectLst/>
          </c:spPr>
          <c:invertIfNegative val="0"/>
          <c:cat>
            <c:strRef>
              <c:f>'Uvoz_ek. namena'!$F$5:$J$5</c:f>
              <c:strCache>
                <c:ptCount val="5"/>
                <c:pt idx="0">
                  <c:v>2020</c:v>
                </c:pt>
                <c:pt idx="1">
                  <c:v>2021</c:v>
                </c:pt>
                <c:pt idx="2">
                  <c:v>2022</c:v>
                </c:pt>
                <c:pt idx="3">
                  <c:v>2023</c:v>
                </c:pt>
                <c:pt idx="4">
                  <c:v>I-IV 2024</c:v>
                </c:pt>
              </c:strCache>
            </c:strRef>
          </c:cat>
          <c:val>
            <c:numRef>
              <c:f>'Uvoz_ek. namena'!$F$10:$J$10</c:f>
              <c:numCache>
                <c:formatCode>#,#00</c:formatCode>
                <c:ptCount val="5"/>
                <c:pt idx="0">
                  <c:v>0.18220504035551299</c:v>
                </c:pt>
                <c:pt idx="1">
                  <c:v>2.2889967138942282</c:v>
                </c:pt>
                <c:pt idx="2">
                  <c:v>3.4877813604835626</c:v>
                </c:pt>
                <c:pt idx="3">
                  <c:v>1.1508571194225719</c:v>
                </c:pt>
                <c:pt idx="4">
                  <c:v>1.0855885481369618</c:v>
                </c:pt>
              </c:numCache>
            </c:numRef>
          </c:val>
          <c:extLst>
            <c:ext xmlns:c16="http://schemas.microsoft.com/office/drawing/2014/chart" uri="{C3380CC4-5D6E-409C-BE32-E72D297353CC}">
              <c16:uniqueId val="{00000003-EFC6-43D9-91DD-F60EE966965F}"/>
            </c:ext>
          </c:extLst>
        </c:ser>
        <c:dLbls>
          <c:showLegendKey val="0"/>
          <c:showVal val="0"/>
          <c:showCatName val="0"/>
          <c:showSerName val="0"/>
          <c:showPercent val="0"/>
          <c:showBubbleSize val="0"/>
        </c:dLbls>
        <c:gapWidth val="70"/>
        <c:overlap val="100"/>
        <c:axId val="1839193360"/>
        <c:axId val="1839196080"/>
      </c:barChart>
      <c:lineChart>
        <c:grouping val="standard"/>
        <c:varyColors val="0"/>
        <c:ser>
          <c:idx val="3"/>
          <c:order val="0"/>
          <c:tx>
            <c:strRef>
              <c:f>'Uvoz_ek. namena'!$B$6</c:f>
              <c:strCache>
                <c:ptCount val="1"/>
                <c:pt idx="0">
                  <c:v>Укупно</c:v>
                </c:pt>
              </c:strCache>
            </c:strRef>
          </c:tx>
          <c:spPr>
            <a:ln w="28575" cap="rnd">
              <a:solidFill>
                <a:srgbClr val="FF0000"/>
              </a:solidFill>
              <a:round/>
            </a:ln>
            <a:effectLst/>
          </c:spPr>
          <c:marker>
            <c:symbol val="none"/>
          </c:marker>
          <c:dLbls>
            <c:dLbl>
              <c:idx val="3"/>
              <c:layout>
                <c:manualLayout>
                  <c:x val="-6.6933894048841341E-2"/>
                  <c:y val="-0.1063303030303030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FC6-43D9-91DD-F60EE966965F}"/>
                </c:ext>
              </c:extLst>
            </c:dLbl>
            <c:numFmt formatCode="#,##0.0" sourceLinked="0"/>
            <c:spPr>
              <a:noFill/>
              <a:ln>
                <a:noFill/>
              </a:ln>
              <a:effectLst/>
            </c:spPr>
            <c:txPr>
              <a:bodyPr rot="0" spcFirstLastPara="1" vertOverflow="ellipsis" vert="horz" wrap="square" anchor="ctr" anchorCtr="1"/>
              <a:lstStyle/>
              <a:p>
                <a:pPr>
                  <a:defRPr sz="750" b="1" i="0" u="none" strike="noStrike" kern="1200" baseline="0">
                    <a:solidFill>
                      <a:srgbClr val="FF0000"/>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'Uvoz_ek. namena'!$F$5:$J$5</c:f>
              <c:strCache>
                <c:ptCount val="5"/>
                <c:pt idx="0">
                  <c:v>2020</c:v>
                </c:pt>
                <c:pt idx="1">
                  <c:v>2021</c:v>
                </c:pt>
                <c:pt idx="2">
                  <c:v>2022</c:v>
                </c:pt>
                <c:pt idx="3">
                  <c:v>2023</c:v>
                </c:pt>
                <c:pt idx="4">
                  <c:v>I-IV 2024</c:v>
                </c:pt>
              </c:strCache>
            </c:strRef>
          </c:cat>
          <c:val>
            <c:numRef>
              <c:f>'Uvoz_ek. namena'!$F$6:$J$6</c:f>
              <c:numCache>
                <c:formatCode>#,#00</c:formatCode>
                <c:ptCount val="5"/>
                <c:pt idx="0">
                  <c:v>-3.8438511767391508</c:v>
                </c:pt>
                <c:pt idx="1">
                  <c:v>26.038170679134183</c:v>
                </c:pt>
                <c:pt idx="2">
                  <c:v>34.833231381737875</c:v>
                </c:pt>
                <c:pt idx="3">
                  <c:v>-5.5233452263779554</c:v>
                </c:pt>
                <c:pt idx="4">
                  <c:v>1.2536639628447688</c:v>
                </c:pt>
              </c:numCache>
            </c:numRef>
          </c:val>
          <c:smooth val="0"/>
          <c:extLst>
            <c:ext xmlns:c16="http://schemas.microsoft.com/office/drawing/2014/chart" uri="{C3380CC4-5D6E-409C-BE32-E72D297353CC}">
              <c16:uniqueId val="{00000005-EFC6-43D9-91DD-F60EE966965F}"/>
            </c:ext>
          </c:extLst>
        </c:ser>
        <c:dLbls>
          <c:showLegendKey val="0"/>
          <c:showVal val="0"/>
          <c:showCatName val="0"/>
          <c:showSerName val="0"/>
          <c:showPercent val="0"/>
          <c:showBubbleSize val="0"/>
        </c:dLbls>
        <c:marker val="1"/>
        <c:smooth val="0"/>
        <c:axId val="1839193360"/>
        <c:axId val="1839196080"/>
      </c:lineChart>
      <c:catAx>
        <c:axId val="183919336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6080"/>
        <c:crosses val="autoZero"/>
        <c:auto val="1"/>
        <c:lblAlgn val="ctr"/>
        <c:lblOffset val="100"/>
        <c:noMultiLvlLbl val="0"/>
      </c:catAx>
      <c:valAx>
        <c:axId val="1839196080"/>
        <c:scaling>
          <c:orientation val="minMax"/>
          <c:max val="50"/>
          <c:min val="-6"/>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93360"/>
        <c:crosses val="autoZero"/>
        <c:crossBetween val="between"/>
        <c:majorUnit val="6"/>
      </c:valAx>
      <c:spPr>
        <a:noFill/>
        <a:ln>
          <a:noFill/>
        </a:ln>
        <a:effectLst/>
      </c:spPr>
    </c:plotArea>
    <c:legend>
      <c:legendPos val="b"/>
      <c:layout>
        <c:manualLayout>
          <c:xMode val="edge"/>
          <c:yMode val="edge"/>
          <c:x val="1.2789078448527259E-2"/>
          <c:y val="0.80912929292929292"/>
          <c:w val="0.91940033537474486"/>
          <c:h val="0.1908707070707071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4">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0796150481189"/>
          <c:y val="4.6989720998531569E-2"/>
          <c:w val="0.83938761715110422"/>
          <c:h val="0.81779689433093983"/>
        </c:manualLayout>
      </c:layout>
      <c:areaChart>
        <c:grouping val="standard"/>
        <c:varyColors val="0"/>
        <c:ser>
          <c:idx val="1"/>
          <c:order val="0"/>
          <c:tx>
            <c:strRef>
              <c:f>'Izvoz, uvoz (Q)'!$A$7</c:f>
              <c:strCache>
                <c:ptCount val="1"/>
                <c:pt idx="0">
                  <c:v>Увоз</c:v>
                </c:pt>
              </c:strCache>
            </c:strRef>
          </c:tx>
          <c:spPr>
            <a:solidFill>
              <a:srgbClr val="51BBE7"/>
            </a:solidFill>
            <a:ln>
              <a:noFill/>
            </a:ln>
            <a:effectLst/>
          </c:spPr>
          <c:dLbls>
            <c:dLbl>
              <c:idx val="0"/>
              <c:layout>
                <c:manualLayout>
                  <c:x val="3.4796579742801217E-2"/>
                  <c:y val="-0.11529571687003301"/>
                </c:manualLayout>
              </c:layout>
              <c:showLegendKey val="0"/>
              <c:showVal val="0"/>
              <c:showCatName val="0"/>
              <c:showSerName val="1"/>
              <c:showPercent val="0"/>
              <c:showBubbleSize val="0"/>
              <c:extLst>
                <c:ext xmlns:c15="http://schemas.microsoft.com/office/drawing/2012/chart" uri="{CE6537A1-D6FC-4f65-9D91-7224C49458BB}">
                  <c15:layout>
                    <c:manualLayout>
                      <c:w val="0.11629035215965292"/>
                      <c:h val="0.14761725211269569"/>
                    </c:manualLayout>
                  </c15:layout>
                </c:ext>
                <c:ext xmlns:c16="http://schemas.microsoft.com/office/drawing/2014/chart" uri="{C3380CC4-5D6E-409C-BE32-E72D297353CC}">
                  <c16:uniqueId val="{00000000-C75E-407B-9C91-42388265FEE5}"/>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(Q)'!$W$3:$AY$4</c:f>
              <c:multiLvlStrCache>
                <c:ptCount val="29"/>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lvl>
                <c:lvl>
                  <c:pt idx="0">
                    <c:v>2017</c:v>
                  </c:pt>
                  <c:pt idx="4">
                    <c:v>2018</c:v>
                  </c:pt>
                  <c:pt idx="8">
                    <c:v>2019</c:v>
                  </c:pt>
                  <c:pt idx="12">
                    <c:v>2020</c:v>
                  </c:pt>
                  <c:pt idx="16">
                    <c:v>2021</c:v>
                  </c:pt>
                  <c:pt idx="20">
                    <c:v>2022</c:v>
                  </c:pt>
                  <c:pt idx="24">
                    <c:v>2023</c:v>
                  </c:pt>
                  <c:pt idx="28">
                    <c:v>2024</c:v>
                  </c:pt>
                </c:lvl>
              </c:multiLvlStrCache>
            </c:multiLvlStrRef>
          </c:cat>
          <c:val>
            <c:numRef>
              <c:f>'Izvoz, uvoz (Q)'!$W$7:$AY$7</c:f>
              <c:numCache>
                <c:formatCode>#,##0.0</c:formatCode>
                <c:ptCount val="29"/>
                <c:pt idx="0">
                  <c:v>4508.1000000000004</c:v>
                </c:pt>
                <c:pt idx="1">
                  <c:v>4918.5</c:v>
                </c:pt>
                <c:pt idx="2">
                  <c:v>4707.2999999999993</c:v>
                </c:pt>
                <c:pt idx="3">
                  <c:v>5262.1</c:v>
                </c:pt>
                <c:pt idx="4">
                  <c:v>5075.8999999999996</c:v>
                </c:pt>
                <c:pt idx="5">
                  <c:v>5458.7000000000007</c:v>
                </c:pt>
                <c:pt idx="6">
                  <c:v>5419</c:v>
                </c:pt>
                <c:pt idx="7">
                  <c:v>5965.1</c:v>
                </c:pt>
                <c:pt idx="8">
                  <c:v>5560.6</c:v>
                </c:pt>
                <c:pt idx="9">
                  <c:v>5942</c:v>
                </c:pt>
                <c:pt idx="10">
                  <c:v>5842.9999999999982</c:v>
                </c:pt>
                <c:pt idx="11">
                  <c:v>6529.7000000000007</c:v>
                </c:pt>
                <c:pt idx="12">
                  <c:v>5986.9</c:v>
                </c:pt>
                <c:pt idx="13">
                  <c:v>4743.2000000000007</c:v>
                </c:pt>
                <c:pt idx="14">
                  <c:v>5793.9999999999982</c:v>
                </c:pt>
                <c:pt idx="15">
                  <c:v>6433.5</c:v>
                </c:pt>
                <c:pt idx="16">
                  <c:v>6016.4</c:v>
                </c:pt>
                <c:pt idx="17">
                  <c:v>7087.5</c:v>
                </c:pt>
                <c:pt idx="18">
                  <c:v>7296.6999999999989</c:v>
                </c:pt>
                <c:pt idx="19">
                  <c:v>8534.7000000000007</c:v>
                </c:pt>
                <c:pt idx="20">
                  <c:v>9350</c:v>
                </c:pt>
                <c:pt idx="21">
                  <c:v>10242.900000000001</c:v>
                </c:pt>
                <c:pt idx="22">
                  <c:v>9380.5</c:v>
                </c:pt>
                <c:pt idx="23">
                  <c:v>10041</c:v>
                </c:pt>
                <c:pt idx="24">
                  <c:v>9440</c:v>
                </c:pt>
                <c:pt idx="25">
                  <c:v>9167</c:v>
                </c:pt>
                <c:pt idx="26">
                  <c:v>8594.5</c:v>
                </c:pt>
                <c:pt idx="27">
                  <c:v>9658</c:v>
                </c:pt>
                <c:pt idx="28">
                  <c:v>9126.5</c:v>
                </c:pt>
              </c:numCache>
            </c:numRef>
          </c:val>
          <c:extLst>
            <c:ext xmlns:c16="http://schemas.microsoft.com/office/drawing/2014/chart" uri="{C3380CC4-5D6E-409C-BE32-E72D297353CC}">
              <c16:uniqueId val="{00000001-C75E-407B-9C91-42388265FEE5}"/>
            </c:ext>
          </c:extLst>
        </c:ser>
        <c:ser>
          <c:idx val="0"/>
          <c:order val="1"/>
          <c:tx>
            <c:strRef>
              <c:f>'Izvoz, uvoz (Q)'!$A$8</c:f>
              <c:strCache>
                <c:ptCount val="1"/>
                <c:pt idx="0">
                  <c:v>Извоз</c:v>
                </c:pt>
              </c:strCache>
            </c:strRef>
          </c:tx>
          <c:spPr>
            <a:solidFill>
              <a:srgbClr val="29489A"/>
            </a:solidFill>
            <a:ln>
              <a:noFill/>
            </a:ln>
            <a:effectLst/>
          </c:spPr>
          <c:dLbls>
            <c:dLbl>
              <c:idx val="0"/>
              <c:layout>
                <c:manualLayout>
                  <c:x val="2.3197719828534146E-2"/>
                  <c:y val="-1.5372762249337731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C75E-407B-9C91-42388265FEE5}"/>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(Q)'!$W$3:$AY$4</c:f>
              <c:multiLvlStrCache>
                <c:ptCount val="29"/>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lvl>
                <c:lvl>
                  <c:pt idx="0">
                    <c:v>2017</c:v>
                  </c:pt>
                  <c:pt idx="4">
                    <c:v>2018</c:v>
                  </c:pt>
                  <c:pt idx="8">
                    <c:v>2019</c:v>
                  </c:pt>
                  <c:pt idx="12">
                    <c:v>2020</c:v>
                  </c:pt>
                  <c:pt idx="16">
                    <c:v>2021</c:v>
                  </c:pt>
                  <c:pt idx="20">
                    <c:v>2022</c:v>
                  </c:pt>
                  <c:pt idx="24">
                    <c:v>2023</c:v>
                  </c:pt>
                  <c:pt idx="28">
                    <c:v>2024</c:v>
                  </c:pt>
                </c:lvl>
              </c:multiLvlStrCache>
            </c:multiLvlStrRef>
          </c:cat>
          <c:val>
            <c:numRef>
              <c:f>'Izvoz, uvoz (Q)'!$W$8:$AY$8</c:f>
              <c:numCache>
                <c:formatCode>#,##0.0</c:formatCode>
                <c:ptCount val="29"/>
                <c:pt idx="0">
                  <c:v>3516.4</c:v>
                </c:pt>
                <c:pt idx="1">
                  <c:v>3948.9999999999995</c:v>
                </c:pt>
                <c:pt idx="2">
                  <c:v>3785.7000000000007</c:v>
                </c:pt>
                <c:pt idx="3">
                  <c:v>3799.6999999999989</c:v>
                </c:pt>
                <c:pt idx="4">
                  <c:v>3829.1</c:v>
                </c:pt>
                <c:pt idx="5">
                  <c:v>4218.6000000000004</c:v>
                </c:pt>
                <c:pt idx="6">
                  <c:v>4091.0999999999995</c:v>
                </c:pt>
                <c:pt idx="7">
                  <c:v>4143.2000000000007</c:v>
                </c:pt>
                <c:pt idx="8">
                  <c:v>4102.1000000000004</c:v>
                </c:pt>
                <c:pt idx="9">
                  <c:v>4488.7999999999993</c:v>
                </c:pt>
                <c:pt idx="10">
                  <c:v>4404.1000000000004</c:v>
                </c:pt>
                <c:pt idx="11">
                  <c:v>4541.4000000000015</c:v>
                </c:pt>
                <c:pt idx="12">
                  <c:v>4237.5</c:v>
                </c:pt>
                <c:pt idx="13">
                  <c:v>3597.2</c:v>
                </c:pt>
                <c:pt idx="14">
                  <c:v>4371.2</c:v>
                </c:pt>
                <c:pt idx="15">
                  <c:v>4848.6000000000004</c:v>
                </c:pt>
                <c:pt idx="16">
                  <c:v>4837.7</c:v>
                </c:pt>
                <c:pt idx="17">
                  <c:v>5236.7</c:v>
                </c:pt>
                <c:pt idx="18">
                  <c:v>5560.6</c:v>
                </c:pt>
                <c:pt idx="19">
                  <c:v>6223</c:v>
                </c:pt>
                <c:pt idx="20">
                  <c:v>6315</c:v>
                </c:pt>
                <c:pt idx="21">
                  <c:v>7022</c:v>
                </c:pt>
                <c:pt idx="22">
                  <c:v>7019.5</c:v>
                </c:pt>
                <c:pt idx="23">
                  <c:v>7249.4000000000015</c:v>
                </c:pt>
                <c:pt idx="24">
                  <c:v>7298.9</c:v>
                </c:pt>
                <c:pt idx="25">
                  <c:v>7285.2000000000007</c:v>
                </c:pt>
                <c:pt idx="26">
                  <c:v>6919.1999999999989</c:v>
                </c:pt>
                <c:pt idx="27">
                  <c:v>7128.5</c:v>
                </c:pt>
                <c:pt idx="28">
                  <c:v>7179.8</c:v>
                </c:pt>
              </c:numCache>
            </c:numRef>
          </c:val>
          <c:extLst>
            <c:ext xmlns:c16="http://schemas.microsoft.com/office/drawing/2014/chart" uri="{C3380CC4-5D6E-409C-BE32-E72D297353CC}">
              <c16:uniqueId val="{00000003-C75E-407B-9C91-42388265FEE5}"/>
            </c:ext>
          </c:extLst>
        </c:ser>
        <c:ser>
          <c:idx val="2"/>
          <c:order val="2"/>
          <c:tx>
            <c:strRef>
              <c:f>'Izvoz, uvoz (Q)'!$A$9</c:f>
              <c:strCache>
                <c:ptCount val="1"/>
                <c:pt idx="0">
                  <c:v>Дефицит</c:v>
                </c:pt>
              </c:strCache>
            </c:strRef>
          </c:tx>
          <c:spPr>
            <a:solidFill>
              <a:srgbClr val="ED1C24"/>
            </a:solidFill>
            <a:ln>
              <a:noFill/>
            </a:ln>
            <a:effectLst/>
          </c:spPr>
          <c:dLbls>
            <c:dLbl>
              <c:idx val="0"/>
              <c:layout>
                <c:manualLayout>
                  <c:x val="1.8561484918793503E-2"/>
                  <c:y val="-7.8400627205018353E-3"/>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07C0-492C-9FB5-7BCDB73E5D9A}"/>
                </c:ext>
              </c:extLst>
            </c:dLbl>
            <c:spPr>
              <a:noFill/>
              <a:ln>
                <a:noFill/>
              </a:ln>
              <a:effectLst/>
            </c:spPr>
            <c:txPr>
              <a:bodyPr rot="0" spcFirstLastPara="1" vertOverflow="ellipsis" vert="horz" wrap="none" anchor="ctr" anchorCtr="1"/>
              <a:lstStyle/>
              <a:p>
                <a:pPr>
                  <a:defRPr sz="1000" b="1" i="0" u="none" strike="noStrike" kern="1200" baseline="0">
                    <a:solidFill>
                      <a:schemeClr val="bg1"/>
                    </a:solidFill>
                    <a:latin typeface="+mn-lt"/>
                    <a:ea typeface="+mn-ea"/>
                    <a:cs typeface="+mn-cs"/>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multiLvlStrRef>
              <c:f>'Izvoz, uvoz (Q)'!$W$3:$AY$4</c:f>
              <c:multiLvlStrCache>
                <c:ptCount val="29"/>
                <c:lvl>
                  <c:pt idx="0">
                    <c:v>Q1</c:v>
                  </c:pt>
                  <c:pt idx="1">
                    <c:v>Q2</c:v>
                  </c:pt>
                  <c:pt idx="2">
                    <c:v>Q3</c:v>
                  </c:pt>
                  <c:pt idx="3">
                    <c:v>Q4</c:v>
                  </c:pt>
                  <c:pt idx="4">
                    <c:v>Q1</c:v>
                  </c:pt>
                  <c:pt idx="5">
                    <c:v>Q2</c:v>
                  </c:pt>
                  <c:pt idx="6">
                    <c:v>Q3</c:v>
                  </c:pt>
                  <c:pt idx="7">
                    <c:v>Q4</c:v>
                  </c:pt>
                  <c:pt idx="8">
                    <c:v>Q1</c:v>
                  </c:pt>
                  <c:pt idx="9">
                    <c:v>Q2</c:v>
                  </c:pt>
                  <c:pt idx="10">
                    <c:v>Q3</c:v>
                  </c:pt>
                  <c:pt idx="11">
                    <c:v>Q4</c:v>
                  </c:pt>
                  <c:pt idx="12">
                    <c:v>Q1</c:v>
                  </c:pt>
                  <c:pt idx="13">
                    <c:v>Q2</c:v>
                  </c:pt>
                  <c:pt idx="14">
                    <c:v>Q3</c:v>
                  </c:pt>
                  <c:pt idx="15">
                    <c:v>Q4</c:v>
                  </c:pt>
                  <c:pt idx="16">
                    <c:v>Q1</c:v>
                  </c:pt>
                  <c:pt idx="17">
                    <c:v>Q2</c:v>
                  </c:pt>
                  <c:pt idx="18">
                    <c:v>Q3</c:v>
                  </c:pt>
                  <c:pt idx="19">
                    <c:v>Q4</c:v>
                  </c:pt>
                  <c:pt idx="20">
                    <c:v>Q1</c:v>
                  </c:pt>
                  <c:pt idx="21">
                    <c:v>Q2</c:v>
                  </c:pt>
                  <c:pt idx="22">
                    <c:v>Q3</c:v>
                  </c:pt>
                  <c:pt idx="23">
                    <c:v>Q4</c:v>
                  </c:pt>
                  <c:pt idx="24">
                    <c:v>Q1</c:v>
                  </c:pt>
                  <c:pt idx="25">
                    <c:v>Q2</c:v>
                  </c:pt>
                  <c:pt idx="26">
                    <c:v>Q3</c:v>
                  </c:pt>
                  <c:pt idx="27">
                    <c:v>Q4</c:v>
                  </c:pt>
                  <c:pt idx="28">
                    <c:v>Q1</c:v>
                  </c:pt>
                </c:lvl>
                <c:lvl>
                  <c:pt idx="0">
                    <c:v>2017</c:v>
                  </c:pt>
                  <c:pt idx="4">
                    <c:v>2018</c:v>
                  </c:pt>
                  <c:pt idx="8">
                    <c:v>2019</c:v>
                  </c:pt>
                  <c:pt idx="12">
                    <c:v>2020</c:v>
                  </c:pt>
                  <c:pt idx="16">
                    <c:v>2021</c:v>
                  </c:pt>
                  <c:pt idx="20">
                    <c:v>2022</c:v>
                  </c:pt>
                  <c:pt idx="24">
                    <c:v>2023</c:v>
                  </c:pt>
                  <c:pt idx="28">
                    <c:v>2024</c:v>
                  </c:pt>
                </c:lvl>
              </c:multiLvlStrCache>
            </c:multiLvlStrRef>
          </c:cat>
          <c:val>
            <c:numRef>
              <c:f>'Izvoz, uvoz (Q)'!$W$9:$AY$9</c:f>
              <c:numCache>
                <c:formatCode>#,##0.0</c:formatCode>
                <c:ptCount val="29"/>
                <c:pt idx="0">
                  <c:v>-991.70000000000027</c:v>
                </c:pt>
                <c:pt idx="1">
                  <c:v>-969.50000000000045</c:v>
                </c:pt>
                <c:pt idx="2">
                  <c:v>-921.59999999999854</c:v>
                </c:pt>
                <c:pt idx="3">
                  <c:v>-1462.4000000000015</c:v>
                </c:pt>
                <c:pt idx="4">
                  <c:v>-1246.7999999999997</c:v>
                </c:pt>
                <c:pt idx="5">
                  <c:v>-1240.1000000000004</c:v>
                </c:pt>
                <c:pt idx="6">
                  <c:v>-1327.9000000000005</c:v>
                </c:pt>
                <c:pt idx="7">
                  <c:v>-1821.8999999999996</c:v>
                </c:pt>
                <c:pt idx="8">
                  <c:v>-1458.5</c:v>
                </c:pt>
                <c:pt idx="9">
                  <c:v>-1453.2000000000007</c:v>
                </c:pt>
                <c:pt idx="10">
                  <c:v>-1438.8999999999978</c:v>
                </c:pt>
                <c:pt idx="11">
                  <c:v>-1988.2999999999993</c:v>
                </c:pt>
                <c:pt idx="12">
                  <c:v>-1749.3999999999996</c:v>
                </c:pt>
                <c:pt idx="13">
                  <c:v>-1146.0000000000009</c:v>
                </c:pt>
                <c:pt idx="14">
                  <c:v>-1422.7999999999984</c:v>
                </c:pt>
                <c:pt idx="15">
                  <c:v>-1584.8999999999996</c:v>
                </c:pt>
                <c:pt idx="16">
                  <c:v>-1178.6999999999998</c:v>
                </c:pt>
                <c:pt idx="17">
                  <c:v>-1850.8000000000002</c:v>
                </c:pt>
                <c:pt idx="18">
                  <c:v>-1736.0999999999985</c:v>
                </c:pt>
                <c:pt idx="19">
                  <c:v>-2311.7000000000007</c:v>
                </c:pt>
                <c:pt idx="20">
                  <c:v>-3035</c:v>
                </c:pt>
                <c:pt idx="21">
                  <c:v>-3220.9000000000015</c:v>
                </c:pt>
                <c:pt idx="22">
                  <c:v>-2361</c:v>
                </c:pt>
                <c:pt idx="23">
                  <c:v>-2791.5999999999985</c:v>
                </c:pt>
                <c:pt idx="24">
                  <c:v>-2141.1000000000004</c:v>
                </c:pt>
                <c:pt idx="25">
                  <c:v>-1881.7999999999993</c:v>
                </c:pt>
                <c:pt idx="26">
                  <c:v>-1675.3000000000011</c:v>
                </c:pt>
                <c:pt idx="27">
                  <c:v>-2529.5</c:v>
                </c:pt>
                <c:pt idx="28">
                  <c:v>-1946.6999999999998</c:v>
                </c:pt>
              </c:numCache>
            </c:numRef>
          </c:val>
          <c:extLst>
            <c:ext xmlns:c16="http://schemas.microsoft.com/office/drawing/2014/chart" uri="{C3380CC4-5D6E-409C-BE32-E72D297353CC}">
              <c16:uniqueId val="{00000004-C75E-407B-9C91-42388265FEE5}"/>
            </c:ext>
          </c:extLst>
        </c:ser>
        <c:dLbls>
          <c:showLegendKey val="0"/>
          <c:showVal val="0"/>
          <c:showCatName val="0"/>
          <c:showSerName val="0"/>
          <c:showPercent val="0"/>
          <c:showBubbleSize val="0"/>
        </c:dLbls>
        <c:axId val="1839202064"/>
        <c:axId val="1839196624"/>
      </c:areaChart>
      <c:catAx>
        <c:axId val="1839202064"/>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5400000" spcFirstLastPara="1" vertOverflow="ellipsis" wrap="square" anchor="ctr" anchorCtr="1"/>
          <a:lstStyle/>
          <a:p>
            <a:pPr>
              <a:defRPr sz="600" b="0" i="0" u="none" strike="noStrike" kern="1200" baseline="0">
                <a:solidFill>
                  <a:schemeClr val="tx2"/>
                </a:solidFill>
                <a:latin typeface="+mn-lt"/>
                <a:ea typeface="+mn-ea"/>
                <a:cs typeface="+mn-cs"/>
              </a:defRPr>
            </a:pPr>
            <a:endParaRPr lang="sr-Latn-RS"/>
          </a:p>
        </c:txPr>
        <c:crossAx val="1839196624"/>
        <c:crosses val="autoZero"/>
        <c:auto val="1"/>
        <c:lblAlgn val="ctr"/>
        <c:lblOffset val="0"/>
        <c:tickLblSkip val="1"/>
        <c:noMultiLvlLbl val="0"/>
      </c:catAx>
      <c:valAx>
        <c:axId val="183919662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202064"/>
        <c:crosses val="autoZero"/>
        <c:crossBetween val="between"/>
        <c:majorUnit val="1500"/>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539150826485673E-2"/>
          <c:y val="3.2258064516129031E-2"/>
          <c:w val="0.90409995360749396"/>
          <c:h val="0.75972906612479885"/>
        </c:manualLayout>
      </c:layout>
      <c:barChart>
        <c:barDir val="col"/>
        <c:grouping val="stacked"/>
        <c:varyColors val="0"/>
        <c:ser>
          <c:idx val="0"/>
          <c:order val="1"/>
          <c:tx>
            <c:strRef>
              <c:f>'Struktura CA i FA'!$B$10</c:f>
              <c:strCache>
                <c:ptCount val="1"/>
                <c:pt idx="0">
                  <c:v>Салдо робне размене </c:v>
                </c:pt>
              </c:strCache>
            </c:strRef>
          </c:tx>
          <c:spPr>
            <a:solidFill>
              <a:srgbClr val="10103C"/>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FA'!$I$10:$O$10</c:f>
              <c:numCache>
                <c:formatCode>0.0</c:formatCode>
                <c:ptCount val="7"/>
                <c:pt idx="0">
                  <c:v>-11.28793904591975</c:v>
                </c:pt>
                <c:pt idx="1">
                  <c:v>-15.496779892571055</c:v>
                </c:pt>
                <c:pt idx="2">
                  <c:v>-9.5005612255760017</c:v>
                </c:pt>
                <c:pt idx="3">
                  <c:v>-9.489398326151198</c:v>
                </c:pt>
                <c:pt idx="4">
                  <c:v>-9.2375541680662092</c:v>
                </c:pt>
                <c:pt idx="5">
                  <c:v>-8.9032423525167417</c:v>
                </c:pt>
                <c:pt idx="6">
                  <c:v>-8.4781381171626808</c:v>
                </c:pt>
              </c:numCache>
            </c:numRef>
          </c:val>
          <c:extLst>
            <c:ext xmlns:c16="http://schemas.microsoft.com/office/drawing/2014/chart" uri="{C3380CC4-5D6E-409C-BE32-E72D297353CC}">
              <c16:uniqueId val="{00000000-73F1-43F7-8C02-E448BBC48C02}"/>
            </c:ext>
          </c:extLst>
        </c:ser>
        <c:ser>
          <c:idx val="1"/>
          <c:order val="2"/>
          <c:tx>
            <c:strRef>
              <c:f>'Struktura CA i FA'!$B$11</c:f>
              <c:strCache>
                <c:ptCount val="1"/>
                <c:pt idx="0">
                  <c:v>Салдо услугa</c:v>
                </c:pt>
              </c:strCache>
            </c:strRef>
          </c:tx>
          <c:spPr>
            <a:solidFill>
              <a:srgbClr val="29489A"/>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FA'!$I$11:$O$11</c:f>
              <c:numCache>
                <c:formatCode>0.0</c:formatCode>
                <c:ptCount val="7"/>
                <c:pt idx="0">
                  <c:v>2.6223421620591698</c:v>
                </c:pt>
                <c:pt idx="1">
                  <c:v>3.8298927980213158</c:v>
                </c:pt>
                <c:pt idx="2">
                  <c:v>4.3406722628781624</c:v>
                </c:pt>
                <c:pt idx="3">
                  <c:v>3.8745640224423559</c:v>
                </c:pt>
                <c:pt idx="4">
                  <c:v>3.7218679276884976</c:v>
                </c:pt>
                <c:pt idx="5">
                  <c:v>3.752324363129663</c:v>
                </c:pt>
                <c:pt idx="6">
                  <c:v>3.9635295697735522</c:v>
                </c:pt>
              </c:numCache>
            </c:numRef>
          </c:val>
          <c:extLst>
            <c:ext xmlns:c16="http://schemas.microsoft.com/office/drawing/2014/chart" uri="{C3380CC4-5D6E-409C-BE32-E72D297353CC}">
              <c16:uniqueId val="{00000001-73F1-43F7-8C02-E448BBC48C02}"/>
            </c:ext>
          </c:extLst>
        </c:ser>
        <c:ser>
          <c:idx val="2"/>
          <c:order val="3"/>
          <c:tx>
            <c:strRef>
              <c:f>'Struktura CA i FA'!$B$12</c:f>
              <c:strCache>
                <c:ptCount val="1"/>
                <c:pt idx="0">
                  <c:v>Салдо дохотка           </c:v>
                </c:pt>
              </c:strCache>
            </c:strRef>
          </c:tx>
          <c:spPr>
            <a:solidFill>
              <a:srgbClr val="2183C4"/>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FA'!$I$12:$O$12</c:f>
              <c:numCache>
                <c:formatCode>0.0</c:formatCode>
                <c:ptCount val="7"/>
                <c:pt idx="0">
                  <c:v>-3.8587147300336189</c:v>
                </c:pt>
                <c:pt idx="1">
                  <c:v>-4.9664871223132314</c:v>
                </c:pt>
                <c:pt idx="2">
                  <c:v>-5.5531805950901196</c:v>
                </c:pt>
                <c:pt idx="3">
                  <c:v>-5.5163284387314917</c:v>
                </c:pt>
                <c:pt idx="4">
                  <c:v>-5.6621203883523403</c:v>
                </c:pt>
                <c:pt idx="5">
                  <c:v>-5.8445294625716562</c:v>
                </c:pt>
                <c:pt idx="6">
                  <c:v>-5.7651339196706228</c:v>
                </c:pt>
              </c:numCache>
            </c:numRef>
          </c:val>
          <c:extLst>
            <c:ext xmlns:c16="http://schemas.microsoft.com/office/drawing/2014/chart" uri="{C3380CC4-5D6E-409C-BE32-E72D297353CC}">
              <c16:uniqueId val="{00000002-73F1-43F7-8C02-E448BBC48C02}"/>
            </c:ext>
          </c:extLst>
        </c:ser>
        <c:ser>
          <c:idx val="3"/>
          <c:order val="4"/>
          <c:tx>
            <c:strRef>
              <c:f>'Struktura CA i FA'!$B$13</c:f>
              <c:strCache>
                <c:ptCount val="1"/>
                <c:pt idx="0">
                  <c:v>Салдо текућих трансфера</c:v>
                </c:pt>
              </c:strCache>
            </c:strRef>
          </c:tx>
          <c:spPr>
            <a:solidFill>
              <a:srgbClr val="51BBE7"/>
            </a:solidFill>
            <a:ln>
              <a:noFill/>
            </a:ln>
            <a:effectLst/>
          </c:spPr>
          <c:invertIfNegative val="0"/>
          <c:cat>
            <c:strRef>
              <c:f>'Struktura CA i FA'!$I$8:$O$8</c:f>
              <c:strCache>
                <c:ptCount val="7"/>
                <c:pt idx="0">
                  <c:v>2021</c:v>
                </c:pt>
                <c:pt idx="1">
                  <c:v>2022</c:v>
                </c:pt>
                <c:pt idx="2">
                  <c:v>2023</c:v>
                </c:pt>
                <c:pt idx="3">
                  <c:v>2024*</c:v>
                </c:pt>
                <c:pt idx="4">
                  <c:v>2025</c:v>
                </c:pt>
                <c:pt idx="5">
                  <c:v>2026</c:v>
                </c:pt>
                <c:pt idx="6">
                  <c:v>2027</c:v>
                </c:pt>
              </c:strCache>
            </c:strRef>
          </c:cat>
          <c:val>
            <c:numRef>
              <c:f>'Struktura CA i FA'!$I$13:$O$13</c:f>
              <c:numCache>
                <c:formatCode>0.0</c:formatCode>
                <c:ptCount val="7"/>
                <c:pt idx="0">
                  <c:v>8.2759537419911791</c:v>
                </c:pt>
                <c:pt idx="1">
                  <c:v>9.7452948001347472</c:v>
                </c:pt>
                <c:pt idx="2">
                  <c:v>8.1090961457863813</c:v>
                </c:pt>
                <c:pt idx="3">
                  <c:v>7.0398858170478089</c:v>
                </c:pt>
                <c:pt idx="4">
                  <c:v>6.4919138935419065</c:v>
                </c:pt>
                <c:pt idx="5">
                  <c:v>6.0150896608957316</c:v>
                </c:pt>
                <c:pt idx="6">
                  <c:v>5.5743758120344626</c:v>
                </c:pt>
              </c:numCache>
            </c:numRef>
          </c:val>
          <c:extLst>
            <c:ext xmlns:c16="http://schemas.microsoft.com/office/drawing/2014/chart" uri="{C3380CC4-5D6E-409C-BE32-E72D297353CC}">
              <c16:uniqueId val="{00000003-73F1-43F7-8C02-E448BBC48C02}"/>
            </c:ext>
          </c:extLst>
        </c:ser>
        <c:dLbls>
          <c:showLegendKey val="0"/>
          <c:showVal val="0"/>
          <c:showCatName val="0"/>
          <c:showSerName val="0"/>
          <c:showPercent val="0"/>
          <c:showBubbleSize val="0"/>
        </c:dLbls>
        <c:gapWidth val="50"/>
        <c:overlap val="100"/>
        <c:axId val="1763590384"/>
        <c:axId val="1763611056"/>
      </c:barChart>
      <c:lineChart>
        <c:grouping val="standard"/>
        <c:varyColors val="0"/>
        <c:ser>
          <c:idx val="4"/>
          <c:order val="0"/>
          <c:tx>
            <c:strRef>
              <c:f>'Struktura CA i FA'!$B$9</c:f>
              <c:strCache>
                <c:ptCount val="1"/>
                <c:pt idx="0">
                  <c:v>Дефицит текућег рачуна</c:v>
                </c:pt>
              </c:strCache>
            </c:strRef>
          </c:tx>
          <c:spPr>
            <a:ln w="28575" cap="rnd">
              <a:solidFill>
                <a:srgbClr val="FF0000"/>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'Struktura CA i FA'!$I$8:$O$8</c:f>
              <c:strCache>
                <c:ptCount val="7"/>
                <c:pt idx="0">
                  <c:v>2021</c:v>
                </c:pt>
                <c:pt idx="1">
                  <c:v>2022</c:v>
                </c:pt>
                <c:pt idx="2">
                  <c:v>2023</c:v>
                </c:pt>
                <c:pt idx="3">
                  <c:v>2024*</c:v>
                </c:pt>
                <c:pt idx="4">
                  <c:v>2025</c:v>
                </c:pt>
                <c:pt idx="5">
                  <c:v>2026</c:v>
                </c:pt>
                <c:pt idx="6">
                  <c:v>2027</c:v>
                </c:pt>
              </c:strCache>
            </c:strRef>
          </c:cat>
          <c:val>
            <c:numRef>
              <c:f>'Struktura CA i FA'!$I$9:$O$9</c:f>
              <c:numCache>
                <c:formatCode>0.0</c:formatCode>
                <c:ptCount val="7"/>
                <c:pt idx="0">
                  <c:v>-4.2483578719030222</c:v>
                </c:pt>
                <c:pt idx="1">
                  <c:v>-6.8880794167282238</c:v>
                </c:pt>
                <c:pt idx="2">
                  <c:v>-2.6039734120015758</c:v>
                </c:pt>
                <c:pt idx="3">
                  <c:v>-4.0912769253925241</c:v>
                </c:pt>
                <c:pt idx="4">
                  <c:v>-4.685892735188145</c:v>
                </c:pt>
                <c:pt idx="5">
                  <c:v>-4.9803577910630041</c:v>
                </c:pt>
                <c:pt idx="6">
                  <c:v>-4.7053666550252897</c:v>
                </c:pt>
              </c:numCache>
            </c:numRef>
          </c:val>
          <c:smooth val="0"/>
          <c:extLst>
            <c:ext xmlns:c16="http://schemas.microsoft.com/office/drawing/2014/chart" uri="{C3380CC4-5D6E-409C-BE32-E72D297353CC}">
              <c16:uniqueId val="{00000004-73F1-43F7-8C02-E448BBC48C02}"/>
            </c:ext>
          </c:extLst>
        </c:ser>
        <c:dLbls>
          <c:showLegendKey val="0"/>
          <c:showVal val="0"/>
          <c:showCatName val="0"/>
          <c:showSerName val="0"/>
          <c:showPercent val="0"/>
          <c:showBubbleSize val="0"/>
        </c:dLbls>
        <c:marker val="1"/>
        <c:smooth val="0"/>
        <c:axId val="1763590384"/>
        <c:axId val="1763611056"/>
      </c:lineChart>
      <c:catAx>
        <c:axId val="1763590384"/>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bg1"/>
                </a:solidFill>
                <a:latin typeface="+mn-lt"/>
                <a:ea typeface="+mn-ea"/>
                <a:cs typeface="+mn-cs"/>
              </a:defRPr>
            </a:pPr>
            <a:endParaRPr lang="sr-Latn-RS"/>
          </a:p>
        </c:txPr>
        <c:crossAx val="1763611056"/>
        <c:crosses val="autoZero"/>
        <c:auto val="1"/>
        <c:lblAlgn val="ctr"/>
        <c:lblOffset val="100"/>
        <c:noMultiLvlLbl val="0"/>
      </c:catAx>
      <c:valAx>
        <c:axId val="1763611056"/>
        <c:scaling>
          <c:orientation val="minMax"/>
          <c:max val="15"/>
          <c:min val="-2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763590384"/>
        <c:crosses val="autoZero"/>
        <c:crossBetween val="between"/>
        <c:majorUnit val="5"/>
      </c:valAx>
      <c:spPr>
        <a:noFill/>
        <a:ln>
          <a:noFill/>
        </a:ln>
        <a:effectLst/>
      </c:spPr>
    </c:plotArea>
    <c:legend>
      <c:legendPos val="b"/>
      <c:layout>
        <c:manualLayout>
          <c:xMode val="edge"/>
          <c:yMode val="edge"/>
          <c:x val="1.14209682123068E-3"/>
          <c:y val="0.85112691558716447"/>
          <c:w val="0.99885790317876932"/>
          <c:h val="0.1488730844128355"/>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7937445319335081E-2"/>
          <c:y val="5.0925925925925923E-2"/>
          <c:w val="0.92150699912510936"/>
          <c:h val="0.70304067460317465"/>
        </c:manualLayout>
      </c:layout>
      <c:barChart>
        <c:barDir val="col"/>
        <c:grouping val="clustered"/>
        <c:varyColors val="0"/>
        <c:ser>
          <c:idx val="0"/>
          <c:order val="0"/>
          <c:tx>
            <c:strRef>
              <c:f>'Def. tek. racuna i SDI'!$B$8</c:f>
              <c:strCache>
                <c:ptCount val="1"/>
                <c:pt idx="0">
                  <c:v>Дефицит текућег рачуна, % БДП</c:v>
                </c:pt>
              </c:strCache>
            </c:strRef>
          </c:tx>
          <c:spPr>
            <a:solidFill>
              <a:srgbClr val="29489A"/>
            </a:solidFill>
            <a:ln>
              <a:noFill/>
            </a:ln>
            <a:effectLst/>
          </c:spPr>
          <c:invertIfNegative val="0"/>
          <c:cat>
            <c:strRef>
              <c:f>'Def. tek. racuna i SDI'!$H$7:$O$7</c:f>
              <c:strCache>
                <c:ptCount val="8"/>
                <c:pt idx="0">
                  <c:v>2020</c:v>
                </c:pt>
                <c:pt idx="1">
                  <c:v>2021</c:v>
                </c:pt>
                <c:pt idx="2">
                  <c:v>2022</c:v>
                </c:pt>
                <c:pt idx="3">
                  <c:v>2023</c:v>
                </c:pt>
                <c:pt idx="4">
                  <c:v>2024*</c:v>
                </c:pt>
                <c:pt idx="5">
                  <c:v>2025</c:v>
                </c:pt>
                <c:pt idx="6">
                  <c:v>2026</c:v>
                </c:pt>
                <c:pt idx="7">
                  <c:v>2027</c:v>
                </c:pt>
              </c:strCache>
            </c:strRef>
          </c:cat>
          <c:val>
            <c:numRef>
              <c:f>'Def. tek. racuna i SDI'!$H$8:$O$8</c:f>
              <c:numCache>
                <c:formatCode>0.0</c:formatCode>
                <c:ptCount val="8"/>
                <c:pt idx="0">
                  <c:v>4.1199593390187337</c:v>
                </c:pt>
                <c:pt idx="1">
                  <c:v>4.2483578719030222</c:v>
                </c:pt>
                <c:pt idx="2">
                  <c:v>6.88808037463399</c:v>
                </c:pt>
                <c:pt idx="3">
                  <c:v>2.6039725042739201</c:v>
                </c:pt>
                <c:pt idx="4">
                  <c:v>4.0912769253925241</c:v>
                </c:pt>
                <c:pt idx="5">
                  <c:v>4.685892735188145</c:v>
                </c:pt>
                <c:pt idx="6">
                  <c:v>4.9803577910630041</c:v>
                </c:pt>
                <c:pt idx="7">
                  <c:v>4.7053666550252897</c:v>
                </c:pt>
              </c:numCache>
            </c:numRef>
          </c:val>
          <c:extLst>
            <c:ext xmlns:c16="http://schemas.microsoft.com/office/drawing/2014/chart" uri="{C3380CC4-5D6E-409C-BE32-E72D297353CC}">
              <c16:uniqueId val="{00000000-FF15-4D73-BAB9-5A1713F00536}"/>
            </c:ext>
          </c:extLst>
        </c:ser>
        <c:ser>
          <c:idx val="1"/>
          <c:order val="1"/>
          <c:tx>
            <c:strRef>
              <c:f>'Def. tek. racuna i SDI'!$B$9</c:f>
              <c:strCache>
                <c:ptCount val="1"/>
                <c:pt idx="0">
                  <c:v>Стране директне инвестиције, нето, % БДП</c:v>
                </c:pt>
              </c:strCache>
            </c:strRef>
          </c:tx>
          <c:spPr>
            <a:solidFill>
              <a:srgbClr val="51BBE7"/>
            </a:solidFill>
            <a:ln>
              <a:noFill/>
            </a:ln>
            <a:effectLst/>
          </c:spPr>
          <c:invertIfNegative val="0"/>
          <c:cat>
            <c:strRef>
              <c:f>'Def. tek. racuna i SDI'!$H$7:$O$7</c:f>
              <c:strCache>
                <c:ptCount val="8"/>
                <c:pt idx="0">
                  <c:v>2020</c:v>
                </c:pt>
                <c:pt idx="1">
                  <c:v>2021</c:v>
                </c:pt>
                <c:pt idx="2">
                  <c:v>2022</c:v>
                </c:pt>
                <c:pt idx="3">
                  <c:v>2023</c:v>
                </c:pt>
                <c:pt idx="4">
                  <c:v>2024*</c:v>
                </c:pt>
                <c:pt idx="5">
                  <c:v>2025</c:v>
                </c:pt>
                <c:pt idx="6">
                  <c:v>2026</c:v>
                </c:pt>
                <c:pt idx="7">
                  <c:v>2027</c:v>
                </c:pt>
              </c:strCache>
            </c:strRef>
          </c:cat>
          <c:val>
            <c:numRef>
              <c:f>'Def. tek. racuna i SDI'!$H$9:$O$9</c:f>
              <c:numCache>
                <c:formatCode>0.0</c:formatCode>
                <c:ptCount val="8"/>
                <c:pt idx="0">
                  <c:v>6.2767610835053871</c:v>
                </c:pt>
                <c:pt idx="1">
                  <c:v>6.8572251962409165</c:v>
                </c:pt>
                <c:pt idx="2">
                  <c:v>7.1627665465821266</c:v>
                </c:pt>
                <c:pt idx="3">
                  <c:v>6.0703570047353965</c:v>
                </c:pt>
                <c:pt idx="4">
                  <c:v>5.9760224752924485</c:v>
                </c:pt>
                <c:pt idx="5">
                  <c:v>5.56449762303592</c:v>
                </c:pt>
                <c:pt idx="6">
                  <c:v>5.3897022670407875</c:v>
                </c:pt>
                <c:pt idx="7">
                  <c:v>4.9809061438330753</c:v>
                </c:pt>
              </c:numCache>
            </c:numRef>
          </c:val>
          <c:extLst>
            <c:ext xmlns:c16="http://schemas.microsoft.com/office/drawing/2014/chart" uri="{C3380CC4-5D6E-409C-BE32-E72D297353CC}">
              <c16:uniqueId val="{00000001-FF15-4D73-BAB9-5A1713F00536}"/>
            </c:ext>
          </c:extLst>
        </c:ser>
        <c:dLbls>
          <c:showLegendKey val="0"/>
          <c:showVal val="0"/>
          <c:showCatName val="0"/>
          <c:showSerName val="0"/>
          <c:showPercent val="0"/>
          <c:showBubbleSize val="0"/>
        </c:dLbls>
        <c:gapWidth val="80"/>
        <c:overlap val="-11"/>
        <c:axId val="1839176496"/>
        <c:axId val="1839185744"/>
      </c:barChart>
      <c:catAx>
        <c:axId val="1839176496"/>
        <c:scaling>
          <c:orientation val="minMax"/>
        </c:scaling>
        <c:delete val="0"/>
        <c:axPos val="b"/>
        <c:numFmt formatCode="General" sourceLinked="1"/>
        <c:majorTickMark val="none"/>
        <c:minorTickMark val="none"/>
        <c:tickLblPos val="nextTo"/>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85744"/>
        <c:crosses val="autoZero"/>
        <c:auto val="1"/>
        <c:lblAlgn val="ctr"/>
        <c:lblOffset val="100"/>
        <c:noMultiLvlLbl val="0"/>
      </c:catAx>
      <c:valAx>
        <c:axId val="183918574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crossAx val="1839176496"/>
        <c:crosses val="autoZero"/>
        <c:crossBetween val="between"/>
      </c:valAx>
      <c:spPr>
        <a:noFill/>
        <a:ln>
          <a:noFill/>
        </a:ln>
        <a:effectLst/>
      </c:spPr>
    </c:plotArea>
    <c:legend>
      <c:legendPos val="b"/>
      <c:layout>
        <c:manualLayout>
          <c:xMode val="edge"/>
          <c:yMode val="edge"/>
          <c:x val="1.0742927967337418E-2"/>
          <c:y val="0.86493849206349194"/>
          <c:w val="0.97274511918886852"/>
          <c:h val="0.12246209515072751"/>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750">
          <a:solidFill>
            <a:schemeClr val="tx2"/>
          </a:solidFill>
        </a:defRPr>
      </a:pPr>
      <a:endParaRPr lang="sr-Latn-RS"/>
    </a:p>
  </c:txPr>
  <c:externalData r:id="rId3">
    <c:autoUpdate val="0"/>
  </c:externalData>
  <c:userShapes r:id="rId4"/>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manualLayout>
          <c:layoutTarget val="inner"/>
          <c:xMode val="edge"/>
          <c:yMode val="edge"/>
          <c:x val="0.12453266258384368"/>
          <c:y val="6.842061127661922E-2"/>
          <c:w val="0.84059857101195679"/>
          <c:h val="0.89994549266247381"/>
        </c:manualLayout>
      </c:layout>
      <c:barChart>
        <c:barDir val="col"/>
        <c:grouping val="clustered"/>
        <c:varyColors val="0"/>
        <c:ser>
          <c:idx val="0"/>
          <c:order val="0"/>
          <c:tx>
            <c:v>Фискални резултат</c:v>
          </c:tx>
          <c:spPr>
            <a:solidFill>
              <a:schemeClr val="accent1">
                <a:shade val="76000"/>
              </a:schemeClr>
            </a:solidFill>
            <a:ln>
              <a:noFill/>
            </a:ln>
            <a:effectLst/>
          </c:spPr>
          <c:invertIfNegative val="0"/>
          <c:dLbls>
            <c:dLbl>
              <c:idx val="1"/>
              <c:layout>
                <c:manualLayout>
                  <c:x val="0"/>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5A1-4FA5-ABB4-8D7A16F22705}"/>
                </c:ext>
              </c:extLst>
            </c:dLbl>
            <c:dLbl>
              <c:idx val="5"/>
              <c:layout>
                <c:manualLayout>
                  <c:x val="0"/>
                  <c:y val="1.673640167364016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E5A1-4FA5-ABB4-8D7A16F22705}"/>
                </c:ext>
              </c:extLst>
            </c:dLbl>
            <c:dLbl>
              <c:idx val="7"/>
              <c:layout>
                <c:manualLayout>
                  <c:x val="-4.6296296296295444E-3"/>
                  <c:y val="1.67364016736402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E5A1-4FA5-ABB4-8D7A16F22705}"/>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Yearly'!$CQ$7:$CX$8,'Quaterly, Yearly'!$CY$7:$CY$8,'Quaterly, Yearly'!$CZ$7:$CZ$8)</c:f>
              <c:strCache>
                <c:ptCount val="10"/>
                <c:pt idx="0">
                  <c:v>2015</c:v>
                </c:pt>
                <c:pt idx="1">
                  <c:v>2016</c:v>
                </c:pt>
                <c:pt idx="2">
                  <c:v>2017</c:v>
                </c:pt>
                <c:pt idx="3">
                  <c:v>2018</c:v>
                </c:pt>
                <c:pt idx="4">
                  <c:v>2019</c:v>
                </c:pt>
                <c:pt idx="5">
                  <c:v>2020</c:v>
                </c:pt>
                <c:pt idx="6">
                  <c:v>2021</c:v>
                </c:pt>
                <c:pt idx="7">
                  <c:v>2022</c:v>
                </c:pt>
                <c:pt idx="8">
                  <c:v>2023</c:v>
                </c:pt>
                <c:pt idx="9">
                  <c:v>2024</c:v>
                </c:pt>
              </c:strCache>
            </c:strRef>
          </c:cat>
          <c:val>
            <c:numRef>
              <c:f>('Quaterly, Yearly'!$CQ$78:$CW$78,'Quaterly, Yearly'!$CX$78,'Quaterly, Yearly'!$CY$78,'Quaterly, Yearly'!$CZ$78)</c:f>
              <c:numCache>
                <c:formatCode>#,##0.00</c:formatCode>
                <c:ptCount val="10"/>
                <c:pt idx="0">
                  <c:v>-3.4561672728767112</c:v>
                </c:pt>
                <c:pt idx="1">
                  <c:v>-1.1926941660681765</c:v>
                </c:pt>
                <c:pt idx="2">
                  <c:v>1.0986349345465762</c:v>
                </c:pt>
                <c:pt idx="3">
                  <c:v>0.63523655395945411</c:v>
                </c:pt>
                <c:pt idx="4">
                  <c:v>-0.20497664525511922</c:v>
                </c:pt>
                <c:pt idx="5">
                  <c:v>-8.0441635730355401</c:v>
                </c:pt>
                <c:pt idx="6">
                  <c:v>-4.1369458955187222</c:v>
                </c:pt>
                <c:pt idx="7">
                  <c:v>-3.1679031351379408</c:v>
                </c:pt>
                <c:pt idx="8">
                  <c:v>-2.221885360189594</c:v>
                </c:pt>
                <c:pt idx="9">
                  <c:v>-2.2000000000000002</c:v>
                </c:pt>
              </c:numCache>
            </c:numRef>
          </c:val>
          <c:extLst>
            <c:ext xmlns:c16="http://schemas.microsoft.com/office/drawing/2014/chart" uri="{C3380CC4-5D6E-409C-BE32-E72D297353CC}">
              <c16:uniqueId val="{00000000-E5A1-4FA5-ABB4-8D7A16F22705}"/>
            </c:ext>
          </c:extLst>
        </c:ser>
        <c:ser>
          <c:idx val="1"/>
          <c:order val="1"/>
          <c:tx>
            <c:v>Примарни фискални резултат</c:v>
          </c:tx>
          <c:spPr>
            <a:solidFill>
              <a:schemeClr val="accent1">
                <a:tint val="77000"/>
              </a:schemeClr>
            </a:solidFill>
            <a:ln>
              <a:noFill/>
            </a:ln>
            <a:effectLst/>
          </c:spPr>
          <c:invertIfNegative val="0"/>
          <c:dLbls>
            <c:dLbl>
              <c:idx val="0"/>
              <c:layout>
                <c:manualLayout>
                  <c:x val="2.5209973753280841E-2"/>
                  <c:y val="1.73975115035306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5A1-4FA5-ABB4-8D7A16F22705}"/>
                </c:ext>
              </c:extLst>
            </c:dLbl>
            <c:dLbl>
              <c:idx val="1"/>
              <c:layout>
                <c:manualLayout>
                  <c:x val="-3.2073297015369011E-3"/>
                  <c:y val="-1.41424978807239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5A1-4FA5-ABB4-8D7A16F22705}"/>
                </c:ext>
              </c:extLst>
            </c:dLbl>
            <c:dLbl>
              <c:idx val="2"/>
              <c:layout>
                <c:manualLayout>
                  <c:x val="-2.4176209155354405E-3"/>
                  <c:y val="-6.6515202784357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5A1-4FA5-ABB4-8D7A16F22705}"/>
                </c:ext>
              </c:extLst>
            </c:dLbl>
            <c:dLbl>
              <c:idx val="3"/>
              <c:layout>
                <c:manualLayout>
                  <c:x val="2.6858041798127055E-3"/>
                  <c:y val="3.62947391256674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5A1-4FA5-ABB4-8D7A16F22705}"/>
                </c:ext>
              </c:extLst>
            </c:dLbl>
            <c:dLbl>
              <c:idx val="4"/>
              <c:layout>
                <c:manualLayout>
                  <c:x val="-3.9217883120591336E-3"/>
                  <c:y val="-1.08980896450816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5A1-4FA5-ABB4-8D7A16F22705}"/>
                </c:ext>
              </c:extLst>
            </c:dLbl>
            <c:dLbl>
              <c:idx val="5"/>
              <c:layout>
                <c:manualLayout>
                  <c:x val="1.8183368791494724E-3"/>
                  <c:y val="-1.34348449740702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5A1-4FA5-ABB4-8D7A16F22705}"/>
                </c:ext>
              </c:extLst>
            </c:dLbl>
            <c:dLbl>
              <c:idx val="6"/>
              <c:layout>
                <c:manualLayout>
                  <c:x val="4.4757946923301255E-3"/>
                  <c:y val="1.47754752413271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5A1-4FA5-ABB4-8D7A16F22705}"/>
                </c:ext>
              </c:extLst>
            </c:dLbl>
            <c:dLbl>
              <c:idx val="7"/>
              <c:layout>
                <c:manualLayout>
                  <c:x val="5.9456109652958351E-3"/>
                  <c:y val="2.50031298388957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5A1-4FA5-ABB4-8D7A16F22705}"/>
                </c:ext>
              </c:extLst>
            </c:dLbl>
            <c:dLbl>
              <c:idx val="8"/>
              <c:layout>
                <c:manualLayout>
                  <c:x val="5.4635722476333764E-3"/>
                  <c:y val="8.776520461182104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5A1-4FA5-ABB4-8D7A16F22705}"/>
                </c:ext>
              </c:extLst>
            </c:dLbl>
            <c:dLbl>
              <c:idx val="9"/>
              <c:layout>
                <c:manualLayout>
                  <c:x val="4.366405527357735E-3"/>
                  <c:y val="6.30301398829895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5A1-4FA5-ABB4-8D7A16F22705}"/>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5A1-4FA5-ABB4-8D7A16F22705}"/>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5A1-4FA5-ABB4-8D7A16F22705}"/>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Yearly'!$CQ$7:$CX$8,'Quaterly, Yearly'!$CY$7:$CY$8,'Quaterly, Yearly'!$CZ$7:$CZ$8)</c:f>
              <c:strCache>
                <c:ptCount val="10"/>
                <c:pt idx="0">
                  <c:v>2015</c:v>
                </c:pt>
                <c:pt idx="1">
                  <c:v>2016</c:v>
                </c:pt>
                <c:pt idx="2">
                  <c:v>2017</c:v>
                </c:pt>
                <c:pt idx="3">
                  <c:v>2018</c:v>
                </c:pt>
                <c:pt idx="4">
                  <c:v>2019</c:v>
                </c:pt>
                <c:pt idx="5">
                  <c:v>2020</c:v>
                </c:pt>
                <c:pt idx="6">
                  <c:v>2021</c:v>
                </c:pt>
                <c:pt idx="7">
                  <c:v>2022</c:v>
                </c:pt>
                <c:pt idx="8">
                  <c:v>2023</c:v>
                </c:pt>
                <c:pt idx="9">
                  <c:v>2024</c:v>
                </c:pt>
              </c:strCache>
            </c:strRef>
          </c:cat>
          <c:val>
            <c:numRef>
              <c:f>('Quaterly, Yearly'!$CQ$79:$CW$79,'Quaterly, Yearly'!$CX$79,'Quaterly, Yearly'!$CY$79,'Quaterly, Yearly'!$CZ$79)</c:f>
              <c:numCache>
                <c:formatCode>#,##0.00</c:formatCode>
                <c:ptCount val="10"/>
                <c:pt idx="0">
                  <c:v>-0.47061316203530046</c:v>
                </c:pt>
                <c:pt idx="1">
                  <c:v>1.7045650732845505</c:v>
                </c:pt>
                <c:pt idx="2">
                  <c:v>3.634771068549187</c:v>
                </c:pt>
                <c:pt idx="3">
                  <c:v>2.7475533250713307</c:v>
                </c:pt>
                <c:pt idx="4">
                  <c:v>1.7916206652556272</c:v>
                </c:pt>
                <c:pt idx="5">
                  <c:v>-6.0431380560869226</c:v>
                </c:pt>
                <c:pt idx="6">
                  <c:v>-2.404213120233746</c:v>
                </c:pt>
                <c:pt idx="7">
                  <c:v>-1.6622827498701038</c:v>
                </c:pt>
                <c:pt idx="8">
                  <c:v>-0.50735489752511753</c:v>
                </c:pt>
                <c:pt idx="9">
                  <c:v>-0.2</c:v>
                </c:pt>
              </c:numCache>
            </c:numRef>
          </c:val>
          <c:extLst>
            <c:ext xmlns:c16="http://schemas.microsoft.com/office/drawing/2014/chart" uri="{C3380CC4-5D6E-409C-BE32-E72D297353CC}">
              <c16:uniqueId val="{0000000D-E5A1-4FA5-ABB4-8D7A16F22705}"/>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en-US" sz="700">
                    <a:latin typeface="+mn-lt"/>
                  </a:rPr>
                  <a:t>% </a:t>
                </a:r>
                <a:r>
                  <a:rPr lang="sr-Cyrl-RS" sz="700">
                    <a:latin typeface="+mn-lt"/>
                  </a:rPr>
                  <a:t>БДП</a:t>
                </a:r>
                <a:endParaRPr lang="en-US" sz="700">
                  <a:latin typeface="+mn-lt"/>
                </a:endParaRPr>
              </a:p>
            </c:rich>
          </c:tx>
          <c:layout>
            <c:manualLayout>
              <c:xMode val="edge"/>
              <c:yMode val="edge"/>
              <c:x val="5.2074219889180528E-3"/>
              <c:y val="0.41676495458988116"/>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22006368"/>
        <c:crosses val="autoZero"/>
        <c:crossBetween val="between"/>
      </c:valAx>
      <c:spPr>
        <a:noFill/>
        <a:ln>
          <a:noFill/>
        </a:ln>
        <a:effectLst/>
      </c:spPr>
    </c:plotArea>
    <c:legend>
      <c:legendPos val="b"/>
      <c:layout>
        <c:manualLayout>
          <c:xMode val="edge"/>
          <c:yMode val="edge"/>
          <c:x val="5.5567220764071161E-2"/>
          <c:y val="0.75971095663251298"/>
          <c:w val="0.51810891150797223"/>
          <c:h val="0.11522053612514881"/>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a:latin typeface="Georgia" panose="02040502050405020303" pitchFamily="18" charset="0"/>
        </a:defRPr>
      </a:pPr>
      <a:endParaRPr lang="sr-Latn-RS"/>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800" b="1" i="0" u="none" strike="noStrike" kern="1200" spc="0" baseline="0">
                <a:solidFill>
                  <a:schemeClr val="tx1">
                    <a:lumMod val="65000"/>
                    <a:lumOff val="35000"/>
                  </a:schemeClr>
                </a:solidFill>
                <a:latin typeface="+mj-lt"/>
                <a:ea typeface="+mn-ea"/>
                <a:cs typeface="+mn-cs"/>
              </a:defRPr>
            </a:pPr>
            <a:r>
              <a:rPr lang="sr-Cyrl-RS" sz="800" b="1" i="0" baseline="0">
                <a:solidFill>
                  <a:srgbClr val="002060"/>
                </a:solidFill>
                <a:effectLst/>
                <a:latin typeface="+mn-lt"/>
              </a:rPr>
              <a:t>Фискални подиндекс и подиндекс макро-финансијске конкурентности за земље ЕУ и Србију за 20</a:t>
            </a:r>
            <a:r>
              <a:rPr lang="sr-Latn-RS" sz="800" b="1" i="0" baseline="0">
                <a:solidFill>
                  <a:srgbClr val="002060"/>
                </a:solidFill>
                <a:effectLst/>
                <a:latin typeface="+mn-lt"/>
              </a:rPr>
              <a:t>2</a:t>
            </a:r>
            <a:r>
              <a:rPr lang="sr-Cyrl-RS" sz="800" b="1" i="0" baseline="0">
                <a:solidFill>
                  <a:srgbClr val="002060"/>
                </a:solidFill>
                <a:effectLst/>
                <a:latin typeface="+mn-lt"/>
              </a:rPr>
              <a:t>3</a:t>
            </a:r>
            <a:r>
              <a:rPr lang="sr-Latn-RS" sz="800" b="1" i="0" baseline="0">
                <a:solidFill>
                  <a:srgbClr val="002060"/>
                </a:solidFill>
                <a:effectLst/>
                <a:latin typeface="+mn-lt"/>
              </a:rPr>
              <a:t>.</a:t>
            </a:r>
            <a:r>
              <a:rPr lang="sr-Cyrl-RS" sz="800" b="1" i="0" baseline="0">
                <a:solidFill>
                  <a:srgbClr val="002060"/>
                </a:solidFill>
                <a:effectLst/>
                <a:latin typeface="+mn-lt"/>
              </a:rPr>
              <a:t> годину</a:t>
            </a:r>
            <a:endParaRPr lang="sr-Cyrl-CS" sz="800" b="1">
              <a:solidFill>
                <a:srgbClr val="002060"/>
              </a:solidFill>
              <a:effectLst/>
              <a:latin typeface="+mn-lt"/>
            </a:endParaRPr>
          </a:p>
        </c:rich>
      </c:tx>
      <c:layout>
        <c:manualLayout>
          <c:xMode val="edge"/>
          <c:yMode val="edge"/>
          <c:x val="0.17254593175853017"/>
          <c:y val="0"/>
        </c:manualLayout>
      </c:layout>
      <c:overlay val="0"/>
      <c:spPr>
        <a:noFill/>
        <a:ln>
          <a:noFill/>
        </a:ln>
        <a:effectLst/>
      </c:spPr>
      <c:txPr>
        <a:bodyPr rot="0" spcFirstLastPara="1" vertOverflow="ellipsis" vert="horz" wrap="square" anchor="ctr" anchorCtr="1"/>
        <a:lstStyle/>
        <a:p>
          <a:pPr>
            <a:defRPr sz="800" b="1" i="0" u="none" strike="noStrike" kern="1200" spc="0" baseline="0">
              <a:solidFill>
                <a:schemeClr val="tx1">
                  <a:lumMod val="65000"/>
                  <a:lumOff val="35000"/>
                </a:schemeClr>
              </a:solidFill>
              <a:latin typeface="+mj-lt"/>
              <a:ea typeface="+mn-ea"/>
              <a:cs typeface="+mn-cs"/>
            </a:defRPr>
          </a:pPr>
          <a:endParaRPr lang="sr-Latn-RS"/>
        </a:p>
      </c:txPr>
    </c:title>
    <c:autoTitleDeleted val="0"/>
    <c:plotArea>
      <c:layout>
        <c:manualLayout>
          <c:layoutTarget val="inner"/>
          <c:xMode val="edge"/>
          <c:yMode val="edge"/>
          <c:x val="0.14133317517853466"/>
          <c:y val="9.128400800120251E-2"/>
          <c:w val="0.79962845251344028"/>
          <c:h val="0.80452229814885479"/>
        </c:manualLayout>
      </c:layout>
      <c:scatterChart>
        <c:scatterStyle val="smoothMarker"/>
        <c:varyColors val="0"/>
        <c:ser>
          <c:idx val="1"/>
          <c:order val="1"/>
          <c:tx>
            <c:v>Prag fiskalnog podindeksa</c:v>
          </c:tx>
          <c:spPr>
            <a:ln w="12700" cap="rnd">
              <a:solidFill>
                <a:srgbClr val="7030A0"/>
              </a:solidFill>
              <a:round/>
            </a:ln>
            <a:effectLst/>
          </c:spPr>
          <c:marker>
            <c:symbol val="none"/>
          </c:marker>
          <c:xVal>
            <c:numRef>
              <c:f>'2023'!$F$4:$F$31</c:f>
              <c:numCache>
                <c:formatCode>0.00</c:formatCode>
                <c:ptCount val="28"/>
                <c:pt idx="0">
                  <c:v>0.36</c:v>
                </c:pt>
                <c:pt idx="1">
                  <c:v>0.36</c:v>
                </c:pt>
                <c:pt idx="2">
                  <c:v>0.36</c:v>
                </c:pt>
                <c:pt idx="3">
                  <c:v>0.36</c:v>
                </c:pt>
                <c:pt idx="4">
                  <c:v>0.36</c:v>
                </c:pt>
                <c:pt idx="5">
                  <c:v>0.36</c:v>
                </c:pt>
                <c:pt idx="6">
                  <c:v>0.36</c:v>
                </c:pt>
                <c:pt idx="7">
                  <c:v>0.36</c:v>
                </c:pt>
                <c:pt idx="8">
                  <c:v>0.36</c:v>
                </c:pt>
                <c:pt idx="9">
                  <c:v>0.36</c:v>
                </c:pt>
                <c:pt idx="10">
                  <c:v>0.36</c:v>
                </c:pt>
                <c:pt idx="11">
                  <c:v>0.36</c:v>
                </c:pt>
                <c:pt idx="12">
                  <c:v>0.36</c:v>
                </c:pt>
                <c:pt idx="13">
                  <c:v>0.36</c:v>
                </c:pt>
                <c:pt idx="14">
                  <c:v>0.36</c:v>
                </c:pt>
                <c:pt idx="15">
                  <c:v>0.36</c:v>
                </c:pt>
                <c:pt idx="16">
                  <c:v>0.36</c:v>
                </c:pt>
                <c:pt idx="17">
                  <c:v>0.36</c:v>
                </c:pt>
                <c:pt idx="18">
                  <c:v>0.36</c:v>
                </c:pt>
                <c:pt idx="19">
                  <c:v>0.36</c:v>
                </c:pt>
                <c:pt idx="20">
                  <c:v>0.36</c:v>
                </c:pt>
                <c:pt idx="21">
                  <c:v>0.36</c:v>
                </c:pt>
                <c:pt idx="22">
                  <c:v>0.36</c:v>
                </c:pt>
                <c:pt idx="23">
                  <c:v>0.36</c:v>
                </c:pt>
                <c:pt idx="24">
                  <c:v>0.36</c:v>
                </c:pt>
                <c:pt idx="25">
                  <c:v>0.36</c:v>
                </c:pt>
                <c:pt idx="26">
                  <c:v>0.36</c:v>
                </c:pt>
                <c:pt idx="27">
                  <c:v>0.36</c:v>
                </c:pt>
              </c:numCache>
            </c:numRef>
          </c:xVal>
          <c:yVal>
            <c:numRef>
              <c:f>'2023'!$G$4:$G$31</c:f>
              <c:numCache>
                <c:formatCode>0.00</c:formatCode>
                <c:ptCount val="28"/>
                <c:pt idx="0">
                  <c:v>0</c:v>
                </c:pt>
                <c:pt idx="1">
                  <c:v>2.2222222222222223E-2</c:v>
                </c:pt>
                <c:pt idx="2">
                  <c:v>4.4444444444444446E-2</c:v>
                </c:pt>
                <c:pt idx="3">
                  <c:v>6.6666666666666666E-2</c:v>
                </c:pt>
                <c:pt idx="4">
                  <c:v>8.8888888888888892E-2</c:v>
                </c:pt>
                <c:pt idx="5">
                  <c:v>0.11111111111111112</c:v>
                </c:pt>
                <c:pt idx="6">
                  <c:v>0.13333333333333333</c:v>
                </c:pt>
                <c:pt idx="7">
                  <c:v>0.15555555555555556</c:v>
                </c:pt>
                <c:pt idx="8">
                  <c:v>0.17777777777777778</c:v>
                </c:pt>
                <c:pt idx="9">
                  <c:v>0.2</c:v>
                </c:pt>
                <c:pt idx="10">
                  <c:v>0.22222222222222224</c:v>
                </c:pt>
                <c:pt idx="11">
                  <c:v>0.24444444444444446</c:v>
                </c:pt>
                <c:pt idx="12">
                  <c:v>0.26666666666666666</c:v>
                </c:pt>
                <c:pt idx="13">
                  <c:v>0.28888888888888886</c:v>
                </c:pt>
                <c:pt idx="14">
                  <c:v>0.31111111111111106</c:v>
                </c:pt>
                <c:pt idx="15">
                  <c:v>0.33333333333333326</c:v>
                </c:pt>
                <c:pt idx="16">
                  <c:v>0.35555555555555546</c:v>
                </c:pt>
                <c:pt idx="17">
                  <c:v>0.37777777777777766</c:v>
                </c:pt>
                <c:pt idx="18">
                  <c:v>0.39999999999999986</c:v>
                </c:pt>
                <c:pt idx="19">
                  <c:v>0.42222222222222205</c:v>
                </c:pt>
                <c:pt idx="20">
                  <c:v>0.44444444444444425</c:v>
                </c:pt>
                <c:pt idx="21">
                  <c:v>0.46666666666666645</c:v>
                </c:pt>
                <c:pt idx="22">
                  <c:v>0.48888888888888865</c:v>
                </c:pt>
                <c:pt idx="23">
                  <c:v>0.51111111111111085</c:v>
                </c:pt>
                <c:pt idx="24">
                  <c:v>0.5333333333333331</c:v>
                </c:pt>
                <c:pt idx="25">
                  <c:v>0.55555555555555536</c:v>
                </c:pt>
                <c:pt idx="26">
                  <c:v>0.57777777777777761</c:v>
                </c:pt>
                <c:pt idx="27">
                  <c:v>0.59999999999999987</c:v>
                </c:pt>
              </c:numCache>
            </c:numRef>
          </c:yVal>
          <c:smooth val="1"/>
          <c:extLst>
            <c:ext xmlns:c16="http://schemas.microsoft.com/office/drawing/2014/chart" uri="{C3380CC4-5D6E-409C-BE32-E72D297353CC}">
              <c16:uniqueId val="{00000000-3613-4A05-B616-03A7F7D2E7AC}"/>
            </c:ext>
          </c:extLst>
        </c:ser>
        <c:ser>
          <c:idx val="2"/>
          <c:order val="2"/>
          <c:tx>
            <c:v>Prag finansijskog podindeksa</c:v>
          </c:tx>
          <c:spPr>
            <a:ln w="12700" cap="rnd">
              <a:solidFill>
                <a:srgbClr val="7030A0"/>
              </a:solidFill>
              <a:round/>
            </a:ln>
            <a:effectLst/>
          </c:spPr>
          <c:marker>
            <c:symbol val="none"/>
          </c:marker>
          <c:xVal>
            <c:numRef>
              <c:f>'2023'!$H$4:$H$31</c:f>
              <c:numCache>
                <c:formatCode>0.00</c:formatCode>
                <c:ptCount val="28"/>
                <c:pt idx="0">
                  <c:v>0</c:v>
                </c:pt>
                <c:pt idx="1">
                  <c:v>2.9629629629629631E-2</c:v>
                </c:pt>
                <c:pt idx="2">
                  <c:v>5.9259259259259262E-2</c:v>
                </c:pt>
                <c:pt idx="3">
                  <c:v>8.8888888888888892E-2</c:v>
                </c:pt>
                <c:pt idx="4">
                  <c:v>0.11851851851851852</c:v>
                </c:pt>
                <c:pt idx="5">
                  <c:v>0.14814814814814814</c:v>
                </c:pt>
                <c:pt idx="6">
                  <c:v>0.17777777777777776</c:v>
                </c:pt>
                <c:pt idx="7">
                  <c:v>0.20740740740740737</c:v>
                </c:pt>
                <c:pt idx="8">
                  <c:v>0.23703703703703699</c:v>
                </c:pt>
                <c:pt idx="9">
                  <c:v>0.26666666666666661</c:v>
                </c:pt>
                <c:pt idx="10">
                  <c:v>0.29629629629629622</c:v>
                </c:pt>
                <c:pt idx="11">
                  <c:v>0.32592592592592584</c:v>
                </c:pt>
                <c:pt idx="12">
                  <c:v>0.35555555555555546</c:v>
                </c:pt>
                <c:pt idx="13">
                  <c:v>0.38518518518518507</c:v>
                </c:pt>
                <c:pt idx="14">
                  <c:v>0.41481481481481469</c:v>
                </c:pt>
                <c:pt idx="15">
                  <c:v>0.44444444444444431</c:v>
                </c:pt>
                <c:pt idx="16">
                  <c:v>0.47407407407407393</c:v>
                </c:pt>
                <c:pt idx="17">
                  <c:v>0.50370370370370354</c:v>
                </c:pt>
                <c:pt idx="18">
                  <c:v>0.53333333333333321</c:v>
                </c:pt>
                <c:pt idx="19">
                  <c:v>0.56296296296296289</c:v>
                </c:pt>
                <c:pt idx="20">
                  <c:v>0.59259259259259256</c:v>
                </c:pt>
                <c:pt idx="21">
                  <c:v>0.62222222222222223</c:v>
                </c:pt>
                <c:pt idx="22">
                  <c:v>0.6518518518518519</c:v>
                </c:pt>
                <c:pt idx="23">
                  <c:v>0.68148148148148158</c:v>
                </c:pt>
                <c:pt idx="24">
                  <c:v>0.71111111111111125</c:v>
                </c:pt>
                <c:pt idx="25">
                  <c:v>0.74074074074074092</c:v>
                </c:pt>
                <c:pt idx="26">
                  <c:v>0.77037037037037059</c:v>
                </c:pt>
                <c:pt idx="27">
                  <c:v>0.80000000000000027</c:v>
                </c:pt>
              </c:numCache>
            </c:numRef>
          </c:xVal>
          <c:yVal>
            <c:numRef>
              <c:f>'2023'!$I$4:$I$31</c:f>
              <c:numCache>
                <c:formatCode>0.00</c:formatCode>
                <c:ptCount val="28"/>
                <c:pt idx="0">
                  <c:v>0.49</c:v>
                </c:pt>
                <c:pt idx="1">
                  <c:v>0.49</c:v>
                </c:pt>
                <c:pt idx="2">
                  <c:v>0.49</c:v>
                </c:pt>
                <c:pt idx="3">
                  <c:v>0.49</c:v>
                </c:pt>
                <c:pt idx="4">
                  <c:v>0.49</c:v>
                </c:pt>
                <c:pt idx="5">
                  <c:v>0.49</c:v>
                </c:pt>
                <c:pt idx="6">
                  <c:v>0.49</c:v>
                </c:pt>
                <c:pt idx="7">
                  <c:v>0.49</c:v>
                </c:pt>
                <c:pt idx="8">
                  <c:v>0.49</c:v>
                </c:pt>
                <c:pt idx="9">
                  <c:v>0.49</c:v>
                </c:pt>
                <c:pt idx="10">
                  <c:v>0.49</c:v>
                </c:pt>
                <c:pt idx="11">
                  <c:v>0.49</c:v>
                </c:pt>
                <c:pt idx="12">
                  <c:v>0.49</c:v>
                </c:pt>
                <c:pt idx="13">
                  <c:v>0.49</c:v>
                </c:pt>
                <c:pt idx="14">
                  <c:v>0.49</c:v>
                </c:pt>
                <c:pt idx="15">
                  <c:v>0.49</c:v>
                </c:pt>
                <c:pt idx="16">
                  <c:v>0.49</c:v>
                </c:pt>
                <c:pt idx="17">
                  <c:v>0.49</c:v>
                </c:pt>
                <c:pt idx="18">
                  <c:v>0.49</c:v>
                </c:pt>
                <c:pt idx="19">
                  <c:v>0.49</c:v>
                </c:pt>
                <c:pt idx="20">
                  <c:v>0.49</c:v>
                </c:pt>
                <c:pt idx="21">
                  <c:v>0.49</c:v>
                </c:pt>
                <c:pt idx="22">
                  <c:v>0.49</c:v>
                </c:pt>
                <c:pt idx="23">
                  <c:v>0.49</c:v>
                </c:pt>
                <c:pt idx="24">
                  <c:v>0.49</c:v>
                </c:pt>
                <c:pt idx="25">
                  <c:v>0.49</c:v>
                </c:pt>
                <c:pt idx="26">
                  <c:v>0.49</c:v>
                </c:pt>
                <c:pt idx="27">
                  <c:v>0.49</c:v>
                </c:pt>
              </c:numCache>
            </c:numRef>
          </c:yVal>
          <c:smooth val="1"/>
          <c:extLst>
            <c:ext xmlns:c16="http://schemas.microsoft.com/office/drawing/2014/chart" uri="{C3380CC4-5D6E-409C-BE32-E72D297353CC}">
              <c16:uniqueId val="{00000001-3613-4A05-B616-03A7F7D2E7AC}"/>
            </c:ext>
          </c:extLst>
        </c:ser>
        <c:dLbls>
          <c:showLegendKey val="0"/>
          <c:showVal val="0"/>
          <c:showCatName val="0"/>
          <c:showSerName val="0"/>
          <c:showPercent val="0"/>
          <c:showBubbleSize val="0"/>
        </c:dLbls>
        <c:axId val="-262788736"/>
        <c:axId val="-262793088"/>
      </c:scatterChart>
      <c:scatterChart>
        <c:scatterStyle val="lineMarker"/>
        <c:varyColors val="0"/>
        <c:ser>
          <c:idx val="0"/>
          <c:order val="0"/>
          <c:spPr>
            <a:ln w="25400" cap="rnd">
              <a:noFill/>
              <a:round/>
            </a:ln>
            <a:effectLst/>
          </c:spPr>
          <c:marker>
            <c:symbol val="circle"/>
            <c:size val="5"/>
            <c:spPr>
              <a:solidFill>
                <a:srgbClr val="5297AC"/>
              </a:solidFill>
              <a:ln w="9525">
                <a:noFill/>
              </a:ln>
              <a:effectLst/>
            </c:spPr>
          </c:marker>
          <c:dLbls>
            <c:dLbl>
              <c:idx val="0"/>
              <c:layout>
                <c:manualLayout>
                  <c:x val="-3.5948417288263687E-2"/>
                  <c:y val="3.2900160952131545E-2"/>
                </c:manualLayout>
              </c:layout>
              <c:tx>
                <c:rich>
                  <a:bodyPr/>
                  <a:lstStyle/>
                  <a:p>
                    <a:fld id="{3922029D-DCFC-4937-92C8-D8167A7EC38F}"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3613-4A05-B616-03A7F7D2E7AC}"/>
                </c:ext>
              </c:extLst>
            </c:dLbl>
            <c:dLbl>
              <c:idx val="1"/>
              <c:layout>
                <c:manualLayout>
                  <c:x val="3.5938394891456365E-3"/>
                  <c:y val="3.0580750586474564E-2"/>
                </c:manualLayout>
              </c:layout>
              <c:tx>
                <c:rich>
                  <a:bodyPr/>
                  <a:lstStyle/>
                  <a:p>
                    <a:fld id="{E82B26B0-4CCF-4287-9895-8ECFFC94C78F}"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3613-4A05-B616-03A7F7D2E7AC}"/>
                </c:ext>
              </c:extLst>
            </c:dLbl>
            <c:dLbl>
              <c:idx val="2"/>
              <c:layout>
                <c:manualLayout>
                  <c:x val="1.0809429674157153E-2"/>
                  <c:y val="9.6898709679296511E-3"/>
                </c:manualLayout>
              </c:layout>
              <c:tx>
                <c:rich>
                  <a:bodyPr/>
                  <a:lstStyle/>
                  <a:p>
                    <a:fld id="{D6E9801A-967B-4E37-BEEE-F0C8BD6EC73D}"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3613-4A05-B616-03A7F7D2E7AC}"/>
                </c:ext>
              </c:extLst>
            </c:dLbl>
            <c:dLbl>
              <c:idx val="3"/>
              <c:layout>
                <c:manualLayout>
                  <c:x val="6.3333549712019637E-3"/>
                  <c:y val="1.2874617493600062E-2"/>
                </c:manualLayout>
              </c:layout>
              <c:tx>
                <c:rich>
                  <a:bodyPr/>
                  <a:lstStyle/>
                  <a:p>
                    <a:fld id="{80AA06C5-3324-4A64-849A-9FAFFAD88755}"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3613-4A05-B616-03A7F7D2E7AC}"/>
                </c:ext>
              </c:extLst>
            </c:dLbl>
            <c:dLbl>
              <c:idx val="4"/>
              <c:layout>
                <c:manualLayout>
                  <c:x val="-6.891897772666928E-3"/>
                  <c:y val="1.3611269861407991E-2"/>
                </c:manualLayout>
              </c:layout>
              <c:tx>
                <c:rich>
                  <a:bodyPr/>
                  <a:lstStyle/>
                  <a:p>
                    <a:fld id="{062C4D51-AAD9-41BD-BA17-F5D243B199B7}"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3613-4A05-B616-03A7F7D2E7AC}"/>
                </c:ext>
              </c:extLst>
            </c:dLbl>
            <c:dLbl>
              <c:idx val="5"/>
              <c:layout>
                <c:manualLayout>
                  <c:x val="-8.6644705113691614E-2"/>
                  <c:y val="-2.7847776635810308E-2"/>
                </c:manualLayout>
              </c:layout>
              <c:tx>
                <c:rich>
                  <a:bodyPr/>
                  <a:lstStyle/>
                  <a:p>
                    <a:fld id="{6E6D49F4-AFCC-43D7-A4C2-4E0140071981}"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3613-4A05-B616-03A7F7D2E7AC}"/>
                </c:ext>
              </c:extLst>
            </c:dLbl>
            <c:dLbl>
              <c:idx val="6"/>
              <c:layout>
                <c:manualLayout>
                  <c:x val="-6.256464321120353E-2"/>
                  <c:y val="3.5897483649366055E-2"/>
                </c:manualLayout>
              </c:layout>
              <c:tx>
                <c:rich>
                  <a:bodyPr/>
                  <a:lstStyle/>
                  <a:p>
                    <a:fld id="{469438AF-D059-478A-BA4F-376D16D624D2}"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8-3613-4A05-B616-03A7F7D2E7AC}"/>
                </c:ext>
              </c:extLst>
            </c:dLbl>
            <c:dLbl>
              <c:idx val="7"/>
              <c:layout>
                <c:manualLayout>
                  <c:x val="-7.9589466800439032E-2"/>
                  <c:y val="2.3287019631624301E-2"/>
                </c:manualLayout>
              </c:layout>
              <c:tx>
                <c:rich>
                  <a:bodyPr/>
                  <a:lstStyle/>
                  <a:p>
                    <a:fld id="{54021597-CF71-4183-9854-BBB841C9A1F9}"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613-4A05-B616-03A7F7D2E7AC}"/>
                </c:ext>
              </c:extLst>
            </c:dLbl>
            <c:dLbl>
              <c:idx val="8"/>
              <c:layout>
                <c:manualLayout>
                  <c:x val="1.282501062222628E-2"/>
                  <c:y val="2.0553185351589367E-2"/>
                </c:manualLayout>
              </c:layout>
              <c:tx>
                <c:rich>
                  <a:bodyPr/>
                  <a:lstStyle/>
                  <a:p>
                    <a:fld id="{1C42A5BF-ECF1-418E-87C7-C3502796F9FA}"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613-4A05-B616-03A7F7D2E7AC}"/>
                </c:ext>
              </c:extLst>
            </c:dLbl>
            <c:dLbl>
              <c:idx val="9"/>
              <c:layout>
                <c:manualLayout>
                  <c:x val="1.995639888890369E-2"/>
                  <c:y val="1.2672324895787668E-2"/>
                </c:manualLayout>
              </c:layout>
              <c:tx>
                <c:rich>
                  <a:bodyPr/>
                  <a:lstStyle/>
                  <a:p>
                    <a:fld id="{09E7CDC9-5AA6-4C15-BD2D-73E36BCFEC29}"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3613-4A05-B616-03A7F7D2E7AC}"/>
                </c:ext>
              </c:extLst>
            </c:dLbl>
            <c:dLbl>
              <c:idx val="10"/>
              <c:layout>
                <c:manualLayout>
                  <c:x val="2.0123524793484466E-2"/>
                  <c:y val="-2.1463880783247454E-2"/>
                </c:manualLayout>
              </c:layout>
              <c:tx>
                <c:rich>
                  <a:bodyPr/>
                  <a:lstStyle/>
                  <a:p>
                    <a:fld id="{CB26C8EA-3384-471B-908E-73E3AFDE2BC8}"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3613-4A05-B616-03A7F7D2E7AC}"/>
                </c:ext>
              </c:extLst>
            </c:dLbl>
            <c:dLbl>
              <c:idx val="11"/>
              <c:layout>
                <c:manualLayout>
                  <c:x val="2.4016558870739307E-3"/>
                  <c:y val="3.6893194836719295E-2"/>
                </c:manualLayout>
              </c:layout>
              <c:tx>
                <c:rich>
                  <a:bodyPr/>
                  <a:lstStyle/>
                  <a:p>
                    <a:fld id="{A9C7401D-1AC9-4F94-BEE5-79DC1F85AE15}"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3613-4A05-B616-03A7F7D2E7AC}"/>
                </c:ext>
              </c:extLst>
            </c:dLbl>
            <c:dLbl>
              <c:idx val="12"/>
              <c:layout>
                <c:manualLayout>
                  <c:x val="-3.1530089533269308E-2"/>
                  <c:y val="-3.3033382568557867E-2"/>
                </c:manualLayout>
              </c:layout>
              <c:tx>
                <c:rich>
                  <a:bodyPr/>
                  <a:lstStyle/>
                  <a:p>
                    <a:fld id="{1FCE18EC-FB86-4F0E-B646-89827A3F223D}"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3613-4A05-B616-03A7F7D2E7AC}"/>
                </c:ext>
              </c:extLst>
            </c:dLbl>
            <c:dLbl>
              <c:idx val="13"/>
              <c:layout>
                <c:manualLayout>
                  <c:x val="-1.8455823340572185E-2"/>
                  <c:y val="3.5582243510810352E-2"/>
                </c:manualLayout>
              </c:layout>
              <c:tx>
                <c:rich>
                  <a:bodyPr/>
                  <a:lstStyle/>
                  <a:p>
                    <a:fld id="{86F32329-0CEB-49F5-A8BA-638E8F5DED0F}"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F-3613-4A05-B616-03A7F7D2E7AC}"/>
                </c:ext>
              </c:extLst>
            </c:dLbl>
            <c:dLbl>
              <c:idx val="14"/>
              <c:layout>
                <c:manualLayout>
                  <c:x val="-2.3205981363678906E-3"/>
                  <c:y val="-6.4902811839577801E-2"/>
                </c:manualLayout>
              </c:layout>
              <c:tx>
                <c:rich>
                  <a:bodyPr/>
                  <a:lstStyle/>
                  <a:p>
                    <a:fld id="{8C999EB9-15F7-4414-B09E-D8E1164CA9EF}"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3613-4A05-B616-03A7F7D2E7AC}"/>
                </c:ext>
              </c:extLst>
            </c:dLbl>
            <c:dLbl>
              <c:idx val="15"/>
              <c:layout>
                <c:manualLayout>
                  <c:x val="-4.3539196066473641E-2"/>
                  <c:y val="2.5331503598749604E-2"/>
                </c:manualLayout>
              </c:layout>
              <c:tx>
                <c:rich>
                  <a:bodyPr/>
                  <a:lstStyle/>
                  <a:p>
                    <a:fld id="{3BBF9A68-75FE-4335-BFE6-F883E41955BD}"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3613-4A05-B616-03A7F7D2E7AC}"/>
                </c:ext>
              </c:extLst>
            </c:dLbl>
            <c:dLbl>
              <c:idx val="16"/>
              <c:layout>
                <c:manualLayout>
                  <c:x val="-5.9645602910398894E-2"/>
                  <c:y val="4.0497714098650439E-2"/>
                </c:manualLayout>
              </c:layout>
              <c:tx>
                <c:rich>
                  <a:bodyPr/>
                  <a:lstStyle/>
                  <a:p>
                    <a:fld id="{DB7FF227-6ED3-44C1-B6DE-DC22C5D8151F}"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2-3613-4A05-B616-03A7F7D2E7AC}"/>
                </c:ext>
              </c:extLst>
            </c:dLbl>
            <c:dLbl>
              <c:idx val="17"/>
              <c:layout>
                <c:manualLayout>
                  <c:x val="5.809617657947041E-3"/>
                  <c:y val="6.1220645582816632E-2"/>
                </c:manualLayout>
              </c:layout>
              <c:tx>
                <c:rich>
                  <a:bodyPr/>
                  <a:lstStyle/>
                  <a:p>
                    <a:fld id="{4EAFCE84-2235-4A77-9124-93A69FBB1258}"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613-4A05-B616-03A7F7D2E7AC}"/>
                </c:ext>
              </c:extLst>
            </c:dLbl>
            <c:dLbl>
              <c:idx val="18"/>
              <c:layout>
                <c:manualLayout>
                  <c:x val="-3.4070660879404011E-2"/>
                  <c:y val="-3.139376035675949E-2"/>
                </c:manualLayout>
              </c:layout>
              <c:tx>
                <c:rich>
                  <a:bodyPr/>
                  <a:lstStyle/>
                  <a:p>
                    <a:fld id="{9EDAC03B-CE0E-49AB-999F-21058942C924}"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3613-4A05-B616-03A7F7D2E7AC}"/>
                </c:ext>
              </c:extLst>
            </c:dLbl>
            <c:dLbl>
              <c:idx val="19"/>
              <c:layout>
                <c:manualLayout>
                  <c:x val="9.8022495515059961E-3"/>
                  <c:y val="3.8524846827577837E-3"/>
                </c:manualLayout>
              </c:layout>
              <c:tx>
                <c:rich>
                  <a:bodyPr/>
                  <a:lstStyle/>
                  <a:p>
                    <a:fld id="{67336D16-374C-4F16-B0D0-696530E13305}"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613-4A05-B616-03A7F7D2E7AC}"/>
                </c:ext>
              </c:extLst>
            </c:dLbl>
            <c:dLbl>
              <c:idx val="20"/>
              <c:layout>
                <c:manualLayout>
                  <c:x val="1.758140756302521E-2"/>
                  <c:y val="6.2059072984831237E-3"/>
                </c:manualLayout>
              </c:layout>
              <c:tx>
                <c:rich>
                  <a:bodyPr/>
                  <a:lstStyle/>
                  <a:p>
                    <a:fld id="{EFE7389D-3EBB-4B9A-9AF3-9C7858A857D8}"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3613-4A05-B616-03A7F7D2E7AC}"/>
                </c:ext>
              </c:extLst>
            </c:dLbl>
            <c:dLbl>
              <c:idx val="21"/>
              <c:layout>
                <c:manualLayout>
                  <c:x val="-4.5538664904163979E-2"/>
                  <c:y val="-3.5392385611100745E-2"/>
                </c:manualLayout>
              </c:layout>
              <c:tx>
                <c:rich>
                  <a:bodyPr/>
                  <a:lstStyle/>
                  <a:p>
                    <a:fld id="{D0C2DF76-7C0C-44BE-90AD-8D2B5770A92D}" type="CELLRANGE">
                      <a:rPr lang="en-US"/>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3613-4A05-B616-03A7F7D2E7AC}"/>
                </c:ext>
              </c:extLst>
            </c:dLbl>
            <c:dLbl>
              <c:idx val="22"/>
              <c:layout>
                <c:manualLayout>
                  <c:x val="-0.11300824402794826"/>
                  <c:y val="-2.3395618242742926E-2"/>
                </c:manualLayout>
              </c:layout>
              <c:tx>
                <c:rich>
                  <a:bodyPr/>
                  <a:lstStyle/>
                  <a:p>
                    <a:fld id="{01AA4F0E-F632-4A99-9AFE-F3573492C6BB}" type="CELLRANGE">
                      <a:rPr lang="sr-Cyrl-R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3613-4A05-B616-03A7F7D2E7AC}"/>
                </c:ext>
              </c:extLst>
            </c:dLbl>
            <c:dLbl>
              <c:idx val="23"/>
              <c:layout>
                <c:manualLayout>
                  <c:x val="9.9795705097595975E-3"/>
                  <c:y val="1.4204692050936149E-2"/>
                </c:manualLayout>
              </c:layout>
              <c:tx>
                <c:rich>
                  <a:bodyPr/>
                  <a:lstStyle/>
                  <a:p>
                    <a:fld id="{9E754691-3CF2-4FE7-BA9A-1C76531E36EE}" type="CELLRANGE">
                      <a:rPr lang="sr-Cyrl-RS">
                        <a:solidFill>
                          <a:schemeClr val="tx1">
                            <a:lumMod val="50000"/>
                            <a:lumOff val="50000"/>
                          </a:schemeClr>
                        </a:solidFill>
                      </a:rPr>
                      <a:pPr/>
                      <a:t>[CELLRANGE]</a:t>
                    </a:fld>
                    <a:endParaRPr lang="sr-Latn-R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613-4A05-B616-03A7F7D2E7AC}"/>
                </c:ext>
              </c:extLst>
            </c:dLbl>
            <c:dLbl>
              <c:idx val="24"/>
              <c:layout>
                <c:manualLayout>
                  <c:x val="-8.3391411339816826E-2"/>
                  <c:y val="-3.411424204086759E-2"/>
                </c:manualLayout>
              </c:layout>
              <c:tx>
                <c:rich>
                  <a:bodyPr rot="0" spcFirstLastPara="1" vertOverflow="ellipsis" vert="horz" wrap="square" lIns="38100" tIns="19050" rIns="38100" bIns="19050" anchor="ctr" anchorCtr="1">
                    <a:noAutofit/>
                  </a:bodyPr>
                  <a:lstStyle/>
                  <a:p>
                    <a:pPr>
                      <a:defRPr sz="800" b="0" i="0" u="none" strike="noStrike" kern="1200" baseline="0">
                        <a:solidFill>
                          <a:schemeClr val="tx1">
                            <a:lumMod val="50000"/>
                            <a:lumOff val="50000"/>
                          </a:schemeClr>
                        </a:solidFill>
                        <a:latin typeface="+mn-lt"/>
                        <a:ea typeface="+mn-ea"/>
                        <a:cs typeface="+mn-cs"/>
                      </a:defRPr>
                    </a:pPr>
                    <a:r>
                      <a:rPr lang="sr-Cyrl-RS" sz="800">
                        <a:solidFill>
                          <a:schemeClr val="tx1">
                            <a:lumMod val="50000"/>
                            <a:lumOff val="50000"/>
                          </a:schemeClr>
                        </a:solidFill>
                      </a:rPr>
                      <a:t>Кипар</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layout>
                    <c:manualLayout>
                      <c:w val="0.13100275293998009"/>
                      <c:h val="3.706857368218909E-2"/>
                    </c:manualLayout>
                  </c15:layout>
                  <c15:showDataLabelsRange val="0"/>
                </c:ext>
                <c:ext xmlns:c16="http://schemas.microsoft.com/office/drawing/2014/chart" uri="{C3380CC4-5D6E-409C-BE32-E72D297353CC}">
                  <c16:uniqueId val="{0000001A-3613-4A05-B616-03A7F7D2E7AC}"/>
                </c:ext>
              </c:extLst>
            </c:dLbl>
            <c:dLbl>
              <c:idx val="25"/>
              <c:layout>
                <c:manualLayout>
                  <c:x val="-5.4336818997261824E-2"/>
                  <c:y val="2.7688775146707936E-2"/>
                </c:manualLayout>
              </c:layout>
              <c:tx>
                <c:rich>
                  <a:bodyPr/>
                  <a:lstStyle/>
                  <a:p>
                    <a:r>
                      <a:rPr lang="sr-Cyrl-RS"/>
                      <a:t>Грчка</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B-3613-4A05-B616-03A7F7D2E7AC}"/>
                </c:ext>
              </c:extLst>
            </c:dLbl>
            <c:dLbl>
              <c:idx val="26"/>
              <c:layout>
                <c:manualLayout>
                  <c:x val="-3.444518166269947E-2"/>
                  <c:y val="2.8828407288985936E-2"/>
                </c:manualLayout>
              </c:layout>
              <c:tx>
                <c:rich>
                  <a:bodyPr/>
                  <a:lstStyle/>
                  <a:p>
                    <a:r>
                      <a:rPr lang="sr-Cyrl-RS" baseline="0"/>
                      <a:t>Португал </a:t>
                    </a:r>
                    <a:endParaRPr lang="sr-Cyrl-RS"/>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C-3613-4A05-B616-03A7F7D2E7AC}"/>
                </c:ext>
              </c:extLst>
            </c:dLbl>
            <c:dLbl>
              <c:idx val="27"/>
              <c:layout>
                <c:manualLayout>
                  <c:x val="0"/>
                  <c:y val="-3.2036337084359663E-2"/>
                </c:manualLayout>
              </c:layout>
              <c:tx>
                <c:rich>
                  <a:bodyPr/>
                  <a:lstStyle/>
                  <a:p>
                    <a:r>
                      <a:rPr lang="sr-Cyrl-RS"/>
                      <a:t>Србија</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D-3613-4A05-B616-03A7F7D2E7AC}"/>
                </c:ext>
              </c:extLst>
            </c:dLbl>
            <c:dLbl>
              <c:idx val="2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E-3613-4A05-B616-03A7F7D2E7AC}"/>
                </c:ext>
              </c:extLst>
            </c:dLbl>
            <c:dLbl>
              <c:idx val="29"/>
              <c:layout>
                <c:manualLayout>
                  <c:x val="0.27121180204981443"/>
                  <c:y val="-0.10981647825182873"/>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layout>
                    <c:manualLayout>
                      <c:w val="6.4583536111454121E-2"/>
                      <c:h val="3.6566409796610792E-2"/>
                    </c:manualLayout>
                  </c15:layout>
                  <c15:showDataLabelsRange val="0"/>
                </c:ext>
                <c:ext xmlns:c16="http://schemas.microsoft.com/office/drawing/2014/chart" uri="{C3380CC4-5D6E-409C-BE32-E72D297353CC}">
                  <c16:uniqueId val="{0000001F-3613-4A05-B616-03A7F7D2E7AC}"/>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sr-Latn-R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'2023'!$D$4:$D$31</c:f>
              <c:numCache>
                <c:formatCode>0.00</c:formatCode>
                <c:ptCount val="28"/>
                <c:pt idx="0">
                  <c:v>0.15</c:v>
                </c:pt>
                <c:pt idx="1">
                  <c:v>0.56999999999999995</c:v>
                </c:pt>
                <c:pt idx="2">
                  <c:v>0.22</c:v>
                </c:pt>
                <c:pt idx="3">
                  <c:v>0.22</c:v>
                </c:pt>
                <c:pt idx="4">
                  <c:v>0</c:v>
                </c:pt>
                <c:pt idx="5">
                  <c:v>0.11</c:v>
                </c:pt>
                <c:pt idx="6">
                  <c:v>0.18</c:v>
                </c:pt>
                <c:pt idx="7">
                  <c:v>0.15</c:v>
                </c:pt>
                <c:pt idx="8">
                  <c:v>0.56999999999999995</c:v>
                </c:pt>
                <c:pt idx="9">
                  <c:v>0.41</c:v>
                </c:pt>
                <c:pt idx="10">
                  <c:v>0</c:v>
                </c:pt>
                <c:pt idx="11">
                  <c:v>0.69</c:v>
                </c:pt>
                <c:pt idx="12">
                  <c:v>0.22</c:v>
                </c:pt>
                <c:pt idx="13">
                  <c:v>0.23</c:v>
                </c:pt>
                <c:pt idx="14">
                  <c:v>0.12</c:v>
                </c:pt>
                <c:pt idx="15">
                  <c:v>0.18</c:v>
                </c:pt>
                <c:pt idx="16">
                  <c:v>0.22</c:v>
                </c:pt>
                <c:pt idx="17">
                  <c:v>0</c:v>
                </c:pt>
                <c:pt idx="18">
                  <c:v>0.28000000000000003</c:v>
                </c:pt>
                <c:pt idx="19">
                  <c:v>0.22</c:v>
                </c:pt>
                <c:pt idx="20">
                  <c:v>0.28000000000000003</c:v>
                </c:pt>
                <c:pt idx="21">
                  <c:v>0.28999999999999998</c:v>
                </c:pt>
                <c:pt idx="22">
                  <c:v>0.56999999999999995</c:v>
                </c:pt>
                <c:pt idx="23">
                  <c:v>0</c:v>
                </c:pt>
                <c:pt idx="24">
                  <c:v>0.11</c:v>
                </c:pt>
                <c:pt idx="25">
                  <c:v>0.24</c:v>
                </c:pt>
                <c:pt idx="26">
                  <c:v>0.31</c:v>
                </c:pt>
                <c:pt idx="27">
                  <c:v>0.12574850299401197</c:v>
                </c:pt>
              </c:numCache>
            </c:numRef>
          </c:xVal>
          <c:yVal>
            <c:numRef>
              <c:f>'2023'!$E$4:$E$31</c:f>
              <c:numCache>
                <c:formatCode>0.00</c:formatCode>
                <c:ptCount val="28"/>
                <c:pt idx="0">
                  <c:v>0.06</c:v>
                </c:pt>
                <c:pt idx="1">
                  <c:v>0.12</c:v>
                </c:pt>
                <c:pt idx="2">
                  <c:v>0.21</c:v>
                </c:pt>
                <c:pt idx="3">
                  <c:v>0.25</c:v>
                </c:pt>
                <c:pt idx="4">
                  <c:v>0.33</c:v>
                </c:pt>
                <c:pt idx="5">
                  <c:v>0.36</c:v>
                </c:pt>
                <c:pt idx="6">
                  <c:v>0.36</c:v>
                </c:pt>
                <c:pt idx="7">
                  <c:v>0.23</c:v>
                </c:pt>
                <c:pt idx="8">
                  <c:v>0.28000000000000003</c:v>
                </c:pt>
                <c:pt idx="9">
                  <c:v>0.48</c:v>
                </c:pt>
                <c:pt idx="10">
                  <c:v>0.21</c:v>
                </c:pt>
                <c:pt idx="11">
                  <c:v>0.18</c:v>
                </c:pt>
                <c:pt idx="12">
                  <c:v>0.37</c:v>
                </c:pt>
                <c:pt idx="13">
                  <c:v>0.12</c:v>
                </c:pt>
                <c:pt idx="14">
                  <c:v>0.35</c:v>
                </c:pt>
                <c:pt idx="15">
                  <c:v>0.2</c:v>
                </c:pt>
                <c:pt idx="16">
                  <c:v>0.14000000000000001</c:v>
                </c:pt>
                <c:pt idx="17">
                  <c:v>0.18</c:v>
                </c:pt>
                <c:pt idx="18">
                  <c:v>0.45</c:v>
                </c:pt>
                <c:pt idx="19">
                  <c:v>0.37</c:v>
                </c:pt>
                <c:pt idx="20">
                  <c:v>0.44</c:v>
                </c:pt>
                <c:pt idx="21">
                  <c:v>0.14000000000000001</c:v>
                </c:pt>
                <c:pt idx="22">
                  <c:v>0.33</c:v>
                </c:pt>
                <c:pt idx="23">
                  <c:v>0.19</c:v>
                </c:pt>
                <c:pt idx="24">
                  <c:v>0.44</c:v>
                </c:pt>
                <c:pt idx="25">
                  <c:v>0.35</c:v>
                </c:pt>
                <c:pt idx="26">
                  <c:v>0.33</c:v>
                </c:pt>
                <c:pt idx="27">
                  <c:v>0.27243589743589747</c:v>
                </c:pt>
              </c:numCache>
            </c:numRef>
          </c:yVal>
          <c:smooth val="0"/>
          <c:extLst>
            <c:ext xmlns:c15="http://schemas.microsoft.com/office/drawing/2012/chart" uri="{02D57815-91ED-43cb-92C2-25804820EDAC}">
              <c15:datalabelsRange>
                <c15:f>'2023'!$B$4:$B$34</c15:f>
                <c15:dlblRangeCache>
                  <c:ptCount val="31"/>
                  <c:pt idx="0">
                    <c:v>Аустрија</c:v>
                  </c:pt>
                  <c:pt idx="1">
                    <c:v>Белгија</c:v>
                  </c:pt>
                  <c:pt idx="2">
                    <c:v>Бугарска</c:v>
                  </c:pt>
                  <c:pt idx="3">
                    <c:v>Чешка</c:v>
                  </c:pt>
                  <c:pt idx="4">
                    <c:v>Хрватска</c:v>
                  </c:pt>
                  <c:pt idx="5">
                    <c:v>Данска</c:v>
                  </c:pt>
                  <c:pt idx="6">
                    <c:v>Естонија</c:v>
                  </c:pt>
                  <c:pt idx="7">
                    <c:v>Финска</c:v>
                  </c:pt>
                  <c:pt idx="8">
                    <c:v>Француска</c:v>
                  </c:pt>
                  <c:pt idx="9">
                    <c:v>Мађарска</c:v>
                  </c:pt>
                  <c:pt idx="10">
                    <c:v>Ирска</c:v>
                  </c:pt>
                  <c:pt idx="11">
                    <c:v>Италија</c:v>
                  </c:pt>
                  <c:pt idx="12">
                    <c:v>Летонија</c:v>
                  </c:pt>
                  <c:pt idx="13">
                    <c:v>Немачка</c:v>
                  </c:pt>
                  <c:pt idx="14">
                    <c:v>Литванија</c:v>
                  </c:pt>
                  <c:pt idx="15">
                    <c:v>Луксембург</c:v>
                  </c:pt>
                  <c:pt idx="16">
                    <c:v>Малта</c:v>
                  </c:pt>
                  <c:pt idx="17">
                    <c:v>Холандија</c:v>
                  </c:pt>
                  <c:pt idx="18">
                    <c:v>Пољска</c:v>
                  </c:pt>
                  <c:pt idx="19">
                    <c:v>Румунија</c:v>
                  </c:pt>
                  <c:pt idx="20">
                    <c:v>Словачка</c:v>
                  </c:pt>
                  <c:pt idx="21">
                    <c:v>Словенија</c:v>
                  </c:pt>
                  <c:pt idx="22">
                    <c:v>Шпанија</c:v>
                  </c:pt>
                  <c:pt idx="23">
                    <c:v>Шведска</c:v>
                  </c:pt>
                  <c:pt idx="24">
                    <c:v>Кипар</c:v>
                  </c:pt>
                  <c:pt idx="25">
                    <c:v>Грчка</c:v>
                  </c:pt>
                  <c:pt idx="26">
                    <c:v>Португал</c:v>
                  </c:pt>
                  <c:pt idx="27">
                    <c:v>Србија</c:v>
                  </c:pt>
                  <c:pt idx="29">
                    <c:v>Србија 2020</c:v>
                  </c:pt>
                  <c:pt idx="30">
                    <c:v>Србија 2019,2018,2017</c:v>
                  </c:pt>
                </c15:dlblRangeCache>
              </c15:datalabelsRange>
            </c:ext>
            <c:ext xmlns:c16="http://schemas.microsoft.com/office/drawing/2014/chart" uri="{C3380CC4-5D6E-409C-BE32-E72D297353CC}">
              <c16:uniqueId val="{00000020-3613-4A05-B616-03A7F7D2E7AC}"/>
            </c:ext>
          </c:extLst>
        </c:ser>
        <c:dLbls>
          <c:showLegendKey val="0"/>
          <c:showVal val="0"/>
          <c:showCatName val="0"/>
          <c:showSerName val="0"/>
          <c:showPercent val="0"/>
          <c:showBubbleSize val="0"/>
        </c:dLbls>
        <c:axId val="2099147520"/>
        <c:axId val="2099146272"/>
      </c:scatterChart>
      <c:valAx>
        <c:axId val="-262788736"/>
        <c:scaling>
          <c:orientation val="minMax"/>
          <c:max val="0.8"/>
        </c:scaling>
        <c:delete val="0"/>
        <c:axPos val="b"/>
        <c:title>
          <c:tx>
            <c:rich>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Фискални подиндекс</a:t>
                </a:r>
                <a:endParaRPr lang="en-US" sz="700">
                  <a:latin typeface="+mn-lt"/>
                </a:endParaRPr>
              </a:p>
            </c:rich>
          </c:tx>
          <c:layout>
            <c:manualLayout>
              <c:xMode val="edge"/>
              <c:yMode val="edge"/>
              <c:x val="0.37003317293671623"/>
              <c:y val="0.9471673720698983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00" sourceLinked="1"/>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62793088"/>
        <c:crosses val="autoZero"/>
        <c:crossBetween val="midCat"/>
      </c:valAx>
      <c:valAx>
        <c:axId val="-262793088"/>
        <c:scaling>
          <c:orientation val="minMax"/>
          <c:max val="0.60000000000000009"/>
        </c:scaling>
        <c:delete val="0"/>
        <c:axPos val="l"/>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Подиндекс макро-финансијске конкурентности</a:t>
                </a:r>
                <a:endParaRPr lang="en-US" sz="700">
                  <a:latin typeface="+mn-lt"/>
                </a:endParaRPr>
              </a:p>
            </c:rich>
          </c:tx>
          <c:layout>
            <c:manualLayout>
              <c:xMode val="edge"/>
              <c:yMode val="edge"/>
              <c:x val="2.8955234762321376E-3"/>
              <c:y val="0.24683523045118821"/>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0" sourceLinked="0"/>
        <c:majorTickMark val="none"/>
        <c:minorTickMark val="none"/>
        <c:tickLblPos val="nextTo"/>
        <c:spPr>
          <a:noFill/>
          <a:ln w="6350" cap="flat" cmpd="sng" algn="ctr">
            <a:solidFill>
              <a:schemeClr val="tx1">
                <a:lumMod val="25000"/>
                <a:lumOff val="7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62788736"/>
        <c:crosses val="autoZero"/>
        <c:crossBetween val="midCat"/>
      </c:valAx>
      <c:valAx>
        <c:axId val="2099146272"/>
        <c:scaling>
          <c:orientation val="minMax"/>
        </c:scaling>
        <c:delete val="1"/>
        <c:axPos val="r"/>
        <c:numFmt formatCode="0.00" sourceLinked="1"/>
        <c:majorTickMark val="out"/>
        <c:minorTickMark val="none"/>
        <c:tickLblPos val="nextTo"/>
        <c:crossAx val="2099147520"/>
        <c:crosses val="max"/>
        <c:crossBetween val="midCat"/>
      </c:valAx>
      <c:valAx>
        <c:axId val="2099147520"/>
        <c:scaling>
          <c:orientation val="minMax"/>
        </c:scaling>
        <c:delete val="1"/>
        <c:axPos val="t"/>
        <c:numFmt formatCode="0.00" sourceLinked="1"/>
        <c:majorTickMark val="out"/>
        <c:minorTickMark val="none"/>
        <c:tickLblPos val="nextTo"/>
        <c:crossAx val="2099146272"/>
        <c:crosses val="max"/>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userShapes r:id="rId4"/>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800" b="1" i="0" u="none" strike="noStrike" kern="1200" spc="0" baseline="0">
                <a:solidFill>
                  <a:srgbClr val="002060"/>
                </a:solidFill>
                <a:latin typeface="+mn-lt"/>
                <a:ea typeface="+mn-ea"/>
                <a:cs typeface="+mn-cs"/>
              </a:defRPr>
            </a:pPr>
            <a:r>
              <a:rPr lang="en-US" sz="800" b="1">
                <a:solidFill>
                  <a:srgbClr val="002060"/>
                </a:solidFill>
              </a:rPr>
              <a:t>S0 </a:t>
            </a:r>
            <a:r>
              <a:rPr lang="sr-Cyrl-RS" sz="800" b="1">
                <a:solidFill>
                  <a:srgbClr val="002060"/>
                </a:solidFill>
              </a:rPr>
              <a:t>земље ЕУ и Србија</a:t>
            </a:r>
          </a:p>
        </c:rich>
      </c:tx>
      <c:overlay val="0"/>
      <c:spPr>
        <a:noFill/>
        <a:ln>
          <a:noFill/>
        </a:ln>
        <a:effectLst/>
      </c:spPr>
      <c:txPr>
        <a:bodyPr rot="0" spcFirstLastPara="1" vertOverflow="ellipsis" vert="horz" wrap="square" anchor="ctr" anchorCtr="1"/>
        <a:lstStyle/>
        <a:p>
          <a:pPr>
            <a:defRPr sz="800" b="1" i="0" u="none" strike="noStrike" kern="1200" spc="0" baseline="0">
              <a:solidFill>
                <a:srgbClr val="002060"/>
              </a:solidFill>
              <a:latin typeface="+mn-lt"/>
              <a:ea typeface="+mn-ea"/>
              <a:cs typeface="+mn-cs"/>
            </a:defRPr>
          </a:pPr>
          <a:endParaRPr lang="sr-Latn-RS"/>
        </a:p>
      </c:txPr>
    </c:title>
    <c:autoTitleDeleted val="0"/>
    <c:plotArea>
      <c:layout>
        <c:manualLayout>
          <c:layoutTarget val="inner"/>
          <c:xMode val="edge"/>
          <c:yMode val="edge"/>
          <c:x val="7.0140553174856415E-2"/>
          <c:y val="0.13775301764159703"/>
          <c:w val="0.89795062064282105"/>
          <c:h val="0.4716665570007092"/>
        </c:manualLayout>
      </c:layout>
      <c:barChart>
        <c:barDir val="col"/>
        <c:grouping val="clustered"/>
        <c:varyColors val="0"/>
        <c:ser>
          <c:idx val="3"/>
          <c:order val="1"/>
          <c:tx>
            <c:strRef>
              <c:f>'S0 EU Serbia'!$F$2</c:f>
              <c:strCache>
                <c:ptCount val="1"/>
                <c:pt idx="0">
                  <c:v>S0
2014</c:v>
                </c:pt>
              </c:strCache>
            </c:strRef>
          </c:tx>
          <c:spPr>
            <a:solidFill>
              <a:schemeClr val="tx1"/>
            </a:solidFill>
            <a:ln w="6350">
              <a:solidFill>
                <a:schemeClr val="tx1"/>
              </a:solidFill>
            </a:ln>
            <a:effectLst/>
          </c:spPr>
          <c:invertIfNegative val="0"/>
          <c:cat>
            <c:strRef>
              <c:f>'S0 EU Serbia'!$A$3:$A$31</c:f>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f>'S0 EU Serbia'!$F$3:$F$31</c:f>
            </c:numRef>
          </c:val>
          <c:extLst>
            <c:ext xmlns:c16="http://schemas.microsoft.com/office/drawing/2014/chart" uri="{C3380CC4-5D6E-409C-BE32-E72D297353CC}">
              <c16:uniqueId val="{00000000-8325-49C6-8099-72654A62834C}"/>
            </c:ext>
          </c:extLst>
        </c:ser>
        <c:dLbls>
          <c:showLegendKey val="0"/>
          <c:showVal val="0"/>
          <c:showCatName val="0"/>
          <c:showSerName val="0"/>
          <c:showPercent val="0"/>
          <c:showBubbleSize val="0"/>
        </c:dLbls>
        <c:gapWidth val="150"/>
        <c:axId val="-486950096"/>
        <c:axId val="-486949552"/>
      </c:barChart>
      <c:barChart>
        <c:barDir val="col"/>
        <c:grouping val="clustered"/>
        <c:varyColors val="0"/>
        <c:ser>
          <c:idx val="5"/>
          <c:order val="7"/>
          <c:tx>
            <c:strRef>
              <c:f>'S0 EU Serbia'!$AD$2</c:f>
              <c:strCache>
                <c:ptCount val="1"/>
                <c:pt idx="0">
                  <c:v>S0 2022</c:v>
                </c:pt>
              </c:strCache>
            </c:strRef>
          </c:tx>
          <c:spPr>
            <a:solidFill>
              <a:srgbClr val="7030A0"/>
            </a:solidFill>
            <a:ln>
              <a:noFill/>
            </a:ln>
            <a:effectLst/>
          </c:spPr>
          <c:invertIfNegative val="0"/>
          <c:val>
            <c:numRef>
              <c:f>'S0 EU Serbia'!$AD$3:$AD$29</c:f>
              <c:numCache>
                <c:formatCode>0.00</c:formatCode>
                <c:ptCount val="27"/>
                <c:pt idx="0">
                  <c:v>0.2</c:v>
                </c:pt>
                <c:pt idx="1">
                  <c:v>0.3</c:v>
                </c:pt>
                <c:pt idx="2">
                  <c:v>0.3</c:v>
                </c:pt>
                <c:pt idx="3">
                  <c:v>0.2</c:v>
                </c:pt>
                <c:pt idx="4">
                  <c:v>0.3</c:v>
                </c:pt>
                <c:pt idx="5">
                  <c:v>0.3</c:v>
                </c:pt>
                <c:pt idx="6">
                  <c:v>0.2</c:v>
                </c:pt>
                <c:pt idx="7">
                  <c:v>0.1</c:v>
                </c:pt>
                <c:pt idx="8">
                  <c:v>0.2</c:v>
                </c:pt>
                <c:pt idx="9">
                  <c:v>0.3</c:v>
                </c:pt>
                <c:pt idx="10">
                  <c:v>0.2</c:v>
                </c:pt>
                <c:pt idx="11">
                  <c:v>0.4</c:v>
                </c:pt>
                <c:pt idx="12">
                  <c:v>0.2</c:v>
                </c:pt>
                <c:pt idx="13">
                  <c:v>0.3</c:v>
                </c:pt>
                <c:pt idx="14">
                  <c:v>0.2</c:v>
                </c:pt>
                <c:pt idx="15">
                  <c:v>0.3</c:v>
                </c:pt>
                <c:pt idx="16">
                  <c:v>0.2</c:v>
                </c:pt>
                <c:pt idx="17">
                  <c:v>0.2</c:v>
                </c:pt>
                <c:pt idx="18">
                  <c:v>0.2</c:v>
                </c:pt>
                <c:pt idx="19">
                  <c:v>0.3</c:v>
                </c:pt>
                <c:pt idx="20">
                  <c:v>0.4</c:v>
                </c:pt>
                <c:pt idx="21">
                  <c:v>0.3</c:v>
                </c:pt>
                <c:pt idx="22">
                  <c:v>0.25260960334029231</c:v>
                </c:pt>
                <c:pt idx="23">
                  <c:v>0.3</c:v>
                </c:pt>
                <c:pt idx="24">
                  <c:v>0.2</c:v>
                </c:pt>
                <c:pt idx="25">
                  <c:v>0.3</c:v>
                </c:pt>
                <c:pt idx="26">
                  <c:v>0.2</c:v>
                </c:pt>
              </c:numCache>
            </c:numRef>
          </c:val>
          <c:extLst>
            <c:ext xmlns:c16="http://schemas.microsoft.com/office/drawing/2014/chart" uri="{C3380CC4-5D6E-409C-BE32-E72D297353CC}">
              <c16:uniqueId val="{00000001-8325-49C6-8099-72654A62834C}"/>
            </c:ext>
          </c:extLst>
        </c:ser>
        <c:ser>
          <c:idx val="7"/>
          <c:order val="8"/>
          <c:tx>
            <c:strRef>
              <c:f>'S0 EU Serbia'!$AG$2</c:f>
              <c:strCache>
                <c:ptCount val="1"/>
                <c:pt idx="0">
                  <c:v>S0 2023</c:v>
                </c:pt>
              </c:strCache>
            </c:strRef>
          </c:tx>
          <c:spPr>
            <a:solidFill>
              <a:srgbClr val="00B0F0"/>
            </a:solidFill>
            <a:ln>
              <a:noFill/>
            </a:ln>
            <a:effectLst/>
          </c:spPr>
          <c:invertIfNegative val="0"/>
          <c:val>
            <c:numRef>
              <c:f>'S0 EU Serbia'!$AG$3:$AG$29</c:f>
              <c:numCache>
                <c:formatCode>0.00</c:formatCode>
                <c:ptCount val="27"/>
                <c:pt idx="0">
                  <c:v>0.09</c:v>
                </c:pt>
                <c:pt idx="1">
                  <c:v>0.27</c:v>
                </c:pt>
                <c:pt idx="2">
                  <c:v>0.21</c:v>
                </c:pt>
                <c:pt idx="3">
                  <c:v>0.24</c:v>
                </c:pt>
                <c:pt idx="4">
                  <c:v>0.21</c:v>
                </c:pt>
                <c:pt idx="5">
                  <c:v>0.32</c:v>
                </c:pt>
                <c:pt idx="6">
                  <c:v>0.27</c:v>
                </c:pt>
                <c:pt idx="7">
                  <c:v>0.3</c:v>
                </c:pt>
                <c:pt idx="8">
                  <c:v>0.2</c:v>
                </c:pt>
                <c:pt idx="9">
                  <c:v>0.38</c:v>
                </c:pt>
                <c:pt idx="10">
                  <c:v>0.16</c:v>
                </c:pt>
                <c:pt idx="11">
                  <c:v>0.46</c:v>
                </c:pt>
                <c:pt idx="12">
                  <c:v>0.13</c:v>
                </c:pt>
                <c:pt idx="13">
                  <c:v>0.35</c:v>
                </c:pt>
                <c:pt idx="14">
                  <c:v>0.31</c:v>
                </c:pt>
                <c:pt idx="15">
                  <c:v>0.27</c:v>
                </c:pt>
                <c:pt idx="16">
                  <c:v>0.19</c:v>
                </c:pt>
                <c:pt idx="17">
                  <c:v>0.17</c:v>
                </c:pt>
                <c:pt idx="18">
                  <c:v>0.12</c:v>
                </c:pt>
                <c:pt idx="19">
                  <c:v>0.39</c:v>
                </c:pt>
                <c:pt idx="20">
                  <c:v>0.32</c:v>
                </c:pt>
                <c:pt idx="21">
                  <c:v>0.31</c:v>
                </c:pt>
                <c:pt idx="22">
                  <c:v>0.22129436325678498</c:v>
                </c:pt>
                <c:pt idx="23">
                  <c:v>0.38</c:v>
                </c:pt>
                <c:pt idx="24">
                  <c:v>0.2</c:v>
                </c:pt>
                <c:pt idx="25">
                  <c:v>0.41</c:v>
                </c:pt>
                <c:pt idx="26">
                  <c:v>0.12</c:v>
                </c:pt>
              </c:numCache>
            </c:numRef>
          </c:val>
          <c:extLst>
            <c:ext xmlns:c16="http://schemas.microsoft.com/office/drawing/2014/chart" uri="{C3380CC4-5D6E-409C-BE32-E72D297353CC}">
              <c16:uniqueId val="{00000002-8325-49C6-8099-72654A62834C}"/>
            </c:ext>
          </c:extLst>
        </c:ser>
        <c:dLbls>
          <c:showLegendKey val="0"/>
          <c:showVal val="0"/>
          <c:showCatName val="0"/>
          <c:showSerName val="0"/>
          <c:showPercent val="0"/>
          <c:showBubbleSize val="0"/>
        </c:dLbls>
        <c:gapWidth val="150"/>
        <c:axId val="-486950096"/>
        <c:axId val="-486949552"/>
        <c:extLst>
          <c:ext xmlns:c15="http://schemas.microsoft.com/office/drawing/2012/chart" uri="{02D57815-91ED-43cb-92C2-25804820EDAC}">
            <c15:filteredBarSeries>
              <c15:ser>
                <c:idx val="6"/>
                <c:order val="2"/>
                <c:tx>
                  <c:strRef>
                    <c:extLst>
                      <c:ext uri="{02D57815-91ED-43cb-92C2-25804820EDAC}">
                        <c15:formulaRef>
                          <c15:sqref>'S0 EU Serbia'!$I$2</c15:sqref>
                        </c15:formulaRef>
                      </c:ext>
                    </c:extLst>
                    <c:strCache>
                      <c:ptCount val="1"/>
                      <c:pt idx="0">
                        <c:v>S0
2015</c:v>
                      </c:pt>
                    </c:strCache>
                  </c:strRef>
                </c:tx>
                <c:spPr>
                  <a:solidFill>
                    <a:schemeClr val="accent2"/>
                  </a:solidFill>
                  <a:ln>
                    <a:noFill/>
                  </a:ln>
                  <a:effectLst/>
                </c:spPr>
                <c:invertIfNegative val="0"/>
                <c:cat>
                  <c:strRef>
                    <c:extLst>
                      <c:ex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c:ext uri="{02D57815-91ED-43cb-92C2-25804820EDAC}">
                        <c15:formulaRef>
                          <c15:sqref>'S0 EU Serbia'!$I$3:$I$31</c15:sqref>
                        </c15:formulaRef>
                      </c:ext>
                    </c:extLst>
                    <c:numCache>
                      <c:formatCode>0.00</c:formatCode>
                      <c:ptCount val="29"/>
                      <c:pt idx="0">
                        <c:v>7.0000000000000007E-2</c:v>
                      </c:pt>
                      <c:pt idx="1">
                        <c:v>0.1</c:v>
                      </c:pt>
                      <c:pt idx="2">
                        <c:v>0.21</c:v>
                      </c:pt>
                      <c:pt idx="3">
                        <c:v>0.11</c:v>
                      </c:pt>
                      <c:pt idx="4">
                        <c:v>0.26</c:v>
                      </c:pt>
                      <c:pt idx="6">
                        <c:v>0.25</c:v>
                      </c:pt>
                      <c:pt idx="7">
                        <c:v>0.19</c:v>
                      </c:pt>
                      <c:pt idx="8">
                        <c:v>0.22</c:v>
                      </c:pt>
                      <c:pt idx="9">
                        <c:v>0.17</c:v>
                      </c:pt>
                      <c:pt idx="10">
                        <c:v>0.02</c:v>
                      </c:pt>
                      <c:pt idx="11">
                        <c:v>0.16</c:v>
                      </c:pt>
                      <c:pt idx="12">
                        <c:v>0.38</c:v>
                      </c:pt>
                      <c:pt idx="13">
                        <c:v>0.21</c:v>
                      </c:pt>
                      <c:pt idx="14">
                        <c:v>0.34</c:v>
                      </c:pt>
                      <c:pt idx="15">
                        <c:v>0.18</c:v>
                      </c:pt>
                      <c:pt idx="16">
                        <c:v>0.09</c:v>
                      </c:pt>
                      <c:pt idx="17">
                        <c:v>0.13</c:v>
                      </c:pt>
                      <c:pt idx="18">
                        <c:v>0.19</c:v>
                      </c:pt>
                      <c:pt idx="19">
                        <c:v>0.27</c:v>
                      </c:pt>
                      <c:pt idx="20">
                        <c:v>0.24</c:v>
                      </c:pt>
                      <c:pt idx="21">
                        <c:v>0.14000000000000001</c:v>
                      </c:pt>
                      <c:pt idx="22">
                        <c:v>0.36</c:v>
                      </c:pt>
                      <c:pt idx="23">
                        <c:v>0.21</c:v>
                      </c:pt>
                      <c:pt idx="24">
                        <c:v>0.08</c:v>
                      </c:pt>
                      <c:pt idx="25">
                        <c:v>0.21</c:v>
                      </c:pt>
                      <c:pt idx="26">
                        <c:v>0.15</c:v>
                      </c:pt>
                      <c:pt idx="27">
                        <c:v>0.36</c:v>
                      </c:pt>
                    </c:numCache>
                  </c:numRef>
                </c:val>
                <c:extLst>
                  <c:ext xmlns:c16="http://schemas.microsoft.com/office/drawing/2014/chart" uri="{C3380CC4-5D6E-409C-BE32-E72D297353CC}">
                    <c16:uniqueId val="{00000005-8325-49C6-8099-72654A62834C}"/>
                  </c:ext>
                </c:extLst>
              </c15:ser>
            </c15:filteredBarSeries>
            <c15:filteredBarSeries>
              <c15:ser>
                <c:idx val="9"/>
                <c:order val="3"/>
                <c:tx>
                  <c:strRef>
                    <c:extLst xmlns:c15="http://schemas.microsoft.com/office/drawing/2012/chart">
                      <c:ext xmlns:c15="http://schemas.microsoft.com/office/drawing/2012/chart" uri="{02D57815-91ED-43cb-92C2-25804820EDAC}">
                        <c15:formulaRef>
                          <c15:sqref>'S0 EU Serbia'!$L$2</c15:sqref>
                        </c15:formulaRef>
                      </c:ext>
                    </c:extLst>
                    <c:strCache>
                      <c:ptCount val="1"/>
                      <c:pt idx="0">
                        <c:v>S0
 2016</c:v>
                      </c:pt>
                    </c:strCache>
                  </c:strRef>
                </c:tx>
                <c:spPr>
                  <a:solidFill>
                    <a:srgbClr val="7030A0"/>
                  </a:solidFill>
                  <a:ln>
                    <a:noFill/>
                  </a:ln>
                  <a:effectLst/>
                </c:spPr>
                <c:invertIfNegative val="0"/>
                <c:dPt>
                  <c:idx val="16"/>
                  <c:invertIfNegative val="0"/>
                  <c:bubble3D val="0"/>
                  <c:spPr>
                    <a:solidFill>
                      <a:srgbClr val="7F7F7F"/>
                    </a:solidFill>
                    <a:ln>
                      <a:noFill/>
                    </a:ln>
                    <a:effectLst/>
                  </c:spPr>
                  <c:extLst xmlns:c15="http://schemas.microsoft.com/office/drawing/2012/chart">
                    <c:ext xmlns:c16="http://schemas.microsoft.com/office/drawing/2014/chart" uri="{C3380CC4-5D6E-409C-BE32-E72D297353CC}">
                      <c16:uniqueId val="{00000007-8325-49C6-8099-72654A62834C}"/>
                    </c:ext>
                  </c:extLst>
                </c:dPt>
                <c:cat>
                  <c:strRef>
                    <c:extLst xmlns:c15="http://schemas.microsoft.com/office/drawing/2012/chart">
                      <c:ext xmlns:c15="http://schemas.microsoft.com/office/drawing/2012/chart" uri="{02D57815-91ED-43cb-92C2-25804820EDAC}">
                        <c15:formulaRef>
                          <c15:sqref>'S0 EU Serbia'!$A$3:$A$31</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Serbia'!$L$3:$L$31</c15:sqref>
                        </c15:formulaRef>
                      </c:ext>
                    </c:extLst>
                    <c:numCache>
                      <c:formatCode>0.00</c:formatCode>
                      <c:ptCount val="29"/>
                      <c:pt idx="0">
                        <c:v>0.15</c:v>
                      </c:pt>
                      <c:pt idx="1">
                        <c:v>0.42</c:v>
                      </c:pt>
                      <c:pt idx="2">
                        <c:v>0.28000000000000003</c:v>
                      </c:pt>
                      <c:pt idx="3">
                        <c:v>0.19</c:v>
                      </c:pt>
                      <c:pt idx="4">
                        <c:v>0.18</c:v>
                      </c:pt>
                      <c:pt idx="5">
                        <c:v>0.41</c:v>
                      </c:pt>
                      <c:pt idx="6">
                        <c:v>0.19</c:v>
                      </c:pt>
                      <c:pt idx="7">
                        <c:v>0.25</c:v>
                      </c:pt>
                      <c:pt idx="8">
                        <c:v>0.22</c:v>
                      </c:pt>
                      <c:pt idx="9">
                        <c:v>0.31</c:v>
                      </c:pt>
                      <c:pt idx="10">
                        <c:v>0.08</c:v>
                      </c:pt>
                      <c:pt idx="11">
                        <c:v>0.31</c:v>
                      </c:pt>
                      <c:pt idx="12">
                        <c:v>0.28000000000000003</c:v>
                      </c:pt>
                      <c:pt idx="13">
                        <c:v>0.42</c:v>
                      </c:pt>
                      <c:pt idx="14">
                        <c:v>0.28999999999999998</c:v>
                      </c:pt>
                      <c:pt idx="15">
                        <c:v>0.21</c:v>
                      </c:pt>
                      <c:pt idx="16">
                        <c:v>0.28999999999999998</c:v>
                      </c:pt>
                      <c:pt idx="17">
                        <c:v>0.15</c:v>
                      </c:pt>
                      <c:pt idx="18">
                        <c:v>0.2</c:v>
                      </c:pt>
                      <c:pt idx="19">
                        <c:v>0.28999999999999998</c:v>
                      </c:pt>
                      <c:pt idx="20">
                        <c:v>0.41</c:v>
                      </c:pt>
                      <c:pt idx="21">
                        <c:v>0.26</c:v>
                      </c:pt>
                      <c:pt idx="22">
                        <c:v>0.19161676646706588</c:v>
                      </c:pt>
                      <c:pt idx="23">
                        <c:v>0.34</c:v>
                      </c:pt>
                      <c:pt idx="24">
                        <c:v>0.14000000000000001</c:v>
                      </c:pt>
                      <c:pt idx="25">
                        <c:v>0.37</c:v>
                      </c:pt>
                      <c:pt idx="26">
                        <c:v>0.12</c:v>
                      </c:pt>
                      <c:pt idx="27">
                        <c:v>0.41</c:v>
                      </c:pt>
                    </c:numCache>
                  </c:numRef>
                </c:val>
                <c:extLst xmlns:c15="http://schemas.microsoft.com/office/drawing/2012/chart">
                  <c:ext xmlns:c16="http://schemas.microsoft.com/office/drawing/2014/chart" uri="{C3380CC4-5D6E-409C-BE32-E72D297353CC}">
                    <c16:uniqueId val="{00000008-8325-49C6-8099-72654A62834C}"/>
                  </c:ext>
                </c:extLst>
              </c15:ser>
            </c15:filteredBarSeries>
            <c15:filteredBarSeries>
              <c15:ser>
                <c:idx val="0"/>
                <c:order val="4"/>
                <c:tx>
                  <c:strRef>
                    <c:extLst xmlns:c15="http://schemas.microsoft.com/office/drawing/2012/chart">
                      <c:ext xmlns:c15="http://schemas.microsoft.com/office/drawing/2012/chart" uri="{02D57815-91ED-43cb-92C2-25804820EDAC}">
                        <c15:formulaRef>
                          <c15:sqref>'S0 EU Serbia'!$O$2</c15:sqref>
                        </c15:formulaRef>
                      </c:ext>
                    </c:extLst>
                    <c:strCache>
                      <c:ptCount val="1"/>
                      <c:pt idx="0">
                        <c:v>S0 2017</c:v>
                      </c:pt>
                    </c:strCache>
                  </c:strRef>
                </c:tx>
                <c:spPr>
                  <a:solidFill>
                    <a:schemeClr val="accent1"/>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Serbia'!$O$3:$O$30</c15:sqref>
                        </c15:formulaRef>
                      </c:ext>
                    </c:extLst>
                    <c:numCache>
                      <c:formatCode>0.00</c:formatCode>
                      <c:ptCount val="28"/>
                      <c:pt idx="0">
                        <c:v>7.0000000000000007E-2</c:v>
                      </c:pt>
                      <c:pt idx="1">
                        <c:v>0.35</c:v>
                      </c:pt>
                      <c:pt idx="2">
                        <c:v>0.25</c:v>
                      </c:pt>
                      <c:pt idx="3">
                        <c:v>0.19</c:v>
                      </c:pt>
                      <c:pt idx="4">
                        <c:v>0.2</c:v>
                      </c:pt>
                      <c:pt idx="5">
                        <c:v>0.44</c:v>
                      </c:pt>
                      <c:pt idx="6">
                        <c:v>0.3</c:v>
                      </c:pt>
                      <c:pt idx="7">
                        <c:v>0.2</c:v>
                      </c:pt>
                      <c:pt idx="8">
                        <c:v>0.1</c:v>
                      </c:pt>
                      <c:pt idx="9">
                        <c:v>0.24</c:v>
                      </c:pt>
                      <c:pt idx="10">
                        <c:v>0.08</c:v>
                      </c:pt>
                      <c:pt idx="11">
                        <c:v>0.39</c:v>
                      </c:pt>
                      <c:pt idx="12">
                        <c:v>0.28000000000000003</c:v>
                      </c:pt>
                      <c:pt idx="13">
                        <c:v>0.36</c:v>
                      </c:pt>
                      <c:pt idx="14">
                        <c:v>0.24</c:v>
                      </c:pt>
                      <c:pt idx="15">
                        <c:v>0.21</c:v>
                      </c:pt>
                      <c:pt idx="16">
                        <c:v>0.12</c:v>
                      </c:pt>
                      <c:pt idx="17">
                        <c:v>0.05</c:v>
                      </c:pt>
                      <c:pt idx="18">
                        <c:v>0.2</c:v>
                      </c:pt>
                      <c:pt idx="19">
                        <c:v>0.25</c:v>
                      </c:pt>
                      <c:pt idx="20">
                        <c:v>0.36</c:v>
                      </c:pt>
                      <c:pt idx="21">
                        <c:v>0.2</c:v>
                      </c:pt>
                      <c:pt idx="22">
                        <c:v>0.17745302713987476</c:v>
                      </c:pt>
                      <c:pt idx="23">
                        <c:v>0.3</c:v>
                      </c:pt>
                      <c:pt idx="24">
                        <c:v>0.13</c:v>
                      </c:pt>
                      <c:pt idx="25">
                        <c:v>0.37</c:v>
                      </c:pt>
                      <c:pt idx="26">
                        <c:v>0.12</c:v>
                      </c:pt>
                      <c:pt idx="27">
                        <c:v>0.42</c:v>
                      </c:pt>
                    </c:numCache>
                  </c:numRef>
                </c:val>
                <c:extLst xmlns:c15="http://schemas.microsoft.com/office/drawing/2012/chart">
                  <c:ext xmlns:c16="http://schemas.microsoft.com/office/drawing/2014/chart" uri="{C3380CC4-5D6E-409C-BE32-E72D297353CC}">
                    <c16:uniqueId val="{00000009-8325-49C6-8099-72654A62834C}"/>
                  </c:ext>
                </c:extLst>
              </c15:ser>
            </c15:filteredBarSeries>
            <c15:filteredBarSeries>
              <c15:ser>
                <c:idx val="1"/>
                <c:order val="5"/>
                <c:tx>
                  <c:strRef>
                    <c:extLst xmlns:c15="http://schemas.microsoft.com/office/drawing/2012/chart">
                      <c:ext xmlns:c15="http://schemas.microsoft.com/office/drawing/2012/chart" uri="{02D57815-91ED-43cb-92C2-25804820EDAC}">
                        <c15:formulaRef>
                          <c15:sqref>'S0 EU Serbia'!$R$2</c15:sqref>
                        </c15:formulaRef>
                      </c:ext>
                    </c:extLst>
                    <c:strCache>
                      <c:ptCount val="1"/>
                      <c:pt idx="0">
                        <c:v>S0 2018</c:v>
                      </c:pt>
                    </c:strCache>
                  </c:strRef>
                </c:tx>
                <c:spPr>
                  <a:solidFill>
                    <a:srgbClr val="7030A0"/>
                  </a:solidFill>
                  <a:ln>
                    <a:noFill/>
                  </a:ln>
                  <a:effectLst/>
                </c:spPr>
                <c:invertIfNegative val="0"/>
                <c:cat>
                  <c:strRef>
                    <c:extLst xmlns:c15="http://schemas.microsoft.com/office/drawing/2012/chart">
                      <c:ext xmlns:c15="http://schemas.microsoft.com/office/drawing/2012/chart" uri="{02D57815-91ED-43cb-92C2-25804820EDAC}">
                        <c15:formulaRef>
                          <c15:sqref>'S0 EU Serbia'!$A$3:$A$30</c15:sqref>
                        </c15:formulaRef>
                      </c:ext>
                    </c:extLst>
                    <c:strCache>
                      <c:ptCount val="28"/>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pt idx="27">
                        <c:v>Уједињено Краљевство</c:v>
                      </c:pt>
                    </c:strCache>
                  </c:strRef>
                </c:cat>
                <c:val>
                  <c:numRef>
                    <c:extLst xmlns:c15="http://schemas.microsoft.com/office/drawing/2012/chart">
                      <c:ext xmlns:c15="http://schemas.microsoft.com/office/drawing/2012/chart" uri="{02D57815-91ED-43cb-92C2-25804820EDAC}">
                        <c15:formulaRef>
                          <c15:sqref>'S0 EU Serbia'!$R$3:$R$30</c15:sqref>
                        </c15:formulaRef>
                      </c:ext>
                    </c:extLst>
                    <c:numCache>
                      <c:formatCode>0.00</c:formatCode>
                      <c:ptCount val="28"/>
                      <c:pt idx="0">
                        <c:v>0.03</c:v>
                      </c:pt>
                      <c:pt idx="1">
                        <c:v>0.22</c:v>
                      </c:pt>
                      <c:pt idx="2">
                        <c:v>0.19</c:v>
                      </c:pt>
                      <c:pt idx="3">
                        <c:v>0.18</c:v>
                      </c:pt>
                      <c:pt idx="4">
                        <c:v>0.24</c:v>
                      </c:pt>
                      <c:pt idx="5">
                        <c:v>0.46</c:v>
                      </c:pt>
                      <c:pt idx="6">
                        <c:v>0.12</c:v>
                      </c:pt>
                      <c:pt idx="7">
                        <c:v>0.17</c:v>
                      </c:pt>
                      <c:pt idx="8">
                        <c:v>0.14000000000000001</c:v>
                      </c:pt>
                      <c:pt idx="9">
                        <c:v>0.28999999999999998</c:v>
                      </c:pt>
                      <c:pt idx="10">
                        <c:v>0</c:v>
                      </c:pt>
                      <c:pt idx="11">
                        <c:v>0.34</c:v>
                      </c:pt>
                      <c:pt idx="12">
                        <c:v>0.21</c:v>
                      </c:pt>
                      <c:pt idx="13">
                        <c:v>0.36</c:v>
                      </c:pt>
                      <c:pt idx="14">
                        <c:v>0.24</c:v>
                      </c:pt>
                      <c:pt idx="15">
                        <c:v>0.21</c:v>
                      </c:pt>
                      <c:pt idx="16">
                        <c:v>0.12</c:v>
                      </c:pt>
                      <c:pt idx="17">
                        <c:v>0.06</c:v>
                      </c:pt>
                      <c:pt idx="18">
                        <c:v>0.08</c:v>
                      </c:pt>
                      <c:pt idx="19">
                        <c:v>0.18</c:v>
                      </c:pt>
                      <c:pt idx="20">
                        <c:v>0.33</c:v>
                      </c:pt>
                      <c:pt idx="21">
                        <c:v>0.3</c:v>
                      </c:pt>
                      <c:pt idx="22">
                        <c:v>0.17745302713987476</c:v>
                      </c:pt>
                      <c:pt idx="23">
                        <c:v>0.27</c:v>
                      </c:pt>
                      <c:pt idx="24">
                        <c:v>0.13</c:v>
                      </c:pt>
                      <c:pt idx="25">
                        <c:v>0.37</c:v>
                      </c:pt>
                      <c:pt idx="26">
                        <c:v>0.2</c:v>
                      </c:pt>
                      <c:pt idx="27">
                        <c:v>0.42</c:v>
                      </c:pt>
                    </c:numCache>
                  </c:numRef>
                </c:val>
                <c:extLst xmlns:c15="http://schemas.microsoft.com/office/drawing/2012/chart">
                  <c:ext xmlns:c16="http://schemas.microsoft.com/office/drawing/2014/chart" uri="{C3380CC4-5D6E-409C-BE32-E72D297353CC}">
                    <c16:uniqueId val="{0000000A-8325-49C6-8099-72654A62834C}"/>
                  </c:ext>
                </c:extLst>
              </c15:ser>
            </c15:filteredBarSeries>
            <c15:filteredBarSeries>
              <c15:ser>
                <c:idx val="4"/>
                <c:order val="6"/>
                <c:tx>
                  <c:strRef>
                    <c:extLst xmlns:c15="http://schemas.microsoft.com/office/drawing/2012/chart">
                      <c:ext xmlns:c15="http://schemas.microsoft.com/office/drawing/2012/chart" uri="{02D57815-91ED-43cb-92C2-25804820EDAC}">
                        <c15:formulaRef>
                          <c15:sqref>'S0 EU Serbia'!$U$2</c15:sqref>
                        </c15:formulaRef>
                      </c:ext>
                    </c:extLst>
                    <c:strCache>
                      <c:ptCount val="1"/>
                      <c:pt idx="0">
                        <c:v>S0 2019</c:v>
                      </c:pt>
                    </c:strCache>
                  </c:strRef>
                </c:tx>
                <c:spPr>
                  <a:solidFill>
                    <a:schemeClr val="accent5"/>
                  </a:solidFill>
                  <a:ln>
                    <a:noFill/>
                  </a:ln>
                  <a:effectLst/>
                </c:spPr>
                <c:invertIfNegative val="0"/>
                <c:val>
                  <c:numRef>
                    <c:extLst xmlns:c15="http://schemas.microsoft.com/office/drawing/2012/chart">
                      <c:ext xmlns:c15="http://schemas.microsoft.com/office/drawing/2012/chart" uri="{02D57815-91ED-43cb-92C2-25804820EDAC}">
                        <c15:formulaRef>
                          <c15:sqref>'S0 EU Serbia'!$U$3:$U$29</c15:sqref>
                        </c15:formulaRef>
                      </c:ext>
                    </c:extLst>
                    <c:numCache>
                      <c:formatCode>0.00</c:formatCode>
                      <c:ptCount val="27"/>
                      <c:pt idx="0">
                        <c:v>0.1</c:v>
                      </c:pt>
                      <c:pt idx="1">
                        <c:v>0.17</c:v>
                      </c:pt>
                      <c:pt idx="2">
                        <c:v>0.21</c:v>
                      </c:pt>
                      <c:pt idx="3">
                        <c:v>0.22</c:v>
                      </c:pt>
                      <c:pt idx="4">
                        <c:v>0.24</c:v>
                      </c:pt>
                      <c:pt idx="5">
                        <c:v>0.45</c:v>
                      </c:pt>
                      <c:pt idx="6">
                        <c:v>0.2</c:v>
                      </c:pt>
                      <c:pt idx="7">
                        <c:v>0.2</c:v>
                      </c:pt>
                      <c:pt idx="8">
                        <c:v>0.26</c:v>
                      </c:pt>
                      <c:pt idx="9">
                        <c:v>0.36</c:v>
                      </c:pt>
                      <c:pt idx="10">
                        <c:v>0.08</c:v>
                      </c:pt>
                      <c:pt idx="11">
                        <c:v>0.28999999999999998</c:v>
                      </c:pt>
                      <c:pt idx="12">
                        <c:v>0.14000000000000001</c:v>
                      </c:pt>
                      <c:pt idx="13">
                        <c:v>0.33</c:v>
                      </c:pt>
                      <c:pt idx="14">
                        <c:v>0.24</c:v>
                      </c:pt>
                      <c:pt idx="15">
                        <c:v>0.21</c:v>
                      </c:pt>
                      <c:pt idx="16">
                        <c:v>0.19</c:v>
                      </c:pt>
                      <c:pt idx="17">
                        <c:v>0.06</c:v>
                      </c:pt>
                      <c:pt idx="18">
                        <c:v>0.16</c:v>
                      </c:pt>
                      <c:pt idx="19">
                        <c:v>0.26</c:v>
                      </c:pt>
                      <c:pt idx="20">
                        <c:v>0.33</c:v>
                      </c:pt>
                      <c:pt idx="21">
                        <c:v>0.37</c:v>
                      </c:pt>
                      <c:pt idx="22">
                        <c:v>0.17745302713987476</c:v>
                      </c:pt>
                      <c:pt idx="23">
                        <c:v>0.27</c:v>
                      </c:pt>
                      <c:pt idx="24">
                        <c:v>0.05</c:v>
                      </c:pt>
                      <c:pt idx="25">
                        <c:v>0.37</c:v>
                      </c:pt>
                      <c:pt idx="26">
                        <c:v>0.24</c:v>
                      </c:pt>
                    </c:numCache>
                  </c:numRef>
                </c:val>
                <c:extLst xmlns:c15="http://schemas.microsoft.com/office/drawing/2012/chart">
                  <c:ext xmlns:c16="http://schemas.microsoft.com/office/drawing/2014/chart" uri="{C3380CC4-5D6E-409C-BE32-E72D297353CC}">
                    <c16:uniqueId val="{0000000B-8325-49C6-8099-72654A62834C}"/>
                  </c:ext>
                </c:extLst>
              </c15:ser>
            </c15:filteredBarSeries>
          </c:ext>
        </c:extLst>
      </c:barChart>
      <c:lineChart>
        <c:grouping val="standard"/>
        <c:varyColors val="0"/>
        <c:ser>
          <c:idx val="2"/>
          <c:order val="0"/>
          <c:tx>
            <c:strRef>
              <c:f>'S0 EU Serbia'!$E$1</c:f>
              <c:strCache>
                <c:ptCount val="1"/>
                <c:pt idx="0">
                  <c:v>S0 праг</c:v>
                </c:pt>
              </c:strCache>
            </c:strRef>
          </c:tx>
          <c:spPr>
            <a:ln w="22225" cap="rnd">
              <a:solidFill>
                <a:schemeClr val="tx1"/>
              </a:solidFill>
              <a:prstDash val="dash"/>
              <a:round/>
            </a:ln>
            <a:effectLst/>
          </c:spPr>
          <c:marker>
            <c:symbol val="none"/>
          </c:marker>
          <c:dLbls>
            <c:dLbl>
              <c:idx val="15"/>
              <c:layout>
                <c:manualLayout>
                  <c:x val="-2.5343339842620423E-3"/>
                  <c:y val="-9.65645311049210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325-49C6-8099-72654A62834C}"/>
                </c:ext>
              </c:extLst>
            </c:dLbl>
            <c:spPr>
              <a:noFill/>
              <a:ln>
                <a:noFill/>
              </a:ln>
              <a:effectLst/>
            </c:spPr>
            <c:txPr>
              <a:bodyPr rot="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'S0 EU Serbia'!$A$3:$A$29</c:f>
              <c:strCache>
                <c:ptCount val="27"/>
                <c:pt idx="0">
                  <c:v>Аустрија</c:v>
                </c:pt>
                <c:pt idx="1">
                  <c:v>Белгија</c:v>
                </c:pt>
                <c:pt idx="2">
                  <c:v>Бугарска</c:v>
                </c:pt>
                <c:pt idx="3">
                  <c:v>Чешка</c:v>
                </c:pt>
                <c:pt idx="4">
                  <c:v>Хрватска</c:v>
                </c:pt>
                <c:pt idx="5">
                  <c:v>Кипар</c:v>
                </c:pt>
                <c:pt idx="6">
                  <c:v>Данска</c:v>
                </c:pt>
                <c:pt idx="7">
                  <c:v>Естонија</c:v>
                </c:pt>
                <c:pt idx="8">
                  <c:v>Финска</c:v>
                </c:pt>
                <c:pt idx="9">
                  <c:v>Француска</c:v>
                </c:pt>
                <c:pt idx="10">
                  <c:v>Немачка</c:v>
                </c:pt>
                <c:pt idx="11">
                  <c:v>Мађарска</c:v>
                </c:pt>
                <c:pt idx="12">
                  <c:v>Ирска</c:v>
                </c:pt>
                <c:pt idx="13">
                  <c:v>Италија</c:v>
                </c:pt>
                <c:pt idx="14">
                  <c:v>Летонија</c:v>
                </c:pt>
                <c:pt idx="15">
                  <c:v>Литванија</c:v>
                </c:pt>
                <c:pt idx="16">
                  <c:v>Луксембург</c:v>
                </c:pt>
                <c:pt idx="17">
                  <c:v>Малта</c:v>
                </c:pt>
                <c:pt idx="18">
                  <c:v>Холандија</c:v>
                </c:pt>
                <c:pt idx="19">
                  <c:v>Пољска</c:v>
                </c:pt>
                <c:pt idx="20">
                  <c:v>Португал</c:v>
                </c:pt>
                <c:pt idx="21">
                  <c:v>Румунија</c:v>
                </c:pt>
                <c:pt idx="22">
                  <c:v>Србија</c:v>
                </c:pt>
                <c:pt idx="23">
                  <c:v>Словачка</c:v>
                </c:pt>
                <c:pt idx="24">
                  <c:v>Словенија</c:v>
                </c:pt>
                <c:pt idx="25">
                  <c:v>Шпанија</c:v>
                </c:pt>
                <c:pt idx="26">
                  <c:v>Шведска</c:v>
                </c:pt>
              </c:strCache>
            </c:strRef>
          </c:cat>
          <c:val>
            <c:numRef>
              <c:f>'S0 EU Serbia'!$E$3:$E$29</c:f>
              <c:numCache>
                <c:formatCode>0.00</c:formatCode>
                <c:ptCount val="27"/>
                <c:pt idx="0">
                  <c:v>0.46</c:v>
                </c:pt>
                <c:pt idx="1">
                  <c:v>0.46</c:v>
                </c:pt>
                <c:pt idx="2">
                  <c:v>0.46</c:v>
                </c:pt>
                <c:pt idx="3">
                  <c:v>0.46</c:v>
                </c:pt>
                <c:pt idx="4">
                  <c:v>0.46</c:v>
                </c:pt>
                <c:pt idx="5">
                  <c:v>0.46</c:v>
                </c:pt>
                <c:pt idx="6">
                  <c:v>0.46</c:v>
                </c:pt>
                <c:pt idx="7">
                  <c:v>0.46</c:v>
                </c:pt>
                <c:pt idx="8">
                  <c:v>0.46</c:v>
                </c:pt>
                <c:pt idx="9">
                  <c:v>0.46</c:v>
                </c:pt>
                <c:pt idx="10">
                  <c:v>0.46</c:v>
                </c:pt>
                <c:pt idx="11">
                  <c:v>0.46</c:v>
                </c:pt>
                <c:pt idx="12">
                  <c:v>0.46</c:v>
                </c:pt>
                <c:pt idx="13">
                  <c:v>0.46</c:v>
                </c:pt>
                <c:pt idx="14">
                  <c:v>0.46</c:v>
                </c:pt>
                <c:pt idx="15">
                  <c:v>0.46</c:v>
                </c:pt>
                <c:pt idx="16">
                  <c:v>0.46</c:v>
                </c:pt>
                <c:pt idx="17">
                  <c:v>0.46</c:v>
                </c:pt>
                <c:pt idx="18">
                  <c:v>0.46</c:v>
                </c:pt>
                <c:pt idx="19">
                  <c:v>0.46</c:v>
                </c:pt>
                <c:pt idx="20">
                  <c:v>0.46</c:v>
                </c:pt>
                <c:pt idx="21">
                  <c:v>0.46</c:v>
                </c:pt>
                <c:pt idx="22">
                  <c:v>0.46</c:v>
                </c:pt>
                <c:pt idx="23">
                  <c:v>0.46</c:v>
                </c:pt>
                <c:pt idx="24">
                  <c:v>0.46</c:v>
                </c:pt>
                <c:pt idx="25">
                  <c:v>0.46</c:v>
                </c:pt>
                <c:pt idx="26">
                  <c:v>0.46</c:v>
                </c:pt>
              </c:numCache>
            </c:numRef>
          </c:val>
          <c:smooth val="0"/>
          <c:extLst>
            <c:ext xmlns:c16="http://schemas.microsoft.com/office/drawing/2014/chart" uri="{C3380CC4-5D6E-409C-BE32-E72D297353CC}">
              <c16:uniqueId val="{00000004-8325-49C6-8099-72654A62834C}"/>
            </c:ext>
          </c:extLst>
        </c:ser>
        <c:dLbls>
          <c:showLegendKey val="0"/>
          <c:showVal val="0"/>
          <c:showCatName val="0"/>
          <c:showSerName val="0"/>
          <c:showPercent val="0"/>
          <c:showBubbleSize val="0"/>
        </c:dLbls>
        <c:marker val="1"/>
        <c:smooth val="0"/>
        <c:axId val="-486950096"/>
        <c:axId val="-486949552"/>
      </c:lineChart>
      <c:catAx>
        <c:axId val="-486950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486949552"/>
        <c:crosses val="autoZero"/>
        <c:auto val="1"/>
        <c:lblAlgn val="ctr"/>
        <c:lblOffset val="100"/>
        <c:noMultiLvlLbl val="0"/>
      </c:catAx>
      <c:valAx>
        <c:axId val="-486949552"/>
        <c:scaling>
          <c:orientation val="minMax"/>
          <c:max val="0.9"/>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44546A"/>
                </a:solidFill>
                <a:latin typeface="+mn-lt"/>
                <a:ea typeface="+mn-ea"/>
                <a:cs typeface="+mn-cs"/>
              </a:defRPr>
            </a:pPr>
            <a:endParaRPr lang="sr-Latn-RS"/>
          </a:p>
        </c:txPr>
        <c:crossAx val="-486950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3">
    <c:autoUpdate val="0"/>
  </c:externalData>
  <c:userShapes r:id="rId4"/>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sz="800" b="0" i="0" u="none" strike="noStrike" kern="1200" spc="0" baseline="0">
                <a:solidFill>
                  <a:schemeClr val="tx1">
                    <a:lumMod val="65000"/>
                    <a:lumOff val="35000"/>
                  </a:schemeClr>
                </a:solidFill>
                <a:latin typeface="+mn-lt"/>
                <a:ea typeface="+mn-ea"/>
                <a:cs typeface="+mn-cs"/>
              </a:defRPr>
            </a:pPr>
            <a:r>
              <a:rPr lang="en-US" sz="800" b="1">
                <a:solidFill>
                  <a:srgbClr val="002060"/>
                </a:solidFill>
              </a:rPr>
              <a:t>S0 </a:t>
            </a:r>
            <a:r>
              <a:rPr lang="sr-Cyrl-RS" sz="800" b="1">
                <a:solidFill>
                  <a:srgbClr val="002060"/>
                </a:solidFill>
              </a:rPr>
              <a:t>индикатор са фискалним подиндексом и подиндексом финансијске конкурентности за Србију за период 2015</a:t>
            </a:r>
            <a:r>
              <a:rPr lang="en-US" sz="800" b="1">
                <a:solidFill>
                  <a:srgbClr val="002060"/>
                </a:solidFill>
              </a:rPr>
              <a:t>–</a:t>
            </a:r>
            <a:r>
              <a:rPr lang="sr-Cyrl-RS" sz="800" b="1">
                <a:solidFill>
                  <a:srgbClr val="002060"/>
                </a:solidFill>
              </a:rPr>
              <a:t>20</a:t>
            </a:r>
            <a:r>
              <a:rPr lang="sr-Latn-RS" sz="800" b="1">
                <a:solidFill>
                  <a:srgbClr val="002060"/>
                </a:solidFill>
              </a:rPr>
              <a:t>23</a:t>
            </a:r>
            <a:r>
              <a:rPr lang="sr-Cyrl-RS" sz="800" b="1">
                <a:solidFill>
                  <a:srgbClr val="002060"/>
                </a:solidFill>
              </a:rPr>
              <a:t>. године </a:t>
            </a:r>
            <a:endParaRPr lang="en-US" sz="800" b="1">
              <a:solidFill>
                <a:srgbClr val="002060"/>
              </a:solidFill>
            </a:endParaRPr>
          </a:p>
        </c:rich>
      </c:tx>
      <c:layout>
        <c:manualLayout>
          <c:xMode val="edge"/>
          <c:yMode val="edge"/>
          <c:x val="0.11277085156022164"/>
          <c:y val="1.2820625269942524E-2"/>
        </c:manualLayout>
      </c:layout>
      <c:overlay val="0"/>
      <c:spPr>
        <a:noFill/>
        <a:ln>
          <a:noFill/>
        </a:ln>
        <a:effectLst/>
      </c:spPr>
      <c:txPr>
        <a:bodyPr rot="0" spcFirstLastPara="1" vertOverflow="ellipsis" vert="horz" wrap="square" anchor="ctr" anchorCtr="1"/>
        <a:lstStyle/>
        <a:p>
          <a:pPr algn="ctr" rtl="0">
            <a:defRPr sz="8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6.3415222230767468E-2"/>
          <c:y val="8.6538461538461536E-2"/>
          <c:w val="0.89818784226795878"/>
          <c:h val="0.56116520290732885"/>
        </c:manualLayout>
      </c:layout>
      <c:barChart>
        <c:barDir val="col"/>
        <c:grouping val="clustered"/>
        <c:varyColors val="0"/>
        <c:ser>
          <c:idx val="0"/>
          <c:order val="0"/>
          <c:tx>
            <c:strRef>
              <c:f>'S0 EU Serbia'!$AJ$39</c:f>
              <c:strCache>
                <c:ptCount val="1"/>
                <c:pt idx="0">
                  <c:v>Фискални подиндекс</c:v>
                </c:pt>
              </c:strCache>
            </c:strRef>
          </c:tx>
          <c:spPr>
            <a:solidFill>
              <a:srgbClr val="7030A0"/>
            </a:solidFill>
            <a:ln w="9525">
              <a:noFill/>
            </a:ln>
            <a:effectLst/>
          </c:spPr>
          <c:invertIfNegative val="0"/>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Serbia'!$AJ$41:$AJ$51</c:f>
              <c:numCache>
                <c:formatCode>0.00</c:formatCode>
                <c:ptCount val="9"/>
                <c:pt idx="0">
                  <c:v>0.40718562874251496</c:v>
                </c:pt>
                <c:pt idx="1">
                  <c:v>0.19161676646706588</c:v>
                </c:pt>
                <c:pt idx="2">
                  <c:v>0</c:v>
                </c:pt>
                <c:pt idx="3">
                  <c:v>0</c:v>
                </c:pt>
                <c:pt idx="4">
                  <c:v>0</c:v>
                </c:pt>
                <c:pt idx="5">
                  <c:v>0.47904191616766456</c:v>
                </c:pt>
                <c:pt idx="6">
                  <c:v>0.21560000000000001</c:v>
                </c:pt>
                <c:pt idx="7">
                  <c:v>0.21556886227544908</c:v>
                </c:pt>
                <c:pt idx="8">
                  <c:v>0.12574850299401197</c:v>
                </c:pt>
              </c:numCache>
              <c:extLst/>
            </c:numRef>
          </c:val>
          <c:extLst>
            <c:ext xmlns:c16="http://schemas.microsoft.com/office/drawing/2014/chart" uri="{C3380CC4-5D6E-409C-BE32-E72D297353CC}">
              <c16:uniqueId val="{00000000-3810-4513-A2A9-3A2532AAC473}"/>
            </c:ext>
          </c:extLst>
        </c:ser>
        <c:ser>
          <c:idx val="1"/>
          <c:order val="1"/>
          <c:tx>
            <c:strRef>
              <c:f>'S0 EU Serbia'!$AK$39</c:f>
              <c:strCache>
                <c:ptCount val="1"/>
                <c:pt idx="0">
                  <c:v>Подиндекс макро-финансијске конкурентности</c:v>
                </c:pt>
              </c:strCache>
            </c:strRef>
          </c:tx>
          <c:spPr>
            <a:solidFill>
              <a:srgbClr val="5297AC"/>
            </a:solidFill>
            <a:ln w="9525">
              <a:noFill/>
            </a:ln>
            <a:effectLst/>
          </c:spPr>
          <c:invertIfNegative val="0"/>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Serbia'!$AK$41:$AK$51</c:f>
              <c:numCache>
                <c:formatCode>0.00</c:formatCode>
                <c:ptCount val="9"/>
                <c:pt idx="0">
                  <c:v>0.27243589743589747</c:v>
                </c:pt>
                <c:pt idx="1">
                  <c:v>0.27243589743589747</c:v>
                </c:pt>
                <c:pt idx="2">
                  <c:v>0.27243589743589747</c:v>
                </c:pt>
                <c:pt idx="3">
                  <c:v>0.27243589743589747</c:v>
                </c:pt>
                <c:pt idx="4">
                  <c:v>0.27243589743589747</c:v>
                </c:pt>
                <c:pt idx="5">
                  <c:v>0.42307692307692302</c:v>
                </c:pt>
                <c:pt idx="6">
                  <c:v>0.27239999999999998</c:v>
                </c:pt>
                <c:pt idx="7">
                  <c:v>0.27243589743589747</c:v>
                </c:pt>
                <c:pt idx="8">
                  <c:v>0.27243589743589747</c:v>
                </c:pt>
              </c:numCache>
              <c:extLst/>
            </c:numRef>
          </c:val>
          <c:extLst>
            <c:ext xmlns:c16="http://schemas.microsoft.com/office/drawing/2014/chart" uri="{C3380CC4-5D6E-409C-BE32-E72D297353CC}">
              <c16:uniqueId val="{00000001-3810-4513-A2A9-3A2532AAC473}"/>
            </c:ext>
          </c:extLst>
        </c:ser>
        <c:dLbls>
          <c:showLegendKey val="0"/>
          <c:showVal val="0"/>
          <c:showCatName val="0"/>
          <c:showSerName val="0"/>
          <c:showPercent val="0"/>
          <c:showBubbleSize val="0"/>
        </c:dLbls>
        <c:gapWidth val="150"/>
        <c:axId val="-486944112"/>
        <c:axId val="-486944656"/>
      </c:barChart>
      <c:lineChart>
        <c:grouping val="standard"/>
        <c:varyColors val="0"/>
        <c:ser>
          <c:idx val="2"/>
          <c:order val="2"/>
          <c:tx>
            <c:strRef>
              <c:f>'S0 EU Serbia'!$AL$39</c:f>
              <c:strCache>
                <c:ptCount val="1"/>
                <c:pt idx="0">
                  <c:v>S0 индикатор</c:v>
                </c:pt>
              </c:strCache>
            </c:strRef>
          </c:tx>
          <c:spPr>
            <a:ln w="22225" cap="rnd">
              <a:noFill/>
              <a:prstDash val="solid"/>
              <a:round/>
            </a:ln>
            <a:effectLst/>
          </c:spPr>
          <c:marker>
            <c:symbol val="triangle"/>
            <c:size val="16"/>
            <c:spPr>
              <a:solidFill>
                <a:schemeClr val="tx1"/>
              </a:solidFill>
              <a:ln w="9525">
                <a:noFill/>
              </a:ln>
              <a:effectLst/>
            </c:spPr>
          </c:marker>
          <c:dPt>
            <c:idx val="0"/>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3-3810-4513-A2A9-3A2532AAC473}"/>
              </c:ext>
            </c:extLst>
          </c:dPt>
          <c:dPt>
            <c:idx val="1"/>
            <c:marker>
              <c:symbol val="triangle"/>
              <c:size val="16"/>
              <c:spPr>
                <a:solidFill>
                  <a:schemeClr val="tx1"/>
                </a:solidFill>
                <a:ln w="9525">
                  <a:noFill/>
                </a:ln>
                <a:effectLst/>
              </c:spPr>
            </c:marker>
            <c:bubble3D val="0"/>
            <c:spPr>
              <a:ln w="12700" cap="rnd">
                <a:noFill/>
                <a:prstDash val="solid"/>
                <a:round/>
              </a:ln>
              <a:effectLst/>
            </c:spPr>
            <c:extLst>
              <c:ext xmlns:c16="http://schemas.microsoft.com/office/drawing/2014/chart" uri="{C3380CC4-5D6E-409C-BE32-E72D297353CC}">
                <c16:uniqueId val="{00000005-3810-4513-A2A9-3A2532AAC473}"/>
              </c:ext>
            </c:extLst>
          </c:dPt>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Serbia'!$AL$41:$AL$51</c:f>
              <c:numCache>
                <c:formatCode>0.00</c:formatCode>
                <c:ptCount val="9"/>
                <c:pt idx="0">
                  <c:v>0.31941544885177453</c:v>
                </c:pt>
                <c:pt idx="1">
                  <c:v>0.24425887265135704</c:v>
                </c:pt>
                <c:pt idx="2">
                  <c:v>0.17745302713987476</c:v>
                </c:pt>
                <c:pt idx="3">
                  <c:v>0.17745302713987476</c:v>
                </c:pt>
                <c:pt idx="4">
                  <c:v>0.17745302713987476</c:v>
                </c:pt>
                <c:pt idx="5">
                  <c:v>0.4425887265135699</c:v>
                </c:pt>
                <c:pt idx="6">
                  <c:v>0.25259999999999999</c:v>
                </c:pt>
                <c:pt idx="7">
                  <c:v>0.25260960334029231</c:v>
                </c:pt>
                <c:pt idx="8">
                  <c:v>0.22129436325678498</c:v>
                </c:pt>
              </c:numCache>
              <c:extLst/>
            </c:numRef>
          </c:val>
          <c:smooth val="0"/>
          <c:extLst>
            <c:ext xmlns:c16="http://schemas.microsoft.com/office/drawing/2014/chart" uri="{C3380CC4-5D6E-409C-BE32-E72D297353CC}">
              <c16:uniqueId val="{00000006-3810-4513-A2A9-3A2532AAC473}"/>
            </c:ext>
          </c:extLst>
        </c:ser>
        <c:ser>
          <c:idx val="3"/>
          <c:order val="3"/>
          <c:tx>
            <c:strRef>
              <c:f>'S0 EU Serbia'!$AM$39</c:f>
              <c:strCache>
                <c:ptCount val="1"/>
                <c:pt idx="0">
                  <c:v>Праг фискалног подиндекса</c:v>
                </c:pt>
              </c:strCache>
            </c:strRef>
          </c:tx>
          <c:spPr>
            <a:ln w="22225" cap="rnd">
              <a:solidFill>
                <a:srgbClr val="7030A0"/>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Serbia'!$AM$41:$AM$51</c:f>
              <c:numCache>
                <c:formatCode>General</c:formatCode>
                <c:ptCount val="9"/>
                <c:pt idx="0">
                  <c:v>0.36</c:v>
                </c:pt>
                <c:pt idx="1">
                  <c:v>0.36</c:v>
                </c:pt>
                <c:pt idx="2">
                  <c:v>0.36</c:v>
                </c:pt>
                <c:pt idx="3">
                  <c:v>0.36</c:v>
                </c:pt>
                <c:pt idx="4">
                  <c:v>0.36</c:v>
                </c:pt>
                <c:pt idx="5">
                  <c:v>0.36</c:v>
                </c:pt>
                <c:pt idx="6">
                  <c:v>0.36</c:v>
                </c:pt>
                <c:pt idx="7">
                  <c:v>0.36</c:v>
                </c:pt>
                <c:pt idx="8">
                  <c:v>0.36</c:v>
                </c:pt>
              </c:numCache>
              <c:extLst/>
            </c:numRef>
          </c:val>
          <c:smooth val="0"/>
          <c:extLst>
            <c:ext xmlns:c16="http://schemas.microsoft.com/office/drawing/2014/chart" uri="{C3380CC4-5D6E-409C-BE32-E72D297353CC}">
              <c16:uniqueId val="{00000007-3810-4513-A2A9-3A2532AAC473}"/>
            </c:ext>
          </c:extLst>
        </c:ser>
        <c:ser>
          <c:idx val="4"/>
          <c:order val="4"/>
          <c:tx>
            <c:strRef>
              <c:f>'S0 EU Serbia'!$AN$39</c:f>
              <c:strCache>
                <c:ptCount val="1"/>
                <c:pt idx="0">
                  <c:v>Праг финансијског подиндекса</c:v>
                </c:pt>
              </c:strCache>
            </c:strRef>
          </c:tx>
          <c:spPr>
            <a:ln w="22225" cap="rnd">
              <a:solidFill>
                <a:srgbClr val="5297AC"/>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Serbia'!$AN$41:$AN$51</c:f>
              <c:numCache>
                <c:formatCode>General</c:formatCode>
                <c:ptCount val="9"/>
                <c:pt idx="0">
                  <c:v>0.49</c:v>
                </c:pt>
                <c:pt idx="1">
                  <c:v>0.49</c:v>
                </c:pt>
                <c:pt idx="2">
                  <c:v>0.49</c:v>
                </c:pt>
                <c:pt idx="3">
                  <c:v>0.49</c:v>
                </c:pt>
                <c:pt idx="4">
                  <c:v>0.49</c:v>
                </c:pt>
                <c:pt idx="5">
                  <c:v>0.49</c:v>
                </c:pt>
                <c:pt idx="6">
                  <c:v>0.49</c:v>
                </c:pt>
                <c:pt idx="7">
                  <c:v>0.49</c:v>
                </c:pt>
                <c:pt idx="8">
                  <c:v>0.49</c:v>
                </c:pt>
              </c:numCache>
              <c:extLst/>
            </c:numRef>
          </c:val>
          <c:smooth val="0"/>
          <c:extLst>
            <c:ext xmlns:c16="http://schemas.microsoft.com/office/drawing/2014/chart" uri="{C3380CC4-5D6E-409C-BE32-E72D297353CC}">
              <c16:uniqueId val="{00000008-3810-4513-A2A9-3A2532AAC473}"/>
            </c:ext>
          </c:extLst>
        </c:ser>
        <c:ser>
          <c:idx val="5"/>
          <c:order val="5"/>
          <c:tx>
            <c:strRef>
              <c:f>'S0 EU Serbia'!$AO$39</c:f>
              <c:strCache>
                <c:ptCount val="1"/>
                <c:pt idx="0">
                  <c:v>S0 праг</c:v>
                </c:pt>
              </c:strCache>
            </c:strRef>
          </c:tx>
          <c:spPr>
            <a:ln w="22225" cap="rnd">
              <a:solidFill>
                <a:schemeClr val="tx1"/>
              </a:solidFill>
              <a:prstDash val="dash"/>
              <a:round/>
            </a:ln>
            <a:effectLst/>
          </c:spPr>
          <c:marker>
            <c:symbol val="none"/>
          </c:marker>
          <c:cat>
            <c:numRef>
              <c:f>'S0 EU Serbia'!$AI$41:$AI$51</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'S0 EU Serbia'!$AO$41:$AO$51</c:f>
              <c:numCache>
                <c:formatCode>General</c:formatCode>
                <c:ptCount val="9"/>
                <c:pt idx="0">
                  <c:v>0.46</c:v>
                </c:pt>
                <c:pt idx="1">
                  <c:v>0.46</c:v>
                </c:pt>
                <c:pt idx="2">
                  <c:v>0.46</c:v>
                </c:pt>
                <c:pt idx="3">
                  <c:v>0.46</c:v>
                </c:pt>
                <c:pt idx="4">
                  <c:v>0.46</c:v>
                </c:pt>
                <c:pt idx="5">
                  <c:v>0.46</c:v>
                </c:pt>
                <c:pt idx="6">
                  <c:v>0.46</c:v>
                </c:pt>
                <c:pt idx="7">
                  <c:v>0.46</c:v>
                </c:pt>
                <c:pt idx="8">
                  <c:v>0.46</c:v>
                </c:pt>
              </c:numCache>
              <c:extLst/>
            </c:numRef>
          </c:val>
          <c:smooth val="0"/>
          <c:extLst>
            <c:ext xmlns:c16="http://schemas.microsoft.com/office/drawing/2014/chart" uri="{C3380CC4-5D6E-409C-BE32-E72D297353CC}">
              <c16:uniqueId val="{00000009-3810-4513-A2A9-3A2532AAC473}"/>
            </c:ext>
          </c:extLst>
        </c:ser>
        <c:dLbls>
          <c:showLegendKey val="0"/>
          <c:showVal val="0"/>
          <c:showCatName val="0"/>
          <c:showSerName val="0"/>
          <c:showPercent val="0"/>
          <c:showBubbleSize val="0"/>
        </c:dLbls>
        <c:marker val="1"/>
        <c:smooth val="0"/>
        <c:axId val="-486944112"/>
        <c:axId val="-486944656"/>
      </c:lineChart>
      <c:catAx>
        <c:axId val="-486944112"/>
        <c:scaling>
          <c:orientation val="minMax"/>
        </c:scaling>
        <c:delete val="0"/>
        <c:axPos val="b"/>
        <c:numFmt formatCode="General" sourceLinked="1"/>
        <c:majorTickMark val="none"/>
        <c:minorTickMark val="none"/>
        <c:tickLblPos val="nextTo"/>
        <c:spPr>
          <a:noFill/>
          <a:ln w="6350" cap="flat" cmpd="sng" algn="ctr">
            <a:solidFill>
              <a:schemeClr val="bg1">
                <a:lumMod val="65000"/>
              </a:schemeClr>
            </a:solidFill>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crossAx val="-486944656"/>
        <c:crosses val="autoZero"/>
        <c:auto val="1"/>
        <c:lblAlgn val="ctr"/>
        <c:lblOffset val="100"/>
        <c:noMultiLvlLbl val="0"/>
      </c:catAx>
      <c:valAx>
        <c:axId val="-486944656"/>
        <c:scaling>
          <c:orientation val="minMax"/>
          <c:max val="0.70000000000000007"/>
        </c:scaling>
        <c:delete val="0"/>
        <c:axPos val="l"/>
        <c:numFmt formatCode="#,##0.0" sourceLinked="0"/>
        <c:majorTickMark val="out"/>
        <c:minorTickMark val="none"/>
        <c:tickLblPos val="nextTo"/>
        <c:spPr>
          <a:noFill/>
          <a:ln w="6350">
            <a:noFill/>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486944112"/>
        <c:crossesAt val="1"/>
        <c:crossBetween val="between"/>
      </c:valAx>
      <c:spPr>
        <a:noFill/>
        <a:ln>
          <a:noFill/>
        </a:ln>
        <a:effectLst/>
      </c:spPr>
    </c:plotArea>
    <c:legend>
      <c:legendPos val="b"/>
      <c:legendEntry>
        <c:idx val="3"/>
        <c:txPr>
          <a:bodyPr rot="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legendEntry>
      <c:layout>
        <c:manualLayout>
          <c:xMode val="edge"/>
          <c:yMode val="edge"/>
          <c:x val="2.930789712720251E-4"/>
          <c:y val="0.70762012921461737"/>
          <c:w val="0.99970692102872794"/>
          <c:h val="0.26440616797900257"/>
        </c:manualLayout>
      </c:layout>
      <c:overlay val="0"/>
      <c:spPr>
        <a:noFill/>
        <a:ln>
          <a:noFill/>
        </a:ln>
        <a:effectLst/>
      </c:spPr>
      <c:txPr>
        <a:bodyPr rot="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sz="900">
          <a:latin typeface="+mn-lt"/>
        </a:defRPr>
      </a:pPr>
      <a:endParaRPr lang="sr-Latn-R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hart>
    <c:autoTitleDeleted val="1"/>
    <c:plotArea>
      <c:layout>
        <c:manualLayout>
          <c:layoutTarget val="inner"/>
          <c:xMode val="edge"/>
          <c:yMode val="edge"/>
          <c:x val="7.9033714179804967E-2"/>
          <c:y val="0.10598834128245893"/>
          <c:w val="0.86085801063022016"/>
          <c:h val="0.71439104690610022"/>
        </c:manualLayout>
      </c:layout>
      <c:barChart>
        <c:barDir val="col"/>
        <c:grouping val="clustered"/>
        <c:varyColors val="0"/>
        <c:ser>
          <c:idx val="0"/>
          <c:order val="0"/>
          <c:tx>
            <c:strRef>
              <c:f>'мемо 2011-2016'!$D$50</c:f>
              <c:strCache>
                <c:ptCount val="1"/>
                <c:pt idx="0">
                  <c:v>дуг</c:v>
                </c:pt>
              </c:strCache>
            </c:strRef>
          </c:tx>
          <c:spPr>
            <a:solidFill>
              <a:schemeClr val="tx2"/>
            </a:solidFill>
          </c:spPr>
          <c:invertIfNegative val="0"/>
          <c:dLbls>
            <c:numFmt formatCode="#,##0.0" sourceLinked="0"/>
            <c:spPr>
              <a:noFill/>
              <a:ln>
                <a:noFill/>
              </a:ln>
              <a:effectLst/>
            </c:spPr>
            <c:txPr>
              <a:bodyPr/>
              <a:lstStyle/>
              <a:p>
                <a:pPr>
                  <a:defRPr sz="700" b="0" baseline="0">
                    <a:solidFill>
                      <a:schemeClr val="bg1"/>
                    </a:solidFill>
                    <a:latin typeface="Calibri" panose="020F0502020204030204" pitchFamily="34" charset="0"/>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2011-2016'!$L$48:$V$48</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'мемо 2011-2016'!$L$50:$V$50</c:f>
              <c:numCache>
                <c:formatCode>0.0</c:formatCode>
                <c:ptCount val="11"/>
                <c:pt idx="0" formatCode="#,##0.0">
                  <c:v>58.6</c:v>
                </c:pt>
                <c:pt idx="1">
                  <c:v>54.353090578805471</c:v>
                </c:pt>
                <c:pt idx="2" formatCode="General">
                  <c:v>52.8</c:v>
                </c:pt>
                <c:pt idx="3" formatCode="General">
                  <c:v>57.8</c:v>
                </c:pt>
                <c:pt idx="4" formatCode="General">
                  <c:v>57.1</c:v>
                </c:pt>
                <c:pt idx="5" formatCode="General">
                  <c:v>55.6</c:v>
                </c:pt>
                <c:pt idx="6" formatCode="General">
                  <c:v>52.3</c:v>
                </c:pt>
                <c:pt idx="7">
                  <c:v>52</c:v>
                </c:pt>
                <c:pt idx="8" formatCode="General">
                  <c:v>51.6</c:v>
                </c:pt>
                <c:pt idx="9">
                  <c:v>51</c:v>
                </c:pt>
                <c:pt idx="10" formatCode="General">
                  <c:v>50.5</c:v>
                </c:pt>
              </c:numCache>
            </c:numRef>
          </c:val>
          <c:extLst>
            <c:ext xmlns:c16="http://schemas.microsoft.com/office/drawing/2014/chart" uri="{C3380CC4-5D6E-409C-BE32-E72D297353CC}">
              <c16:uniqueId val="{00000000-F544-4EAF-A05E-E8D74CE095AC}"/>
            </c:ext>
          </c:extLst>
        </c:ser>
        <c:dLbls>
          <c:showLegendKey val="0"/>
          <c:showVal val="0"/>
          <c:showCatName val="0"/>
          <c:showSerName val="0"/>
          <c:showPercent val="0"/>
          <c:showBubbleSize val="0"/>
        </c:dLbls>
        <c:gapWidth val="20"/>
        <c:overlap val="50"/>
        <c:axId val="430644800"/>
        <c:axId val="430645584"/>
      </c:barChart>
      <c:lineChart>
        <c:grouping val="standard"/>
        <c:varyColors val="0"/>
        <c:ser>
          <c:idx val="2"/>
          <c:order val="1"/>
          <c:tx>
            <c:strRef>
              <c:f>'мемо 2011-2016'!$D$49</c:f>
              <c:strCache>
                <c:ptCount val="1"/>
                <c:pt idx="0">
                  <c:v>резултат (десна скала)</c:v>
                </c:pt>
              </c:strCache>
            </c:strRef>
          </c:tx>
          <c:spPr>
            <a:ln>
              <a:solidFill>
                <a:srgbClr val="FF0000"/>
              </a:solidFill>
            </a:ln>
          </c:spPr>
          <c:marker>
            <c:symbol val="none"/>
          </c:marker>
          <c:dLbls>
            <c:dLbl>
              <c:idx val="0"/>
              <c:layout>
                <c:manualLayout>
                  <c:x val="-2.9008553327137872E-2"/>
                  <c:y val="-5.35327615298087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544-4EAF-A05E-E8D74CE095AC}"/>
                </c:ext>
              </c:extLst>
            </c:dLbl>
            <c:dLbl>
              <c:idx val="1"/>
              <c:layout>
                <c:manualLayout>
                  <c:x val="-3.3024133458226961E-2"/>
                  <c:y val="-4.86489970003749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544-4EAF-A05E-E8D74CE095AC}"/>
                </c:ext>
              </c:extLst>
            </c:dLbl>
            <c:dLbl>
              <c:idx val="2"/>
              <c:layout>
                <c:manualLayout>
                  <c:x val="-1.7054991121933039E-2"/>
                  <c:y val="3.83057586551681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544-4EAF-A05E-E8D74CE095AC}"/>
                </c:ext>
              </c:extLst>
            </c:dLbl>
            <c:dLbl>
              <c:idx val="3"/>
              <c:layout>
                <c:manualLayout>
                  <c:x val="-5.5322319651003128E-2"/>
                  <c:y val="-0.2580154043244595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544-4EAF-A05E-E8D74CE095AC}"/>
                </c:ext>
              </c:extLst>
            </c:dLbl>
            <c:dLbl>
              <c:idx val="4"/>
              <c:layout>
                <c:manualLayout>
                  <c:x val="-5.3495658142451379E-2"/>
                  <c:y val="-6.43259436320460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544-4EAF-A05E-E8D74CE095AC}"/>
                </c:ext>
              </c:extLst>
            </c:dLbl>
            <c:dLbl>
              <c:idx val="5"/>
              <c:layout>
                <c:manualLayout>
                  <c:x val="-6.1874622136308385E-2"/>
                  <c:y val="5.64519278840144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544-4EAF-A05E-E8D74CE095AC}"/>
                </c:ext>
              </c:extLst>
            </c:dLbl>
            <c:dLbl>
              <c:idx val="6"/>
              <c:layout>
                <c:manualLayout>
                  <c:x val="-5.5833415850870545E-2"/>
                  <c:y val="-5.08377859017623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544-4EAF-A05E-E8D74CE095AC}"/>
                </c:ext>
              </c:extLst>
            </c:dLbl>
            <c:dLbl>
              <c:idx val="7"/>
              <c:layout>
                <c:manualLayout>
                  <c:x val="-5.4283213718781607E-2"/>
                  <c:y val="3.4801118610173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544-4EAF-A05E-E8D74CE095AC}"/>
                </c:ext>
              </c:extLst>
            </c:dLbl>
            <c:dLbl>
              <c:idx val="8"/>
              <c:layout>
                <c:manualLayout>
                  <c:x val="-6.6393302979180363E-2"/>
                  <c:y val="-4.960317460317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544-4EAF-A05E-E8D74CE095AC}"/>
                </c:ext>
              </c:extLst>
            </c:dLbl>
            <c:dLbl>
              <c:idx val="9"/>
              <c:layout>
                <c:manualLayout>
                  <c:x val="-5.4676837747560297E-2"/>
                  <c:y val="3.9682539682539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544-4EAF-A05E-E8D74CE095AC}"/>
                </c:ext>
              </c:extLst>
            </c:dLbl>
            <c:dLbl>
              <c:idx val="10"/>
              <c:layout>
                <c:manualLayout>
                  <c:x val="-5.4676837747560297E-2"/>
                  <c:y val="-4.46428571428571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544-4EAF-A05E-E8D74CE095AC}"/>
                </c:ext>
              </c:extLst>
            </c:dLbl>
            <c:numFmt formatCode="#,##0.0" sourceLinked="0"/>
            <c:spPr>
              <a:noFill/>
              <a:ln>
                <a:noFill/>
              </a:ln>
              <a:effectLst/>
            </c:spPr>
            <c:txPr>
              <a:bodyPr wrap="square" lIns="38100" tIns="19050" rIns="38100" bIns="19050" anchor="ctr">
                <a:spAutoFit/>
              </a:bodyPr>
              <a:lstStyle/>
              <a:p>
                <a:pPr>
                  <a:defRPr sz="700" baseline="0">
                    <a:solidFill>
                      <a:schemeClr val="tx2"/>
                    </a:solidFill>
                    <a:latin typeface="+mn-lt"/>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2011-2016'!$L$49:$V$49</c:f>
              <c:numCache>
                <c:formatCode>0.0</c:formatCode>
                <c:ptCount val="11"/>
                <c:pt idx="0" formatCode="#,##0.0">
                  <c:v>1.099509271415023</c:v>
                </c:pt>
                <c:pt idx="1">
                  <c:v>0.63691314414627054</c:v>
                </c:pt>
                <c:pt idx="2" formatCode="#,##0.0">
                  <c:v>-0.2</c:v>
                </c:pt>
                <c:pt idx="3" formatCode="#,##0.0">
                  <c:v>-8</c:v>
                </c:pt>
                <c:pt idx="4" formatCode="#,##0.0">
                  <c:v>-4.0999999999999996</c:v>
                </c:pt>
                <c:pt idx="5" formatCode="#,##0.0">
                  <c:v>-3.2</c:v>
                </c:pt>
                <c:pt idx="6" formatCode="General">
                  <c:v>-2.2000000000000002</c:v>
                </c:pt>
                <c:pt idx="7" formatCode="General">
                  <c:v>-2.2000000000000002</c:v>
                </c:pt>
                <c:pt idx="8" formatCode="General">
                  <c:v>-2.5</c:v>
                </c:pt>
                <c:pt idx="9">
                  <c:v>-2.25</c:v>
                </c:pt>
                <c:pt idx="10">
                  <c:v>-2.25</c:v>
                </c:pt>
              </c:numCache>
            </c:numRef>
          </c:val>
          <c:smooth val="1"/>
          <c:extLst>
            <c:ext xmlns:c16="http://schemas.microsoft.com/office/drawing/2014/chart" uri="{C3380CC4-5D6E-409C-BE32-E72D297353CC}">
              <c16:uniqueId val="{0000000C-F544-4EAF-A05E-E8D74CE095AC}"/>
            </c:ext>
          </c:extLst>
        </c:ser>
        <c:ser>
          <c:idx val="1"/>
          <c:order val="2"/>
          <c:tx>
            <c:strRef>
              <c:f>'мемо 2011-2016'!$D$51</c:f>
              <c:strCache>
                <c:ptCount val="1"/>
                <c:pt idx="0">
                  <c:v>баланс</c:v>
                </c:pt>
              </c:strCache>
            </c:strRef>
          </c:tx>
          <c:spPr>
            <a:ln w="22225">
              <a:solidFill>
                <a:schemeClr val="tx1"/>
              </a:solidFill>
            </a:ln>
          </c:spPr>
          <c:marker>
            <c:symbol val="none"/>
          </c:marker>
          <c:val>
            <c:numRef>
              <c:f>'мемо 2011-2016'!$L$51:$V$51</c:f>
              <c:numCache>
                <c:formatCode>#,##0.0</c:formatCode>
                <c:ptCount val="11"/>
                <c:pt idx="0">
                  <c:v>0</c:v>
                </c:pt>
                <c:pt idx="1">
                  <c:v>0</c:v>
                </c:pt>
                <c:pt idx="2">
                  <c:v>0</c:v>
                </c:pt>
                <c:pt idx="3">
                  <c:v>0</c:v>
                </c:pt>
                <c:pt idx="4">
                  <c:v>0</c:v>
                </c:pt>
                <c:pt idx="5">
                  <c:v>0</c:v>
                </c:pt>
                <c:pt idx="6" formatCode="General">
                  <c:v>0</c:v>
                </c:pt>
                <c:pt idx="7" formatCode="General">
                  <c:v>0</c:v>
                </c:pt>
                <c:pt idx="8" formatCode="General">
                  <c:v>0</c:v>
                </c:pt>
                <c:pt idx="9" formatCode="General">
                  <c:v>0</c:v>
                </c:pt>
                <c:pt idx="10" formatCode="General">
                  <c:v>0</c:v>
                </c:pt>
              </c:numCache>
            </c:numRef>
          </c:val>
          <c:smooth val="0"/>
          <c:extLst>
            <c:ext xmlns:c16="http://schemas.microsoft.com/office/drawing/2014/chart" uri="{C3380CC4-5D6E-409C-BE32-E72D297353CC}">
              <c16:uniqueId val="{0000000D-F544-4EAF-A05E-E8D74CE095AC}"/>
            </c:ext>
          </c:extLst>
        </c:ser>
        <c:dLbls>
          <c:showLegendKey val="0"/>
          <c:showVal val="0"/>
          <c:showCatName val="0"/>
          <c:showSerName val="0"/>
          <c:showPercent val="0"/>
          <c:showBubbleSize val="0"/>
        </c:dLbls>
        <c:marker val="1"/>
        <c:smooth val="0"/>
        <c:axId val="426079336"/>
        <c:axId val="426078160"/>
      </c:lineChart>
      <c:catAx>
        <c:axId val="430644800"/>
        <c:scaling>
          <c:orientation val="minMax"/>
        </c:scaling>
        <c:delete val="0"/>
        <c:axPos val="b"/>
        <c:numFmt formatCode="General" sourceLinked="1"/>
        <c:majorTickMark val="out"/>
        <c:minorTickMark val="none"/>
        <c:tickLblPos val="nextTo"/>
        <c:spPr>
          <a:ln>
            <a:noFill/>
          </a:ln>
        </c:spPr>
        <c:txPr>
          <a:bodyPr/>
          <a:lstStyle/>
          <a:p>
            <a:pPr>
              <a:defRPr sz="700" baseline="0">
                <a:solidFill>
                  <a:schemeClr val="tx2"/>
                </a:solidFill>
                <a:latin typeface="Calibri" panose="020F0502020204030204" pitchFamily="34" charset="0"/>
              </a:defRPr>
            </a:pPr>
            <a:endParaRPr lang="sr-Latn-RS"/>
          </a:p>
        </c:txPr>
        <c:crossAx val="430645584"/>
        <c:crossesAt val="0"/>
        <c:auto val="1"/>
        <c:lblAlgn val="ctr"/>
        <c:lblOffset val="100"/>
        <c:noMultiLvlLbl val="0"/>
      </c:catAx>
      <c:valAx>
        <c:axId val="430645584"/>
        <c:scaling>
          <c:orientation val="minMax"/>
          <c:max val="80"/>
          <c:min val="40"/>
        </c:scaling>
        <c:delete val="0"/>
        <c:axPos val="l"/>
        <c:majorGridlines>
          <c:spPr>
            <a:ln>
              <a:noFill/>
            </a:ln>
          </c:spPr>
        </c:majorGridlines>
        <c:numFmt formatCode="#,##0" sourceLinked="0"/>
        <c:majorTickMark val="out"/>
        <c:minorTickMark val="none"/>
        <c:tickLblPos val="nextTo"/>
        <c:spPr>
          <a:ln>
            <a:noFill/>
          </a:ln>
        </c:spPr>
        <c:txPr>
          <a:bodyPr/>
          <a:lstStyle/>
          <a:p>
            <a:pPr>
              <a:defRPr sz="700" baseline="0">
                <a:solidFill>
                  <a:schemeClr val="tx2"/>
                </a:solidFill>
                <a:latin typeface="+mn-lt"/>
              </a:defRPr>
            </a:pPr>
            <a:endParaRPr lang="sr-Latn-RS"/>
          </a:p>
        </c:txPr>
        <c:crossAx val="430644800"/>
        <c:crosses val="autoZero"/>
        <c:crossBetween val="between"/>
        <c:majorUnit val="5"/>
      </c:valAx>
      <c:valAx>
        <c:axId val="426078160"/>
        <c:scaling>
          <c:orientation val="minMax"/>
        </c:scaling>
        <c:delete val="0"/>
        <c:axPos val="r"/>
        <c:numFmt formatCode="#,##0" sourceLinked="0"/>
        <c:majorTickMark val="out"/>
        <c:minorTickMark val="none"/>
        <c:tickLblPos val="nextTo"/>
        <c:spPr>
          <a:ln>
            <a:noFill/>
          </a:ln>
        </c:spPr>
        <c:txPr>
          <a:bodyPr/>
          <a:lstStyle/>
          <a:p>
            <a:pPr>
              <a:defRPr sz="700" baseline="0">
                <a:solidFill>
                  <a:schemeClr val="tx2"/>
                </a:solidFill>
                <a:latin typeface="+mn-lt"/>
              </a:defRPr>
            </a:pPr>
            <a:endParaRPr lang="sr-Latn-RS"/>
          </a:p>
        </c:txPr>
        <c:crossAx val="426079336"/>
        <c:crosses val="max"/>
        <c:crossBetween val="between"/>
      </c:valAx>
      <c:catAx>
        <c:axId val="426079336"/>
        <c:scaling>
          <c:orientation val="minMax"/>
        </c:scaling>
        <c:delete val="1"/>
        <c:axPos val="b"/>
        <c:majorTickMark val="out"/>
        <c:minorTickMark val="none"/>
        <c:tickLblPos val="nextTo"/>
        <c:crossAx val="426078160"/>
        <c:crosses val="autoZero"/>
        <c:auto val="1"/>
        <c:lblAlgn val="ctr"/>
        <c:lblOffset val="100"/>
        <c:noMultiLvlLbl val="0"/>
      </c:catAx>
      <c:spPr>
        <a:noFill/>
        <a:ln>
          <a:noFill/>
        </a:ln>
      </c:spPr>
    </c:plotArea>
    <c:legend>
      <c:legendPos val="b"/>
      <c:layout>
        <c:manualLayout>
          <c:xMode val="edge"/>
          <c:yMode val="edge"/>
          <c:x val="5.000000000000001E-2"/>
          <c:y val="0.91965124729779146"/>
          <c:w val="0.9"/>
          <c:h val="8.0348752702208537E-2"/>
        </c:manualLayout>
      </c:layout>
      <c:overlay val="0"/>
      <c:txPr>
        <a:bodyPr/>
        <a:lstStyle/>
        <a:p>
          <a:pPr>
            <a:defRPr sz="700" baseline="0">
              <a:solidFill>
                <a:schemeClr val="tx2"/>
              </a:solidFill>
              <a:latin typeface="Calibri" panose="020F0502020204030204" pitchFamily="34" charset="0"/>
            </a:defRPr>
          </a:pPr>
          <a:endParaRPr lang="sr-Latn-RS"/>
        </a:p>
      </c:txPr>
    </c:legend>
    <c:plotVisOnly val="1"/>
    <c:dispBlanksAs val="gap"/>
    <c:showDLblsOverMax val="0"/>
  </c:chart>
  <c:spPr>
    <a:ln>
      <a:noFill/>
    </a:ln>
  </c:spPr>
  <c:txPr>
    <a:bodyPr/>
    <a:lstStyle/>
    <a:p>
      <a:pPr>
        <a:defRPr sz="900" baseline="0">
          <a:latin typeface="Cambria Math" pitchFamily="18" charset="0"/>
        </a:defRPr>
      </a:pPr>
      <a:endParaRPr lang="sr-Latn-RS"/>
    </a:p>
  </c:txPr>
  <c:externalData r:id="rId1">
    <c:autoUpdate val="0"/>
  </c:externalData>
  <c:userShapes r:id="rId2"/>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Гаранције!$C$53</c:f>
              <c:strCache>
                <c:ptCount val="1"/>
                <c:pt idx="0">
                  <c:v>Укупна отплата по основу гаранција (главница + камата) сервисираних из буџета РС</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strRef>
              <c:f>Гаранције!$B$54:$B$63</c:f>
              <c:strCache>
                <c:ptCount val="10"/>
                <c:pt idx="0">
                  <c:v>2015</c:v>
                </c:pt>
                <c:pt idx="1">
                  <c:v>2016</c:v>
                </c:pt>
                <c:pt idx="2">
                  <c:v>2017</c:v>
                </c:pt>
                <c:pt idx="3">
                  <c:v>2018</c:v>
                </c:pt>
                <c:pt idx="4">
                  <c:v>2019</c:v>
                </c:pt>
                <c:pt idx="5">
                  <c:v>2020</c:v>
                </c:pt>
                <c:pt idx="6">
                  <c:v>2021</c:v>
                </c:pt>
                <c:pt idx="7">
                  <c:v>2022</c:v>
                </c:pt>
                <c:pt idx="8">
                  <c:v>2023</c:v>
                </c:pt>
                <c:pt idx="9">
                  <c:v>31.03.2024.</c:v>
                </c:pt>
              </c:strCache>
            </c:strRef>
          </c:cat>
          <c:val>
            <c:numRef>
              <c:f>Гаранције!$C$54:$C$63</c:f>
              <c:numCache>
                <c:formatCode>#,##0.0</c:formatCode>
                <c:ptCount val="10"/>
                <c:pt idx="0">
                  <c:v>47.2</c:v>
                </c:pt>
                <c:pt idx="1">
                  <c:v>55.3</c:v>
                </c:pt>
                <c:pt idx="2">
                  <c:v>36.700000000000003</c:v>
                </c:pt>
                <c:pt idx="3">
                  <c:v>26</c:v>
                </c:pt>
                <c:pt idx="4">
                  <c:v>17.100000000000001</c:v>
                </c:pt>
                <c:pt idx="5">
                  <c:v>13.2</c:v>
                </c:pt>
                <c:pt idx="6">
                  <c:v>12.9</c:v>
                </c:pt>
                <c:pt idx="7">
                  <c:v>23.3</c:v>
                </c:pt>
                <c:pt idx="8" formatCode="0.0">
                  <c:v>33.74</c:v>
                </c:pt>
                <c:pt idx="9" formatCode="General">
                  <c:v>10.199999999999999</c:v>
                </c:pt>
              </c:numCache>
            </c:numRef>
          </c:val>
          <c:extLst>
            <c:ext xmlns:c16="http://schemas.microsoft.com/office/drawing/2014/chart" uri="{C3380CC4-5D6E-409C-BE32-E72D297353CC}">
              <c16:uniqueId val="{00000000-4B33-432F-AE0D-3456B65677E8}"/>
            </c:ext>
          </c:extLst>
        </c:ser>
        <c:ser>
          <c:idx val="1"/>
          <c:order val="1"/>
          <c:tx>
            <c:strRef>
              <c:f>Гаранције!$D$53</c:f>
              <c:strCache>
                <c:ptCount val="1"/>
                <c:pt idx="0">
                  <c:v>Отплата гаранција (главница) укључена у расходе (утиче на дефицит) </c:v>
                </c:pt>
              </c:strCache>
            </c:strRef>
          </c:tx>
          <c:spPr>
            <a:solidFill>
              <a:srgbClr val="FF0000"/>
            </a:solidFill>
            <a:ln>
              <a:noFill/>
            </a:ln>
            <a:effectLst/>
          </c:spPr>
          <c:invertIfNegative val="0"/>
          <c:cat>
            <c:strRef>
              <c:f>Гаранције!$B$54:$B$63</c:f>
              <c:strCache>
                <c:ptCount val="10"/>
                <c:pt idx="0">
                  <c:v>2015</c:v>
                </c:pt>
                <c:pt idx="1">
                  <c:v>2016</c:v>
                </c:pt>
                <c:pt idx="2">
                  <c:v>2017</c:v>
                </c:pt>
                <c:pt idx="3">
                  <c:v>2018</c:v>
                </c:pt>
                <c:pt idx="4">
                  <c:v>2019</c:v>
                </c:pt>
                <c:pt idx="5">
                  <c:v>2020</c:v>
                </c:pt>
                <c:pt idx="6">
                  <c:v>2021</c:v>
                </c:pt>
                <c:pt idx="7">
                  <c:v>2022</c:v>
                </c:pt>
                <c:pt idx="8">
                  <c:v>2023</c:v>
                </c:pt>
                <c:pt idx="9">
                  <c:v>31.03.2024.</c:v>
                </c:pt>
              </c:strCache>
            </c:strRef>
          </c:cat>
          <c:val>
            <c:numRef>
              <c:f>Гаранције!$D$54:$D$63</c:f>
              <c:numCache>
                <c:formatCode>#,##0.0</c:formatCode>
                <c:ptCount val="10"/>
                <c:pt idx="0">
                  <c:v>30.099999999999998</c:v>
                </c:pt>
                <c:pt idx="1">
                  <c:v>39.116</c:v>
                </c:pt>
                <c:pt idx="2">
                  <c:v>28.8</c:v>
                </c:pt>
                <c:pt idx="3">
                  <c:v>19.727</c:v>
                </c:pt>
                <c:pt idx="4">
                  <c:v>10.8</c:v>
                </c:pt>
                <c:pt idx="5">
                  <c:v>7.5</c:v>
                </c:pt>
                <c:pt idx="6">
                  <c:v>7.7</c:v>
                </c:pt>
                <c:pt idx="7">
                  <c:v>17.744700000000002</c:v>
                </c:pt>
                <c:pt idx="8" formatCode="General">
                  <c:v>23.8</c:v>
                </c:pt>
                <c:pt idx="9" formatCode="General">
                  <c:v>6.8</c:v>
                </c:pt>
              </c:numCache>
            </c:numRef>
          </c:val>
          <c:extLst>
            <c:ext xmlns:c16="http://schemas.microsoft.com/office/drawing/2014/chart" uri="{C3380CC4-5D6E-409C-BE32-E72D297353CC}">
              <c16:uniqueId val="{00000001-4B33-432F-AE0D-3456B65677E8}"/>
            </c:ext>
          </c:extLst>
        </c:ser>
        <c:dLbls>
          <c:showLegendKey val="0"/>
          <c:showVal val="0"/>
          <c:showCatName val="0"/>
          <c:showSerName val="0"/>
          <c:showPercent val="0"/>
          <c:showBubbleSize val="0"/>
        </c:dLbls>
        <c:gapWidth val="100"/>
        <c:overlap val="-24"/>
        <c:axId val="499205263"/>
        <c:axId val="499199855"/>
        <c:extLst>
          <c:ext xmlns:c15="http://schemas.microsoft.com/office/drawing/2012/chart" uri="{02D57815-91ED-43cb-92C2-25804820EDAC}">
            <c15:filteredBarSeries>
              <c15:ser>
                <c:idx val="2"/>
                <c:order val="2"/>
                <c:tx>
                  <c:strRef>
                    <c:extLst>
                      <c:ext uri="{02D57815-91ED-43cb-92C2-25804820EDAC}">
                        <c15:formulaRef>
                          <c15:sqref>Гаранције!$E$53</c15:sqref>
                        </c15:formulaRef>
                      </c:ext>
                    </c:extLst>
                    <c:strCache>
                      <c:ptCount val="1"/>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invertIfNegative val="0"/>
                <c:cat>
                  <c:strRef>
                    <c:extLst>
                      <c:ex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31.03.2024.</c:v>
                      </c:pt>
                    </c:strCache>
                  </c:strRef>
                </c:cat>
                <c:val>
                  <c:numRef>
                    <c:extLst>
                      <c:ext uri="{02D57815-91ED-43cb-92C2-25804820EDAC}">
                        <c15:formulaRef>
                          <c15:sqref>Гаранције!$E$54:$E$62</c15:sqref>
                        </c15:formulaRef>
                      </c:ext>
                    </c:extLst>
                    <c:numCache>
                      <c:formatCode>General</c:formatCode>
                      <c:ptCount val="9"/>
                    </c:numCache>
                  </c:numRef>
                </c:val>
                <c:extLst>
                  <c:ext xmlns:c16="http://schemas.microsoft.com/office/drawing/2014/chart" uri="{C3380CC4-5D6E-409C-BE32-E72D297353CC}">
                    <c16:uniqueId val="{00000002-4B33-432F-AE0D-3456B65677E8}"/>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Гаранције!$F$53</c15:sqref>
                        </c15:formulaRef>
                      </c:ext>
                    </c:extLst>
                    <c:strCache>
                      <c:ptCount val="1"/>
                    </c:strCache>
                  </c:strRef>
                </c:tx>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31.03.2024.</c:v>
                      </c:pt>
                    </c:strCache>
                  </c:strRef>
                </c:cat>
                <c:val>
                  <c:numRef>
                    <c:extLst xmlns:c15="http://schemas.microsoft.com/office/drawing/2012/chart">
                      <c:ext xmlns:c15="http://schemas.microsoft.com/office/drawing/2012/chart" uri="{02D57815-91ED-43cb-92C2-25804820EDAC}">
                        <c15:formulaRef>
                          <c15:sqref>Гаранције!$F$54:$F$62</c15:sqref>
                        </c15:formulaRef>
                      </c:ext>
                    </c:extLst>
                    <c:numCache>
                      <c:formatCode>General</c:formatCode>
                      <c:ptCount val="9"/>
                    </c:numCache>
                  </c:numRef>
                </c:val>
                <c:extLst xmlns:c15="http://schemas.microsoft.com/office/drawing/2012/chart">
                  <c:ext xmlns:c16="http://schemas.microsoft.com/office/drawing/2014/chart" uri="{C3380CC4-5D6E-409C-BE32-E72D297353CC}">
                    <c16:uniqueId val="{00000003-4B33-432F-AE0D-3456B65677E8}"/>
                  </c:ext>
                </c:extLst>
              </c15:ser>
            </c15:filteredBarSeries>
            <c15:filteredBarSeries>
              <c15:ser>
                <c:idx val="4"/>
                <c:order val="4"/>
                <c:tx>
                  <c:strRef>
                    <c:extLst xmlns:c15="http://schemas.microsoft.com/office/drawing/2012/chart">
                      <c:ext xmlns:c15="http://schemas.microsoft.com/office/drawing/2012/chart" uri="{02D57815-91ED-43cb-92C2-25804820EDAC}">
                        <c15:formulaRef>
                          <c15:sqref>Гаранције!$G$53</c15:sqref>
                        </c15:formulaRef>
                      </c:ext>
                    </c:extLst>
                    <c:strCache>
                      <c:ptCount val="1"/>
                    </c:strCache>
                  </c:strRef>
                </c:tx>
                <c:spPr>
                  <a:gradFill rotWithShape="1">
                    <a:gsLst>
                      <a:gs pos="0">
                        <a:schemeClr val="accent3">
                          <a:lumMod val="60000"/>
                          <a:satMod val="103000"/>
                          <a:lumMod val="102000"/>
                          <a:tint val="94000"/>
                        </a:schemeClr>
                      </a:gs>
                      <a:gs pos="50000">
                        <a:schemeClr val="accent3">
                          <a:lumMod val="60000"/>
                          <a:satMod val="110000"/>
                          <a:lumMod val="100000"/>
                          <a:shade val="100000"/>
                        </a:schemeClr>
                      </a:gs>
                      <a:gs pos="100000">
                        <a:schemeClr val="accent3">
                          <a:lumMod val="60000"/>
                          <a:lumMod val="99000"/>
                          <a:satMod val="120000"/>
                          <a:shade val="78000"/>
                        </a:schemeClr>
                      </a:gs>
                    </a:gsLst>
                    <a:lin ang="5400000" scaled="0"/>
                  </a:gradFill>
                  <a:ln>
                    <a:noFill/>
                  </a:ln>
                  <a:effectLst/>
                </c:spPr>
                <c:invertIfNegative val="0"/>
                <c:cat>
                  <c:strRef>
                    <c:extLst xmlns:c15="http://schemas.microsoft.com/office/drawing/2012/chart">
                      <c:ext xmlns:c15="http://schemas.microsoft.com/office/drawing/2012/chart" uri="{02D57815-91ED-43cb-92C2-25804820EDAC}">
                        <c15:formulaRef>
                          <c15:sqref>Гаранције!$B$54:$B$63</c15:sqref>
                        </c15:formulaRef>
                      </c:ext>
                    </c:extLst>
                    <c:strCache>
                      <c:ptCount val="10"/>
                      <c:pt idx="0">
                        <c:v>2015</c:v>
                      </c:pt>
                      <c:pt idx="1">
                        <c:v>2016</c:v>
                      </c:pt>
                      <c:pt idx="2">
                        <c:v>2017</c:v>
                      </c:pt>
                      <c:pt idx="3">
                        <c:v>2018</c:v>
                      </c:pt>
                      <c:pt idx="4">
                        <c:v>2019</c:v>
                      </c:pt>
                      <c:pt idx="5">
                        <c:v>2020</c:v>
                      </c:pt>
                      <c:pt idx="6">
                        <c:v>2021</c:v>
                      </c:pt>
                      <c:pt idx="7">
                        <c:v>2022</c:v>
                      </c:pt>
                      <c:pt idx="8">
                        <c:v>2023</c:v>
                      </c:pt>
                      <c:pt idx="9">
                        <c:v>31.03.2024.</c:v>
                      </c:pt>
                    </c:strCache>
                  </c:strRef>
                </c:cat>
                <c:val>
                  <c:numRef>
                    <c:extLst xmlns:c15="http://schemas.microsoft.com/office/drawing/2012/chart">
                      <c:ext xmlns:c15="http://schemas.microsoft.com/office/drawing/2012/chart" uri="{02D57815-91ED-43cb-92C2-25804820EDAC}">
                        <c15:formulaRef>
                          <c15:sqref>Гаранције!$G$54:$G$62</c15:sqref>
                        </c15:formulaRef>
                      </c:ext>
                    </c:extLst>
                    <c:numCache>
                      <c:formatCode>General</c:formatCode>
                      <c:ptCount val="9"/>
                    </c:numCache>
                  </c:numRef>
                </c:val>
                <c:extLst xmlns:c15="http://schemas.microsoft.com/office/drawing/2012/chart">
                  <c:ext xmlns:c16="http://schemas.microsoft.com/office/drawing/2014/chart" uri="{C3380CC4-5D6E-409C-BE32-E72D297353CC}">
                    <c16:uniqueId val="{00000004-4B33-432F-AE0D-3456B65677E8}"/>
                  </c:ext>
                </c:extLst>
              </c15:ser>
            </c15:filteredBarSeries>
          </c:ext>
        </c:extLst>
      </c:barChart>
      <c:catAx>
        <c:axId val="499205263"/>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sr-Cyrl-RS"/>
                  <a:t>Година</a:t>
                </a:r>
                <a:endParaRPr lang="en-US"/>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sr-Latn-RS"/>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499199855"/>
        <c:crosses val="autoZero"/>
        <c:auto val="1"/>
        <c:lblAlgn val="ctr"/>
        <c:lblOffset val="100"/>
        <c:noMultiLvlLbl val="0"/>
      </c:catAx>
      <c:valAx>
        <c:axId val="499199855"/>
        <c:scaling>
          <c:orientation val="minMax"/>
        </c:scaling>
        <c:delete val="0"/>
        <c:axPos val="l"/>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sr-Cyrl-RS"/>
                  <a:t>млрд</a:t>
                </a:r>
                <a:r>
                  <a:rPr lang="sr-Cyrl-RS" baseline="0"/>
                  <a:t>  динара</a:t>
                </a:r>
                <a:endParaRPr lang="en-US"/>
              </a:p>
            </c:rich>
          </c:tx>
          <c:layout>
            <c:manualLayout>
              <c:xMode val="edge"/>
              <c:yMode val="edge"/>
              <c:x val="1.0683760683760684E-2"/>
              <c:y val="0.11991385368385363"/>
            </c:manualLayout>
          </c:layout>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sr-Latn-R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crossAx val="4992052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0" i="0" u="none" strike="noStrike" kern="1200" spc="0" baseline="0">
                <a:solidFill>
                  <a:schemeClr val="tx1">
                    <a:lumMod val="65000"/>
                    <a:lumOff val="35000"/>
                  </a:schemeClr>
                </a:solidFill>
                <a:latin typeface="+mn-lt"/>
                <a:ea typeface="+mn-ea"/>
                <a:cs typeface="+mn-cs"/>
              </a:defRPr>
            </a:pPr>
            <a:r>
              <a:rPr lang="sr-Cyrl-RS" sz="800"/>
              <a:t>у</a:t>
            </a:r>
            <a:r>
              <a:rPr lang="sr-Cyrl-RS" sz="800" baseline="0"/>
              <a:t> милионима динара</a:t>
            </a:r>
            <a:endParaRPr lang="en-US" sz="800"/>
          </a:p>
        </c:rich>
      </c:tx>
      <c:layout>
        <c:manualLayout>
          <c:xMode val="edge"/>
          <c:yMode val="edge"/>
          <c:x val="0.67336866331199041"/>
          <c:y val="4.8014773776546629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1">
                  <a:lumMod val="65000"/>
                  <a:lumOff val="35000"/>
                </a:schemeClr>
              </a:solidFill>
              <a:latin typeface="+mn-lt"/>
              <a:ea typeface="+mn-ea"/>
              <a:cs typeface="+mn-cs"/>
            </a:defRPr>
          </a:pPr>
          <a:endParaRPr lang="sr-Latn-RS"/>
        </a:p>
      </c:txPr>
    </c:title>
    <c:autoTitleDeleted val="0"/>
    <c:plotArea>
      <c:layout>
        <c:manualLayout>
          <c:layoutTarget val="inner"/>
          <c:xMode val="edge"/>
          <c:yMode val="edge"/>
          <c:x val="0.16166265675123942"/>
          <c:y val="0.15402348962524576"/>
          <c:w val="0.8059299358413532"/>
          <c:h val="0.6013132187713276"/>
        </c:manualLayout>
      </c:layout>
      <c:barChart>
        <c:barDir val="col"/>
        <c:grouping val="clustered"/>
        <c:varyColors val="0"/>
        <c:ser>
          <c:idx val="0"/>
          <c:order val="0"/>
          <c:tx>
            <c:strRef>
              <c:f>'sudski postupci'!$B$4</c:f>
              <c:strCache>
                <c:ptCount val="1"/>
                <c:pt idx="0">
                  <c:v>План</c:v>
                </c:pt>
              </c:strCache>
            </c:strRef>
          </c:tx>
          <c:spPr>
            <a:solidFill>
              <a:srgbClr val="002060"/>
            </a:solidFill>
            <a:ln>
              <a:noFill/>
            </a:ln>
            <a:effectLst/>
          </c:spPr>
          <c:invertIfNegative val="0"/>
          <c:cat>
            <c:numRef>
              <c:f>'sudski postupci'!$A$5:$A$10</c:f>
              <c:numCache>
                <c:formatCode>General</c:formatCode>
                <c:ptCount val="6"/>
                <c:pt idx="0">
                  <c:v>2018</c:v>
                </c:pt>
                <c:pt idx="1">
                  <c:v>2019</c:v>
                </c:pt>
                <c:pt idx="2">
                  <c:v>2020</c:v>
                </c:pt>
                <c:pt idx="3">
                  <c:v>2021</c:v>
                </c:pt>
                <c:pt idx="4">
                  <c:v>2022</c:v>
                </c:pt>
                <c:pt idx="5">
                  <c:v>2023</c:v>
                </c:pt>
              </c:numCache>
            </c:numRef>
          </c:cat>
          <c:val>
            <c:numRef>
              <c:f>'sudski postupci'!$B$5:$B$10</c:f>
              <c:numCache>
                <c:formatCode>#.##0</c:formatCode>
                <c:ptCount val="6"/>
                <c:pt idx="0">
                  <c:v>16347</c:v>
                </c:pt>
                <c:pt idx="1">
                  <c:v>18470</c:v>
                </c:pt>
                <c:pt idx="2">
                  <c:v>23456</c:v>
                </c:pt>
                <c:pt idx="3">
                  <c:v>13148</c:v>
                </c:pt>
                <c:pt idx="4">
                  <c:v>34113</c:v>
                </c:pt>
                <c:pt idx="5">
                  <c:v>29020.335999999999</c:v>
                </c:pt>
              </c:numCache>
            </c:numRef>
          </c:val>
          <c:extLst xmlns:c15="http://schemas.microsoft.com/office/drawing/2012/chart">
            <c:ext xmlns:c16="http://schemas.microsoft.com/office/drawing/2014/chart" uri="{C3380CC4-5D6E-409C-BE32-E72D297353CC}">
              <c16:uniqueId val="{00000000-33F3-4F94-83F4-032D5520213D}"/>
            </c:ext>
          </c:extLst>
        </c:ser>
        <c:ser>
          <c:idx val="1"/>
          <c:order val="1"/>
          <c:tx>
            <c:strRef>
              <c:f>'sudski postupci'!$C$4</c:f>
              <c:strCache>
                <c:ptCount val="1"/>
                <c:pt idx="0">
                  <c:v>Апропријација </c:v>
                </c:pt>
              </c:strCache>
            </c:strRef>
          </c:tx>
          <c:spPr>
            <a:solidFill>
              <a:srgbClr val="0070C0"/>
            </a:solidFill>
            <a:ln>
              <a:noFill/>
            </a:ln>
            <a:effectLst/>
          </c:spPr>
          <c:invertIfNegative val="0"/>
          <c:cat>
            <c:numRef>
              <c:f>'sudski postupci'!$A$5:$A$10</c:f>
              <c:numCache>
                <c:formatCode>General</c:formatCode>
                <c:ptCount val="6"/>
                <c:pt idx="0">
                  <c:v>2018</c:v>
                </c:pt>
                <c:pt idx="1">
                  <c:v>2019</c:v>
                </c:pt>
                <c:pt idx="2">
                  <c:v>2020</c:v>
                </c:pt>
                <c:pt idx="3">
                  <c:v>2021</c:v>
                </c:pt>
                <c:pt idx="4">
                  <c:v>2022</c:v>
                </c:pt>
                <c:pt idx="5">
                  <c:v>2023</c:v>
                </c:pt>
              </c:numCache>
            </c:numRef>
          </c:cat>
          <c:val>
            <c:numRef>
              <c:f>'sudski postupci'!$C$5:$C$10</c:f>
              <c:numCache>
                <c:formatCode>#.##0</c:formatCode>
                <c:ptCount val="6"/>
                <c:pt idx="0">
                  <c:v>19160</c:v>
                </c:pt>
                <c:pt idx="1">
                  <c:v>18470</c:v>
                </c:pt>
                <c:pt idx="2">
                  <c:v>23798</c:v>
                </c:pt>
                <c:pt idx="3">
                  <c:v>17230</c:v>
                </c:pt>
                <c:pt idx="4">
                  <c:v>31170</c:v>
                </c:pt>
                <c:pt idx="5">
                  <c:v>26257.116639160002</c:v>
                </c:pt>
              </c:numCache>
            </c:numRef>
          </c:val>
          <c:extLst>
            <c:ext xmlns:c16="http://schemas.microsoft.com/office/drawing/2014/chart" uri="{C3380CC4-5D6E-409C-BE32-E72D297353CC}">
              <c16:uniqueId val="{00000001-33F3-4F94-83F4-032D5520213D}"/>
            </c:ext>
          </c:extLst>
        </c:ser>
        <c:ser>
          <c:idx val="2"/>
          <c:order val="2"/>
          <c:tx>
            <c:strRef>
              <c:f>'sudski postupci'!$D$4</c:f>
              <c:strCache>
                <c:ptCount val="1"/>
                <c:pt idx="0">
                  <c:v>Извршење</c:v>
                </c:pt>
              </c:strCache>
            </c:strRef>
          </c:tx>
          <c:spPr>
            <a:solidFill>
              <a:srgbClr val="FF0000"/>
            </a:solidFill>
            <a:ln>
              <a:noFill/>
            </a:ln>
            <a:effectLst/>
          </c:spPr>
          <c:invertIfNegative val="0"/>
          <c:cat>
            <c:numRef>
              <c:f>'sudski postupci'!$A$5:$A$10</c:f>
              <c:numCache>
                <c:formatCode>General</c:formatCode>
                <c:ptCount val="6"/>
                <c:pt idx="0">
                  <c:v>2018</c:v>
                </c:pt>
                <c:pt idx="1">
                  <c:v>2019</c:v>
                </c:pt>
                <c:pt idx="2">
                  <c:v>2020</c:v>
                </c:pt>
                <c:pt idx="3">
                  <c:v>2021</c:v>
                </c:pt>
                <c:pt idx="4">
                  <c:v>2022</c:v>
                </c:pt>
                <c:pt idx="5">
                  <c:v>2023</c:v>
                </c:pt>
              </c:numCache>
            </c:numRef>
          </c:cat>
          <c:val>
            <c:numRef>
              <c:f>'sudski postupci'!$D$5:$D$10</c:f>
              <c:numCache>
                <c:formatCode>#.##0</c:formatCode>
                <c:ptCount val="6"/>
                <c:pt idx="0">
                  <c:v>15762</c:v>
                </c:pt>
                <c:pt idx="1">
                  <c:v>17575</c:v>
                </c:pt>
                <c:pt idx="2">
                  <c:v>22921</c:v>
                </c:pt>
                <c:pt idx="3">
                  <c:v>16943</c:v>
                </c:pt>
                <c:pt idx="4">
                  <c:v>26824</c:v>
                </c:pt>
                <c:pt idx="5">
                  <c:v>25445.243600919999</c:v>
                </c:pt>
              </c:numCache>
            </c:numRef>
          </c:val>
          <c:extLst>
            <c:ext xmlns:c16="http://schemas.microsoft.com/office/drawing/2014/chart" uri="{C3380CC4-5D6E-409C-BE32-E72D297353CC}">
              <c16:uniqueId val="{00000002-33F3-4F94-83F4-032D5520213D}"/>
            </c:ext>
          </c:extLst>
        </c:ser>
        <c:dLbls>
          <c:showLegendKey val="0"/>
          <c:showVal val="0"/>
          <c:showCatName val="0"/>
          <c:showSerName val="0"/>
          <c:showPercent val="0"/>
          <c:showBubbleSize val="0"/>
        </c:dLbls>
        <c:gapWidth val="219"/>
        <c:overlap val="-27"/>
        <c:axId val="2134917552"/>
        <c:axId val="2134912144"/>
        <c:extLst/>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8.3742748716919946E-2"/>
          <c:y val="0.89071796773325773"/>
          <c:w val="0.85184635360070438"/>
          <c:h val="9.9388175500067386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4">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055154564012831"/>
          <c:y val="0.14121510673234811"/>
          <c:w val="0.85944845435987172"/>
          <c:h val="0.66109209174940087"/>
        </c:manualLayout>
      </c:layout>
      <c:barChart>
        <c:barDir val="col"/>
        <c:grouping val="clustered"/>
        <c:varyColors val="0"/>
        <c:ser>
          <c:idx val="0"/>
          <c:order val="0"/>
          <c:tx>
            <c:strRef>
              <c:f>'elementarne nepogode'!$B$4</c:f>
              <c:strCache>
                <c:ptCount val="1"/>
                <c:pt idx="0">
                  <c:v>План</c:v>
                </c:pt>
              </c:strCache>
            </c:strRef>
          </c:tx>
          <c:spPr>
            <a:solidFill>
              <a:srgbClr val="002060"/>
            </a:solidFill>
            <a:ln>
              <a:noFill/>
            </a:ln>
            <a:effectLst/>
          </c:spPr>
          <c:invertIfNegative val="0"/>
          <c:cat>
            <c:numRef>
              <c:f>'elementarne nepogode'!$A$5:$A$10</c:f>
              <c:numCache>
                <c:formatCode>General</c:formatCode>
                <c:ptCount val="6"/>
                <c:pt idx="0">
                  <c:v>2018</c:v>
                </c:pt>
                <c:pt idx="1">
                  <c:v>2019</c:v>
                </c:pt>
                <c:pt idx="2">
                  <c:v>2020</c:v>
                </c:pt>
                <c:pt idx="3">
                  <c:v>2021</c:v>
                </c:pt>
                <c:pt idx="4">
                  <c:v>2022</c:v>
                </c:pt>
                <c:pt idx="5">
                  <c:v>2023</c:v>
                </c:pt>
              </c:numCache>
            </c:numRef>
          </c:cat>
          <c:val>
            <c:numRef>
              <c:f>'elementarne nepogode'!$B$5:$B$10</c:f>
              <c:numCache>
                <c:formatCode>###.000</c:formatCode>
                <c:ptCount val="6"/>
                <c:pt idx="0">
                  <c:v>814.64300000000003</c:v>
                </c:pt>
                <c:pt idx="1">
                  <c:v>4104.5959999999995</c:v>
                </c:pt>
                <c:pt idx="2">
                  <c:v>2326.0419999999999</c:v>
                </c:pt>
                <c:pt idx="3">
                  <c:v>458.32499999999999</c:v>
                </c:pt>
                <c:pt idx="4">
                  <c:v>190.21780000000001</c:v>
                </c:pt>
                <c:pt idx="5">
                  <c:v>200.92</c:v>
                </c:pt>
              </c:numCache>
            </c:numRef>
          </c:val>
          <c:extLst>
            <c:ext xmlns:c16="http://schemas.microsoft.com/office/drawing/2014/chart" uri="{C3380CC4-5D6E-409C-BE32-E72D297353CC}">
              <c16:uniqueId val="{00000000-D973-4B7F-8D1C-D8625E84EFC6}"/>
            </c:ext>
          </c:extLst>
        </c:ser>
        <c:ser>
          <c:idx val="1"/>
          <c:order val="1"/>
          <c:tx>
            <c:strRef>
              <c:f>'elementarne nepogode'!$C$4</c:f>
              <c:strCache>
                <c:ptCount val="1"/>
                <c:pt idx="0">
                  <c:v>Апропријација </c:v>
                </c:pt>
              </c:strCache>
            </c:strRef>
          </c:tx>
          <c:spPr>
            <a:solidFill>
              <a:srgbClr val="0070C0"/>
            </a:solidFill>
            <a:ln>
              <a:noFill/>
            </a:ln>
            <a:effectLst/>
          </c:spPr>
          <c:invertIfNegative val="0"/>
          <c:cat>
            <c:numRef>
              <c:f>'elementarne nepogode'!$A$5:$A$10</c:f>
              <c:numCache>
                <c:formatCode>General</c:formatCode>
                <c:ptCount val="6"/>
                <c:pt idx="0">
                  <c:v>2018</c:v>
                </c:pt>
                <c:pt idx="1">
                  <c:v>2019</c:v>
                </c:pt>
                <c:pt idx="2">
                  <c:v>2020</c:v>
                </c:pt>
                <c:pt idx="3">
                  <c:v>2021</c:v>
                </c:pt>
                <c:pt idx="4">
                  <c:v>2022</c:v>
                </c:pt>
                <c:pt idx="5">
                  <c:v>2023</c:v>
                </c:pt>
              </c:numCache>
            </c:numRef>
          </c:cat>
          <c:val>
            <c:numRef>
              <c:f>'elementarne nepogode'!$C$5:$C$10</c:f>
              <c:numCache>
                <c:formatCode>###.000</c:formatCode>
                <c:ptCount val="6"/>
                <c:pt idx="0">
                  <c:v>3110.63</c:v>
                </c:pt>
                <c:pt idx="1">
                  <c:v>4456.2374</c:v>
                </c:pt>
                <c:pt idx="2">
                  <c:v>3498.1120000000001</c:v>
                </c:pt>
                <c:pt idx="3">
                  <c:v>558.22500000000002</c:v>
                </c:pt>
                <c:pt idx="4">
                  <c:v>290.21780000000001</c:v>
                </c:pt>
                <c:pt idx="5">
                  <c:v>881.78</c:v>
                </c:pt>
              </c:numCache>
            </c:numRef>
          </c:val>
          <c:extLst>
            <c:ext xmlns:c16="http://schemas.microsoft.com/office/drawing/2014/chart" uri="{C3380CC4-5D6E-409C-BE32-E72D297353CC}">
              <c16:uniqueId val="{00000001-D973-4B7F-8D1C-D8625E84EFC6}"/>
            </c:ext>
          </c:extLst>
        </c:ser>
        <c:ser>
          <c:idx val="2"/>
          <c:order val="2"/>
          <c:tx>
            <c:strRef>
              <c:f>'elementarne nepogode'!$D$4</c:f>
              <c:strCache>
                <c:ptCount val="1"/>
                <c:pt idx="0">
                  <c:v>Извршење</c:v>
                </c:pt>
              </c:strCache>
            </c:strRef>
          </c:tx>
          <c:spPr>
            <a:solidFill>
              <a:srgbClr val="FF0000"/>
            </a:solidFill>
            <a:ln>
              <a:noFill/>
            </a:ln>
            <a:effectLst/>
          </c:spPr>
          <c:invertIfNegative val="0"/>
          <c:cat>
            <c:numRef>
              <c:f>'elementarne nepogode'!$A$5:$A$10</c:f>
              <c:numCache>
                <c:formatCode>General</c:formatCode>
                <c:ptCount val="6"/>
                <c:pt idx="0">
                  <c:v>2018</c:v>
                </c:pt>
                <c:pt idx="1">
                  <c:v>2019</c:v>
                </c:pt>
                <c:pt idx="2">
                  <c:v>2020</c:v>
                </c:pt>
                <c:pt idx="3">
                  <c:v>2021</c:v>
                </c:pt>
                <c:pt idx="4">
                  <c:v>2022</c:v>
                </c:pt>
                <c:pt idx="5">
                  <c:v>2023</c:v>
                </c:pt>
              </c:numCache>
            </c:numRef>
          </c:cat>
          <c:val>
            <c:numRef>
              <c:f>'elementarne nepogode'!$D$5:$D$10</c:f>
              <c:numCache>
                <c:formatCode>###.000</c:formatCode>
                <c:ptCount val="6"/>
                <c:pt idx="0">
                  <c:v>2041.5377926900001</c:v>
                </c:pt>
                <c:pt idx="1">
                  <c:v>4220.9592285099998</c:v>
                </c:pt>
                <c:pt idx="2">
                  <c:v>2873.332101849991</c:v>
                </c:pt>
                <c:pt idx="3">
                  <c:v>520.34543778001</c:v>
                </c:pt>
                <c:pt idx="4">
                  <c:v>263.87826456999971</c:v>
                </c:pt>
                <c:pt idx="5">
                  <c:v>824.81</c:v>
                </c:pt>
              </c:numCache>
            </c:numRef>
          </c:val>
          <c:extLst>
            <c:ext xmlns:c16="http://schemas.microsoft.com/office/drawing/2014/chart" uri="{C3380CC4-5D6E-409C-BE32-E72D297353CC}">
              <c16:uniqueId val="{00000002-D973-4B7F-8D1C-D8625E84EFC6}"/>
            </c:ext>
          </c:extLst>
        </c:ser>
        <c:dLbls>
          <c:showLegendKey val="0"/>
          <c:showVal val="0"/>
          <c:showCatName val="0"/>
          <c:showSerName val="0"/>
          <c:showPercent val="0"/>
          <c:showBubbleSize val="0"/>
        </c:dLbls>
        <c:gapWidth val="219"/>
        <c:overlap val="-27"/>
        <c:axId val="2134917552"/>
        <c:axId val="2134912144"/>
      </c:barChart>
      <c:catAx>
        <c:axId val="2134917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134912144"/>
        <c:crosses val="autoZero"/>
        <c:auto val="1"/>
        <c:lblAlgn val="ctr"/>
        <c:lblOffset val="100"/>
        <c:noMultiLvlLbl val="0"/>
      </c:catAx>
      <c:valAx>
        <c:axId val="21349121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134917552"/>
        <c:crosses val="autoZero"/>
        <c:crossBetween val="between"/>
      </c:valAx>
      <c:spPr>
        <a:noFill/>
        <a:ln>
          <a:noFill/>
        </a:ln>
        <a:effectLst/>
      </c:spPr>
    </c:plotArea>
    <c:legend>
      <c:legendPos val="b"/>
      <c:layout>
        <c:manualLayout>
          <c:xMode val="edge"/>
          <c:yMode val="edge"/>
          <c:x val="6.4814814814814811E-2"/>
          <c:y val="0.9141251309103603"/>
          <c:w val="0.91109361329833771"/>
          <c:h val="6.1850975524611142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800"/>
      </a:pPr>
      <a:endParaRPr lang="sr-Latn-RS"/>
    </a:p>
  </c:txPr>
  <c:externalData r:id="rId4">
    <c:autoUpdate val="0"/>
  </c:externalData>
  <c:userShapes r:id="rId5"/>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8.5694913857576771E-2"/>
          <c:y val="0.12195169524878018"/>
          <c:w val="0.89742630688838176"/>
          <c:h val="0.72252618511373012"/>
        </c:manualLayout>
      </c:layout>
      <c:areaChart>
        <c:grouping val="stacked"/>
        <c:varyColors val="0"/>
        <c:ser>
          <c:idx val="2"/>
          <c:order val="2"/>
          <c:tx>
            <c:strRef>
              <c:f>'Grafikoni, CAB, Karakter'!$G$10</c:f>
              <c:strCache>
                <c:ptCount val="1"/>
                <c:pt idx="0">
                  <c:v>Производни јаз </c:v>
                </c:pt>
              </c:strCache>
            </c:strRef>
          </c:tx>
          <c:spPr>
            <a:solidFill>
              <a:srgbClr val="29489A"/>
            </a:solidFill>
            <a:ln w="9525" cap="rnd" cmpd="sng" algn="ctr">
              <a:solidFill>
                <a:srgbClr val="29489A"/>
              </a:solidFill>
              <a:prstDash val="solid"/>
              <a:round/>
            </a:ln>
            <a:effectLst/>
          </c:spPr>
          <c:cat>
            <c:numRef>
              <c:f>'Grafikoni, CAB, Karakter'!$F$11:$F$23</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('Grafikoni, CAB, Karakter'!$G$11:$G$29,'Grafikoni, CAB, Karakter'!$G$30,'Grafikoni, CAB, Karakter'!$G$31,'Grafikoni, CAB, Karakter'!$G$32,'Grafikoni, CAB, Karakter'!$G$33)</c:f>
              <c:numCache>
                <c:formatCode>#,##0.0</c:formatCode>
                <c:ptCount val="23"/>
                <c:pt idx="0">
                  <c:v>3.4939700056136114E-2</c:v>
                </c:pt>
                <c:pt idx="1">
                  <c:v>-2.6711854434675311</c:v>
                </c:pt>
                <c:pt idx="2">
                  <c:v>0.76280239136424388</c:v>
                </c:pt>
                <c:pt idx="3">
                  <c:v>4.0501018707246716</c:v>
                </c:pt>
                <c:pt idx="4">
                  <c:v>-0.385218937578441</c:v>
                </c:pt>
                <c:pt idx="5">
                  <c:v>-0.71576602430419678</c:v>
                </c:pt>
                <c:pt idx="6">
                  <c:v>0.52027763283400119</c:v>
                </c:pt>
                <c:pt idx="7">
                  <c:v>-0.84500430386811021</c:v>
                </c:pt>
                <c:pt idx="8">
                  <c:v>1.2248611645806924</c:v>
                </c:pt>
                <c:pt idx="9">
                  <c:v>-1.4345279583638431</c:v>
                </c:pt>
                <c:pt idx="10">
                  <c:v>-1.1982823456187843</c:v>
                </c:pt>
                <c:pt idx="11">
                  <c:v>-5.5402428692036126E-2</c:v>
                </c:pt>
                <c:pt idx="12">
                  <c:v>-0.61732681217363206</c:v>
                </c:pt>
                <c:pt idx="13">
                  <c:v>0.77140517566557965</c:v>
                </c:pt>
                <c:pt idx="14">
                  <c:v>1.8216839370121098</c:v>
                </c:pt>
                <c:pt idx="15">
                  <c:v>-2.3890658415177817</c:v>
                </c:pt>
                <c:pt idx="16">
                  <c:v>1.5818786791353532</c:v>
                </c:pt>
                <c:pt idx="17">
                  <c:v>0.59755885899816474</c:v>
                </c:pt>
                <c:pt idx="18">
                  <c:v>-0.42352639197084002</c:v>
                </c:pt>
                <c:pt idx="19">
                  <c:v>-0.58744020880969949</c:v>
                </c:pt>
                <c:pt idx="20">
                  <c:v>2.877076125443296E-2</c:v>
                </c:pt>
                <c:pt idx="21">
                  <c:v>9.284084840173952E-2</c:v>
                </c:pt>
                <c:pt idx="22">
                  <c:v>8.5366921581293845E-2</c:v>
                </c:pt>
              </c:numCache>
            </c:numRef>
          </c:val>
          <c:extLst>
            <c:ext xmlns:c16="http://schemas.microsoft.com/office/drawing/2014/chart" uri="{C3380CC4-5D6E-409C-BE32-E72D297353CC}">
              <c16:uniqueId val="{00000000-2F79-426D-9BF8-F81464434D34}"/>
            </c:ext>
          </c:extLst>
        </c:ser>
        <c:dLbls>
          <c:showLegendKey val="0"/>
          <c:showVal val="0"/>
          <c:showCatName val="0"/>
          <c:showSerName val="0"/>
          <c:showPercent val="0"/>
          <c:showBubbleSize val="0"/>
        </c:dLbls>
        <c:axId val="342946768"/>
        <c:axId val="410610880"/>
      </c:areaChart>
      <c:lineChart>
        <c:grouping val="standard"/>
        <c:varyColors val="0"/>
        <c:ser>
          <c:idx val="0"/>
          <c:order val="0"/>
          <c:tx>
            <c:strRef>
              <c:f>'Grafikoni, CAB, Karakter'!$H$10</c:f>
              <c:strCache>
                <c:ptCount val="1"/>
                <c:pt idx="0">
                  <c:v>Фискални 
биланс</c:v>
                </c:pt>
              </c:strCache>
            </c:strRef>
          </c:tx>
          <c:spPr>
            <a:ln w="22225" cap="rnd" cmpd="sng" algn="ctr">
              <a:solidFill>
                <a:schemeClr val="accent3">
                  <a:shade val="53000"/>
                  <a:shade val="95000"/>
                  <a:satMod val="105000"/>
                </a:schemeClr>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Karakter'!$H$11:$H$29,'Grafikoni, CAB, Karakter'!$H$30,'Grafikoni, CAB, Karakter'!$H$31,'Grafikoni, CAB, Karakter'!$H$32,'Grafikoni, CAB, Karakter'!$H$33)</c:f>
              <c:numCache>
                <c:formatCode>#,##0.0</c:formatCode>
                <c:ptCount val="23"/>
                <c:pt idx="0">
                  <c:v>1.1229513642911615</c:v>
                </c:pt>
                <c:pt idx="1">
                  <c:v>-1.3968057642647593</c:v>
                </c:pt>
                <c:pt idx="2">
                  <c:v>-1.7846058996685674</c:v>
                </c:pt>
                <c:pt idx="3">
                  <c:v>-2.4768975856092812</c:v>
                </c:pt>
                <c:pt idx="4">
                  <c:v>-4.1655024905891214</c:v>
                </c:pt>
                <c:pt idx="5">
                  <c:v>-4.3381740101726747</c:v>
                </c:pt>
                <c:pt idx="6">
                  <c:v>-4.5257988775356361</c:v>
                </c:pt>
                <c:pt idx="7">
                  <c:v>-6.4352841344073424</c:v>
                </c:pt>
                <c:pt idx="8">
                  <c:v>-5.1464767188637195</c:v>
                </c:pt>
                <c:pt idx="9">
                  <c:v>-6.2041437165115507</c:v>
                </c:pt>
                <c:pt idx="10">
                  <c:v>-3.4561672728767112</c:v>
                </c:pt>
                <c:pt idx="11">
                  <c:v>-1.1926941660681765</c:v>
                </c:pt>
                <c:pt idx="12">
                  <c:v>1.0986349345465762</c:v>
                </c:pt>
                <c:pt idx="13">
                  <c:v>0.63523655395945411</c:v>
                </c:pt>
                <c:pt idx="14">
                  <c:v>-0.20497664525511922</c:v>
                </c:pt>
                <c:pt idx="15">
                  <c:v>-8.0441635730355401</c:v>
                </c:pt>
                <c:pt idx="16">
                  <c:v>-4.1369458955187222</c:v>
                </c:pt>
                <c:pt idx="17">
                  <c:v>-3.1679031351379408</c:v>
                </c:pt>
                <c:pt idx="18">
                  <c:v>-2.221885360189594</c:v>
                </c:pt>
                <c:pt idx="19">
                  <c:v>-2.2000000000000002</c:v>
                </c:pt>
                <c:pt idx="20">
                  <c:v>-2.4929742865992321</c:v>
                </c:pt>
                <c:pt idx="21">
                  <c:v>-2.2546983950158404</c:v>
                </c:pt>
                <c:pt idx="22">
                  <c:v>-2.2546538834444361</c:v>
                </c:pt>
              </c:numCache>
            </c:numRef>
          </c:val>
          <c:smooth val="0"/>
          <c:extLst>
            <c:ext xmlns:c16="http://schemas.microsoft.com/office/drawing/2014/chart" uri="{C3380CC4-5D6E-409C-BE32-E72D297353CC}">
              <c16:uniqueId val="{00000001-2F79-426D-9BF8-F81464434D34}"/>
            </c:ext>
          </c:extLst>
        </c:ser>
        <c:ser>
          <c:idx val="1"/>
          <c:order val="1"/>
          <c:tx>
            <c:strRef>
              <c:f>'Grafikoni, CAB, Karakter'!$K$10</c:f>
              <c:strCache>
                <c:ptCount val="1"/>
                <c:pt idx="0">
                  <c:v>Циклично 
прилагођени  фискални биланс</c:v>
                </c:pt>
              </c:strCache>
            </c:strRef>
          </c:tx>
          <c:spPr>
            <a:ln w="22225" cap="rnd" cmpd="sng" algn="ctr">
              <a:solidFill>
                <a:schemeClr val="tx1"/>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Karakter'!$K$11:$K$29,'Grafikoni, CAB, Karakter'!$K$30,'Grafikoni, CAB, Karakter'!$K$31,'Grafikoni, CAB, Karakter'!$K$32,'Grafikoni, CAB, Karakter'!$K$33)</c:f>
              <c:numCache>
                <c:formatCode>#,##0.0</c:formatCode>
                <c:ptCount val="23"/>
                <c:pt idx="0">
                  <c:v>1.110553570451444</c:v>
                </c:pt>
                <c:pt idx="1">
                  <c:v>-0.44897832491760514</c:v>
                </c:pt>
                <c:pt idx="2">
                  <c:v>-2.0552741301737871</c:v>
                </c:pt>
                <c:pt idx="3">
                  <c:v>-3.9140114687400782</c:v>
                </c:pt>
                <c:pt idx="4">
                  <c:v>-4.0288137106746005</c:v>
                </c:pt>
                <c:pt idx="5">
                  <c:v>-4.0841958823541651</c:v>
                </c:pt>
                <c:pt idx="6">
                  <c:v>-4.7104110757207618</c:v>
                </c:pt>
                <c:pt idx="7">
                  <c:v>-6.1354478697513981</c:v>
                </c:pt>
                <c:pt idx="8">
                  <c:v>-5.5810991162039896</c:v>
                </c:pt>
                <c:pt idx="9">
                  <c:v>-5.6951244102057847</c:v>
                </c:pt>
                <c:pt idx="10">
                  <c:v>-3.0309759444197883</c:v>
                </c:pt>
                <c:pt idx="11">
                  <c:v>-1.1730355001941146</c:v>
                </c:pt>
                <c:pt idx="12">
                  <c:v>1.3176834820945584</c:v>
                </c:pt>
                <c:pt idx="13">
                  <c:v>0.36151576301312704</c:v>
                </c:pt>
                <c:pt idx="14">
                  <c:v>-0.85137205952356276</c:v>
                </c:pt>
                <c:pt idx="15">
                  <c:v>-7.1964417630296982</c:v>
                </c:pt>
                <c:pt idx="16">
                  <c:v>-4.6982502487860787</c:v>
                </c:pt>
                <c:pt idx="17">
                  <c:v>-3.3799373406134703</c:v>
                </c:pt>
                <c:pt idx="18">
                  <c:v>-2.0716037926633222</c:v>
                </c:pt>
                <c:pt idx="19">
                  <c:v>-1.9915562357352212</c:v>
                </c:pt>
                <c:pt idx="20">
                  <c:v>-2.5031831311534529</c:v>
                </c:pt>
                <c:pt idx="21">
                  <c:v>-2.2876414854413434</c:v>
                </c:pt>
                <c:pt idx="22">
                  <c:v>-2.2849449704542213</c:v>
                </c:pt>
              </c:numCache>
            </c:numRef>
          </c:val>
          <c:smooth val="1"/>
          <c:extLst>
            <c:ext xmlns:c16="http://schemas.microsoft.com/office/drawing/2014/chart" uri="{C3380CC4-5D6E-409C-BE32-E72D297353CC}">
              <c16:uniqueId val="{00000002-2F79-426D-9BF8-F81464434D34}"/>
            </c:ext>
          </c:extLst>
        </c:ser>
        <c:ser>
          <c:idx val="4"/>
          <c:order val="3"/>
          <c:tx>
            <c:strRef>
              <c:f>'Grafikoni, CAB, Karakter'!$N$10</c:f>
              <c:strCache>
                <c:ptCount val="1"/>
                <c:pt idx="0">
                  <c:v>Структурни примарни фискални биланс</c:v>
                </c:pt>
              </c:strCache>
            </c:strRef>
          </c:tx>
          <c:spPr>
            <a:ln w="22225" cap="rnd" cmpd="sng" algn="ctr">
              <a:solidFill>
                <a:srgbClr val="FF0000"/>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Karakter'!$N$11:$N$29,'Grafikoni, CAB, Karakter'!$N$30,'Grafikoni, CAB, Karakter'!$N$31,'Grafikoni, CAB, Karakter'!$N$32,'Grafikoni, CAB, Karakter'!$N$33)</c:f>
              <c:numCache>
                <c:formatCode>#,##0.0</c:formatCode>
                <c:ptCount val="23"/>
                <c:pt idx="0">
                  <c:v>2.2311622467225694</c:v>
                </c:pt>
                <c:pt idx="1">
                  <c:v>1.4726997778372082</c:v>
                </c:pt>
                <c:pt idx="2">
                  <c:v>-1.1729912919410848</c:v>
                </c:pt>
                <c:pt idx="3">
                  <c:v>-3.4330985386624246</c:v>
                </c:pt>
                <c:pt idx="4">
                  <c:v>-3.493332694205876</c:v>
                </c:pt>
                <c:pt idx="5">
                  <c:v>-3.244574438885492</c:v>
                </c:pt>
                <c:pt idx="6">
                  <c:v>-3.7668994950058767</c:v>
                </c:pt>
                <c:pt idx="7">
                  <c:v>-4.380772096424705</c:v>
                </c:pt>
                <c:pt idx="8">
                  <c:v>-3.1180445507880394</c:v>
                </c:pt>
                <c:pt idx="9">
                  <c:v>-2.1607736978539069</c:v>
                </c:pt>
                <c:pt idx="10">
                  <c:v>0.78887317863018835</c:v>
                </c:pt>
                <c:pt idx="11">
                  <c:v>1.8015172834604432</c:v>
                </c:pt>
                <c:pt idx="12">
                  <c:v>3.7088825315526264</c:v>
                </c:pt>
                <c:pt idx="13">
                  <c:v>2.3259890455402426</c:v>
                </c:pt>
                <c:pt idx="14">
                  <c:v>0.96263078278803926</c:v>
                </c:pt>
                <c:pt idx="15">
                  <c:v>1.851633666979871</c:v>
                </c:pt>
                <c:pt idx="16">
                  <c:v>1.1125693567345381</c:v>
                </c:pt>
                <c:pt idx="17">
                  <c:v>1.5089879369781145</c:v>
                </c:pt>
                <c:pt idx="18">
                  <c:v>0.34227146980818435</c:v>
                </c:pt>
                <c:pt idx="19">
                  <c:v>0.22082519953404731</c:v>
                </c:pt>
                <c:pt idx="20">
                  <c:v>-0.14153504974326866</c:v>
                </c:pt>
                <c:pt idx="21">
                  <c:v>6.769914812483846E-3</c:v>
                </c:pt>
                <c:pt idx="22">
                  <c:v>0.10051205695788182</c:v>
                </c:pt>
              </c:numCache>
            </c:numRef>
          </c:val>
          <c:smooth val="0"/>
          <c:extLst>
            <c:ext xmlns:c16="http://schemas.microsoft.com/office/drawing/2014/chart" uri="{C3380CC4-5D6E-409C-BE32-E72D297353CC}">
              <c16:uniqueId val="{00000003-2F79-426D-9BF8-F81464434D34}"/>
            </c:ext>
          </c:extLst>
        </c:ser>
        <c:ser>
          <c:idx val="3"/>
          <c:order val="4"/>
          <c:tx>
            <c:strRef>
              <c:f>'Grafikoni, CAB, Karakter'!$M$10</c:f>
              <c:strCache>
                <c:ptCount val="1"/>
                <c:pt idx="0">
                  <c:v>Структурни  фискални биланс</c:v>
                </c:pt>
              </c:strCache>
            </c:strRef>
          </c:tx>
          <c:spPr>
            <a:ln w="22225" cap="rnd" cmpd="sng" algn="ctr">
              <a:solidFill>
                <a:schemeClr val="accent6"/>
              </a:solidFill>
              <a:prstDash val="solid"/>
              <a:round/>
            </a:ln>
            <a:effectLst/>
          </c:spPr>
          <c:marker>
            <c:symbol val="none"/>
          </c:marker>
          <c:cat>
            <c:numRef>
              <c:f>('Grafikoni, CAB, Karakter'!$F$11:$F$29,'Grafikoni, CAB, Karakter'!$F$30,'Grafikoni, CAB, Karakter'!$F$31,'Grafikoni, CAB, Karakter'!$F$32,'Grafikoni, CAB, Karakter'!$F$33)</c:f>
              <c:numCache>
                <c:formatCode>General</c:formatCode>
                <c:ptCount val="2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pt idx="15">
                  <c:v>2020</c:v>
                </c:pt>
                <c:pt idx="16">
                  <c:v>2021</c:v>
                </c:pt>
                <c:pt idx="17">
                  <c:v>2022</c:v>
                </c:pt>
                <c:pt idx="18">
                  <c:v>2023</c:v>
                </c:pt>
                <c:pt idx="19">
                  <c:v>2024</c:v>
                </c:pt>
                <c:pt idx="20">
                  <c:v>2025</c:v>
                </c:pt>
                <c:pt idx="21">
                  <c:v>2026</c:v>
                </c:pt>
                <c:pt idx="22">
                  <c:v>2027</c:v>
                </c:pt>
              </c:numCache>
            </c:numRef>
          </c:cat>
          <c:val>
            <c:numRef>
              <c:f>('Grafikoni, CAB, Karakter'!$M$11:$M$29,'Grafikoni, CAB, Karakter'!$M$30,'Grafikoni, CAB, Karakter'!$M$31,'Grafikoni, CAB, Karakter'!$M$32,'Grafikoni, CAB, Karakter'!$M$33)</c:f>
              <c:numCache>
                <c:formatCode>#,##0.0</c:formatCode>
                <c:ptCount val="23"/>
                <c:pt idx="0">
                  <c:v>1.3271381895220509</c:v>
                </c:pt>
                <c:pt idx="1">
                  <c:v>0.22501372497745353</c:v>
                </c:pt>
                <c:pt idx="2">
                  <c:v>-1.7184397697830298</c:v>
                </c:pt>
                <c:pt idx="3">
                  <c:v>-3.9724619528952725</c:v>
                </c:pt>
                <c:pt idx="4">
                  <c:v>-4.1008943906048367</c:v>
                </c:pt>
                <c:pt idx="5">
                  <c:v>-4.2010980488201843</c:v>
                </c:pt>
                <c:pt idx="6">
                  <c:v>-4.9208052923636112</c:v>
                </c:pt>
                <c:pt idx="7">
                  <c:v>-6.0882044935352031</c:v>
                </c:pt>
                <c:pt idx="8">
                  <c:v>-5.3117600986942008</c:v>
                </c:pt>
                <c:pt idx="9">
                  <c:v>-4.8250468154300767</c:v>
                </c:pt>
                <c:pt idx="10">
                  <c:v>-2.1966809322112226</c:v>
                </c:pt>
                <c:pt idx="11">
                  <c:v>-1.0957419558922838</c:v>
                </c:pt>
                <c:pt idx="12">
                  <c:v>1.1727463975500159</c:v>
                </c:pt>
                <c:pt idx="13">
                  <c:v>0.21367227442836614</c:v>
                </c:pt>
                <c:pt idx="14">
                  <c:v>-1.0339665277227073</c:v>
                </c:pt>
                <c:pt idx="15">
                  <c:v>-0.14939184996874655</c:v>
                </c:pt>
                <c:pt idx="16">
                  <c:v>-0.62016341855043766</c:v>
                </c:pt>
                <c:pt idx="17">
                  <c:v>3.3675517102773611E-3</c:v>
                </c:pt>
                <c:pt idx="18">
                  <c:v>-1.3722589928562923</c:v>
                </c:pt>
                <c:pt idx="19">
                  <c:v>-1.7791748004659529</c:v>
                </c:pt>
                <c:pt idx="20">
                  <c:v>-2.5031831311534529</c:v>
                </c:pt>
                <c:pt idx="21">
                  <c:v>-2.2876414854413434</c:v>
                </c:pt>
                <c:pt idx="22">
                  <c:v>-2.2849449704542213</c:v>
                </c:pt>
              </c:numCache>
            </c:numRef>
          </c:val>
          <c:smooth val="0"/>
          <c:extLst>
            <c:ext xmlns:c16="http://schemas.microsoft.com/office/drawing/2014/chart" uri="{C3380CC4-5D6E-409C-BE32-E72D297353CC}">
              <c16:uniqueId val="{00000004-2F79-426D-9BF8-F81464434D34}"/>
            </c:ext>
          </c:extLst>
        </c:ser>
        <c:dLbls>
          <c:showLegendKey val="0"/>
          <c:showVal val="0"/>
          <c:showCatName val="0"/>
          <c:showSerName val="0"/>
          <c:showPercent val="0"/>
          <c:showBubbleSize val="0"/>
        </c:dLbls>
        <c:marker val="1"/>
        <c:smooth val="0"/>
        <c:axId val="342946768"/>
        <c:axId val="410610880"/>
      </c:lineChart>
      <c:catAx>
        <c:axId val="342946768"/>
        <c:scaling>
          <c:orientation val="minMax"/>
        </c:scaling>
        <c:delete val="0"/>
        <c:axPos val="b"/>
        <c:majorGridlines>
          <c:spPr>
            <a:ln w="9525" cap="flat" cmpd="sng" algn="ctr">
              <a:noFill/>
              <a:prstDash val="sysDot"/>
              <a:round/>
            </a:ln>
            <a:effectLst/>
          </c:spPr>
        </c:majorGridlines>
        <c:numFmt formatCode="General" sourceLinked="1"/>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700" b="0" i="0" u="none" strike="noStrike" kern="1200" baseline="0">
                <a:solidFill>
                  <a:srgbClr val="44546A"/>
                </a:solidFill>
                <a:latin typeface="+mn-lt"/>
                <a:ea typeface="+mn-ea"/>
                <a:cs typeface="+mn-cs"/>
              </a:defRPr>
            </a:pPr>
            <a:endParaRPr lang="sr-Latn-RS"/>
          </a:p>
        </c:txPr>
        <c:crossAx val="410610880"/>
        <c:crosses val="autoZero"/>
        <c:auto val="1"/>
        <c:lblAlgn val="ctr"/>
        <c:lblOffset val="100"/>
        <c:noMultiLvlLbl val="0"/>
      </c:catAx>
      <c:valAx>
        <c:axId val="410610880"/>
        <c:scaling>
          <c:orientation val="minMax"/>
          <c:max val="5"/>
          <c:min val="-9"/>
        </c:scaling>
        <c:delete val="0"/>
        <c:axPos val="l"/>
        <c:majorGridlines>
          <c:spPr>
            <a:ln w="9525" cap="flat" cmpd="sng" algn="ctr">
              <a:noFill/>
              <a:prstDash val="sysDot"/>
              <a:round/>
            </a:ln>
            <a:effectLst/>
          </c:spPr>
        </c:majorGridlines>
        <c:title>
          <c:tx>
            <c:rich>
              <a:bodyPr rot="-5400000" spcFirstLastPara="1" vertOverflow="ellipsis" vert="horz" wrap="square" anchor="ctr" anchorCtr="1"/>
              <a:lstStyle/>
              <a:p>
                <a:pPr>
                  <a:defRPr sz="800" b="0" i="0" u="none" strike="noStrike" kern="1200" baseline="0">
                    <a:solidFill>
                      <a:srgbClr val="44546A"/>
                    </a:solidFill>
                    <a:latin typeface="+mn-lt"/>
                    <a:ea typeface="+mn-ea"/>
                    <a:cs typeface="+mn-cs"/>
                  </a:defRPr>
                </a:pPr>
                <a:r>
                  <a:rPr lang="sr-Cyrl-CS" sz="800" b="0">
                    <a:solidFill>
                      <a:srgbClr val="44546A"/>
                    </a:solidFill>
                    <a:latin typeface="+mn-lt"/>
                  </a:rPr>
                  <a:t>% БДП</a:t>
                </a:r>
              </a:p>
            </c:rich>
          </c:tx>
          <c:layout>
            <c:manualLayout>
              <c:xMode val="edge"/>
              <c:yMode val="edge"/>
              <c:x val="7.6709194449933918E-2"/>
              <c:y val="0.6128067258524955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9525" cap="flat" cmpd="sng" algn="ctr">
            <a:solidFill>
              <a:schemeClr val="dk1">
                <a:tint val="75000"/>
                <a:shade val="95000"/>
                <a:satMod val="105000"/>
              </a:schemeClr>
            </a:solidFill>
            <a:prstDash val="solid"/>
            <a:round/>
          </a:ln>
          <a:effectLst/>
        </c:spPr>
        <c:txPr>
          <a:bodyPr rot="-60000000" spcFirstLastPara="1" vertOverflow="ellipsis" vert="horz" wrap="square" anchor="ctr" anchorCtr="1"/>
          <a:lstStyle/>
          <a:p>
            <a:pPr>
              <a:defRPr sz="800" b="0" i="0" u="none" strike="noStrike" kern="1200" baseline="0">
                <a:solidFill>
                  <a:srgbClr val="44546A"/>
                </a:solidFill>
                <a:latin typeface="+mj-lt"/>
                <a:ea typeface="+mn-ea"/>
                <a:cs typeface="+mn-cs"/>
              </a:defRPr>
            </a:pPr>
            <a:endParaRPr lang="sr-Latn-RS"/>
          </a:p>
        </c:txPr>
        <c:crossAx val="342946768"/>
        <c:crosses val="autoZero"/>
        <c:crossBetween val="between"/>
      </c:valAx>
      <c:spPr>
        <a:noFill/>
        <a:ln>
          <a:noFill/>
        </a:ln>
        <a:effectLst/>
      </c:spPr>
    </c:plotArea>
    <c:legend>
      <c:legendPos val="r"/>
      <c:layout>
        <c:manualLayout>
          <c:xMode val="edge"/>
          <c:yMode val="edge"/>
          <c:x val="0.10484896502834681"/>
          <c:y val="0.72600307431690558"/>
          <c:w val="0.89077001455867977"/>
          <c:h val="0.2739969256830944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a:pPr>
      <a:endParaRPr lang="sr-Latn-RS"/>
    </a:p>
  </c:txPr>
  <c:externalData r:id="rId3">
    <c:autoUpdate val="0"/>
  </c:externalData>
  <c:userShapes r:id="rId4"/>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7.3618440989179343E-2"/>
          <c:y val="5.7086964129483823E-2"/>
          <c:w val="0.91635877205946437"/>
          <c:h val="0.82967423338395085"/>
        </c:manualLayout>
      </c:layout>
      <c:barChart>
        <c:barDir val="col"/>
        <c:grouping val="clustered"/>
        <c:varyColors val="0"/>
        <c:ser>
          <c:idx val="0"/>
          <c:order val="0"/>
          <c:tx>
            <c:strRef>
              <c:f>'Grafikoni, CAB, Karakter'!$O$10</c:f>
              <c:strCache>
                <c:ptCount val="1"/>
                <c:pt idx="0">
                  <c:v>Фискални импулс</c:v>
                </c:pt>
              </c:strCache>
            </c:strRef>
          </c:tx>
          <c:spPr>
            <a:solidFill>
              <a:srgbClr val="29489A"/>
            </a:solidFill>
            <a:ln w="9525" cap="flat" cmpd="sng" algn="ctr">
              <a:solidFill>
                <a:schemeClr val="accent3">
                  <a:shade val="50000"/>
                  <a:shade val="95000"/>
                  <a:satMod val="105000"/>
                </a:schemeClr>
              </a:solidFill>
              <a:prstDash val="solid"/>
              <a:round/>
            </a:ln>
            <a:effectLst/>
          </c:spPr>
          <c:invertIfNegative val="0"/>
          <c:cat>
            <c:numRef>
              <c:f>'Grafikoni, CAB, Karakter'!$F$12:$F$33</c:f>
              <c:numCache>
                <c:formatCode>General</c:formatCode>
                <c:ptCount val="22"/>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pt idx="21">
                  <c:v>2027</c:v>
                </c:pt>
              </c:numCache>
            </c:numRef>
          </c:cat>
          <c:val>
            <c:numRef>
              <c:f>('Grafikoni, CAB, Karakter'!$O$12:$O$29,'Grafikoni, CAB, Karakter'!$O$30,'Grafikoni, CAB, Karakter'!$O$31,'Grafikoni, CAB, Karakter'!$O$32,'Grafikoni, CAB, Karakter'!$O$33)</c:f>
              <c:numCache>
                <c:formatCode>#,##0.0</c:formatCode>
                <c:ptCount val="22"/>
                <c:pt idx="0">
                  <c:v>1.215869899709813</c:v>
                </c:pt>
                <c:pt idx="1">
                  <c:v>2.3085333802739916</c:v>
                </c:pt>
                <c:pt idx="2">
                  <c:v>1.8648224021753883</c:v>
                </c:pt>
                <c:pt idx="3">
                  <c:v>4.6603959768409364E-2</c:v>
                </c:pt>
                <c:pt idx="4">
                  <c:v>-0.29357974185616742</c:v>
                </c:pt>
                <c:pt idx="5">
                  <c:v>0.428833005943555</c:v>
                </c:pt>
                <c:pt idx="6">
                  <c:v>0.87151019427787269</c:v>
                </c:pt>
                <c:pt idx="7">
                  <c:v>-1.0406319043430714</c:v>
                </c:pt>
                <c:pt idx="8">
                  <c:v>-0.35653227566821322</c:v>
                </c:pt>
                <c:pt idx="9">
                  <c:v>-2.9854294590512378</c:v>
                </c:pt>
                <c:pt idx="10">
                  <c:v>-1.76964557273699</c:v>
                </c:pt>
                <c:pt idx="11">
                  <c:v>-2.1295958769385566</c:v>
                </c:pt>
                <c:pt idx="12">
                  <c:v>1.3799870819721654</c:v>
                </c:pt>
                <c:pt idx="13">
                  <c:v>1.3286072831378197</c:v>
                </c:pt>
                <c:pt idx="14">
                  <c:v>6.3406414970682645</c:v>
                </c:pt>
                <c:pt idx="15">
                  <c:v>-2.2298987725799777</c:v>
                </c:pt>
                <c:pt idx="16">
                  <c:v>-1.0912005181554698</c:v>
                </c:pt>
                <c:pt idx="17">
                  <c:v>-1.5172436253467876</c:v>
                </c:pt>
                <c:pt idx="18">
                  <c:v>-0.3655170942636245</c:v>
                </c:pt>
                <c:pt idx="19">
                  <c:v>0.14997881400804761</c:v>
                </c:pt>
                <c:pt idx="20">
                  <c:v>-0.14830496455575251</c:v>
                </c:pt>
                <c:pt idx="21">
                  <c:v>-9.3742142145397972E-2</c:v>
                </c:pt>
              </c:numCache>
            </c:numRef>
          </c:val>
          <c:extLst>
            <c:ext xmlns:c16="http://schemas.microsoft.com/office/drawing/2014/chart" uri="{C3380CC4-5D6E-409C-BE32-E72D297353CC}">
              <c16:uniqueId val="{00000000-8C70-494C-A286-538AFCD71EDC}"/>
            </c:ext>
          </c:extLst>
        </c:ser>
        <c:dLbls>
          <c:showLegendKey val="0"/>
          <c:showVal val="0"/>
          <c:showCatName val="0"/>
          <c:showSerName val="0"/>
          <c:showPercent val="0"/>
          <c:showBubbleSize val="0"/>
        </c:dLbls>
        <c:gapWidth val="41"/>
        <c:overlap val="-12"/>
        <c:axId val="467546320"/>
        <c:axId val="467537360"/>
      </c:barChart>
      <c:lineChart>
        <c:grouping val="standard"/>
        <c:varyColors val="0"/>
        <c:ser>
          <c:idx val="1"/>
          <c:order val="1"/>
          <c:tx>
            <c:strRef>
              <c:f>'Grafikoni, CAB, Karakter'!$G$10</c:f>
              <c:strCache>
                <c:ptCount val="1"/>
                <c:pt idx="0">
                  <c:v>Производни јаз </c:v>
                </c:pt>
              </c:strCache>
            </c:strRef>
          </c:tx>
          <c:spPr>
            <a:ln w="22225" cap="rnd" cmpd="sng" algn="ctr">
              <a:solidFill>
                <a:srgbClr val="FF0000"/>
              </a:solidFill>
              <a:prstDash val="solid"/>
              <a:round/>
            </a:ln>
            <a:effectLst/>
          </c:spPr>
          <c:marker>
            <c:symbol val="none"/>
          </c:marker>
          <c:cat>
            <c:numRef>
              <c:f>('Grafikoni, CAB, Karakter'!$F$12:$F$29,'Grafikoni, CAB, Karakter'!$F$30,'Grafikoni, CAB, Karakter'!$F$31,'Grafikoni, CAB, Karakter'!$F$32,'Grafikoni, CAB, Karakter'!$F$33)</c:f>
              <c:numCache>
                <c:formatCode>General</c:formatCode>
                <c:ptCount val="22"/>
                <c:pt idx="0">
                  <c:v>2006</c:v>
                </c:pt>
                <c:pt idx="1">
                  <c:v>2007</c:v>
                </c:pt>
                <c:pt idx="2">
                  <c:v>2008</c:v>
                </c:pt>
                <c:pt idx="3">
                  <c:v>2009</c:v>
                </c:pt>
                <c:pt idx="4">
                  <c:v>2010</c:v>
                </c:pt>
                <c:pt idx="5">
                  <c:v>2011</c:v>
                </c:pt>
                <c:pt idx="6">
                  <c:v>2012</c:v>
                </c:pt>
                <c:pt idx="7">
                  <c:v>2013</c:v>
                </c:pt>
                <c:pt idx="8">
                  <c:v>2014</c:v>
                </c:pt>
                <c:pt idx="9">
                  <c:v>2015</c:v>
                </c:pt>
                <c:pt idx="10">
                  <c:v>2016</c:v>
                </c:pt>
                <c:pt idx="11">
                  <c:v>2017</c:v>
                </c:pt>
                <c:pt idx="12">
                  <c:v>2018</c:v>
                </c:pt>
                <c:pt idx="13">
                  <c:v>2019</c:v>
                </c:pt>
                <c:pt idx="14">
                  <c:v>2020</c:v>
                </c:pt>
                <c:pt idx="15">
                  <c:v>2021</c:v>
                </c:pt>
                <c:pt idx="16">
                  <c:v>2022</c:v>
                </c:pt>
                <c:pt idx="17">
                  <c:v>2023</c:v>
                </c:pt>
                <c:pt idx="18">
                  <c:v>2024</c:v>
                </c:pt>
                <c:pt idx="19">
                  <c:v>2025</c:v>
                </c:pt>
                <c:pt idx="20">
                  <c:v>2026</c:v>
                </c:pt>
                <c:pt idx="21">
                  <c:v>2027</c:v>
                </c:pt>
              </c:numCache>
            </c:numRef>
          </c:cat>
          <c:val>
            <c:numRef>
              <c:f>('Grafikoni, CAB, Karakter'!$G$12:$G$29,'Grafikoni, CAB, Karakter'!$G$30,'Grafikoni, CAB, Karakter'!$G$31,'Grafikoni, CAB, Karakter'!$G$32,'Grafikoni, CAB, Karakter'!$G$33)</c:f>
              <c:numCache>
                <c:formatCode>#,##0.0</c:formatCode>
                <c:ptCount val="22"/>
                <c:pt idx="0">
                  <c:v>-2.6711854434675311</c:v>
                </c:pt>
                <c:pt idx="1">
                  <c:v>0.76280239136424388</c:v>
                </c:pt>
                <c:pt idx="2">
                  <c:v>4.0501018707246716</c:v>
                </c:pt>
                <c:pt idx="3">
                  <c:v>-0.385218937578441</c:v>
                </c:pt>
                <c:pt idx="4">
                  <c:v>-0.71576602430419678</c:v>
                </c:pt>
                <c:pt idx="5">
                  <c:v>0.52027763283400119</c:v>
                </c:pt>
                <c:pt idx="6">
                  <c:v>-0.84500430386811021</c:v>
                </c:pt>
                <c:pt idx="7">
                  <c:v>1.2248611645806924</c:v>
                </c:pt>
                <c:pt idx="8">
                  <c:v>-1.4345279583638431</c:v>
                </c:pt>
                <c:pt idx="9">
                  <c:v>-1.1982823456187843</c:v>
                </c:pt>
                <c:pt idx="10">
                  <c:v>-5.5402428692036126E-2</c:v>
                </c:pt>
                <c:pt idx="11">
                  <c:v>-0.61732681217363206</c:v>
                </c:pt>
                <c:pt idx="12">
                  <c:v>0.77140517566557965</c:v>
                </c:pt>
                <c:pt idx="13">
                  <c:v>1.8216839370121098</c:v>
                </c:pt>
                <c:pt idx="14">
                  <c:v>-2.3890658415177817</c:v>
                </c:pt>
                <c:pt idx="15">
                  <c:v>1.5818786791353532</c:v>
                </c:pt>
                <c:pt idx="16">
                  <c:v>0.59755885899816474</c:v>
                </c:pt>
                <c:pt idx="17">
                  <c:v>-0.42352639197084002</c:v>
                </c:pt>
                <c:pt idx="18">
                  <c:v>-0.58744020880969949</c:v>
                </c:pt>
                <c:pt idx="19">
                  <c:v>2.877076125443296E-2</c:v>
                </c:pt>
                <c:pt idx="20">
                  <c:v>9.284084840173952E-2</c:v>
                </c:pt>
                <c:pt idx="21">
                  <c:v>8.5366921581293845E-2</c:v>
                </c:pt>
              </c:numCache>
            </c:numRef>
          </c:val>
          <c:smooth val="1"/>
          <c:extLst>
            <c:ext xmlns:c16="http://schemas.microsoft.com/office/drawing/2014/chart" uri="{C3380CC4-5D6E-409C-BE32-E72D297353CC}">
              <c16:uniqueId val="{00000001-8C70-494C-A286-538AFCD71EDC}"/>
            </c:ext>
          </c:extLst>
        </c:ser>
        <c:dLbls>
          <c:showLegendKey val="0"/>
          <c:showVal val="0"/>
          <c:showCatName val="0"/>
          <c:showSerName val="0"/>
          <c:showPercent val="0"/>
          <c:showBubbleSize val="0"/>
        </c:dLbls>
        <c:marker val="1"/>
        <c:smooth val="0"/>
        <c:axId val="467546320"/>
        <c:axId val="467537360"/>
      </c:lineChart>
      <c:catAx>
        <c:axId val="467546320"/>
        <c:scaling>
          <c:orientation val="minMax"/>
        </c:scaling>
        <c:delete val="0"/>
        <c:axPos val="b"/>
        <c:majorGridlines>
          <c:spPr>
            <a:ln w="9525" cap="flat" cmpd="sng" algn="ctr">
              <a:noFill/>
              <a:prstDash val="solid"/>
              <a:round/>
            </a:ln>
            <a:effectLst/>
          </c:spPr>
        </c:majorGridlines>
        <c:numFmt formatCode="General" sourceLinked="1"/>
        <c:majorTickMark val="out"/>
        <c:minorTickMark val="none"/>
        <c:tickLblPos val="low"/>
        <c:spPr>
          <a:noFill/>
          <a:ln w="6350" cap="flat" cmpd="sng" algn="ctr">
            <a:solidFill>
              <a:srgbClr val="898989"/>
            </a:solidFill>
            <a:prstDash val="solid"/>
            <a:round/>
          </a:ln>
          <a:effectLst/>
        </c:spPr>
        <c:txPr>
          <a:bodyPr rot="-6000000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crossAx val="467537360"/>
        <c:crosses val="autoZero"/>
        <c:auto val="1"/>
        <c:lblAlgn val="ctr"/>
        <c:lblOffset val="100"/>
        <c:noMultiLvlLbl val="0"/>
      </c:catAx>
      <c:valAx>
        <c:axId val="467537360"/>
        <c:scaling>
          <c:orientation val="minMax"/>
          <c:min val="-9"/>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r>
                  <a:rPr lang="sr-Cyrl-CS" sz="750" b="0">
                    <a:solidFill>
                      <a:srgbClr val="44546A"/>
                    </a:solidFill>
                    <a:latin typeface="+mn-lt"/>
                  </a:rPr>
                  <a:t>% БДП</a:t>
                </a:r>
                <a:endParaRPr lang="en-US" sz="750" b="0">
                  <a:solidFill>
                    <a:srgbClr val="44546A"/>
                  </a:solidFill>
                  <a:latin typeface="+mn-lt"/>
                </a:endParaRPr>
              </a:p>
            </c:rich>
          </c:tx>
          <c:layout>
            <c:manualLayout>
              <c:xMode val="edge"/>
              <c:yMode val="edge"/>
              <c:x val="4.8883441722674371E-2"/>
              <c:y val="0.63106356725329649"/>
            </c:manualLayout>
          </c:layout>
          <c:overlay val="0"/>
          <c:spPr>
            <a:noFill/>
            <a:ln>
              <a:noFill/>
            </a:ln>
            <a:effectLst/>
          </c:spPr>
          <c:txPr>
            <a:bodyPr rot="-5400000" spcFirstLastPara="1" vertOverflow="ellipsis" vert="horz" wrap="square" anchor="ctr" anchorCtr="1"/>
            <a:lstStyle/>
            <a:p>
              <a:pPr>
                <a:defRPr sz="750" b="0" i="0" u="none" strike="noStrike" kern="1200" baseline="0">
                  <a:solidFill>
                    <a:srgbClr val="44546A"/>
                  </a:solidFill>
                  <a:latin typeface="+mn-lt"/>
                  <a:ea typeface="+mn-ea"/>
                  <a:cs typeface="+mn-cs"/>
                </a:defRPr>
              </a:pPr>
              <a:endParaRPr lang="sr-Latn-RS"/>
            </a:p>
          </c:txPr>
        </c:title>
        <c:numFmt formatCode="0" sourceLinked="0"/>
        <c:majorTickMark val="out"/>
        <c:minorTickMark val="none"/>
        <c:tickLblPos val="nextTo"/>
        <c:spPr>
          <a:noFill/>
          <a:ln w="3175" cap="flat" cmpd="sng" algn="ctr">
            <a:noFill/>
            <a:prstDash val="solid"/>
            <a:round/>
          </a:ln>
          <a:effectLst/>
        </c:spPr>
        <c:txPr>
          <a:bodyPr rot="-60000000" spcFirstLastPara="1" vertOverflow="ellipsis" vert="horz" wrap="square" anchor="ctr" anchorCtr="1"/>
          <a:lstStyle/>
          <a:p>
            <a:pPr>
              <a:defRPr sz="750" b="0" i="0" u="none" strike="noStrike" kern="1200" baseline="0">
                <a:solidFill>
                  <a:srgbClr val="44546A"/>
                </a:solidFill>
                <a:latin typeface="Cambria" pitchFamily="18" charset="0"/>
                <a:ea typeface="+mn-ea"/>
                <a:cs typeface="+mn-cs"/>
              </a:defRPr>
            </a:pPr>
            <a:endParaRPr lang="sr-Latn-RS"/>
          </a:p>
        </c:txPr>
        <c:crossAx val="467546320"/>
        <c:crosses val="autoZero"/>
        <c:crossBetween val="between"/>
      </c:valAx>
      <c:spPr>
        <a:noFill/>
        <a:ln>
          <a:noFill/>
        </a:ln>
        <a:effectLst/>
      </c:spPr>
    </c:plotArea>
    <c:legend>
      <c:legendPos val="r"/>
      <c:layout>
        <c:manualLayout>
          <c:xMode val="edge"/>
          <c:yMode val="edge"/>
          <c:x val="0.10575935617028157"/>
          <c:y val="0.82970027594333029"/>
          <c:w val="0.795961068391148"/>
          <c:h val="4.9573656234147202E-2"/>
        </c:manualLayout>
      </c:layout>
      <c:overlay val="0"/>
      <c:spPr>
        <a:noFill/>
        <a:ln>
          <a:noFill/>
        </a:ln>
        <a:effectLst/>
      </c:spPr>
      <c:txPr>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endParaRPr lang="sr-Latn-RS"/>
        </a:p>
      </c:txPr>
    </c:legend>
    <c:plotVisOnly val="1"/>
    <c:dispBlanksAs val="gap"/>
    <c:showDLblsOverMax val="0"/>
  </c:chart>
  <c:spPr>
    <a:solidFill>
      <a:schemeClr val="lt1"/>
    </a:solidFill>
    <a:ln w="9525" cap="flat" cmpd="sng" algn="ctr">
      <a:noFill/>
      <a:prstDash val="solid"/>
      <a:round/>
    </a:ln>
    <a:effectLst/>
  </c:spPr>
  <c:txPr>
    <a:bodyPr/>
    <a:lstStyle/>
    <a:p>
      <a:pPr>
        <a:defRPr sz="900" baseline="0">
          <a:latin typeface="Cambria" pitchFamily="18" charset="0"/>
        </a:defRPr>
      </a:pPr>
      <a:endParaRPr lang="sr-Latn-RS"/>
    </a:p>
  </c:txPr>
  <c:externalData r:id="rId3">
    <c:autoUpdate val="0"/>
  </c:externalData>
  <c:userShapes r:id="rId4"/>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0616161716296222E-2"/>
          <c:y val="6.7839909841778262E-2"/>
          <c:w val="0.93476377952755907"/>
          <c:h val="0.89864703352758868"/>
        </c:manualLayout>
      </c:layout>
      <c:scatterChart>
        <c:scatterStyle val="smoothMarker"/>
        <c:varyColors val="0"/>
        <c:ser>
          <c:idx val="1"/>
          <c:order val="0"/>
          <c:spPr>
            <a:ln w="19050"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cap="rnd">
                <a:solidFill>
                  <a:schemeClr val="accent4"/>
                </a:solidFill>
                <a:round/>
              </a:ln>
              <a:effectLst/>
              <a:scene3d>
                <a:camera prst="orthographicFront">
                  <a:rot lat="0" lon="0" rev="0"/>
                </a:camera>
                <a:lightRig rig="threePt" dir="t">
                  <a:rot lat="0" lon="0" rev="1200000"/>
                </a:lightRig>
              </a:scene3d>
              <a:sp3d>
                <a:bevelT w="63500" h="25400"/>
              </a:sp3d>
            </c:spPr>
          </c:marker>
          <c:dLbls>
            <c:dLbl>
              <c:idx val="0"/>
              <c:layout>
                <c:manualLayout>
                  <c:x val="-6.9381423218486976E-2"/>
                  <c:y val="-4.1527671341031656E-2"/>
                </c:manualLayout>
              </c:layout>
              <c:tx>
                <c:rich>
                  <a:bodyPr/>
                  <a:lstStyle/>
                  <a:p>
                    <a:r>
                      <a:rPr lang="en-US"/>
                      <a:t>2006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2994-4CE4-BD1D-90C3891516E0}"/>
                </c:ext>
              </c:extLst>
            </c:dLbl>
            <c:dLbl>
              <c:idx val="1"/>
              <c:layout>
                <c:manualLayout>
                  <c:x val="-2.4016646498707127E-2"/>
                  <c:y val="-3.3977185642662298E-2"/>
                </c:manualLayout>
              </c:layout>
              <c:tx>
                <c:rich>
                  <a:bodyPr/>
                  <a:lstStyle/>
                  <a:p>
                    <a:r>
                      <a:rPr lang="en-US"/>
                      <a:t>2007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2994-4CE4-BD1D-90C3891516E0}"/>
                </c:ext>
              </c:extLst>
            </c:dLbl>
            <c:dLbl>
              <c:idx val="2"/>
              <c:layout>
                <c:manualLayout>
                  <c:x val="-2.8370370630870948E-2"/>
                  <c:y val="-1.453148864866468E-2"/>
                </c:manualLayout>
              </c:layout>
              <c:tx>
                <c:rich>
                  <a:bodyPr/>
                  <a:lstStyle/>
                  <a:p>
                    <a:r>
                      <a:rPr lang="en-US"/>
                      <a:t>2008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2994-4CE4-BD1D-90C3891516E0}"/>
                </c:ext>
              </c:extLst>
            </c:dLbl>
            <c:dLbl>
              <c:idx val="3"/>
              <c:layout>
                <c:manualLayout>
                  <c:x val="-0.13454854074369876"/>
                  <c:y val="-3.2646747537246598E-2"/>
                </c:manualLayout>
              </c:layout>
              <c:tx>
                <c:rich>
                  <a:bodyPr/>
                  <a:lstStyle/>
                  <a:p>
                    <a:r>
                      <a:rPr lang="en-US"/>
                      <a:t>2009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2994-4CE4-BD1D-90C3891516E0}"/>
                </c:ext>
              </c:extLst>
            </c:dLbl>
            <c:dLbl>
              <c:idx val="4"/>
              <c:layout>
                <c:manualLayout>
                  <c:x val="-0.11474619993826693"/>
                  <c:y val="4.8635741754395737E-2"/>
                </c:manualLayout>
              </c:layout>
              <c:tx>
                <c:rich>
                  <a:bodyPr/>
                  <a:lstStyle/>
                  <a:p>
                    <a:r>
                      <a:rPr lang="en-US"/>
                      <a:t>2010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2994-4CE4-BD1D-90C3891516E0}"/>
                </c:ext>
              </c:extLst>
            </c:dLbl>
            <c:dLbl>
              <c:idx val="5"/>
              <c:layout>
                <c:manualLayout>
                  <c:x val="8.0055488329023438E-3"/>
                  <c:y val="-3.0523469547407887E-2"/>
                </c:manualLayout>
              </c:layout>
              <c:tx>
                <c:rich>
                  <a:bodyPr/>
                  <a:lstStyle/>
                  <a:p>
                    <a:r>
                      <a:rPr lang="en-US"/>
                      <a:t>2011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2994-4CE4-BD1D-90C3891516E0}"/>
                </c:ext>
              </c:extLst>
            </c:dLbl>
            <c:dLbl>
              <c:idx val="6"/>
              <c:layout>
                <c:manualLayout>
                  <c:x val="-6.6712906940852856E-2"/>
                  <c:y val="-4.9078157039401084E-2"/>
                </c:manualLayout>
              </c:layout>
              <c:tx>
                <c:rich>
                  <a:bodyPr/>
                  <a:lstStyle/>
                  <a:p>
                    <a:r>
                      <a:rPr lang="en-US"/>
                      <a:t>2012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2994-4CE4-BD1D-90C3891516E0}"/>
                </c:ext>
              </c:extLst>
            </c:dLbl>
            <c:dLbl>
              <c:idx val="7"/>
              <c:layout>
                <c:manualLayout>
                  <c:x val="1.3486231330586023E-2"/>
                  <c:y val="-1.6118747633412688E-3"/>
                </c:manualLayout>
              </c:layout>
              <c:tx>
                <c:rich>
                  <a:bodyPr/>
                  <a:lstStyle/>
                  <a:p>
                    <a:r>
                      <a:rPr lang="en-US"/>
                      <a:t>2013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2994-4CE4-BD1D-90C3891516E0}"/>
                </c:ext>
              </c:extLst>
            </c:dLbl>
            <c:dLbl>
              <c:idx val="8"/>
              <c:layout>
                <c:manualLayout>
                  <c:x val="-0.16393145140019624"/>
                  <c:y val="6.0068211812506489E-2"/>
                </c:manualLayout>
              </c:layout>
              <c:tx>
                <c:rich>
                  <a:bodyPr/>
                  <a:lstStyle/>
                  <a:p>
                    <a:r>
                      <a:rPr lang="en-US"/>
                      <a:t>2014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2994-4CE4-BD1D-90C3891516E0}"/>
                </c:ext>
              </c:extLst>
            </c:dLbl>
            <c:dLbl>
              <c:idx val="9"/>
              <c:layout>
                <c:manualLayout>
                  <c:x val="-5.4327355684405977E-2"/>
                  <c:y val="3.8165916006571952E-2"/>
                </c:manualLayout>
              </c:layout>
              <c:tx>
                <c:rich>
                  <a:bodyPr/>
                  <a:lstStyle/>
                  <a:p>
                    <a:r>
                      <a:rPr lang="en-US"/>
                      <a:t>2015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2994-4CE4-BD1D-90C3891516E0}"/>
                </c:ext>
              </c:extLst>
            </c:dLbl>
            <c:dLbl>
              <c:idx val="10"/>
              <c:layout>
                <c:manualLayout>
                  <c:x val="-2.1348125735417816E-2"/>
                  <c:y val="7.0193690025747005E-2"/>
                </c:manualLayout>
              </c:layout>
              <c:tx>
                <c:rich>
                  <a:bodyPr/>
                  <a:lstStyle/>
                  <a:p>
                    <a:r>
                      <a:rPr lang="en-US"/>
                      <a:t>2016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2994-4CE4-BD1D-90C3891516E0}"/>
                </c:ext>
              </c:extLst>
            </c:dLbl>
            <c:dLbl>
              <c:idx val="11"/>
              <c:layout>
                <c:manualLayout>
                  <c:x val="-0.11723069564942167"/>
                  <c:y val="8.2171508222489142E-3"/>
                </c:manualLayout>
              </c:layout>
              <c:tx>
                <c:rich>
                  <a:bodyPr/>
                  <a:lstStyle/>
                  <a:p>
                    <a:r>
                      <a:rPr lang="en-US"/>
                      <a:t>2017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2994-4CE4-BD1D-90C3891516E0}"/>
                </c:ext>
              </c:extLst>
            </c:dLbl>
            <c:dLbl>
              <c:idx val="12"/>
              <c:layout>
                <c:manualLayout>
                  <c:x val="-8.5392520884291667E-2"/>
                  <c:y val="-2.2410209173716247E-2"/>
                </c:manualLayout>
              </c:layout>
              <c:tx>
                <c:rich>
                  <a:bodyPr/>
                  <a:lstStyle/>
                  <a:p>
                    <a:r>
                      <a:rPr lang="en-US"/>
                      <a:t>2018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2994-4CE4-BD1D-90C3891516E0}"/>
                </c:ext>
              </c:extLst>
            </c:dLbl>
            <c:dLbl>
              <c:idx val="13"/>
              <c:layout>
                <c:manualLayout>
                  <c:x val="-4.2696274754741539E-2"/>
                  <c:y val="-4.7156292963379649E-2"/>
                </c:manualLayout>
              </c:layout>
              <c:tx>
                <c:rich>
                  <a:bodyPr/>
                  <a:lstStyle/>
                  <a:p>
                    <a:r>
                      <a:rPr lang="en-US"/>
                      <a:t>2019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2994-4CE4-BD1D-90C3891516E0}"/>
                </c:ext>
              </c:extLst>
            </c:dLbl>
            <c:dLbl>
              <c:idx val="14"/>
              <c:layout>
                <c:manualLayout>
                  <c:x val="-0.12007117913297907"/>
                  <c:y val="6.1965093346382547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a:t>2020</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12534352501355245"/>
                      <c:h val="6.2153480814898125E-2"/>
                    </c:manualLayout>
                  </c15:layout>
                  <c15:showDataLabelsRange val="0"/>
                </c:ext>
                <c:ext xmlns:c16="http://schemas.microsoft.com/office/drawing/2014/chart" uri="{C3380CC4-5D6E-409C-BE32-E72D297353CC}">
                  <c16:uniqueId val="{0000000E-2994-4CE4-BD1D-90C3891516E0}"/>
                </c:ext>
              </c:extLst>
            </c:dLbl>
            <c:dLbl>
              <c:idx val="15"/>
              <c:layout>
                <c:manualLayout>
                  <c:x val="1.0674062867708761E-2"/>
                  <c:y val="-3.2622739847777804E-2"/>
                </c:manualLayout>
              </c:layout>
              <c:tx>
                <c:rich>
                  <a:bodyPr/>
                  <a:lstStyle/>
                  <a:p>
                    <a:r>
                      <a:rPr lang="en-US"/>
                      <a:t>2021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2994-4CE4-BD1D-90C3891516E0}"/>
                </c:ext>
              </c:extLst>
            </c:dLbl>
            <c:dLbl>
              <c:idx val="16"/>
              <c:layout>
                <c:manualLayout>
                  <c:x val="-5.1434317050597804E-2"/>
                  <c:y val="3.1226658550831701E-2"/>
                </c:manualLayout>
              </c:layout>
              <c:tx>
                <c:rich>
                  <a:bodyPr rot="0" spcFirstLastPara="1" vertOverflow="ellipsis" vert="horz" wrap="square" lIns="38100" tIns="19050" rIns="38100" bIns="19050" anchor="ctr" anchorCtr="1">
                    <a:noAutofit/>
                  </a:bodyPr>
                  <a:lstStyle/>
                  <a:p>
                    <a:pPr>
                      <a:defRPr sz="600" b="0" i="0" u="none" strike="noStrike" kern="1200" baseline="0">
                        <a:solidFill>
                          <a:srgbClr val="44546A"/>
                        </a:solidFill>
                        <a:latin typeface="+mn-lt"/>
                        <a:ea typeface="+mn-ea"/>
                        <a:cs typeface="+mn-cs"/>
                      </a:defRPr>
                    </a:pPr>
                    <a:r>
                      <a:rPr lang="en-US" sz="600" b="0"/>
                      <a:t>2022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10-2994-4CE4-BD1D-90C3891516E0}"/>
                </c:ext>
              </c:extLst>
            </c:dLbl>
            <c:dLbl>
              <c:idx val="17"/>
              <c:layout>
                <c:manualLayout>
                  <c:x val="-0.12593255566144898"/>
                  <c:y val="6.9392173435947621E-3"/>
                </c:manualLayout>
              </c:layout>
              <c:tx>
                <c:rich>
                  <a:bodyPr/>
                  <a:lstStyle/>
                  <a:p>
                    <a:r>
                      <a:rPr lang="en-US"/>
                      <a:t>2023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1-2994-4CE4-BD1D-90C3891516E0}"/>
                </c:ext>
              </c:extLst>
            </c:dLbl>
            <c:dLbl>
              <c:idx val="18"/>
              <c:layout>
                <c:manualLayout>
                  <c:x val="-1.3581838921101494E-2"/>
                  <c:y val="-6.9392574557403776E-3"/>
                </c:manualLayout>
              </c:layout>
              <c:tx>
                <c:rich>
                  <a:bodyPr/>
                  <a:lstStyle/>
                  <a:p>
                    <a:r>
                      <a:rPr lang="en-US"/>
                      <a:t>2024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2-2994-4CE4-BD1D-90C3891516E0}"/>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rgbClr val="44546A"/>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'Grafikoni, CAB, Karakter'!$Z$12:$Z$30</c:f>
              <c:numCache>
                <c:formatCode>#,##0.0</c:formatCode>
                <c:ptCount val="19"/>
                <c:pt idx="0">
                  <c:v>-2.6711854434675311</c:v>
                </c:pt>
                <c:pt idx="1">
                  <c:v>0.76280239136424388</c:v>
                </c:pt>
                <c:pt idx="2">
                  <c:v>4.0501018707246716</c:v>
                </c:pt>
                <c:pt idx="3">
                  <c:v>-0.385218937578441</c:v>
                </c:pt>
                <c:pt idx="4">
                  <c:v>-0.71576602430419678</c:v>
                </c:pt>
                <c:pt idx="5">
                  <c:v>0.52027763283400119</c:v>
                </c:pt>
                <c:pt idx="6">
                  <c:v>-0.84500430386811021</c:v>
                </c:pt>
                <c:pt idx="7">
                  <c:v>1.2248611645806924</c:v>
                </c:pt>
                <c:pt idx="8">
                  <c:v>-1.4345279583638431</c:v>
                </c:pt>
                <c:pt idx="9">
                  <c:v>-1.1982823456187843</c:v>
                </c:pt>
                <c:pt idx="10">
                  <c:v>-5.5402428692036126E-2</c:v>
                </c:pt>
                <c:pt idx="11">
                  <c:v>-0.61732681217363206</c:v>
                </c:pt>
                <c:pt idx="12">
                  <c:v>0.77140517566557965</c:v>
                </c:pt>
                <c:pt idx="13">
                  <c:v>1.8216839370121098</c:v>
                </c:pt>
                <c:pt idx="14">
                  <c:v>-2.3890658415177817</c:v>
                </c:pt>
                <c:pt idx="15">
                  <c:v>1.5818786791353532</c:v>
                </c:pt>
                <c:pt idx="16">
                  <c:v>0.59755885899816474</c:v>
                </c:pt>
                <c:pt idx="17">
                  <c:v>-0.42352639197084002</c:v>
                </c:pt>
                <c:pt idx="18">
                  <c:v>-0.58744020880969949</c:v>
                </c:pt>
              </c:numCache>
            </c:numRef>
          </c:xVal>
          <c:yVal>
            <c:numRef>
              <c:f>'Grafikoni, CAB, Karakter'!$AA$12:$AA$30</c:f>
              <c:numCache>
                <c:formatCode>#,##0.0</c:formatCode>
                <c:ptCount val="19"/>
                <c:pt idx="0">
                  <c:v>1.215869899709813</c:v>
                </c:pt>
                <c:pt idx="1">
                  <c:v>2.3085333802739916</c:v>
                </c:pt>
                <c:pt idx="2">
                  <c:v>1.8648224021753883</c:v>
                </c:pt>
                <c:pt idx="3">
                  <c:v>4.6603959768409364E-2</c:v>
                </c:pt>
                <c:pt idx="4">
                  <c:v>-0.29357974185616742</c:v>
                </c:pt>
                <c:pt idx="5">
                  <c:v>0.428833005943555</c:v>
                </c:pt>
                <c:pt idx="6">
                  <c:v>0.87151019427787269</c:v>
                </c:pt>
                <c:pt idx="7">
                  <c:v>-1.0406319043430714</c:v>
                </c:pt>
                <c:pt idx="8">
                  <c:v>-0.35653227566821322</c:v>
                </c:pt>
                <c:pt idx="9">
                  <c:v>-2.9854294590512378</c:v>
                </c:pt>
                <c:pt idx="10">
                  <c:v>-1.76964557273699</c:v>
                </c:pt>
                <c:pt idx="11">
                  <c:v>-2.1295958769385566</c:v>
                </c:pt>
                <c:pt idx="12">
                  <c:v>1.3799870819721654</c:v>
                </c:pt>
                <c:pt idx="13">
                  <c:v>1.3286072831378197</c:v>
                </c:pt>
                <c:pt idx="14">
                  <c:v>6.3406414970682645</c:v>
                </c:pt>
                <c:pt idx="15">
                  <c:v>-2.2298987725799777</c:v>
                </c:pt>
                <c:pt idx="16">
                  <c:v>-1.0912005181554698</c:v>
                </c:pt>
                <c:pt idx="17">
                  <c:v>-1.5172436253467876</c:v>
                </c:pt>
                <c:pt idx="18">
                  <c:v>-0.3655170942636245</c:v>
                </c:pt>
              </c:numCache>
            </c:numRef>
          </c:yVal>
          <c:smooth val="1"/>
          <c:extLst>
            <c:ext xmlns:c16="http://schemas.microsoft.com/office/drawing/2014/chart" uri="{C3380CC4-5D6E-409C-BE32-E72D297353CC}">
              <c16:uniqueId val="{00000013-2994-4CE4-BD1D-90C3891516E0}"/>
            </c:ext>
          </c:extLst>
        </c:ser>
        <c:dLbls>
          <c:showLegendKey val="0"/>
          <c:showVal val="0"/>
          <c:showCatName val="0"/>
          <c:showSerName val="0"/>
          <c:showPercent val="0"/>
          <c:showBubbleSize val="0"/>
        </c:dLbls>
        <c:axId val="220401872"/>
        <c:axId val="343751600"/>
      </c:scatterChart>
      <c:valAx>
        <c:axId val="220401872"/>
        <c:scaling>
          <c:orientation val="minMax"/>
          <c:min val="-3"/>
        </c:scaling>
        <c:delete val="0"/>
        <c:axPos val="b"/>
        <c:majorGridlines>
          <c:spPr>
            <a:ln w="12700" cap="flat" cmpd="sng" algn="ctr">
              <a:noFill/>
              <a:round/>
            </a:ln>
            <a:effectLst/>
          </c:spPr>
        </c:majorGridlines>
        <c:title>
          <c:tx>
            <c:rich>
              <a:bodyPr rot="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Производни јаз</a:t>
                </a:r>
              </a:p>
            </c:rich>
          </c:tx>
          <c:layout>
            <c:manualLayout>
              <c:xMode val="edge"/>
              <c:yMode val="edge"/>
              <c:x val="0.82932193475815519"/>
              <c:y val="0.56597321446622073"/>
            </c:manualLayout>
          </c:layout>
          <c:overlay val="0"/>
          <c:spPr>
            <a:noFill/>
            <a:ln>
              <a:noFill/>
            </a:ln>
            <a:effectLst/>
          </c:spPr>
        </c:title>
        <c:numFmt formatCode="#,##0" sourceLinked="0"/>
        <c:majorTickMark val="none"/>
        <c:minorTickMark val="none"/>
        <c:tickLblPos val="nextTo"/>
        <c:spPr>
          <a:noFill/>
          <a:ln w="9525" cap="flat" cmpd="sng" algn="ctr">
            <a:solidFill>
              <a:srgbClr val="D9D9D9"/>
            </a:solidFill>
            <a:round/>
          </a:ln>
          <a:effectLst/>
        </c:spPr>
        <c:txPr>
          <a:bodyPr rot="-60000000" spcFirstLastPara="1" vertOverflow="ellipsis" vert="horz" wrap="square" anchor="ctr" anchorCtr="1"/>
          <a:lstStyle/>
          <a:p>
            <a:pPr>
              <a:defRPr sz="800" b="0" i="0" u="none" strike="noStrike" kern="1200" baseline="0">
                <a:solidFill>
                  <a:srgbClr val="44546A"/>
                </a:solidFill>
                <a:latin typeface="+mn-lt"/>
                <a:ea typeface="+mn-ea"/>
                <a:cs typeface="+mn-cs"/>
              </a:defRPr>
            </a:pPr>
            <a:endParaRPr lang="sr-Latn-RS"/>
          </a:p>
        </c:txPr>
        <c:crossAx val="343751600"/>
        <c:crosses val="autoZero"/>
        <c:crossBetween val="midCat"/>
      </c:valAx>
      <c:valAx>
        <c:axId val="343751600"/>
        <c:scaling>
          <c:orientation val="minMax"/>
          <c:max val="6.5"/>
          <c:min val="-4"/>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600" b="0" i="0" u="none" strike="noStrike" kern="1200" baseline="0">
                    <a:solidFill>
                      <a:srgbClr val="44546A"/>
                    </a:solidFill>
                    <a:latin typeface="+mn-lt"/>
                    <a:ea typeface="+mn-ea"/>
                    <a:cs typeface="+mn-cs"/>
                  </a:defRPr>
                </a:pPr>
                <a:r>
                  <a:rPr lang="sr-Cyrl-CS" sz="600" b="0">
                    <a:solidFill>
                      <a:srgbClr val="44546A"/>
                    </a:solidFill>
                    <a:latin typeface="+mn-lt"/>
                  </a:rPr>
                  <a:t>Фискални импулс</a:t>
                </a:r>
                <a:endParaRPr lang="en-GB" sz="600" b="0">
                  <a:solidFill>
                    <a:srgbClr val="44546A"/>
                  </a:solidFill>
                  <a:latin typeface="+mn-lt"/>
                </a:endParaRPr>
              </a:p>
            </c:rich>
          </c:tx>
          <c:layout>
            <c:manualLayout>
              <c:xMode val="edge"/>
              <c:yMode val="edge"/>
              <c:x val="2.416097987751531E-3"/>
              <c:y val="0.49974210003786534"/>
            </c:manualLayout>
          </c:layout>
          <c:overlay val="0"/>
          <c:spPr>
            <a:noFill/>
            <a:ln>
              <a:noFill/>
            </a:ln>
            <a:effectLst/>
          </c:spPr>
        </c:title>
        <c:numFmt formatCode="#,##0" sourceLinked="0"/>
        <c:majorTickMark val="none"/>
        <c:minorTickMark val="none"/>
        <c:tickLblPos val="nextTo"/>
        <c:spPr>
          <a:noFill/>
          <a:ln w="9525">
            <a:solidFill>
              <a:srgbClr val="D9D9D9"/>
            </a:solid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220401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baseline="0">
          <a:latin typeface="Cambria" panose="02040503050406030204" pitchFamily="18" charset="0"/>
        </a:defRPr>
      </a:pPr>
      <a:endParaRPr lang="sr-Latn-RS"/>
    </a:p>
  </c:txPr>
  <c:externalData r:id="rId2">
    <c:autoUpdate val="0"/>
  </c:externalData>
  <c:userShapes r:id="rId3"/>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109214420450111"/>
          <c:y val="4.2508416483893662E-2"/>
          <c:w val="0.86835241316508394"/>
          <c:h val="0.78433948329231562"/>
        </c:manualLayout>
      </c:layout>
      <c:barChart>
        <c:barDir val="col"/>
        <c:grouping val="clustered"/>
        <c:varyColors val="0"/>
        <c:ser>
          <c:idx val="0"/>
          <c:order val="0"/>
          <c:spPr>
            <a:solidFill>
              <a:schemeClr val="accent1"/>
            </a:solidFill>
            <a:ln w="25400">
              <a:solidFill>
                <a:schemeClr val="accent1"/>
              </a:solidFill>
            </a:ln>
            <a:effectLst/>
          </c:spPr>
          <c:invertIfNegative val="0"/>
          <c:dLbls>
            <c:dLbl>
              <c:idx val="11"/>
              <c:layout>
                <c:manualLayout>
                  <c:x val="-8.4426072058709598E-17"/>
                  <c:y val="1.0884353741496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911-4DAB-848E-B5C26E5FA5A6}"/>
                </c:ext>
              </c:extLst>
            </c:dLbl>
            <c:dLbl>
              <c:idx val="12"/>
              <c:layout>
                <c:manualLayout>
                  <c:x val="-1.8420446695832374E-2"/>
                  <c:y val="-3.26530612244897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911-4DAB-848E-B5C26E5FA5A6}"/>
                </c:ext>
              </c:extLst>
            </c:dLbl>
            <c:dLbl>
              <c:idx val="13"/>
              <c:layout>
                <c:manualLayout>
                  <c:x val="-4.6051116739580936E-3"/>
                  <c:y val="-1.63265306122449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911-4DAB-848E-B5C26E5FA5A6}"/>
                </c:ext>
              </c:extLst>
            </c:dLbl>
            <c:dLbl>
              <c:idx val="15"/>
              <c:layout>
                <c:manualLayout>
                  <c:x val="9.2102233479161872E-3"/>
                  <c:y val="-2.17687074829931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911-4DAB-848E-B5C26E5FA5A6}"/>
                </c:ext>
              </c:extLst>
            </c:dLbl>
            <c:dLbl>
              <c:idx val="16"/>
              <c:layout>
                <c:manualLayout>
                  <c:x val="-1.688521441174192E-16"/>
                  <c:y val="2.17687074829931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911-4DAB-848E-B5C26E5FA5A6}"/>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'Сценарио 1'!$C$79:$C$95</c:f>
              <c:strCache>
                <c:ptCount val="17"/>
                <c:pt idx="0">
                  <c:v>2008*</c:v>
                </c:pt>
                <c:pt idx="1">
                  <c:v>2009*</c:v>
                </c:pt>
                <c:pt idx="2">
                  <c:v>2010*</c:v>
                </c:pt>
                <c:pt idx="3">
                  <c:v>2011</c:v>
                </c:pt>
                <c:pt idx="4">
                  <c:v>2012</c:v>
                </c:pt>
                <c:pt idx="5">
                  <c:v>2013</c:v>
                </c:pt>
                <c:pt idx="6">
                  <c:v>2014</c:v>
                </c:pt>
                <c:pt idx="7">
                  <c:v>2015</c:v>
                </c:pt>
                <c:pt idx="8">
                  <c:v>2016</c:v>
                </c:pt>
                <c:pt idx="9">
                  <c:v>2017</c:v>
                </c:pt>
                <c:pt idx="10">
                  <c:v>2018</c:v>
                </c:pt>
                <c:pt idx="11">
                  <c:v>2019</c:v>
                </c:pt>
                <c:pt idx="12">
                  <c:v>2020</c:v>
                </c:pt>
                <c:pt idx="13">
                  <c:v>2021</c:v>
                </c:pt>
                <c:pt idx="14">
                  <c:v>2022</c:v>
                </c:pt>
                <c:pt idx="15">
                  <c:v>2023</c:v>
                </c:pt>
                <c:pt idx="16">
                  <c:v>2024**</c:v>
                </c:pt>
              </c:strCache>
            </c:strRef>
          </c:cat>
          <c:val>
            <c:numRef>
              <c:f>'Сценарио 1'!$D$79:$D$95</c:f>
              <c:numCache>
                <c:formatCode>#,#00</c:formatCode>
                <c:ptCount val="17"/>
                <c:pt idx="0">
                  <c:v>28.7</c:v>
                </c:pt>
                <c:pt idx="1">
                  <c:v>32.799999999999997</c:v>
                </c:pt>
                <c:pt idx="2">
                  <c:v>41.4</c:v>
                </c:pt>
                <c:pt idx="3">
                  <c:v>44.687403264025434</c:v>
                </c:pt>
                <c:pt idx="4">
                  <c:v>54.584451229535397</c:v>
                </c:pt>
                <c:pt idx="5">
                  <c:v>57.483723765998221</c:v>
                </c:pt>
                <c:pt idx="6">
                  <c:v>67.495119111541086</c:v>
                </c:pt>
                <c:pt idx="7">
                  <c:v>71.199826072534094</c:v>
                </c:pt>
                <c:pt idx="8">
                  <c:v>68.7</c:v>
                </c:pt>
                <c:pt idx="9">
                  <c:v>58.6</c:v>
                </c:pt>
                <c:pt idx="10">
                  <c:v>54.4</c:v>
                </c:pt>
                <c:pt idx="11">
                  <c:v>52.8</c:v>
                </c:pt>
                <c:pt idx="12" formatCode="General">
                  <c:v>57.8</c:v>
                </c:pt>
                <c:pt idx="13">
                  <c:v>57.124554851384275</c:v>
                </c:pt>
                <c:pt idx="14">
                  <c:v>55.6</c:v>
                </c:pt>
                <c:pt idx="15">
                  <c:v>52.3</c:v>
                </c:pt>
                <c:pt idx="16">
                  <c:v>52</c:v>
                </c:pt>
              </c:numCache>
            </c:numRef>
          </c:val>
          <c:extLst>
            <c:ext xmlns:c16="http://schemas.microsoft.com/office/drawing/2014/chart" uri="{C3380CC4-5D6E-409C-BE32-E72D297353CC}">
              <c16:uniqueId val="{00000000-4911-4DAB-848E-B5C26E5FA5A6}"/>
            </c:ext>
          </c:extLst>
        </c:ser>
        <c:dLbls>
          <c:showLegendKey val="0"/>
          <c:showVal val="0"/>
          <c:showCatName val="0"/>
          <c:showSerName val="0"/>
          <c:showPercent val="0"/>
          <c:showBubbleSize val="0"/>
        </c:dLbls>
        <c:gapWidth val="57"/>
        <c:axId val="582077168"/>
        <c:axId val="582077584"/>
      </c:barChart>
      <c:catAx>
        <c:axId val="582077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582077584"/>
        <c:crosses val="autoZero"/>
        <c:auto val="1"/>
        <c:lblAlgn val="ctr"/>
        <c:lblOffset val="100"/>
        <c:noMultiLvlLbl val="0"/>
      </c:catAx>
      <c:valAx>
        <c:axId val="582077584"/>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sr-Cyrl-RS" sz="800"/>
                  <a:t>% БДП</a:t>
                </a:r>
              </a:p>
            </c:rich>
          </c:tx>
          <c:layout>
            <c:manualLayout>
              <c:xMode val="edge"/>
              <c:yMode val="edge"/>
              <c:x val="8.7032259351186914E-2"/>
              <c:y val="0.362129305265413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8207716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sr-Latn-RS"/>
    </a:p>
  </c:txPr>
  <c:externalData r:id="rId3">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247473029496585E-2"/>
          <c:y val="5.0621986652026364E-2"/>
          <c:w val="0.90182166347717574"/>
          <c:h val="0.90664979271278157"/>
        </c:manualLayout>
      </c:layout>
      <c:lineChart>
        <c:grouping val="standard"/>
        <c:varyColors val="0"/>
        <c:ser>
          <c:idx val="0"/>
          <c:order val="0"/>
          <c:tx>
            <c:strRef>
              <c:f>'Quaterly, Yearly'!$CX$5</c:f>
              <c:strCache>
                <c:ptCount val="1"/>
                <c:pt idx="0">
                  <c:v>Примарни резултат који стабилизује учешће дуга у БДП</c:v>
                </c:pt>
              </c:strCache>
            </c:strRef>
          </c:tx>
          <c:spPr>
            <a:ln w="22225" cap="rnd">
              <a:solidFill>
                <a:schemeClr val="accent1"/>
              </a:solidFill>
              <a:round/>
            </a:ln>
            <a:effectLst/>
          </c:spPr>
          <c:marker>
            <c:symbol val="none"/>
          </c:marker>
          <c:cat>
            <c:strRef>
              <c:f>('Quaterly, Yearly'!$DL$7:$DW$8,'Quaterly, Yearly'!$DX$7:$DX$8)</c:f>
              <c:strCach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strCache>
            </c:strRef>
          </c:cat>
          <c:val>
            <c:numRef>
              <c:f>'Quaterly, Yearly'!$DL$5:$DX$5</c:f>
              <c:numCache>
                <c:formatCode>#,##0.00</c:formatCode>
                <c:ptCount val="13"/>
                <c:pt idx="0">
                  <c:v>0.33469487792738534</c:v>
                </c:pt>
                <c:pt idx="1">
                  <c:v>-0.48152612519681304</c:v>
                </c:pt>
                <c:pt idx="2">
                  <c:v>-0.51643690674312936</c:v>
                </c:pt>
                <c:pt idx="3">
                  <c:v>-1.440661646189574</c:v>
                </c:pt>
                <c:pt idx="4">
                  <c:v>-1.563465039272079</c:v>
                </c:pt>
                <c:pt idx="5">
                  <c:v>1.0106948845758121</c:v>
                </c:pt>
                <c:pt idx="6">
                  <c:v>-5.5169811799035955</c:v>
                </c:pt>
                <c:pt idx="7">
                  <c:v>-5.2889520921669479</c:v>
                </c:pt>
                <c:pt idx="8">
                  <c:v>-5.4661943926654066</c:v>
                </c:pt>
                <c:pt idx="9">
                  <c:v>-2.7506036087037842</c:v>
                </c:pt>
                <c:pt idx="10">
                  <c:v>-1.692506332527089</c:v>
                </c:pt>
                <c:pt idx="11">
                  <c:v>-1.3569249670287333</c:v>
                </c:pt>
                <c:pt idx="12">
                  <c:v>-1.4572905515391505</c:v>
                </c:pt>
              </c:numCache>
            </c:numRef>
          </c:val>
          <c:smooth val="0"/>
          <c:extLst>
            <c:ext xmlns:c16="http://schemas.microsoft.com/office/drawing/2014/chart" uri="{C3380CC4-5D6E-409C-BE32-E72D297353CC}">
              <c16:uniqueId val="{00000000-C858-4954-B7BF-0A4C98A7A7D0}"/>
            </c:ext>
          </c:extLst>
        </c:ser>
        <c:ser>
          <c:idx val="1"/>
          <c:order val="1"/>
          <c:tx>
            <c:v>Остварени (пројектовани) примарни фискални резултат</c:v>
          </c:tx>
          <c:spPr>
            <a:ln w="22225" cap="rnd">
              <a:solidFill>
                <a:schemeClr val="accent2"/>
              </a:solidFill>
              <a:round/>
            </a:ln>
            <a:effectLst/>
          </c:spPr>
          <c:marker>
            <c:symbol val="none"/>
          </c:marker>
          <c:cat>
            <c:strRef>
              <c:f>('Quaterly, Yearly'!$DL$7:$DW$8,'Quaterly, Yearly'!$DX$7:$DX$8)</c:f>
              <c:strCache>
                <c:ptCount val="13"/>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strCache>
            </c:strRef>
          </c:cat>
          <c:val>
            <c:numRef>
              <c:f>('Quaterly, Yearly'!$DL$61:$DW$61,'Quaterly, Yearly'!$DX$61)</c:f>
              <c:numCache>
                <c:formatCode>#.##00</c:formatCode>
                <c:ptCount val="13"/>
                <c:pt idx="0">
                  <c:v>-0.47061316203530046</c:v>
                </c:pt>
                <c:pt idx="1">
                  <c:v>1.7045650732845505</c:v>
                </c:pt>
                <c:pt idx="2">
                  <c:v>3.634771068549187</c:v>
                </c:pt>
                <c:pt idx="3">
                  <c:v>2.7475533250713307</c:v>
                </c:pt>
                <c:pt idx="4">
                  <c:v>1.7916206652556272</c:v>
                </c:pt>
                <c:pt idx="5">
                  <c:v>-6.0431380560869226</c:v>
                </c:pt>
                <c:pt idx="6">
                  <c:v>-2.404213120233746</c:v>
                </c:pt>
                <c:pt idx="7" formatCode="#,##0.00">
                  <c:v>-1.6622827498701038</c:v>
                </c:pt>
                <c:pt idx="8" formatCode="#.##0000">
                  <c:v>-0.50735489752511753</c:v>
                </c:pt>
                <c:pt idx="9" formatCode="#,#00">
                  <c:v>-0.20663104954372757</c:v>
                </c:pt>
                <c:pt idx="10" formatCode="#,#00">
                  <c:v>-0.13132620518904781</c:v>
                </c:pt>
                <c:pt idx="11" formatCode="#,#00">
                  <c:v>3.9713005237986806E-2</c:v>
                </c:pt>
                <c:pt idx="12" formatCode="#,#00">
                  <c:v>0.13080314396766718</c:v>
                </c:pt>
              </c:numCache>
            </c:numRef>
          </c:val>
          <c:smooth val="0"/>
          <c:extLst>
            <c:ext xmlns:c16="http://schemas.microsoft.com/office/drawing/2014/chart" uri="{C3380CC4-5D6E-409C-BE32-E72D297353CC}">
              <c16:uniqueId val="{00000001-C858-4954-B7BF-0A4C98A7A7D0}"/>
            </c:ext>
          </c:extLst>
        </c:ser>
        <c:dLbls>
          <c:showLegendKey val="0"/>
          <c:showVal val="0"/>
          <c:showCatName val="0"/>
          <c:showSerName val="0"/>
          <c:showPercent val="0"/>
          <c:showBubbleSize val="0"/>
        </c:dLbls>
        <c:smooth val="0"/>
        <c:axId val="519226144"/>
        <c:axId val="519226704"/>
      </c:lineChart>
      <c:catAx>
        <c:axId val="51922614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sr-Latn-RS"/>
          </a:p>
        </c:txPr>
        <c:crossAx val="519226704"/>
        <c:crosses val="autoZero"/>
        <c:auto val="1"/>
        <c:lblAlgn val="ctr"/>
        <c:lblOffset val="100"/>
        <c:noMultiLvlLbl val="0"/>
      </c:catAx>
      <c:valAx>
        <c:axId val="519226704"/>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sr-Cyrl-RS" sz="900">
                    <a:latin typeface="+mn-lt"/>
                  </a:rPr>
                  <a:t>% БДП</a:t>
                </a:r>
                <a:endParaRPr lang="en-US" sz="900">
                  <a:latin typeface="+mn-lt"/>
                </a:endParaRPr>
              </a:p>
            </c:rich>
          </c:tx>
          <c:layout>
            <c:manualLayout>
              <c:xMode val="edge"/>
              <c:yMode val="edge"/>
              <c:x val="6.9973402760528769E-2"/>
              <c:y val="0.1733041195937464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519226144"/>
        <c:crosses val="autoZero"/>
        <c:crossBetween val="between"/>
      </c:valAx>
      <c:spPr>
        <a:noFill/>
        <a:ln>
          <a:noFill/>
        </a:ln>
        <a:effectLst/>
      </c:spPr>
    </c:plotArea>
    <c:legend>
      <c:legendPos val="r"/>
      <c:layout>
        <c:manualLayout>
          <c:xMode val="edge"/>
          <c:yMode val="edge"/>
          <c:x val="0.50348565649947374"/>
          <c:y val="4.4762640649801927E-2"/>
          <c:w val="0.49291803102994453"/>
          <c:h val="0.3269816272965879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noFill/>
    <a:ln w="9525" cap="flat" cmpd="sng" algn="ctr">
      <a:noFill/>
      <a:round/>
    </a:ln>
    <a:effectLst/>
  </c:spPr>
  <c:txPr>
    <a:bodyPr/>
    <a:lstStyle/>
    <a:p>
      <a:pPr>
        <a:defRPr/>
      </a:pPr>
      <a:endParaRPr lang="sr-Latn-RS"/>
    </a:p>
  </c:txPr>
  <c:externalData r:id="rId3">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4587713337863218E-2"/>
          <c:y val="2.9912556166267597E-2"/>
          <c:w val="0.86739038330868545"/>
          <c:h val="0.75838633222079932"/>
        </c:manualLayout>
      </c:layout>
      <c:barChart>
        <c:barDir val="col"/>
        <c:grouping val="clustered"/>
        <c:varyColors val="0"/>
        <c:dLbls>
          <c:showLegendKey val="0"/>
          <c:showVal val="0"/>
          <c:showCatName val="0"/>
          <c:showSerName val="0"/>
          <c:showPercent val="0"/>
          <c:showBubbleSize val="0"/>
        </c:dLbls>
        <c:gapWidth val="200"/>
        <c:axId val="1433716128"/>
        <c:axId val="1433710720"/>
        <c:extLst>
          <c:ext xmlns:c15="http://schemas.microsoft.com/office/drawing/2012/chart" uri="{02D57815-91ED-43cb-92C2-25804820EDAC}">
            <c15:filteredBarSeries>
              <c15:ser>
                <c:idx val="4"/>
                <c:order val="4"/>
                <c:tx>
                  <c:strRef>
                    <c:extLst>
                      <c:ext uri="{02D57815-91ED-43cb-92C2-25804820EDAC}">
                        <c15:formulaRef>
                          <c15:sqref>'Сценарио 1'!$B$48</c15:sqref>
                        </c15:formulaRef>
                      </c:ext>
                    </c:extLst>
                    <c:strCache>
                      <c:ptCount val="1"/>
                      <c:pt idx="0">
                        <c:v>Основни сценарио (дефицит)</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c:ext uri="{02D57815-91ED-43cb-92C2-25804820EDAC}">
                        <c15:formulaRef>
                          <c15:sqref>'Сценарио 1'!$C$33:$L$33</c15:sqref>
                        </c15:formulaRef>
                      </c:ext>
                    </c:extLst>
                    <c:numCache>
                      <c:formatCode>General</c:formatCode>
                      <c:ptCount val="10"/>
                      <c:pt idx="0">
                        <c:v>2023</c:v>
                      </c:pt>
                      <c:pt idx="1">
                        <c:v>2024</c:v>
                      </c:pt>
                      <c:pt idx="2">
                        <c:v>2025</c:v>
                      </c:pt>
                      <c:pt idx="3">
                        <c:v>2026</c:v>
                      </c:pt>
                      <c:pt idx="4">
                        <c:v>2027</c:v>
                      </c:pt>
                      <c:pt idx="5">
                        <c:v>2028</c:v>
                      </c:pt>
                      <c:pt idx="6">
                        <c:v>2029</c:v>
                      </c:pt>
                      <c:pt idx="7">
                        <c:v>2030</c:v>
                      </c:pt>
                      <c:pt idx="8">
                        <c:v>2031</c:v>
                      </c:pt>
                      <c:pt idx="9">
                        <c:v>2032</c:v>
                      </c:pt>
                    </c:numCache>
                  </c:numRef>
                </c:cat>
                <c:val>
                  <c:numRef>
                    <c:extLst>
                      <c:ext uri="{02D57815-91ED-43cb-92C2-25804820EDAC}">
                        <c15:formulaRef>
                          <c15:sqref>'Сценарио 1'!$C$48:$L$48</c15:sqref>
                        </c15:formulaRef>
                      </c:ext>
                    </c:extLst>
                    <c:numCache>
                      <c:formatCode>General</c:formatCode>
                      <c:ptCount val="10"/>
                      <c:pt idx="0">
                        <c:v>2.2218854863597315</c:v>
                      </c:pt>
                      <c:pt idx="1">
                        <c:v>2.2016148236020783</c:v>
                      </c:pt>
                      <c:pt idx="2">
                        <c:v>2.4929742865992282</c:v>
                      </c:pt>
                      <c:pt idx="3">
                        <c:v>2.254</c:v>
                      </c:pt>
                      <c:pt idx="4">
                        <c:v>2.25</c:v>
                      </c:pt>
                      <c:pt idx="5">
                        <c:v>2.25</c:v>
                      </c:pt>
                      <c:pt idx="6">
                        <c:v>1.5</c:v>
                      </c:pt>
                      <c:pt idx="7">
                        <c:v>1.5</c:v>
                      </c:pt>
                      <c:pt idx="8">
                        <c:v>1.5</c:v>
                      </c:pt>
                      <c:pt idx="9">
                        <c:v>1.5</c:v>
                      </c:pt>
                    </c:numCache>
                  </c:numRef>
                </c:val>
                <c:extLst>
                  <c:ext xmlns:c16="http://schemas.microsoft.com/office/drawing/2014/chart" uri="{C3380CC4-5D6E-409C-BE32-E72D297353CC}">
                    <c16:uniqueId val="{00000043-F2BE-4AA6-9C39-50DDAFA15F5F}"/>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'Сценарио 1'!$B$49</c15:sqref>
                        </c15:formulaRef>
                      </c:ext>
                    </c:extLst>
                    <c:strCache>
                      <c:ptCount val="1"/>
                      <c:pt idx="0">
                        <c:v>Успорен раст након 2027. (дефицит)</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1'!$C$33:$L$33</c15:sqref>
                        </c15:formulaRef>
                      </c:ext>
                    </c:extLst>
                    <c:numCache>
                      <c:formatCode>General</c:formatCode>
                      <c:ptCount val="10"/>
                      <c:pt idx="0">
                        <c:v>2023</c:v>
                      </c:pt>
                      <c:pt idx="1">
                        <c:v>2024</c:v>
                      </c:pt>
                      <c:pt idx="2">
                        <c:v>2025</c:v>
                      </c:pt>
                      <c:pt idx="3">
                        <c:v>2026</c:v>
                      </c:pt>
                      <c:pt idx="4">
                        <c:v>2027</c:v>
                      </c:pt>
                      <c:pt idx="5">
                        <c:v>2028</c:v>
                      </c:pt>
                      <c:pt idx="6">
                        <c:v>2029</c:v>
                      </c:pt>
                      <c:pt idx="7">
                        <c:v>2030</c:v>
                      </c:pt>
                      <c:pt idx="8">
                        <c:v>2031</c:v>
                      </c:pt>
                      <c:pt idx="9">
                        <c:v>2032</c:v>
                      </c:pt>
                    </c:numCache>
                  </c:numRef>
                </c:cat>
                <c:val>
                  <c:numRef>
                    <c:extLst xmlns:c15="http://schemas.microsoft.com/office/drawing/2012/chart">
                      <c:ext xmlns:c15="http://schemas.microsoft.com/office/drawing/2012/chart" uri="{02D57815-91ED-43cb-92C2-25804820EDAC}">
                        <c15:formulaRef>
                          <c15:sqref>'Сценарио 1'!$C$49:$L$49</c15:sqref>
                        </c15:formulaRef>
                      </c:ext>
                    </c:extLst>
                    <c:numCache>
                      <c:formatCode>General</c:formatCode>
                      <c:ptCount val="10"/>
                      <c:pt idx="0">
                        <c:v>2.2218854863597315</c:v>
                      </c:pt>
                      <c:pt idx="1">
                        <c:v>2.2016148236020783</c:v>
                      </c:pt>
                      <c:pt idx="2">
                        <c:v>2.4929742865992282</c:v>
                      </c:pt>
                      <c:pt idx="3">
                        <c:v>2.254</c:v>
                      </c:pt>
                      <c:pt idx="4">
                        <c:v>2.25</c:v>
                      </c:pt>
                      <c:pt idx="5">
                        <c:v>1.5</c:v>
                      </c:pt>
                      <c:pt idx="6">
                        <c:v>1.5</c:v>
                      </c:pt>
                      <c:pt idx="7">
                        <c:v>1.5</c:v>
                      </c:pt>
                      <c:pt idx="8">
                        <c:v>1.5</c:v>
                      </c:pt>
                      <c:pt idx="9">
                        <c:v>1.5</c:v>
                      </c:pt>
                    </c:numCache>
                  </c:numRef>
                </c:val>
                <c:extLst xmlns:c15="http://schemas.microsoft.com/office/drawing/2012/chart">
                  <c:ext xmlns:c16="http://schemas.microsoft.com/office/drawing/2014/chart" uri="{C3380CC4-5D6E-409C-BE32-E72D297353CC}">
                    <c16:uniqueId val="{00000044-F2BE-4AA6-9C39-50DDAFA15F5F}"/>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'Сценарио 1'!$B$50</c15:sqref>
                        </c15:formulaRef>
                      </c:ext>
                    </c:extLst>
                    <c:strCache>
                      <c:ptCount val="1"/>
                      <c:pt idx="0">
                        <c:v>Фискални шок након 2027. године (дефицит)</c:v>
                      </c:pt>
                    </c:strCache>
                  </c:strRef>
                </c:tx>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1200000"/>
                    </a:lightRig>
                  </a:scene3d>
                  <a:sp3d/>
                </c:spPr>
                <c:invertIfNegative val="0"/>
                <c:cat>
                  <c:numRef>
                    <c:extLst xmlns:c15="http://schemas.microsoft.com/office/drawing/2012/chart">
                      <c:ext xmlns:c15="http://schemas.microsoft.com/office/drawing/2012/chart" uri="{02D57815-91ED-43cb-92C2-25804820EDAC}">
                        <c15:formulaRef>
                          <c15:sqref>'Сценарио 1'!$C$33:$L$33</c15:sqref>
                        </c15:formulaRef>
                      </c:ext>
                    </c:extLst>
                    <c:numCache>
                      <c:formatCode>General</c:formatCode>
                      <c:ptCount val="10"/>
                      <c:pt idx="0">
                        <c:v>2023</c:v>
                      </c:pt>
                      <c:pt idx="1">
                        <c:v>2024</c:v>
                      </c:pt>
                      <c:pt idx="2">
                        <c:v>2025</c:v>
                      </c:pt>
                      <c:pt idx="3">
                        <c:v>2026</c:v>
                      </c:pt>
                      <c:pt idx="4">
                        <c:v>2027</c:v>
                      </c:pt>
                      <c:pt idx="5">
                        <c:v>2028</c:v>
                      </c:pt>
                      <c:pt idx="6">
                        <c:v>2029</c:v>
                      </c:pt>
                      <c:pt idx="7">
                        <c:v>2030</c:v>
                      </c:pt>
                      <c:pt idx="8">
                        <c:v>2031</c:v>
                      </c:pt>
                      <c:pt idx="9">
                        <c:v>2032</c:v>
                      </c:pt>
                    </c:numCache>
                  </c:numRef>
                </c:cat>
                <c:val>
                  <c:numRef>
                    <c:extLst xmlns:c15="http://schemas.microsoft.com/office/drawing/2012/chart">
                      <c:ext xmlns:c15="http://schemas.microsoft.com/office/drawing/2012/chart" uri="{02D57815-91ED-43cb-92C2-25804820EDAC}">
                        <c15:formulaRef>
                          <c15:sqref>'Сценарио 1'!$C$50:$L$50</c15:sqref>
                        </c15:formulaRef>
                      </c:ext>
                    </c:extLst>
                    <c:numCache>
                      <c:formatCode>General</c:formatCode>
                      <c:ptCount val="10"/>
                      <c:pt idx="0">
                        <c:v>2.2218854863597315</c:v>
                      </c:pt>
                      <c:pt idx="1">
                        <c:v>2.2016148236020783</c:v>
                      </c:pt>
                      <c:pt idx="2">
                        <c:v>2.4929742865992282</c:v>
                      </c:pt>
                      <c:pt idx="3">
                        <c:v>2.254</c:v>
                      </c:pt>
                      <c:pt idx="4">
                        <c:v>2.25</c:v>
                      </c:pt>
                      <c:pt idx="5">
                        <c:v>9</c:v>
                      </c:pt>
                      <c:pt idx="6">
                        <c:v>2</c:v>
                      </c:pt>
                      <c:pt idx="7">
                        <c:v>0</c:v>
                      </c:pt>
                      <c:pt idx="8">
                        <c:v>0.5</c:v>
                      </c:pt>
                      <c:pt idx="9">
                        <c:v>0.5</c:v>
                      </c:pt>
                    </c:numCache>
                  </c:numRef>
                </c:val>
                <c:extLst xmlns:c15="http://schemas.microsoft.com/office/drawing/2012/chart">
                  <c:ext xmlns:c16="http://schemas.microsoft.com/office/drawing/2014/chart" uri="{C3380CC4-5D6E-409C-BE32-E72D297353CC}">
                    <c16:uniqueId val="{00000045-F2BE-4AA6-9C39-50DDAFA15F5F}"/>
                  </c:ext>
                </c:extLst>
              </c15:ser>
            </c15:filteredBarSeries>
          </c:ext>
        </c:extLst>
      </c:barChart>
      <c:lineChart>
        <c:grouping val="standard"/>
        <c:varyColors val="0"/>
        <c:ser>
          <c:idx val="2"/>
          <c:order val="1"/>
          <c:tx>
            <c:strRef>
              <c:f>'manji rast'!$B$33</c:f>
              <c:strCache>
                <c:ptCount val="1"/>
                <c:pt idx="0">
                  <c:v>Успорен раст након 2027</c:v>
                </c:pt>
              </c:strCache>
            </c:strRef>
          </c:tx>
          <c:spPr>
            <a:ln w="22225" cap="rnd">
              <a:solidFill>
                <a:schemeClr val="accent3"/>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0-F2BE-4AA6-9C39-50DDAFA15F5F}"/>
                </c:ext>
              </c:extLst>
            </c:dLbl>
            <c:dLbl>
              <c:idx val="1"/>
              <c:delete val="1"/>
              <c:extLst>
                <c:ext xmlns:c15="http://schemas.microsoft.com/office/drawing/2012/chart" uri="{CE6537A1-D6FC-4f65-9D91-7224C49458BB}"/>
                <c:ext xmlns:c16="http://schemas.microsoft.com/office/drawing/2014/chart" uri="{C3380CC4-5D6E-409C-BE32-E72D297353CC}">
                  <c16:uniqueId val="{00000001-F2BE-4AA6-9C39-50DDAFA15F5F}"/>
                </c:ext>
              </c:extLst>
            </c:dLbl>
            <c:dLbl>
              <c:idx val="2"/>
              <c:delete val="1"/>
              <c:extLst>
                <c:ext xmlns:c15="http://schemas.microsoft.com/office/drawing/2012/chart" uri="{CE6537A1-D6FC-4f65-9D91-7224C49458BB}"/>
                <c:ext xmlns:c16="http://schemas.microsoft.com/office/drawing/2014/chart" uri="{C3380CC4-5D6E-409C-BE32-E72D297353CC}">
                  <c16:uniqueId val="{00000002-F2BE-4AA6-9C39-50DDAFA15F5F}"/>
                </c:ext>
              </c:extLst>
            </c:dLbl>
            <c:dLbl>
              <c:idx val="3"/>
              <c:delete val="1"/>
              <c:extLst>
                <c:ext xmlns:c15="http://schemas.microsoft.com/office/drawing/2012/chart" uri="{CE6537A1-D6FC-4f65-9D91-7224C49458BB}"/>
                <c:ext xmlns:c16="http://schemas.microsoft.com/office/drawing/2014/chart" uri="{C3380CC4-5D6E-409C-BE32-E72D297353CC}">
                  <c16:uniqueId val="{00000003-F2BE-4AA6-9C39-50DDAFA15F5F}"/>
                </c:ext>
              </c:extLst>
            </c:dLbl>
            <c:dLbl>
              <c:idx val="4"/>
              <c:delete val="1"/>
              <c:extLst>
                <c:ext xmlns:c15="http://schemas.microsoft.com/office/drawing/2012/chart" uri="{CE6537A1-D6FC-4f65-9D91-7224C49458BB}"/>
                <c:ext xmlns:c16="http://schemas.microsoft.com/office/drawing/2014/chart" uri="{C3380CC4-5D6E-409C-BE32-E72D297353CC}">
                  <c16:uniqueId val="{00000004-F2BE-4AA6-9C39-50DDAFA15F5F}"/>
                </c:ext>
              </c:extLst>
            </c:dLbl>
            <c:dLbl>
              <c:idx val="5"/>
              <c:delete val="1"/>
              <c:extLst>
                <c:ext xmlns:c15="http://schemas.microsoft.com/office/drawing/2012/chart" uri="{CE6537A1-D6FC-4f65-9D91-7224C49458BB}"/>
                <c:ext xmlns:c16="http://schemas.microsoft.com/office/drawing/2014/chart" uri="{C3380CC4-5D6E-409C-BE32-E72D297353CC}">
                  <c16:uniqueId val="{00000005-F2BE-4AA6-9C39-50DDAFA15F5F}"/>
                </c:ext>
              </c:extLst>
            </c:dLbl>
            <c:dLbl>
              <c:idx val="6"/>
              <c:delete val="1"/>
              <c:extLst>
                <c:ext xmlns:c15="http://schemas.microsoft.com/office/drawing/2012/chart" uri="{CE6537A1-D6FC-4f65-9D91-7224C49458BB}"/>
                <c:ext xmlns:c16="http://schemas.microsoft.com/office/drawing/2014/chart" uri="{C3380CC4-5D6E-409C-BE32-E72D297353CC}">
                  <c16:uniqueId val="{00000006-F2BE-4AA6-9C39-50DDAFA15F5F}"/>
                </c:ext>
              </c:extLst>
            </c:dLbl>
            <c:dLbl>
              <c:idx val="7"/>
              <c:delete val="1"/>
              <c:extLst>
                <c:ext xmlns:c15="http://schemas.microsoft.com/office/drawing/2012/chart" uri="{CE6537A1-D6FC-4f65-9D91-7224C49458BB}"/>
                <c:ext xmlns:c16="http://schemas.microsoft.com/office/drawing/2014/chart" uri="{C3380CC4-5D6E-409C-BE32-E72D297353CC}">
                  <c16:uniqueId val="{00000007-F2BE-4AA6-9C39-50DDAFA15F5F}"/>
                </c:ext>
              </c:extLst>
            </c:dLbl>
            <c:dLbl>
              <c:idx val="8"/>
              <c:delete val="1"/>
              <c:extLst>
                <c:ext xmlns:c15="http://schemas.microsoft.com/office/drawing/2012/chart" uri="{CE6537A1-D6FC-4f65-9D91-7224C49458BB}"/>
                <c:ext xmlns:c16="http://schemas.microsoft.com/office/drawing/2014/chart" uri="{C3380CC4-5D6E-409C-BE32-E72D297353CC}">
                  <c16:uniqueId val="{00000008-F2BE-4AA6-9C39-50DDAFA15F5F}"/>
                </c:ext>
              </c:extLst>
            </c:dLbl>
            <c:dLbl>
              <c:idx val="9"/>
              <c:delete val="1"/>
              <c:extLst>
                <c:ext xmlns:c15="http://schemas.microsoft.com/office/drawing/2012/chart" uri="{CE6537A1-D6FC-4f65-9D91-7224C49458BB}"/>
                <c:ext xmlns:c16="http://schemas.microsoft.com/office/drawing/2014/chart" uri="{C3380CC4-5D6E-409C-BE32-E72D297353CC}">
                  <c16:uniqueId val="{00000009-F2BE-4AA6-9C39-50DDAFA15F5F}"/>
                </c:ext>
              </c:extLst>
            </c:dLbl>
            <c:dLbl>
              <c:idx val="11"/>
              <c:delete val="1"/>
              <c:extLst>
                <c:ext xmlns:c15="http://schemas.microsoft.com/office/drawing/2012/chart" uri="{CE6537A1-D6FC-4f65-9D91-7224C49458BB}"/>
                <c:ext xmlns:c16="http://schemas.microsoft.com/office/drawing/2014/chart" uri="{C3380CC4-5D6E-409C-BE32-E72D297353CC}">
                  <c16:uniqueId val="{0000000A-F2BE-4AA6-9C39-50DDAFA15F5F}"/>
                </c:ext>
              </c:extLst>
            </c:dLbl>
            <c:dLbl>
              <c:idx val="12"/>
              <c:delete val="1"/>
              <c:extLst>
                <c:ext xmlns:c15="http://schemas.microsoft.com/office/drawing/2012/chart" uri="{CE6537A1-D6FC-4f65-9D91-7224C49458BB}"/>
                <c:ext xmlns:c16="http://schemas.microsoft.com/office/drawing/2014/chart" uri="{C3380CC4-5D6E-409C-BE32-E72D297353CC}">
                  <c16:uniqueId val="{0000000B-F2BE-4AA6-9C39-50DDAFA15F5F}"/>
                </c:ext>
              </c:extLst>
            </c:dLbl>
            <c:dLbl>
              <c:idx val="13"/>
              <c:layout>
                <c:manualLayout>
                  <c:x val="-7.4257428637148227E-3"/>
                  <c:y val="-8.6124369466763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2BE-4AA6-9C39-50DDAFA15F5F}"/>
                </c:ext>
              </c:extLst>
            </c:dLbl>
            <c:dLbl>
              <c:idx val="14"/>
              <c:layout>
                <c:manualLayout>
                  <c:x val="-1.7647064024988345E-2"/>
                  <c:y val="-4.8132360200602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2BE-4AA6-9C39-50DDAFA15F5F}"/>
                </c:ext>
              </c:extLst>
            </c:dLbl>
            <c:dLbl>
              <c:idx val="15"/>
              <c:delete val="1"/>
              <c:extLst>
                <c:ext xmlns:c15="http://schemas.microsoft.com/office/drawing/2012/chart" uri="{CE6537A1-D6FC-4f65-9D91-7224C49458BB}"/>
                <c:ext xmlns:c16="http://schemas.microsoft.com/office/drawing/2014/chart" uri="{C3380CC4-5D6E-409C-BE32-E72D297353CC}">
                  <c16:uniqueId val="{0000000E-F2BE-4AA6-9C39-50DDAFA15F5F}"/>
                </c:ext>
              </c:extLst>
            </c:dLbl>
            <c:dLbl>
              <c:idx val="16"/>
              <c:delete val="1"/>
              <c:extLst>
                <c:ext xmlns:c15="http://schemas.microsoft.com/office/drawing/2012/chart" uri="{CE6537A1-D6FC-4f65-9D91-7224C49458BB}"/>
                <c:ext xmlns:c16="http://schemas.microsoft.com/office/drawing/2014/chart" uri="{C3380CC4-5D6E-409C-BE32-E72D297353CC}">
                  <c16:uniqueId val="{0000000F-F2BE-4AA6-9C39-50DDAFA15F5F}"/>
                </c:ext>
              </c:extLst>
            </c:dLbl>
            <c:dLbl>
              <c:idx val="17"/>
              <c:layout>
                <c:manualLayout>
                  <c:x val="-2.2748818561602949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F2BE-4AA6-9C39-50DDAFA15F5F}"/>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('manji rast'!$C$39:$L$39,'manji rast'!$M$39)</c:f>
              <c:numCache>
                <c:formatCode>#.##00</c:formatCode>
                <c:ptCount val="11"/>
                <c:pt idx="0">
                  <c:v>52.3</c:v>
                </c:pt>
                <c:pt idx="1">
                  <c:v>52</c:v>
                </c:pt>
                <c:pt idx="2">
                  <c:v>51.6</c:v>
                </c:pt>
                <c:pt idx="3">
                  <c:v>51</c:v>
                </c:pt>
                <c:pt idx="4">
                  <c:v>50.5</c:v>
                </c:pt>
                <c:pt idx="5">
                  <c:v>50.963801637159719</c:v>
                </c:pt>
                <c:pt idx="6">
                  <c:v>51.147943027168267</c:v>
                </c:pt>
                <c:pt idx="7">
                  <c:v>51.450971000461017</c:v>
                </c:pt>
                <c:pt idx="8">
                  <c:v>51.87189977366296</c:v>
                </c:pt>
                <c:pt idx="9">
                  <c:v>52.284000489417949</c:v>
                </c:pt>
                <c:pt idx="10">
                  <c:v>52.68745829686106</c:v>
                </c:pt>
              </c:numCache>
            </c:numRef>
          </c:val>
          <c:smooth val="0"/>
          <c:extLst>
            <c:ext xmlns:c16="http://schemas.microsoft.com/office/drawing/2014/chart" uri="{C3380CC4-5D6E-409C-BE32-E72D297353CC}">
              <c16:uniqueId val="{00000011-F2BE-4AA6-9C39-50DDAFA15F5F}"/>
            </c:ext>
          </c:extLst>
        </c:ser>
        <c:ser>
          <c:idx val="1"/>
          <c:order val="2"/>
          <c:tx>
            <c:strRef>
              <c:f>'ekstremni sok'!$B$33</c:f>
              <c:strCache>
                <c:ptCount val="1"/>
                <c:pt idx="0">
                  <c:v>Фискални шок након 2027. године</c:v>
                </c:pt>
              </c:strCache>
            </c:strRef>
          </c:tx>
          <c:spPr>
            <a:ln w="22225" cap="rnd">
              <a:solidFill>
                <a:schemeClr val="accent2"/>
              </a:solidFill>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F2BE-4AA6-9C39-50DDAFA15F5F}"/>
                </c:ext>
              </c:extLst>
            </c:dLbl>
            <c:dLbl>
              <c:idx val="1"/>
              <c:delete val="1"/>
              <c:extLst>
                <c:ext xmlns:c15="http://schemas.microsoft.com/office/drawing/2012/chart" uri="{CE6537A1-D6FC-4f65-9D91-7224C49458BB}"/>
                <c:ext xmlns:c16="http://schemas.microsoft.com/office/drawing/2014/chart" uri="{C3380CC4-5D6E-409C-BE32-E72D297353CC}">
                  <c16:uniqueId val="{00000013-F2BE-4AA6-9C39-50DDAFA15F5F}"/>
                </c:ext>
              </c:extLst>
            </c:dLbl>
            <c:dLbl>
              <c:idx val="2"/>
              <c:delete val="1"/>
              <c:extLst>
                <c:ext xmlns:c15="http://schemas.microsoft.com/office/drawing/2012/chart" uri="{CE6537A1-D6FC-4f65-9D91-7224C49458BB}"/>
                <c:ext xmlns:c16="http://schemas.microsoft.com/office/drawing/2014/chart" uri="{C3380CC4-5D6E-409C-BE32-E72D297353CC}">
                  <c16:uniqueId val="{00000014-F2BE-4AA6-9C39-50DDAFA15F5F}"/>
                </c:ext>
              </c:extLst>
            </c:dLbl>
            <c:dLbl>
              <c:idx val="3"/>
              <c:delete val="1"/>
              <c:extLst>
                <c:ext xmlns:c15="http://schemas.microsoft.com/office/drawing/2012/chart" uri="{CE6537A1-D6FC-4f65-9D91-7224C49458BB}"/>
                <c:ext xmlns:c16="http://schemas.microsoft.com/office/drawing/2014/chart" uri="{C3380CC4-5D6E-409C-BE32-E72D297353CC}">
                  <c16:uniqueId val="{00000015-F2BE-4AA6-9C39-50DDAFA15F5F}"/>
                </c:ext>
              </c:extLst>
            </c:dLbl>
            <c:dLbl>
              <c:idx val="4"/>
              <c:delete val="1"/>
              <c:extLst>
                <c:ext xmlns:c15="http://schemas.microsoft.com/office/drawing/2012/chart" uri="{CE6537A1-D6FC-4f65-9D91-7224C49458BB}"/>
                <c:ext xmlns:c16="http://schemas.microsoft.com/office/drawing/2014/chart" uri="{C3380CC4-5D6E-409C-BE32-E72D297353CC}">
                  <c16:uniqueId val="{00000016-F2BE-4AA6-9C39-50DDAFA15F5F}"/>
                </c:ext>
              </c:extLst>
            </c:dLbl>
            <c:dLbl>
              <c:idx val="5"/>
              <c:delete val="1"/>
              <c:extLst>
                <c:ext xmlns:c15="http://schemas.microsoft.com/office/drawing/2012/chart" uri="{CE6537A1-D6FC-4f65-9D91-7224C49458BB}"/>
                <c:ext xmlns:c16="http://schemas.microsoft.com/office/drawing/2014/chart" uri="{C3380CC4-5D6E-409C-BE32-E72D297353CC}">
                  <c16:uniqueId val="{00000017-F2BE-4AA6-9C39-50DDAFA15F5F}"/>
                </c:ext>
              </c:extLst>
            </c:dLbl>
            <c:dLbl>
              <c:idx val="6"/>
              <c:delete val="1"/>
              <c:extLst>
                <c:ext xmlns:c15="http://schemas.microsoft.com/office/drawing/2012/chart" uri="{CE6537A1-D6FC-4f65-9D91-7224C49458BB}"/>
                <c:ext xmlns:c16="http://schemas.microsoft.com/office/drawing/2014/chart" uri="{C3380CC4-5D6E-409C-BE32-E72D297353CC}">
                  <c16:uniqueId val="{00000018-F2BE-4AA6-9C39-50DDAFA15F5F}"/>
                </c:ext>
              </c:extLst>
            </c:dLbl>
            <c:dLbl>
              <c:idx val="7"/>
              <c:delete val="1"/>
              <c:extLst>
                <c:ext xmlns:c15="http://schemas.microsoft.com/office/drawing/2012/chart" uri="{CE6537A1-D6FC-4f65-9D91-7224C49458BB}"/>
                <c:ext xmlns:c16="http://schemas.microsoft.com/office/drawing/2014/chart" uri="{C3380CC4-5D6E-409C-BE32-E72D297353CC}">
                  <c16:uniqueId val="{00000019-F2BE-4AA6-9C39-50DDAFA15F5F}"/>
                </c:ext>
              </c:extLst>
            </c:dLbl>
            <c:dLbl>
              <c:idx val="8"/>
              <c:delete val="1"/>
              <c:extLst>
                <c:ext xmlns:c15="http://schemas.microsoft.com/office/drawing/2012/chart" uri="{CE6537A1-D6FC-4f65-9D91-7224C49458BB}"/>
                <c:ext xmlns:c16="http://schemas.microsoft.com/office/drawing/2014/chart" uri="{C3380CC4-5D6E-409C-BE32-E72D297353CC}">
                  <c16:uniqueId val="{0000001A-F2BE-4AA6-9C39-50DDAFA15F5F}"/>
                </c:ext>
              </c:extLst>
            </c:dLbl>
            <c:dLbl>
              <c:idx val="9"/>
              <c:delete val="1"/>
              <c:extLst>
                <c:ext xmlns:c15="http://schemas.microsoft.com/office/drawing/2012/chart" uri="{CE6537A1-D6FC-4f65-9D91-7224C49458BB}"/>
                <c:ext xmlns:c16="http://schemas.microsoft.com/office/drawing/2014/chart" uri="{C3380CC4-5D6E-409C-BE32-E72D297353CC}">
                  <c16:uniqueId val="{0000001B-F2BE-4AA6-9C39-50DDAFA15F5F}"/>
                </c:ext>
              </c:extLst>
            </c:dLbl>
            <c:dLbl>
              <c:idx val="10"/>
              <c:layout>
                <c:manualLayout>
                  <c:x val="-3.9344262295081971E-2"/>
                  <c:y val="-6.3492063492063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C-F2BE-4AA6-9C39-50DDAFA15F5F}"/>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('ekstremni sok'!$C$39:$L$39,'ekstremni sok'!$M$39)</c:f>
              <c:numCache>
                <c:formatCode>#.##00</c:formatCode>
                <c:ptCount val="11"/>
                <c:pt idx="0">
                  <c:v>52.3</c:v>
                </c:pt>
                <c:pt idx="1">
                  <c:v>52</c:v>
                </c:pt>
                <c:pt idx="2">
                  <c:v>51.6</c:v>
                </c:pt>
                <c:pt idx="3">
                  <c:v>51</c:v>
                </c:pt>
                <c:pt idx="4">
                  <c:v>50.5</c:v>
                </c:pt>
                <c:pt idx="5">
                  <c:v>60.49023592736053</c:v>
                </c:pt>
                <c:pt idx="6">
                  <c:v>61.517693881771123</c:v>
                </c:pt>
                <c:pt idx="7">
                  <c:v>60.227495230200567</c:v>
                </c:pt>
                <c:pt idx="8">
                  <c:v>58.03318198331084</c:v>
                </c:pt>
                <c:pt idx="9">
                  <c:v>55.937032660162636</c:v>
                </c:pt>
                <c:pt idx="10">
                  <c:v>53.934655838547663</c:v>
                </c:pt>
              </c:numCache>
            </c:numRef>
          </c:val>
          <c:smooth val="0"/>
          <c:extLst>
            <c:ext xmlns:c16="http://schemas.microsoft.com/office/drawing/2014/chart" uri="{C3380CC4-5D6E-409C-BE32-E72D297353CC}">
              <c16:uniqueId val="{0000001D-F2BE-4AA6-9C39-50DDAFA15F5F}"/>
            </c:ext>
          </c:extLst>
        </c:ser>
        <c:ser>
          <c:idx val="0"/>
          <c:order val="3"/>
          <c:tx>
            <c:strRef>
              <c:f>'Сценарио 1'!$B$33</c:f>
              <c:strCache>
                <c:ptCount val="1"/>
                <c:pt idx="0">
                  <c:v>Основни сценарио</c:v>
                </c:pt>
              </c:strCache>
            </c:strRef>
          </c:tx>
          <c:spPr>
            <a:ln w="25400" cap="rnd">
              <a:solidFill>
                <a:schemeClr val="accent1"/>
              </a:solidFill>
              <a:round/>
            </a:ln>
            <a:effectLst/>
          </c:spPr>
          <c:marker>
            <c:symbol val="none"/>
          </c:marker>
          <c:dLbls>
            <c:dLbl>
              <c:idx val="0"/>
              <c:layout>
                <c:manualLayout>
                  <c:x val="-3.694648067468724E-2"/>
                  <c:y val="2.658425125055174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E-F2BE-4AA6-9C39-50DDAFA15F5F}"/>
                </c:ext>
              </c:extLst>
            </c:dLbl>
            <c:dLbl>
              <c:idx val="1"/>
              <c:layout>
                <c:manualLayout>
                  <c:x val="-9.4697620873745621E-3"/>
                  <c:y val="5.4286036203606003E-2"/>
                </c:manualLayout>
              </c:layout>
              <c:showLegendKey val="0"/>
              <c:showVal val="1"/>
              <c:showCatName val="0"/>
              <c:showSerName val="0"/>
              <c:showPercent val="0"/>
              <c:showBubbleSize val="0"/>
              <c:extLst>
                <c:ext xmlns:c15="http://schemas.microsoft.com/office/drawing/2012/chart" uri="{CE6537A1-D6FC-4f65-9D91-7224C49458BB}">
                  <c15:layout>
                    <c:manualLayout>
                      <c:w val="4.6700497568176826E-2"/>
                      <c:h val="4.2218444856093357E-2"/>
                    </c:manualLayout>
                  </c15:layout>
                </c:ext>
                <c:ext xmlns:c16="http://schemas.microsoft.com/office/drawing/2014/chart" uri="{C3380CC4-5D6E-409C-BE32-E72D297353CC}">
                  <c16:uniqueId val="{0000001F-F2BE-4AA6-9C39-50DDAFA15F5F}"/>
                </c:ext>
              </c:extLst>
            </c:dLbl>
            <c:dLbl>
              <c:idx val="2"/>
              <c:layout>
                <c:manualLayout>
                  <c:x val="-1.5837267033541045E-3"/>
                  <c:y val="4.79973432453149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F2BE-4AA6-9C39-50DDAFA15F5F}"/>
                </c:ext>
              </c:extLst>
            </c:dLbl>
            <c:dLbl>
              <c:idx val="3"/>
              <c:layout>
                <c:manualLayout>
                  <c:x val="-1.1708710893877721E-2"/>
                  <c:y val="8.40665306706410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1-F2BE-4AA6-9C39-50DDAFA15F5F}"/>
                </c:ext>
              </c:extLst>
            </c:dLbl>
            <c:dLbl>
              <c:idx val="4"/>
              <c:layout>
                <c:manualLayout>
                  <c:x val="-2.1608647542540962E-2"/>
                  <c:y val="6.01654502507525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2-F2BE-4AA6-9C39-50DDAFA15F5F}"/>
                </c:ext>
              </c:extLst>
            </c:dLbl>
            <c:dLbl>
              <c:idx val="5"/>
              <c:layout>
                <c:manualLayout>
                  <c:x val="-1.4213197969543147E-2"/>
                  <c:y val="5.74162463111757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3-F2BE-4AA6-9C39-50DDAFA15F5F}"/>
                </c:ext>
              </c:extLst>
            </c:dLbl>
            <c:dLbl>
              <c:idx val="6"/>
              <c:layout>
                <c:manualLayout>
                  <c:x val="-2.0304568527918707E-2"/>
                  <c:y val="4.30621847333817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4-F2BE-4AA6-9C39-50DDAFA15F5F}"/>
                </c:ext>
              </c:extLst>
            </c:dLbl>
            <c:dLbl>
              <c:idx val="7"/>
              <c:layout>
                <c:manualLayout>
                  <c:x val="-3.8578680203045689E-2"/>
                  <c:y val="4.30621847333817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5-F2BE-4AA6-9C39-50DDAFA15F5F}"/>
                </c:ext>
              </c:extLst>
            </c:dLbl>
            <c:dLbl>
              <c:idx val="8"/>
              <c:layout>
                <c:manualLayout>
                  <c:x val="-1.887139107611557E-2"/>
                  <c:y val="-2.1215264758571845E-2"/>
                </c:manualLayout>
              </c:layout>
              <c:numFmt formatCode="#,##0.0" sourceLinked="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6-F2BE-4AA6-9C39-50DDAFA15F5F}"/>
                </c:ext>
              </c:extLst>
            </c:dLbl>
            <c:dLbl>
              <c:idx val="9"/>
              <c:layout>
                <c:manualLayout>
                  <c:x val="-1.2182852143482064E-2"/>
                  <c:y val="-5.45960921551472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7-F2BE-4AA6-9C39-50DDAFA15F5F}"/>
                </c:ext>
              </c:extLst>
            </c:dLbl>
            <c:dLbl>
              <c:idx val="10"/>
              <c:layout>
                <c:manualLayout>
                  <c:x val="-1.6975112544026657E-16"/>
                  <c:y val="3.70370370370370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8-F2BE-4AA6-9C39-50DDAFA15F5F}"/>
                </c:ext>
              </c:extLst>
            </c:dLbl>
            <c:dLbl>
              <c:idx val="11"/>
              <c:delete val="1"/>
              <c:extLst>
                <c:ext xmlns:c15="http://schemas.microsoft.com/office/drawing/2012/chart" uri="{CE6537A1-D6FC-4f65-9D91-7224C49458BB}"/>
                <c:ext xmlns:c16="http://schemas.microsoft.com/office/drawing/2014/chart" uri="{C3380CC4-5D6E-409C-BE32-E72D297353CC}">
                  <c16:uniqueId val="{00000029-F2BE-4AA6-9C39-50DDAFA15F5F}"/>
                </c:ext>
              </c:extLst>
            </c:dLbl>
            <c:dLbl>
              <c:idx val="12"/>
              <c:delete val="1"/>
              <c:extLst>
                <c:ext xmlns:c15="http://schemas.microsoft.com/office/drawing/2012/chart" uri="{CE6537A1-D6FC-4f65-9D91-7224C49458BB}"/>
                <c:ext xmlns:c16="http://schemas.microsoft.com/office/drawing/2014/chart" uri="{C3380CC4-5D6E-409C-BE32-E72D297353CC}">
                  <c16:uniqueId val="{0000002A-F2BE-4AA6-9C39-50DDAFA15F5F}"/>
                </c:ext>
              </c:extLst>
            </c:dLbl>
            <c:dLbl>
              <c:idx val="13"/>
              <c:layout>
                <c:manualLayout>
                  <c:x val="-1.1881188581944001E-2"/>
                  <c:y val="-2.29664985244702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B-F2BE-4AA6-9C39-50DDAFA15F5F}"/>
                </c:ext>
              </c:extLst>
            </c:dLbl>
            <c:dLbl>
              <c:idx val="14"/>
              <c:layout>
                <c:manualLayout>
                  <c:x val="-2.2459899668166864E-2"/>
                  <c:y val="3.9107542662989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C-F2BE-4AA6-9C39-50DDAFA15F5F}"/>
                </c:ext>
              </c:extLst>
            </c:dLbl>
            <c:dLbl>
              <c:idx val="15"/>
              <c:delete val="1"/>
              <c:extLst>
                <c:ext xmlns:c15="http://schemas.microsoft.com/office/drawing/2012/chart" uri="{CE6537A1-D6FC-4f65-9D91-7224C49458BB}"/>
                <c:ext xmlns:c16="http://schemas.microsoft.com/office/drawing/2014/chart" uri="{C3380CC4-5D6E-409C-BE32-E72D297353CC}">
                  <c16:uniqueId val="{0000002D-F2BE-4AA6-9C39-50DDAFA15F5F}"/>
                </c:ext>
              </c:extLst>
            </c:dLbl>
            <c:dLbl>
              <c:idx val="16"/>
              <c:delete val="1"/>
              <c:extLst>
                <c:ext xmlns:c15="http://schemas.microsoft.com/office/drawing/2012/chart" uri="{CE6537A1-D6FC-4f65-9D91-7224C49458BB}"/>
                <c:ext xmlns:c16="http://schemas.microsoft.com/office/drawing/2014/chart" uri="{C3380CC4-5D6E-409C-BE32-E72D297353CC}">
                  <c16:uniqueId val="{0000002E-F2BE-4AA6-9C39-50DDAFA15F5F}"/>
                </c:ext>
              </c:extLst>
            </c:dLbl>
            <c:dLbl>
              <c:idx val="17"/>
              <c:layout>
                <c:manualLayout>
                  <c:x val="-2.1327017401502765E-2"/>
                  <c:y val="-4.21158151755267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F-F2BE-4AA6-9C39-50DDAFA15F5F}"/>
                </c:ext>
              </c:extLst>
            </c:dLbl>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'Сценарио 1'!$C$33:$M$33</c:f>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f>('Сценарио 1'!$C$39:$L$39,'Сценарио 1'!$M$39)</c:f>
              <c:numCache>
                <c:formatCode>#.##00</c:formatCode>
                <c:ptCount val="11"/>
                <c:pt idx="0">
                  <c:v>52.3</c:v>
                </c:pt>
                <c:pt idx="1">
                  <c:v>52</c:v>
                </c:pt>
                <c:pt idx="2">
                  <c:v>51.6</c:v>
                </c:pt>
                <c:pt idx="3">
                  <c:v>51</c:v>
                </c:pt>
                <c:pt idx="4">
                  <c:v>50.5</c:v>
                </c:pt>
                <c:pt idx="5">
                  <c:v>49.981740104555634</c:v>
                </c:pt>
                <c:pt idx="6">
                  <c:v>48.741889676120692</c:v>
                </c:pt>
                <c:pt idx="7">
                  <c:v>47.570004162881503</c:v>
                </c:pt>
                <c:pt idx="8">
                  <c:v>46.462357930203751</c:v>
                </c:pt>
                <c:pt idx="9">
                  <c:v>45.415429571669797</c:v>
                </c:pt>
                <c:pt idx="10">
                  <c:v>44.425890713894916</c:v>
                </c:pt>
              </c:numCache>
            </c:numRef>
          </c:val>
          <c:smooth val="0"/>
          <c:extLst>
            <c:ext xmlns:c16="http://schemas.microsoft.com/office/drawing/2014/chart" uri="{C3380CC4-5D6E-409C-BE32-E72D297353CC}">
              <c16:uniqueId val="{00000030-F2BE-4AA6-9C39-50DDAFA15F5F}"/>
            </c:ext>
          </c:extLst>
        </c:ser>
        <c:dLbls>
          <c:showLegendKey val="0"/>
          <c:showVal val="0"/>
          <c:showCatName val="0"/>
          <c:showSerName val="0"/>
          <c:showPercent val="0"/>
          <c:showBubbleSize val="0"/>
        </c:dLbls>
        <c:marker val="1"/>
        <c:smooth val="0"/>
        <c:axId val="248069424"/>
        <c:axId val="248068304"/>
        <c:extLst>
          <c:ext xmlns:c15="http://schemas.microsoft.com/office/drawing/2012/chart" uri="{02D57815-91ED-43cb-92C2-25804820EDAC}">
            <c15:filteredLineSeries>
              <c15:ser>
                <c:idx val="3"/>
                <c:order val="0"/>
                <c:tx>
                  <c:strRef>
                    <c:extLst>
                      <c:ext uri="{02D57815-91ED-43cb-92C2-25804820EDAC}">
                        <c15:formulaRef>
                          <c15:sqref>'manje prilg + manji rast'!$B$33</c15:sqref>
                        </c15:formulaRef>
                      </c:ext>
                    </c:extLst>
                    <c:strCache>
                      <c:ptCount val="1"/>
                      <c:pt idx="0">
                        <c:v>Успорен раст након 2027, фискална експанзија</c:v>
                      </c:pt>
                    </c:strCache>
                  </c:strRef>
                </c:tx>
                <c:spPr>
                  <a:ln w="34925" cap="rnd">
                    <a:solidFill>
                      <a:srgbClr val="FF0000"/>
                    </a:solidFill>
                    <a:round/>
                  </a:ln>
                  <a:effectLst/>
                </c:spPr>
                <c:marker>
                  <c:symbol val="circle"/>
                  <c:size val="6"/>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w="9525">
                      <a:solidFill>
                        <a:schemeClr val="accent4"/>
                      </a:solidFill>
                      <a:round/>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marker>
                <c:dLbls>
                  <c:dLbl>
                    <c:idx val="0"/>
                    <c:delete val="1"/>
                    <c:extLst>
                      <c:ext uri="{CE6537A1-D6FC-4f65-9D91-7224C49458BB}"/>
                      <c:ext xmlns:c16="http://schemas.microsoft.com/office/drawing/2014/chart" uri="{C3380CC4-5D6E-409C-BE32-E72D297353CC}">
                        <c16:uniqueId val="{00000031-F2BE-4AA6-9C39-50DDAFA15F5F}"/>
                      </c:ext>
                    </c:extLst>
                  </c:dLbl>
                  <c:dLbl>
                    <c:idx val="1"/>
                    <c:delete val="1"/>
                    <c:extLst>
                      <c:ext uri="{CE6537A1-D6FC-4f65-9D91-7224C49458BB}"/>
                      <c:ext xmlns:c16="http://schemas.microsoft.com/office/drawing/2014/chart" uri="{C3380CC4-5D6E-409C-BE32-E72D297353CC}">
                        <c16:uniqueId val="{00000032-F2BE-4AA6-9C39-50DDAFA15F5F}"/>
                      </c:ext>
                    </c:extLst>
                  </c:dLbl>
                  <c:dLbl>
                    <c:idx val="2"/>
                    <c:delete val="1"/>
                    <c:extLst>
                      <c:ext uri="{CE6537A1-D6FC-4f65-9D91-7224C49458BB}"/>
                      <c:ext xmlns:c16="http://schemas.microsoft.com/office/drawing/2014/chart" uri="{C3380CC4-5D6E-409C-BE32-E72D297353CC}">
                        <c16:uniqueId val="{00000033-F2BE-4AA6-9C39-50DDAFA15F5F}"/>
                      </c:ext>
                    </c:extLst>
                  </c:dLbl>
                  <c:dLbl>
                    <c:idx val="3"/>
                    <c:delete val="1"/>
                    <c:extLst>
                      <c:ext uri="{CE6537A1-D6FC-4f65-9D91-7224C49458BB}"/>
                      <c:ext xmlns:c16="http://schemas.microsoft.com/office/drawing/2014/chart" uri="{C3380CC4-5D6E-409C-BE32-E72D297353CC}">
                        <c16:uniqueId val="{00000034-F2BE-4AA6-9C39-50DDAFA15F5F}"/>
                      </c:ext>
                    </c:extLst>
                  </c:dLbl>
                  <c:dLbl>
                    <c:idx val="4"/>
                    <c:delete val="1"/>
                    <c:extLst>
                      <c:ext uri="{CE6537A1-D6FC-4f65-9D91-7224C49458BB}"/>
                      <c:ext xmlns:c16="http://schemas.microsoft.com/office/drawing/2014/chart" uri="{C3380CC4-5D6E-409C-BE32-E72D297353CC}">
                        <c16:uniqueId val="{00000035-F2BE-4AA6-9C39-50DDAFA15F5F}"/>
                      </c:ext>
                    </c:extLst>
                  </c:dLbl>
                  <c:dLbl>
                    <c:idx val="5"/>
                    <c:delete val="1"/>
                    <c:extLst>
                      <c:ext uri="{CE6537A1-D6FC-4f65-9D91-7224C49458BB}"/>
                      <c:ext xmlns:c16="http://schemas.microsoft.com/office/drawing/2014/chart" uri="{C3380CC4-5D6E-409C-BE32-E72D297353CC}">
                        <c16:uniqueId val="{00000036-F2BE-4AA6-9C39-50DDAFA15F5F}"/>
                      </c:ext>
                    </c:extLst>
                  </c:dLbl>
                  <c:dLbl>
                    <c:idx val="6"/>
                    <c:delete val="1"/>
                    <c:extLst>
                      <c:ext uri="{CE6537A1-D6FC-4f65-9D91-7224C49458BB}"/>
                      <c:ext xmlns:c16="http://schemas.microsoft.com/office/drawing/2014/chart" uri="{C3380CC4-5D6E-409C-BE32-E72D297353CC}">
                        <c16:uniqueId val="{00000037-F2BE-4AA6-9C39-50DDAFA15F5F}"/>
                      </c:ext>
                    </c:extLst>
                  </c:dLbl>
                  <c:dLbl>
                    <c:idx val="7"/>
                    <c:delete val="1"/>
                    <c:extLst>
                      <c:ext uri="{CE6537A1-D6FC-4f65-9D91-7224C49458BB}"/>
                      <c:ext xmlns:c16="http://schemas.microsoft.com/office/drawing/2014/chart" uri="{C3380CC4-5D6E-409C-BE32-E72D297353CC}">
                        <c16:uniqueId val="{00000038-F2BE-4AA6-9C39-50DDAFA15F5F}"/>
                      </c:ext>
                    </c:extLst>
                  </c:dLbl>
                  <c:dLbl>
                    <c:idx val="8"/>
                    <c:delete val="1"/>
                    <c:extLst>
                      <c:ext uri="{CE6537A1-D6FC-4f65-9D91-7224C49458BB}"/>
                      <c:ext xmlns:c16="http://schemas.microsoft.com/office/drawing/2014/chart" uri="{C3380CC4-5D6E-409C-BE32-E72D297353CC}">
                        <c16:uniqueId val="{00000039-F2BE-4AA6-9C39-50DDAFA15F5F}"/>
                      </c:ext>
                    </c:extLst>
                  </c:dLbl>
                  <c:dLbl>
                    <c:idx val="9"/>
                    <c:layout>
                      <c:manualLayout>
                        <c:x val="-1.015228426395939E-2"/>
                        <c:y val="-4.3062184733381789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A-F2BE-4AA6-9C39-50DDAFA15F5F}"/>
                      </c:ext>
                    </c:extLst>
                  </c:dLbl>
                  <c:dLbl>
                    <c:idx val="11"/>
                    <c:delete val="1"/>
                    <c:extLst>
                      <c:ext uri="{CE6537A1-D6FC-4f65-9D91-7224C49458BB}"/>
                      <c:ext xmlns:c16="http://schemas.microsoft.com/office/drawing/2014/chart" uri="{C3380CC4-5D6E-409C-BE32-E72D297353CC}">
                        <c16:uniqueId val="{0000003B-F2BE-4AA6-9C39-50DDAFA15F5F}"/>
                      </c:ext>
                    </c:extLst>
                  </c:dLbl>
                  <c:dLbl>
                    <c:idx val="12"/>
                    <c:delete val="1"/>
                    <c:extLst>
                      <c:ext uri="{CE6537A1-D6FC-4f65-9D91-7224C49458BB}"/>
                      <c:ext xmlns:c16="http://schemas.microsoft.com/office/drawing/2014/chart" uri="{C3380CC4-5D6E-409C-BE32-E72D297353CC}">
                        <c16:uniqueId val="{0000003C-F2BE-4AA6-9C39-50DDAFA15F5F}"/>
                      </c:ext>
                    </c:extLst>
                  </c:dLbl>
                  <c:dLbl>
                    <c:idx val="13"/>
                    <c:layout>
                      <c:manualLayout>
                        <c:x val="-7.4257428637148227E-3"/>
                        <c:y val="-5.7416246311176233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D-F2BE-4AA6-9C39-50DDAFA15F5F}"/>
                      </c:ext>
                    </c:extLst>
                  </c:dLbl>
                  <c:dLbl>
                    <c:idx val="14"/>
                    <c:layout>
                      <c:manualLayout>
                        <c:x val="-1.6042785477262247E-2"/>
                        <c:y val="-3.609927015045152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3E-F2BE-4AA6-9C39-50DDAFA15F5F}"/>
                      </c:ext>
                    </c:extLst>
                  </c:dLbl>
                  <c:dLbl>
                    <c:idx val="15"/>
                    <c:delete val="1"/>
                    <c:extLst>
                      <c:ext uri="{CE6537A1-D6FC-4f65-9D91-7224C49458BB}"/>
                      <c:ext xmlns:c16="http://schemas.microsoft.com/office/drawing/2014/chart" uri="{C3380CC4-5D6E-409C-BE32-E72D297353CC}">
                        <c16:uniqueId val="{0000003F-F2BE-4AA6-9C39-50DDAFA15F5F}"/>
                      </c:ext>
                    </c:extLst>
                  </c:dLbl>
                  <c:dLbl>
                    <c:idx val="16"/>
                    <c:delete val="1"/>
                    <c:extLst>
                      <c:ext uri="{CE6537A1-D6FC-4f65-9D91-7224C49458BB}"/>
                      <c:ext xmlns:c16="http://schemas.microsoft.com/office/drawing/2014/chart" uri="{C3380CC4-5D6E-409C-BE32-E72D297353CC}">
                        <c16:uniqueId val="{00000040-F2BE-4AA6-9C39-50DDAFA15F5F}"/>
                      </c:ext>
                    </c:extLst>
                  </c:dLbl>
                  <c:dLbl>
                    <c:idx val="17"/>
                    <c:layout>
                      <c:manualLayout>
                        <c:x val="-2.4170619721703136E-2"/>
                        <c:y val="-3.910754266298915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41-F2BE-4AA6-9C39-50DDAFA15F5F}"/>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'Сценарио 1'!$C$33:$M$33</c15:sqref>
                        </c15:formulaRef>
                      </c:ext>
                    </c:extLst>
                    <c:numCache>
                      <c:formatCode>General</c:formatCode>
                      <c:ptCount val="11"/>
                      <c:pt idx="0">
                        <c:v>2023</c:v>
                      </c:pt>
                      <c:pt idx="1">
                        <c:v>2024</c:v>
                      </c:pt>
                      <c:pt idx="2">
                        <c:v>2025</c:v>
                      </c:pt>
                      <c:pt idx="3">
                        <c:v>2026</c:v>
                      </c:pt>
                      <c:pt idx="4">
                        <c:v>2027</c:v>
                      </c:pt>
                      <c:pt idx="5">
                        <c:v>2028</c:v>
                      </c:pt>
                      <c:pt idx="6">
                        <c:v>2029</c:v>
                      </c:pt>
                      <c:pt idx="7">
                        <c:v>2030</c:v>
                      </c:pt>
                      <c:pt idx="8">
                        <c:v>2031</c:v>
                      </c:pt>
                      <c:pt idx="9">
                        <c:v>2032</c:v>
                      </c:pt>
                      <c:pt idx="10">
                        <c:v>2033</c:v>
                      </c:pt>
                    </c:numCache>
                  </c:numRef>
                </c:cat>
                <c:val>
                  <c:numRef>
                    <c:extLst>
                      <c:ext uri="{02D57815-91ED-43cb-92C2-25804820EDAC}">
                        <c15:formulaRef>
                          <c15:sqref>'manje prilg + manji rast'!$C$39:$L$39</c15:sqref>
                        </c15:formulaRef>
                      </c:ext>
                    </c:extLst>
                    <c:numCache>
                      <c:formatCode>#.##00</c:formatCode>
                      <c:ptCount val="10"/>
                      <c:pt idx="0">
                        <c:v>52.3</c:v>
                      </c:pt>
                      <c:pt idx="1">
                        <c:v>52</c:v>
                      </c:pt>
                      <c:pt idx="2">
                        <c:v>51.6</c:v>
                      </c:pt>
                      <c:pt idx="3">
                        <c:v>51</c:v>
                      </c:pt>
                      <c:pt idx="4">
                        <c:v>50.5</c:v>
                      </c:pt>
                      <c:pt idx="5">
                        <c:v>57.875309347039789</c:v>
                      </c:pt>
                      <c:pt idx="6">
                        <c:v>58.567927082639677</c:v>
                      </c:pt>
                      <c:pt idx="7">
                        <c:v>57.386945729965092</c:v>
                      </c:pt>
                      <c:pt idx="8">
                        <c:v>56.869653111364052</c:v>
                      </c:pt>
                      <c:pt idx="9">
                        <c:v>56.361530487016338</c:v>
                      </c:pt>
                    </c:numCache>
                  </c:numRef>
                </c:val>
                <c:smooth val="1"/>
                <c:extLst>
                  <c:ext xmlns:c16="http://schemas.microsoft.com/office/drawing/2014/chart" uri="{C3380CC4-5D6E-409C-BE32-E72D297353CC}">
                    <c16:uniqueId val="{00000042-F2BE-4AA6-9C39-50DDAFA15F5F}"/>
                  </c:ext>
                </c:extLst>
              </c15:ser>
            </c15:filteredLineSeries>
          </c:ext>
        </c:extLst>
      </c:lineChart>
      <c:catAx>
        <c:axId val="248069424"/>
        <c:scaling>
          <c:orientation val="minMax"/>
        </c:scaling>
        <c:delete val="0"/>
        <c:axPos val="b"/>
        <c:majorGridlines>
          <c:spPr>
            <a:ln w="9525" cap="flat" cmpd="sng" algn="ctr">
              <a:noFill/>
              <a:round/>
            </a:ln>
            <a:effectLst/>
          </c:spPr>
        </c:majorGridlines>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48068304"/>
        <c:crosses val="autoZero"/>
        <c:auto val="1"/>
        <c:lblAlgn val="ctr"/>
        <c:lblOffset val="100"/>
        <c:noMultiLvlLbl val="0"/>
      </c:catAx>
      <c:valAx>
        <c:axId val="248068304"/>
        <c:scaling>
          <c:orientation val="minMax"/>
          <c:max val="65"/>
          <c:min val="4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sr-Cyrl-RS" sz="700">
                    <a:latin typeface="+mn-lt"/>
                  </a:rPr>
                  <a:t>% </a:t>
                </a:r>
                <a:r>
                  <a:rPr lang="en-US" sz="700">
                    <a:latin typeface="+mn-lt"/>
                  </a:rPr>
                  <a:t> </a:t>
                </a:r>
                <a:r>
                  <a:rPr lang="sr-Cyrl-RS" sz="700">
                    <a:latin typeface="+mn-lt"/>
                  </a:rPr>
                  <a:t>БДП </a:t>
                </a:r>
                <a:endParaRPr lang="en-US" sz="700">
                  <a:latin typeface="+mn-lt"/>
                </a:endParaRPr>
              </a:p>
            </c:rich>
          </c:tx>
          <c:layout>
            <c:manualLayout>
              <c:xMode val="edge"/>
              <c:yMode val="edge"/>
              <c:x val="6.6298118985126872E-2"/>
              <c:y val="0.41975544723576225"/>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crossAx val="248069424"/>
        <c:crosses val="autoZero"/>
        <c:crossBetween val="between"/>
        <c:majorUnit val="5"/>
      </c:valAx>
      <c:valAx>
        <c:axId val="1433710720"/>
        <c:scaling>
          <c:orientation val="minMax"/>
          <c:min val="0"/>
        </c:scaling>
        <c:delete val="1"/>
        <c:axPos val="r"/>
        <c:numFmt formatCode="#,##0.0" sourceLinked="1"/>
        <c:majorTickMark val="out"/>
        <c:minorTickMark val="none"/>
        <c:tickLblPos val="nextTo"/>
        <c:crossAx val="1433716128"/>
        <c:crosses val="max"/>
        <c:crossBetween val="between"/>
      </c:valAx>
      <c:catAx>
        <c:axId val="1433716128"/>
        <c:scaling>
          <c:orientation val="minMax"/>
        </c:scaling>
        <c:delete val="1"/>
        <c:axPos val="b"/>
        <c:numFmt formatCode="General" sourceLinked="1"/>
        <c:majorTickMark val="out"/>
        <c:minorTickMark val="none"/>
        <c:tickLblPos val="nextTo"/>
        <c:crossAx val="1433710720"/>
        <c:crosses val="autoZero"/>
        <c:auto val="1"/>
        <c:lblAlgn val="ctr"/>
        <c:lblOffset val="100"/>
        <c:noMultiLvlLbl val="0"/>
      </c:catAx>
      <c:spPr>
        <a:noFill/>
        <a:ln>
          <a:noFill/>
        </a:ln>
        <a:effectLst/>
      </c:spPr>
    </c:plotArea>
    <c:legend>
      <c:legendPos val="b"/>
      <c:layout>
        <c:manualLayout>
          <c:xMode val="edge"/>
          <c:yMode val="edge"/>
          <c:x val="7.7850593548902836E-2"/>
          <c:y val="0.86959366924888937"/>
          <c:w val="0.9"/>
          <c:h val="0.12263550389534641"/>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noFill/>
      <a:round/>
    </a:ln>
    <a:effectLst/>
  </c:spPr>
  <c:txPr>
    <a:bodyPr/>
    <a:lstStyle/>
    <a:p>
      <a:pPr>
        <a:defRPr sz="800">
          <a:latin typeface="+mj-lt"/>
        </a:defRPr>
      </a:pPr>
      <a:endParaRPr lang="sr-Latn-RS"/>
    </a:p>
  </c:txPr>
  <c:externalData r:id="rId3">
    <c:autoUpdate val="0"/>
  </c:externalData>
  <c:userShapes r:id="rId4"/>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8252053796081997E-2"/>
          <c:y val="0"/>
          <c:w val="0.90916365972175073"/>
          <c:h val="0.66222099966761805"/>
        </c:manualLayout>
      </c:layout>
      <c:barChart>
        <c:barDir val="col"/>
        <c:grouping val="stacked"/>
        <c:varyColors val="0"/>
        <c:ser>
          <c:idx val="0"/>
          <c:order val="0"/>
          <c:tx>
            <c:strRef>
              <c:f>ucesce!$A$5</c:f>
              <c:strCache>
                <c:ptCount val="1"/>
                <c:pt idx="0">
                  <c:v>Директне обавезе</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2024/III</c:v>
                </c:pt>
              </c:strCache>
            </c:strRef>
          </c:cat>
          <c:val>
            <c:numRef>
              <c:f>ucesce!$B$5:$E$5</c:f>
              <c:numCache>
                <c:formatCode>0.0%</c:formatCode>
                <c:ptCount val="4"/>
                <c:pt idx="0">
                  <c:v>0.53901919069678395</c:v>
                </c:pt>
                <c:pt idx="1">
                  <c:v>0.52531888016397699</c:v>
                </c:pt>
                <c:pt idx="2">
                  <c:v>0.49363315099463601</c:v>
                </c:pt>
                <c:pt idx="3">
                  <c:v>0.45329126554549498</c:v>
                </c:pt>
              </c:numCache>
            </c:numRef>
          </c:val>
          <c:extLst>
            <c:ext xmlns:c16="http://schemas.microsoft.com/office/drawing/2014/chart" uri="{C3380CC4-5D6E-409C-BE32-E72D297353CC}">
              <c16:uniqueId val="{00000000-F18C-4C8B-A003-5788A9FA361B}"/>
            </c:ext>
          </c:extLst>
        </c:ser>
        <c:ser>
          <c:idx val="1"/>
          <c:order val="1"/>
          <c:tx>
            <c:strRef>
              <c:f>ucesce!$A$6</c:f>
              <c:strCache>
                <c:ptCount val="1"/>
                <c:pt idx="0">
                  <c:v>Индиректне обавезе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0"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2024/III</c:v>
                </c:pt>
              </c:strCache>
            </c:strRef>
          </c:cat>
          <c:val>
            <c:numRef>
              <c:f>ucesce!$B$6:$E$6</c:f>
              <c:numCache>
                <c:formatCode>0.0%</c:formatCode>
                <c:ptCount val="4"/>
                <c:pt idx="0">
                  <c:v>2.5911817950896102E-2</c:v>
                </c:pt>
                <c:pt idx="1">
                  <c:v>2.5554131491726698E-2</c:v>
                </c:pt>
                <c:pt idx="2">
                  <c:v>2.6108486189758799E-2</c:v>
                </c:pt>
                <c:pt idx="3">
                  <c:v>2.3756407382083601E-2</c:v>
                </c:pt>
              </c:numCache>
            </c:numRef>
          </c:val>
          <c:extLst>
            <c:ext xmlns:c16="http://schemas.microsoft.com/office/drawing/2014/chart" uri="{C3380CC4-5D6E-409C-BE32-E72D297353CC}">
              <c16:uniqueId val="{00000001-F18C-4C8B-A003-5788A9FA361B}"/>
            </c:ext>
          </c:extLst>
        </c:ser>
        <c:ser>
          <c:idx val="2"/>
          <c:order val="2"/>
          <c:tx>
            <c:strRef>
              <c:f>ucesce!$A$7</c:f>
              <c:strCache>
                <c:ptCount val="1"/>
                <c:pt idx="0">
                  <c:v>Негарантовани дуг јединица локалне самоуправе, ЈП Путеви Србије и Коридори Србије д.о.о.</c:v>
                </c:pt>
              </c:strCache>
            </c:strRef>
          </c:tx>
          <c:spPr>
            <a:solidFill>
              <a:srgbClr val="51BBE7">
                <a:alpha val="50000"/>
              </a:srgbClr>
            </a:solidFill>
            <a:ln>
              <a:noFill/>
            </a:ln>
            <a:effectLst/>
          </c:spPr>
          <c:invertIfNegative val="0"/>
          <c:dLbls>
            <c:dLbl>
              <c:idx val="0"/>
              <c:layout>
                <c:manualLayout>
                  <c:x val="-2.8032302694319029E-17"/>
                  <c:y val="-2.830189380030056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18C-4C8B-A003-5788A9FA361B}"/>
                </c:ext>
              </c:extLst>
            </c:dLbl>
            <c:dLbl>
              <c:idx val="1"/>
              <c:layout>
                <c:manualLayout>
                  <c:x val="-3.0581047119132925E-3"/>
                  <c:y val="-3.7735858400400731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18C-4C8B-A003-5788A9FA361B}"/>
                </c:ext>
              </c:extLst>
            </c:dLbl>
            <c:dLbl>
              <c:idx val="2"/>
              <c:layout>
                <c:manualLayout>
                  <c:x val="0"/>
                  <c:y val="-3.1446548667000612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18C-4C8B-A003-5788A9FA361B}"/>
                </c:ext>
              </c:extLst>
            </c:dLbl>
            <c:dLbl>
              <c:idx val="3"/>
              <c:layout>
                <c:manualLayout>
                  <c:x val="0"/>
                  <c:y val="-2.830189380030057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18C-4C8B-A003-5788A9FA361B}"/>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2"/>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ucesce!$B$4:$E$4</c:f>
              <c:strCache>
                <c:ptCount val="4"/>
                <c:pt idx="0">
                  <c:v>2021</c:v>
                </c:pt>
                <c:pt idx="1">
                  <c:v>2022</c:v>
                </c:pt>
                <c:pt idx="2">
                  <c:v>2023</c:v>
                </c:pt>
                <c:pt idx="3">
                  <c:v>2024/III</c:v>
                </c:pt>
              </c:strCache>
            </c:strRef>
          </c:cat>
          <c:val>
            <c:numRef>
              <c:f>ucesce!$B$7:$E$7</c:f>
              <c:numCache>
                <c:formatCode>0.0%</c:formatCode>
                <c:ptCount val="4"/>
                <c:pt idx="0">
                  <c:v>6.1423845449687601E-3</c:v>
                </c:pt>
                <c:pt idx="1">
                  <c:v>5.0599157505095598E-3</c:v>
                </c:pt>
                <c:pt idx="2">
                  <c:v>3.7318060787150898E-3</c:v>
                </c:pt>
                <c:pt idx="3">
                  <c:v>3.2480879875730001E-3</c:v>
                </c:pt>
              </c:numCache>
            </c:numRef>
          </c:val>
          <c:extLst>
            <c:ext xmlns:c16="http://schemas.microsoft.com/office/drawing/2014/chart" uri="{C3380CC4-5D6E-409C-BE32-E72D297353CC}">
              <c16:uniqueId val="{00000006-F18C-4C8B-A003-5788A9FA361B}"/>
            </c:ext>
          </c:extLst>
        </c:ser>
        <c:dLbls>
          <c:dLblPos val="ctr"/>
          <c:showLegendKey val="0"/>
          <c:showVal val="1"/>
          <c:showCatName val="0"/>
          <c:showSerName val="0"/>
          <c:showPercent val="0"/>
          <c:showBubbleSize val="0"/>
        </c:dLbls>
        <c:gapWidth val="79"/>
        <c:overlap val="100"/>
        <c:axId val="244077856"/>
        <c:axId val="244088736"/>
      </c:barChart>
      <c:catAx>
        <c:axId val="24407785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rgbClr val="44546A"/>
                </a:solidFill>
                <a:latin typeface="+mn-lt"/>
                <a:ea typeface="+mn-ea"/>
                <a:cs typeface="+mn-cs"/>
              </a:defRPr>
            </a:pPr>
            <a:endParaRPr lang="sr-Latn-RS"/>
          </a:p>
        </c:txPr>
        <c:crossAx val="244088736"/>
        <c:crosses val="autoZero"/>
        <c:auto val="1"/>
        <c:lblAlgn val="ctr"/>
        <c:lblOffset val="100"/>
        <c:noMultiLvlLbl val="0"/>
      </c:catAx>
      <c:valAx>
        <c:axId val="244088736"/>
        <c:scaling>
          <c:orientation val="minMax"/>
          <c:max val="0.75000000000000011"/>
          <c:min val="0"/>
        </c:scaling>
        <c:delete val="1"/>
        <c:axPos val="l"/>
        <c:numFmt formatCode="0%" sourceLinked="0"/>
        <c:majorTickMark val="none"/>
        <c:minorTickMark val="none"/>
        <c:tickLblPos val="nextTo"/>
        <c:crossAx val="244077856"/>
        <c:crosses val="autoZero"/>
        <c:crossBetween val="between"/>
      </c:valAx>
      <c:spPr>
        <a:noFill/>
        <a:ln>
          <a:noFill/>
        </a:ln>
        <a:effectLst/>
      </c:spPr>
    </c:plotArea>
    <c:legend>
      <c:legendPos val="t"/>
      <c:layout>
        <c:manualLayout>
          <c:xMode val="edge"/>
          <c:yMode val="edge"/>
          <c:x val="0"/>
          <c:y val="0.76272897705968568"/>
          <c:w val="0.98266107645635203"/>
          <c:h val="0.20324201838114284"/>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7289336635108885E-2"/>
          <c:y val="7.4689633864290325E-2"/>
          <c:w val="0.91606508156755739"/>
          <c:h val="0.71178888783480376"/>
        </c:manualLayout>
      </c:layout>
      <c:barChart>
        <c:barDir val="col"/>
        <c:grouping val="stacked"/>
        <c:varyColors val="0"/>
        <c:ser>
          <c:idx val="0"/>
          <c:order val="0"/>
          <c:tx>
            <c:strRef>
              <c:f>valutna!$A$5</c:f>
              <c:strCache>
                <c:ptCount val="1"/>
                <c:pt idx="0">
                  <c:v>EUR</c:v>
                </c:pt>
              </c:strCache>
            </c:strRef>
          </c:tx>
          <c:spPr>
            <a:solidFill>
              <a:srgbClr val="10103C"/>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2024/III</c:v>
                </c:pt>
              </c:strCache>
            </c:strRef>
          </c:cat>
          <c:val>
            <c:numRef>
              <c:f>valutna!$B$5:$E$5</c:f>
              <c:numCache>
                <c:formatCode>0.0%</c:formatCode>
                <c:ptCount val="4"/>
                <c:pt idx="0">
                  <c:v>0.58070343168642191</c:v>
                </c:pt>
                <c:pt idx="1">
                  <c:v>0.56122306338579264</c:v>
                </c:pt>
                <c:pt idx="2">
                  <c:v>0.57957374469545864</c:v>
                </c:pt>
                <c:pt idx="3">
                  <c:v>0.57063968400240295</c:v>
                </c:pt>
              </c:numCache>
            </c:numRef>
          </c:val>
          <c:extLst>
            <c:ext xmlns:c16="http://schemas.microsoft.com/office/drawing/2014/chart" uri="{C3380CC4-5D6E-409C-BE32-E72D297353CC}">
              <c16:uniqueId val="{00000000-3037-49A6-9DA7-80A528B1245B}"/>
            </c:ext>
          </c:extLst>
        </c:ser>
        <c:ser>
          <c:idx val="1"/>
          <c:order val="1"/>
          <c:tx>
            <c:strRef>
              <c:f>valutna!$A$6</c:f>
              <c:strCache>
                <c:ptCount val="1"/>
                <c:pt idx="0">
                  <c:v>USD</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2024/III</c:v>
                </c:pt>
              </c:strCache>
            </c:strRef>
          </c:cat>
          <c:val>
            <c:numRef>
              <c:f>valutna!$B$6:$E$6</c:f>
              <c:numCache>
                <c:formatCode>0.0%</c:formatCode>
                <c:ptCount val="4"/>
                <c:pt idx="0">
                  <c:v>0.10724614446641026</c:v>
                </c:pt>
                <c:pt idx="1">
                  <c:v>0.14174924728991847</c:v>
                </c:pt>
                <c:pt idx="2">
                  <c:v>0.13312620372269271</c:v>
                </c:pt>
                <c:pt idx="3">
                  <c:v>0.13492013997191155</c:v>
                </c:pt>
              </c:numCache>
            </c:numRef>
          </c:val>
          <c:extLst>
            <c:ext xmlns:c16="http://schemas.microsoft.com/office/drawing/2014/chart" uri="{C3380CC4-5D6E-409C-BE32-E72D297353CC}">
              <c16:uniqueId val="{00000001-3037-49A6-9DA7-80A528B1245B}"/>
            </c:ext>
          </c:extLst>
        </c:ser>
        <c:ser>
          <c:idx val="2"/>
          <c:order val="2"/>
          <c:tx>
            <c:strRef>
              <c:f>valutna!$A$7</c:f>
              <c:strCache>
                <c:ptCount val="1"/>
                <c:pt idx="0">
                  <c:v>RSD</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valutna!$B$4:$E$4</c:f>
              <c:strCache>
                <c:ptCount val="4"/>
                <c:pt idx="0">
                  <c:v>2021</c:v>
                </c:pt>
                <c:pt idx="1">
                  <c:v>2022</c:v>
                </c:pt>
                <c:pt idx="2">
                  <c:v>2023</c:v>
                </c:pt>
                <c:pt idx="3">
                  <c:v>2024/III</c:v>
                </c:pt>
              </c:strCache>
            </c:strRef>
          </c:cat>
          <c:val>
            <c:numRef>
              <c:f>valutna!$B$7:$E$7</c:f>
              <c:numCache>
                <c:formatCode>0.0%</c:formatCode>
                <c:ptCount val="4"/>
                <c:pt idx="0">
                  <c:v>0.28279889544694981</c:v>
                </c:pt>
                <c:pt idx="1">
                  <c:v>0.24970540543766942</c:v>
                </c:pt>
                <c:pt idx="2">
                  <c:v>0.21547101425767157</c:v>
                </c:pt>
                <c:pt idx="3">
                  <c:v>0.22304139267908701</c:v>
                </c:pt>
              </c:numCache>
            </c:numRef>
          </c:val>
          <c:extLst>
            <c:ext xmlns:c16="http://schemas.microsoft.com/office/drawing/2014/chart" uri="{C3380CC4-5D6E-409C-BE32-E72D297353CC}">
              <c16:uniqueId val="{00000002-3037-49A6-9DA7-80A528B1245B}"/>
            </c:ext>
          </c:extLst>
        </c:ser>
        <c:ser>
          <c:idx val="3"/>
          <c:order val="3"/>
          <c:tx>
            <c:strRef>
              <c:f>valutna!$A$8</c:f>
              <c:strCache>
                <c:ptCount val="1"/>
                <c:pt idx="0">
                  <c:v>SDR</c:v>
                </c:pt>
              </c:strCache>
            </c:strRef>
          </c:tx>
          <c:spPr>
            <a:solidFill>
              <a:srgbClr val="51BBE7"/>
            </a:solidFill>
            <a:ln>
              <a:noFill/>
            </a:ln>
            <a:effectLst/>
          </c:spPr>
          <c:invertIfNegative val="0"/>
          <c:dLbls>
            <c:dLbl>
              <c:idx val="1"/>
              <c:layout>
                <c:manualLayout>
                  <c:x val="0"/>
                  <c:y val="2.4096385542168676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314-486D-B5A0-5B9B287B1AED}"/>
                </c:ext>
              </c:extLst>
            </c:dLbl>
            <c:dLbl>
              <c:idx val="2"/>
              <c:layout>
                <c:manualLayout>
                  <c:x val="4.5392646391283781E-3"/>
                  <c:y val="4.0160642570281124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314-486D-B5A0-5B9B287B1AED}"/>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2021</c:v>
                </c:pt>
                <c:pt idx="1">
                  <c:v>2022</c:v>
                </c:pt>
                <c:pt idx="2">
                  <c:v>2023</c:v>
                </c:pt>
                <c:pt idx="3">
                  <c:v>2024/III</c:v>
                </c:pt>
              </c:strCache>
            </c:strRef>
          </c:cat>
          <c:val>
            <c:numRef>
              <c:f>valutna!$B$8:$E$8</c:f>
              <c:numCache>
                <c:formatCode>0.0%</c:formatCode>
                <c:ptCount val="4"/>
                <c:pt idx="0">
                  <c:v>1.9290279679134919E-2</c:v>
                </c:pt>
                <c:pt idx="1">
                  <c:v>3.9562422778152417E-2</c:v>
                </c:pt>
                <c:pt idx="2">
                  <c:v>6.6201702735121284E-2</c:v>
                </c:pt>
                <c:pt idx="3">
                  <c:v>6.644153011386808E-2</c:v>
                </c:pt>
              </c:numCache>
            </c:numRef>
          </c:val>
          <c:extLst>
            <c:ext xmlns:c16="http://schemas.microsoft.com/office/drawing/2014/chart" uri="{C3380CC4-5D6E-409C-BE32-E72D297353CC}">
              <c16:uniqueId val="{00000003-3037-49A6-9DA7-80A528B1245B}"/>
            </c:ext>
          </c:extLst>
        </c:ser>
        <c:ser>
          <c:idx val="4"/>
          <c:order val="4"/>
          <c:tx>
            <c:strRef>
              <c:f>valutna!$A$9</c:f>
              <c:strCache>
                <c:ptCount val="1"/>
                <c:pt idx="0">
                  <c:v>Остале валуте</c:v>
                </c:pt>
              </c:strCache>
            </c:strRef>
          </c:tx>
          <c:spPr>
            <a:solidFill>
              <a:srgbClr val="C9E4EB"/>
            </a:solidFill>
            <a:ln>
              <a:noFill/>
            </a:ln>
            <a:effectLst/>
          </c:spPr>
          <c:invertIfNegative val="0"/>
          <c:dLbls>
            <c:dLbl>
              <c:idx val="0"/>
              <c:numFmt formatCode="0.0%" sourceLinked="0"/>
              <c:spPr>
                <a:noFill/>
                <a:ln>
                  <a:noFill/>
                </a:ln>
                <a:effectLst/>
              </c:spPr>
              <c:txPr>
                <a:bodyPr rot="0" spcFirstLastPara="1" vertOverflow="ellipsis" horzOverflow="clip" vert="horz" wrap="square" lIns="38100" tIns="19050" rIns="38100" bIns="19050" anchor="ctr" anchorCtr="1">
                  <a:no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4-3037-49A6-9DA7-80A528B1245B}"/>
                </c:ext>
              </c:extLst>
            </c:dLbl>
            <c:dLbl>
              <c:idx val="1"/>
              <c:layout>
                <c:manualLayout>
                  <c:x val="4.6296296296295869E-3"/>
                  <c:y val="-1.9099929581972985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037-49A6-9DA7-80A528B1245B}"/>
                </c:ext>
              </c:extLst>
            </c:dLbl>
            <c:dLbl>
              <c:idx val="2"/>
              <c:layout>
                <c:manualLayout>
                  <c:x val="-8.3218890365632274E-17"/>
                  <c:y val="-8.6500332036808635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037-49A6-9DA7-80A528B1245B}"/>
                </c:ext>
              </c:extLst>
            </c:dLbl>
            <c:dLbl>
              <c:idx val="3"/>
              <c:layout>
                <c:manualLayout>
                  <c:x val="-1.6643778073126455E-16"/>
                  <c:y val="-2.2735983303291907E-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037-49A6-9DA7-80A528B1245B}"/>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tx2"/>
                    </a:solidFill>
                    <a:latin typeface="+mn-lt"/>
                    <a:ea typeface="+mn-ea"/>
                    <a:cs typeface="+mn-cs"/>
                  </a:defRPr>
                </a:pPr>
                <a:endParaRPr lang="sr-Latn-R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valutna!$B$4:$E$4</c:f>
              <c:strCache>
                <c:ptCount val="4"/>
                <c:pt idx="0">
                  <c:v>2021</c:v>
                </c:pt>
                <c:pt idx="1">
                  <c:v>2022</c:v>
                </c:pt>
                <c:pt idx="2">
                  <c:v>2023</c:v>
                </c:pt>
                <c:pt idx="3">
                  <c:v>2024/III</c:v>
                </c:pt>
              </c:strCache>
            </c:strRef>
          </c:cat>
          <c:val>
            <c:numRef>
              <c:f>valutna!$B$9:$E$9</c:f>
              <c:numCache>
                <c:formatCode>0.0%</c:formatCode>
                <c:ptCount val="4"/>
                <c:pt idx="0">
                  <c:v>9.9612487210832441E-3</c:v>
                </c:pt>
                <c:pt idx="1">
                  <c:v>7.7598611084669349E-3</c:v>
                </c:pt>
                <c:pt idx="2">
                  <c:v>5.6273345890558444E-3</c:v>
                </c:pt>
                <c:pt idx="3">
                  <c:v>4.9572532327303506E-3</c:v>
                </c:pt>
              </c:numCache>
            </c:numRef>
          </c:val>
          <c:extLst>
            <c:ext xmlns:c16="http://schemas.microsoft.com/office/drawing/2014/chart" uri="{C3380CC4-5D6E-409C-BE32-E72D297353CC}">
              <c16:uniqueId val="{00000008-3037-49A6-9DA7-80A528B1245B}"/>
            </c:ext>
          </c:extLst>
        </c:ser>
        <c:dLbls>
          <c:dLblPos val="ctr"/>
          <c:showLegendKey val="0"/>
          <c:showVal val="1"/>
          <c:showCatName val="0"/>
          <c:showSerName val="0"/>
          <c:showPercent val="0"/>
          <c:showBubbleSize val="0"/>
        </c:dLbls>
        <c:gapWidth val="79"/>
        <c:overlap val="100"/>
        <c:axId val="244059360"/>
        <c:axId val="244059904"/>
      </c:barChart>
      <c:catAx>
        <c:axId val="24405936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750" b="0" i="0" u="none" strike="noStrike" kern="1200" cap="all" spc="120" normalizeH="0" baseline="0">
                <a:solidFill>
                  <a:schemeClr val="tx2"/>
                </a:solidFill>
                <a:latin typeface="+mn-lt"/>
                <a:ea typeface="+mn-ea"/>
                <a:cs typeface="+mn-cs"/>
              </a:defRPr>
            </a:pPr>
            <a:endParaRPr lang="sr-Latn-RS"/>
          </a:p>
        </c:txPr>
        <c:crossAx val="244059904"/>
        <c:crosses val="autoZero"/>
        <c:auto val="1"/>
        <c:lblAlgn val="ctr"/>
        <c:lblOffset val="100"/>
        <c:noMultiLvlLbl val="0"/>
      </c:catAx>
      <c:valAx>
        <c:axId val="244059904"/>
        <c:scaling>
          <c:orientation val="minMax"/>
          <c:max val="1"/>
          <c:min val="0"/>
        </c:scaling>
        <c:delete val="1"/>
        <c:axPos val="l"/>
        <c:numFmt formatCode="0%" sourceLinked="0"/>
        <c:majorTickMark val="none"/>
        <c:minorTickMark val="none"/>
        <c:tickLblPos val="nextTo"/>
        <c:crossAx val="244059360"/>
        <c:crosses val="autoZero"/>
        <c:crossBetween val="between"/>
      </c:valAx>
      <c:spPr>
        <a:noFill/>
        <a:ln>
          <a:noFill/>
        </a:ln>
        <a:effectLst/>
      </c:spPr>
    </c:plotArea>
    <c:legend>
      <c:legendPos val="t"/>
      <c:layout>
        <c:manualLayout>
          <c:xMode val="edge"/>
          <c:yMode val="edge"/>
          <c:x val="0.20007148448250597"/>
          <c:y val="0.91044274071004283"/>
          <c:w val="0.69327573636628759"/>
          <c:h val="4.4164415256261261E-2"/>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4313099041539137E-2"/>
          <c:y val="0.11697286155107009"/>
          <c:w val="0.92201738463599303"/>
          <c:h val="0.69105764014135107"/>
        </c:manualLayout>
      </c:layout>
      <c:barChart>
        <c:barDir val="col"/>
        <c:grouping val="stacked"/>
        <c:varyColors val="0"/>
        <c:ser>
          <c:idx val="0"/>
          <c:order val="0"/>
          <c:tx>
            <c:strRef>
              <c:f>kamatna!$A$5</c:f>
              <c:strCache>
                <c:ptCount val="1"/>
                <c:pt idx="0">
                  <c:v>Фиксне каматне стопе</c:v>
                </c:pt>
              </c:strCache>
            </c:strRef>
          </c:tx>
          <c:spPr>
            <a:solidFill>
              <a:srgbClr val="002060"/>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2021</c:v>
                </c:pt>
                <c:pt idx="1">
                  <c:v>2022</c:v>
                </c:pt>
                <c:pt idx="2">
                  <c:v>2023</c:v>
                </c:pt>
                <c:pt idx="3">
                  <c:v>2024/III</c:v>
                </c:pt>
              </c:strCache>
            </c:strRef>
          </c:cat>
          <c:val>
            <c:numRef>
              <c:f>kamatna!$B$5:$E$5</c:f>
              <c:numCache>
                <c:formatCode>0.0%</c:formatCode>
                <c:ptCount val="4"/>
                <c:pt idx="0">
                  <c:v>0.85813723844161272</c:v>
                </c:pt>
                <c:pt idx="1">
                  <c:v>0.81661435297172802</c:v>
                </c:pt>
                <c:pt idx="2">
                  <c:v>0.72240891395082141</c:v>
                </c:pt>
                <c:pt idx="3">
                  <c:v>0.72331115363850085</c:v>
                </c:pt>
              </c:numCache>
            </c:numRef>
          </c:val>
          <c:extLst>
            <c:ext xmlns:c16="http://schemas.microsoft.com/office/drawing/2014/chart" uri="{C3380CC4-5D6E-409C-BE32-E72D297353CC}">
              <c16:uniqueId val="{00000000-D966-4F78-8402-C0FCD04799F7}"/>
            </c:ext>
          </c:extLst>
        </c:ser>
        <c:ser>
          <c:idx val="1"/>
          <c:order val="1"/>
          <c:tx>
            <c:strRef>
              <c:f>kamatna!$A$6</c:f>
              <c:strCache>
                <c:ptCount val="1"/>
                <c:pt idx="0">
                  <c:v>Варијабилне каматне стопе</c:v>
                </c:pt>
              </c:strCache>
            </c:strRef>
          </c:tx>
          <c:spPr>
            <a:solidFill>
              <a:srgbClr val="2F3E9A"/>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chemeClr val="lt1"/>
                    </a:solidFill>
                    <a:latin typeface="+mn-lt"/>
                    <a:ea typeface="+mn-ea"/>
                    <a:cs typeface="+mn-cs"/>
                  </a:defRPr>
                </a:pPr>
                <a:endParaRPr lang="sr-Latn-R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kamatna!$B$4:$E$4</c:f>
              <c:strCache>
                <c:ptCount val="4"/>
                <c:pt idx="0">
                  <c:v>2021</c:v>
                </c:pt>
                <c:pt idx="1">
                  <c:v>2022</c:v>
                </c:pt>
                <c:pt idx="2">
                  <c:v>2023</c:v>
                </c:pt>
                <c:pt idx="3">
                  <c:v>2024/III</c:v>
                </c:pt>
              </c:strCache>
            </c:strRef>
          </c:cat>
          <c:val>
            <c:numRef>
              <c:f>kamatna!$B$6:$E$6</c:f>
              <c:numCache>
                <c:formatCode>0.0%</c:formatCode>
                <c:ptCount val="4"/>
                <c:pt idx="0">
                  <c:v>0.14186276155838728</c:v>
                </c:pt>
                <c:pt idx="1">
                  <c:v>0.18338564702827198</c:v>
                </c:pt>
                <c:pt idx="2">
                  <c:v>0.27759108604917854</c:v>
                </c:pt>
                <c:pt idx="3">
                  <c:v>0.27668884636149915</c:v>
                </c:pt>
              </c:numCache>
            </c:numRef>
          </c:val>
          <c:extLst>
            <c:ext xmlns:c16="http://schemas.microsoft.com/office/drawing/2014/chart" uri="{C3380CC4-5D6E-409C-BE32-E72D297353CC}">
              <c16:uniqueId val="{00000001-D966-4F78-8402-C0FCD04799F7}"/>
            </c:ext>
          </c:extLst>
        </c:ser>
        <c:dLbls>
          <c:dLblPos val="ctr"/>
          <c:showLegendKey val="0"/>
          <c:showVal val="1"/>
          <c:showCatName val="0"/>
          <c:showSerName val="0"/>
          <c:showPercent val="0"/>
          <c:showBubbleSize val="0"/>
        </c:dLbls>
        <c:gapWidth val="79"/>
        <c:overlap val="100"/>
        <c:axId val="244061536"/>
        <c:axId val="244062080"/>
      </c:barChart>
      <c:catAx>
        <c:axId val="244061536"/>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cap="all" spc="120" normalizeH="0" baseline="0">
                <a:solidFill>
                  <a:schemeClr val="tx2"/>
                </a:solidFill>
                <a:latin typeface="+mn-lt"/>
                <a:ea typeface="+mn-ea"/>
                <a:cs typeface="+mn-cs"/>
              </a:defRPr>
            </a:pPr>
            <a:endParaRPr lang="sr-Latn-RS"/>
          </a:p>
        </c:txPr>
        <c:crossAx val="244062080"/>
        <c:crosses val="autoZero"/>
        <c:auto val="1"/>
        <c:lblAlgn val="ctr"/>
        <c:lblOffset val="100"/>
        <c:noMultiLvlLbl val="0"/>
      </c:catAx>
      <c:valAx>
        <c:axId val="244062080"/>
        <c:scaling>
          <c:orientation val="minMax"/>
          <c:max val="1"/>
          <c:min val="0"/>
        </c:scaling>
        <c:delete val="1"/>
        <c:axPos val="l"/>
        <c:numFmt formatCode="0%" sourceLinked="0"/>
        <c:majorTickMark val="none"/>
        <c:minorTickMark val="none"/>
        <c:tickLblPos val="nextTo"/>
        <c:crossAx val="244061536"/>
        <c:crosses val="autoZero"/>
        <c:crossBetween val="between"/>
      </c:valAx>
      <c:spPr>
        <a:noFill/>
        <a:ln w="25400">
          <a:noFill/>
        </a:ln>
        <a:effectLst/>
      </c:spPr>
    </c:plotArea>
    <c:legend>
      <c:legendPos val="t"/>
      <c:layout>
        <c:manualLayout>
          <c:xMode val="edge"/>
          <c:yMode val="edge"/>
          <c:x val="7.915879265091863E-2"/>
          <c:y val="0.93890499194846999"/>
          <c:w val="0.8083490813648293"/>
          <c:h val="6.0789430306718906E-2"/>
        </c:manualLayout>
      </c:layout>
      <c:overlay val="0"/>
      <c:spPr>
        <a:noFill/>
        <a:ln>
          <a:noFill/>
        </a:ln>
        <a:effectLst/>
      </c:spPr>
      <c:txPr>
        <a:bodyPr rot="0" spcFirstLastPara="1" vertOverflow="ellipsis" vert="horz" wrap="square" anchor="ctr" anchorCtr="1"/>
        <a:lstStyle/>
        <a:p>
          <a:pPr>
            <a:defRPr sz="600" b="0" i="0" u="none" strike="noStrike" kern="1200" baseline="0">
              <a:solidFill>
                <a:schemeClr val="tx2"/>
              </a:solidFill>
              <a:latin typeface="+mn-lt"/>
              <a:ea typeface="+mn-ea"/>
              <a:cs typeface="+mn-cs"/>
            </a:defRPr>
          </a:pPr>
          <a:endParaRPr lang="sr-Latn-RS"/>
        </a:p>
      </c:txPr>
    </c:legend>
    <c:plotVisOnly val="1"/>
    <c:dispBlanksAs val="gap"/>
    <c:showDLblsOverMax val="0"/>
  </c:chart>
  <c:spPr>
    <a:solidFill>
      <a:schemeClr val="lt1"/>
    </a:solidFill>
    <a:ln w="9525" cap="flat" cmpd="sng" algn="ctr">
      <a:noFill/>
      <a:round/>
    </a:ln>
    <a:effectLst/>
  </c:spPr>
  <c:txPr>
    <a:bodyPr/>
    <a:lstStyle/>
    <a:p>
      <a:pPr>
        <a:defRPr/>
      </a:pPr>
      <a:endParaRPr lang="sr-Latn-RS"/>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47013702710755"/>
          <c:y val="0.1159364568431092"/>
          <c:w val="0.7124333482275842"/>
          <c:h val="0.65796894188418298"/>
        </c:manualLayout>
      </c:layout>
      <c:scatterChart>
        <c:scatterStyle val="lineMarker"/>
        <c:varyColors val="0"/>
        <c:ser>
          <c:idx val="0"/>
          <c:order val="0"/>
          <c:tx>
            <c:strRef>
              <c:f>'3Y_OUTPUT'!$C$123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4.2278996717422966E-3"/>
                  <c:y val="1.2394070391751676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499E-4313-A6F6-835BAE12E480}"/>
                </c:ext>
              </c:extLst>
            </c:dLbl>
            <c:spPr>
              <a:noFill/>
              <a:ln>
                <a:noFill/>
              </a:ln>
              <a:effectLst/>
            </c:spPr>
            <c:txPr>
              <a:bodyPr rot="0" vert="horz"/>
              <a:lstStyle/>
              <a:p>
                <a:pPr>
                  <a:defRPr>
                    <a:solidFill>
                      <a:schemeClr val="tx2"/>
                    </a:solidFill>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'3Y_OUTPUT'!$C$129</c:f>
              <c:numCache>
                <c:formatCode>0.0</c:formatCode>
                <c:ptCount val="1"/>
                <c:pt idx="0">
                  <c:v>5.8138593533567615</c:v>
                </c:pt>
              </c:numCache>
            </c:numRef>
          </c:xVal>
          <c:yVal>
            <c:numRef>
              <c:f>'3Y_OUTPUT'!$C$124</c:f>
              <c:numCache>
                <c:formatCode>0.0</c:formatCode>
                <c:ptCount val="1"/>
                <c:pt idx="0">
                  <c:v>49.730664470536695</c:v>
                </c:pt>
              </c:numCache>
            </c:numRef>
          </c:yVal>
          <c:smooth val="0"/>
          <c:extLst>
            <c:ext xmlns:c16="http://schemas.microsoft.com/office/drawing/2014/chart" uri="{C3380CC4-5D6E-409C-BE32-E72D297353CC}">
              <c16:uniqueId val="{00000001-499E-4313-A6F6-835BAE12E480}"/>
            </c:ext>
          </c:extLst>
        </c:ser>
        <c:ser>
          <c:idx val="1"/>
          <c:order val="1"/>
          <c:tx>
            <c:strRef>
              <c:f>'3Y_OUTPUT'!$D$123</c:f>
              <c:strCache>
                <c:ptCount val="1"/>
                <c:pt idx="0">
                  <c:v>C2</c:v>
                </c:pt>
              </c:strCache>
            </c:strRef>
          </c:tx>
          <c:spPr>
            <a:ln w="127000" cap="flat" cmpd="dbl" algn="ctr">
              <a:solidFill>
                <a:srgbClr val="00B050">
                  <a:alpha val="50000"/>
                </a:srgbClr>
              </a:solidFill>
              <a:round/>
            </a:ln>
            <a:effectLst/>
          </c:spPr>
          <c:marker>
            <c:symbol val="circle"/>
            <c:size val="10"/>
            <c:spPr>
              <a:solidFill>
                <a:srgbClr val="00B050"/>
              </a:solidFill>
              <a:ln w="9525" cap="flat" cmpd="dbl" algn="ctr">
                <a:solidFill>
                  <a:srgbClr val="00B050">
                    <a:alpha val="70000"/>
                  </a:srgbClr>
                </a:solidFill>
                <a:round/>
              </a:ln>
              <a:effectLst/>
            </c:spPr>
          </c:marker>
          <c:dLbls>
            <c:spPr>
              <a:noFill/>
              <a:ln>
                <a:noFill/>
              </a:ln>
              <a:effectLst/>
            </c:spPr>
            <c:txPr>
              <a:bodyPr rot="0" vert="horz"/>
              <a:lstStyle/>
              <a:p>
                <a:pPr>
                  <a:defRPr>
                    <a:solidFill>
                      <a:schemeClr val="tx2"/>
                    </a:solidFill>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'3Y_OUTPUT'!$D$129</c:f>
              <c:numCache>
                <c:formatCode>0.00</c:formatCode>
                <c:ptCount val="1"/>
                <c:pt idx="0">
                  <c:v>6.2771474522509934</c:v>
                </c:pt>
              </c:numCache>
            </c:numRef>
          </c:xVal>
          <c:yVal>
            <c:numRef>
              <c:f>'3Y_OUTPUT'!$D$124</c:f>
              <c:numCache>
                <c:formatCode>0.0</c:formatCode>
                <c:ptCount val="1"/>
                <c:pt idx="0">
                  <c:v>49.950645110440746</c:v>
                </c:pt>
              </c:numCache>
            </c:numRef>
          </c:yVal>
          <c:smooth val="0"/>
          <c:extLst>
            <c:ext xmlns:c16="http://schemas.microsoft.com/office/drawing/2014/chart" uri="{C3380CC4-5D6E-409C-BE32-E72D297353CC}">
              <c16:uniqueId val="{00000002-499E-4313-A6F6-835BAE12E480}"/>
            </c:ext>
          </c:extLst>
        </c:ser>
        <c:ser>
          <c:idx val="2"/>
          <c:order val="2"/>
          <c:tx>
            <c:strRef>
              <c:f>'3Y_OUTPUT'!$E$123</c:f>
              <c:strCache>
                <c:ptCount val="1"/>
                <c:pt idx="0">
                  <c:v>C3</c:v>
                </c:pt>
              </c:strCache>
            </c:strRef>
          </c:tx>
          <c:spPr>
            <a:ln w="127000" cap="flat" cmpd="dbl" algn="ctr">
              <a:solidFill>
                <a:srgbClr val="9BBB59">
                  <a:alpha val="50000"/>
                </a:srgbClr>
              </a:solidFill>
              <a:round/>
            </a:ln>
            <a:effectLst/>
          </c:spPr>
          <c:marker>
            <c:symbol val="circle"/>
            <c:size val="10"/>
            <c:spPr>
              <a:solidFill>
                <a:srgbClr val="7030A0"/>
              </a:solidFill>
              <a:ln w="9525" cap="flat" cmpd="dbl" algn="ctr">
                <a:solidFill>
                  <a:srgbClr val="7030A0">
                    <a:alpha val="70000"/>
                  </a:srgbClr>
                </a:solidFill>
                <a:round/>
              </a:ln>
              <a:effectLst/>
            </c:spPr>
          </c:marker>
          <c:dLbls>
            <c:dLbl>
              <c:idx val="0"/>
              <c:layout>
                <c:manualLayout>
                  <c:x val="1.8112480988097867E-4"/>
                  <c:y val="2.0671791853244248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3-499E-4313-A6F6-835BAE12E480}"/>
                </c:ext>
              </c:extLst>
            </c:dLbl>
            <c:spPr>
              <a:noFill/>
              <a:ln>
                <a:noFill/>
              </a:ln>
              <a:effectLst/>
            </c:spPr>
            <c:txPr>
              <a:bodyPr rot="0" vert="horz"/>
              <a:lstStyle/>
              <a:p>
                <a:pPr>
                  <a:defRPr>
                    <a:solidFill>
                      <a:schemeClr val="tx2"/>
                    </a:solidFill>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'3Y_OUTPUT'!$E$129</c:f>
              <c:numCache>
                <c:formatCode>0.00</c:formatCode>
                <c:ptCount val="1"/>
                <c:pt idx="0">
                  <c:v>6.261667501762048</c:v>
                </c:pt>
              </c:numCache>
            </c:numRef>
          </c:xVal>
          <c:yVal>
            <c:numRef>
              <c:f>'3Y_OUTPUT'!$E$124</c:f>
              <c:numCache>
                <c:formatCode>0.0</c:formatCode>
                <c:ptCount val="1"/>
                <c:pt idx="0">
                  <c:v>49.833869662640851</c:v>
                </c:pt>
              </c:numCache>
            </c:numRef>
          </c:yVal>
          <c:smooth val="0"/>
          <c:extLst>
            <c:ext xmlns:c16="http://schemas.microsoft.com/office/drawing/2014/chart" uri="{C3380CC4-5D6E-409C-BE32-E72D297353CC}">
              <c16:uniqueId val="{00000004-499E-4313-A6F6-835BAE12E480}"/>
            </c:ext>
          </c:extLst>
        </c:ser>
        <c:ser>
          <c:idx val="3"/>
          <c:order val="3"/>
          <c:tx>
            <c:strRef>
              <c:f>'3Y_OUTPUT'!$F$123</c:f>
              <c:strCache>
                <c:ptCount val="1"/>
                <c:pt idx="0">
                  <c:v>C4</c:v>
                </c:pt>
              </c:strCache>
            </c:strRef>
          </c:tx>
          <c:spPr>
            <a:ln w="25400" cap="flat" cmpd="dbl" algn="ctr">
              <a:noFill/>
              <a:round/>
            </a:ln>
            <a:effectLst/>
          </c:spPr>
          <c:marker>
            <c:symbol val="circle"/>
            <c:size val="10"/>
            <c:spPr>
              <a:solidFill>
                <a:srgbClr val="1F497D">
                  <a:alpha val="98000"/>
                </a:srgbClr>
              </a:solidFill>
              <a:ln w="9525" cap="flat" cmpd="dbl" algn="ctr">
                <a:solidFill>
                  <a:srgbClr val="1F497D">
                    <a:alpha val="70000"/>
                  </a:srgbClr>
                </a:solidFill>
                <a:round/>
              </a:ln>
              <a:effectLst/>
            </c:spPr>
          </c:marker>
          <c:dLbls>
            <c:spPr>
              <a:noFill/>
              <a:ln>
                <a:noFill/>
              </a:ln>
              <a:effectLst/>
            </c:spPr>
            <c:txPr>
              <a:bodyPr rot="0" vert="horz"/>
              <a:lstStyle/>
              <a:p>
                <a:pPr>
                  <a:defRPr>
                    <a:solidFill>
                      <a:schemeClr val="tx2"/>
                    </a:solidFill>
                    <a:latin typeface="+mn-lt"/>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'3Y_OUTPUT'!$F$129</c:f>
              <c:numCache>
                <c:formatCode>0.0</c:formatCode>
                <c:ptCount val="1"/>
                <c:pt idx="0">
                  <c:v>5.1235687912329411</c:v>
                </c:pt>
              </c:numCache>
            </c:numRef>
          </c:xVal>
          <c:yVal>
            <c:numRef>
              <c:f>'3Y_OUTPUT'!$F$124</c:f>
              <c:numCache>
                <c:formatCode>0.0</c:formatCode>
                <c:ptCount val="1"/>
                <c:pt idx="0">
                  <c:v>49.936213083188555</c:v>
                </c:pt>
              </c:numCache>
            </c:numRef>
          </c:yVal>
          <c:smooth val="0"/>
          <c:extLst>
            <c:ext xmlns:c16="http://schemas.microsoft.com/office/drawing/2014/chart" uri="{C3380CC4-5D6E-409C-BE32-E72D297353CC}">
              <c16:uniqueId val="{00000005-499E-4313-A6F6-835BAE12E480}"/>
            </c:ext>
          </c:extLst>
        </c:ser>
        <c:dLbls>
          <c:showLegendKey val="0"/>
          <c:showVal val="0"/>
          <c:showCatName val="0"/>
          <c:showSerName val="0"/>
          <c:showPercent val="0"/>
          <c:showBubbleSize val="0"/>
        </c:dLbls>
        <c:axId val="253667200"/>
        <c:axId val="253681664"/>
      </c:scatterChart>
      <c:valAx>
        <c:axId val="253667200"/>
        <c:scaling>
          <c:orientation val="minMax"/>
          <c:max val="6.5"/>
          <c:min val="5"/>
        </c:scaling>
        <c:delete val="0"/>
        <c:axPos val="b"/>
        <c:majorGridlines>
          <c:spPr>
            <a:ln w="9525" cap="flat" cmpd="sng" algn="ctr">
              <a:noFill/>
              <a:round/>
            </a:ln>
            <a:effectLst/>
          </c:spPr>
        </c:majorGridlines>
        <c:minorGridlines>
          <c:spPr>
            <a:ln w="9525" cap="flat" cmpd="sng" algn="ctr">
              <a:noFill/>
              <a:round/>
            </a:ln>
            <a:effectLst/>
          </c:spPr>
        </c:minorGridlines>
        <c:title>
          <c:tx>
            <c:rich>
              <a:bodyPr rot="0" vert="horz"/>
              <a:lstStyle/>
              <a:p>
                <a:pPr>
                  <a:defRPr>
                    <a:solidFill>
                      <a:schemeClr val="tx2"/>
                    </a:solidFill>
                    <a:latin typeface="Calibri" panose="020F0502020204030204" pitchFamily="34" charset="0"/>
                    <a:cs typeface="Calibri" panose="020F0502020204030204" pitchFamily="34" charset="0"/>
                  </a:defRPr>
                </a:pPr>
                <a:r>
                  <a:rPr lang="sr-Cyrl-BA">
                    <a:solidFill>
                      <a:schemeClr val="tx2"/>
                    </a:solidFill>
                    <a:latin typeface="Calibri" panose="020F0502020204030204" pitchFamily="34" charset="0"/>
                    <a:cs typeface="Calibri" panose="020F0502020204030204" pitchFamily="34" charset="0"/>
                  </a:rPr>
                  <a:t>Ризик</a:t>
                </a:r>
              </a:p>
            </c:rich>
          </c:tx>
          <c:layout>
            <c:manualLayout>
              <c:xMode val="edge"/>
              <c:yMode val="edge"/>
              <c:x val="0.4712499835945263"/>
              <c:y val="0.935530611677861"/>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tx2"/>
                </a:solidFill>
                <a:latin typeface="Calibri" panose="020F0502020204030204" pitchFamily="34" charset="0"/>
                <a:cs typeface="Calibri" panose="020F0502020204030204" pitchFamily="34" charset="0"/>
              </a:defRPr>
            </a:pPr>
            <a:endParaRPr lang="sr-Latn-RS"/>
          </a:p>
        </c:txPr>
        <c:crossAx val="253681664"/>
        <c:crosses val="autoZero"/>
        <c:crossBetween val="midCat"/>
        <c:majorUnit val="0.5"/>
        <c:minorUnit val="0.1"/>
      </c:valAx>
      <c:valAx>
        <c:axId val="253681664"/>
        <c:scaling>
          <c:orientation val="minMax"/>
          <c:max val="50"/>
          <c:min val="49.6"/>
        </c:scaling>
        <c:delete val="0"/>
        <c:axPos val="l"/>
        <c:majorGridlines>
          <c:spPr>
            <a:ln w="9525" cap="flat" cmpd="sng" algn="ctr">
              <a:noFill/>
              <a:round/>
            </a:ln>
            <a:effectLst/>
          </c:spPr>
        </c:majorGridlines>
        <c:minorGridlines>
          <c:spPr>
            <a:ln w="9525" cap="flat" cmpd="sng" algn="ctr">
              <a:noFill/>
              <a:round/>
            </a:ln>
            <a:effectLst/>
          </c:spPr>
        </c:minorGridlines>
        <c:title>
          <c:tx>
            <c:rich>
              <a:bodyPr rot="-5400000" vert="horz"/>
              <a:lstStyle/>
              <a:p>
                <a:pPr>
                  <a:defRPr>
                    <a:solidFill>
                      <a:schemeClr val="tx2"/>
                    </a:solidFill>
                    <a:latin typeface="Calibri" panose="020F0502020204030204" pitchFamily="34" charset="0"/>
                    <a:cs typeface="Calibri" panose="020F0502020204030204" pitchFamily="34" charset="0"/>
                  </a:defRPr>
                </a:pPr>
                <a:r>
                  <a:rPr lang="sr-Cyrl-BA">
                    <a:solidFill>
                      <a:schemeClr val="tx2"/>
                    </a:solidFill>
                    <a:latin typeface="Calibri" panose="020F0502020204030204" pitchFamily="34" charset="0"/>
                    <a:cs typeface="Calibri" panose="020F0502020204030204" pitchFamily="34" charset="0"/>
                  </a:rPr>
                  <a:t>Трошкови (%)</a:t>
                </a:r>
              </a:p>
            </c:rich>
          </c:tx>
          <c:layout>
            <c:manualLayout>
              <c:xMode val="edge"/>
              <c:yMode val="edge"/>
              <c:x val="4.2641453927977609E-3"/>
              <c:y val="0.19125123079724796"/>
            </c:manualLayout>
          </c:layout>
          <c:overlay val="0"/>
          <c:spPr>
            <a:noFill/>
            <a:ln>
              <a:noFill/>
            </a:ln>
            <a:effectLst/>
          </c:spPr>
        </c:title>
        <c:numFmt formatCode="0.0" sourceLinked="0"/>
        <c:majorTickMark val="none"/>
        <c:minorTickMark val="none"/>
        <c:tickLblPos val="nextTo"/>
        <c:spPr>
          <a:noFill/>
          <a:ln>
            <a:noFill/>
          </a:ln>
          <a:effectLst/>
        </c:spPr>
        <c:txPr>
          <a:bodyPr rot="0"/>
          <a:lstStyle/>
          <a:p>
            <a:pPr>
              <a:defRPr sz="800">
                <a:solidFill>
                  <a:schemeClr val="tx2"/>
                </a:solidFill>
                <a:latin typeface="Calibri" panose="020F0502020204030204" pitchFamily="34" charset="0"/>
                <a:cs typeface="Calibri" panose="020F0502020204030204" pitchFamily="34" charset="0"/>
              </a:defRPr>
            </a:pPr>
            <a:endParaRPr lang="sr-Latn-RS"/>
          </a:p>
        </c:txPr>
        <c:crossAx val="253667200"/>
        <c:crosses val="autoZero"/>
        <c:crossBetween val="midCat"/>
        <c:majorUnit val="0.2"/>
      </c:valAx>
      <c:spPr>
        <a:solidFill>
          <a:sysClr val="window" lastClr="FFFFFF"/>
        </a:solid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mbria" panose="02040503050406030204" pitchFamily="18" charset="0"/>
        </a:defRPr>
      </a:pPr>
      <a:endParaRPr lang="sr-Latn-RS"/>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32893952934166"/>
          <c:y val="8.3992045285606692E-2"/>
          <c:w val="0.73758452487339898"/>
          <c:h val="0.7112994754411065"/>
        </c:manualLayout>
      </c:layout>
      <c:scatterChart>
        <c:scatterStyle val="lineMarker"/>
        <c:varyColors val="0"/>
        <c:ser>
          <c:idx val="0"/>
          <c:order val="0"/>
          <c:tx>
            <c:strRef>
              <c:f>'3Y_OUTPUT'!$C$133</c:f>
              <c:strCache>
                <c:ptCount val="1"/>
                <c:pt idx="0">
                  <c:v>C1</c:v>
                </c:pt>
              </c:strCache>
            </c:strRef>
          </c:tx>
          <c:spPr>
            <a:ln w="25400" cap="flat" cmpd="dbl" algn="ctr">
              <a:solidFill>
                <a:schemeClr val="accent1">
                  <a:alpha val="50000"/>
                </a:schemeClr>
              </a:solidFill>
              <a:round/>
            </a:ln>
            <a:effectLst/>
          </c:spPr>
          <c:marker>
            <c:symbol val="circle"/>
            <c:size val="10"/>
            <c:spPr>
              <a:solidFill>
                <a:srgbClr val="FF0000"/>
              </a:solidFill>
              <a:ln w="9525" cap="flat" cmpd="dbl" algn="ctr">
                <a:solidFill>
                  <a:srgbClr val="FF0000">
                    <a:alpha val="70000"/>
                  </a:srgbClr>
                </a:solidFill>
                <a:round/>
              </a:ln>
              <a:effectLst/>
            </c:spPr>
          </c:marker>
          <c:dLbls>
            <c:dLbl>
              <c:idx val="0"/>
              <c:layout>
                <c:manualLayout>
                  <c:x val="-2.2716849319675124E-2"/>
                  <c:y val="0"/>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2188-4B1F-9D9F-7B303CDA4DAE}"/>
                </c:ext>
              </c:extLst>
            </c:dLbl>
            <c:spPr>
              <a:noFill/>
              <a:ln>
                <a:noFill/>
              </a:ln>
              <a:effectLst/>
            </c:spPr>
            <c:txPr>
              <a:bodyPr rot="0" vert="horz"/>
              <a:lstStyle/>
              <a:p>
                <a:pPr>
                  <a:defRPr>
                    <a:solidFill>
                      <a:schemeClr val="tx2"/>
                    </a:solidFill>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'3Y_OUTPUT'!$C$139</c:f>
              <c:numCache>
                <c:formatCode>0.0</c:formatCode>
                <c:ptCount val="1"/>
                <c:pt idx="0">
                  <c:v>0.68067467380049029</c:v>
                </c:pt>
              </c:numCache>
            </c:numRef>
          </c:xVal>
          <c:yVal>
            <c:numRef>
              <c:f>'3Y_OUTPUT'!$C$134</c:f>
              <c:numCache>
                <c:formatCode>0.0</c:formatCode>
                <c:ptCount val="1"/>
                <c:pt idx="0">
                  <c:v>2.2237180674867507</c:v>
                </c:pt>
              </c:numCache>
            </c:numRef>
          </c:yVal>
          <c:smooth val="0"/>
          <c:extLst>
            <c:ext xmlns:c16="http://schemas.microsoft.com/office/drawing/2014/chart" uri="{C3380CC4-5D6E-409C-BE32-E72D297353CC}">
              <c16:uniqueId val="{00000001-2188-4B1F-9D9F-7B303CDA4DAE}"/>
            </c:ext>
          </c:extLst>
        </c:ser>
        <c:ser>
          <c:idx val="1"/>
          <c:order val="1"/>
          <c:tx>
            <c:strRef>
              <c:f>'3Y_OUTPUT'!$D$133</c:f>
              <c:strCache>
                <c:ptCount val="1"/>
                <c:pt idx="0">
                  <c:v>C2</c:v>
                </c:pt>
              </c:strCache>
            </c:strRef>
          </c:tx>
          <c:spPr>
            <a:ln w="25400" cap="flat" cmpd="dbl" algn="ctr">
              <a:noFill/>
              <a:round/>
            </a:ln>
            <a:effectLst/>
          </c:spPr>
          <c:marker>
            <c:symbol val="circle"/>
            <c:size val="10"/>
            <c:spPr>
              <a:solidFill>
                <a:srgbClr val="00B050"/>
              </a:solidFill>
              <a:ln w="34925" cap="flat" cmpd="dbl" algn="ctr">
                <a:noFill/>
                <a:round/>
              </a:ln>
              <a:effectLst/>
            </c:spPr>
          </c:marker>
          <c:dLbls>
            <c:spPr>
              <a:noFill/>
              <a:ln>
                <a:noFill/>
              </a:ln>
              <a:effectLst/>
            </c:spPr>
            <c:txPr>
              <a:bodyPr rot="0" vert="horz"/>
              <a:lstStyle/>
              <a:p>
                <a:pPr>
                  <a:defRPr>
                    <a:solidFill>
                      <a:schemeClr val="tx2"/>
                    </a:solidFill>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'3Y_OUTPUT'!$D$139</c:f>
              <c:numCache>
                <c:formatCode>0.0</c:formatCode>
                <c:ptCount val="1"/>
                <c:pt idx="0">
                  <c:v>0.78667198583237896</c:v>
                </c:pt>
              </c:numCache>
            </c:numRef>
          </c:xVal>
          <c:yVal>
            <c:numRef>
              <c:f>'3Y_OUTPUT'!$D$134</c:f>
              <c:numCache>
                <c:formatCode>0.0</c:formatCode>
                <c:ptCount val="1"/>
                <c:pt idx="0">
                  <c:v>2.3449393780969654</c:v>
                </c:pt>
              </c:numCache>
            </c:numRef>
          </c:yVal>
          <c:smooth val="0"/>
          <c:extLst>
            <c:ext xmlns:c16="http://schemas.microsoft.com/office/drawing/2014/chart" uri="{C3380CC4-5D6E-409C-BE32-E72D297353CC}">
              <c16:uniqueId val="{00000002-2188-4B1F-9D9F-7B303CDA4DAE}"/>
            </c:ext>
          </c:extLst>
        </c:ser>
        <c:ser>
          <c:idx val="2"/>
          <c:order val="2"/>
          <c:tx>
            <c:strRef>
              <c:f>'3Y_OUTPUT'!$E$133</c:f>
              <c:strCache>
                <c:ptCount val="1"/>
                <c:pt idx="0">
                  <c:v>C3</c:v>
                </c:pt>
              </c:strCache>
            </c:strRef>
          </c:tx>
          <c:spPr>
            <a:ln w="25400" cap="flat" cmpd="dbl" algn="ctr">
              <a:solidFill>
                <a:schemeClr val="accent3">
                  <a:alpha val="50000"/>
                </a:schemeClr>
              </a:solidFill>
              <a:round/>
            </a:ln>
            <a:effectLst/>
          </c:spPr>
          <c:marker>
            <c:symbol val="circle"/>
            <c:size val="10"/>
            <c:spPr>
              <a:solidFill>
                <a:srgbClr val="7030A0"/>
              </a:solidFill>
              <a:ln w="9525" cap="flat" cmpd="dbl" algn="ctr">
                <a:solidFill>
                  <a:srgbClr val="7030A0">
                    <a:alpha val="70000"/>
                  </a:srgbClr>
                </a:solidFill>
                <a:round/>
              </a:ln>
              <a:effectLst/>
            </c:spPr>
          </c:marker>
          <c:dLbls>
            <c:spPr>
              <a:noFill/>
              <a:ln>
                <a:noFill/>
              </a:ln>
              <a:effectLst/>
            </c:spPr>
            <c:txPr>
              <a:bodyPr rot="0" vert="horz"/>
              <a:lstStyle/>
              <a:p>
                <a:pPr>
                  <a:defRPr>
                    <a:solidFill>
                      <a:schemeClr val="tx2"/>
                    </a:solidFill>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'3Y_OUTPUT'!$E$139</c:f>
              <c:numCache>
                <c:formatCode>0.0</c:formatCode>
                <c:ptCount val="1"/>
                <c:pt idx="0">
                  <c:v>0.78306200006568805</c:v>
                </c:pt>
              </c:numCache>
            </c:numRef>
          </c:xVal>
          <c:yVal>
            <c:numRef>
              <c:f>'3Y_OUTPUT'!$E$134</c:f>
              <c:numCache>
                <c:formatCode>0.0</c:formatCode>
                <c:ptCount val="1"/>
                <c:pt idx="0">
                  <c:v>2.2629591962401814</c:v>
                </c:pt>
              </c:numCache>
            </c:numRef>
          </c:yVal>
          <c:smooth val="0"/>
          <c:extLst>
            <c:ext xmlns:c16="http://schemas.microsoft.com/office/drawing/2014/chart" uri="{C3380CC4-5D6E-409C-BE32-E72D297353CC}">
              <c16:uniqueId val="{00000003-2188-4B1F-9D9F-7B303CDA4DAE}"/>
            </c:ext>
          </c:extLst>
        </c:ser>
        <c:ser>
          <c:idx val="3"/>
          <c:order val="3"/>
          <c:tx>
            <c:strRef>
              <c:f>'3Y_OUTPUT'!$F$133</c:f>
              <c:strCache>
                <c:ptCount val="1"/>
                <c:pt idx="0">
                  <c:v>C4</c:v>
                </c:pt>
              </c:strCache>
            </c:strRef>
          </c:tx>
          <c:spPr>
            <a:ln w="25400" cap="flat" cmpd="dbl" algn="ctr">
              <a:solidFill>
                <a:schemeClr val="accent4">
                  <a:alpha val="50000"/>
                </a:schemeClr>
              </a:solidFill>
              <a:round/>
            </a:ln>
            <a:effectLst/>
          </c:spPr>
          <c:marker>
            <c:symbol val="circle"/>
            <c:size val="10"/>
            <c:spPr>
              <a:solidFill>
                <a:srgbClr val="0070C0"/>
              </a:solidFill>
              <a:ln w="9525" cap="flat" cmpd="dbl" algn="ctr">
                <a:solidFill>
                  <a:srgbClr val="0070C0">
                    <a:alpha val="70000"/>
                  </a:srgbClr>
                </a:solidFill>
                <a:round/>
              </a:ln>
              <a:effectLst/>
            </c:spPr>
          </c:marker>
          <c:dLbls>
            <c:spPr>
              <a:noFill/>
              <a:ln>
                <a:noFill/>
              </a:ln>
              <a:effectLst/>
            </c:spPr>
            <c:txPr>
              <a:bodyPr rot="0" vert="horz"/>
              <a:lstStyle/>
              <a:p>
                <a:pPr>
                  <a:defRPr>
                    <a:solidFill>
                      <a:schemeClr val="tx2"/>
                    </a:solidFill>
                  </a:defRPr>
                </a:pPr>
                <a:endParaRPr lang="sr-Latn-RS"/>
              </a:p>
            </c:txPr>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'3Y_OUTPUT'!$F$139</c:f>
              <c:numCache>
                <c:formatCode>0.0</c:formatCode>
                <c:ptCount val="1"/>
                <c:pt idx="0">
                  <c:v>0.96084903797628041</c:v>
                </c:pt>
              </c:numCache>
            </c:numRef>
          </c:xVal>
          <c:yVal>
            <c:numRef>
              <c:f>'3Y_OUTPUT'!$F$134</c:f>
              <c:numCache>
                <c:formatCode>0.0</c:formatCode>
                <c:ptCount val="1"/>
                <c:pt idx="0">
                  <c:v>2.3618230901935773</c:v>
                </c:pt>
              </c:numCache>
            </c:numRef>
          </c:yVal>
          <c:smooth val="0"/>
          <c:extLst>
            <c:ext xmlns:c16="http://schemas.microsoft.com/office/drawing/2014/chart" uri="{C3380CC4-5D6E-409C-BE32-E72D297353CC}">
              <c16:uniqueId val="{00000004-2188-4B1F-9D9F-7B303CDA4DAE}"/>
            </c:ext>
          </c:extLst>
        </c:ser>
        <c:dLbls>
          <c:showLegendKey val="0"/>
          <c:showVal val="0"/>
          <c:showCatName val="0"/>
          <c:showSerName val="0"/>
          <c:showPercent val="0"/>
          <c:showBubbleSize val="0"/>
        </c:dLbls>
        <c:axId val="253612416"/>
        <c:axId val="253614336"/>
      </c:scatterChart>
      <c:valAx>
        <c:axId val="253612416"/>
        <c:scaling>
          <c:orientation val="minMax"/>
          <c:max val="1.02"/>
          <c:min val="0.60000000000000009"/>
        </c:scaling>
        <c:delete val="0"/>
        <c:axPos val="b"/>
        <c:majorGridlines>
          <c:spPr>
            <a:ln w="9525" cap="flat" cmpd="sng" algn="ctr">
              <a:noFill/>
              <a:prstDash val="dash"/>
              <a:round/>
            </a:ln>
            <a:effectLst/>
          </c:spPr>
        </c:majorGridlines>
        <c:minorGridlines>
          <c:spPr>
            <a:ln w="9525" cap="flat" cmpd="sng" algn="ctr">
              <a:solidFill>
                <a:sysClr val="window" lastClr="FFFFFF"/>
              </a:solidFill>
              <a:round/>
            </a:ln>
            <a:effectLst/>
          </c:spPr>
        </c:minorGridlines>
        <c:title>
          <c:tx>
            <c:rich>
              <a:bodyPr rot="0" vert="horz"/>
              <a:lstStyle/>
              <a:p>
                <a:pPr>
                  <a:defRPr>
                    <a:solidFill>
                      <a:schemeClr val="accent1">
                        <a:lumMod val="75000"/>
                      </a:schemeClr>
                    </a:solidFill>
                  </a:defRPr>
                </a:pPr>
                <a:r>
                  <a:rPr lang="sr-Cyrl-RS">
                    <a:solidFill>
                      <a:schemeClr val="accent1">
                        <a:lumMod val="75000"/>
                      </a:schemeClr>
                    </a:solidFill>
                  </a:rPr>
                  <a:t>Ризик</a:t>
                </a:r>
              </a:p>
            </c:rich>
          </c:tx>
          <c:layout>
            <c:manualLayout>
              <c:xMode val="edge"/>
              <c:yMode val="edge"/>
              <c:x val="0.47124973398595482"/>
              <c:y val="0.92970168612191961"/>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tx2"/>
                </a:solidFill>
              </a:defRPr>
            </a:pPr>
            <a:endParaRPr lang="sr-Latn-RS"/>
          </a:p>
        </c:txPr>
        <c:crossAx val="253614336"/>
        <c:crosses val="autoZero"/>
        <c:crossBetween val="midCat"/>
      </c:valAx>
      <c:valAx>
        <c:axId val="253614336"/>
        <c:scaling>
          <c:orientation val="minMax"/>
          <c:max val="2.4"/>
          <c:min val="2"/>
        </c:scaling>
        <c:delete val="0"/>
        <c:axPos val="l"/>
        <c:majorGridlines>
          <c:spPr>
            <a:ln w="9525" cap="flat" cmpd="sng" algn="ctr">
              <a:noFill/>
              <a:prstDash val="dash"/>
              <a:round/>
            </a:ln>
            <a:effectLst/>
          </c:spPr>
        </c:majorGridlines>
        <c:minorGridlines>
          <c:spPr>
            <a:ln w="9525" cap="flat" cmpd="sng" algn="ctr">
              <a:noFill/>
              <a:round/>
            </a:ln>
            <a:effectLst/>
          </c:spPr>
        </c:minorGridlines>
        <c:title>
          <c:tx>
            <c:rich>
              <a:bodyPr rot="-5400000" vert="horz"/>
              <a:lstStyle/>
              <a:p>
                <a:pPr>
                  <a:defRPr>
                    <a:solidFill>
                      <a:schemeClr val="tx2"/>
                    </a:solidFill>
                  </a:defRPr>
                </a:pPr>
                <a:r>
                  <a:rPr lang="sr-Cyrl-CS">
                    <a:solidFill>
                      <a:schemeClr val="tx2"/>
                    </a:solidFill>
                  </a:rPr>
                  <a:t>Трошкови (%)</a:t>
                </a:r>
              </a:p>
            </c:rich>
          </c:tx>
          <c:layout>
            <c:manualLayout>
              <c:xMode val="edge"/>
              <c:yMode val="edge"/>
              <c:x val="5.5101353049714858E-3"/>
              <c:y val="0.22295780256005832"/>
            </c:manualLayout>
          </c:layout>
          <c:overlay val="0"/>
          <c:spPr>
            <a:noFill/>
            <a:ln>
              <a:noFill/>
            </a:ln>
            <a:effectLst/>
          </c:spPr>
        </c:title>
        <c:numFmt formatCode="0.00" sourceLinked="0"/>
        <c:majorTickMark val="none"/>
        <c:minorTickMark val="none"/>
        <c:tickLblPos val="nextTo"/>
        <c:spPr>
          <a:noFill/>
          <a:ln>
            <a:noFill/>
          </a:ln>
          <a:effectLst/>
        </c:spPr>
        <c:txPr>
          <a:bodyPr rot="0"/>
          <a:lstStyle/>
          <a:p>
            <a:pPr>
              <a:defRPr sz="800">
                <a:solidFill>
                  <a:schemeClr val="tx2"/>
                </a:solidFill>
              </a:defRPr>
            </a:pPr>
            <a:endParaRPr lang="sr-Latn-RS"/>
          </a:p>
        </c:txPr>
        <c:crossAx val="253612416"/>
        <c:crosses val="autoZero"/>
        <c:crossBetween val="midCat"/>
        <c:majorUnit val="0.2"/>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Calibri" panose="020F0502020204030204" pitchFamily="34" charset="0"/>
          <a:cs typeface="Calibri" panose="020F0502020204030204" pitchFamily="34" charset="0"/>
        </a:defRPr>
      </a:pPr>
      <a:endParaRPr lang="sr-Latn-RS"/>
    </a:p>
  </c:txPr>
  <c:externalData r:id="rId1">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0"/>
    <c:plotArea>
      <c:layout>
        <c:manualLayout>
          <c:layoutTarget val="inner"/>
          <c:xMode val="edge"/>
          <c:yMode val="edge"/>
          <c:x val="6.7368051268925991E-2"/>
          <c:y val="2.4498269896193772E-2"/>
          <c:w val="0.9372012977727866"/>
          <c:h val="0.90122138542350005"/>
        </c:manualLayout>
      </c:layout>
      <c:lineChart>
        <c:grouping val="standard"/>
        <c:varyColors val="0"/>
        <c:ser>
          <c:idx val="0"/>
          <c:order val="0"/>
          <c:spPr>
            <a:ln w="28575" cap="rnd" cmpd="sng" algn="ctr">
              <a:solidFill>
                <a:schemeClr val="accent1">
                  <a:shade val="40000"/>
                  <a:shade val="95000"/>
                  <a:satMod val="105000"/>
                </a:schemeClr>
              </a:solidFill>
              <a:prstDash val="solid"/>
              <a:round/>
            </a:ln>
            <a:effectLst/>
          </c:spPr>
          <c:marker>
            <c:spPr>
              <a:solidFill>
                <a:schemeClr val="accent1">
                  <a:shade val="38000"/>
                </a:schemeClr>
              </a:solidFill>
              <a:ln w="9525" cap="flat" cmpd="sng" algn="ctr">
                <a:solidFill>
                  <a:schemeClr val="accent1">
                    <a:shade val="38000"/>
                    <a:shade val="95000"/>
                    <a:satMod val="105000"/>
                  </a:schemeClr>
                </a:solidFill>
                <a:prstDash val="solid"/>
                <a:round/>
              </a:ln>
              <a:effectLst/>
            </c:spPr>
          </c:marker>
          <c:dLbls>
            <c:numFmt formatCode="#,##0.0" sourceLinked="0"/>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kursa'!$H$50:$Q$50</c:f>
              <c:numCache>
                <c:formatCode>General</c:formatCode>
                <c:ptCount val="10"/>
                <c:pt idx="0">
                  <c:v>2017</c:v>
                </c:pt>
                <c:pt idx="1">
                  <c:v>2018</c:v>
                </c:pt>
                <c:pt idx="2">
                  <c:v>2019</c:v>
                </c:pt>
                <c:pt idx="3">
                  <c:v>2020</c:v>
                </c:pt>
                <c:pt idx="4">
                  <c:v>2021</c:v>
                </c:pt>
                <c:pt idx="5">
                  <c:v>2022</c:v>
                </c:pt>
                <c:pt idx="6">
                  <c:v>2023</c:v>
                </c:pt>
                <c:pt idx="7">
                  <c:v>2024</c:v>
                </c:pt>
                <c:pt idx="8">
                  <c:v>2025</c:v>
                </c:pt>
                <c:pt idx="9">
                  <c:v>2026</c:v>
                </c:pt>
              </c:numCache>
            </c:numRef>
          </c:val>
          <c:smooth val="0"/>
          <c:extLst>
            <c:ext xmlns:c16="http://schemas.microsoft.com/office/drawing/2014/chart" uri="{C3380CC4-5D6E-409C-BE32-E72D297353CC}">
              <c16:uniqueId val="{00000000-D1A7-405B-BB85-3C08DE216013}"/>
            </c:ext>
          </c:extLst>
        </c:ser>
        <c:ser>
          <c:idx val="1"/>
          <c:order val="1"/>
          <c:spPr>
            <a:ln w="28575" cap="rnd" cmpd="sng" algn="ctr">
              <a:solidFill>
                <a:schemeClr val="accent1">
                  <a:shade val="51000"/>
                  <a:shade val="95000"/>
                  <a:satMod val="105000"/>
                </a:schemeClr>
              </a:solidFill>
              <a:prstDash val="solid"/>
              <a:round/>
            </a:ln>
            <a:effectLst/>
          </c:spPr>
          <c:marker>
            <c:symbol val="diamond"/>
            <c:size val="10"/>
            <c:spPr>
              <a:solidFill>
                <a:schemeClr val="accent1">
                  <a:shade val="45000"/>
                </a:schemeClr>
              </a:solidFill>
              <a:ln w="9525" cap="flat" cmpd="sng" algn="ctr">
                <a:solidFill>
                  <a:schemeClr val="accent1">
                    <a:shade val="45000"/>
                    <a:shade val="95000"/>
                    <a:satMod val="105000"/>
                  </a:schemeClr>
                </a:solidFill>
                <a:prstDash val="solid"/>
                <a:round/>
              </a:ln>
              <a:effectLst/>
            </c:spPr>
          </c:marker>
          <c:dLbls>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kursa'!$H$51:$R$51</c:f>
              <c:numCache>
                <c:formatCode>#,##0.0</c:formatCode>
                <c:ptCount val="11"/>
                <c:pt idx="0">
                  <c:v>57.788223811969416</c:v>
                </c:pt>
                <c:pt idx="1">
                  <c:v>53.621882530067857</c:v>
                </c:pt>
                <c:pt idx="2">
                  <c:v>51.9</c:v>
                </c:pt>
                <c:pt idx="3">
                  <c:v>57</c:v>
                </c:pt>
                <c:pt idx="4">
                  <c:v>56.510139896775023</c:v>
                </c:pt>
                <c:pt idx="5">
                  <c:v>55.1</c:v>
                </c:pt>
                <c:pt idx="6">
                  <c:v>52</c:v>
                </c:pt>
                <c:pt idx="7">
                  <c:v>51.487376232710034</c:v>
                </c:pt>
                <c:pt idx="8">
                  <c:v>50.869392620984989</c:v>
                </c:pt>
                <c:pt idx="9">
                  <c:v>50.283000081483152</c:v>
                </c:pt>
                <c:pt idx="10">
                  <c:v>49.730665907501901</c:v>
                </c:pt>
              </c:numCache>
            </c:numRef>
          </c:val>
          <c:smooth val="0"/>
          <c:extLst>
            <c:ext xmlns:c16="http://schemas.microsoft.com/office/drawing/2014/chart" uri="{C3380CC4-5D6E-409C-BE32-E72D297353CC}">
              <c16:uniqueId val="{00000001-D1A7-405B-BB85-3C08DE216013}"/>
            </c:ext>
          </c:extLst>
        </c:ser>
        <c:ser>
          <c:idx val="2"/>
          <c:order val="2"/>
          <c:spPr>
            <a:ln w="28575" cap="rnd" cmpd="sng" algn="ctr">
              <a:solidFill>
                <a:schemeClr val="accent1">
                  <a:shade val="62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kursa'!$H$52:$R$52</c:f>
              <c:numCache>
                <c:formatCode>#,##0.0</c:formatCode>
                <c:ptCount val="11"/>
                <c:pt idx="0">
                  <c:v>57.788223811969416</c:v>
                </c:pt>
                <c:pt idx="1">
                  <c:v>53.621882530067857</c:v>
                </c:pt>
                <c:pt idx="2">
                  <c:v>51.9</c:v>
                </c:pt>
                <c:pt idx="3">
                  <c:v>57</c:v>
                </c:pt>
                <c:pt idx="4">
                  <c:v>56.510139896775023</c:v>
                </c:pt>
                <c:pt idx="5">
                  <c:v>55.1</c:v>
                </c:pt>
                <c:pt idx="6">
                  <c:v>52</c:v>
                </c:pt>
                <c:pt idx="7">
                  <c:v>52.300876777186843</c:v>
                </c:pt>
                <c:pt idx="8">
                  <c:v>51.683302902920744</c:v>
                </c:pt>
                <c:pt idx="9">
                  <c:v>51.087528082786889</c:v>
                </c:pt>
                <c:pt idx="10">
                  <c:v>50.51641042884043</c:v>
                </c:pt>
              </c:numCache>
            </c:numRef>
          </c:val>
          <c:smooth val="0"/>
          <c:extLst>
            <c:ext xmlns:c16="http://schemas.microsoft.com/office/drawing/2014/chart" uri="{C3380CC4-5D6E-409C-BE32-E72D297353CC}">
              <c16:uniqueId val="{00000002-D1A7-405B-BB85-3C08DE216013}"/>
            </c:ext>
          </c:extLst>
        </c:ser>
        <c:ser>
          <c:idx val="3"/>
          <c:order val="3"/>
          <c:spPr>
            <a:ln w="28575" cap="rnd" cmpd="sng" algn="ctr">
              <a:solidFill>
                <a:schemeClr val="accent1">
                  <a:shade val="7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kursa'!$H$53:$R$53</c:f>
              <c:numCache>
                <c:formatCode>#,##0.0</c:formatCode>
                <c:ptCount val="11"/>
                <c:pt idx="0">
                  <c:v>57.788223811969416</c:v>
                </c:pt>
                <c:pt idx="1">
                  <c:v>53.621882530067857</c:v>
                </c:pt>
                <c:pt idx="2">
                  <c:v>51.9</c:v>
                </c:pt>
                <c:pt idx="3">
                  <c:v>57</c:v>
                </c:pt>
                <c:pt idx="4">
                  <c:v>56.510139896775023</c:v>
                </c:pt>
                <c:pt idx="5">
                  <c:v>55.1</c:v>
                </c:pt>
                <c:pt idx="6">
                  <c:v>52</c:v>
                </c:pt>
                <c:pt idx="7">
                  <c:v>53.114377321663675</c:v>
                </c:pt>
                <c:pt idx="8">
                  <c:v>52.497213184856506</c:v>
                </c:pt>
                <c:pt idx="9">
                  <c:v>51.892056084090619</c:v>
                </c:pt>
                <c:pt idx="10">
                  <c:v>51.302154950178959</c:v>
                </c:pt>
              </c:numCache>
            </c:numRef>
          </c:val>
          <c:smooth val="0"/>
          <c:extLst>
            <c:ext xmlns:c16="http://schemas.microsoft.com/office/drawing/2014/chart" uri="{C3380CC4-5D6E-409C-BE32-E72D297353CC}">
              <c16:uniqueId val="{00000003-D1A7-405B-BB85-3C08DE216013}"/>
            </c:ext>
          </c:extLst>
        </c:ser>
        <c:ser>
          <c:idx val="4"/>
          <c:order val="4"/>
          <c:spPr>
            <a:ln w="28575" cap="rnd" cmpd="sng" algn="ctr">
              <a:solidFill>
                <a:schemeClr val="accent1">
                  <a:shade val="8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kursa'!$H$54:$R$54</c:f>
              <c:numCache>
                <c:formatCode>#,##0.0</c:formatCode>
                <c:ptCount val="11"/>
                <c:pt idx="0">
                  <c:v>57.788223811969416</c:v>
                </c:pt>
                <c:pt idx="1">
                  <c:v>53.621882530067857</c:v>
                </c:pt>
                <c:pt idx="2">
                  <c:v>51.9</c:v>
                </c:pt>
                <c:pt idx="3">
                  <c:v>57</c:v>
                </c:pt>
                <c:pt idx="4">
                  <c:v>56.510139896775023</c:v>
                </c:pt>
                <c:pt idx="5">
                  <c:v>55.1</c:v>
                </c:pt>
                <c:pt idx="6">
                  <c:v>52</c:v>
                </c:pt>
                <c:pt idx="7">
                  <c:v>53.927877866140491</c:v>
                </c:pt>
                <c:pt idx="8">
                  <c:v>53.311123466792267</c:v>
                </c:pt>
                <c:pt idx="9">
                  <c:v>52.696584085394363</c:v>
                </c:pt>
                <c:pt idx="10">
                  <c:v>52.087899471517495</c:v>
                </c:pt>
              </c:numCache>
            </c:numRef>
          </c:val>
          <c:smooth val="0"/>
          <c:extLst>
            <c:ext xmlns:c16="http://schemas.microsoft.com/office/drawing/2014/chart" uri="{C3380CC4-5D6E-409C-BE32-E72D297353CC}">
              <c16:uniqueId val="{00000004-D1A7-405B-BB85-3C08DE216013}"/>
            </c:ext>
          </c:extLst>
        </c:ser>
        <c:ser>
          <c:idx val="5"/>
          <c:order val="5"/>
          <c:spPr>
            <a:ln w="28575" cap="rnd" cmpd="sng" algn="ctr">
              <a:solidFill>
                <a:schemeClr val="accent1">
                  <a:shade val="9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kursa'!$H$55:$R$55</c:f>
              <c:numCache>
                <c:formatCode>#,##0.0</c:formatCode>
                <c:ptCount val="11"/>
                <c:pt idx="0">
                  <c:v>57.788223811969416</c:v>
                </c:pt>
                <c:pt idx="1">
                  <c:v>53.621882530067857</c:v>
                </c:pt>
                <c:pt idx="2">
                  <c:v>51.9</c:v>
                </c:pt>
                <c:pt idx="3">
                  <c:v>57</c:v>
                </c:pt>
                <c:pt idx="4">
                  <c:v>56.510139896775023</c:v>
                </c:pt>
                <c:pt idx="5">
                  <c:v>55.1</c:v>
                </c:pt>
                <c:pt idx="6">
                  <c:v>52</c:v>
                </c:pt>
                <c:pt idx="7">
                  <c:v>54.741378410617315</c:v>
                </c:pt>
                <c:pt idx="8">
                  <c:v>54.125033748728022</c:v>
                </c:pt>
                <c:pt idx="9">
                  <c:v>53.501112086698086</c:v>
                </c:pt>
                <c:pt idx="10">
                  <c:v>52.873643992856024</c:v>
                </c:pt>
              </c:numCache>
            </c:numRef>
          </c:val>
          <c:smooth val="0"/>
          <c:extLst>
            <c:ext xmlns:c16="http://schemas.microsoft.com/office/drawing/2014/chart" uri="{C3380CC4-5D6E-409C-BE32-E72D297353CC}">
              <c16:uniqueId val="{00000005-D1A7-405B-BB85-3C08DE216013}"/>
            </c:ext>
          </c:extLst>
        </c:ser>
        <c:ser>
          <c:idx val="6"/>
          <c:order val="6"/>
          <c:spPr>
            <a:ln w="28575" cap="rnd" cmpd="sng" algn="ctr">
              <a:solidFill>
                <a:schemeClr val="accent1">
                  <a:tint val="95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6-D1A7-405B-BB85-3C08DE216013}"/>
                </c:ext>
              </c:extLst>
            </c:dLbl>
            <c:dLbl>
              <c:idx val="1"/>
              <c:delete val="1"/>
              <c:extLst>
                <c:ext xmlns:c15="http://schemas.microsoft.com/office/drawing/2012/chart" uri="{CE6537A1-D6FC-4f65-9D91-7224C49458BB}"/>
                <c:ext xmlns:c16="http://schemas.microsoft.com/office/drawing/2014/chart" uri="{C3380CC4-5D6E-409C-BE32-E72D297353CC}">
                  <c16:uniqueId val="{00000007-D1A7-405B-BB85-3C08DE216013}"/>
                </c:ext>
              </c:extLst>
            </c:dLbl>
            <c:dLbl>
              <c:idx val="2"/>
              <c:delete val="1"/>
              <c:extLst>
                <c:ext xmlns:c15="http://schemas.microsoft.com/office/drawing/2012/chart" uri="{CE6537A1-D6FC-4f65-9D91-7224C49458BB}"/>
                <c:ext xmlns:c16="http://schemas.microsoft.com/office/drawing/2014/chart" uri="{C3380CC4-5D6E-409C-BE32-E72D297353CC}">
                  <c16:uniqueId val="{00000008-D1A7-405B-BB85-3C08DE216013}"/>
                </c:ext>
              </c:extLst>
            </c:dLbl>
            <c:dLbl>
              <c:idx val="3"/>
              <c:delete val="1"/>
              <c:extLst>
                <c:ext xmlns:c15="http://schemas.microsoft.com/office/drawing/2012/chart" uri="{CE6537A1-D6FC-4f65-9D91-7224C49458BB}"/>
                <c:ext xmlns:c16="http://schemas.microsoft.com/office/drawing/2014/chart" uri="{C3380CC4-5D6E-409C-BE32-E72D297353CC}">
                  <c16:uniqueId val="{00000009-D1A7-405B-BB85-3C08DE216013}"/>
                </c:ext>
              </c:extLst>
            </c:dLbl>
            <c:dLbl>
              <c:idx val="4"/>
              <c:delete val="1"/>
              <c:extLst>
                <c:ext xmlns:c15="http://schemas.microsoft.com/office/drawing/2012/chart" uri="{CE6537A1-D6FC-4f65-9D91-7224C49458BB}"/>
                <c:ext xmlns:c16="http://schemas.microsoft.com/office/drawing/2014/chart" uri="{C3380CC4-5D6E-409C-BE32-E72D297353CC}">
                  <c16:uniqueId val="{0000000A-D1A7-405B-BB85-3C08DE216013}"/>
                </c:ext>
              </c:extLst>
            </c:dLbl>
            <c:dLbl>
              <c:idx val="5"/>
              <c:delete val="1"/>
              <c:extLst>
                <c:ext xmlns:c15="http://schemas.microsoft.com/office/drawing/2012/chart" uri="{CE6537A1-D6FC-4f65-9D91-7224C49458BB}"/>
                <c:ext xmlns:c16="http://schemas.microsoft.com/office/drawing/2014/chart" uri="{C3380CC4-5D6E-409C-BE32-E72D297353CC}">
                  <c16:uniqueId val="{0000000B-D1A7-405B-BB85-3C08DE216013}"/>
                </c:ext>
              </c:extLst>
            </c:dLbl>
            <c:dLbl>
              <c:idx val="6"/>
              <c:delete val="1"/>
              <c:extLst>
                <c:ext xmlns:c15="http://schemas.microsoft.com/office/drawing/2012/chart" uri="{CE6537A1-D6FC-4f65-9D91-7224C49458BB}"/>
                <c:ext xmlns:c16="http://schemas.microsoft.com/office/drawing/2014/chart" uri="{C3380CC4-5D6E-409C-BE32-E72D297353CC}">
                  <c16:uniqueId val="{0000000C-D1A7-405B-BB85-3C08DE216013}"/>
                </c:ext>
              </c:extLst>
            </c:dLbl>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kursa'!$H$56:$R$56</c:f>
              <c:numCache>
                <c:formatCode>#,##0.0</c:formatCode>
                <c:ptCount val="11"/>
                <c:pt idx="0">
                  <c:v>57.788223811969416</c:v>
                </c:pt>
                <c:pt idx="1">
                  <c:v>53.621882530067857</c:v>
                </c:pt>
                <c:pt idx="2">
                  <c:v>51.9</c:v>
                </c:pt>
                <c:pt idx="3">
                  <c:v>57</c:v>
                </c:pt>
                <c:pt idx="4">
                  <c:v>56.510139896775023</c:v>
                </c:pt>
                <c:pt idx="5">
                  <c:v>55.1</c:v>
                </c:pt>
                <c:pt idx="6">
                  <c:v>52</c:v>
                </c:pt>
                <c:pt idx="7">
                  <c:v>55.554878955094125</c:v>
                </c:pt>
                <c:pt idx="8">
                  <c:v>54.938944030663784</c:v>
                </c:pt>
                <c:pt idx="9">
                  <c:v>54.305640088001816</c:v>
                </c:pt>
                <c:pt idx="10">
                  <c:v>53.659388514194553</c:v>
                </c:pt>
              </c:numCache>
            </c:numRef>
          </c:val>
          <c:smooth val="0"/>
          <c:extLst>
            <c:ext xmlns:c16="http://schemas.microsoft.com/office/drawing/2014/chart" uri="{C3380CC4-5D6E-409C-BE32-E72D297353CC}">
              <c16:uniqueId val="{0000000D-D1A7-405B-BB85-3C08DE216013}"/>
            </c:ext>
          </c:extLst>
        </c:ser>
        <c:ser>
          <c:idx val="7"/>
          <c:order val="7"/>
          <c:spPr>
            <a:ln w="28575" cap="rnd" cmpd="sng" algn="ctr">
              <a:solidFill>
                <a:schemeClr val="accent1">
                  <a:tint val="8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kursa'!$H$57:$R$57</c:f>
              <c:numCache>
                <c:formatCode>#,##0.0</c:formatCode>
                <c:ptCount val="11"/>
                <c:pt idx="0">
                  <c:v>57.788223811969416</c:v>
                </c:pt>
                <c:pt idx="1">
                  <c:v>53.621882530067857</c:v>
                </c:pt>
                <c:pt idx="2">
                  <c:v>51.9</c:v>
                </c:pt>
                <c:pt idx="3">
                  <c:v>57</c:v>
                </c:pt>
                <c:pt idx="4">
                  <c:v>56.510139896775023</c:v>
                </c:pt>
                <c:pt idx="5">
                  <c:v>55.1</c:v>
                </c:pt>
                <c:pt idx="6">
                  <c:v>52</c:v>
                </c:pt>
                <c:pt idx="7">
                  <c:v>50.673875688233217</c:v>
                </c:pt>
                <c:pt idx="8">
                  <c:v>50.055482339049227</c:v>
                </c:pt>
                <c:pt idx="9">
                  <c:v>49.478472080179422</c:v>
                </c:pt>
                <c:pt idx="10">
                  <c:v>48.944921386163372</c:v>
                </c:pt>
              </c:numCache>
            </c:numRef>
          </c:val>
          <c:smooth val="0"/>
          <c:extLst>
            <c:ext xmlns:c16="http://schemas.microsoft.com/office/drawing/2014/chart" uri="{C3380CC4-5D6E-409C-BE32-E72D297353CC}">
              <c16:uniqueId val="{0000000E-D1A7-405B-BB85-3C08DE216013}"/>
            </c:ext>
          </c:extLst>
        </c:ser>
        <c:ser>
          <c:idx val="8"/>
          <c:order val="8"/>
          <c:spPr>
            <a:ln w="28575" cap="rnd" cmpd="sng" algn="ctr">
              <a:solidFill>
                <a:schemeClr val="accent1">
                  <a:tint val="74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kursa'!$H$58:$R$58</c:f>
              <c:numCache>
                <c:formatCode>#,##0.0</c:formatCode>
                <c:ptCount val="11"/>
                <c:pt idx="0">
                  <c:v>57.788223811969416</c:v>
                </c:pt>
                <c:pt idx="1">
                  <c:v>53.621882530067857</c:v>
                </c:pt>
                <c:pt idx="2">
                  <c:v>51.9</c:v>
                </c:pt>
                <c:pt idx="3">
                  <c:v>57</c:v>
                </c:pt>
                <c:pt idx="4">
                  <c:v>56.510139896775023</c:v>
                </c:pt>
                <c:pt idx="5">
                  <c:v>55.1</c:v>
                </c:pt>
                <c:pt idx="6">
                  <c:v>52</c:v>
                </c:pt>
                <c:pt idx="7">
                  <c:v>49.860375143756393</c:v>
                </c:pt>
                <c:pt idx="8">
                  <c:v>49.241572057113466</c:v>
                </c:pt>
                <c:pt idx="9">
                  <c:v>48.673944078875699</c:v>
                </c:pt>
                <c:pt idx="10">
                  <c:v>48.159176864824836</c:v>
                </c:pt>
              </c:numCache>
            </c:numRef>
          </c:val>
          <c:smooth val="0"/>
          <c:extLst>
            <c:ext xmlns:c16="http://schemas.microsoft.com/office/drawing/2014/chart" uri="{C3380CC4-5D6E-409C-BE32-E72D297353CC}">
              <c16:uniqueId val="{0000000F-D1A7-405B-BB85-3C08DE216013}"/>
            </c:ext>
          </c:extLst>
        </c:ser>
        <c:ser>
          <c:idx val="9"/>
          <c:order val="9"/>
          <c:spPr>
            <a:ln w="28575" cap="rnd" cmpd="sng" algn="ctr">
              <a:solidFill>
                <a:schemeClr val="accent1">
                  <a:tint val="63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kursa'!$H$59:$R$59</c:f>
              <c:numCache>
                <c:formatCode>#,##0.0</c:formatCode>
                <c:ptCount val="11"/>
                <c:pt idx="0">
                  <c:v>57.788223811969416</c:v>
                </c:pt>
                <c:pt idx="1">
                  <c:v>53.621882530067857</c:v>
                </c:pt>
                <c:pt idx="2">
                  <c:v>51.9</c:v>
                </c:pt>
                <c:pt idx="3">
                  <c:v>57</c:v>
                </c:pt>
                <c:pt idx="4">
                  <c:v>56.510139896775023</c:v>
                </c:pt>
                <c:pt idx="5">
                  <c:v>55.1</c:v>
                </c:pt>
                <c:pt idx="6">
                  <c:v>52</c:v>
                </c:pt>
                <c:pt idx="7">
                  <c:v>49.046874599279569</c:v>
                </c:pt>
                <c:pt idx="8">
                  <c:v>48.427661775177704</c:v>
                </c:pt>
                <c:pt idx="9">
                  <c:v>47.869416077571962</c:v>
                </c:pt>
                <c:pt idx="10">
                  <c:v>47.373432343486307</c:v>
                </c:pt>
              </c:numCache>
            </c:numRef>
          </c:val>
          <c:smooth val="0"/>
          <c:extLst>
            <c:ext xmlns:c16="http://schemas.microsoft.com/office/drawing/2014/chart" uri="{C3380CC4-5D6E-409C-BE32-E72D297353CC}">
              <c16:uniqueId val="{00000010-D1A7-405B-BB85-3C08DE216013}"/>
            </c:ext>
          </c:extLst>
        </c:ser>
        <c:ser>
          <c:idx val="10"/>
          <c:order val="10"/>
          <c:spPr>
            <a:ln w="28575" cap="rnd" cmpd="sng" algn="ctr">
              <a:solidFill>
                <a:schemeClr val="accent1">
                  <a:tint val="52000"/>
                  <a:shade val="95000"/>
                  <a:satMod val="105000"/>
                </a:schemeClr>
              </a:solidFill>
              <a:prstDash val="solid"/>
              <a:round/>
            </a:ln>
            <a:effectLst/>
          </c:spPr>
          <c:marker>
            <c:symbol val="none"/>
          </c:marker>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kursa'!$H$60:$R$60</c:f>
              <c:numCache>
                <c:formatCode>#,##0.0</c:formatCode>
                <c:ptCount val="11"/>
                <c:pt idx="0">
                  <c:v>57.788223811969416</c:v>
                </c:pt>
                <c:pt idx="1">
                  <c:v>53.621882530067857</c:v>
                </c:pt>
                <c:pt idx="2">
                  <c:v>51.9</c:v>
                </c:pt>
                <c:pt idx="3">
                  <c:v>57</c:v>
                </c:pt>
                <c:pt idx="4">
                  <c:v>56.510139896775023</c:v>
                </c:pt>
                <c:pt idx="5">
                  <c:v>55.1</c:v>
                </c:pt>
                <c:pt idx="6">
                  <c:v>52</c:v>
                </c:pt>
                <c:pt idx="7">
                  <c:v>48.233374054802759</c:v>
                </c:pt>
                <c:pt idx="8">
                  <c:v>47.613751493241949</c:v>
                </c:pt>
                <c:pt idx="9">
                  <c:v>47.06488807626824</c:v>
                </c:pt>
                <c:pt idx="10">
                  <c:v>46.587687822147778</c:v>
                </c:pt>
              </c:numCache>
            </c:numRef>
          </c:val>
          <c:smooth val="0"/>
          <c:extLst>
            <c:ext xmlns:c16="http://schemas.microsoft.com/office/drawing/2014/chart" uri="{C3380CC4-5D6E-409C-BE32-E72D297353CC}">
              <c16:uniqueId val="{00000011-D1A7-405B-BB85-3C08DE216013}"/>
            </c:ext>
          </c:extLst>
        </c:ser>
        <c:ser>
          <c:idx val="11"/>
          <c:order val="11"/>
          <c:spPr>
            <a:ln w="28575" cap="rnd" cmpd="sng" algn="ctr">
              <a:solidFill>
                <a:schemeClr val="accent1">
                  <a:tint val="41000"/>
                  <a:shade val="95000"/>
                  <a:satMod val="105000"/>
                </a:schemeClr>
              </a:solidFill>
              <a:prstDash val="solid"/>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12-D1A7-405B-BB85-3C08DE216013}"/>
                </c:ext>
              </c:extLst>
            </c:dLbl>
            <c:dLbl>
              <c:idx val="1"/>
              <c:delete val="1"/>
              <c:extLst>
                <c:ext xmlns:c15="http://schemas.microsoft.com/office/drawing/2012/chart" uri="{CE6537A1-D6FC-4f65-9D91-7224C49458BB}"/>
                <c:ext xmlns:c16="http://schemas.microsoft.com/office/drawing/2014/chart" uri="{C3380CC4-5D6E-409C-BE32-E72D297353CC}">
                  <c16:uniqueId val="{00000013-D1A7-405B-BB85-3C08DE216013}"/>
                </c:ext>
              </c:extLst>
            </c:dLbl>
            <c:dLbl>
              <c:idx val="2"/>
              <c:delete val="1"/>
              <c:extLst>
                <c:ext xmlns:c15="http://schemas.microsoft.com/office/drawing/2012/chart" uri="{CE6537A1-D6FC-4f65-9D91-7224C49458BB}"/>
                <c:ext xmlns:c16="http://schemas.microsoft.com/office/drawing/2014/chart" uri="{C3380CC4-5D6E-409C-BE32-E72D297353CC}">
                  <c16:uniqueId val="{00000014-D1A7-405B-BB85-3C08DE216013}"/>
                </c:ext>
              </c:extLst>
            </c:dLbl>
            <c:dLbl>
              <c:idx val="3"/>
              <c:delete val="1"/>
              <c:extLst>
                <c:ext xmlns:c15="http://schemas.microsoft.com/office/drawing/2012/chart" uri="{CE6537A1-D6FC-4f65-9D91-7224C49458BB}"/>
                <c:ext xmlns:c16="http://schemas.microsoft.com/office/drawing/2014/chart" uri="{C3380CC4-5D6E-409C-BE32-E72D297353CC}">
                  <c16:uniqueId val="{00000015-D1A7-405B-BB85-3C08DE216013}"/>
                </c:ext>
              </c:extLst>
            </c:dLbl>
            <c:dLbl>
              <c:idx val="4"/>
              <c:delete val="1"/>
              <c:extLst>
                <c:ext xmlns:c15="http://schemas.microsoft.com/office/drawing/2012/chart" uri="{CE6537A1-D6FC-4f65-9D91-7224C49458BB}"/>
                <c:ext xmlns:c16="http://schemas.microsoft.com/office/drawing/2014/chart" uri="{C3380CC4-5D6E-409C-BE32-E72D297353CC}">
                  <c16:uniqueId val="{00000016-D1A7-405B-BB85-3C08DE216013}"/>
                </c:ext>
              </c:extLst>
            </c:dLbl>
            <c:dLbl>
              <c:idx val="5"/>
              <c:delete val="1"/>
              <c:extLst>
                <c:ext xmlns:c15="http://schemas.microsoft.com/office/drawing/2012/chart" uri="{CE6537A1-D6FC-4f65-9D91-7224C49458BB}"/>
                <c:ext xmlns:c16="http://schemas.microsoft.com/office/drawing/2014/chart" uri="{C3380CC4-5D6E-409C-BE32-E72D297353CC}">
                  <c16:uniqueId val="{00000017-D1A7-405B-BB85-3C08DE216013}"/>
                </c:ext>
              </c:extLst>
            </c:dLbl>
            <c:dLbl>
              <c:idx val="6"/>
              <c:delete val="1"/>
              <c:extLst>
                <c:ext xmlns:c15="http://schemas.microsoft.com/office/drawing/2012/chart" uri="{CE6537A1-D6FC-4f65-9D91-7224C49458BB}"/>
                <c:ext xmlns:c16="http://schemas.microsoft.com/office/drawing/2014/chart" uri="{C3380CC4-5D6E-409C-BE32-E72D297353CC}">
                  <c16:uniqueId val="{00000018-D1A7-405B-BB85-3C08DE216013}"/>
                </c:ext>
              </c:extLst>
            </c:dLbl>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'uticaj promene kursa'!$H$50:$R$50</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'uticaj promene kursa'!$H$61:$R$61</c:f>
              <c:numCache>
                <c:formatCode>#,##0.0</c:formatCode>
                <c:ptCount val="11"/>
                <c:pt idx="0">
                  <c:v>57.788223811969416</c:v>
                </c:pt>
                <c:pt idx="1">
                  <c:v>53.621882530067857</c:v>
                </c:pt>
                <c:pt idx="2">
                  <c:v>51.9</c:v>
                </c:pt>
                <c:pt idx="3">
                  <c:v>57</c:v>
                </c:pt>
                <c:pt idx="4">
                  <c:v>56.510139896775023</c:v>
                </c:pt>
                <c:pt idx="5">
                  <c:v>55.1</c:v>
                </c:pt>
                <c:pt idx="6">
                  <c:v>52</c:v>
                </c:pt>
                <c:pt idx="7">
                  <c:v>47.419873510325935</c:v>
                </c:pt>
                <c:pt idx="8">
                  <c:v>46.79984121130618</c:v>
                </c:pt>
                <c:pt idx="9">
                  <c:v>46.260360074964503</c:v>
                </c:pt>
                <c:pt idx="10">
                  <c:v>45.801943300809249</c:v>
                </c:pt>
              </c:numCache>
            </c:numRef>
          </c:val>
          <c:smooth val="0"/>
          <c:extLst>
            <c:ext xmlns:c16="http://schemas.microsoft.com/office/drawing/2014/chart" uri="{C3380CC4-5D6E-409C-BE32-E72D297353CC}">
              <c16:uniqueId val="{00000019-D1A7-405B-BB85-3C08DE216013}"/>
            </c:ext>
          </c:extLst>
        </c:ser>
        <c:dLbls>
          <c:showLegendKey val="0"/>
          <c:showVal val="0"/>
          <c:showCatName val="0"/>
          <c:showSerName val="0"/>
          <c:showPercent val="0"/>
          <c:showBubbleSize val="0"/>
        </c:dLbls>
        <c:marker val="1"/>
        <c:smooth val="0"/>
        <c:axId val="75069312"/>
        <c:axId val="75070848"/>
      </c:lineChart>
      <c:catAx>
        <c:axId val="75069312"/>
        <c:scaling>
          <c:orientation val="minMax"/>
        </c:scaling>
        <c:delete val="0"/>
        <c:axPos val="b"/>
        <c:majorGridlines>
          <c:spPr>
            <a:ln w="9525" cap="flat" cmpd="sng" algn="ctr">
              <a:noFill/>
              <a:prstDash val="solid"/>
              <a:round/>
            </a:ln>
            <a:effectLst/>
          </c:spPr>
        </c:majorGridlines>
        <c:minorGridlines>
          <c:spPr>
            <a:ln w="9525" cap="flat" cmpd="sng" algn="ctr">
              <a:noFill/>
              <a:prstDash val="solid"/>
              <a:round/>
            </a:ln>
            <a:effectLst/>
          </c:spPr>
        </c:min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5400000" spcFirstLastPara="1" vertOverflow="ellipsis" wrap="square" anchor="ctr" anchorCtr="1"/>
          <a:lstStyle/>
          <a:p>
            <a:pPr>
              <a:defRPr sz="700" b="0" i="0" u="none" strike="noStrike" kern="1200" baseline="0">
                <a:solidFill>
                  <a:schemeClr val="tx1"/>
                </a:solidFill>
                <a:latin typeface="+mn-lt"/>
                <a:ea typeface="+mn-ea"/>
                <a:cs typeface="+mn-cs"/>
              </a:defRPr>
            </a:pPr>
            <a:endParaRPr lang="sr-Latn-RS"/>
          </a:p>
        </c:txPr>
        <c:crossAx val="75070848"/>
        <c:crosses val="autoZero"/>
        <c:auto val="0"/>
        <c:lblAlgn val="ctr"/>
        <c:lblOffset val="100"/>
        <c:noMultiLvlLbl val="0"/>
      </c:catAx>
      <c:valAx>
        <c:axId val="75070848"/>
        <c:scaling>
          <c:orientation val="minMax"/>
          <c:max val="60"/>
          <c:min val="43"/>
        </c:scaling>
        <c:delete val="0"/>
        <c:axPos val="l"/>
        <c:majorGridlines>
          <c:spPr>
            <a:ln w="9525" cap="flat" cmpd="sng" algn="ctr">
              <a:noFill/>
              <a:prstDash val="solid"/>
              <a:round/>
            </a:ln>
            <a:effectLst/>
          </c:spPr>
        </c:majorGridlines>
        <c:numFmt formatCode="#,##0.0"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sr-Latn-RS"/>
          </a:p>
        </c:txPr>
        <c:crossAx val="75069312"/>
        <c:crosses val="autoZero"/>
        <c:crossBetween val="between"/>
        <c:majorUnit val="5"/>
        <c:minorUnit val="2"/>
      </c:valAx>
      <c:spPr>
        <a:noFill/>
        <a:ln>
          <a:noFill/>
        </a:ln>
        <a:effectLst/>
      </c:spPr>
    </c:plotArea>
    <c:plotVisOnly val="1"/>
    <c:dispBlanksAs val="gap"/>
    <c:showDLblsOverMax val="0"/>
  </c:chart>
  <c:spPr>
    <a:solidFill>
      <a:schemeClr val="bg1"/>
    </a:solidFill>
    <a:ln w="9525" cap="flat" cmpd="sng" algn="ctr">
      <a:noFill/>
      <a:prstDash val="solid"/>
      <a:round/>
    </a:ln>
    <a:effectLst/>
  </c:spPr>
  <c:txPr>
    <a:bodyPr rot="5400000" vert="horz"/>
    <a:lstStyle/>
    <a:p>
      <a:pPr>
        <a:defRPr sz="700"/>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withinLinear" id="14">
  <a:schemeClr val="accent1"/>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withinLinear" id="16">
  <a:schemeClr val="accent3"/>
</cs:colorStyle>
</file>

<file path=word/charts/colors59.xml><?xml version="1.0" encoding="utf-8"?>
<cs:colorStyle xmlns:cs="http://schemas.microsoft.com/office/drawing/2012/chartStyle" xmlns:a="http://schemas.openxmlformats.org/drawingml/2006/main" meth="withinLinear" id="16">
  <a:schemeClr val="accent3"/>
</cs:colorStyle>
</file>

<file path=word/charts/colors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59.xml><?xml version="1.0" encoding="utf-8"?>
<cs:chartStyle xmlns:cs="http://schemas.microsoft.com/office/drawing/2012/chartStyle" xmlns:a="http://schemas.openxmlformats.org/drawingml/2006/main" id="136">
  <cs:axisTitle>
    <cs:lnRef idx="0"/>
    <cs:fillRef idx="0"/>
    <cs:effectRef idx="0"/>
    <cs:fontRef idx="minor">
      <a:schemeClr val="dk1"/>
    </cs:fontRef>
    <cs:defRPr sz="1000" b="1" kern="1200"/>
  </cs:axisTitle>
  <cs:categoryAxis>
    <cs:lnRef idx="1">
      <a:schemeClr val="dk1">
        <a:tint val="75000"/>
      </a:schemeClr>
    </cs:lnRef>
    <cs:fillRef idx="0"/>
    <cs:effectRef idx="0"/>
    <cs:fontRef idx="minor">
      <a:schemeClr val="dk1"/>
    </cs:fontRef>
    <cs:spPr>
      <a:ln>
        <a:round/>
      </a:ln>
    </cs:spPr>
    <cs:defRPr sz="1000" kern="1200"/>
  </cs:categoryAxis>
  <cs:chartArea>
    <cs:lnRef idx="1">
      <a:schemeClr val="dk1">
        <a:tint val="75000"/>
      </a:schemeClr>
    </cs:lnRef>
    <cs:fillRef idx="1">
      <a:schemeClr val="lt1"/>
    </cs:fillRef>
    <cs:effectRef idx="0"/>
    <cs:fontRef idx="minor">
      <a:schemeClr val="dk1"/>
    </cs:fontRef>
    <cs:spPr>
      <a:ln>
        <a:round/>
      </a:ln>
    </cs:spPr>
    <cs:defRPr sz="1000" kern="1200"/>
  </cs:chartArea>
  <cs:dataLabel>
    <cs:lnRef idx="0"/>
    <cs:fillRef idx="0"/>
    <cs:effectRef idx="0"/>
    <cs:fontRef idx="minor">
      <a:schemeClr val="dk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mods="ignoreCSTransforms">
      <cs:styleClr val="0">
        <a:shade val="50000"/>
      </cs:styleClr>
    </cs:lnRef>
    <cs:fillRef idx="1">
      <cs:styleClr val="auto"/>
    </cs:fillRef>
    <cs:effectRef idx="0"/>
    <cs:fontRef idx="minor">
      <a:schemeClr val="dk1"/>
    </cs:fontRef>
    <cs:spPr>
      <a:ln>
        <a:round/>
      </a:ln>
    </cs:spPr>
  </cs:dataPoint>
  <cs:dataPoint3D>
    <cs:lnRef idx="1" mods="ignoreCSTransforms">
      <cs:styleClr val="0">
        <a:shade val="50000"/>
      </cs:styleClr>
    </cs:lnRef>
    <cs:fillRef idx="1">
      <cs:styleClr val="auto"/>
    </cs:fillRef>
    <cs:effectRef idx="0"/>
    <cs:fontRef idx="minor">
      <a:schemeClr val="dk1"/>
    </cs:fontRef>
    <cs:spPr>
      <a:ln>
        <a:round/>
      </a:ln>
    </cs:spPr>
  </cs:dataPoint3D>
  <cs:dataPointLine>
    <cs:lnRef idx="1">
      <cs:styleClr val="auto"/>
    </cs:lnRef>
    <cs:lineWidthScale>5</cs:lineWidthScale>
    <cs:fillRef idx="0"/>
    <cs:effectRef idx="0"/>
    <cs:fontRef idx="minor">
      <a:schemeClr val="dk1"/>
    </cs:fontRef>
    <cs:spPr>
      <a:ln cap="rnd">
        <a:round/>
      </a:ln>
    </cs:spPr>
  </cs:dataPointLine>
  <cs:dataPointMarker>
    <cs:lnRef idx="1">
      <cs:styleClr val="auto"/>
    </cs:lnRef>
    <cs:fillRef idx="1">
      <cs:styleClr val="auto"/>
    </cs:fillRef>
    <cs:effectRef idx="0"/>
    <cs:fontRef idx="minor">
      <a:schemeClr val="dk1"/>
    </cs:fontRef>
    <cs:spPr>
      <a:ln>
        <a:round/>
      </a:ln>
    </cs:spPr>
  </cs:dataPointMarker>
  <cs:dataPointMarkerLayout/>
  <cs:dataPointWireframe>
    <cs:lnRef idx="1">
      <cs:styleClr val="auto"/>
    </cs:lnRef>
    <cs:fillRef idx="0"/>
    <cs:effectRef idx="0"/>
    <cs:fontRef idx="minor">
      <a:schemeClr val="dk1"/>
    </cs:fontRef>
    <cs:spPr>
      <a:ln>
        <a:round/>
      </a:ln>
    </cs:spPr>
  </cs:dataPointWireframe>
  <cs:dataTable>
    <cs:lnRef idx="1">
      <a:schemeClr val="dk1">
        <a:tint val="75000"/>
      </a:schemeClr>
    </cs:lnRef>
    <cs:fillRef idx="0"/>
    <cs:effectRef idx="0"/>
    <cs:fontRef idx="minor">
      <a:schemeClr val="dk1"/>
    </cs:fontRef>
    <cs:spPr>
      <a:ln>
        <a:round/>
      </a:ln>
    </cs:spPr>
    <cs:defRPr sz="1000" kern="1200"/>
  </cs:dataTable>
  <cs:downBar>
    <cs:lnRef idx="1" mods="ignoreCSTransforms">
      <cs:styleClr val="0">
        <a:shade val="25000"/>
      </cs:styleClr>
    </cs:lnRef>
    <cs:fillRef idx="1" mods="ignoreCSTransforms">
      <cs:styleClr val="0">
        <a:shade val="25000"/>
      </cs:styleClr>
    </cs:fillRef>
    <cs:effectRef idx="0"/>
    <cs:fontRef idx="minor">
      <a:schemeClr val="dk1"/>
    </cs:fontRef>
    <cs:spPr>
      <a:ln>
        <a:round/>
      </a:ln>
    </cs:spPr>
  </cs:downBar>
  <cs:dropLine>
    <cs:lnRef idx="1">
      <a:schemeClr val="dk1"/>
    </cs:lnRef>
    <cs:fillRef idx="0"/>
    <cs:effectRef idx="0"/>
    <cs:fontRef idx="minor">
      <a:schemeClr val="dk1"/>
    </cs:fontRef>
    <cs:spPr>
      <a:ln>
        <a:round/>
      </a:ln>
    </cs:spPr>
  </cs:dropLine>
  <cs:errorBar>
    <cs:lnRef idx="1">
      <a:schemeClr val="dk1"/>
    </cs:lnRef>
    <cs:fillRef idx="1">
      <a:schemeClr val="dk1"/>
    </cs:fillRef>
    <cs:effectRef idx="0"/>
    <cs:fontRef idx="minor">
      <a:schemeClr val="dk1"/>
    </cs:fontRef>
    <cs:spPr>
      <a:ln>
        <a:round/>
      </a:ln>
    </cs:spPr>
  </cs:errorBar>
  <cs:floor>
    <cs:lnRef idx="1">
      <a:schemeClr val="dk1">
        <a:tint val="75000"/>
      </a:schemeClr>
    </cs:lnRef>
    <cs:fillRef idx="1" mods="ignoreCSTransforms">
      <cs:styleClr val="0">
        <a:tint val="20000"/>
      </cs:styleClr>
    </cs:fillRef>
    <cs:effectRef idx="0"/>
    <cs:fontRef idx="minor">
      <a:schemeClr val="dk1"/>
    </cs:fontRef>
    <cs:spPr>
      <a:ln>
        <a:round/>
      </a:ln>
    </cs:spPr>
  </cs:floor>
  <cs:gridlineMajor>
    <cs:lnRef idx="1">
      <a:schemeClr val="dk1">
        <a:tint val="75000"/>
      </a:schemeClr>
    </cs:lnRef>
    <cs:fillRef idx="0"/>
    <cs:effectRef idx="0"/>
    <cs:fontRef idx="minor">
      <a:schemeClr val="dk1"/>
    </cs:fontRef>
    <cs:spPr>
      <a:ln>
        <a:round/>
      </a:ln>
    </cs:spPr>
  </cs:gridlineMajor>
  <cs:gridlineMinor>
    <cs:lnRef idx="1">
      <a:schemeClr val="dk1">
        <a:tint val="50000"/>
      </a:schemeClr>
    </cs:lnRef>
    <cs:fillRef idx="0"/>
    <cs:effectRef idx="0"/>
    <cs:fontRef idx="minor">
      <a:schemeClr val="dk1"/>
    </cs:fontRef>
    <cs:spPr>
      <a:ln>
        <a:round/>
      </a:ln>
    </cs:spPr>
  </cs:gridlineMinor>
  <cs:hiLoLine>
    <cs:lnRef idx="1">
      <a:schemeClr val="dk1"/>
    </cs:lnRef>
    <cs:fillRef idx="0"/>
    <cs:effectRef idx="0"/>
    <cs:fontRef idx="minor">
      <a:schemeClr val="dk1"/>
    </cs:fontRef>
    <cs:spPr>
      <a:ln>
        <a:round/>
      </a:ln>
    </cs:spPr>
  </cs:hiLoLine>
  <cs:leaderLine>
    <cs:lnRef idx="1">
      <a:schemeClr val="dk1"/>
    </cs:lnRef>
    <cs:fillRef idx="0"/>
    <cs:effectRef idx="0"/>
    <cs:fontRef idx="minor">
      <a:schemeClr val="dk1"/>
    </cs:fontRef>
    <cs:spPr>
      <a:ln>
        <a:round/>
      </a:ln>
    </cs:spPr>
  </cs:leaderLine>
  <cs:legend>
    <cs:lnRef idx="0"/>
    <cs:fillRef idx="0"/>
    <cs:effectRef idx="0"/>
    <cs:fontRef idx="minor">
      <a:schemeClr val="dk1"/>
    </cs:fontRef>
    <cs:defRPr sz="1000" kern="1200"/>
  </cs:legend>
  <cs:plotArea>
    <cs:lnRef idx="0"/>
    <cs:fillRef idx="1" mods="ignoreCSTransforms">
      <cs:styleClr val="0">
        <a:tint val="20000"/>
      </cs:styleClr>
    </cs:fillRef>
    <cs:effectRef idx="0"/>
    <cs:fontRef idx="minor">
      <a:schemeClr val="dk1"/>
    </cs:fontRef>
  </cs:plotArea>
  <cs:plotArea3D>
    <cs:lnRef idx="0"/>
    <cs:fillRef idx="0"/>
    <cs:effectRef idx="0"/>
    <cs:fontRef idx="minor">
      <a:schemeClr val="dk1"/>
    </cs:fontRef>
  </cs:plotArea3D>
  <cs:seriesAxis>
    <cs:lnRef idx="1">
      <a:schemeClr val="dk1">
        <a:tint val="75000"/>
      </a:schemeClr>
    </cs:lnRef>
    <cs:fillRef idx="0"/>
    <cs:effectRef idx="0"/>
    <cs:fontRef idx="minor">
      <a:schemeClr val="dk1"/>
    </cs:fontRef>
    <cs:spPr>
      <a:ln>
        <a:round/>
      </a:ln>
    </cs:spPr>
    <cs:defRPr sz="1000" kern="1200"/>
  </cs:seriesAxis>
  <cs:seriesLine>
    <cs:lnRef idx="1">
      <a:schemeClr val="dk1"/>
    </cs:lnRef>
    <cs:fillRef idx="0"/>
    <cs:effectRef idx="0"/>
    <cs:fontRef idx="minor">
      <a:schemeClr val="dk1"/>
    </cs:fontRef>
    <cs:spPr>
      <a:ln>
        <a:round/>
      </a:ln>
    </cs:spPr>
  </cs:seriesLine>
  <cs:title>
    <cs:lnRef idx="0"/>
    <cs:fillRef idx="0"/>
    <cs:effectRef idx="0"/>
    <cs:fontRef idx="minor">
      <a:schemeClr val="dk1"/>
    </cs:fontRef>
    <cs:defRPr sz="1800" b="1" kern="1200"/>
  </cs:title>
  <cs:trendline>
    <cs:lnRef idx="1">
      <a:schemeClr val="dk1"/>
    </cs:lnRef>
    <cs:fillRef idx="0"/>
    <cs:effectRef idx="0"/>
    <cs:fontRef idx="minor">
      <a:schemeClr val="dk1"/>
    </cs:fontRef>
    <cs:spPr>
      <a:ln cap="rnd">
        <a:round/>
      </a:ln>
    </cs:spPr>
  </cs:trendline>
  <cs:trendlineLabel>
    <cs:lnRef idx="0"/>
    <cs:fillRef idx="0"/>
    <cs:effectRef idx="0"/>
    <cs:fontRef idx="minor">
      <a:schemeClr val="dk1"/>
    </cs:fontRef>
    <cs:defRPr sz="1000" kern="1200"/>
  </cs:trendlineLabel>
  <cs:upBar>
    <cs:lnRef idx="1" mods="ignoreCSTransforms">
      <cs:styleClr val="0">
        <a:shade val="25000"/>
      </cs:styleClr>
    </cs:lnRef>
    <cs:fillRef idx="1">
      <a:schemeClr val="lt1"/>
    </cs:fillRef>
    <cs:effectRef idx="0"/>
    <cs:fontRef idx="minor">
      <a:schemeClr val="dk1"/>
    </cs:fontRef>
    <cs:spPr>
      <a:ln>
        <a:round/>
      </a:ln>
    </cs:spPr>
  </cs:upBar>
  <cs:valueAxis>
    <cs:lnRef idx="1">
      <a:schemeClr val="dk1">
        <a:tint val="75000"/>
      </a:schemeClr>
    </cs:lnRef>
    <cs:fillRef idx="0"/>
    <cs:effectRef idx="0"/>
    <cs:fontRef idx="minor">
      <a:schemeClr val="dk1"/>
    </cs:fontRef>
    <cs:spPr>
      <a:ln>
        <a:round/>
      </a:ln>
    </cs:spPr>
    <cs:defRPr sz="1000" kern="1200"/>
  </cs:valueAxis>
  <cs:wall>
    <cs:lnRef idx="0"/>
    <cs:fillRef idx="1" mods="ignoreCSTransforms">
      <cs:styleClr val="0">
        <a:tint val="20000"/>
      </cs:styleClr>
    </cs:fillRef>
    <cs:effectRef idx="0"/>
    <cs:fontRef idx="minor">
      <a:schemeClr val="dk1"/>
    </cs:fontRef>
  </cs:wall>
</cs:chartStyle>
</file>

<file path=word/charts/style6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3.xml><?xml version="1.0" encoding="utf-8"?>
<cs:chartStyle xmlns:cs="http://schemas.microsoft.com/office/drawing/2012/chartStyle" xmlns:a="http://schemas.openxmlformats.org/drawingml/2006/main" id="10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0.08102</cdr:x>
      <cdr:y>0.76088</cdr:y>
    </cdr:from>
    <cdr:to>
      <cdr:x>0.90625</cdr:x>
      <cdr:y>0.97807</cdr:y>
    </cdr:to>
    <cdr:grpSp>
      <cdr:nvGrpSpPr>
        <cdr:cNvPr id="9" name="Group 8">
          <a:extLst xmlns:a="http://schemas.openxmlformats.org/drawingml/2006/main">
            <a:ext uri="{FF2B5EF4-FFF2-40B4-BE49-F238E27FC236}">
              <a16:creationId xmlns:a16="http://schemas.microsoft.com/office/drawing/2014/main" id="{D826C8D3-8C33-4439-AE96-2E607EE03160}"/>
            </a:ext>
          </a:extLst>
        </cdr:cNvPr>
        <cdr:cNvGrpSpPr/>
      </cdr:nvGrpSpPr>
      <cdr:grpSpPr>
        <a:xfrm xmlns:a="http://schemas.openxmlformats.org/drawingml/2006/main">
          <a:off x="222254" y="1652403"/>
          <a:ext cx="2263771" cy="471672"/>
          <a:chOff x="-19080" y="-213509"/>
          <a:chExt cx="2267555" cy="556713"/>
        </a:xfrm>
      </cdr:grpSpPr>
      <cdr:grpSp>
        <cdr:nvGrpSpPr>
          <cdr:cNvPr id="10" name="Group 9">
            <a:extLst xmlns:a="http://schemas.openxmlformats.org/drawingml/2006/main">
              <a:ext uri="{FF2B5EF4-FFF2-40B4-BE49-F238E27FC236}">
                <a16:creationId xmlns:a16="http://schemas.microsoft.com/office/drawing/2014/main" id="{7907F2C1-0652-4BF0-87FC-B9FFA921F61E}"/>
              </a:ext>
            </a:extLst>
          </cdr:cNvPr>
          <cdr:cNvGrpSpPr/>
        </cdr:nvGrpSpPr>
        <cdr:grpSpPr>
          <a:xfrm xmlns:a="http://schemas.openxmlformats.org/drawingml/2006/main">
            <a:off x="683767" y="-213509"/>
            <a:ext cx="1564708" cy="295284"/>
            <a:chOff x="682627" y="-213502"/>
            <a:chExt cx="1562100" cy="295273"/>
          </a:xfrm>
        </cdr:grpSpPr>
        <cdr:sp macro="" textlink="">
          <cdr:nvSpPr>
            <cdr:cNvPr id="13" name="TextBox 5"/>
            <cdr:cNvSpPr txBox="1"/>
          </cdr:nvSpPr>
          <cdr:spPr>
            <a:xfrm xmlns:a="http://schemas.openxmlformats.org/drawingml/2006/main">
              <a:off x="682627" y="-156096"/>
              <a:ext cx="469049" cy="180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A651"/>
                  </a:solidFill>
                </a:rPr>
                <a:t>Храна</a:t>
              </a:r>
              <a:endParaRPr lang="en-GB" sz="700" b="0">
                <a:solidFill>
                  <a:srgbClr val="00A651"/>
                </a:solidFill>
              </a:endParaRPr>
            </a:p>
          </cdr:txBody>
        </cdr:sp>
        <cdr:sp macro="" textlink="">
          <cdr:nvSpPr>
            <cdr:cNvPr id="14" name="TextBox 1"/>
            <cdr:cNvSpPr txBox="1"/>
          </cdr:nvSpPr>
          <cdr:spPr>
            <a:xfrm xmlns:a="http://schemas.openxmlformats.org/drawingml/2006/main">
              <a:off x="1128485" y="-174156"/>
              <a:ext cx="576965" cy="2165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EC008C"/>
                  </a:solidFill>
                </a:rPr>
                <a:t>Метали</a:t>
              </a:r>
              <a:endParaRPr lang="en-GB" sz="700" b="0">
                <a:solidFill>
                  <a:srgbClr val="EC008C"/>
                </a:solidFill>
              </a:endParaRPr>
            </a:p>
          </cdr:txBody>
        </cdr:sp>
        <cdr:sp macro="" textlink="">
          <cdr:nvSpPr>
            <cdr:cNvPr id="15" name="TextBox 1"/>
            <cdr:cNvSpPr txBox="1"/>
          </cdr:nvSpPr>
          <cdr:spPr>
            <a:xfrm xmlns:a="http://schemas.openxmlformats.org/drawingml/2006/main">
              <a:off x="1622678" y="-213502"/>
              <a:ext cx="622049" cy="29527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00" b="0">
                  <a:solidFill>
                    <a:srgbClr val="003891"/>
                  </a:solidFill>
                </a:rPr>
                <a:t>Просечна цена нафте</a:t>
              </a:r>
              <a:endParaRPr lang="en-GB" sz="700" b="0">
                <a:solidFill>
                  <a:srgbClr val="003891"/>
                </a:solidFill>
              </a:endParaRPr>
            </a:p>
          </cdr:txBody>
        </cdr:sp>
      </cdr:grpSp>
      <cdr:sp macro="" textlink="">
        <cdr:nvSpPr>
          <cdr:cNvPr id="11" name="TextBox 1"/>
          <cdr:cNvSpPr txBox="1"/>
        </cdr:nvSpPr>
        <cdr:spPr>
          <a:xfrm xmlns:a="http://schemas.openxmlformats.org/drawingml/2006/main">
            <a:off x="-19080" y="20467"/>
            <a:ext cx="794653" cy="16609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окт.</a:t>
            </a:r>
            <a:r>
              <a:rPr lang="sr-Cyrl-RS" sz="700" b="0" baseline="0">
                <a:solidFill>
                  <a:schemeClr val="tx2"/>
                </a:solidFill>
              </a:rPr>
              <a:t> 2023</a:t>
            </a:r>
            <a:endParaRPr lang="en-GB" sz="700" b="0">
              <a:solidFill>
                <a:schemeClr val="tx2"/>
              </a:solidFill>
            </a:endParaRPr>
          </a:p>
        </cdr:txBody>
      </cdr:sp>
      <cdr:sp macro="" textlink="">
        <cdr:nvSpPr>
          <cdr:cNvPr id="12" name="TextBox 1"/>
          <cdr:cNvSpPr txBox="1"/>
        </cdr:nvSpPr>
        <cdr:spPr>
          <a:xfrm xmlns:a="http://schemas.openxmlformats.org/drawingml/2006/main">
            <a:off x="-19080" y="179742"/>
            <a:ext cx="794653" cy="16346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GB" sz="700" b="0">
                <a:solidFill>
                  <a:schemeClr val="tx2"/>
                </a:solidFill>
              </a:rPr>
              <a:t>WEO, </a:t>
            </a:r>
            <a:r>
              <a:rPr lang="sr-Cyrl-RS" sz="700" b="0">
                <a:solidFill>
                  <a:schemeClr val="tx2"/>
                </a:solidFill>
              </a:rPr>
              <a:t>апр</a:t>
            </a:r>
            <a:r>
              <a:rPr lang="en-GB" sz="700" b="0">
                <a:solidFill>
                  <a:schemeClr val="tx2"/>
                </a:solidFill>
              </a:rPr>
              <a:t>.</a:t>
            </a:r>
            <a:r>
              <a:rPr lang="sr-Cyrl-RS" sz="700" b="0" baseline="0">
                <a:solidFill>
                  <a:schemeClr val="tx2"/>
                </a:solidFill>
              </a:rPr>
              <a:t> 2024.</a:t>
            </a:r>
            <a:endParaRPr lang="en-GB" sz="700" b="0">
              <a:solidFill>
                <a:schemeClr val="tx2"/>
              </a:solidFill>
            </a:endParaRPr>
          </a:p>
        </cdr:txBody>
      </cdr:sp>
    </cdr:grpSp>
  </cdr:relSizeAnchor>
</c:userShapes>
</file>

<file path=word/drawings/drawing2.xml><?xml version="1.0" encoding="utf-8"?>
<c:userShapes xmlns:c="http://schemas.openxmlformats.org/drawingml/2006/chart">
  <cdr:relSizeAnchor xmlns:cdr="http://schemas.openxmlformats.org/drawingml/2006/chartDrawing">
    <cdr:from>
      <cdr:x>0.05959</cdr:x>
      <cdr:y>0.61594</cdr:y>
    </cdr:from>
    <cdr:to>
      <cdr:x>0.46719</cdr:x>
      <cdr:y>0.85192</cdr:y>
    </cdr:to>
    <cdr:sp macro="" textlink="">
      <cdr:nvSpPr>
        <cdr:cNvPr id="2" name="TextBox 1"/>
        <cdr:cNvSpPr txBox="1"/>
      </cdr:nvSpPr>
      <cdr:spPr>
        <a:xfrm xmlns:a="http://schemas.openxmlformats.org/drawingml/2006/main">
          <a:off x="79373" y="753914"/>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0.60816</cdr:y>
    </cdr:from>
    <cdr:to>
      <cdr:x>0.91769</cdr:x>
      <cdr:y>0.84414</cdr:y>
    </cdr:to>
    <cdr:sp macro="" textlink="">
      <cdr:nvSpPr>
        <cdr:cNvPr id="3" name="TextBox 1"/>
        <cdr:cNvSpPr txBox="1"/>
      </cdr:nvSpPr>
      <cdr:spPr>
        <a:xfrm xmlns:a="http://schemas.openxmlformats.org/drawingml/2006/main">
          <a:off x="679452" y="744389"/>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3.xml><?xml version="1.0" encoding="utf-8"?>
<c:userShapes xmlns:c="http://schemas.openxmlformats.org/drawingml/2006/chart">
  <cdr:relSizeAnchor xmlns:cdr="http://schemas.openxmlformats.org/drawingml/2006/chartDrawing">
    <cdr:from>
      <cdr:x>0.06674</cdr:x>
      <cdr:y>0.6149</cdr:y>
    </cdr:from>
    <cdr:to>
      <cdr:x>0.47434</cdr:x>
      <cdr:y>0.85088</cdr:y>
    </cdr:to>
    <cdr:sp macro="" textlink="">
      <cdr:nvSpPr>
        <cdr:cNvPr id="2" name="TextBox 1"/>
        <cdr:cNvSpPr txBox="1"/>
      </cdr:nvSpPr>
      <cdr:spPr>
        <a:xfrm xmlns:a="http://schemas.openxmlformats.org/drawingml/2006/main">
          <a:off x="88899" y="752639"/>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0.61895</cdr:y>
    </cdr:from>
    <cdr:to>
      <cdr:x>0.92484</cdr:x>
      <cdr:y>0.85493</cdr:y>
    </cdr:to>
    <cdr:sp macro="" textlink="">
      <cdr:nvSpPr>
        <cdr:cNvPr id="3" name="TextBox 1"/>
        <cdr:cNvSpPr txBox="1"/>
      </cdr:nvSpPr>
      <cdr:spPr>
        <a:xfrm xmlns:a="http://schemas.openxmlformats.org/drawingml/2006/main">
          <a:off x="688978" y="757596"/>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4.xml><?xml version="1.0" encoding="utf-8"?>
<c:userShapes xmlns:c="http://schemas.openxmlformats.org/drawingml/2006/chart">
  <cdr:relSizeAnchor xmlns:cdr="http://schemas.openxmlformats.org/drawingml/2006/chartDrawing">
    <cdr:from>
      <cdr:x>0.05959</cdr:x>
      <cdr:y>0.18641</cdr:y>
    </cdr:from>
    <cdr:to>
      <cdr:x>0.46719</cdr:x>
      <cdr:y>0.42239</cdr:y>
    </cdr:to>
    <cdr:sp macro="" textlink="">
      <cdr:nvSpPr>
        <cdr:cNvPr id="2" name="TextBox 1"/>
        <cdr:cNvSpPr txBox="1"/>
      </cdr:nvSpPr>
      <cdr:spPr>
        <a:xfrm xmlns:a="http://schemas.openxmlformats.org/drawingml/2006/main">
          <a:off x="79374" y="228171"/>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0.5101</cdr:x>
      <cdr:y>0.1863</cdr:y>
    </cdr:from>
    <cdr:to>
      <cdr:x>0.91769</cdr:x>
      <cdr:y>0.42228</cdr:y>
    </cdr:to>
    <cdr:sp macro="" textlink="">
      <cdr:nvSpPr>
        <cdr:cNvPr id="3" name="TextBox 1"/>
        <cdr:cNvSpPr txBox="1"/>
      </cdr:nvSpPr>
      <cdr:spPr>
        <a:xfrm xmlns:a="http://schemas.openxmlformats.org/drawingml/2006/main">
          <a:off x="679452" y="22803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5.xml><?xml version="1.0" encoding="utf-8"?>
<c:userShapes xmlns:c="http://schemas.openxmlformats.org/drawingml/2006/chart">
  <cdr:relSizeAnchor xmlns:cdr="http://schemas.openxmlformats.org/drawingml/2006/chartDrawing">
    <cdr:from>
      <cdr:x>0.05959</cdr:x>
      <cdr:y>0.17863</cdr:y>
    </cdr:from>
    <cdr:to>
      <cdr:x>0.46719</cdr:x>
      <cdr:y>0.41461</cdr:y>
    </cdr:to>
    <cdr:sp macro="" textlink="">
      <cdr:nvSpPr>
        <cdr:cNvPr id="2" name="TextBox 1"/>
        <cdr:cNvSpPr txBox="1"/>
      </cdr:nvSpPr>
      <cdr:spPr>
        <a:xfrm xmlns:a="http://schemas.openxmlformats.org/drawingml/2006/main">
          <a:off x="79374" y="218646"/>
          <a:ext cx="542923"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0.178</cdr:y>
    </cdr:from>
    <cdr:to>
      <cdr:x>0.92484</cdr:x>
      <cdr:y>0.41398</cdr:y>
    </cdr:to>
    <cdr:sp macro="" textlink="">
      <cdr:nvSpPr>
        <cdr:cNvPr id="3" name="TextBox 1"/>
        <cdr:cNvSpPr txBox="1"/>
      </cdr:nvSpPr>
      <cdr:spPr>
        <a:xfrm xmlns:a="http://schemas.openxmlformats.org/drawingml/2006/main">
          <a:off x="688977" y="217873"/>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6.xml><?xml version="1.0" encoding="utf-8"?>
<c:userShapes xmlns:c="http://schemas.openxmlformats.org/drawingml/2006/chart">
  <cdr:relSizeAnchor xmlns:cdr="http://schemas.openxmlformats.org/drawingml/2006/chartDrawing">
    <cdr:from>
      <cdr:x>0.06674</cdr:x>
      <cdr:y>0.55531</cdr:y>
    </cdr:from>
    <cdr:to>
      <cdr:x>0.47434</cdr:x>
      <cdr:y>0.79129</cdr:y>
    </cdr:to>
    <cdr:sp macro="" textlink="">
      <cdr:nvSpPr>
        <cdr:cNvPr id="2" name="TextBox 1"/>
        <cdr:cNvSpPr txBox="1"/>
      </cdr:nvSpPr>
      <cdr:spPr>
        <a:xfrm xmlns:a="http://schemas.openxmlformats.org/drawingml/2006/main">
          <a:off x="88899" y="559751"/>
          <a:ext cx="542923"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0.54531</cdr:y>
    </cdr:from>
    <cdr:to>
      <cdr:x>0.92484</cdr:x>
      <cdr:y>0.78129</cdr:y>
    </cdr:to>
    <cdr:sp macro="" textlink="">
      <cdr:nvSpPr>
        <cdr:cNvPr id="3" name="TextBox 1"/>
        <cdr:cNvSpPr txBox="1"/>
      </cdr:nvSpPr>
      <cdr:spPr>
        <a:xfrm xmlns:a="http://schemas.openxmlformats.org/drawingml/2006/main">
          <a:off x="688977" y="549672"/>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7.xml><?xml version="1.0" encoding="utf-8"?>
<c:userShapes xmlns:c="http://schemas.openxmlformats.org/drawingml/2006/chart">
  <cdr:relSizeAnchor xmlns:cdr="http://schemas.openxmlformats.org/drawingml/2006/chartDrawing">
    <cdr:from>
      <cdr:x>0.05959</cdr:x>
      <cdr:y>0.55752</cdr:y>
    </cdr:from>
    <cdr:to>
      <cdr:x>0.47911</cdr:x>
      <cdr:y>0.84798</cdr:y>
    </cdr:to>
    <cdr:sp macro="" textlink="">
      <cdr:nvSpPr>
        <cdr:cNvPr id="2" name="TextBox 1"/>
        <cdr:cNvSpPr txBox="1"/>
      </cdr:nvSpPr>
      <cdr:spPr>
        <a:xfrm xmlns:a="http://schemas.openxmlformats.org/drawingml/2006/main">
          <a:off x="79374" y="561977"/>
          <a:ext cx="558801" cy="292783"/>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0.55538</cdr:y>
    </cdr:from>
    <cdr:to>
      <cdr:x>0.92484</cdr:x>
      <cdr:y>0.79136</cdr:y>
    </cdr:to>
    <cdr:sp macro="" textlink="">
      <cdr:nvSpPr>
        <cdr:cNvPr id="3" name="TextBox 1"/>
        <cdr:cNvSpPr txBox="1"/>
      </cdr:nvSpPr>
      <cdr:spPr>
        <a:xfrm xmlns:a="http://schemas.openxmlformats.org/drawingml/2006/main">
          <a:off x="688977" y="559824"/>
          <a:ext cx="542910" cy="237868"/>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8.xml><?xml version="1.0" encoding="utf-8"?>
<c:userShapes xmlns:c="http://schemas.openxmlformats.org/drawingml/2006/chart">
  <cdr:relSizeAnchor xmlns:cdr="http://schemas.openxmlformats.org/drawingml/2006/chartDrawing">
    <cdr:from>
      <cdr:x>0.05959</cdr:x>
      <cdr:y>0.16348</cdr:y>
    </cdr:from>
    <cdr:to>
      <cdr:x>0.46719</cdr:x>
      <cdr:y>0.39947</cdr:y>
    </cdr:to>
    <cdr:sp macro="" textlink="">
      <cdr:nvSpPr>
        <cdr:cNvPr id="2" name="TextBox 1"/>
        <cdr:cNvSpPr txBox="1"/>
      </cdr:nvSpPr>
      <cdr:spPr>
        <a:xfrm xmlns:a="http://schemas.openxmlformats.org/drawingml/2006/main">
          <a:off x="79374" y="200105"/>
          <a:ext cx="542923" cy="28885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0.16474</cdr:y>
    </cdr:from>
    <cdr:to>
      <cdr:x>0.92484</cdr:x>
      <cdr:y>0.40072</cdr:y>
    </cdr:to>
    <cdr:sp macro="" textlink="">
      <cdr:nvSpPr>
        <cdr:cNvPr id="3" name="TextBox 1"/>
        <cdr:cNvSpPr txBox="1"/>
      </cdr:nvSpPr>
      <cdr:spPr>
        <a:xfrm xmlns:a="http://schemas.openxmlformats.org/drawingml/2006/main">
          <a:off x="688978" y="201647"/>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9.xml><?xml version="1.0" encoding="utf-8"?>
<c:userShapes xmlns:c="http://schemas.openxmlformats.org/drawingml/2006/chart">
  <cdr:relSizeAnchor xmlns:cdr="http://schemas.openxmlformats.org/drawingml/2006/chartDrawing">
    <cdr:from>
      <cdr:x>0.05959</cdr:x>
      <cdr:y>0.42745</cdr:y>
    </cdr:from>
    <cdr:to>
      <cdr:x>0.46719</cdr:x>
      <cdr:y>0.66342</cdr:y>
    </cdr:to>
    <cdr:sp macro="" textlink="">
      <cdr:nvSpPr>
        <cdr:cNvPr id="2" name="TextBox 1"/>
        <cdr:cNvSpPr txBox="1"/>
      </cdr:nvSpPr>
      <cdr:spPr>
        <a:xfrm xmlns:a="http://schemas.openxmlformats.org/drawingml/2006/main">
          <a:off x="79373" y="523193"/>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rgbClr val="29489A"/>
              </a:solidFill>
            </a:rPr>
            <a:t>Претходна пројекција</a:t>
          </a:r>
          <a:endParaRPr lang="en-GB" sz="750" b="1">
            <a:solidFill>
              <a:srgbClr val="29489A"/>
            </a:solidFill>
          </a:endParaRPr>
        </a:p>
      </cdr:txBody>
    </cdr:sp>
  </cdr:relSizeAnchor>
  <cdr:relSizeAnchor xmlns:cdr="http://schemas.openxmlformats.org/drawingml/2006/chartDrawing">
    <cdr:from>
      <cdr:x>0.51725</cdr:x>
      <cdr:y>0.15508</cdr:y>
    </cdr:from>
    <cdr:to>
      <cdr:x>0.92484</cdr:x>
      <cdr:y>0.39106</cdr:y>
    </cdr:to>
    <cdr:sp macro="" textlink="">
      <cdr:nvSpPr>
        <cdr:cNvPr id="3" name="TextBox 1"/>
        <cdr:cNvSpPr txBox="1"/>
      </cdr:nvSpPr>
      <cdr:spPr>
        <a:xfrm xmlns:a="http://schemas.openxmlformats.org/drawingml/2006/main">
          <a:off x="688977" y="189817"/>
          <a:ext cx="542910"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0.xml><?xml version="1.0" encoding="utf-8"?>
<c:userShapes xmlns:c="http://schemas.openxmlformats.org/drawingml/2006/chart">
  <cdr:relSizeAnchor xmlns:cdr="http://schemas.openxmlformats.org/drawingml/2006/chartDrawing">
    <cdr:from>
      <cdr:x>0.05959</cdr:x>
      <cdr:y>0.63166</cdr:y>
    </cdr:from>
    <cdr:to>
      <cdr:x>0.46719</cdr:x>
      <cdr:y>0.86764</cdr:y>
    </cdr:to>
    <cdr:sp macro="" textlink="">
      <cdr:nvSpPr>
        <cdr:cNvPr id="2" name="TextBox 1"/>
        <cdr:cNvSpPr txBox="1"/>
      </cdr:nvSpPr>
      <cdr:spPr>
        <a:xfrm xmlns:a="http://schemas.openxmlformats.org/drawingml/2006/main">
          <a:off x="79374" y="773152"/>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0.63166</cdr:y>
    </cdr:from>
    <cdr:to>
      <cdr:x>0.92484</cdr:x>
      <cdr:y>0.86764</cdr:y>
    </cdr:to>
    <cdr:sp macro="" textlink="">
      <cdr:nvSpPr>
        <cdr:cNvPr id="3" name="TextBox 1"/>
        <cdr:cNvSpPr txBox="1"/>
      </cdr:nvSpPr>
      <cdr:spPr>
        <a:xfrm xmlns:a="http://schemas.openxmlformats.org/drawingml/2006/main">
          <a:off x="688976" y="773152"/>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1.xml><?xml version="1.0" encoding="utf-8"?>
<c:userShapes xmlns:c="http://schemas.openxmlformats.org/drawingml/2006/chart">
  <cdr:relSizeAnchor xmlns:cdr="http://schemas.openxmlformats.org/drawingml/2006/chartDrawing">
    <cdr:from>
      <cdr:x>0.06674</cdr:x>
      <cdr:y>0.62451</cdr:y>
    </cdr:from>
    <cdr:to>
      <cdr:x>0.47434</cdr:x>
      <cdr:y>0.86049</cdr:y>
    </cdr:to>
    <cdr:sp macro="" textlink="">
      <cdr:nvSpPr>
        <cdr:cNvPr id="2" name="TextBox 1"/>
        <cdr:cNvSpPr txBox="1"/>
      </cdr:nvSpPr>
      <cdr:spPr>
        <a:xfrm xmlns:a="http://schemas.openxmlformats.org/drawingml/2006/main">
          <a:off x="88899" y="764400"/>
          <a:ext cx="542923" cy="28883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Претходна пројекција</a:t>
          </a:r>
          <a:endParaRPr lang="en-GB" sz="750" b="1">
            <a:solidFill>
              <a:schemeClr val="bg1"/>
            </a:solidFill>
          </a:endParaRPr>
        </a:p>
      </cdr:txBody>
    </cdr:sp>
  </cdr:relSizeAnchor>
  <cdr:relSizeAnchor xmlns:cdr="http://schemas.openxmlformats.org/drawingml/2006/chartDrawing">
    <cdr:from>
      <cdr:x>0.51725</cdr:x>
      <cdr:y>0.62451</cdr:y>
    </cdr:from>
    <cdr:to>
      <cdr:x>0.92484</cdr:x>
      <cdr:y>0.86049</cdr:y>
    </cdr:to>
    <cdr:sp macro="" textlink="">
      <cdr:nvSpPr>
        <cdr:cNvPr id="3" name="TextBox 1"/>
        <cdr:cNvSpPr txBox="1"/>
      </cdr:nvSpPr>
      <cdr:spPr>
        <a:xfrm xmlns:a="http://schemas.openxmlformats.org/drawingml/2006/main">
          <a:off x="688976" y="764400"/>
          <a:ext cx="542910" cy="28884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bg1"/>
              </a:solidFill>
            </a:rPr>
            <a:t>Нова</a:t>
          </a:r>
        </a:p>
        <a:p xmlns:a="http://schemas.openxmlformats.org/drawingml/2006/main">
          <a:pPr algn="ctr"/>
          <a:r>
            <a:rPr lang="sr-Cyrl-RS" sz="750" b="1">
              <a:solidFill>
                <a:schemeClr val="bg1"/>
              </a:solidFill>
            </a:rPr>
            <a:t>пројекција</a:t>
          </a:r>
        </a:p>
      </cdr:txBody>
    </cdr:sp>
  </cdr:relSizeAnchor>
</c:userShapes>
</file>

<file path=word/drawings/drawing12.xml><?xml version="1.0" encoding="utf-8"?>
<c:userShapes xmlns:c="http://schemas.openxmlformats.org/drawingml/2006/chart">
  <cdr:relSizeAnchor xmlns:cdr="http://schemas.openxmlformats.org/drawingml/2006/chartDrawing">
    <cdr:from>
      <cdr:x>0.71039</cdr:x>
      <cdr:y>0</cdr:y>
    </cdr:from>
    <cdr:to>
      <cdr:x>0.97226</cdr:x>
      <cdr:y>0.21296</cdr:y>
    </cdr:to>
    <cdr:sp macro="" textlink="">
      <cdr:nvSpPr>
        <cdr:cNvPr id="2" name="TextBox 1"/>
        <cdr:cNvSpPr txBox="1"/>
      </cdr:nvSpPr>
      <cdr:spPr>
        <a:xfrm xmlns:a="http://schemas.openxmlformats.org/drawingml/2006/main">
          <a:off x="1944080" y="0"/>
          <a:ext cx="716641" cy="309922"/>
        </a:xfrm>
        <a:prstGeom xmlns:a="http://schemas.openxmlformats.org/drawingml/2006/main" prst="rect">
          <a:avLst/>
        </a:prstGeom>
      </cdr:spPr>
      <cdr:txBody>
        <a:bodyPr xmlns:a="http://schemas.openxmlformats.org/drawingml/2006/main" vertOverflow="clip" wrap="square" lIns="0" tIns="0" rIns="0" bIns="0" rtlCol="0" anchor="ctr"/>
        <a:lstStyle xmlns:a="http://schemas.openxmlformats.org/drawingml/2006/main"/>
        <a:p xmlns:a="http://schemas.openxmlformats.org/drawingml/2006/main">
          <a:pPr algn="ctr"/>
          <a:r>
            <a:rPr lang="en-GB" sz="650" u="sng">
              <a:solidFill>
                <a:schemeClr val="tx2"/>
              </a:solidFill>
            </a:rPr>
            <a:t>Q1 </a:t>
          </a:r>
          <a:r>
            <a:rPr lang="sr-Latn-RS" sz="650" u="sng">
              <a:solidFill>
                <a:schemeClr val="tx2"/>
              </a:solidFill>
            </a:rPr>
            <a:t>20</a:t>
          </a:r>
          <a:r>
            <a:rPr lang="en-GB" sz="650" u="sng">
              <a:solidFill>
                <a:schemeClr val="tx2"/>
              </a:solidFill>
            </a:rPr>
            <a:t>24</a:t>
          </a:r>
          <a:endParaRPr lang="sr-Latn-RS" sz="650" u="none">
            <a:solidFill>
              <a:schemeClr val="tx2"/>
            </a:solidFill>
          </a:endParaRPr>
        </a:p>
        <a:p xmlns:a="http://schemas.openxmlformats.org/drawingml/2006/main">
          <a:pPr algn="ctr"/>
          <a:r>
            <a:rPr lang="en-GB" sz="650">
              <a:solidFill>
                <a:schemeClr val="tx2"/>
              </a:solidFill>
            </a:rPr>
            <a:t>Q1 </a:t>
          </a:r>
          <a:r>
            <a:rPr lang="sr-Latn-RS" sz="650">
              <a:solidFill>
                <a:schemeClr val="tx2"/>
              </a:solidFill>
            </a:rPr>
            <a:t>20</a:t>
          </a:r>
          <a:r>
            <a:rPr lang="en-GB" sz="650">
              <a:solidFill>
                <a:schemeClr val="tx2"/>
              </a:solidFill>
            </a:rPr>
            <a:t>23 </a:t>
          </a:r>
          <a:endParaRPr lang="sr-Latn-RS" sz="650">
            <a:solidFill>
              <a:schemeClr val="tx2"/>
            </a:solidFill>
          </a:endParaRPr>
        </a:p>
        <a:p xmlns:a="http://schemas.openxmlformats.org/drawingml/2006/main">
          <a:pPr algn="ctr"/>
          <a:r>
            <a:rPr lang="sr-Cyrl-RS" sz="650">
              <a:solidFill>
                <a:schemeClr val="tx2"/>
              </a:solidFill>
            </a:rPr>
            <a:t>индекси</a:t>
          </a:r>
        </a:p>
      </cdr:txBody>
    </cdr:sp>
  </cdr:relSizeAnchor>
</c:userShapes>
</file>

<file path=word/drawings/drawing13.xml><?xml version="1.0" encoding="utf-8"?>
<c:userShapes xmlns:c="http://schemas.openxmlformats.org/drawingml/2006/chart">
  <cdr:relSizeAnchor xmlns:cdr="http://schemas.openxmlformats.org/drawingml/2006/chartDrawing">
    <cdr:from>
      <cdr:x>0.5885</cdr:x>
      <cdr:y>0</cdr:y>
    </cdr:from>
    <cdr:to>
      <cdr:x>0.98231</cdr:x>
      <cdr:y>0.73936</cdr:y>
    </cdr:to>
    <cdr:sp macro="" textlink="">
      <cdr:nvSpPr>
        <cdr:cNvPr id="3" name="TextBox 2"/>
        <cdr:cNvSpPr txBox="1"/>
      </cdr:nvSpPr>
      <cdr:spPr>
        <a:xfrm xmlns:a="http://schemas.openxmlformats.org/drawingml/2006/main">
          <a:off x="1689101" y="0"/>
          <a:ext cx="1130326" cy="15489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0.58333</cdr:x>
      <cdr:y>0</cdr:y>
    </cdr:from>
    <cdr:to>
      <cdr:x>0.97619</cdr:x>
      <cdr:y>0.73863</cdr:y>
    </cdr:to>
    <cdr:sp macro="" textlink="">
      <cdr:nvSpPr>
        <cdr:cNvPr id="3" name="TextBox 2"/>
        <cdr:cNvSpPr txBox="1"/>
      </cdr:nvSpPr>
      <cdr:spPr>
        <a:xfrm xmlns:a="http://schemas.openxmlformats.org/drawingml/2006/main">
          <a:off x="1600200" y="0"/>
          <a:ext cx="1077684" cy="156087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0.51304</cdr:x>
      <cdr:y>0.00827</cdr:y>
    </cdr:from>
    <cdr:to>
      <cdr:x>0.96515</cdr:x>
      <cdr:y>0.76895</cdr:y>
    </cdr:to>
    <cdr:sp macro="" textlink="">
      <cdr:nvSpPr>
        <cdr:cNvPr id="3" name="TextBox 2"/>
        <cdr:cNvSpPr txBox="1"/>
      </cdr:nvSpPr>
      <cdr:spPr>
        <a:xfrm xmlns:a="http://schemas.openxmlformats.org/drawingml/2006/main">
          <a:off x="1407381" y="19052"/>
          <a:ext cx="1240217" cy="1752440"/>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vertOverflow="clip" wrap="square" rtlCol="0" anchor="t"/>
        <a:lstStyle xmlns:a="http://schemas.openxmlformats.org/drawingml/2006/main"/>
        <a:p xmlns:a="http://schemas.openxmlformats.org/drawingml/2006/main">
          <a:pPr algn="ctr"/>
          <a:r>
            <a:rPr lang="sr-Cyrl-RS" sz="750" b="1">
              <a:solidFill>
                <a:schemeClr val="tx2"/>
              </a:solidFill>
              <a:latin typeface="+mn-lt"/>
              <a:cs typeface="Arial" panose="020B0604020202020204" pitchFamily="34" charset="0"/>
            </a:rPr>
            <a:t>ПРОЈЕКЦИЈА</a:t>
          </a:r>
          <a:endParaRPr lang="en-GB" sz="750" b="1">
            <a:solidFill>
              <a:schemeClr val="tx2"/>
            </a:solidFill>
            <a:latin typeface="+mn-lt"/>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0.66671</cdr:x>
      <cdr:y>0</cdr:y>
    </cdr:from>
    <cdr:to>
      <cdr:x>1</cdr:x>
      <cdr:y>0.15397</cdr:y>
    </cdr:to>
    <cdr:sp macro="" textlink="">
      <cdr:nvSpPr>
        <cdr:cNvPr id="2" name="TextBox 1">
          <a:extLst xmlns:a="http://schemas.openxmlformats.org/drawingml/2006/main">
            <a:ext uri="{FF2B5EF4-FFF2-40B4-BE49-F238E27FC236}">
              <a16:creationId xmlns:a16="http://schemas.microsoft.com/office/drawing/2014/main" id="{EEBA72B3-E404-4722-5BD3-9A173FE23DD3}"/>
            </a:ext>
          </a:extLst>
        </cdr:cNvPr>
        <cdr:cNvSpPr txBox="1"/>
      </cdr:nvSpPr>
      <cdr:spPr>
        <a:xfrm xmlns:a="http://schemas.openxmlformats.org/drawingml/2006/main">
          <a:off x="1828915" y="0"/>
          <a:ext cx="914285" cy="27588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sr-Cyrl-RS" sz="750">
              <a:solidFill>
                <a:schemeClr val="tx2"/>
              </a:solidFill>
            </a:rPr>
            <a:t>Стопа становништва ван радне снаге</a:t>
          </a:r>
          <a:endParaRPr lang="en-US" sz="750">
            <a:solidFill>
              <a:schemeClr val="tx2"/>
            </a:solidFill>
          </a:endParaRPr>
        </a:p>
      </cdr:txBody>
    </cdr:sp>
  </cdr:relSizeAnchor>
  <cdr:relSizeAnchor xmlns:cdr="http://schemas.openxmlformats.org/drawingml/2006/chartDrawing">
    <cdr:from>
      <cdr:x>0.35123</cdr:x>
      <cdr:y>0</cdr:y>
    </cdr:from>
    <cdr:to>
      <cdr:x>0.65307</cdr:x>
      <cdr:y>0.08</cdr:y>
    </cdr:to>
    <cdr:sp macro="" textlink="">
      <cdr:nvSpPr>
        <cdr:cNvPr id="3" name="TextBox 1">
          <a:extLst xmlns:a="http://schemas.openxmlformats.org/drawingml/2006/main">
            <a:ext uri="{FF2B5EF4-FFF2-40B4-BE49-F238E27FC236}">
              <a16:creationId xmlns:a16="http://schemas.microsoft.com/office/drawing/2014/main" id="{D63F64B9-2A3E-9C8E-FD5C-33974146D41E}"/>
            </a:ext>
          </a:extLst>
        </cdr:cNvPr>
        <cdr:cNvSpPr txBox="1"/>
      </cdr:nvSpPr>
      <cdr:spPr>
        <a:xfrm xmlns:a="http://schemas.openxmlformats.org/drawingml/2006/main">
          <a:off x="963501" y="0"/>
          <a:ext cx="828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a:solidFill>
                <a:schemeClr val="tx2"/>
              </a:solidFill>
            </a:rPr>
            <a:t>Стопа запослености</a:t>
          </a:r>
          <a:endParaRPr lang="en-US" sz="750">
            <a:solidFill>
              <a:schemeClr val="tx2"/>
            </a:solidFill>
          </a:endParaRPr>
        </a:p>
      </cdr:txBody>
    </cdr:sp>
  </cdr:relSizeAnchor>
  <cdr:relSizeAnchor xmlns:cdr="http://schemas.openxmlformats.org/drawingml/2006/chartDrawing">
    <cdr:from>
      <cdr:x>0</cdr:x>
      <cdr:y>0</cdr:y>
    </cdr:from>
    <cdr:to>
      <cdr:x>0.34121</cdr:x>
      <cdr:y>0.08</cdr:y>
    </cdr:to>
    <cdr:sp macro="" textlink="">
      <cdr:nvSpPr>
        <cdr:cNvPr id="4" name="TextBox 1">
          <a:extLst xmlns:a="http://schemas.openxmlformats.org/drawingml/2006/main">
            <a:ext uri="{FF2B5EF4-FFF2-40B4-BE49-F238E27FC236}">
              <a16:creationId xmlns:a16="http://schemas.microsoft.com/office/drawing/2014/main" id="{FD5E4A56-9597-87E6-88AD-15B99CCAA48D}"/>
            </a:ext>
          </a:extLst>
        </cdr:cNvPr>
        <cdr:cNvSpPr txBox="1"/>
      </cdr:nvSpPr>
      <cdr:spPr>
        <a:xfrm xmlns:a="http://schemas.openxmlformats.org/drawingml/2006/main">
          <a:off x="0" y="0"/>
          <a:ext cx="936000" cy="143347"/>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sr-Cyrl-RS" sz="750">
              <a:solidFill>
                <a:schemeClr val="tx2"/>
              </a:solidFill>
            </a:rPr>
            <a:t>Стопа незапослености</a:t>
          </a:r>
          <a:endParaRPr lang="en-US" sz="750">
            <a:solidFill>
              <a:schemeClr val="tx2"/>
            </a:solidFill>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0.0878</cdr:x>
      <cdr:y>0.72193</cdr:y>
    </cdr:from>
    <cdr:to>
      <cdr:x>0.95377</cdr:x>
      <cdr:y>0.72193</cdr:y>
    </cdr:to>
    <cdr:cxnSp macro="">
      <cdr:nvCxnSpPr>
        <cdr:cNvPr id="3" name="Straight Connector 2">
          <a:extLst xmlns:a="http://schemas.openxmlformats.org/drawingml/2006/main">
            <a:ext uri="{FF2B5EF4-FFF2-40B4-BE49-F238E27FC236}">
              <a16:creationId xmlns:a16="http://schemas.microsoft.com/office/drawing/2014/main" id="{92170C42-51AD-40FC-A279-09E604F64C1D}"/>
            </a:ext>
          </a:extLst>
        </cdr:cNvPr>
        <cdr:cNvCxnSpPr/>
      </cdr:nvCxnSpPr>
      <cdr:spPr>
        <a:xfrm xmlns:a="http://schemas.openxmlformats.org/drawingml/2006/main" flipV="1">
          <a:off x="240520" y="1305002"/>
          <a:ext cx="2372307" cy="0"/>
        </a:xfrm>
        <a:prstGeom xmlns:a="http://schemas.openxmlformats.org/drawingml/2006/main" prst="line">
          <a:avLst/>
        </a:prstGeom>
        <a:ln xmlns:a="http://schemas.openxmlformats.org/drawingml/2006/main" w="31750">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8.xml><?xml version="1.0" encoding="utf-8"?>
<c:userShapes xmlns:c="http://schemas.openxmlformats.org/drawingml/2006/chart">
  <cdr:relSizeAnchor xmlns:cdr="http://schemas.openxmlformats.org/drawingml/2006/chartDrawing">
    <cdr:from>
      <cdr:x>0.81121</cdr:x>
      <cdr:y>0.00888</cdr:y>
    </cdr:from>
    <cdr:to>
      <cdr:x>0.9528</cdr:x>
      <cdr:y>0.69978</cdr:y>
    </cdr:to>
    <cdr:sp macro="" textlink="">
      <cdr:nvSpPr>
        <cdr:cNvPr id="2" name="TextBox 1"/>
        <cdr:cNvSpPr txBox="1"/>
      </cdr:nvSpPr>
      <cdr:spPr>
        <a:xfrm xmlns:a="http://schemas.openxmlformats.org/drawingml/2006/main">
          <a:off x="2225310" y="14988"/>
          <a:ext cx="388417" cy="1166122"/>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530" b="1">
              <a:solidFill>
                <a:schemeClr val="tx2"/>
              </a:solidFill>
              <a:latin typeface="+mn-lt"/>
              <a:cs typeface="Arial" panose="020B0604020202020204" pitchFamily="34" charset="0"/>
            </a:rPr>
            <a:t>ПРОЈЕКЦИЈА</a:t>
          </a:r>
        </a:p>
      </cdr:txBody>
    </cdr:sp>
  </cdr:relSizeAnchor>
</c:userShapes>
</file>

<file path=word/drawings/drawing19.xml><?xml version="1.0" encoding="utf-8"?>
<c:userShapes xmlns:c="http://schemas.openxmlformats.org/drawingml/2006/chart">
  <cdr:relSizeAnchor xmlns:cdr="http://schemas.openxmlformats.org/drawingml/2006/chartDrawing">
    <cdr:from>
      <cdr:x>0.59869</cdr:x>
      <cdr:y>0</cdr:y>
    </cdr:from>
    <cdr:to>
      <cdr:x>0.9881</cdr:x>
      <cdr:y>0.76585</cdr:y>
    </cdr:to>
    <cdr:sp macro="" textlink="">
      <cdr:nvSpPr>
        <cdr:cNvPr id="2" name="TextBox 1"/>
        <cdr:cNvSpPr txBox="1"/>
      </cdr:nvSpPr>
      <cdr:spPr>
        <a:xfrm xmlns:a="http://schemas.openxmlformats.org/drawingml/2006/main">
          <a:off x="1648327" y="0"/>
          <a:ext cx="1072136" cy="16392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0.xml><?xml version="1.0" encoding="utf-8"?>
<c:userShapes xmlns:c="http://schemas.openxmlformats.org/drawingml/2006/chart">
  <cdr:relSizeAnchor xmlns:cdr="http://schemas.openxmlformats.org/drawingml/2006/chartDrawing">
    <cdr:from>
      <cdr:x>0.63371</cdr:x>
      <cdr:y>0.01417</cdr:y>
    </cdr:from>
    <cdr:to>
      <cdr:x>0.98264</cdr:x>
      <cdr:y>0.75123</cdr:y>
    </cdr:to>
    <cdr:sp macro="" textlink="">
      <cdr:nvSpPr>
        <cdr:cNvPr id="2" name="TextBox 1"/>
        <cdr:cNvSpPr txBox="1"/>
      </cdr:nvSpPr>
      <cdr:spPr>
        <a:xfrm xmlns:a="http://schemas.openxmlformats.org/drawingml/2006/main">
          <a:off x="1738396" y="28890"/>
          <a:ext cx="957180" cy="1502763"/>
        </a:xfrm>
        <a:prstGeom xmlns:a="http://schemas.openxmlformats.org/drawingml/2006/main" prst="rect">
          <a:avLst/>
        </a:prstGeom>
        <a:solidFill xmlns:a="http://schemas.openxmlformats.org/drawingml/2006/main">
          <a:schemeClr val="accent5">
            <a:alpha val="10000"/>
          </a:schemeClr>
        </a:solidFill>
      </cdr:spPr>
      <cdr:txBody>
        <a:bodyPr xmlns:a="http://schemas.openxmlformats.org/drawingml/2006/main" wrap="square" lIns="0" r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sr-Cyrl-RS" sz="750" b="1">
              <a:solidFill>
                <a:schemeClr val="tx2"/>
              </a:solidFill>
              <a:latin typeface="+mn-lt"/>
              <a:cs typeface="Arial" panose="020B0604020202020204" pitchFamily="34" charset="0"/>
            </a:rPr>
            <a:t>ПРОЈЕКЦИЈА</a:t>
          </a:r>
        </a:p>
      </cdr:txBody>
    </cdr:sp>
  </cdr:relSizeAnchor>
</c:userShapes>
</file>

<file path=word/drawings/drawing21.xml><?xml version="1.0" encoding="utf-8"?>
<c:userShapes xmlns:c="http://schemas.openxmlformats.org/drawingml/2006/chart">
  <cdr:relSizeAnchor xmlns:cdr="http://schemas.openxmlformats.org/drawingml/2006/chartDrawing">
    <cdr:from>
      <cdr:x>0.54172</cdr:x>
      <cdr:y>0.09575</cdr:y>
    </cdr:from>
    <cdr:to>
      <cdr:x>0.84328</cdr:x>
      <cdr:y>0.21766</cdr:y>
    </cdr:to>
    <cdr:sp macro="" textlink="">
      <cdr:nvSpPr>
        <cdr:cNvPr id="4" name="Text Box 94"/>
        <cdr:cNvSpPr txBox="1"/>
      </cdr:nvSpPr>
      <cdr:spPr>
        <a:xfrm xmlns:a="http://schemas.openxmlformats.org/drawingml/2006/main">
          <a:off x="1486046" y="396242"/>
          <a:ext cx="827249" cy="504509"/>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l">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фискалног подиндекса (0,36)</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0.511</cdr:x>
      <cdr:y>0.11032</cdr:y>
    </cdr:from>
    <cdr:to>
      <cdr:x>0.53947</cdr:x>
      <cdr:y>0.12696</cdr:y>
    </cdr:to>
    <cdr:cxnSp macro="">
      <cdr:nvCxnSpPr>
        <cdr:cNvPr id="5" name="Straight Arrow Connector 4"/>
        <cdr:cNvCxnSpPr/>
      </cdr:nvCxnSpPr>
      <cdr:spPr>
        <a:xfrm xmlns:a="http://schemas.openxmlformats.org/drawingml/2006/main" flipV="1">
          <a:off x="3419886" y="568624"/>
          <a:ext cx="190500" cy="85725"/>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0.74097</cdr:x>
      <cdr:y>0.25425</cdr:y>
    </cdr:from>
    <cdr:to>
      <cdr:x>1</cdr:x>
      <cdr:y>0.38586</cdr:y>
    </cdr:to>
    <cdr:sp macro="" textlink="">
      <cdr:nvSpPr>
        <cdr:cNvPr id="6" name="Text Box 96"/>
        <cdr:cNvSpPr txBox="1"/>
      </cdr:nvSpPr>
      <cdr:spPr>
        <a:xfrm xmlns:a="http://schemas.openxmlformats.org/drawingml/2006/main">
          <a:off x="2032629" y="1052179"/>
          <a:ext cx="710571" cy="54461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sr-Cyrl-RS" sz="700" b="1">
              <a:solidFill>
                <a:srgbClr val="44546A"/>
              </a:solidFill>
              <a:effectLst/>
              <a:latin typeface="Calibri" panose="020F0502020204030204" pitchFamily="34" charset="0"/>
              <a:ea typeface="Calibri" panose="020F0502020204030204" pitchFamily="34" charset="0"/>
              <a:cs typeface="Times New Roman" panose="02020603050405020304" pitchFamily="18" charset="0"/>
            </a:rPr>
            <a:t>Праг финансијског подиндекса (0,49)</a:t>
          </a:r>
          <a:endParaRPr lang="en-GB" sz="1000">
            <a:solidFill>
              <a:srgbClr val="44546A"/>
            </a:solidFill>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0.91728</cdr:x>
      <cdr:y>0.24173</cdr:y>
    </cdr:from>
    <cdr:to>
      <cdr:x>0.94693</cdr:x>
      <cdr:y>0.26079</cdr:y>
    </cdr:to>
    <cdr:cxnSp macro="">
      <cdr:nvCxnSpPr>
        <cdr:cNvPr id="8" name="Straight Arrow Connector 7"/>
        <cdr:cNvCxnSpPr/>
      </cdr:nvCxnSpPr>
      <cdr:spPr>
        <a:xfrm xmlns:a="http://schemas.openxmlformats.org/drawingml/2006/main" flipH="1">
          <a:off x="6138919" y="1245908"/>
          <a:ext cx="198381" cy="98237"/>
        </a:xfrm>
        <a:prstGeom xmlns:a="http://schemas.openxmlformats.org/drawingml/2006/main" prst="straightConnector1">
          <a:avLst/>
        </a:prstGeom>
        <a:ln xmlns:a="http://schemas.openxmlformats.org/drawingml/2006/main">
          <a:solidFill>
            <a:schemeClr val="tx1">
              <a:lumMod val="75000"/>
              <a:lumOff val="25000"/>
            </a:schemeClr>
          </a:solidFill>
          <a:prstDash val="sysDash"/>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2.xml><?xml version="1.0" encoding="utf-8"?>
<c:userShapes xmlns:c="http://schemas.openxmlformats.org/drawingml/2006/chart">
  <cdr:relSizeAnchor xmlns:cdr="http://schemas.openxmlformats.org/drawingml/2006/chartDrawing">
    <cdr:from>
      <cdr:x>0.5994</cdr:x>
      <cdr:y>0.31197</cdr:y>
    </cdr:from>
    <cdr:to>
      <cdr:x>0.5994</cdr:x>
      <cdr:y>0.34818</cdr:y>
    </cdr:to>
    <cdr:cxnSp macro="">
      <cdr:nvCxnSpPr>
        <cdr:cNvPr id="3" name="Straight Arrow Connector 2"/>
        <cdr:cNvCxnSpPr/>
      </cdr:nvCxnSpPr>
      <cdr:spPr>
        <a:xfrm xmlns:a="http://schemas.openxmlformats.org/drawingml/2006/main" flipV="1">
          <a:off x="3927978" y="1066789"/>
          <a:ext cx="0" cy="123819"/>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3.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drawings/drawing24.xml><?xml version="1.0" encoding="utf-8"?>
<c:userShapes xmlns:c="http://schemas.openxmlformats.org/drawingml/2006/chart">
  <cdr:relSizeAnchor xmlns:cdr="http://schemas.openxmlformats.org/drawingml/2006/chartDrawing">
    <cdr:from>
      <cdr:x>0.49615</cdr:x>
      <cdr:y>0.04374</cdr:y>
    </cdr:from>
    <cdr:to>
      <cdr:x>1</cdr:x>
      <cdr:y>0.12725</cdr:y>
    </cdr:to>
    <cdr:sp macro="" textlink="">
      <cdr:nvSpPr>
        <cdr:cNvPr id="3" name="TextBox 1"/>
        <cdr:cNvSpPr txBox="1"/>
      </cdr:nvSpPr>
      <cdr:spPr>
        <a:xfrm xmlns:a="http://schemas.openxmlformats.org/drawingml/2006/main">
          <a:off x="1361042" y="104775"/>
          <a:ext cx="1382158" cy="2000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sr-Cyrl-RS" sz="800">
              <a:solidFill>
                <a:schemeClr val="tx2"/>
              </a:solidFill>
            </a:rPr>
            <a:t>у милионима динара</a:t>
          </a:r>
          <a:endParaRPr lang="en-US" sz="800">
            <a:solidFill>
              <a:schemeClr val="tx2"/>
            </a:solidFill>
          </a:endParaRPr>
        </a:p>
      </cdr:txBody>
    </cdr:sp>
  </cdr:relSizeAnchor>
</c:userShapes>
</file>

<file path=word/drawings/drawing25.xml><?xml version="1.0" encoding="utf-8"?>
<c:userShapes xmlns:c="http://schemas.openxmlformats.org/drawingml/2006/chart">
  <cdr:relSizeAnchor xmlns:cdr="http://schemas.openxmlformats.org/drawingml/2006/chartDrawing">
    <cdr:from>
      <cdr:x>0.81932</cdr:x>
      <cdr:y>0.0769</cdr:y>
    </cdr:from>
    <cdr:to>
      <cdr:x>0.82058</cdr:x>
      <cdr:y>0.9015</cdr:y>
    </cdr:to>
    <cdr:cxnSp macro="">
      <cdr:nvCxnSpPr>
        <cdr:cNvPr id="3" name="Straight Connector 2"/>
        <cdr:cNvCxnSpPr/>
      </cdr:nvCxnSpPr>
      <cdr:spPr>
        <a:xfrm xmlns:a="http://schemas.openxmlformats.org/drawingml/2006/main">
          <a:off x="6231367" y="342471"/>
          <a:ext cx="9583" cy="3672244"/>
        </a:xfrm>
        <a:prstGeom xmlns:a="http://schemas.openxmlformats.org/drawingml/2006/main" prst="line">
          <a:avLst/>
        </a:prstGeom>
        <a:ln xmlns:a="http://schemas.openxmlformats.org/drawingml/2006/main">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6.xml><?xml version="1.0" encoding="utf-8"?>
<c:userShapes xmlns:c="http://schemas.openxmlformats.org/drawingml/2006/chart">
  <cdr:relSizeAnchor xmlns:cdr="http://schemas.openxmlformats.org/drawingml/2006/chartDrawing">
    <cdr:from>
      <cdr:x>0.105</cdr:x>
      <cdr:y>0.17764</cdr:y>
    </cdr:from>
    <cdr:to>
      <cdr:x>0.3287</cdr:x>
      <cdr:y>0.5815</cdr:y>
    </cdr:to>
    <cdr:sp macro="" textlink="">
      <cdr:nvSpPr>
        <cdr:cNvPr id="11" name="Oval 10"/>
        <cdr:cNvSpPr/>
      </cdr:nvSpPr>
      <cdr:spPr>
        <a:xfrm xmlns:a="http://schemas.openxmlformats.org/drawingml/2006/main">
          <a:off x="289560" y="424697"/>
          <a:ext cx="616931" cy="965539"/>
        </a:xfrm>
        <a:prstGeom xmlns:a="http://schemas.openxmlformats.org/drawingml/2006/main" prst="ellipse">
          <a:avLst/>
        </a:prstGeom>
        <a:solidFill xmlns:a="http://schemas.openxmlformats.org/drawingml/2006/main">
          <a:srgbClr val="51BBE7">
            <a:alpha val="16000"/>
          </a:srgbClr>
        </a:solidFill>
        <a:ln xmlns:a="http://schemas.openxmlformats.org/drawingml/2006/main">
          <a:solidFill>
            <a:srgbClr val="29489A">
              <a:alpha val="50000"/>
            </a:srgb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0.04835</cdr:x>
      <cdr:y>0.10757</cdr:y>
    </cdr:from>
    <cdr:to>
      <cdr:x>0.26918</cdr:x>
      <cdr:y>0.18693</cdr:y>
    </cdr:to>
    <cdr:sp macro="" textlink="">
      <cdr:nvSpPr>
        <cdr:cNvPr id="6" name="TextBox 5"/>
        <cdr:cNvSpPr txBox="1"/>
      </cdr:nvSpPr>
      <cdr:spPr>
        <a:xfrm xmlns:a="http://schemas.openxmlformats.org/drawingml/2006/main">
          <a:off x="133350" y="257175"/>
          <a:ext cx="608997" cy="18973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0.34193</cdr:x>
      <cdr:y>0.71315</cdr:y>
    </cdr:from>
    <cdr:to>
      <cdr:x>0.59941</cdr:x>
      <cdr:y>0.79283</cdr:y>
    </cdr:to>
    <cdr:sp macro="" textlink="">
      <cdr:nvSpPr>
        <cdr:cNvPr id="7" name="TextBox 6"/>
        <cdr:cNvSpPr txBox="1"/>
      </cdr:nvSpPr>
      <cdr:spPr>
        <a:xfrm xmlns:a="http://schemas.openxmlformats.org/drawingml/2006/main">
          <a:off x="942975" y="1704975"/>
          <a:ext cx="710094" cy="1904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Рестриктивна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0.3287</cdr:x>
      <cdr:y>0.24444</cdr:y>
    </cdr:from>
    <cdr:to>
      <cdr:x>0.41157</cdr:x>
      <cdr:y>0.61707</cdr:y>
    </cdr:to>
    <cdr:sp macro="" textlink="">
      <cdr:nvSpPr>
        <cdr:cNvPr id="12" name="Oval 11"/>
        <cdr:cNvSpPr/>
      </cdr:nvSpPr>
      <cdr:spPr>
        <a:xfrm xmlns:a="http://schemas.openxmlformats.org/drawingml/2006/main">
          <a:off x="2304576" y="1115251"/>
          <a:ext cx="581025" cy="1700115"/>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latin typeface="Cambria" pitchFamily="18" charset="0"/>
          </a:endParaRPr>
        </a:p>
      </cdr:txBody>
    </cdr:sp>
  </cdr:relSizeAnchor>
  <cdr:relSizeAnchor xmlns:cdr="http://schemas.openxmlformats.org/drawingml/2006/chartDrawing">
    <cdr:from>
      <cdr:x>0.56041</cdr:x>
      <cdr:y>0.13825</cdr:y>
    </cdr:from>
    <cdr:to>
      <cdr:x>0.72635</cdr:x>
      <cdr:y>0.19124</cdr:y>
    </cdr:to>
    <cdr:sp macro="" textlink="">
      <cdr:nvSpPr>
        <cdr:cNvPr id="17" name="TextBox 16"/>
        <cdr:cNvSpPr txBox="1"/>
      </cdr:nvSpPr>
      <cdr:spPr>
        <a:xfrm xmlns:a="http://schemas.openxmlformats.org/drawingml/2006/main">
          <a:off x="3667126" y="571500"/>
          <a:ext cx="10858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0.09671</cdr:x>
      <cdr:y>0.23506</cdr:y>
    </cdr:from>
    <cdr:to>
      <cdr:x>0.37136</cdr:x>
      <cdr:y>0.33226</cdr:y>
    </cdr:to>
    <cdr:sp macro="" textlink="">
      <cdr:nvSpPr>
        <cdr:cNvPr id="18" name="TextBox 17"/>
        <cdr:cNvSpPr txBox="1"/>
      </cdr:nvSpPr>
      <cdr:spPr>
        <a:xfrm xmlns:a="http://schemas.openxmlformats.org/drawingml/2006/main">
          <a:off x="266700" y="561975"/>
          <a:ext cx="757426" cy="23238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Проциклична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0.2245</cdr:x>
      <cdr:y>0.3325</cdr:y>
    </cdr:from>
    <cdr:to>
      <cdr:x>0.53189</cdr:x>
      <cdr:y>0.42629</cdr:y>
    </cdr:to>
    <cdr:sp macro="" textlink="">
      <cdr:nvSpPr>
        <cdr:cNvPr id="19" name="TextBox 18"/>
        <cdr:cNvSpPr txBox="1"/>
      </cdr:nvSpPr>
      <cdr:spPr>
        <a:xfrm xmlns:a="http://schemas.openxmlformats.org/drawingml/2006/main">
          <a:off x="619126" y="794933"/>
          <a:ext cx="847724" cy="2242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RS" sz="600" b="0" baseline="0">
              <a:solidFill>
                <a:srgbClr val="44546A"/>
              </a:solidFill>
              <a:latin typeface="+mn-lt"/>
              <a:cs typeface="Times New Roman" pitchFamily="18" charset="0"/>
            </a:rPr>
            <a:t>Контрациклична</a:t>
          </a:r>
          <a:endParaRPr lang="en-US" sz="600" b="0" baseline="0">
            <a:solidFill>
              <a:srgbClr val="44546A"/>
            </a:solidFill>
            <a:latin typeface="+mn-lt"/>
            <a:cs typeface="Times New Roman" pitchFamily="18" charset="0"/>
          </a:endParaRPr>
        </a:p>
      </cdr:txBody>
    </cdr:sp>
  </cdr:relSizeAnchor>
  <cdr:relSizeAnchor xmlns:cdr="http://schemas.openxmlformats.org/drawingml/2006/chartDrawing">
    <cdr:from>
      <cdr:x>0.41429</cdr:x>
      <cdr:y>0.1902</cdr:y>
    </cdr:from>
    <cdr:to>
      <cdr:x>0.58393</cdr:x>
      <cdr:y>0.7217</cdr:y>
    </cdr:to>
    <cdr:sp macro="" textlink="">
      <cdr:nvSpPr>
        <cdr:cNvPr id="10" name="Oval 9"/>
        <cdr:cNvSpPr/>
      </cdr:nvSpPr>
      <cdr:spPr>
        <a:xfrm xmlns:a="http://schemas.openxmlformats.org/drawingml/2006/main">
          <a:off x="1142531" y="454725"/>
          <a:ext cx="467829" cy="1270697"/>
        </a:xfrm>
        <a:prstGeom xmlns:a="http://schemas.openxmlformats.org/drawingml/2006/main" prst="ellipse">
          <a:avLst/>
        </a:prstGeom>
        <a:solidFill xmlns:a="http://schemas.openxmlformats.org/drawingml/2006/main">
          <a:srgbClr val="51BBE7">
            <a:alpha val="15000"/>
          </a:srgbClr>
        </a:solidFill>
        <a:ln xmlns:a="http://schemas.openxmlformats.org/drawingml/2006/main">
          <a:solidFill>
            <a:schemeClr val="accent1">
              <a:shade val="50000"/>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0.43403</cdr:x>
      <cdr:y>0.29642</cdr:y>
    </cdr:from>
    <cdr:to>
      <cdr:x>0.60051</cdr:x>
      <cdr:y>0.41647</cdr:y>
    </cdr:to>
    <cdr:sp macro="" textlink="">
      <cdr:nvSpPr>
        <cdr:cNvPr id="13" name="TextBox 12"/>
        <cdr:cNvSpPr txBox="1"/>
      </cdr:nvSpPr>
      <cdr:spPr>
        <a:xfrm xmlns:a="http://schemas.openxmlformats.org/drawingml/2006/main">
          <a:off x="1196971" y="708663"/>
          <a:ext cx="459109" cy="28701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baseline="0">
              <a:solidFill>
                <a:srgbClr val="44546A"/>
              </a:solidFill>
              <a:latin typeface="+mn-lt"/>
            </a:rPr>
            <a:t>Проциклична</a:t>
          </a:r>
          <a:endParaRPr lang="en-US" sz="600" b="0" baseline="0">
            <a:solidFill>
              <a:srgbClr val="44546A"/>
            </a:solidFill>
            <a:latin typeface="+mn-lt"/>
          </a:endParaRPr>
        </a:p>
      </cdr:txBody>
    </cdr:sp>
  </cdr:relSizeAnchor>
  <cdr:relSizeAnchor xmlns:cdr="http://schemas.openxmlformats.org/drawingml/2006/chartDrawing">
    <cdr:from>
      <cdr:x>0.52838</cdr:x>
      <cdr:y>0.08367</cdr:y>
    </cdr:from>
    <cdr:to>
      <cdr:x>0.79093</cdr:x>
      <cdr:y>0.11404</cdr:y>
    </cdr:to>
    <cdr:sp macro="" textlink="">
      <cdr:nvSpPr>
        <cdr:cNvPr id="15" name="TextBox 1"/>
        <cdr:cNvSpPr txBox="1"/>
      </cdr:nvSpPr>
      <cdr:spPr>
        <a:xfrm xmlns:a="http://schemas.openxmlformats.org/drawingml/2006/main">
          <a:off x="1457163" y="200025"/>
          <a:ext cx="724062" cy="7262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0" i="0" u="none" strike="noStrike" kern="1200" baseline="0">
              <a:solidFill>
                <a:srgbClr val="44546A"/>
              </a:solidFill>
              <a:effectLst/>
              <a:latin typeface="+mn-lt"/>
              <a:ea typeface="+mn-ea"/>
              <a:cs typeface="+mn-cs"/>
            </a:rPr>
            <a:t>Експанзивна</a:t>
          </a:r>
          <a:r>
            <a:rPr lang="en-US" sz="600" baseline="0">
              <a:latin typeface="+mn-lt"/>
            </a:rPr>
            <a:t> </a:t>
          </a:r>
        </a:p>
      </cdr:txBody>
    </cdr:sp>
  </cdr:relSizeAnchor>
  <cdr:relSizeAnchor xmlns:cdr="http://schemas.openxmlformats.org/drawingml/2006/chartDrawing">
    <cdr:from>
      <cdr:x>0.58761</cdr:x>
      <cdr:y>0.09391</cdr:y>
    </cdr:from>
    <cdr:to>
      <cdr:x>0.85102</cdr:x>
      <cdr:y>0.75514</cdr:y>
    </cdr:to>
    <cdr:sp macro="" textlink="">
      <cdr:nvSpPr>
        <cdr:cNvPr id="16" name="Oval 15"/>
        <cdr:cNvSpPr/>
      </cdr:nvSpPr>
      <cdr:spPr>
        <a:xfrm xmlns:a="http://schemas.openxmlformats.org/drawingml/2006/main">
          <a:off x="1620521" y="224518"/>
          <a:ext cx="726439" cy="1580852"/>
        </a:xfrm>
        <a:prstGeom xmlns:a="http://schemas.openxmlformats.org/drawingml/2006/main" prst="ellipse">
          <a:avLst/>
        </a:prstGeom>
        <a:solidFill xmlns:a="http://schemas.openxmlformats.org/drawingml/2006/main">
          <a:schemeClr val="accent3">
            <a:lumMod val="40000"/>
            <a:lumOff val="60000"/>
            <a:alpha val="15000"/>
          </a:schemeClr>
        </a:solidFill>
        <a:ln xmlns:a="http://schemas.openxmlformats.org/drawingml/2006/main">
          <a:solidFill>
            <a:schemeClr val="accent3">
              <a:alpha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effectLst/>
          </a:endParaRPr>
        </a:p>
      </cdr:txBody>
    </cdr:sp>
  </cdr:relSizeAnchor>
  <cdr:relSizeAnchor xmlns:cdr="http://schemas.openxmlformats.org/drawingml/2006/chartDrawing">
    <cdr:from>
      <cdr:x>0.59406</cdr:x>
      <cdr:y>0.60242</cdr:y>
    </cdr:from>
    <cdr:to>
      <cdr:x>0.88418</cdr:x>
      <cdr:y>0.66932</cdr:y>
    </cdr:to>
    <cdr:sp macro="" textlink="">
      <cdr:nvSpPr>
        <cdr:cNvPr id="20" name="TextBox 1"/>
        <cdr:cNvSpPr txBox="1"/>
      </cdr:nvSpPr>
      <cdr:spPr>
        <a:xfrm xmlns:a="http://schemas.openxmlformats.org/drawingml/2006/main">
          <a:off x="1638300" y="1440252"/>
          <a:ext cx="800099" cy="15994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RS" sz="600" b="0" baseline="0">
              <a:solidFill>
                <a:srgbClr val="44546A"/>
              </a:solidFill>
              <a:latin typeface="+mn-lt"/>
              <a:cs typeface="Times New Roman" pitchFamily="18" charset="0"/>
            </a:rPr>
            <a:t>Контрациклична</a:t>
          </a:r>
          <a:endParaRPr lang="en-US" sz="600" b="0" baseline="0">
            <a:solidFill>
              <a:srgbClr val="44546A"/>
            </a:solidFill>
            <a:latin typeface="+mn-lt"/>
            <a:cs typeface="Times New Roman" pitchFamily="18" charset="0"/>
          </a:endParaRPr>
        </a:p>
      </cdr:txBody>
    </cdr:sp>
  </cdr:relSizeAnchor>
</c:userShapes>
</file>

<file path=word/drawings/drawing27.xml><?xml version="1.0" encoding="utf-8"?>
<c:userShapes xmlns:c="http://schemas.openxmlformats.org/drawingml/2006/chart">
  <cdr:relSizeAnchor xmlns:cdr="http://schemas.openxmlformats.org/drawingml/2006/chartDrawing">
    <cdr:from>
      <cdr:x>0.04375</cdr:x>
      <cdr:y>0.88368</cdr:y>
    </cdr:from>
    <cdr:to>
      <cdr:x>0.16667</cdr:x>
      <cdr:y>0.93576</cdr:y>
    </cdr:to>
    <cdr:sp macro="" textlink="">
      <cdr:nvSpPr>
        <cdr:cNvPr id="2"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0.04792</cdr:x>
      <cdr:y>0.73785</cdr:y>
    </cdr:from>
    <cdr:to>
      <cdr:x>0.24167</cdr:x>
      <cdr:y>0.86979</cdr:y>
    </cdr:to>
    <cdr:sp macro="" textlink="">
      <cdr:nvSpPr>
        <cdr:cNvPr id="3" name="TextBox 2"/>
        <cdr:cNvSpPr txBox="1"/>
      </cdr:nvSpPr>
      <cdr:spPr>
        <a:xfrm xmlns:a="http://schemas.openxmlformats.org/drawingml/2006/main">
          <a:off x="228061" y="2482144"/>
          <a:ext cx="922095" cy="4438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800">
            <a:latin typeface="+mj-lt"/>
          </a:endParaRPr>
        </a:p>
      </cdr:txBody>
    </cdr:sp>
  </cdr:relSizeAnchor>
  <cdr:relSizeAnchor xmlns:cdr="http://schemas.openxmlformats.org/drawingml/2006/chartDrawing">
    <cdr:from>
      <cdr:x>0.66875</cdr:x>
      <cdr:y>0.74826</cdr:y>
    </cdr:from>
    <cdr:to>
      <cdr:x>0.9125</cdr:x>
      <cdr:y>0.84549</cdr:y>
    </cdr:to>
    <cdr:sp macro="" textlink="">
      <cdr:nvSpPr>
        <cdr:cNvPr id="4"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0.76703</cdr:x>
      <cdr:y>0.16819</cdr:y>
    </cdr:from>
    <cdr:to>
      <cdr:x>0.98856</cdr:x>
      <cdr:y>0.2903</cdr:y>
    </cdr:to>
    <cdr:sp macro="" textlink="">
      <cdr:nvSpPr>
        <cdr:cNvPr id="5" name="TextBox 1"/>
        <cdr:cNvSpPr txBox="1"/>
      </cdr:nvSpPr>
      <cdr:spPr>
        <a:xfrm xmlns:a="http://schemas.openxmlformats.org/drawingml/2006/main">
          <a:off x="3650440" y="565780"/>
          <a:ext cx="1054306"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0.73125</cdr:x>
      <cdr:y>0.8206</cdr:y>
    </cdr:from>
    <cdr:to>
      <cdr:x>0.95417</cdr:x>
      <cdr:y>0.94271</cdr:y>
    </cdr:to>
    <cdr:sp macro="" textlink="">
      <cdr:nvSpPr>
        <cdr:cNvPr id="6" name="TextBox 1"/>
        <cdr:cNvSpPr txBox="1"/>
      </cdr:nvSpPr>
      <cdr:spPr>
        <a:xfrm xmlns:a="http://schemas.openxmlformats.org/drawingml/2006/main">
          <a:off x="3480164" y="2760516"/>
          <a:ext cx="1060921" cy="41078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mj-lt"/>
          </a:endParaRPr>
        </a:p>
      </cdr:txBody>
    </cdr:sp>
  </cdr:relSizeAnchor>
  <cdr:relSizeAnchor xmlns:cdr="http://schemas.openxmlformats.org/drawingml/2006/chartDrawing">
    <cdr:from>
      <cdr:x>0.04928</cdr:x>
      <cdr:y>0.22036</cdr:y>
    </cdr:from>
    <cdr:to>
      <cdr:x>0.27219</cdr:x>
      <cdr:y>0.34247</cdr:y>
    </cdr:to>
    <cdr:sp macro="" textlink="">
      <cdr:nvSpPr>
        <cdr:cNvPr id="7" name="TextBox 1"/>
        <cdr:cNvSpPr txBox="1"/>
      </cdr:nvSpPr>
      <cdr:spPr>
        <a:xfrm xmlns:a="http://schemas.openxmlformats.org/drawingml/2006/main">
          <a:off x="234530" y="741312"/>
          <a:ext cx="1060873" cy="410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sr-Cyrl-CS" sz="800">
            <a:latin typeface="Cambria" panose="02040503050406030204" pitchFamily="18" charset="0"/>
          </a:endParaRPr>
        </a:p>
      </cdr:txBody>
    </cdr:sp>
  </cdr:relSizeAnchor>
  <cdr:relSizeAnchor xmlns:cdr="http://schemas.openxmlformats.org/drawingml/2006/chartDrawing">
    <cdr:from>
      <cdr:x>0.04375</cdr:x>
      <cdr:y>0.88368</cdr:y>
    </cdr:from>
    <cdr:to>
      <cdr:x>0.16667</cdr:x>
      <cdr:y>0.93576</cdr:y>
    </cdr:to>
    <cdr:sp macro="" textlink="">
      <cdr:nvSpPr>
        <cdr:cNvPr id="14" name="TextBox 1"/>
        <cdr:cNvSpPr txBox="1"/>
      </cdr:nvSpPr>
      <cdr:spPr>
        <a:xfrm xmlns:a="http://schemas.openxmlformats.org/drawingml/2006/main">
          <a:off x="200025" y="2424113"/>
          <a:ext cx="561975" cy="1428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cdr:x>
      <cdr:y>0.90228</cdr:y>
    </cdr:from>
    <cdr:to>
      <cdr:x>0.32492</cdr:x>
      <cdr:y>1</cdr:y>
    </cdr:to>
    <cdr:sp macro="" textlink="">
      <cdr:nvSpPr>
        <cdr:cNvPr id="15" name="TextBox 2"/>
        <cdr:cNvSpPr txBox="1"/>
      </cdr:nvSpPr>
      <cdr:spPr>
        <a:xfrm xmlns:a="http://schemas.openxmlformats.org/drawingml/2006/main">
          <a:off x="-4114800" y="3042353"/>
          <a:ext cx="923920" cy="32949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0.66875</cdr:x>
      <cdr:y>0.74826</cdr:y>
    </cdr:from>
    <cdr:to>
      <cdr:x>0.9125</cdr:x>
      <cdr:y>0.84549</cdr:y>
    </cdr:to>
    <cdr:sp macro="" textlink="">
      <cdr:nvSpPr>
        <cdr:cNvPr id="16" name="TextBox 3"/>
        <cdr:cNvSpPr txBox="1"/>
      </cdr:nvSpPr>
      <cdr:spPr>
        <a:xfrm xmlns:a="http://schemas.openxmlformats.org/drawingml/2006/main">
          <a:off x="3057525" y="2052638"/>
          <a:ext cx="11144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sr-Cyrl-CS" sz="1100"/>
        </a:p>
      </cdr:txBody>
    </cdr:sp>
  </cdr:relSizeAnchor>
  <cdr:relSizeAnchor xmlns:cdr="http://schemas.openxmlformats.org/drawingml/2006/chartDrawing">
    <cdr:from>
      <cdr:x>0.76038</cdr:x>
      <cdr:y>0</cdr:y>
    </cdr:from>
    <cdr:to>
      <cdr:x>1</cdr:x>
      <cdr:y>0.09594</cdr:y>
    </cdr:to>
    <cdr:sp macro="" textlink="">
      <cdr:nvSpPr>
        <cdr:cNvPr id="17" name="TextBox 1"/>
        <cdr:cNvSpPr txBox="1"/>
      </cdr:nvSpPr>
      <cdr:spPr>
        <a:xfrm xmlns:a="http://schemas.openxmlformats.org/drawingml/2006/main">
          <a:off x="2162175" y="-4562475"/>
          <a:ext cx="681355" cy="32349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проциклично</a:t>
          </a:r>
          <a:r>
            <a:rPr lang="sr-Cyrl-CS" sz="600" b="0" baseline="0">
              <a:solidFill>
                <a:srgbClr val="44546A"/>
              </a:solidFill>
              <a:latin typeface="Calibri" panose="020F0502020204030204" pitchFamily="34" charset="0"/>
            </a:rPr>
            <a:t> - експанзивна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0.71149</cdr:x>
      <cdr:y>0.90748</cdr:y>
    </cdr:from>
    <cdr:to>
      <cdr:x>1</cdr:x>
      <cdr:y>1</cdr:y>
    </cdr:to>
    <cdr:sp macro="" textlink="">
      <cdr:nvSpPr>
        <cdr:cNvPr id="18" name="TextBox 1"/>
        <cdr:cNvSpPr txBox="1"/>
      </cdr:nvSpPr>
      <cdr:spPr>
        <a:xfrm xmlns:a="http://schemas.openxmlformats.org/drawingml/2006/main">
          <a:off x="2023143" y="3059887"/>
          <a:ext cx="820387" cy="31196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0" baseline="0">
              <a:solidFill>
                <a:srgbClr val="44546A"/>
              </a:solidFill>
              <a:latin typeface="Calibri" panose="020F0502020204030204" pitchFamily="34" charset="0"/>
            </a:rPr>
            <a:t> - рестриктивна</a:t>
          </a:r>
          <a:endParaRPr lang="sr-Cyrl-CS" sz="600" b="0">
            <a:solidFill>
              <a:srgbClr val="44546A"/>
            </a:solidFill>
            <a:latin typeface="Calibri" panose="020F0502020204030204" pitchFamily="34" charset="0"/>
          </a:endParaRPr>
        </a:p>
      </cdr:txBody>
    </cdr:sp>
  </cdr:relSizeAnchor>
  <cdr:relSizeAnchor xmlns:cdr="http://schemas.openxmlformats.org/drawingml/2006/chartDrawing">
    <cdr:from>
      <cdr:x>0</cdr:x>
      <cdr:y>0</cdr:y>
    </cdr:from>
    <cdr:to>
      <cdr:x>0.35172</cdr:x>
      <cdr:y>0.0791</cdr:y>
    </cdr:to>
    <cdr:sp macro="" textlink="">
      <cdr:nvSpPr>
        <cdr:cNvPr id="19" name="TextBox 1"/>
        <cdr:cNvSpPr txBox="1"/>
      </cdr:nvSpPr>
      <cdr:spPr>
        <a:xfrm xmlns:a="http://schemas.openxmlformats.org/drawingml/2006/main">
          <a:off x="-4114800" y="-4562475"/>
          <a:ext cx="1000125" cy="26670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sr-Cyrl-CS" sz="600" b="0">
              <a:solidFill>
                <a:srgbClr val="44546A"/>
              </a:solidFill>
              <a:latin typeface="Calibri" panose="020F0502020204030204" pitchFamily="34" charset="0"/>
            </a:rPr>
            <a:t>контрациклично</a:t>
          </a:r>
          <a:r>
            <a:rPr lang="sr-Cyrl-CS" sz="600" b="1" baseline="0">
              <a:solidFill>
                <a:srgbClr val="44546A"/>
              </a:solidFill>
              <a:latin typeface="Calibri" panose="020F0502020204030204" pitchFamily="34" charset="0"/>
            </a:rPr>
            <a:t> - експанзивна</a:t>
          </a:r>
          <a:endParaRPr lang="sr-Cyrl-CS" sz="600" b="1">
            <a:solidFill>
              <a:srgbClr val="44546A"/>
            </a:solidFill>
            <a:latin typeface="Calibri" panose="020F0502020204030204" pitchFamily="34" charset="0"/>
          </a:endParaRPr>
        </a:p>
      </cdr:txBody>
    </cdr:sp>
  </cdr:relSizeAnchor>
</c:userShapes>
</file>

<file path=word/drawings/drawing28.xml><?xml version="1.0" encoding="utf-8"?>
<c:userShapes xmlns:c="http://schemas.openxmlformats.org/drawingml/2006/chart">
  <cdr:relSizeAnchor xmlns:cdr="http://schemas.openxmlformats.org/drawingml/2006/chartDrawing">
    <cdr:from>
      <cdr:x>0.0846</cdr:x>
      <cdr:y>0.63549</cdr:y>
    </cdr:from>
    <cdr:to>
      <cdr:x>0.9665</cdr:x>
      <cdr:y>0.63845</cdr:y>
    </cdr:to>
    <cdr:sp macro="" textlink="">
      <cdr:nvSpPr>
        <cdr:cNvPr id="3" name="Straight Connector 2"/>
        <cdr:cNvSpPr/>
      </cdr:nvSpPr>
      <cdr:spPr>
        <a:xfrm xmlns:a="http://schemas.openxmlformats.org/drawingml/2006/main">
          <a:off x="232075" y="1525367"/>
          <a:ext cx="2419228" cy="7105"/>
        </a:xfrm>
        <a:prstGeom xmlns:a="http://schemas.openxmlformats.org/drawingml/2006/main" prst="line">
          <a:avLst/>
        </a:prstGeom>
        <a:ln xmlns:a="http://schemas.openxmlformats.org/drawingml/2006/main" w="15875">
          <a:solidFill>
            <a:schemeClr val="dk1">
              <a:shade val="95000"/>
              <a:satMod val="10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0.07445</cdr:x>
      <cdr:y>0.17658</cdr:y>
    </cdr:from>
    <cdr:to>
      <cdr:x>0.97329</cdr:x>
      <cdr:y>0.18192</cdr:y>
    </cdr:to>
    <cdr:cxnSp macro="">
      <cdr:nvCxnSpPr>
        <cdr:cNvPr id="4" name="Straight Connector 3">
          <a:extLst xmlns:a="http://schemas.openxmlformats.org/drawingml/2006/main">
            <a:ext uri="{FF2B5EF4-FFF2-40B4-BE49-F238E27FC236}">
              <a16:creationId xmlns:a16="http://schemas.microsoft.com/office/drawing/2014/main" id="{12B4E1F9-C0BE-5F5D-96A4-48B91145F0C8}"/>
            </a:ext>
          </a:extLst>
        </cdr:cNvPr>
        <cdr:cNvCxnSpPr/>
      </cdr:nvCxnSpPr>
      <cdr:spPr>
        <a:xfrm xmlns:a="http://schemas.openxmlformats.org/drawingml/2006/main" flipV="1">
          <a:off x="465652" y="779308"/>
          <a:ext cx="5622019" cy="23567"/>
        </a:xfrm>
        <a:prstGeom xmlns:a="http://schemas.openxmlformats.org/drawingml/2006/main" prst="line">
          <a:avLst/>
        </a:prstGeom>
        <a:ln xmlns:a="http://schemas.openxmlformats.org/drawingml/2006/main" w="15875">
          <a:solidFill>
            <a:schemeClr val="accent2">
              <a:shade val="95000"/>
              <a:satMod val="105000"/>
              <a:alpha val="70000"/>
            </a:schemeClr>
          </a:solidFill>
          <a:prstDash val="sysDash"/>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0.07073</cdr:x>
      <cdr:y>0.33466</cdr:y>
    </cdr:from>
    <cdr:to>
      <cdr:x>0.97335</cdr:x>
      <cdr:y>0.33705</cdr:y>
    </cdr:to>
    <cdr:sp macro="" textlink="">
      <cdr:nvSpPr>
        <cdr:cNvPr id="5" name="Straight Connector 4"/>
        <cdr:cNvSpPr/>
      </cdr:nvSpPr>
      <cdr:spPr>
        <a:xfrm xmlns:a="http://schemas.openxmlformats.org/drawingml/2006/main">
          <a:off x="442385" y="1476950"/>
          <a:ext cx="5645662" cy="10548"/>
        </a:xfrm>
        <a:prstGeom xmlns:a="http://schemas.openxmlformats.org/drawingml/2006/main" prst="line">
          <a:avLst/>
        </a:prstGeom>
        <a:ln xmlns:a="http://schemas.openxmlformats.org/drawingml/2006/main" w="15875">
          <a:solidFill>
            <a:schemeClr val="accent3">
              <a:lumMod val="75000"/>
              <a:alpha val="70000"/>
            </a:schemeClr>
          </a:solidFill>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sz="7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5.xml><?xml version="1.0" encoding="utf-8"?>
<a:themeOverride xmlns:a="http://schemas.openxmlformats.org/drawingml/2006/main">
  <a:clrScheme name="Business Set_Red">
    <a:dk1>
      <a:sysClr val="windowText" lastClr="000000"/>
    </a:dk1>
    <a:lt1>
      <a:sysClr val="window" lastClr="FFFFFF"/>
    </a:lt1>
    <a:dk2>
      <a:srgbClr val="000000"/>
    </a:dk2>
    <a:lt2>
      <a:srgbClr val="F8F8F8"/>
    </a:lt2>
    <a:accent1>
      <a:srgbClr val="EF4623"/>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C5242C-5A32-4373-8D5B-7BF185D6B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~WRL0001.tmp</Template>
  <TotalTime>2</TotalTime>
  <Pages>100</Pages>
  <Words>44495</Words>
  <Characters>253627</Characters>
  <Application>Microsoft Office Word</Application>
  <DocSecurity>0</DocSecurity>
  <Lines>2113</Lines>
  <Paragraphs>595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Nenad Jevtović</dc:creator>
  <cp:keywords/>
  <dc:description/>
  <cp:lastModifiedBy>Bojan Grgić</cp:lastModifiedBy>
  <cp:revision>2</cp:revision>
  <cp:lastPrinted>2024-07-04T07:36:00Z</cp:lastPrinted>
  <dcterms:created xsi:type="dcterms:W3CDTF">2024-07-04T14:49:00Z</dcterms:created>
  <dcterms:modified xsi:type="dcterms:W3CDTF">2024-07-04T14:49:00Z</dcterms:modified>
</cp:coreProperties>
</file>