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73758" w14:textId="47F416EA" w:rsidR="00FC6BAA" w:rsidRPr="00E84C93" w:rsidRDefault="00FC6BAA" w:rsidP="00FC6BAA">
      <w:pPr>
        <w:pStyle w:val="basic-paragraph"/>
        <w:shd w:val="clear" w:color="auto" w:fill="FFFFFF"/>
        <w:spacing w:before="0" w:beforeAutospacing="0" w:after="0" w:afterAutospacing="0"/>
        <w:ind w:firstLine="720"/>
        <w:jc w:val="both"/>
        <w:rPr>
          <w:lang w:val="sr-Cyrl-CS"/>
        </w:rPr>
      </w:pPr>
      <w:r w:rsidRPr="00E84C93">
        <w:rPr>
          <w:lang w:val="sr-Cyrl-CS"/>
        </w:rPr>
        <w:t>На основу члана 38. став 1. Закона о планском систему Републике Србије („Службени гласник РС”, број 30/18),</w:t>
      </w:r>
    </w:p>
    <w:p w14:paraId="5122DE1B" w14:textId="77777777" w:rsidR="00FC6BAA" w:rsidRPr="00E84C93" w:rsidRDefault="00FC6BAA" w:rsidP="00FC6BAA">
      <w:pPr>
        <w:pStyle w:val="basic-paragraph"/>
        <w:shd w:val="clear" w:color="auto" w:fill="FFFFFF"/>
        <w:spacing w:before="0" w:beforeAutospacing="0" w:after="0" w:afterAutospacing="0"/>
        <w:ind w:firstLine="720"/>
        <w:jc w:val="both"/>
        <w:rPr>
          <w:lang w:val="sr-Cyrl-CS"/>
        </w:rPr>
      </w:pPr>
    </w:p>
    <w:p w14:paraId="41AF9DAB" w14:textId="77777777" w:rsidR="00FC6BAA" w:rsidRPr="00E84C93" w:rsidRDefault="00FC6BAA" w:rsidP="00FC6BAA">
      <w:pPr>
        <w:pStyle w:val="basic-paragraph"/>
        <w:spacing w:before="0" w:beforeAutospacing="0" w:after="0" w:afterAutospacing="0"/>
        <w:ind w:firstLine="720"/>
        <w:rPr>
          <w:lang w:val="sr-Cyrl-CS"/>
        </w:rPr>
      </w:pPr>
      <w:r w:rsidRPr="00E84C93">
        <w:rPr>
          <w:lang w:val="sr-Cyrl-CS"/>
        </w:rPr>
        <w:t>Влада усваја</w:t>
      </w:r>
    </w:p>
    <w:p w14:paraId="094081D7" w14:textId="293F33C6" w:rsidR="00FC6BAA" w:rsidRPr="00E84C93" w:rsidRDefault="00FC6BAA" w:rsidP="00FC6BAA">
      <w:pPr>
        <w:spacing w:after="0"/>
        <w:rPr>
          <w:lang w:val="sr-Cyrl-CS"/>
        </w:rPr>
      </w:pPr>
    </w:p>
    <w:p w14:paraId="78B20160" w14:textId="77777777" w:rsidR="00402261" w:rsidRPr="00E84C93" w:rsidRDefault="00402261" w:rsidP="00FC6BAA">
      <w:pPr>
        <w:spacing w:after="0"/>
        <w:rPr>
          <w:lang w:val="sr-Cyrl-CS"/>
        </w:rPr>
      </w:pPr>
    </w:p>
    <w:p w14:paraId="0AC1CAFC" w14:textId="042AFE0D" w:rsidR="00FC6BAA" w:rsidRPr="00E84C93" w:rsidRDefault="00FC6BAA" w:rsidP="00FC6BAA">
      <w:pPr>
        <w:pStyle w:val="basic-paragraph"/>
        <w:shd w:val="clear" w:color="auto" w:fill="FFFFFF"/>
        <w:spacing w:before="0" w:beforeAutospacing="0" w:after="0" w:afterAutospacing="0"/>
        <w:jc w:val="center"/>
        <w:rPr>
          <w:b/>
          <w:bCs/>
          <w:color w:val="2E74B5" w:themeColor="accent1" w:themeShade="BF"/>
          <w:sz w:val="32"/>
          <w:szCs w:val="32"/>
          <w:lang w:val="sr-Cyrl-CS"/>
        </w:rPr>
      </w:pPr>
      <w:r w:rsidRPr="00E84C93">
        <w:rPr>
          <w:b/>
          <w:bCs/>
          <w:color w:val="2E74B5" w:themeColor="accent1" w:themeShade="BF"/>
          <w:sz w:val="32"/>
          <w:szCs w:val="32"/>
          <w:lang w:val="sr-Cyrl-CS"/>
        </w:rPr>
        <w:t xml:space="preserve">ПРОГРАМ УПРАВЉАЊА </w:t>
      </w:r>
      <w:r w:rsidR="00347301" w:rsidRPr="00E84C93">
        <w:rPr>
          <w:b/>
          <w:bCs/>
          <w:color w:val="2E74B5" w:themeColor="accent1" w:themeShade="BF"/>
          <w:sz w:val="32"/>
          <w:szCs w:val="32"/>
          <w:lang w:val="sr-Cyrl-CS"/>
        </w:rPr>
        <w:t>МУЉЕМ</w:t>
      </w:r>
    </w:p>
    <w:p w14:paraId="4794C9AA" w14:textId="671E0B41" w:rsidR="00FC6BAA" w:rsidRPr="00E84C93" w:rsidRDefault="00FC6BAA" w:rsidP="00FC6BAA">
      <w:pPr>
        <w:pStyle w:val="basic-paragraph"/>
        <w:shd w:val="clear" w:color="auto" w:fill="FFFFFF"/>
        <w:spacing w:before="0" w:beforeAutospacing="0" w:after="0" w:afterAutospacing="0"/>
        <w:jc w:val="center"/>
        <w:rPr>
          <w:b/>
          <w:bCs/>
          <w:color w:val="2E74B5" w:themeColor="accent1" w:themeShade="BF"/>
          <w:sz w:val="32"/>
          <w:szCs w:val="32"/>
          <w:lang w:val="sr-Cyrl-CS"/>
        </w:rPr>
      </w:pPr>
      <w:r w:rsidRPr="00E84C93">
        <w:rPr>
          <w:b/>
          <w:bCs/>
          <w:color w:val="2E74B5" w:themeColor="accent1" w:themeShade="BF"/>
          <w:sz w:val="32"/>
          <w:szCs w:val="32"/>
          <w:lang w:val="sr-Cyrl-CS"/>
        </w:rPr>
        <w:t xml:space="preserve">У РЕПУБЛИЦИ СРБИЈИ ЗА ПЕРИОД </w:t>
      </w:r>
      <w:r w:rsidR="002D073C" w:rsidRPr="00E84C93">
        <w:rPr>
          <w:b/>
          <w:bCs/>
          <w:color w:val="2E74B5" w:themeColor="accent1" w:themeShade="BF"/>
          <w:sz w:val="32"/>
          <w:szCs w:val="32"/>
          <w:lang w:val="sr-Cyrl-CS"/>
        </w:rPr>
        <w:t>2023-2032</w:t>
      </w:r>
      <w:r w:rsidRPr="00E84C93">
        <w:rPr>
          <w:b/>
          <w:bCs/>
          <w:color w:val="2E74B5" w:themeColor="accent1" w:themeShade="BF"/>
          <w:sz w:val="32"/>
          <w:szCs w:val="32"/>
          <w:lang w:val="sr-Cyrl-CS"/>
        </w:rPr>
        <w:t>. ГОДИНЕ</w:t>
      </w:r>
    </w:p>
    <w:p w14:paraId="29039500" w14:textId="31328CB3" w:rsidR="00FC6BAA" w:rsidRPr="00E84C93" w:rsidRDefault="00FC6BAA" w:rsidP="0002705B">
      <w:pPr>
        <w:pStyle w:val="Heading1"/>
        <w:spacing w:before="0"/>
        <w:rPr>
          <w:lang w:val="sr-Cyrl-CS"/>
        </w:rPr>
      </w:pPr>
    </w:p>
    <w:p w14:paraId="0977EF27" w14:textId="5DB7B99A" w:rsidR="00FC6BAA" w:rsidRPr="00E84C93" w:rsidRDefault="00FC6BAA" w:rsidP="00DF360D">
      <w:pPr>
        <w:pStyle w:val="Heading1"/>
        <w:numPr>
          <w:ilvl w:val="0"/>
          <w:numId w:val="2"/>
        </w:numPr>
        <w:tabs>
          <w:tab w:val="num" w:pos="720"/>
        </w:tabs>
        <w:spacing w:before="0"/>
        <w:ind w:hanging="720"/>
        <w:rPr>
          <w:lang w:val="sr-Cyrl-CS"/>
        </w:rPr>
      </w:pPr>
      <w:bookmarkStart w:id="0" w:name="_Toc99920883"/>
      <w:r w:rsidRPr="00E84C93">
        <w:rPr>
          <w:lang w:val="sr-Cyrl-CS"/>
        </w:rPr>
        <w:t>УВОД</w:t>
      </w:r>
      <w:bookmarkEnd w:id="0"/>
      <w:r w:rsidRPr="00E84C93">
        <w:rPr>
          <w:lang w:val="sr-Cyrl-CS"/>
        </w:rPr>
        <w:t xml:space="preserve"> </w:t>
      </w:r>
    </w:p>
    <w:p w14:paraId="40BD7856" w14:textId="3FBE5E13" w:rsidR="00FC6BAA" w:rsidRPr="00E84C93" w:rsidRDefault="00FC6BAA" w:rsidP="00FC6BAA">
      <w:pPr>
        <w:rPr>
          <w:lang w:val="sr-Cyrl-CS"/>
        </w:rPr>
      </w:pPr>
    </w:p>
    <w:p w14:paraId="174A9D25" w14:textId="21D15524" w:rsidR="00F86F26" w:rsidRPr="00E84C93" w:rsidRDefault="00F86F26" w:rsidP="00F86F26">
      <w:pPr>
        <w:spacing w:after="0"/>
        <w:ind w:firstLine="720"/>
        <w:jc w:val="both"/>
        <w:rPr>
          <w:rStyle w:val="jlqj4b"/>
          <w:rFonts w:cs="Times New Roman"/>
          <w:szCs w:val="24"/>
          <w:lang w:val="sr-Cyrl-CS"/>
        </w:rPr>
      </w:pPr>
      <w:r w:rsidRPr="00E84C93">
        <w:rPr>
          <w:rStyle w:val="jlqj4b"/>
          <w:rFonts w:cs="Times New Roman"/>
          <w:szCs w:val="24"/>
          <w:lang w:val="sr-Cyrl-CS"/>
        </w:rPr>
        <w:t>Муљ је крајњи нуспроизвод пречишћавања комуналних отпадних вода који настаје из различитих извора у процесу пречишћавања отпадних вода, у зависности од захтеване ефикасности пречишћавања и усвојене технологије процеса пречишћавања отпадних вода. У европској регулативи је класификован као неопасан отпад, јер када се њиме правилно управља може имати значајне користи за животну средину и не представља ризик по здравље људи.</w:t>
      </w:r>
    </w:p>
    <w:p w14:paraId="247B4D64" w14:textId="34E50284" w:rsidR="00F86F26" w:rsidRPr="00E84C93" w:rsidRDefault="00F86F26" w:rsidP="00F86F26">
      <w:pPr>
        <w:spacing w:after="0"/>
        <w:ind w:firstLine="720"/>
        <w:jc w:val="both"/>
        <w:rPr>
          <w:rFonts w:cs="Times New Roman"/>
          <w:szCs w:val="24"/>
          <w:lang w:val="sr-Cyrl-CS"/>
        </w:rPr>
      </w:pPr>
      <w:r w:rsidRPr="00E84C93">
        <w:rPr>
          <w:rStyle w:val="jlqj4b"/>
          <w:rFonts w:cs="Times New Roman"/>
          <w:szCs w:val="24"/>
          <w:lang w:val="sr-Cyrl-CS"/>
        </w:rPr>
        <w:t>Најновија регул</w:t>
      </w:r>
      <w:r w:rsidR="00A67BCB" w:rsidRPr="00E84C93">
        <w:rPr>
          <w:rStyle w:val="jlqj4b"/>
          <w:rFonts w:cs="Times New Roman"/>
          <w:szCs w:val="24"/>
          <w:lang w:val="sr-Cyrl-CS"/>
        </w:rPr>
        <w:t>a</w:t>
      </w:r>
      <w:r w:rsidRPr="00E84C93">
        <w:rPr>
          <w:rStyle w:val="jlqj4b"/>
          <w:rFonts w:cs="Times New Roman"/>
          <w:szCs w:val="24"/>
          <w:lang w:val="sr-Cyrl-CS"/>
        </w:rPr>
        <w:t xml:space="preserve">тива Европске уније је поставила високе стандарде у третману отпадних вода, док у области праћења и контроле квалитета третмана муља обухвата низ различитих законодавних инструмената. Опредељење ка циркуларној економији у оквиру </w:t>
      </w:r>
      <w:r w:rsidR="00113638" w:rsidRPr="00E84C93">
        <w:rPr>
          <w:b/>
          <w:bCs/>
          <w:szCs w:val="24"/>
          <w:lang w:val="sr-Cyrl-CS"/>
        </w:rPr>
        <w:t xml:space="preserve">Европског зеленог договора </w:t>
      </w:r>
      <w:r w:rsidR="00113638" w:rsidRPr="00E84C93">
        <w:rPr>
          <w:szCs w:val="24"/>
          <w:lang w:val="sr-Cyrl-CS"/>
        </w:rPr>
        <w:t>(</w:t>
      </w:r>
      <w:r w:rsidR="00113638" w:rsidRPr="00E84C93">
        <w:rPr>
          <w:i/>
          <w:iCs/>
          <w:szCs w:val="24"/>
          <w:lang w:val="sr-Cyrl-CS"/>
        </w:rPr>
        <w:t>The European Green Deal</w:t>
      </w:r>
      <w:r w:rsidR="00113638" w:rsidRPr="00E84C93">
        <w:rPr>
          <w:szCs w:val="24"/>
          <w:lang w:val="sr-Cyrl-CS"/>
        </w:rPr>
        <w:t>, COM/2019/640)</w:t>
      </w:r>
      <w:r w:rsidR="00AC65F5" w:rsidRPr="00E84C93">
        <w:rPr>
          <w:szCs w:val="24"/>
          <w:lang w:val="sr-Cyrl-CS"/>
        </w:rPr>
        <w:t xml:space="preserve"> </w:t>
      </w:r>
      <w:r w:rsidRPr="00E84C93">
        <w:rPr>
          <w:rStyle w:val="jlqj4b"/>
          <w:rFonts w:cs="Times New Roman"/>
          <w:szCs w:val="24"/>
          <w:lang w:val="sr-Cyrl-CS"/>
        </w:rPr>
        <w:t xml:space="preserve">је истакло чињеницу да се муљ више не уклапа у потпуности у постојеће дефиниције отпада, јер он не треба да се одбацује, већ да се поново користи. Због тога се очекује да ће бити посвећена додатна пажња управљању и одлагању муља, кроз регулисање </w:t>
      </w:r>
      <w:r w:rsidR="00AC65F5" w:rsidRPr="00E84C93">
        <w:rPr>
          <w:rStyle w:val="jlqj4b"/>
          <w:rFonts w:cs="Times New Roman"/>
          <w:szCs w:val="24"/>
          <w:lang w:val="sr-Cyrl-CS"/>
        </w:rPr>
        <w:t>„</w:t>
      </w:r>
      <w:r w:rsidRPr="00E84C93">
        <w:rPr>
          <w:rStyle w:val="jlqj4b"/>
          <w:rFonts w:cs="Times New Roman"/>
          <w:szCs w:val="24"/>
          <w:lang w:val="sr-Cyrl-CS"/>
        </w:rPr>
        <w:t>животног</w:t>
      </w:r>
      <w:r w:rsidR="00AC65F5" w:rsidRPr="00E84C93">
        <w:rPr>
          <w:rStyle w:val="jlqj4b"/>
          <w:rFonts w:cs="Times New Roman"/>
          <w:szCs w:val="24"/>
          <w:lang w:val="sr-Cyrl-CS"/>
        </w:rPr>
        <w:t>”</w:t>
      </w:r>
      <w:r w:rsidRPr="00E84C93">
        <w:rPr>
          <w:rStyle w:val="jlqj4b"/>
          <w:rFonts w:cs="Times New Roman"/>
          <w:szCs w:val="24"/>
          <w:lang w:val="sr-Cyrl-CS"/>
        </w:rPr>
        <w:t xml:space="preserve"> циклуса муља од његовог стварања до коначног одлагања или поновне употребе, као што је коришћење енергије и </w:t>
      </w:r>
      <w:r w:rsidR="00755CCA" w:rsidRPr="00E84C93">
        <w:rPr>
          <w:rStyle w:val="jlqj4b"/>
          <w:rFonts w:cs="Times New Roman"/>
          <w:szCs w:val="24"/>
          <w:lang w:val="sr-Cyrl-CS"/>
        </w:rPr>
        <w:t xml:space="preserve">искоришћење </w:t>
      </w:r>
      <w:r w:rsidRPr="00E84C93">
        <w:rPr>
          <w:rStyle w:val="jlqj4b"/>
          <w:rFonts w:cs="Times New Roman"/>
          <w:szCs w:val="24"/>
          <w:lang w:val="sr-Cyrl-CS"/>
        </w:rPr>
        <w:t xml:space="preserve">кључних </w:t>
      </w:r>
      <w:r w:rsidR="00755CCA" w:rsidRPr="00E84C93">
        <w:rPr>
          <w:rStyle w:val="jlqj4b"/>
          <w:rFonts w:cs="Times New Roman"/>
          <w:szCs w:val="24"/>
          <w:lang w:val="sr-Cyrl-CS"/>
        </w:rPr>
        <w:t>нутријената</w:t>
      </w:r>
      <w:r w:rsidRPr="00E84C93">
        <w:rPr>
          <w:rStyle w:val="jlqj4b"/>
          <w:rFonts w:cs="Times New Roman"/>
          <w:szCs w:val="24"/>
          <w:lang w:val="sr-Cyrl-CS"/>
        </w:rPr>
        <w:t xml:space="preserve">, пре свега азота и фосфора, као елемента који су од великог интереса за </w:t>
      </w:r>
      <w:r w:rsidR="000C54C0" w:rsidRPr="00E84C93">
        <w:rPr>
          <w:rStyle w:val="jlqj4b"/>
          <w:rFonts w:cs="Times New Roman"/>
          <w:szCs w:val="24"/>
          <w:lang w:val="sr-Cyrl-CS"/>
        </w:rPr>
        <w:t xml:space="preserve">сектор пољопривреде </w:t>
      </w:r>
      <w:r w:rsidRPr="00E84C93">
        <w:rPr>
          <w:rStyle w:val="jlqj4b"/>
          <w:rFonts w:cs="Times New Roman"/>
          <w:szCs w:val="24"/>
          <w:lang w:val="sr-Cyrl-CS"/>
        </w:rPr>
        <w:t>ЕУ у контексту циркуларне економије и тежње ка нултом загађењу</w:t>
      </w:r>
      <w:r w:rsidR="00F543AE" w:rsidRPr="00E84C93">
        <w:rPr>
          <w:rStyle w:val="jlqj4b"/>
          <w:rFonts w:cs="Times New Roman"/>
          <w:szCs w:val="24"/>
          <w:lang w:val="sr-Cyrl-CS"/>
        </w:rPr>
        <w:t>.</w:t>
      </w:r>
      <w:r w:rsidRPr="00E84C93">
        <w:rPr>
          <w:rStyle w:val="jlqj4b"/>
          <w:rFonts w:cs="Times New Roman"/>
          <w:szCs w:val="24"/>
          <w:lang w:val="sr-Cyrl-CS"/>
        </w:rPr>
        <w:t xml:space="preserve"> </w:t>
      </w:r>
    </w:p>
    <w:p w14:paraId="2954AA9B" w14:textId="6FDA80B6" w:rsidR="00F86F26" w:rsidRPr="00E84C93" w:rsidRDefault="00F86F26" w:rsidP="00B32E86">
      <w:pPr>
        <w:spacing w:after="0"/>
        <w:ind w:firstLine="720"/>
        <w:jc w:val="both"/>
        <w:rPr>
          <w:szCs w:val="24"/>
          <w:lang w:val="sr-Cyrl-CS"/>
        </w:rPr>
      </w:pPr>
      <w:r w:rsidRPr="00E84C93">
        <w:rPr>
          <w:rStyle w:val="jlqj4b"/>
          <w:rFonts w:cs="Times New Roman"/>
          <w:szCs w:val="24"/>
          <w:lang w:val="sr-Cyrl-CS"/>
        </w:rPr>
        <w:t xml:space="preserve">У Републици Србији је више од половине становника прикључено на канализационе системе и постоји одређени број постројења за пречишћавање комуналних отпадних вода које већ стварају муљ. Такође, започети су нови пројекти проширења канализационих мрежа у градовима и општинама и пројекти реконструкције и изградње нових постројења за пречишћавање, тако да се очекује повећање количине муља током одређеног времена. Република Србија тренутно нема успостављен систем управљања муљем нити је до сада имала план за успостављање тог система. </w:t>
      </w:r>
      <w:r w:rsidRPr="00E84C93">
        <w:rPr>
          <w:rFonts w:cs="Times New Roman"/>
          <w:szCs w:val="24"/>
          <w:lang w:val="sr-Cyrl-CS"/>
        </w:rPr>
        <w:t>Појединачна постројења одлажу муљ сопственим напорима, у складу са њиховим локалним и финансијским условима</w:t>
      </w:r>
      <w:r w:rsidR="00EC7A64" w:rsidRPr="00E84C93">
        <w:rPr>
          <w:rFonts w:cs="Times New Roman"/>
          <w:szCs w:val="24"/>
          <w:lang w:val="sr-Cyrl-CS"/>
        </w:rPr>
        <w:t>, а</w:t>
      </w:r>
      <w:r w:rsidRPr="00E84C93">
        <w:rPr>
          <w:rFonts w:cs="Times New Roman"/>
          <w:szCs w:val="24"/>
          <w:lang w:val="sr-Cyrl-CS"/>
        </w:rPr>
        <w:t xml:space="preserve"> постојећа пракса се своди на одлагање на општинске депоније или у оквиру простора самих постројења, уз неадекватне мере заштите животне средине.</w:t>
      </w:r>
    </w:p>
    <w:p w14:paraId="3021B568" w14:textId="2248643E" w:rsidR="00F86F26" w:rsidRPr="00E84C93" w:rsidRDefault="00F86F26" w:rsidP="00F86F26">
      <w:pPr>
        <w:spacing w:after="0"/>
        <w:ind w:firstLine="720"/>
        <w:jc w:val="both"/>
        <w:rPr>
          <w:rFonts w:cs="Times New Roman"/>
          <w:szCs w:val="24"/>
          <w:lang w:val="sr-Cyrl-CS"/>
        </w:rPr>
      </w:pPr>
      <w:r w:rsidRPr="00E84C93">
        <w:rPr>
          <w:rStyle w:val="jlqj4b"/>
          <w:rFonts w:cs="Times New Roman"/>
          <w:szCs w:val="24"/>
          <w:lang w:val="sr-Cyrl-CS"/>
        </w:rPr>
        <w:t>Услед потребе дугорочног решавања питања управљања муљем у Републици Србији, Министарство заштите животне ср</w:t>
      </w:r>
      <w:r w:rsidR="00BF129A" w:rsidRPr="00E84C93">
        <w:rPr>
          <w:rStyle w:val="jlqj4b"/>
          <w:rFonts w:cs="Times New Roman"/>
          <w:szCs w:val="24"/>
          <w:lang w:val="sr-Cyrl-CS"/>
        </w:rPr>
        <w:t>e</w:t>
      </w:r>
      <w:r w:rsidRPr="00E84C93">
        <w:rPr>
          <w:rStyle w:val="jlqj4b"/>
          <w:rFonts w:cs="Times New Roman"/>
          <w:szCs w:val="24"/>
          <w:lang w:val="sr-Cyrl-CS"/>
        </w:rPr>
        <w:t>дине је покренуло иницијативу за израду посебног програма за управљање муљем, имајући у виду посебне кара</w:t>
      </w:r>
      <w:r w:rsidR="00E84C93">
        <w:rPr>
          <w:rStyle w:val="jlqj4b"/>
          <w:rFonts w:cs="Times New Roman"/>
          <w:szCs w:val="24"/>
          <w:lang w:val="sr-Cyrl-CS"/>
        </w:rPr>
        <w:t>к</w:t>
      </w:r>
      <w:r w:rsidRPr="00E84C93">
        <w:rPr>
          <w:rStyle w:val="jlqj4b"/>
          <w:rFonts w:cs="Times New Roman"/>
          <w:szCs w:val="24"/>
          <w:lang w:val="sr-Cyrl-CS"/>
        </w:rPr>
        <w:t xml:space="preserve">теристике овог питања у односу на питања управљања другим врстама отпада који су обухваћени Програмом управљања отпадом у Републици Србији за период </w:t>
      </w:r>
      <w:r w:rsidR="002D073C" w:rsidRPr="00E84C93">
        <w:rPr>
          <w:rStyle w:val="jlqj4b"/>
          <w:rFonts w:cs="Times New Roman"/>
          <w:szCs w:val="24"/>
          <w:lang w:val="sr-Cyrl-CS"/>
        </w:rPr>
        <w:t>од 202</w:t>
      </w:r>
      <w:r w:rsidR="00607796" w:rsidRPr="00E84C93">
        <w:rPr>
          <w:rStyle w:val="jlqj4b"/>
          <w:rFonts w:cs="Times New Roman"/>
          <w:szCs w:val="24"/>
          <w:lang w:val="sr-Cyrl-CS"/>
        </w:rPr>
        <w:t>2</w:t>
      </w:r>
      <w:r w:rsidR="002D073C" w:rsidRPr="00E84C93">
        <w:rPr>
          <w:rStyle w:val="jlqj4b"/>
          <w:rFonts w:cs="Times New Roman"/>
          <w:szCs w:val="24"/>
          <w:lang w:val="sr-Cyrl-CS"/>
        </w:rPr>
        <w:t>. до 203</w:t>
      </w:r>
      <w:r w:rsidR="00607796" w:rsidRPr="00E84C93">
        <w:rPr>
          <w:rStyle w:val="jlqj4b"/>
          <w:rFonts w:cs="Times New Roman"/>
          <w:szCs w:val="24"/>
          <w:lang w:val="sr-Cyrl-CS"/>
        </w:rPr>
        <w:t>1</w:t>
      </w:r>
      <w:r w:rsidR="002D073C" w:rsidRPr="00E84C93">
        <w:rPr>
          <w:rStyle w:val="jlqj4b"/>
          <w:rFonts w:cs="Times New Roman"/>
          <w:szCs w:val="24"/>
          <w:lang w:val="sr-Cyrl-CS"/>
        </w:rPr>
        <w:t>.</w:t>
      </w:r>
      <w:r w:rsidRPr="00E84C93">
        <w:rPr>
          <w:rStyle w:val="jlqj4b"/>
          <w:rFonts w:cs="Times New Roman"/>
          <w:szCs w:val="24"/>
          <w:lang w:val="sr-Cyrl-CS"/>
        </w:rPr>
        <w:t xml:space="preserve"> године, </w:t>
      </w:r>
      <w:r w:rsidR="00A67BCB" w:rsidRPr="00E84C93">
        <w:rPr>
          <w:rStyle w:val="jlqj4b"/>
          <w:rFonts w:cs="Times New Roman"/>
          <w:szCs w:val="24"/>
          <w:lang w:val="sr-Cyrl-CS"/>
        </w:rPr>
        <w:t>(</w:t>
      </w:r>
      <w:r w:rsidR="00A67BCB" w:rsidRPr="00E84C93">
        <w:rPr>
          <w:rFonts w:cs="Times New Roman"/>
          <w:szCs w:val="24"/>
          <w:lang w:val="sr-Cyrl-CS"/>
        </w:rPr>
        <w:t>,,Службени гласник РС”, број 12/22)</w:t>
      </w:r>
      <w:r w:rsidR="00A67BCB" w:rsidRPr="00E84C93">
        <w:rPr>
          <w:rStyle w:val="jlqj4b"/>
          <w:rFonts w:cs="Times New Roman"/>
          <w:szCs w:val="24"/>
          <w:lang w:val="sr-Cyrl-CS"/>
        </w:rPr>
        <w:t xml:space="preserve">, </w:t>
      </w:r>
      <w:r w:rsidRPr="00E84C93">
        <w:rPr>
          <w:rStyle w:val="jlqj4b"/>
          <w:rFonts w:cs="Times New Roman"/>
          <w:szCs w:val="24"/>
          <w:lang w:val="sr-Cyrl-CS"/>
        </w:rPr>
        <w:t xml:space="preserve">као и да је управљање муљем обухваћено посебним директивама ЕУ. </w:t>
      </w:r>
      <w:r w:rsidRPr="00E84C93">
        <w:rPr>
          <w:rFonts w:cs="Times New Roman"/>
          <w:szCs w:val="24"/>
          <w:lang w:val="sr-Cyrl-CS"/>
        </w:rPr>
        <w:t xml:space="preserve">У оквиру преговора за приступање ЕУ, Република Србија је кроз </w:t>
      </w:r>
      <w:r w:rsidRPr="00E84C93">
        <w:rPr>
          <w:rFonts w:cs="Times New Roman"/>
          <w:szCs w:val="24"/>
          <w:lang w:val="sr-Cyrl-CS"/>
        </w:rPr>
        <w:lastRenderedPageBreak/>
        <w:t xml:space="preserve">Поглавље 27 започела процес успостављања система управљања муљем и његово прилагођавање циљевима и правним тековинама ЕУ. </w:t>
      </w:r>
    </w:p>
    <w:p w14:paraId="61A6FC7D" w14:textId="7D66EE16" w:rsidR="00F86F26" w:rsidRPr="00E84C93" w:rsidRDefault="00F86F26" w:rsidP="00F86F26">
      <w:pPr>
        <w:spacing w:after="0"/>
        <w:ind w:firstLine="720"/>
        <w:jc w:val="both"/>
        <w:rPr>
          <w:rStyle w:val="jlqj4b"/>
          <w:rFonts w:cs="Times New Roman"/>
          <w:szCs w:val="24"/>
          <w:lang w:val="sr-Cyrl-CS"/>
        </w:rPr>
      </w:pPr>
      <w:r w:rsidRPr="00E84C93">
        <w:rPr>
          <w:rStyle w:val="jlqj4b"/>
          <w:rFonts w:cs="Times New Roman"/>
          <w:szCs w:val="24"/>
          <w:lang w:val="sr-Cyrl-CS"/>
        </w:rPr>
        <w:t>Програм је израђен у складу са чл</w:t>
      </w:r>
      <w:r w:rsidR="005D2FA9" w:rsidRPr="00E84C93">
        <w:rPr>
          <w:rStyle w:val="jlqj4b"/>
          <w:rFonts w:cs="Times New Roman"/>
          <w:szCs w:val="24"/>
          <w:lang w:val="sr-Cyrl-CS"/>
        </w:rPr>
        <w:t>.</w:t>
      </w:r>
      <w:r w:rsidRPr="00E84C93">
        <w:rPr>
          <w:rStyle w:val="jlqj4b"/>
          <w:rFonts w:cs="Times New Roman"/>
          <w:szCs w:val="24"/>
          <w:lang w:val="sr-Cyrl-CS"/>
        </w:rPr>
        <w:t xml:space="preserve"> 10-15. Закона о планском систему Републике Србије (</w:t>
      </w:r>
      <w:r w:rsidRPr="00E84C93">
        <w:rPr>
          <w:rFonts w:cs="Times New Roman"/>
          <w:szCs w:val="24"/>
          <w:lang w:val="sr-Cyrl-CS"/>
        </w:rPr>
        <w:t>,,Службени гласник РС”, број 30/18).</w:t>
      </w:r>
    </w:p>
    <w:p w14:paraId="10B7D7B2" w14:textId="0FC05FD1" w:rsidR="00A67BCB" w:rsidRPr="00E84C93" w:rsidRDefault="00A67BCB" w:rsidP="00A67BCB">
      <w:pPr>
        <w:spacing w:after="0"/>
        <w:ind w:firstLine="720"/>
        <w:jc w:val="both"/>
        <w:rPr>
          <w:rFonts w:cs="Times New Roman"/>
          <w:szCs w:val="24"/>
          <w:lang w:val="sr-Cyrl-CS"/>
        </w:rPr>
      </w:pPr>
      <w:r w:rsidRPr="00E84C93">
        <w:rPr>
          <w:rStyle w:val="jlqj4b"/>
          <w:rFonts w:cs="Times New Roman"/>
          <w:szCs w:val="24"/>
          <w:lang w:val="sr-Cyrl-CS"/>
        </w:rPr>
        <w:t xml:space="preserve">Изради Програма управљања муљем у Републици Србији за период </w:t>
      </w:r>
      <w:r w:rsidR="002D073C" w:rsidRPr="00E84C93">
        <w:rPr>
          <w:rStyle w:val="jlqj4b"/>
          <w:rFonts w:cs="Times New Roman"/>
          <w:szCs w:val="24"/>
          <w:lang w:val="sr-Cyrl-CS"/>
        </w:rPr>
        <w:t>од 2023. до 2032.</w:t>
      </w:r>
      <w:r w:rsidRPr="00E84C93">
        <w:rPr>
          <w:rStyle w:val="jlqj4b"/>
          <w:rFonts w:cs="Times New Roman"/>
          <w:szCs w:val="24"/>
          <w:lang w:val="sr-Cyrl-CS"/>
        </w:rPr>
        <w:t xml:space="preserve"> године (у даљем тексту: Програм) претходила је израда </w:t>
      </w:r>
      <w:r w:rsidRPr="00E84C93">
        <w:rPr>
          <w:rStyle w:val="jlqj4b"/>
          <w:rFonts w:cs="Times New Roman"/>
          <w:i/>
          <w:iCs/>
          <w:szCs w:val="24"/>
          <w:lang w:val="sr-Cyrl-CS"/>
        </w:rPr>
        <w:t>ex ante</w:t>
      </w:r>
      <w:r w:rsidRPr="00E84C93">
        <w:rPr>
          <w:rStyle w:val="jlqj4b"/>
          <w:rFonts w:cs="Times New Roman"/>
          <w:szCs w:val="24"/>
          <w:lang w:val="sr-Cyrl-CS"/>
        </w:rPr>
        <w:t xml:space="preserve"> анализе која је припремљена уз подршку Програма за развој Уједињених нација (</w:t>
      </w:r>
      <w:hyperlink r:id="rId8" w:history="1">
        <w:r w:rsidRPr="00E84C93">
          <w:rPr>
            <w:rFonts w:cs="Times New Roman"/>
            <w:i/>
            <w:iCs/>
            <w:szCs w:val="24"/>
            <w:lang w:val="sr-Cyrl-CS"/>
          </w:rPr>
          <w:t>United Nations Development Programme</w:t>
        </w:r>
      </w:hyperlink>
      <w:r w:rsidRPr="00E84C93">
        <w:rPr>
          <w:lang w:val="sr-Cyrl-CS"/>
        </w:rPr>
        <w:t>/</w:t>
      </w:r>
      <w:r w:rsidRPr="00E84C93">
        <w:rPr>
          <w:rStyle w:val="jlqj4b"/>
          <w:rFonts w:cs="Times New Roman"/>
          <w:szCs w:val="24"/>
          <w:lang w:val="sr-Cyrl-CS"/>
        </w:rPr>
        <w:t xml:space="preserve">UNDP), при чему су коришћени </w:t>
      </w:r>
      <w:r w:rsidRPr="00E84C93">
        <w:rPr>
          <w:rFonts w:cs="Times New Roman"/>
          <w:szCs w:val="24"/>
          <w:lang w:val="sr-Cyrl-CS"/>
        </w:rPr>
        <w:t>налази и препоруке из студије спроведене у оквиру Фазе 2 Пројекта „Подршка програму развоја инфраструктуре за заштиту животне средине”</w:t>
      </w:r>
      <w:r w:rsidRPr="00E84C93">
        <w:rPr>
          <w:rFonts w:cs="Times New Roman"/>
          <w:szCs w:val="24"/>
          <w:lang w:val="sr-Cyrl-CS" w:bidi="en-US"/>
        </w:rPr>
        <w:t xml:space="preserve"> (</w:t>
      </w:r>
      <w:r w:rsidRPr="00E84C93">
        <w:rPr>
          <w:rFonts w:cs="Times New Roman"/>
          <w:szCs w:val="24"/>
          <w:lang w:val="sr-Cyrl-CS"/>
        </w:rPr>
        <w:t>EIPS2), која је завршена у децембру 2020. године.</w:t>
      </w:r>
    </w:p>
    <w:p w14:paraId="77DA8C5F" w14:textId="5A308C8D" w:rsidR="00A67BCB" w:rsidRPr="00E84C93" w:rsidRDefault="00A67BCB" w:rsidP="00A67BCB">
      <w:pPr>
        <w:spacing w:after="0"/>
        <w:ind w:firstLine="720"/>
        <w:jc w:val="both"/>
        <w:rPr>
          <w:rStyle w:val="jlqj4b"/>
          <w:rFonts w:cs="Times New Roman"/>
          <w:szCs w:val="24"/>
          <w:lang w:val="sr-Cyrl-CS"/>
        </w:rPr>
      </w:pPr>
      <w:r w:rsidRPr="00E84C93">
        <w:rPr>
          <w:rStyle w:val="jlqj4b"/>
          <w:rFonts w:cs="Times New Roman"/>
          <w:szCs w:val="24"/>
          <w:lang w:val="sr-Cyrl-CS"/>
        </w:rPr>
        <w:t>За израду Програм</w:t>
      </w:r>
      <w:r w:rsidR="0055215B" w:rsidRPr="00E84C93">
        <w:rPr>
          <w:rStyle w:val="jlqj4b"/>
          <w:rFonts w:cs="Times New Roman"/>
          <w:szCs w:val="24"/>
          <w:lang w:val="sr-Cyrl-CS"/>
        </w:rPr>
        <w:t>а</w:t>
      </w:r>
      <w:r w:rsidR="000C2D68" w:rsidRPr="00E84C93">
        <w:rPr>
          <w:rStyle w:val="jlqj4b"/>
          <w:rFonts w:cs="Times New Roman"/>
          <w:szCs w:val="24"/>
          <w:lang w:val="sr-Cyrl-CS"/>
        </w:rPr>
        <w:t>, у октобру 2021.</w:t>
      </w:r>
      <w:r w:rsidR="0055215B" w:rsidRPr="00E84C93">
        <w:rPr>
          <w:rStyle w:val="jlqj4b"/>
          <w:rFonts w:cs="Times New Roman"/>
          <w:szCs w:val="24"/>
          <w:lang w:val="sr-Cyrl-CS"/>
        </w:rPr>
        <w:t xml:space="preserve"> године</w:t>
      </w:r>
      <w:r w:rsidR="000C2D68" w:rsidRPr="00E84C93">
        <w:rPr>
          <w:rStyle w:val="jlqj4b"/>
          <w:rFonts w:cs="Times New Roman"/>
          <w:szCs w:val="24"/>
          <w:lang w:val="sr-Cyrl-CS"/>
        </w:rPr>
        <w:t xml:space="preserve">, </w:t>
      </w:r>
      <w:r w:rsidR="00761C5A" w:rsidRPr="00E84C93">
        <w:rPr>
          <w:rStyle w:val="jlqj4b"/>
          <w:rFonts w:cs="Times New Roman"/>
          <w:szCs w:val="24"/>
          <w:lang w:val="sr-Cyrl-CS"/>
        </w:rPr>
        <w:t>образована</w:t>
      </w:r>
      <w:r w:rsidRPr="00E84C93">
        <w:rPr>
          <w:rStyle w:val="jlqj4b"/>
          <w:rFonts w:cs="Times New Roman"/>
          <w:szCs w:val="24"/>
          <w:lang w:val="sr-Cyrl-CS"/>
        </w:rPr>
        <w:t xml:space="preserve"> је Радна група коју чине представници Министарства заштите животне средине, Министарства пољопривреде, шумарства и водопривреде</w:t>
      </w:r>
      <w:r w:rsidR="0073512A" w:rsidRPr="00E84C93">
        <w:rPr>
          <w:rStyle w:val="jlqj4b"/>
          <w:rFonts w:ascii="Courier New" w:hAnsi="Courier New" w:cs="Courier New"/>
          <w:szCs w:val="24"/>
          <w:lang w:val="sr-Cyrl-CS"/>
        </w:rPr>
        <w:t>-</w:t>
      </w:r>
      <w:r w:rsidRPr="00E84C93">
        <w:rPr>
          <w:rStyle w:val="jlqj4b"/>
          <w:rFonts w:cs="Times New Roman"/>
          <w:szCs w:val="24"/>
          <w:lang w:val="sr-Cyrl-CS"/>
        </w:rPr>
        <w:t xml:space="preserve"> Републичке дирекције за воде</w:t>
      </w:r>
      <w:r w:rsidR="0073512A" w:rsidRPr="00E84C93">
        <w:rPr>
          <w:rStyle w:val="jlqj4b"/>
          <w:rFonts w:cs="Times New Roman"/>
          <w:szCs w:val="24"/>
          <w:lang w:val="sr-Cyrl-CS"/>
        </w:rPr>
        <w:t xml:space="preserve"> и Управ</w:t>
      </w:r>
      <w:r w:rsidR="00D17BF6" w:rsidRPr="00E84C93">
        <w:rPr>
          <w:rStyle w:val="jlqj4b"/>
          <w:rFonts w:cs="Times New Roman"/>
          <w:szCs w:val="24"/>
          <w:lang w:val="sr-Cyrl-CS"/>
        </w:rPr>
        <w:t>е</w:t>
      </w:r>
      <w:r w:rsidR="0073512A" w:rsidRPr="00E84C93">
        <w:rPr>
          <w:rStyle w:val="jlqj4b"/>
          <w:rFonts w:cs="Times New Roman"/>
          <w:szCs w:val="24"/>
          <w:lang w:val="sr-Cyrl-CS"/>
        </w:rPr>
        <w:t xml:space="preserve"> за пољопривредно земљиште</w:t>
      </w:r>
      <w:r w:rsidRPr="00E84C93">
        <w:rPr>
          <w:rStyle w:val="jlqj4b"/>
          <w:rFonts w:cs="Times New Roman"/>
          <w:szCs w:val="24"/>
          <w:lang w:val="sr-Cyrl-CS"/>
        </w:rPr>
        <w:t>, Министарства грађевинарства, саобраћаја и инфраструктуре, Министарства рударства и енергетике, Агенције за заштиту животне средине, Секретаријата за заштиту животне средине Града Београда, Технолошко-металуршког факултета Униве</w:t>
      </w:r>
      <w:r w:rsidR="00E47C35" w:rsidRPr="00E84C93">
        <w:rPr>
          <w:rStyle w:val="jlqj4b"/>
          <w:rFonts w:cs="Times New Roman"/>
          <w:szCs w:val="24"/>
          <w:lang w:val="sr-Cyrl-CS"/>
        </w:rPr>
        <w:t>р</w:t>
      </w:r>
      <w:r w:rsidRPr="00E84C93">
        <w:rPr>
          <w:rStyle w:val="jlqj4b"/>
          <w:rFonts w:cs="Times New Roman"/>
          <w:szCs w:val="24"/>
          <w:lang w:val="sr-Cyrl-CS"/>
        </w:rPr>
        <w:t>зитета у Београду и Института за водопривреду „Јарослав Черни”.</w:t>
      </w:r>
    </w:p>
    <w:p w14:paraId="250476F4" w14:textId="3CEEC190" w:rsidR="007C57DE" w:rsidRPr="00E84C93" w:rsidRDefault="007C57DE" w:rsidP="007C57DE">
      <w:pPr>
        <w:spacing w:after="0"/>
        <w:ind w:firstLine="720"/>
        <w:jc w:val="both"/>
        <w:rPr>
          <w:rFonts w:cs="Times New Roman"/>
          <w:szCs w:val="24"/>
          <w:lang w:val="sr-Cyrl-CS"/>
        </w:rPr>
      </w:pPr>
      <w:r w:rsidRPr="00E84C93">
        <w:rPr>
          <w:rStyle w:val="jlqj4b"/>
          <w:rFonts w:cs="Times New Roman"/>
          <w:szCs w:val="24"/>
          <w:lang w:val="sr-Cyrl-CS"/>
        </w:rPr>
        <w:t xml:space="preserve">Консултативни процес је спроведен на основу анализе заинтересованих страна, којим су идентификовани релевантни државни органи и органи локалне власти, јавна предузећа, локална јавна комунална предузећа, привредни субјекти, институти, организације цивилног друштва, медији, донаторска заједница, као и посебне циљне групе: пољопривредници и грађани. Консултативни процес је започео у раним фазама припреме </w:t>
      </w:r>
      <w:r w:rsidRPr="00E84C93">
        <w:rPr>
          <w:rStyle w:val="jlqj4b"/>
          <w:lang w:val="sr-Cyrl-CS"/>
        </w:rPr>
        <w:t xml:space="preserve">полазне документације, односно од </w:t>
      </w:r>
      <w:r w:rsidRPr="00E84C93">
        <w:rPr>
          <w:rStyle w:val="jlqj4b"/>
          <w:rFonts w:cs="Times New Roman"/>
          <w:szCs w:val="24"/>
          <w:lang w:val="sr-Cyrl-CS"/>
        </w:rPr>
        <w:t>припреме анализа за израду Програма, а обухватио је различите активности и методе. Кроз консултативни процес прикупљени су сви потребни подаци и информације, као и предлози и смернице у вези са идентификовањем могућих приступа за решавање питања управљања муљем у Републици Србији</w:t>
      </w:r>
      <w:r w:rsidRPr="00E84C93">
        <w:rPr>
          <w:rFonts w:cs="Times New Roman"/>
          <w:szCs w:val="24"/>
          <w:lang w:val="sr-Cyrl-CS"/>
        </w:rPr>
        <w:t>.</w:t>
      </w:r>
    </w:p>
    <w:p w14:paraId="3DFF8801" w14:textId="7EE04290" w:rsidR="00FC6BAA" w:rsidRPr="00E84C93" w:rsidRDefault="00A67BCB" w:rsidP="00A67BCB">
      <w:pPr>
        <w:spacing w:after="0"/>
        <w:ind w:firstLine="720"/>
        <w:jc w:val="both"/>
        <w:rPr>
          <w:szCs w:val="24"/>
          <w:lang w:val="sr-Cyrl-CS"/>
        </w:rPr>
      </w:pPr>
      <w:r w:rsidRPr="00E84C93">
        <w:rPr>
          <w:szCs w:val="24"/>
          <w:lang w:val="sr-Cyrl-CS"/>
        </w:rPr>
        <w:t>Програмом су утврђени циљеви за управљање муљем у Републици Србији, кључне мере за остваривање постављених циљева, као и оквир за оператере и остале субјекте за њихово оперативно планирање за управљање муљем у наредних десет година</w:t>
      </w:r>
      <w:r w:rsidR="00F86F26" w:rsidRPr="00E84C93">
        <w:rPr>
          <w:rStyle w:val="jlqj4b"/>
          <w:rFonts w:cs="Times New Roman"/>
          <w:szCs w:val="24"/>
          <w:lang w:val="sr-Cyrl-CS"/>
        </w:rPr>
        <w:t>.</w:t>
      </w:r>
    </w:p>
    <w:p w14:paraId="281138FF" w14:textId="326F2820" w:rsidR="00FC6BAA" w:rsidRPr="00E84C93" w:rsidRDefault="00FC6BAA" w:rsidP="0002705B">
      <w:pPr>
        <w:spacing w:after="0"/>
        <w:jc w:val="both"/>
        <w:rPr>
          <w:szCs w:val="24"/>
          <w:lang w:val="sr-Cyrl-CS"/>
        </w:rPr>
      </w:pPr>
    </w:p>
    <w:p w14:paraId="04AF6495" w14:textId="0FF996D9" w:rsidR="00FC6BAA" w:rsidRPr="00E84C93" w:rsidRDefault="00FC6BAA" w:rsidP="00FC6BAA">
      <w:pPr>
        <w:spacing w:after="0"/>
        <w:rPr>
          <w:b/>
          <w:noProof/>
          <w:color w:val="2E74B5" w:themeColor="accent1" w:themeShade="BF"/>
          <w:sz w:val="32"/>
          <w:szCs w:val="32"/>
          <w:lang w:val="sr-Cyrl-CS"/>
        </w:rPr>
      </w:pPr>
      <w:r w:rsidRPr="00E84C93">
        <w:rPr>
          <w:b/>
          <w:noProof/>
          <w:color w:val="2E74B5" w:themeColor="accent1" w:themeShade="BF"/>
          <w:sz w:val="32"/>
          <w:szCs w:val="32"/>
          <w:lang w:val="sr-Cyrl-CS"/>
        </w:rPr>
        <w:t>СКРАЋЕНИЦЕ</w:t>
      </w:r>
    </w:p>
    <w:p w14:paraId="751CBF5F" w14:textId="6AE696B8" w:rsidR="00FC6BAA" w:rsidRPr="00E84C93" w:rsidRDefault="00FC6BAA" w:rsidP="00FC6BAA">
      <w:pPr>
        <w:spacing w:after="0"/>
        <w:rPr>
          <w:b/>
          <w:noProof/>
          <w:color w:val="2E74B5" w:themeColor="accent1" w:themeShade="BF"/>
          <w:sz w:val="32"/>
          <w:szCs w:val="32"/>
          <w:lang w:val="sr-Cyrl-CS"/>
        </w:rPr>
      </w:pPr>
    </w:p>
    <w:p w14:paraId="2078D326" w14:textId="77777777" w:rsidR="00DC3753" w:rsidRPr="00E84C93" w:rsidRDefault="00DC3753" w:rsidP="00DC3753">
      <w:pPr>
        <w:rPr>
          <w:rFonts w:cs="Times New Roman"/>
          <w:szCs w:val="24"/>
          <w:lang w:val="sr-Cyrl-CS" w:bidi="en-US"/>
        </w:rPr>
      </w:pPr>
      <w:r w:rsidRPr="00E84C93">
        <w:rPr>
          <w:rFonts w:cs="Times New Roman"/>
          <w:szCs w:val="24"/>
          <w:lang w:val="sr-Cyrl-CS" w:bidi="en-US"/>
        </w:rPr>
        <w:t>АЗЖС</w:t>
      </w:r>
      <w:r w:rsidRPr="00E84C93">
        <w:rPr>
          <w:rFonts w:cs="Times New Roman"/>
          <w:szCs w:val="24"/>
          <w:lang w:val="sr-Cyrl-CS" w:bidi="en-US"/>
        </w:rPr>
        <w:tab/>
      </w:r>
      <w:r w:rsidRPr="00E84C93">
        <w:rPr>
          <w:rFonts w:cs="Times New Roman"/>
          <w:szCs w:val="24"/>
          <w:lang w:val="sr-Cyrl-CS" w:bidi="en-US"/>
        </w:rPr>
        <w:tab/>
        <w:t>Агенција за заштиту животне средине</w:t>
      </w:r>
    </w:p>
    <w:p w14:paraId="43A094BF" w14:textId="77777777" w:rsidR="00FC6BAA" w:rsidRPr="00E84C93" w:rsidRDefault="00FC6BAA" w:rsidP="00FC6BAA">
      <w:pPr>
        <w:rPr>
          <w:rFonts w:cs="Times New Roman"/>
          <w:szCs w:val="24"/>
          <w:lang w:val="sr-Cyrl-CS" w:bidi="en-US"/>
        </w:rPr>
      </w:pPr>
      <w:r w:rsidRPr="00E84C93">
        <w:rPr>
          <w:rFonts w:cs="Times New Roman"/>
          <w:szCs w:val="24"/>
          <w:lang w:val="sr-Cyrl-CS" w:bidi="en-US"/>
        </w:rPr>
        <w:t>АП</w:t>
      </w:r>
      <w:r w:rsidRPr="00E84C93">
        <w:rPr>
          <w:rFonts w:cs="Times New Roman"/>
          <w:szCs w:val="24"/>
          <w:lang w:val="sr-Cyrl-CS" w:bidi="en-US"/>
        </w:rPr>
        <w:tab/>
      </w:r>
      <w:r w:rsidRPr="00E84C93">
        <w:rPr>
          <w:rFonts w:cs="Times New Roman"/>
          <w:szCs w:val="24"/>
          <w:lang w:val="sr-Cyrl-CS" w:bidi="en-US"/>
        </w:rPr>
        <w:tab/>
        <w:t>Аутономна покрајина</w:t>
      </w:r>
    </w:p>
    <w:p w14:paraId="02774E3E" w14:textId="64B43851" w:rsidR="00FC6BAA" w:rsidRPr="00E84C93" w:rsidRDefault="00FC6BAA" w:rsidP="00FC6BAA">
      <w:pPr>
        <w:rPr>
          <w:rFonts w:cs="Times New Roman"/>
          <w:szCs w:val="24"/>
          <w:lang w:val="sr-Cyrl-CS" w:bidi="en-US"/>
        </w:rPr>
      </w:pPr>
      <w:r w:rsidRPr="00E84C93">
        <w:rPr>
          <w:rFonts w:cs="Times New Roman"/>
          <w:szCs w:val="24"/>
          <w:lang w:val="sr-Cyrl-CS" w:bidi="en-US"/>
        </w:rPr>
        <w:t>BAT</w:t>
      </w:r>
      <w:r w:rsidRPr="00E84C93">
        <w:rPr>
          <w:rFonts w:cs="Times New Roman"/>
          <w:szCs w:val="24"/>
          <w:lang w:val="sr-Cyrl-CS" w:bidi="en-US"/>
        </w:rPr>
        <w:tab/>
      </w:r>
      <w:r w:rsidRPr="00E84C93">
        <w:rPr>
          <w:rFonts w:cs="Times New Roman"/>
          <w:szCs w:val="24"/>
          <w:lang w:val="sr-Cyrl-CS" w:bidi="en-US"/>
        </w:rPr>
        <w:tab/>
      </w:r>
      <w:r w:rsidR="008F59CA" w:rsidRPr="00E84C93">
        <w:rPr>
          <w:rFonts w:cs="Times New Roman"/>
          <w:i/>
          <w:iCs/>
          <w:szCs w:val="24"/>
          <w:lang w:val="sr-Cyrl-CS" w:bidi="en-US"/>
        </w:rPr>
        <w:t>Best Available Technique/</w:t>
      </w:r>
      <w:r w:rsidR="008F59CA" w:rsidRPr="00E84C93">
        <w:rPr>
          <w:rFonts w:cs="Times New Roman"/>
          <w:szCs w:val="24"/>
          <w:lang w:val="sr-Cyrl-CS" w:bidi="en-US"/>
        </w:rPr>
        <w:t>н</w:t>
      </w:r>
      <w:r w:rsidRPr="00E84C93">
        <w:rPr>
          <w:rFonts w:cs="Times New Roman"/>
          <w:szCs w:val="24"/>
          <w:lang w:val="sr-Cyrl-CS" w:bidi="en-US"/>
        </w:rPr>
        <w:t>ајбоља расположива техника</w:t>
      </w:r>
      <w:r w:rsidR="00347301" w:rsidRPr="00E84C93">
        <w:rPr>
          <w:rFonts w:cs="Times New Roman"/>
          <w:szCs w:val="24"/>
          <w:lang w:val="sr-Cyrl-CS" w:bidi="en-US"/>
        </w:rPr>
        <w:t xml:space="preserve"> </w:t>
      </w:r>
    </w:p>
    <w:p w14:paraId="69CFCEE4" w14:textId="1B3ACC0B" w:rsidR="00FC6BAA" w:rsidRPr="00E84C93" w:rsidRDefault="00FC6BAA" w:rsidP="00FC6BAA">
      <w:pPr>
        <w:ind w:left="1440" w:hanging="1440"/>
        <w:rPr>
          <w:rFonts w:cs="Times New Roman"/>
          <w:szCs w:val="24"/>
          <w:lang w:val="sr-Cyrl-CS" w:bidi="en-US"/>
        </w:rPr>
      </w:pPr>
      <w:r w:rsidRPr="00E84C93">
        <w:rPr>
          <w:rFonts w:cs="Times New Roman"/>
          <w:szCs w:val="24"/>
          <w:lang w:val="sr-Cyrl-CS" w:bidi="en-US"/>
        </w:rPr>
        <w:t>BREF</w:t>
      </w:r>
      <w:r w:rsidRPr="00E84C93">
        <w:rPr>
          <w:rFonts w:cs="Times New Roman"/>
          <w:szCs w:val="24"/>
          <w:lang w:val="sr-Cyrl-CS" w:bidi="en-US"/>
        </w:rPr>
        <w:tab/>
      </w:r>
      <w:r w:rsidR="008F59CA" w:rsidRPr="00E84C93">
        <w:rPr>
          <w:rFonts w:cs="Times New Roman"/>
          <w:i/>
          <w:iCs/>
          <w:szCs w:val="24"/>
          <w:lang w:val="sr-Cyrl-CS" w:bidi="en-US"/>
        </w:rPr>
        <w:t>Best Available Techniques Reference/</w:t>
      </w:r>
      <w:r w:rsidR="00347301" w:rsidRPr="00E84C93">
        <w:rPr>
          <w:rFonts w:cs="Times New Roman"/>
          <w:szCs w:val="24"/>
          <w:lang w:val="sr-Cyrl-CS" w:bidi="en-US"/>
        </w:rPr>
        <w:t>Референтни документ за најбоље расположиве технике</w:t>
      </w:r>
      <w:r w:rsidR="007868F4" w:rsidRPr="00E84C93">
        <w:rPr>
          <w:rFonts w:cs="Times New Roman"/>
          <w:szCs w:val="24"/>
          <w:lang w:val="sr-Cyrl-CS" w:bidi="en-US"/>
        </w:rPr>
        <w:t xml:space="preserve"> </w:t>
      </w:r>
    </w:p>
    <w:p w14:paraId="60CA726A" w14:textId="124AE896" w:rsidR="00DD3D80" w:rsidRPr="00E84C93" w:rsidRDefault="00DD3D80" w:rsidP="00DD3D80">
      <w:pPr>
        <w:jc w:val="both"/>
        <w:rPr>
          <w:rFonts w:cs="Times New Roman"/>
          <w:szCs w:val="24"/>
          <w:lang w:val="sr-Cyrl-CS" w:bidi="en-US"/>
        </w:rPr>
      </w:pPr>
      <w:r w:rsidRPr="00E84C93">
        <w:rPr>
          <w:rFonts w:cs="Times New Roman"/>
          <w:szCs w:val="24"/>
          <w:lang w:val="sr-Cyrl-CS" w:bidi="en-US"/>
        </w:rPr>
        <w:t>ЕС</w:t>
      </w:r>
      <w:r w:rsidRPr="00E84C93">
        <w:rPr>
          <w:rFonts w:cs="Times New Roman"/>
          <w:szCs w:val="24"/>
          <w:lang w:val="sr-Cyrl-CS" w:bidi="en-US"/>
        </w:rPr>
        <w:tab/>
      </w:r>
      <w:r w:rsidRPr="00E84C93">
        <w:rPr>
          <w:rFonts w:cs="Times New Roman"/>
          <w:szCs w:val="24"/>
          <w:lang w:val="sr-Cyrl-CS" w:bidi="en-US"/>
        </w:rPr>
        <w:tab/>
        <w:t>Еквивалент становника</w:t>
      </w:r>
    </w:p>
    <w:p w14:paraId="3027A1A6" w14:textId="77777777" w:rsidR="00FC6BAA" w:rsidRPr="00E84C93" w:rsidRDefault="00FC6BAA" w:rsidP="00FC6BAA">
      <w:pPr>
        <w:rPr>
          <w:rFonts w:cs="Times New Roman"/>
          <w:szCs w:val="24"/>
          <w:lang w:val="sr-Cyrl-CS" w:bidi="en-US"/>
        </w:rPr>
      </w:pPr>
      <w:r w:rsidRPr="00E84C93">
        <w:rPr>
          <w:rFonts w:cs="Times New Roman"/>
          <w:szCs w:val="24"/>
          <w:lang w:val="sr-Cyrl-CS" w:bidi="en-US"/>
        </w:rPr>
        <w:t>EУ</w:t>
      </w:r>
      <w:r w:rsidRPr="00E84C93">
        <w:rPr>
          <w:rFonts w:cs="Times New Roman"/>
          <w:szCs w:val="24"/>
          <w:lang w:val="sr-Cyrl-CS" w:bidi="en-US"/>
        </w:rPr>
        <w:tab/>
      </w:r>
      <w:r w:rsidRPr="00E84C93">
        <w:rPr>
          <w:rFonts w:cs="Times New Roman"/>
          <w:szCs w:val="24"/>
          <w:lang w:val="sr-Cyrl-CS" w:bidi="en-US"/>
        </w:rPr>
        <w:tab/>
        <w:t xml:space="preserve">Европска унија </w:t>
      </w:r>
    </w:p>
    <w:p w14:paraId="5D0227D5" w14:textId="77777777" w:rsidR="00FC6BAA" w:rsidRPr="00E84C93" w:rsidRDefault="00FC6BAA" w:rsidP="00FC6BAA">
      <w:pPr>
        <w:rPr>
          <w:rFonts w:cs="Times New Roman"/>
          <w:szCs w:val="24"/>
          <w:lang w:val="sr-Cyrl-CS" w:bidi="en-US"/>
        </w:rPr>
      </w:pPr>
      <w:r w:rsidRPr="00E84C93">
        <w:rPr>
          <w:rFonts w:cs="Times New Roman"/>
          <w:szCs w:val="24"/>
          <w:lang w:val="sr-Cyrl-CS" w:bidi="en-US"/>
        </w:rPr>
        <w:t>ЈКП</w:t>
      </w:r>
      <w:r w:rsidRPr="00E84C93">
        <w:rPr>
          <w:rFonts w:cs="Times New Roman"/>
          <w:szCs w:val="24"/>
          <w:lang w:val="sr-Cyrl-CS" w:bidi="en-US"/>
        </w:rPr>
        <w:tab/>
      </w:r>
      <w:r w:rsidRPr="00E84C93">
        <w:rPr>
          <w:rFonts w:cs="Times New Roman"/>
          <w:szCs w:val="24"/>
          <w:lang w:val="sr-Cyrl-CS" w:bidi="en-US"/>
        </w:rPr>
        <w:tab/>
        <w:t>Јавно комунално предузеће</w:t>
      </w:r>
    </w:p>
    <w:p w14:paraId="69005C07" w14:textId="77777777" w:rsidR="00DC3753" w:rsidRPr="00E84C93" w:rsidRDefault="00DC3753" w:rsidP="00DC3753">
      <w:pPr>
        <w:rPr>
          <w:rFonts w:cs="Times New Roman"/>
          <w:szCs w:val="24"/>
          <w:lang w:val="sr-Cyrl-CS" w:bidi="en-US"/>
        </w:rPr>
      </w:pPr>
      <w:r w:rsidRPr="00E84C93">
        <w:rPr>
          <w:rFonts w:cs="Times New Roman"/>
          <w:szCs w:val="24"/>
          <w:lang w:val="sr-Cyrl-CS" w:bidi="en-US"/>
        </w:rPr>
        <w:t>ЈЛС</w:t>
      </w:r>
      <w:r w:rsidRPr="00E84C93">
        <w:rPr>
          <w:rFonts w:cs="Times New Roman"/>
          <w:szCs w:val="24"/>
          <w:lang w:val="sr-Cyrl-CS" w:bidi="en-US"/>
        </w:rPr>
        <w:tab/>
      </w:r>
      <w:r w:rsidRPr="00E84C93">
        <w:rPr>
          <w:rFonts w:cs="Times New Roman"/>
          <w:szCs w:val="24"/>
          <w:lang w:val="sr-Cyrl-CS" w:bidi="en-US"/>
        </w:rPr>
        <w:tab/>
        <w:t>Јединица локалне самоуправе</w:t>
      </w:r>
    </w:p>
    <w:p w14:paraId="23AF4CAE" w14:textId="4E3FAADA" w:rsidR="00DC3753" w:rsidRPr="00E84C93" w:rsidRDefault="00DC3753" w:rsidP="00DC3753">
      <w:pPr>
        <w:rPr>
          <w:rFonts w:cs="Times New Roman"/>
          <w:szCs w:val="24"/>
          <w:lang w:val="sr-Cyrl-CS" w:bidi="en-US"/>
        </w:rPr>
      </w:pPr>
      <w:r w:rsidRPr="00E84C93">
        <w:rPr>
          <w:rFonts w:cs="Times New Roman"/>
          <w:szCs w:val="24"/>
          <w:lang w:val="sr-Cyrl-CS" w:bidi="en-US"/>
        </w:rPr>
        <w:t>МЗЖС</w:t>
      </w:r>
      <w:r w:rsidRPr="00E84C93">
        <w:rPr>
          <w:rFonts w:cs="Times New Roman"/>
          <w:szCs w:val="24"/>
          <w:lang w:val="sr-Cyrl-CS" w:bidi="en-US"/>
        </w:rPr>
        <w:tab/>
      </w:r>
      <w:r w:rsidRPr="00E84C93">
        <w:rPr>
          <w:rFonts w:cs="Times New Roman"/>
          <w:szCs w:val="24"/>
          <w:lang w:val="sr-Cyrl-CS" w:bidi="en-US"/>
        </w:rPr>
        <w:tab/>
        <w:t>Министарство заштите животне средине</w:t>
      </w:r>
    </w:p>
    <w:p w14:paraId="7B8A3FFD" w14:textId="236CE94E" w:rsidR="00B076FE" w:rsidRPr="00E84C93" w:rsidRDefault="00B076FE" w:rsidP="00DC3753">
      <w:pPr>
        <w:rPr>
          <w:rFonts w:cs="Times New Roman"/>
          <w:szCs w:val="24"/>
          <w:lang w:val="sr-Cyrl-CS" w:bidi="en-US"/>
        </w:rPr>
      </w:pPr>
      <w:r w:rsidRPr="00E84C93">
        <w:rPr>
          <w:rFonts w:cs="Times New Roman"/>
          <w:szCs w:val="24"/>
          <w:lang w:val="sr-Cyrl-CS" w:bidi="en-US"/>
        </w:rPr>
        <w:lastRenderedPageBreak/>
        <w:t>МФИ</w:t>
      </w:r>
      <w:r w:rsidRPr="00E84C93">
        <w:rPr>
          <w:rFonts w:cs="Times New Roman"/>
          <w:szCs w:val="24"/>
          <w:lang w:val="sr-Cyrl-CS" w:bidi="en-US"/>
        </w:rPr>
        <w:tab/>
      </w:r>
      <w:r w:rsidRPr="00E84C93">
        <w:rPr>
          <w:rFonts w:cs="Times New Roman"/>
          <w:szCs w:val="24"/>
          <w:lang w:val="sr-Cyrl-CS" w:bidi="en-US"/>
        </w:rPr>
        <w:tab/>
        <w:t>Међународне финансијске институције</w:t>
      </w:r>
    </w:p>
    <w:p w14:paraId="171D7293" w14:textId="77777777" w:rsidR="00DC3753" w:rsidRPr="00E84C93" w:rsidRDefault="00DC3753" w:rsidP="00DC3753">
      <w:pPr>
        <w:rPr>
          <w:rFonts w:cs="Times New Roman"/>
          <w:szCs w:val="24"/>
          <w:lang w:val="sr-Cyrl-CS" w:bidi="en-US"/>
        </w:rPr>
      </w:pPr>
      <w:r w:rsidRPr="00E84C93">
        <w:rPr>
          <w:rFonts w:cs="Times New Roman"/>
          <w:szCs w:val="24"/>
          <w:lang w:val="sr-Cyrl-CS" w:bidi="en-US"/>
        </w:rPr>
        <w:t>МПШВ</w:t>
      </w:r>
      <w:r w:rsidRPr="00E84C93">
        <w:rPr>
          <w:rFonts w:cs="Times New Roman"/>
          <w:szCs w:val="24"/>
          <w:lang w:val="sr-Cyrl-CS" w:bidi="en-US"/>
        </w:rPr>
        <w:tab/>
        <w:t>Министарство пољопривреде, шумарства и водопривреде</w:t>
      </w:r>
    </w:p>
    <w:p w14:paraId="4460739A" w14:textId="77777777" w:rsidR="00DC3753" w:rsidRPr="00E84C93" w:rsidRDefault="00DC3753" w:rsidP="00DC3753">
      <w:pPr>
        <w:rPr>
          <w:rFonts w:cs="Times New Roman"/>
          <w:szCs w:val="24"/>
          <w:lang w:val="sr-Cyrl-CS" w:bidi="en-US"/>
        </w:rPr>
      </w:pPr>
      <w:r w:rsidRPr="00E84C93">
        <w:rPr>
          <w:rFonts w:cs="Times New Roman"/>
          <w:szCs w:val="24"/>
          <w:lang w:val="sr-Cyrl-CS" w:bidi="en-US"/>
        </w:rPr>
        <w:t>ППОВ</w:t>
      </w:r>
      <w:r w:rsidRPr="00E84C93">
        <w:rPr>
          <w:rFonts w:cs="Times New Roman"/>
          <w:szCs w:val="24"/>
          <w:lang w:val="sr-Cyrl-CS" w:bidi="en-US"/>
        </w:rPr>
        <w:tab/>
      </w:r>
      <w:r w:rsidRPr="00E84C93">
        <w:rPr>
          <w:rFonts w:cs="Times New Roman"/>
          <w:szCs w:val="24"/>
          <w:lang w:val="sr-Cyrl-CS" w:bidi="en-US"/>
        </w:rPr>
        <w:tab/>
        <w:t xml:space="preserve">Постројење за пречишћавање отпадних вода </w:t>
      </w:r>
    </w:p>
    <w:p w14:paraId="34159191" w14:textId="40FEA156" w:rsidR="00FC6BAA" w:rsidRPr="00E84C93" w:rsidRDefault="00FC6BAA" w:rsidP="00FC6BAA">
      <w:pPr>
        <w:rPr>
          <w:rFonts w:cs="Times New Roman"/>
          <w:szCs w:val="24"/>
          <w:lang w:val="sr-Cyrl-CS" w:bidi="en-US"/>
        </w:rPr>
      </w:pPr>
      <w:r w:rsidRPr="00E84C93">
        <w:rPr>
          <w:rFonts w:cs="Times New Roman"/>
          <w:szCs w:val="24"/>
          <w:lang w:val="sr-Cyrl-CS" w:bidi="en-US"/>
        </w:rPr>
        <w:t>POP</w:t>
      </w:r>
      <w:r w:rsidR="00347301" w:rsidRPr="00E84C93">
        <w:rPr>
          <w:rFonts w:cs="Times New Roman"/>
          <w:szCs w:val="24"/>
          <w:lang w:val="sr-Cyrl-CS" w:bidi="en-US"/>
        </w:rPr>
        <w:t>s</w:t>
      </w:r>
      <w:r w:rsidRPr="00E84C93">
        <w:rPr>
          <w:rFonts w:cs="Times New Roman"/>
          <w:szCs w:val="24"/>
          <w:lang w:val="sr-Cyrl-CS" w:bidi="en-US"/>
        </w:rPr>
        <w:tab/>
      </w:r>
      <w:r w:rsidRPr="00E84C93">
        <w:rPr>
          <w:rFonts w:cs="Times New Roman"/>
          <w:szCs w:val="24"/>
          <w:lang w:val="sr-Cyrl-CS" w:bidi="en-US"/>
        </w:rPr>
        <w:tab/>
      </w:r>
      <w:r w:rsidR="00347301" w:rsidRPr="00E84C93">
        <w:rPr>
          <w:rFonts w:cs="Times New Roman"/>
          <w:szCs w:val="24"/>
          <w:lang w:val="sr-Cyrl-CS" w:bidi="en-US"/>
        </w:rPr>
        <w:t>Дугот</w:t>
      </w:r>
      <w:r w:rsidRPr="00E84C93">
        <w:rPr>
          <w:rFonts w:cs="Times New Roman"/>
          <w:szCs w:val="24"/>
          <w:lang w:val="sr-Cyrl-CS" w:bidi="en-US"/>
        </w:rPr>
        <w:t>рајн</w:t>
      </w:r>
      <w:r w:rsidR="00347301" w:rsidRPr="00E84C93">
        <w:rPr>
          <w:rFonts w:cs="Times New Roman"/>
          <w:szCs w:val="24"/>
          <w:lang w:val="sr-Cyrl-CS" w:bidi="en-US"/>
        </w:rPr>
        <w:t>е</w:t>
      </w:r>
      <w:r w:rsidRPr="00E84C93">
        <w:rPr>
          <w:rFonts w:cs="Times New Roman"/>
          <w:szCs w:val="24"/>
          <w:lang w:val="sr-Cyrl-CS" w:bidi="en-US"/>
        </w:rPr>
        <w:t xml:space="preserve"> органск</w:t>
      </w:r>
      <w:r w:rsidR="00347301" w:rsidRPr="00E84C93">
        <w:rPr>
          <w:rFonts w:cs="Times New Roman"/>
          <w:szCs w:val="24"/>
          <w:lang w:val="sr-Cyrl-CS" w:bidi="en-US"/>
        </w:rPr>
        <w:t>е</w:t>
      </w:r>
      <w:r w:rsidRPr="00E84C93">
        <w:rPr>
          <w:rFonts w:cs="Times New Roman"/>
          <w:szCs w:val="24"/>
          <w:lang w:val="sr-Cyrl-CS" w:bidi="en-US"/>
        </w:rPr>
        <w:t xml:space="preserve"> загађ</w:t>
      </w:r>
      <w:r w:rsidR="00347301" w:rsidRPr="00E84C93">
        <w:rPr>
          <w:rFonts w:cs="Times New Roman"/>
          <w:szCs w:val="24"/>
          <w:lang w:val="sr-Cyrl-CS" w:bidi="en-US"/>
        </w:rPr>
        <w:t>ујуће материје</w:t>
      </w:r>
    </w:p>
    <w:p w14:paraId="151D9F3C" w14:textId="77777777" w:rsidR="00FC6BAA" w:rsidRPr="00E84C93" w:rsidRDefault="00FC6BAA" w:rsidP="00FC6BAA">
      <w:pPr>
        <w:rPr>
          <w:rFonts w:cs="Times New Roman"/>
          <w:szCs w:val="24"/>
          <w:lang w:val="sr-Cyrl-CS" w:bidi="en-US"/>
        </w:rPr>
      </w:pPr>
      <w:r w:rsidRPr="00E84C93">
        <w:rPr>
          <w:rFonts w:cs="Times New Roman"/>
          <w:szCs w:val="24"/>
          <w:lang w:val="sr-Cyrl-CS" w:bidi="en-US"/>
        </w:rPr>
        <w:t>РС</w:t>
      </w:r>
      <w:r w:rsidRPr="00E84C93">
        <w:rPr>
          <w:rFonts w:cs="Times New Roman"/>
          <w:szCs w:val="24"/>
          <w:lang w:val="sr-Cyrl-CS" w:bidi="en-US"/>
        </w:rPr>
        <w:tab/>
      </w:r>
      <w:r w:rsidRPr="00E84C93">
        <w:rPr>
          <w:rFonts w:cs="Times New Roman"/>
          <w:szCs w:val="24"/>
          <w:lang w:val="sr-Cyrl-CS" w:bidi="en-US"/>
        </w:rPr>
        <w:tab/>
        <w:t>Република Србија</w:t>
      </w:r>
    </w:p>
    <w:p w14:paraId="2C728FD9" w14:textId="77777777" w:rsidR="00FC6BAA" w:rsidRPr="00E84C93" w:rsidRDefault="00FC6BAA" w:rsidP="00FC6BAA">
      <w:pPr>
        <w:rPr>
          <w:rFonts w:cs="Times New Roman"/>
          <w:szCs w:val="24"/>
          <w:lang w:val="sr-Cyrl-CS" w:bidi="en-US"/>
        </w:rPr>
      </w:pPr>
      <w:r w:rsidRPr="00E84C93">
        <w:rPr>
          <w:rFonts w:cs="Times New Roman"/>
          <w:szCs w:val="24"/>
          <w:lang w:val="sr-Cyrl-CS" w:bidi="en-US"/>
        </w:rPr>
        <w:t>РСД</w:t>
      </w:r>
      <w:r w:rsidRPr="00E84C93">
        <w:rPr>
          <w:rFonts w:cs="Times New Roman"/>
          <w:szCs w:val="24"/>
          <w:lang w:val="sr-Cyrl-CS" w:bidi="en-US"/>
        </w:rPr>
        <w:tab/>
      </w:r>
      <w:r w:rsidRPr="00E84C93">
        <w:rPr>
          <w:rFonts w:cs="Times New Roman"/>
          <w:szCs w:val="24"/>
          <w:lang w:val="sr-Cyrl-CS" w:bidi="en-US"/>
        </w:rPr>
        <w:tab/>
        <w:t>Српски динар</w:t>
      </w:r>
    </w:p>
    <w:p w14:paraId="20ACF8F5" w14:textId="77777777" w:rsidR="0056158C" w:rsidRPr="00E84C93" w:rsidRDefault="0056158C" w:rsidP="0056158C">
      <w:pPr>
        <w:rPr>
          <w:rFonts w:cs="Times New Roman"/>
          <w:szCs w:val="24"/>
          <w:lang w:val="sr-Cyrl-CS" w:bidi="en-US"/>
        </w:rPr>
      </w:pPr>
      <w:r w:rsidRPr="00E84C93">
        <w:rPr>
          <w:rFonts w:cs="Times New Roman"/>
          <w:szCs w:val="24"/>
          <w:lang w:val="sr-Cyrl-CS" w:bidi="en-US"/>
        </w:rPr>
        <w:t>СМ</w:t>
      </w:r>
      <w:r w:rsidRPr="00E84C93">
        <w:rPr>
          <w:rFonts w:cs="Times New Roman"/>
          <w:szCs w:val="24"/>
          <w:lang w:val="sr-Cyrl-CS" w:bidi="en-US"/>
        </w:rPr>
        <w:tab/>
      </w:r>
      <w:r w:rsidRPr="00E84C93">
        <w:rPr>
          <w:rFonts w:cs="Times New Roman"/>
          <w:szCs w:val="24"/>
          <w:lang w:val="sr-Cyrl-CS" w:bidi="en-US"/>
        </w:rPr>
        <w:tab/>
        <w:t xml:space="preserve">сува материја </w:t>
      </w:r>
    </w:p>
    <w:p w14:paraId="3EAD2F77" w14:textId="0753B2BC" w:rsidR="00FC6BAA" w:rsidRPr="00E84C93" w:rsidRDefault="00FC6BAA" w:rsidP="00FC6BAA">
      <w:pPr>
        <w:rPr>
          <w:rFonts w:cs="Times New Roman"/>
          <w:szCs w:val="24"/>
          <w:lang w:val="sr-Cyrl-CS" w:bidi="en-US"/>
        </w:rPr>
      </w:pPr>
      <w:r w:rsidRPr="00E84C93">
        <w:rPr>
          <w:rFonts w:cs="Times New Roman"/>
          <w:szCs w:val="24"/>
          <w:lang w:val="sr-Cyrl-CS" w:bidi="en-US"/>
        </w:rPr>
        <w:t>УНДП</w:t>
      </w:r>
      <w:r w:rsidRPr="00E84C93">
        <w:rPr>
          <w:rFonts w:cs="Times New Roman"/>
          <w:szCs w:val="24"/>
          <w:lang w:val="sr-Cyrl-CS" w:bidi="en-US"/>
        </w:rPr>
        <w:tab/>
      </w:r>
      <w:r w:rsidR="004A466E" w:rsidRPr="00E84C93">
        <w:rPr>
          <w:rFonts w:cs="Times New Roman"/>
          <w:szCs w:val="24"/>
          <w:lang w:val="sr-Cyrl-CS" w:bidi="en-US"/>
        </w:rPr>
        <w:tab/>
      </w:r>
      <w:r w:rsidRPr="00E84C93">
        <w:rPr>
          <w:rFonts w:cs="Times New Roman"/>
          <w:szCs w:val="24"/>
          <w:lang w:val="sr-Cyrl-CS" w:bidi="en-US"/>
        </w:rPr>
        <w:t>Програм Уједињених нација за развој</w:t>
      </w:r>
    </w:p>
    <w:p w14:paraId="740EB01F" w14:textId="237CD50B" w:rsidR="00FC6BAA" w:rsidRPr="00E84C93" w:rsidRDefault="00FC6BAA" w:rsidP="00FC6BAA">
      <w:pPr>
        <w:pStyle w:val="Default"/>
        <w:rPr>
          <w:rFonts w:ascii="Times New Roman" w:hAnsi="Times New Roman" w:cs="Times New Roman"/>
          <w:b/>
          <w:bCs/>
          <w:lang w:val="sr-Cyrl-CS"/>
        </w:rPr>
      </w:pPr>
    </w:p>
    <w:p w14:paraId="72877AA3" w14:textId="6620997D" w:rsidR="00FC6BAA" w:rsidRPr="00E84C93" w:rsidRDefault="00FC6BAA" w:rsidP="00DF360D">
      <w:pPr>
        <w:pStyle w:val="Heading1"/>
        <w:numPr>
          <w:ilvl w:val="0"/>
          <w:numId w:val="2"/>
        </w:numPr>
        <w:tabs>
          <w:tab w:val="num" w:pos="720"/>
        </w:tabs>
        <w:spacing w:before="0"/>
        <w:ind w:hanging="720"/>
        <w:rPr>
          <w:lang w:val="sr-Cyrl-CS"/>
        </w:rPr>
      </w:pPr>
      <w:bookmarkStart w:id="1" w:name="_Toc99920884"/>
      <w:r w:rsidRPr="00E84C93">
        <w:rPr>
          <w:lang w:val="sr-Cyrl-CS"/>
        </w:rPr>
        <w:t>ПЛАНСКИ И РЕГУЛАТОРНИ ОКВИР</w:t>
      </w:r>
      <w:bookmarkEnd w:id="1"/>
    </w:p>
    <w:p w14:paraId="5278B646" w14:textId="77777777" w:rsidR="00FC6BAA" w:rsidRPr="00E84C93" w:rsidRDefault="00FC6BAA" w:rsidP="00FC6BAA">
      <w:pPr>
        <w:pStyle w:val="Heading1"/>
        <w:spacing w:before="0"/>
        <w:ind w:left="720"/>
        <w:rPr>
          <w:lang w:val="sr-Cyrl-CS"/>
        </w:rPr>
      </w:pPr>
      <w:r w:rsidRPr="00E84C93">
        <w:rPr>
          <w:lang w:val="sr-Cyrl-CS"/>
        </w:rPr>
        <w:t xml:space="preserve"> </w:t>
      </w:r>
    </w:p>
    <w:p w14:paraId="7BF58D64" w14:textId="5E69F9CC" w:rsidR="00FC6BAA" w:rsidRPr="00E84C93" w:rsidRDefault="00FC6BAA" w:rsidP="00DF360D">
      <w:pPr>
        <w:pStyle w:val="Heading2"/>
        <w:numPr>
          <w:ilvl w:val="1"/>
          <w:numId w:val="2"/>
        </w:numPr>
        <w:tabs>
          <w:tab w:val="num" w:pos="1440"/>
        </w:tabs>
        <w:spacing w:before="0"/>
        <w:ind w:hanging="360"/>
        <w:rPr>
          <w:lang w:val="sr-Cyrl-CS"/>
        </w:rPr>
      </w:pPr>
      <w:r w:rsidRPr="00E84C93">
        <w:rPr>
          <w:lang w:val="sr-Cyrl-CS"/>
        </w:rPr>
        <w:t xml:space="preserve"> </w:t>
      </w:r>
      <w:bookmarkStart w:id="2" w:name="_Toc99920885"/>
      <w:r w:rsidRPr="00E84C93">
        <w:rPr>
          <w:lang w:val="sr-Cyrl-CS"/>
        </w:rPr>
        <w:t>Оквир јавне политике у ЕУ и на међународном нивоу</w:t>
      </w:r>
      <w:bookmarkEnd w:id="2"/>
      <w:r w:rsidRPr="00E84C93">
        <w:rPr>
          <w:lang w:val="sr-Cyrl-CS"/>
        </w:rPr>
        <w:t xml:space="preserve"> </w:t>
      </w:r>
    </w:p>
    <w:p w14:paraId="163E4019" w14:textId="77777777" w:rsidR="00FC6BAA" w:rsidRPr="00E84C93" w:rsidRDefault="00FC6BAA" w:rsidP="00FC6BAA">
      <w:pPr>
        <w:pStyle w:val="Default"/>
        <w:rPr>
          <w:rFonts w:ascii="Times New Roman" w:hAnsi="Times New Roman" w:cs="Times New Roman"/>
          <w:lang w:val="sr-Cyrl-CS"/>
        </w:rPr>
      </w:pPr>
    </w:p>
    <w:p w14:paraId="6D2DC1D7" w14:textId="0E45E891" w:rsidR="00FC6BAA" w:rsidRPr="00E84C93" w:rsidRDefault="00FC6BAA" w:rsidP="00FC6BAA">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На нивоу ЕУ у току последње деценије донето је више докумената којима су дефинисане заједничке политике у погледу даљег развоја у праведно и просперитетно друштво, са модерном, ресурсно ефикасном и конкурентном економијом, којима се штите природна богатства и здравље грађана и штити и унапређује животна средина.</w:t>
      </w:r>
    </w:p>
    <w:p w14:paraId="188B403F" w14:textId="61214CF9" w:rsidR="00122A64" w:rsidRPr="00E84C93" w:rsidRDefault="00122A64" w:rsidP="00122A64">
      <w:pPr>
        <w:spacing w:after="0"/>
        <w:ind w:firstLine="720"/>
        <w:jc w:val="both"/>
        <w:rPr>
          <w:rFonts w:cs="Times New Roman"/>
          <w:szCs w:val="24"/>
          <w:lang w:val="sr-Cyrl-CS"/>
        </w:rPr>
      </w:pPr>
      <w:r w:rsidRPr="00E84C93">
        <w:rPr>
          <w:rFonts w:cs="Times New Roman"/>
          <w:b/>
          <w:bCs/>
          <w:szCs w:val="24"/>
          <w:lang w:val="sr-Cyrl-CS"/>
        </w:rPr>
        <w:t>Економск</w:t>
      </w:r>
      <w:r w:rsidR="00C03A82" w:rsidRPr="00E84C93">
        <w:rPr>
          <w:rFonts w:cs="Times New Roman"/>
          <w:b/>
          <w:bCs/>
          <w:szCs w:val="24"/>
          <w:lang w:val="sr-Cyrl-CS"/>
        </w:rPr>
        <w:t>о-</w:t>
      </w:r>
      <w:r w:rsidRPr="00E84C93">
        <w:rPr>
          <w:rFonts w:cs="Times New Roman"/>
          <w:b/>
          <w:bCs/>
          <w:szCs w:val="24"/>
          <w:lang w:val="sr-Cyrl-CS"/>
        </w:rPr>
        <w:t>инвестициони план за Западни Балкан</w:t>
      </w:r>
      <w:r w:rsidRPr="00E84C93">
        <w:rPr>
          <w:rFonts w:cs="Times New Roman"/>
          <w:szCs w:val="24"/>
          <w:lang w:val="sr-Cyrl-CS"/>
        </w:rPr>
        <w:t xml:space="preserve"> усвојен је 2020. године. Западни Балкан је интегрални део Европе и представља геостратешки приоритет за Европску унију. </w:t>
      </w:r>
      <w:r w:rsidR="00A67BCB" w:rsidRPr="00E84C93">
        <w:rPr>
          <w:rFonts w:cs="Times New Roman"/>
          <w:szCs w:val="24"/>
          <w:lang w:val="sr-Cyrl-CS"/>
        </w:rPr>
        <w:t>Тај</w:t>
      </w:r>
      <w:r w:rsidRPr="00E84C93">
        <w:rPr>
          <w:rFonts w:cs="Times New Roman"/>
          <w:szCs w:val="24"/>
          <w:lang w:val="sr-Cyrl-CS"/>
        </w:rPr>
        <w:t xml:space="preserve"> план има за циљ да подстакне дугорочни опоравак – подржан зеленом и дигиталном транзицијом – који ће водити ка континуираном економском расту, имплементацији реформи које су неопходне за напредак на путу ка ЕУ, као и ка приближавању Западног Балкана јединственом тржишту ЕУ. Циљ Плана је да ослободи неискоришћени економски потенцијал овог региона и значајан простор за повећање унутар-регионалне економске сарадње и трговине</w:t>
      </w:r>
      <w:r w:rsidR="00A67BCB" w:rsidRPr="00E84C93">
        <w:rPr>
          <w:rFonts w:cs="Times New Roman"/>
          <w:szCs w:val="24"/>
          <w:lang w:val="sr-Cyrl-CS"/>
        </w:rPr>
        <w:t>. У складу с тим, током пандемије ЕУ је пружила значајну подршку земљама Западног Балкана, што је наведено у Саопштењу Европске комисије и у декларацији Самита у Загребу од 6. маја 2020.</w:t>
      </w:r>
      <w:r w:rsidR="005D2FA9" w:rsidRPr="00E84C93">
        <w:rPr>
          <w:rFonts w:cs="Times New Roman"/>
          <w:szCs w:val="24"/>
          <w:lang w:val="sr-Cyrl-CS"/>
        </w:rPr>
        <w:t xml:space="preserve"> године.</w:t>
      </w:r>
    </w:p>
    <w:p w14:paraId="24E2718D" w14:textId="5E71B7F7" w:rsidR="00A67BCB" w:rsidRPr="00E84C93" w:rsidRDefault="00122A64" w:rsidP="00A67BCB">
      <w:pPr>
        <w:spacing w:after="0"/>
        <w:ind w:firstLine="720"/>
        <w:jc w:val="both"/>
        <w:rPr>
          <w:rFonts w:cs="Times New Roman"/>
          <w:szCs w:val="24"/>
          <w:lang w:val="sr-Cyrl-CS"/>
        </w:rPr>
      </w:pPr>
      <w:r w:rsidRPr="00E84C93">
        <w:rPr>
          <w:rFonts w:cs="Times New Roman"/>
          <w:b/>
          <w:bCs/>
          <w:szCs w:val="24"/>
          <w:lang w:val="sr-Cyrl-CS"/>
        </w:rPr>
        <w:t xml:space="preserve">Нови Акциони план </w:t>
      </w:r>
      <w:r w:rsidR="00C927F6" w:rsidRPr="00E84C93">
        <w:rPr>
          <w:rFonts w:cs="Times New Roman"/>
          <w:b/>
          <w:bCs/>
          <w:szCs w:val="24"/>
          <w:lang w:val="sr-Cyrl-CS"/>
        </w:rPr>
        <w:t xml:space="preserve">ЕУ </w:t>
      </w:r>
      <w:r w:rsidRPr="00E84C93">
        <w:rPr>
          <w:rFonts w:cs="Times New Roman"/>
          <w:b/>
          <w:bCs/>
          <w:szCs w:val="24"/>
          <w:lang w:val="sr-Cyrl-CS"/>
        </w:rPr>
        <w:t>за циркуларну економију</w:t>
      </w:r>
      <w:r w:rsidRPr="00E84C93">
        <w:rPr>
          <w:rFonts w:cs="Times New Roman"/>
          <w:szCs w:val="24"/>
          <w:lang w:val="sr-Cyrl-CS"/>
        </w:rPr>
        <w:t xml:space="preserve"> садржи агенду окренуту ка будућности у циљу остваривања чистије и конкурентније Европе у сарадњи са економским актерима, потрошачима, грађанима и организацијама цивилног друштва. Његов је циљ да убрза трансформационе промене </w:t>
      </w:r>
      <w:r w:rsidR="00A67BCB" w:rsidRPr="00E84C93">
        <w:rPr>
          <w:rFonts w:cs="Times New Roman"/>
          <w:szCs w:val="24"/>
          <w:lang w:val="sr-Cyrl-CS"/>
        </w:rPr>
        <w:t xml:space="preserve">које изискује Европски </w:t>
      </w:r>
      <w:r w:rsidR="00296BAF" w:rsidRPr="00E84C93">
        <w:rPr>
          <w:rFonts w:cs="Times New Roman"/>
          <w:szCs w:val="24"/>
          <w:lang w:val="sr-Cyrl-CS"/>
        </w:rPr>
        <w:t>з</w:t>
      </w:r>
      <w:r w:rsidR="00A67BCB" w:rsidRPr="00E84C93">
        <w:rPr>
          <w:rFonts w:cs="Times New Roman"/>
          <w:szCs w:val="24"/>
          <w:lang w:val="sr-Cyrl-CS"/>
        </w:rPr>
        <w:t xml:space="preserve">елени </w:t>
      </w:r>
      <w:r w:rsidR="00113638" w:rsidRPr="00E84C93">
        <w:rPr>
          <w:rFonts w:cs="Times New Roman"/>
          <w:szCs w:val="24"/>
          <w:lang w:val="sr-Cyrl-CS"/>
        </w:rPr>
        <w:t xml:space="preserve">договор </w:t>
      </w:r>
      <w:r w:rsidR="00A67BCB" w:rsidRPr="00E84C93">
        <w:rPr>
          <w:rFonts w:cs="Times New Roman"/>
          <w:szCs w:val="24"/>
          <w:lang w:val="sr-Cyrl-CS"/>
        </w:rPr>
        <w:t>ослањајући се на акције везане за циркуларну економију које се спроводе од 2015. године. Тај план ће обезбедити да регулаторни оквир буде поједностављен и учињен прикладним за одрживу будућност, да се максимално искористе нове могућности проистекле из транзиције, а да се умањи терет који треба да поднесу грађани и предузећа.</w:t>
      </w:r>
    </w:p>
    <w:p w14:paraId="663E1DA8" w14:textId="1D29E371" w:rsidR="00122A64" w:rsidRPr="00E84C93" w:rsidRDefault="00A67BCB" w:rsidP="00A67BCB">
      <w:pPr>
        <w:spacing w:after="0"/>
        <w:ind w:firstLine="720"/>
        <w:jc w:val="both"/>
        <w:rPr>
          <w:rFonts w:cs="Times New Roman"/>
          <w:szCs w:val="24"/>
          <w:lang w:val="sr-Cyrl-CS"/>
        </w:rPr>
      </w:pPr>
      <w:r w:rsidRPr="00E84C93">
        <w:rPr>
          <w:rFonts w:cs="Times New Roman"/>
          <w:szCs w:val="24"/>
          <w:lang w:val="sr-Cyrl-CS"/>
        </w:rPr>
        <w:t>У контексту Акционог плана за циркуларну економију, нов</w:t>
      </w:r>
      <w:r w:rsidR="00296BAF" w:rsidRPr="00E84C93">
        <w:rPr>
          <w:rFonts w:cs="Times New Roman"/>
          <w:szCs w:val="24"/>
          <w:lang w:val="sr-Cyrl-CS"/>
        </w:rPr>
        <w:t xml:space="preserve">a Уредба (ЕУ) 2020/741 </w:t>
      </w:r>
      <w:r w:rsidR="00122A64" w:rsidRPr="00E84C93">
        <w:rPr>
          <w:rFonts w:cs="Times New Roman"/>
          <w:szCs w:val="24"/>
          <w:lang w:val="sr-Cyrl-CS"/>
        </w:rPr>
        <w:t>о минималним условима за поновно коришћење воде у сврху иригације у пољопривреди ступи</w:t>
      </w:r>
      <w:r w:rsidR="00296BAF" w:rsidRPr="00E84C93">
        <w:rPr>
          <w:rFonts w:cs="Times New Roman"/>
          <w:szCs w:val="24"/>
          <w:lang w:val="sr-Cyrl-CS"/>
        </w:rPr>
        <w:t xml:space="preserve">ла </w:t>
      </w:r>
      <w:r w:rsidR="00122A64" w:rsidRPr="00E84C93">
        <w:rPr>
          <w:rFonts w:cs="Times New Roman"/>
          <w:szCs w:val="24"/>
          <w:lang w:val="sr-Cyrl-CS"/>
        </w:rPr>
        <w:t>је на снагу. Нова правила примењиваће се од 26. јуна 2023. године, и очекује се да ће подстицати и олакшати поновну употребу воде у ЕУ.</w:t>
      </w:r>
    </w:p>
    <w:p w14:paraId="7804A7FE" w14:textId="3E37779F"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Осим тога, </w:t>
      </w:r>
      <w:r w:rsidR="001C5C40" w:rsidRPr="00E84C93">
        <w:rPr>
          <w:rFonts w:cs="Times New Roman"/>
          <w:szCs w:val="24"/>
          <w:lang w:val="sr-Cyrl-CS"/>
        </w:rPr>
        <w:t>Европска к</w:t>
      </w:r>
      <w:r w:rsidRPr="00E84C93">
        <w:rPr>
          <w:rFonts w:cs="Times New Roman"/>
          <w:szCs w:val="24"/>
          <w:lang w:val="sr-Cyrl-CS"/>
        </w:rPr>
        <w:t xml:space="preserve">омисија ће разрадити Интегрисани план управљања </w:t>
      </w:r>
      <w:r w:rsidR="00A843ED" w:rsidRPr="00E84C93">
        <w:rPr>
          <w:rFonts w:cs="Times New Roman"/>
          <w:szCs w:val="24"/>
          <w:lang w:val="sr-Cyrl-CS"/>
        </w:rPr>
        <w:t>нутријентима</w:t>
      </w:r>
      <w:r w:rsidRPr="00E84C93">
        <w:rPr>
          <w:rFonts w:cs="Times New Roman"/>
          <w:szCs w:val="24"/>
          <w:lang w:val="sr-Cyrl-CS"/>
        </w:rPr>
        <w:t xml:space="preserve"> у циљу обезбеђивања одрживије примене </w:t>
      </w:r>
      <w:r w:rsidR="00A843ED" w:rsidRPr="00E84C93">
        <w:rPr>
          <w:rFonts w:cs="Times New Roman"/>
          <w:szCs w:val="24"/>
          <w:lang w:val="sr-Cyrl-CS"/>
        </w:rPr>
        <w:t>нутријената</w:t>
      </w:r>
      <w:r w:rsidRPr="00E84C93">
        <w:rPr>
          <w:rFonts w:cs="Times New Roman"/>
          <w:szCs w:val="24"/>
          <w:lang w:val="sr-Cyrl-CS"/>
        </w:rPr>
        <w:t xml:space="preserve"> и подстицања тржишта за обновљене </w:t>
      </w:r>
      <w:r w:rsidR="00A843ED" w:rsidRPr="00E84C93">
        <w:rPr>
          <w:rFonts w:cs="Times New Roman"/>
          <w:szCs w:val="24"/>
          <w:lang w:val="sr-Cyrl-CS"/>
        </w:rPr>
        <w:t>нутријенте</w:t>
      </w:r>
      <w:r w:rsidRPr="00E84C93">
        <w:rPr>
          <w:rFonts w:cs="Times New Roman"/>
          <w:szCs w:val="24"/>
          <w:lang w:val="sr-Cyrl-CS"/>
        </w:rPr>
        <w:t>.</w:t>
      </w:r>
    </w:p>
    <w:p w14:paraId="65ADC60A" w14:textId="0A3248A3"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lastRenderedPageBreak/>
        <w:t>Муљ садржи вредне органске</w:t>
      </w:r>
      <w:r w:rsidR="001B3C5D" w:rsidRPr="00E84C93">
        <w:rPr>
          <w:rFonts w:cs="Times New Roman"/>
          <w:szCs w:val="24"/>
          <w:lang w:val="sr-Cyrl-CS"/>
        </w:rPr>
        <w:t xml:space="preserve"> и друге</w:t>
      </w:r>
      <w:r w:rsidRPr="00E84C93">
        <w:rPr>
          <w:rFonts w:cs="Times New Roman"/>
          <w:szCs w:val="24"/>
          <w:lang w:val="sr-Cyrl-CS"/>
        </w:rPr>
        <w:t xml:space="preserve"> материје које су од користи када је земљиште осиромашено или трпи последице ерозије. Рециклирање материјала, у складу са принципима циркуларне економије, заузима високо место у оквиру агенде ЕУ. Међутим, такође је од важности да оно што се користи као ресурс не буде контаминирано, иначе ће резултирати све већим загађењем земљишта, воде и/или ваздуха. </w:t>
      </w:r>
    </w:p>
    <w:p w14:paraId="569356C2" w14:textId="11C6C55D"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Акциони</w:t>
      </w:r>
      <w:r w:rsidR="00A46967" w:rsidRPr="00E84C93">
        <w:rPr>
          <w:rFonts w:cs="Times New Roman"/>
          <w:szCs w:val="24"/>
          <w:lang w:val="sr-Cyrl-CS"/>
        </w:rPr>
        <w:t xml:space="preserve">м </w:t>
      </w:r>
      <w:r w:rsidRPr="00E84C93">
        <w:rPr>
          <w:rFonts w:cs="Times New Roman"/>
          <w:szCs w:val="24"/>
          <w:lang w:val="sr-Cyrl-CS"/>
        </w:rPr>
        <w:t>план</w:t>
      </w:r>
      <w:r w:rsidR="00A46967" w:rsidRPr="00E84C93">
        <w:rPr>
          <w:rFonts w:cs="Times New Roman"/>
          <w:szCs w:val="24"/>
          <w:lang w:val="sr-Cyrl-CS"/>
        </w:rPr>
        <w:t>ом</w:t>
      </w:r>
      <w:r w:rsidRPr="00E84C93">
        <w:rPr>
          <w:rFonts w:cs="Times New Roman"/>
          <w:szCs w:val="24"/>
          <w:lang w:val="sr-Cyrl-CS"/>
        </w:rPr>
        <w:t xml:space="preserve"> предвиђа </w:t>
      </w:r>
      <w:r w:rsidR="00A46967" w:rsidRPr="00E84C93">
        <w:rPr>
          <w:rFonts w:cs="Times New Roman"/>
          <w:szCs w:val="24"/>
          <w:lang w:val="sr-Cyrl-CS"/>
        </w:rPr>
        <w:t xml:space="preserve">се </w:t>
      </w:r>
      <w:r w:rsidRPr="00E84C93">
        <w:rPr>
          <w:rFonts w:cs="Times New Roman"/>
          <w:szCs w:val="24"/>
          <w:lang w:val="sr-Cyrl-CS"/>
        </w:rPr>
        <w:t xml:space="preserve">да </w:t>
      </w:r>
      <w:r w:rsidR="001C5C40" w:rsidRPr="00E84C93">
        <w:rPr>
          <w:rFonts w:cs="Times New Roman"/>
          <w:szCs w:val="24"/>
          <w:lang w:val="sr-Cyrl-CS"/>
        </w:rPr>
        <w:t>Европска к</w:t>
      </w:r>
      <w:r w:rsidRPr="00E84C93">
        <w:rPr>
          <w:rFonts w:cs="Times New Roman"/>
          <w:szCs w:val="24"/>
          <w:lang w:val="sr-Cyrl-CS"/>
        </w:rPr>
        <w:t xml:space="preserve">омисија ревидира Директиве о </w:t>
      </w:r>
      <w:r w:rsidR="00F40E00" w:rsidRPr="00E84C93">
        <w:rPr>
          <w:rFonts w:cs="Times New Roman"/>
          <w:szCs w:val="24"/>
          <w:lang w:val="sr-Cyrl-CS"/>
        </w:rPr>
        <w:t>пречишћавању комуналних</w:t>
      </w:r>
      <w:r w:rsidRPr="00E84C93">
        <w:rPr>
          <w:rFonts w:cs="Times New Roman"/>
          <w:szCs w:val="24"/>
          <w:lang w:val="sr-Cyrl-CS"/>
        </w:rPr>
        <w:t xml:space="preserve"> отпадних вода</w:t>
      </w:r>
      <w:r w:rsidR="00F40E00" w:rsidRPr="00E84C93">
        <w:rPr>
          <w:rFonts w:cs="Times New Roman"/>
          <w:szCs w:val="24"/>
          <w:lang w:val="sr-Cyrl-CS"/>
        </w:rPr>
        <w:t xml:space="preserve"> и</w:t>
      </w:r>
      <w:r w:rsidRPr="00E84C93">
        <w:rPr>
          <w:rFonts w:cs="Times New Roman"/>
          <w:szCs w:val="24"/>
          <w:lang w:val="sr-Cyrl-CS"/>
        </w:rPr>
        <w:t xml:space="preserve"> </w:t>
      </w:r>
      <w:r w:rsidR="00255FDD" w:rsidRPr="00E84C93">
        <w:rPr>
          <w:rFonts w:cs="Times New Roman"/>
          <w:szCs w:val="24"/>
          <w:lang w:val="sr-Cyrl-CS"/>
        </w:rPr>
        <w:t>муљу из постројења за пречишћавање отпадних вода</w:t>
      </w:r>
      <w:r w:rsidRPr="00E84C93">
        <w:rPr>
          <w:rFonts w:cs="Times New Roman"/>
          <w:szCs w:val="24"/>
          <w:lang w:val="sr-Cyrl-CS"/>
        </w:rPr>
        <w:t>.</w:t>
      </w:r>
    </w:p>
    <w:p w14:paraId="6D74243E" w14:textId="54AA1B9F" w:rsidR="00122A64" w:rsidRPr="00E84C93" w:rsidRDefault="005D2FA9" w:rsidP="00122A64">
      <w:pPr>
        <w:spacing w:after="0"/>
        <w:ind w:firstLine="720"/>
        <w:jc w:val="both"/>
        <w:rPr>
          <w:rFonts w:cs="Times New Roman"/>
          <w:szCs w:val="24"/>
          <w:lang w:val="sr-Cyrl-CS"/>
        </w:rPr>
      </w:pPr>
      <w:r w:rsidRPr="00E84C93">
        <w:rPr>
          <w:rFonts w:cs="Times New Roman"/>
          <w:b/>
          <w:bCs/>
          <w:szCs w:val="24"/>
          <w:lang w:val="sr-Cyrl-CS"/>
        </w:rPr>
        <w:t xml:space="preserve">ЕУ </w:t>
      </w:r>
      <w:r w:rsidR="00122A64" w:rsidRPr="00E84C93">
        <w:rPr>
          <w:rFonts w:cs="Times New Roman"/>
          <w:b/>
          <w:bCs/>
          <w:szCs w:val="24"/>
          <w:lang w:val="sr-Cyrl-CS"/>
        </w:rPr>
        <w:t>Стратегија</w:t>
      </w:r>
      <w:r w:rsidRPr="00E84C93">
        <w:rPr>
          <w:rFonts w:cs="Times New Roman"/>
          <w:b/>
          <w:bCs/>
          <w:szCs w:val="24"/>
          <w:lang w:val="sr-Cyrl-CS"/>
        </w:rPr>
        <w:t xml:space="preserve"> за заштиту</w:t>
      </w:r>
      <w:r w:rsidR="00122A64" w:rsidRPr="00E84C93">
        <w:rPr>
          <w:rFonts w:cs="Times New Roman"/>
          <w:b/>
          <w:bCs/>
          <w:szCs w:val="24"/>
          <w:lang w:val="sr-Cyrl-CS"/>
        </w:rPr>
        <w:t xml:space="preserve"> биодиверзитета до 2030. године</w:t>
      </w:r>
      <w:bookmarkStart w:id="3" w:name="_Hlk95010561"/>
      <w:r w:rsidRPr="00E84C93">
        <w:rPr>
          <w:rFonts w:cs="Times New Roman"/>
          <w:b/>
          <w:bCs/>
          <w:szCs w:val="24"/>
          <w:lang w:val="sr-Cyrl-CS"/>
        </w:rPr>
        <w:t>-повратак природе у наше животе</w:t>
      </w:r>
      <w:r w:rsidR="00122A64" w:rsidRPr="00E84C93">
        <w:rPr>
          <w:rFonts w:cs="Times New Roman"/>
          <w:szCs w:val="24"/>
          <w:lang w:val="sr-Cyrl-CS"/>
        </w:rPr>
        <w:t xml:space="preserve"> поставља амбициозне циљеве ЕУ и обавезе за период до 2030. године да би се остварили здрави и отпорни екосистеми. Када се ради о праксама управљања пољопривредним земљиштем, Стратегија поставља циљ да најмање 25% пољопривредног земљишта ЕУ мора бити органски обрађивано до 2030. године, и да треба промовисати примену агроеколошких пракси.</w:t>
      </w:r>
    </w:p>
    <w:p w14:paraId="7455557A" w14:textId="46F40D01" w:rsidR="00A67BCB" w:rsidRPr="00E84C93" w:rsidRDefault="00A67BCB" w:rsidP="00A67BCB">
      <w:pPr>
        <w:spacing w:after="0"/>
        <w:ind w:firstLine="720"/>
        <w:jc w:val="both"/>
        <w:rPr>
          <w:rFonts w:cs="Times New Roman"/>
          <w:szCs w:val="24"/>
          <w:lang w:val="sr-Cyrl-CS"/>
        </w:rPr>
      </w:pPr>
      <w:r w:rsidRPr="00E84C93">
        <w:rPr>
          <w:rFonts w:cs="Times New Roman"/>
          <w:szCs w:val="24"/>
          <w:lang w:val="sr-Cyrl-CS"/>
        </w:rPr>
        <w:t xml:space="preserve">Да би подржала дугорочну одрживост како природе тако и пољопривредних делатности, ова стратегија треба да се спроводи у садејству са новом стратегијом </w:t>
      </w:r>
      <w:r w:rsidR="00506BC9" w:rsidRPr="00E84C93">
        <w:rPr>
          <w:rFonts w:cs="Times New Roman"/>
          <w:szCs w:val="24"/>
          <w:lang w:val="sr-Cyrl-CS"/>
        </w:rPr>
        <w:t>„</w:t>
      </w:r>
      <w:r w:rsidRPr="00E84C93">
        <w:rPr>
          <w:rFonts w:cs="Times New Roman"/>
          <w:szCs w:val="24"/>
          <w:lang w:val="sr-Cyrl-CS"/>
        </w:rPr>
        <w:t xml:space="preserve">Од </w:t>
      </w:r>
      <w:r w:rsidR="00506BC9" w:rsidRPr="00E84C93">
        <w:rPr>
          <w:rFonts w:cs="Times New Roman"/>
          <w:szCs w:val="24"/>
          <w:lang w:val="sr-Cyrl-CS"/>
        </w:rPr>
        <w:t xml:space="preserve">њиве </w:t>
      </w:r>
      <w:r w:rsidRPr="00E84C93">
        <w:rPr>
          <w:rFonts w:cs="Times New Roman"/>
          <w:szCs w:val="24"/>
          <w:lang w:val="sr-Cyrl-CS"/>
        </w:rPr>
        <w:t xml:space="preserve">до </w:t>
      </w:r>
      <w:r w:rsidR="00506BC9" w:rsidRPr="00E84C93">
        <w:rPr>
          <w:rFonts w:cs="Times New Roman"/>
          <w:szCs w:val="24"/>
          <w:lang w:val="sr-Cyrl-CS"/>
        </w:rPr>
        <w:t>трпезе</w:t>
      </w:r>
      <w:r w:rsidR="005D2FA9" w:rsidRPr="00E84C93">
        <w:rPr>
          <w:rFonts w:cs="Times New Roman"/>
          <w:szCs w:val="24"/>
          <w:lang w:val="sr-Cyrl-CS"/>
        </w:rPr>
        <w:t>”</w:t>
      </w:r>
      <w:r w:rsidR="00506BC9" w:rsidRPr="00E84C93">
        <w:rPr>
          <w:rFonts w:cs="Times New Roman"/>
          <w:szCs w:val="24"/>
          <w:lang w:val="sr-Cyrl-CS"/>
        </w:rPr>
        <w:t xml:space="preserve"> </w:t>
      </w:r>
      <w:r w:rsidRPr="00E84C93">
        <w:rPr>
          <w:rFonts w:cs="Times New Roman"/>
          <w:szCs w:val="24"/>
          <w:lang w:val="sr-Cyrl-CS"/>
        </w:rPr>
        <w:t>и са новом Заједничком пољопривредном политиком.</w:t>
      </w:r>
    </w:p>
    <w:p w14:paraId="5C21D6A1" w14:textId="77A95BF5"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Ова </w:t>
      </w:r>
      <w:r w:rsidR="005D2FA9" w:rsidRPr="00E84C93">
        <w:rPr>
          <w:rFonts w:cs="Times New Roman"/>
          <w:szCs w:val="24"/>
          <w:lang w:val="sr-Cyrl-CS"/>
        </w:rPr>
        <w:t>стр</w:t>
      </w:r>
      <w:r w:rsidRPr="00E84C93">
        <w:rPr>
          <w:rFonts w:cs="Times New Roman"/>
          <w:szCs w:val="24"/>
          <w:lang w:val="sr-Cyrl-CS"/>
        </w:rPr>
        <w:t>атегија такође се залаже за елиминисање загађења азотом и фосфором проистеклог из употребе ђубрива до 2030. године. Употреба</w:t>
      </w:r>
      <w:r w:rsidR="001B3C5D" w:rsidRPr="00E84C93">
        <w:rPr>
          <w:rFonts w:cs="Times New Roman"/>
          <w:szCs w:val="24"/>
          <w:lang w:val="sr-Cyrl-CS"/>
        </w:rPr>
        <w:t xml:space="preserve"> минералног</w:t>
      </w:r>
      <w:r w:rsidRPr="00E84C93">
        <w:rPr>
          <w:rFonts w:cs="Times New Roman"/>
          <w:szCs w:val="24"/>
          <w:lang w:val="sr-Cyrl-CS"/>
        </w:rPr>
        <w:t xml:space="preserve"> ђубрива треба да буде смањена барем за 20% у односу на садашњи ниво до 2030. године</w:t>
      </w:r>
      <w:bookmarkEnd w:id="3"/>
      <w:r w:rsidRPr="00E84C93">
        <w:rPr>
          <w:rFonts w:cs="Times New Roman"/>
          <w:szCs w:val="24"/>
          <w:lang w:val="sr-Cyrl-CS"/>
        </w:rPr>
        <w:t>.</w:t>
      </w:r>
    </w:p>
    <w:p w14:paraId="1933B6D5" w14:textId="27A0E98E"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Стратегија је најавила ажурирање Тематске стратегије за земљиште ЕУ из 2006. године у циљу решавања проблема </w:t>
      </w:r>
      <w:r w:rsidR="001B3C5D" w:rsidRPr="00E84C93">
        <w:rPr>
          <w:rFonts w:cs="Times New Roman"/>
          <w:szCs w:val="24"/>
          <w:lang w:val="sr-Cyrl-CS"/>
        </w:rPr>
        <w:t>смањења</w:t>
      </w:r>
      <w:r w:rsidRPr="00E84C93">
        <w:rPr>
          <w:rFonts w:cs="Times New Roman"/>
          <w:szCs w:val="24"/>
          <w:lang w:val="sr-Cyrl-CS"/>
        </w:rPr>
        <w:t xml:space="preserve"> квалитета земљишта и постизања </w:t>
      </w:r>
      <w:r w:rsidR="00BA5E35" w:rsidRPr="00E84C93">
        <w:rPr>
          <w:rFonts w:cs="Times New Roman"/>
          <w:szCs w:val="24"/>
          <w:lang w:val="sr-Cyrl-CS"/>
        </w:rPr>
        <w:t>нултог загађења</w:t>
      </w:r>
      <w:r w:rsidRPr="00E84C93">
        <w:rPr>
          <w:rFonts w:cs="Times New Roman"/>
          <w:szCs w:val="24"/>
          <w:lang w:val="sr-Cyrl-CS"/>
        </w:rPr>
        <w:t xml:space="preserve"> до 2030. године.</w:t>
      </w:r>
    </w:p>
    <w:p w14:paraId="57773142" w14:textId="50F27037" w:rsidR="00122A64" w:rsidRPr="00E84C93" w:rsidRDefault="006D3CAA" w:rsidP="00122A64">
      <w:pPr>
        <w:spacing w:after="0"/>
        <w:ind w:firstLine="720"/>
        <w:jc w:val="both"/>
        <w:rPr>
          <w:rFonts w:cs="Times New Roman"/>
          <w:szCs w:val="24"/>
          <w:lang w:val="sr-Cyrl-CS"/>
        </w:rPr>
      </w:pPr>
      <w:r w:rsidRPr="00E84C93">
        <w:rPr>
          <w:rFonts w:cs="Times New Roman"/>
          <w:b/>
          <w:bCs/>
          <w:szCs w:val="24"/>
          <w:lang w:val="sr-Cyrl-CS"/>
        </w:rPr>
        <w:t>Стратегија</w:t>
      </w:r>
      <w:r w:rsidR="005D2FA9" w:rsidRPr="00E84C93">
        <w:rPr>
          <w:rFonts w:cs="Times New Roman"/>
          <w:b/>
          <w:bCs/>
          <w:szCs w:val="24"/>
          <w:lang w:val="sr-Cyrl-CS"/>
        </w:rPr>
        <w:t xml:space="preserve"> Европске уније</w:t>
      </w:r>
      <w:r w:rsidRPr="00E84C93">
        <w:rPr>
          <w:rFonts w:cs="Times New Roman"/>
          <w:b/>
          <w:bCs/>
          <w:szCs w:val="24"/>
          <w:lang w:val="sr-Cyrl-CS"/>
        </w:rPr>
        <w:t xml:space="preserve"> </w:t>
      </w:r>
      <w:r w:rsidR="00506BC9" w:rsidRPr="00E84C93">
        <w:rPr>
          <w:rStyle w:val="bold"/>
          <w:b/>
          <w:bCs/>
          <w:lang w:val="sr-Cyrl-CS"/>
        </w:rPr>
        <w:t>,,Од њиве до трпезе” </w:t>
      </w:r>
      <w:r w:rsidRPr="00E84C93">
        <w:rPr>
          <w:rFonts w:cs="Times New Roman"/>
          <w:b/>
          <w:bCs/>
          <w:szCs w:val="24"/>
          <w:lang w:val="sr-Cyrl-CS"/>
        </w:rPr>
        <w:t>-</w:t>
      </w:r>
      <w:r w:rsidR="00122A64" w:rsidRPr="00E84C93">
        <w:rPr>
          <w:rFonts w:cs="Times New Roman"/>
          <w:szCs w:val="24"/>
          <w:lang w:val="sr-Cyrl-CS"/>
        </w:rPr>
        <w:t xml:space="preserve"> циљеви ЕУ су да се смањи еколошки и климатски отисак система исхране ЕУ и да се оснажи његова отпорност, да се обезбеди сигурност исхране с обзиром на климатске промене и губитак биодиверзитета, и да се предводи глобална транзиција ка конкурентној одрживости стратегије </w:t>
      </w:r>
      <w:r w:rsidR="00506BC9" w:rsidRPr="00E84C93">
        <w:rPr>
          <w:rStyle w:val="bold"/>
          <w:lang w:val="sr-Cyrl-CS"/>
        </w:rPr>
        <w:t>,,Од њиве до трпезе”</w:t>
      </w:r>
      <w:r w:rsidR="00506BC9" w:rsidRPr="00E84C93">
        <w:rPr>
          <w:rStyle w:val="bold"/>
          <w:b/>
          <w:bCs/>
          <w:lang w:val="sr-Cyrl-CS"/>
        </w:rPr>
        <w:t> </w:t>
      </w:r>
      <w:r w:rsidR="00122A64" w:rsidRPr="00E84C93">
        <w:rPr>
          <w:rFonts w:cs="Times New Roman"/>
          <w:szCs w:val="24"/>
          <w:lang w:val="sr-Cyrl-CS"/>
        </w:rPr>
        <w:t xml:space="preserve"> и коришћењу нових могућности.</w:t>
      </w:r>
      <w:r w:rsidR="0004065F" w:rsidRPr="00E84C93">
        <w:rPr>
          <w:rFonts w:cs="Times New Roman"/>
          <w:szCs w:val="24"/>
          <w:lang w:val="sr-Cyrl-CS"/>
        </w:rPr>
        <w:t xml:space="preserve"> </w:t>
      </w:r>
      <w:r w:rsidR="00122A64" w:rsidRPr="00E84C93">
        <w:rPr>
          <w:rFonts w:cs="Times New Roman"/>
          <w:szCs w:val="24"/>
          <w:lang w:val="sr-Cyrl-CS"/>
        </w:rPr>
        <w:t xml:space="preserve">Ова </w:t>
      </w:r>
      <w:r w:rsidR="00A67BCB" w:rsidRPr="00E84C93">
        <w:rPr>
          <w:rFonts w:cs="Times New Roman"/>
          <w:szCs w:val="24"/>
          <w:lang w:val="sr-Cyrl-CS"/>
        </w:rPr>
        <w:t>с</w:t>
      </w:r>
      <w:r w:rsidR="00122A64" w:rsidRPr="00E84C93">
        <w:rPr>
          <w:rFonts w:cs="Times New Roman"/>
          <w:szCs w:val="24"/>
          <w:lang w:val="sr-Cyrl-CS"/>
        </w:rPr>
        <w:t>тратегија залаже се за смањивање зависности од пестицида и антимикробних средстава, као и од претеране употребе</w:t>
      </w:r>
      <w:r w:rsidR="001B3C5D" w:rsidRPr="00E84C93">
        <w:rPr>
          <w:rFonts w:cs="Times New Roman"/>
          <w:szCs w:val="24"/>
          <w:lang w:val="sr-Cyrl-CS"/>
        </w:rPr>
        <w:t xml:space="preserve"> минералног</w:t>
      </w:r>
      <w:r w:rsidR="00122A64" w:rsidRPr="00E84C93">
        <w:rPr>
          <w:rFonts w:cs="Times New Roman"/>
          <w:szCs w:val="24"/>
          <w:lang w:val="sr-Cyrl-CS"/>
        </w:rPr>
        <w:t xml:space="preserve"> ђубрива, а за повећавање обима органске пољопривреде, унапређење добробити животиња и деловање против губитка биодиверзитета. Ова </w:t>
      </w:r>
      <w:r w:rsidR="00A67BCB" w:rsidRPr="00E84C93">
        <w:rPr>
          <w:rFonts w:cs="Times New Roman"/>
          <w:szCs w:val="24"/>
          <w:lang w:val="sr-Cyrl-CS"/>
        </w:rPr>
        <w:t>с</w:t>
      </w:r>
      <w:r w:rsidR="00122A64" w:rsidRPr="00E84C93">
        <w:rPr>
          <w:rFonts w:cs="Times New Roman"/>
          <w:szCs w:val="24"/>
          <w:lang w:val="sr-Cyrl-CS"/>
        </w:rPr>
        <w:t xml:space="preserve">тратегија наглашава значај смањивања нивоа загађења земљишта у циљу обезбеђивања еколошки погодног и здравог система исхране. Она такође промовише производњу биогаса од отпада и остатака, на пример, из прехрамбене индустрије и индустрије производње пића, </w:t>
      </w:r>
      <w:r w:rsidR="00A46967" w:rsidRPr="00E84C93">
        <w:rPr>
          <w:rFonts w:cs="Times New Roman"/>
          <w:szCs w:val="24"/>
          <w:lang w:val="sr-Cyrl-CS"/>
        </w:rPr>
        <w:t xml:space="preserve">муља од пречишћавања </w:t>
      </w:r>
      <w:r w:rsidR="00122A64" w:rsidRPr="00E84C93">
        <w:rPr>
          <w:rFonts w:cs="Times New Roman"/>
          <w:szCs w:val="24"/>
          <w:lang w:val="sr-Cyrl-CS"/>
        </w:rPr>
        <w:t xml:space="preserve">отпадних вода и </w:t>
      </w:r>
      <w:r w:rsidR="00255FDD" w:rsidRPr="00E84C93">
        <w:rPr>
          <w:rFonts w:cs="Times New Roman"/>
          <w:szCs w:val="24"/>
          <w:lang w:val="sr-Cyrl-CS"/>
        </w:rPr>
        <w:t>комуналног</w:t>
      </w:r>
      <w:r w:rsidR="00122A64" w:rsidRPr="00E84C93">
        <w:rPr>
          <w:rFonts w:cs="Times New Roman"/>
          <w:szCs w:val="24"/>
          <w:lang w:val="sr-Cyrl-CS"/>
        </w:rPr>
        <w:t xml:space="preserve"> отпада.</w:t>
      </w:r>
    </w:p>
    <w:p w14:paraId="12A9A3C5" w14:textId="26557CB1" w:rsidR="00122A64" w:rsidRPr="00E84C93" w:rsidRDefault="00A67BCB" w:rsidP="00122A64">
      <w:pPr>
        <w:spacing w:after="0"/>
        <w:ind w:firstLine="720"/>
        <w:jc w:val="both"/>
        <w:rPr>
          <w:rFonts w:cs="Times New Roman"/>
          <w:szCs w:val="24"/>
          <w:lang w:val="sr-Cyrl-CS"/>
        </w:rPr>
      </w:pPr>
      <w:r w:rsidRPr="00E84C93">
        <w:rPr>
          <w:rFonts w:cs="Times New Roman"/>
          <w:b/>
          <w:bCs/>
          <w:szCs w:val="24"/>
          <w:lang w:val="sr-Cyrl-CS"/>
        </w:rPr>
        <w:t xml:space="preserve">Акциони план </w:t>
      </w:r>
      <w:r w:rsidR="005E3504" w:rsidRPr="00E84C93">
        <w:rPr>
          <w:rFonts w:cs="Times New Roman"/>
          <w:b/>
          <w:bCs/>
          <w:szCs w:val="24"/>
          <w:lang w:val="sr-Cyrl-CS"/>
        </w:rPr>
        <w:t>ЕУ</w:t>
      </w:r>
      <w:r w:rsidRPr="00E84C93">
        <w:rPr>
          <w:rFonts w:cs="Times New Roman"/>
          <w:b/>
          <w:bCs/>
          <w:szCs w:val="24"/>
          <w:lang w:val="sr-Cyrl-CS"/>
        </w:rPr>
        <w:t>: „Ка нултом загађењ</w:t>
      </w:r>
      <w:r w:rsidR="005E3504" w:rsidRPr="00E84C93">
        <w:rPr>
          <w:rFonts w:cs="Times New Roman"/>
          <w:b/>
          <w:bCs/>
          <w:szCs w:val="24"/>
          <w:lang w:val="sr-Cyrl-CS"/>
        </w:rPr>
        <w:t>у</w:t>
      </w:r>
      <w:r w:rsidRPr="00E84C93">
        <w:rPr>
          <w:rFonts w:cs="Times New Roman"/>
          <w:b/>
          <w:bCs/>
          <w:szCs w:val="24"/>
          <w:lang w:val="sr-Cyrl-CS"/>
        </w:rPr>
        <w:t xml:space="preserve"> ваздуха, воде и земљишта” -</w:t>
      </w:r>
      <w:r w:rsidRPr="00E84C93">
        <w:rPr>
          <w:rFonts w:cs="Times New Roman"/>
          <w:szCs w:val="24"/>
          <w:lang w:val="sr-Cyrl-CS"/>
        </w:rPr>
        <w:t xml:space="preserve"> пројекција за нулти ниво загађења за 2050. годину представља опредељење да се загађење ваздуха, воде и земљишта смањи до нивоа који се више неће сматрати штетним за здравље и природне екосистеме, којим се поштују границе загађења које наша планета може природно да пречисти, чиме треба да се постигне да животна средина буде ослобођена штетних материја</w:t>
      </w:r>
      <w:r w:rsidR="00122A64" w:rsidRPr="00E84C93">
        <w:rPr>
          <w:rFonts w:cs="Times New Roman"/>
          <w:szCs w:val="24"/>
          <w:lang w:val="sr-Cyrl-CS"/>
        </w:rPr>
        <w:t>.</w:t>
      </w:r>
    </w:p>
    <w:p w14:paraId="10FC7A89" w14:textId="1041C355"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Акциони планови одређују неколико циљева у сврху убрзавања смањивања нивоа загађења на извору, који укључују побољшање квалитета земљишта смањивањем губитка </w:t>
      </w:r>
      <w:r w:rsidR="00A843ED" w:rsidRPr="00E84C93">
        <w:rPr>
          <w:rFonts w:cs="Times New Roman"/>
          <w:szCs w:val="24"/>
          <w:lang w:val="sr-Cyrl-CS"/>
        </w:rPr>
        <w:t>нутријената</w:t>
      </w:r>
      <w:r w:rsidRPr="00E84C93">
        <w:rPr>
          <w:rFonts w:cs="Times New Roman"/>
          <w:szCs w:val="24"/>
          <w:lang w:val="sr-Cyrl-CS"/>
        </w:rPr>
        <w:t xml:space="preserve"> и употребе хемијских пестицида за 50%, смањивањем производње отпада у значајној мери, као и резидуалног </w:t>
      </w:r>
      <w:r w:rsidR="00255FDD" w:rsidRPr="00E84C93">
        <w:rPr>
          <w:rFonts w:cs="Times New Roman"/>
          <w:szCs w:val="24"/>
          <w:lang w:val="sr-Cyrl-CS"/>
        </w:rPr>
        <w:t>комуналног</w:t>
      </w:r>
      <w:r w:rsidRPr="00E84C93">
        <w:rPr>
          <w:rFonts w:cs="Times New Roman"/>
          <w:szCs w:val="24"/>
          <w:lang w:val="sr-Cyrl-CS"/>
        </w:rPr>
        <w:t xml:space="preserve"> отпада за 50%.</w:t>
      </w:r>
    </w:p>
    <w:p w14:paraId="40F59590" w14:textId="14629726"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lastRenderedPageBreak/>
        <w:t xml:space="preserve">У Анексу 1 Плана, међу акцијама које су неопходне да би се остварили циљеви релевантни за смањивање загађења, налази се и ревизија Директиве о </w:t>
      </w:r>
      <w:r w:rsidR="005F006D" w:rsidRPr="00E84C93">
        <w:rPr>
          <w:rFonts w:cs="Times New Roman"/>
          <w:szCs w:val="24"/>
          <w:lang w:val="sr-Cyrl-CS"/>
        </w:rPr>
        <w:t>пречишћавању</w:t>
      </w:r>
      <w:r w:rsidRPr="00E84C93">
        <w:rPr>
          <w:rFonts w:cs="Times New Roman"/>
          <w:szCs w:val="24"/>
          <w:lang w:val="sr-Cyrl-CS"/>
        </w:rPr>
        <w:t xml:space="preserve"> </w:t>
      </w:r>
      <w:r w:rsidR="005F006D" w:rsidRPr="00E84C93">
        <w:rPr>
          <w:rFonts w:cs="Times New Roman"/>
          <w:szCs w:val="24"/>
          <w:lang w:val="sr-Cyrl-CS"/>
        </w:rPr>
        <w:t>комуналних</w:t>
      </w:r>
      <w:r w:rsidRPr="00E84C93">
        <w:rPr>
          <w:rFonts w:cs="Times New Roman"/>
          <w:szCs w:val="24"/>
          <w:lang w:val="sr-Cyrl-CS"/>
        </w:rPr>
        <w:t xml:space="preserve"> отпадних вода, у синергији са разматрањем Директиве о индустријским емисијама и проценом Директиве о </w:t>
      </w:r>
      <w:r w:rsidR="00255FDD" w:rsidRPr="00E84C93">
        <w:rPr>
          <w:rFonts w:cs="Times New Roman"/>
          <w:szCs w:val="24"/>
          <w:lang w:val="sr-Cyrl-CS"/>
        </w:rPr>
        <w:t xml:space="preserve">муљу из постројења за пречишћавање отпадних вода </w:t>
      </w:r>
      <w:r w:rsidRPr="00E84C93">
        <w:rPr>
          <w:rFonts w:cs="Times New Roman"/>
          <w:szCs w:val="24"/>
          <w:lang w:val="sr-Cyrl-CS"/>
        </w:rPr>
        <w:t>до 2022. године.</w:t>
      </w:r>
    </w:p>
    <w:p w14:paraId="6143A31E" w14:textId="3BFB49F5" w:rsidR="00A67BCB" w:rsidRPr="00E84C93" w:rsidRDefault="005E3504" w:rsidP="00A67BCB">
      <w:pPr>
        <w:spacing w:after="0"/>
        <w:ind w:firstLine="720"/>
        <w:jc w:val="both"/>
        <w:rPr>
          <w:rFonts w:cs="Times New Roman"/>
          <w:szCs w:val="24"/>
          <w:lang w:val="sr-Cyrl-CS"/>
        </w:rPr>
      </w:pPr>
      <w:r w:rsidRPr="00E84C93">
        <w:rPr>
          <w:rFonts w:cs="Times New Roman"/>
          <w:b/>
          <w:bCs/>
          <w:szCs w:val="24"/>
          <w:lang w:val="sr-Cyrl-CS"/>
        </w:rPr>
        <w:t>З</w:t>
      </w:r>
      <w:r w:rsidR="00122A64" w:rsidRPr="00E84C93">
        <w:rPr>
          <w:rFonts w:cs="Times New Roman"/>
          <w:b/>
          <w:bCs/>
          <w:szCs w:val="24"/>
          <w:lang w:val="sr-Cyrl-CS"/>
        </w:rPr>
        <w:t>аједничка пољопривредна политика</w:t>
      </w:r>
      <w:r w:rsidRPr="00E84C93">
        <w:rPr>
          <w:rFonts w:cs="Times New Roman"/>
          <w:b/>
          <w:bCs/>
          <w:szCs w:val="24"/>
          <w:lang w:val="sr-Cyrl-CS"/>
        </w:rPr>
        <w:t xml:space="preserve"> Европске уније (ЗПП)</w:t>
      </w:r>
      <w:r w:rsidR="00122A64" w:rsidRPr="00E84C93">
        <w:rPr>
          <w:rFonts w:cs="Times New Roman"/>
          <w:b/>
          <w:bCs/>
          <w:szCs w:val="24"/>
          <w:lang w:val="sr-Cyrl-CS"/>
        </w:rPr>
        <w:t xml:space="preserve"> 202</w:t>
      </w:r>
      <w:r w:rsidR="0051545A" w:rsidRPr="00E84C93">
        <w:rPr>
          <w:rFonts w:cs="Times New Roman"/>
          <w:b/>
          <w:bCs/>
          <w:szCs w:val="24"/>
          <w:lang w:val="sr-Cyrl-CS"/>
        </w:rPr>
        <w:t>2</w:t>
      </w:r>
      <w:r w:rsidR="00122A64" w:rsidRPr="00E84C93">
        <w:rPr>
          <w:rFonts w:cs="Times New Roman"/>
          <w:b/>
          <w:bCs/>
          <w:szCs w:val="24"/>
          <w:lang w:val="sr-Cyrl-CS"/>
        </w:rPr>
        <w:t>-</w:t>
      </w:r>
      <w:r w:rsidR="005F006D" w:rsidRPr="00E84C93">
        <w:rPr>
          <w:rFonts w:cs="Times New Roman"/>
          <w:b/>
          <w:bCs/>
          <w:szCs w:val="24"/>
          <w:lang w:val="sr-Cyrl-CS"/>
        </w:rPr>
        <w:t>20</w:t>
      </w:r>
      <w:r w:rsidR="00122A64" w:rsidRPr="00E84C93">
        <w:rPr>
          <w:rFonts w:cs="Times New Roman"/>
          <w:b/>
          <w:bCs/>
          <w:szCs w:val="24"/>
          <w:lang w:val="sr-Cyrl-CS"/>
        </w:rPr>
        <w:t>27.</w:t>
      </w:r>
      <w:r w:rsidR="006D3CAA" w:rsidRPr="00E84C93">
        <w:rPr>
          <w:rFonts w:cs="Times New Roman"/>
          <w:szCs w:val="24"/>
          <w:lang w:val="sr-Cyrl-CS"/>
        </w:rPr>
        <w:t xml:space="preserve"> </w:t>
      </w:r>
      <w:r w:rsidR="005F006D" w:rsidRPr="00E84C93">
        <w:rPr>
          <w:rFonts w:cs="Times New Roman"/>
          <w:szCs w:val="24"/>
          <w:lang w:val="sr-Cyrl-CS"/>
        </w:rPr>
        <w:t>објављена је</w:t>
      </w:r>
      <w:r w:rsidR="00122A64" w:rsidRPr="00E84C93">
        <w:rPr>
          <w:rFonts w:cs="Times New Roman"/>
          <w:szCs w:val="24"/>
          <w:lang w:val="sr-Cyrl-CS"/>
        </w:rPr>
        <w:t xml:space="preserve"> 2021. године,</w:t>
      </w:r>
      <w:r w:rsidR="005F006D" w:rsidRPr="00E84C93">
        <w:rPr>
          <w:rFonts w:cs="Times New Roman"/>
          <w:szCs w:val="24"/>
          <w:lang w:val="sr-Cyrl-CS"/>
        </w:rPr>
        <w:t xml:space="preserve"> </w:t>
      </w:r>
      <w:r w:rsidR="00A67BCB" w:rsidRPr="00E84C93">
        <w:rPr>
          <w:rFonts w:cs="Times New Roman"/>
          <w:szCs w:val="24"/>
          <w:lang w:val="sr-Cyrl-CS"/>
        </w:rPr>
        <w:t>р</w:t>
      </w:r>
      <w:r w:rsidR="00122A64" w:rsidRPr="00E84C93">
        <w:rPr>
          <w:rFonts w:cs="Times New Roman"/>
          <w:szCs w:val="24"/>
          <w:lang w:val="sr-Cyrl-CS"/>
        </w:rPr>
        <w:t xml:space="preserve">еформисана </w:t>
      </w:r>
      <w:r w:rsidR="005F006D" w:rsidRPr="00E84C93">
        <w:rPr>
          <w:rFonts w:cs="Times New Roman"/>
          <w:szCs w:val="24"/>
          <w:lang w:val="sr-Cyrl-CS"/>
        </w:rPr>
        <w:t xml:space="preserve">Заједничка пољопривредна политика </w:t>
      </w:r>
      <w:r w:rsidR="00122A64" w:rsidRPr="00E84C93">
        <w:rPr>
          <w:rFonts w:cs="Times New Roman"/>
          <w:szCs w:val="24"/>
          <w:lang w:val="sr-Cyrl-CS"/>
        </w:rPr>
        <w:t xml:space="preserve">је од суштинског значаја за циљеве зацртане Европским </w:t>
      </w:r>
      <w:r w:rsidR="00C927F6" w:rsidRPr="00E84C93">
        <w:rPr>
          <w:rFonts w:cs="Times New Roman"/>
          <w:szCs w:val="24"/>
          <w:lang w:val="sr-Cyrl-CS"/>
        </w:rPr>
        <w:t>з</w:t>
      </w:r>
      <w:r w:rsidR="00122A64" w:rsidRPr="00E84C93">
        <w:rPr>
          <w:rFonts w:cs="Times New Roman"/>
          <w:szCs w:val="24"/>
          <w:lang w:val="sr-Cyrl-CS"/>
        </w:rPr>
        <w:t xml:space="preserve">еленим </w:t>
      </w:r>
      <w:r w:rsidR="00113638" w:rsidRPr="00E84C93">
        <w:rPr>
          <w:rFonts w:cs="Times New Roman"/>
          <w:szCs w:val="24"/>
          <w:lang w:val="sr-Cyrl-CS"/>
        </w:rPr>
        <w:t>договором</w:t>
      </w:r>
      <w:r w:rsidR="00122A64" w:rsidRPr="00E84C93">
        <w:rPr>
          <w:rFonts w:cs="Times New Roman"/>
          <w:szCs w:val="24"/>
          <w:lang w:val="sr-Cyrl-CS"/>
        </w:rPr>
        <w:t>, и она ће у великој мери допринети остваривању циљева стратегиј</w:t>
      </w:r>
      <w:r w:rsidR="005F006D" w:rsidRPr="00E84C93">
        <w:rPr>
          <w:rFonts w:cs="Times New Roman"/>
          <w:szCs w:val="24"/>
          <w:lang w:val="sr-Cyrl-CS"/>
        </w:rPr>
        <w:t>е</w:t>
      </w:r>
      <w:r w:rsidR="00122A64" w:rsidRPr="00E84C93">
        <w:rPr>
          <w:rFonts w:cs="Times New Roman"/>
          <w:szCs w:val="24"/>
          <w:lang w:val="sr-Cyrl-CS"/>
        </w:rPr>
        <w:t xml:space="preserve"> </w:t>
      </w:r>
      <w:r w:rsidR="00506BC9" w:rsidRPr="00E84C93">
        <w:rPr>
          <w:rStyle w:val="bold"/>
          <w:lang w:val="sr-Cyrl-CS"/>
        </w:rPr>
        <w:t>,,Од њиве до трпезе”</w:t>
      </w:r>
      <w:r w:rsidR="00506BC9" w:rsidRPr="00E84C93">
        <w:rPr>
          <w:rStyle w:val="bold"/>
          <w:b/>
          <w:bCs/>
          <w:lang w:val="sr-Cyrl-CS"/>
        </w:rPr>
        <w:t> </w:t>
      </w:r>
      <w:r w:rsidR="00A67BCB" w:rsidRPr="00E84C93">
        <w:rPr>
          <w:rFonts w:cs="Times New Roman"/>
          <w:szCs w:val="24"/>
          <w:lang w:val="sr-Cyrl-CS"/>
        </w:rPr>
        <w:t>и Стр</w:t>
      </w:r>
      <w:r w:rsidR="00E27322" w:rsidRPr="00E84C93">
        <w:rPr>
          <w:rFonts w:cs="Times New Roman"/>
          <w:szCs w:val="24"/>
          <w:lang w:val="sr-Cyrl-CS"/>
        </w:rPr>
        <w:t>а</w:t>
      </w:r>
      <w:r w:rsidR="00A67BCB" w:rsidRPr="00E84C93">
        <w:rPr>
          <w:rFonts w:cs="Times New Roman"/>
          <w:szCs w:val="24"/>
          <w:lang w:val="sr-Cyrl-CS"/>
        </w:rPr>
        <w:t>тегије о биодиверзитету. Земље чланице ЕУ, у складу са овом заје</w:t>
      </w:r>
      <w:r w:rsidR="00E27322" w:rsidRPr="00E84C93">
        <w:rPr>
          <w:rFonts w:cs="Times New Roman"/>
          <w:szCs w:val="24"/>
          <w:lang w:val="sr-Cyrl-CS"/>
        </w:rPr>
        <w:t>д</w:t>
      </w:r>
      <w:r w:rsidR="00A67BCB" w:rsidRPr="00E84C93">
        <w:rPr>
          <w:rFonts w:cs="Times New Roman"/>
          <w:szCs w:val="24"/>
          <w:lang w:val="sr-Cyrl-CS"/>
        </w:rPr>
        <w:t>ничком политиком, треба да поставе сопствене амбициозније циљеве у области заштите животне средине и климатских промена у поређењу са претходним програмским периодом, и од њих</w:t>
      </w:r>
      <w:r w:rsidR="00A46967" w:rsidRPr="00E84C93">
        <w:rPr>
          <w:rFonts w:cs="Times New Roman"/>
          <w:szCs w:val="24"/>
          <w:lang w:val="sr-Cyrl-CS"/>
        </w:rPr>
        <w:t xml:space="preserve"> </w:t>
      </w:r>
      <w:r w:rsidR="00A67BCB" w:rsidRPr="00E84C93">
        <w:rPr>
          <w:rFonts w:cs="Times New Roman"/>
          <w:szCs w:val="24"/>
          <w:lang w:val="sr-Cyrl-CS"/>
        </w:rPr>
        <w:t xml:space="preserve">се очекује да ажурирају план када буде модификована законска регулатива која се односи на климу и заштиту животне средине. Осим тога, плаћања корисника Заједничке пољопривредне политике ће бити повезана са низом појачаних захтева који се обавезно морају испунити, а најмање 25% буџета за директна плаћања биће опредељено за еколошке планове, чиме ће се пружити снажнији подстицаји за пољопривредне праксе и приступе који повољније утичу на климу и заштиту животне средине. </w:t>
      </w:r>
    </w:p>
    <w:p w14:paraId="3892FEF2" w14:textId="3B5DD7CE" w:rsidR="00122A64" w:rsidRPr="00E84C93" w:rsidRDefault="00A67BCB" w:rsidP="00A67BCB">
      <w:pPr>
        <w:spacing w:after="0"/>
        <w:ind w:firstLine="720"/>
        <w:jc w:val="both"/>
        <w:rPr>
          <w:rFonts w:cs="Times New Roman"/>
          <w:szCs w:val="24"/>
          <w:lang w:val="sr-Cyrl-CS"/>
        </w:rPr>
      </w:pPr>
      <w:r w:rsidRPr="00E84C93">
        <w:rPr>
          <w:rFonts w:cs="Times New Roman"/>
          <w:szCs w:val="24"/>
          <w:lang w:val="sr-Cyrl-CS"/>
        </w:rPr>
        <w:t>До сада су буџетска средства у износу од 35% била намењена развоју руралних региона</w:t>
      </w:r>
      <w:r w:rsidR="005E3504" w:rsidRPr="00E84C93">
        <w:rPr>
          <w:rFonts w:cs="Times New Roman"/>
          <w:szCs w:val="24"/>
          <w:lang w:val="sr-Cyrl-CS"/>
        </w:rPr>
        <w:t xml:space="preserve">, </w:t>
      </w:r>
      <w:r w:rsidRPr="00E84C93">
        <w:rPr>
          <w:rFonts w:cs="Times New Roman"/>
          <w:szCs w:val="24"/>
          <w:lang w:val="sr-Cyrl-CS"/>
        </w:rPr>
        <w:t>мерама за подршку климатској ситуацији, биодиверзитету, заштити животне средине и добробити животиња. Сада средства у износу од 40% буџета Заједничке пољопривредне политике морају</w:t>
      </w:r>
      <w:r w:rsidR="00C53EF4" w:rsidRPr="00E84C93">
        <w:rPr>
          <w:rFonts w:cs="Times New Roman"/>
          <w:szCs w:val="24"/>
          <w:lang w:val="sr-Cyrl-CS"/>
        </w:rPr>
        <w:t xml:space="preserve"> </w:t>
      </w:r>
      <w:r w:rsidRPr="00E84C93">
        <w:rPr>
          <w:rFonts w:cs="Times New Roman"/>
          <w:szCs w:val="24"/>
          <w:lang w:val="sr-Cyrl-CS"/>
        </w:rPr>
        <w:t>бити опредељена</w:t>
      </w:r>
      <w:r w:rsidR="00C53EF4" w:rsidRPr="00E84C93">
        <w:rPr>
          <w:rFonts w:cs="Times New Roman"/>
          <w:szCs w:val="24"/>
          <w:lang w:val="sr-Cyrl-CS"/>
        </w:rPr>
        <w:t xml:space="preserve"> </w:t>
      </w:r>
      <w:r w:rsidRPr="00E84C93">
        <w:rPr>
          <w:rFonts w:cs="Times New Roman"/>
          <w:szCs w:val="24"/>
          <w:lang w:val="sr-Cyrl-CS"/>
        </w:rPr>
        <w:t>за климатске прилике и обавеза је да чланице у значајној мери подржавају општу опредељеност да 10% буџета ЕУ буде додељено за остваривање циљева у вези са биодиверзитетом до истека периода вишегодишњег финансијског оквира ЕУ</w:t>
      </w:r>
      <w:r w:rsidR="00122A64" w:rsidRPr="00E84C93">
        <w:rPr>
          <w:rFonts w:cs="Times New Roman"/>
          <w:szCs w:val="24"/>
          <w:lang w:val="sr-Cyrl-CS"/>
        </w:rPr>
        <w:t xml:space="preserve">. </w:t>
      </w:r>
    </w:p>
    <w:p w14:paraId="36F72F0A" w14:textId="70AAB029" w:rsidR="00122A64" w:rsidRPr="00E84C93" w:rsidRDefault="00732DA1" w:rsidP="00122A64">
      <w:pPr>
        <w:spacing w:after="0"/>
        <w:ind w:firstLine="720"/>
        <w:jc w:val="both"/>
        <w:rPr>
          <w:rFonts w:cs="Times New Roman"/>
          <w:szCs w:val="24"/>
          <w:lang w:val="sr-Cyrl-CS" w:bidi="en-US"/>
        </w:rPr>
      </w:pPr>
      <w:r w:rsidRPr="00E84C93">
        <w:rPr>
          <w:rFonts w:cs="Times New Roman"/>
          <w:b/>
          <w:bCs/>
          <w:szCs w:val="24"/>
          <w:lang w:val="sr-Cyrl-CS" w:bidi="en-US"/>
        </w:rPr>
        <w:t>Декларација</w:t>
      </w:r>
      <w:r w:rsidR="005E3504" w:rsidRPr="00E84C93">
        <w:rPr>
          <w:rFonts w:cs="Times New Roman"/>
          <w:b/>
          <w:bCs/>
          <w:szCs w:val="24"/>
          <w:lang w:val="sr-Cyrl-CS" w:bidi="en-US"/>
        </w:rPr>
        <w:t xml:space="preserve"> из Софије</w:t>
      </w:r>
      <w:r w:rsidRPr="00E84C93">
        <w:rPr>
          <w:rFonts w:cs="Times New Roman"/>
          <w:b/>
          <w:bCs/>
          <w:szCs w:val="24"/>
          <w:lang w:val="sr-Cyrl-CS" w:bidi="en-US"/>
        </w:rPr>
        <w:t xml:space="preserve"> </w:t>
      </w:r>
      <w:r w:rsidR="00122A64" w:rsidRPr="00E84C93">
        <w:rPr>
          <w:rFonts w:cs="Times New Roman"/>
          <w:b/>
          <w:bCs/>
          <w:szCs w:val="24"/>
          <w:lang w:val="sr-Cyrl-CS" w:bidi="en-US"/>
        </w:rPr>
        <w:t xml:space="preserve">о </w:t>
      </w:r>
      <w:r w:rsidR="005E3504" w:rsidRPr="00E84C93">
        <w:rPr>
          <w:rFonts w:cs="Times New Roman"/>
          <w:b/>
          <w:bCs/>
          <w:szCs w:val="24"/>
          <w:lang w:val="sr-Cyrl-CS" w:bidi="en-US"/>
        </w:rPr>
        <w:t>З</w:t>
      </w:r>
      <w:r w:rsidR="00122A64" w:rsidRPr="00E84C93">
        <w:rPr>
          <w:rFonts w:cs="Times New Roman"/>
          <w:b/>
          <w:bCs/>
          <w:szCs w:val="24"/>
          <w:lang w:val="sr-Cyrl-CS" w:bidi="en-US"/>
        </w:rPr>
        <w:t>еленој агенди за Западни Балкан</w:t>
      </w:r>
      <w:r w:rsidR="006D3CAA" w:rsidRPr="00E84C93">
        <w:rPr>
          <w:rFonts w:cs="Times New Roman"/>
          <w:szCs w:val="24"/>
          <w:lang w:val="sr-Cyrl-CS" w:bidi="en-US"/>
        </w:rPr>
        <w:t xml:space="preserve"> -</w:t>
      </w:r>
      <w:r w:rsidR="00122A64" w:rsidRPr="00E84C93">
        <w:rPr>
          <w:rFonts w:cs="Times New Roman"/>
          <w:szCs w:val="24"/>
          <w:lang w:val="sr-Cyrl-CS" w:bidi="en-US"/>
        </w:rPr>
        <w:t xml:space="preserve"> донета је у Софији 2020. године, на Самиту Западног Балкана, одржаном у оквиру Берлинског процеса.</w:t>
      </w:r>
      <w:r w:rsidR="00654902" w:rsidRPr="00E84C93">
        <w:rPr>
          <w:rFonts w:cs="Times New Roman"/>
          <w:szCs w:val="24"/>
          <w:lang w:val="sr-Cyrl-CS" w:bidi="en-US"/>
        </w:rPr>
        <w:t xml:space="preserve"> </w:t>
      </w:r>
      <w:r w:rsidR="00122A64" w:rsidRPr="00E84C93">
        <w:rPr>
          <w:rFonts w:cs="Times New Roman"/>
          <w:szCs w:val="24"/>
          <w:lang w:val="sr-Cyrl-CS" w:bidi="en-US"/>
        </w:rPr>
        <w:t xml:space="preserve">Вође земаља из региона Западног Балкана остварили су значајан корак напред подржавши Декларацију балканских лидера о </w:t>
      </w:r>
      <w:r w:rsidR="003D3E7B" w:rsidRPr="00E84C93">
        <w:rPr>
          <w:rFonts w:cs="Times New Roman"/>
          <w:szCs w:val="24"/>
          <w:lang w:val="sr-Cyrl-CS" w:bidi="en-US"/>
        </w:rPr>
        <w:t>з</w:t>
      </w:r>
      <w:r w:rsidR="00122A64" w:rsidRPr="00E84C93">
        <w:rPr>
          <w:rFonts w:cs="Times New Roman"/>
          <w:szCs w:val="24"/>
          <w:lang w:val="sr-Cyrl-CS" w:bidi="en-US"/>
        </w:rPr>
        <w:t xml:space="preserve">еленој агенди, која је у складу са </w:t>
      </w:r>
      <w:r w:rsidR="003D3E7B" w:rsidRPr="00E84C93">
        <w:rPr>
          <w:rFonts w:cs="Times New Roman"/>
          <w:szCs w:val="24"/>
          <w:lang w:val="sr-Cyrl-CS" w:bidi="en-US"/>
        </w:rPr>
        <w:t xml:space="preserve">Европским зеленим </w:t>
      </w:r>
      <w:r w:rsidR="00113638" w:rsidRPr="00E84C93">
        <w:rPr>
          <w:rFonts w:cs="Times New Roman"/>
          <w:szCs w:val="24"/>
          <w:lang w:val="sr-Cyrl-CS" w:bidi="en-US"/>
        </w:rPr>
        <w:t>договором</w:t>
      </w:r>
      <w:r w:rsidR="00122A64" w:rsidRPr="00E84C93">
        <w:rPr>
          <w:rFonts w:cs="Times New Roman"/>
          <w:szCs w:val="24"/>
          <w:lang w:val="sr-Cyrl-CS" w:bidi="en-US"/>
        </w:rPr>
        <w:t xml:space="preserve">. Декларација треба да подржи и убрза промене и процесе у региону чији је кровни циљ деловање у циљу решавања проблема климатских промена и спровођење акција у оквиру следећих </w:t>
      </w:r>
      <w:r w:rsidR="006D3CAA" w:rsidRPr="00E84C93">
        <w:rPr>
          <w:rFonts w:cs="Times New Roman"/>
          <w:szCs w:val="24"/>
          <w:lang w:val="sr-Cyrl-CS" w:bidi="en-US"/>
        </w:rPr>
        <w:t>пет</w:t>
      </w:r>
      <w:r w:rsidR="00122A64" w:rsidRPr="00E84C93">
        <w:rPr>
          <w:rFonts w:cs="Times New Roman"/>
          <w:szCs w:val="24"/>
          <w:lang w:val="sr-Cyrl-CS" w:bidi="en-US"/>
        </w:rPr>
        <w:t xml:space="preserve"> стубова:</w:t>
      </w:r>
    </w:p>
    <w:p w14:paraId="43D464AE" w14:textId="51A14884" w:rsidR="00122A64" w:rsidRPr="00E84C93" w:rsidRDefault="00122A64" w:rsidP="00A279CD">
      <w:pPr>
        <w:pStyle w:val="ListParagraph"/>
        <w:numPr>
          <w:ilvl w:val="0"/>
          <w:numId w:val="3"/>
        </w:numPr>
        <w:spacing w:after="0"/>
        <w:jc w:val="both"/>
        <w:rPr>
          <w:rFonts w:cs="Times New Roman"/>
          <w:szCs w:val="24"/>
          <w:lang w:val="sr-Cyrl-CS" w:bidi="en-US"/>
        </w:rPr>
      </w:pPr>
      <w:r w:rsidRPr="00E84C93">
        <w:rPr>
          <w:rFonts w:cs="Times New Roman"/>
          <w:szCs w:val="24"/>
          <w:lang w:val="sr-Cyrl-CS" w:bidi="en-US"/>
        </w:rPr>
        <w:t>клима, енерг</w:t>
      </w:r>
      <w:r w:rsidR="00A279CD" w:rsidRPr="00E84C93">
        <w:rPr>
          <w:rFonts w:cs="Times New Roman"/>
          <w:szCs w:val="24"/>
          <w:lang w:val="sr-Cyrl-CS" w:bidi="en-US"/>
        </w:rPr>
        <w:t>етика</w:t>
      </w:r>
      <w:r w:rsidR="002B4A79" w:rsidRPr="00E84C93">
        <w:rPr>
          <w:rFonts w:cs="Times New Roman"/>
          <w:szCs w:val="24"/>
          <w:lang w:val="sr-Cyrl-CS" w:bidi="en-US"/>
        </w:rPr>
        <w:t>, мобилност;</w:t>
      </w:r>
    </w:p>
    <w:p w14:paraId="46273D14" w14:textId="67EC6D6C" w:rsidR="00122A64" w:rsidRPr="00E84C93" w:rsidRDefault="002B4A79" w:rsidP="00DF360D">
      <w:pPr>
        <w:pStyle w:val="ListParagraph"/>
        <w:numPr>
          <w:ilvl w:val="0"/>
          <w:numId w:val="3"/>
        </w:numPr>
        <w:spacing w:after="0"/>
        <w:jc w:val="both"/>
        <w:rPr>
          <w:rFonts w:cs="Times New Roman"/>
          <w:szCs w:val="24"/>
          <w:lang w:val="sr-Cyrl-CS" w:bidi="en-US"/>
        </w:rPr>
      </w:pPr>
      <w:r w:rsidRPr="00E84C93">
        <w:rPr>
          <w:rFonts w:cs="Times New Roman"/>
          <w:szCs w:val="24"/>
          <w:lang w:val="sr-Cyrl-CS" w:bidi="en-US"/>
        </w:rPr>
        <w:t>циркуларна економија;</w:t>
      </w:r>
    </w:p>
    <w:p w14:paraId="6A5F083F" w14:textId="5F8B8AC7" w:rsidR="00122A64" w:rsidRPr="00E84C93" w:rsidRDefault="00A279CD" w:rsidP="00DF360D">
      <w:pPr>
        <w:pStyle w:val="ListParagraph"/>
        <w:numPr>
          <w:ilvl w:val="0"/>
          <w:numId w:val="3"/>
        </w:numPr>
        <w:spacing w:after="0"/>
        <w:jc w:val="both"/>
        <w:rPr>
          <w:rFonts w:cs="Times New Roman"/>
          <w:szCs w:val="24"/>
          <w:lang w:val="sr-Cyrl-CS" w:bidi="en-US"/>
        </w:rPr>
      </w:pPr>
      <w:r w:rsidRPr="00E84C93">
        <w:rPr>
          <w:rFonts w:cs="Times New Roman"/>
          <w:szCs w:val="24"/>
          <w:lang w:val="sr-Cyrl-CS" w:bidi="en-US"/>
        </w:rPr>
        <w:t>смањење</w:t>
      </w:r>
      <w:r w:rsidR="002B4A79" w:rsidRPr="00E84C93">
        <w:rPr>
          <w:rFonts w:cs="Times New Roman"/>
          <w:szCs w:val="24"/>
          <w:lang w:val="sr-Cyrl-CS" w:bidi="en-US"/>
        </w:rPr>
        <w:t xml:space="preserve"> загађења;</w:t>
      </w:r>
    </w:p>
    <w:p w14:paraId="5ACC4CE0" w14:textId="73A60D7A" w:rsidR="00122A64" w:rsidRPr="00E84C93" w:rsidRDefault="00122A64" w:rsidP="00DF360D">
      <w:pPr>
        <w:pStyle w:val="ListParagraph"/>
        <w:numPr>
          <w:ilvl w:val="0"/>
          <w:numId w:val="3"/>
        </w:numPr>
        <w:spacing w:after="0"/>
        <w:jc w:val="both"/>
        <w:rPr>
          <w:rFonts w:cs="Times New Roman"/>
          <w:szCs w:val="24"/>
          <w:lang w:val="sr-Cyrl-CS" w:bidi="en-US"/>
        </w:rPr>
      </w:pPr>
      <w:r w:rsidRPr="00E84C93">
        <w:rPr>
          <w:rFonts w:cs="Times New Roman"/>
          <w:szCs w:val="24"/>
          <w:lang w:val="sr-Cyrl-CS" w:bidi="en-US"/>
        </w:rPr>
        <w:t>одржива пољопривред</w:t>
      </w:r>
      <w:r w:rsidR="00A279CD" w:rsidRPr="00E84C93">
        <w:rPr>
          <w:rFonts w:cs="Times New Roman"/>
          <w:szCs w:val="24"/>
          <w:lang w:val="sr-Cyrl-CS" w:bidi="en-US"/>
        </w:rPr>
        <w:t>н</w:t>
      </w:r>
      <w:r w:rsidRPr="00E84C93">
        <w:rPr>
          <w:rFonts w:cs="Times New Roman"/>
          <w:szCs w:val="24"/>
          <w:lang w:val="sr-Cyrl-CS" w:bidi="en-US"/>
        </w:rPr>
        <w:t xml:space="preserve">а и </w:t>
      </w:r>
      <w:r w:rsidR="00A279CD" w:rsidRPr="00E84C93">
        <w:rPr>
          <w:rFonts w:cs="Times New Roman"/>
          <w:szCs w:val="24"/>
          <w:lang w:val="sr-Cyrl-CS" w:bidi="en-US"/>
        </w:rPr>
        <w:t xml:space="preserve">прехрамбена </w:t>
      </w:r>
      <w:r w:rsidR="002B4A79" w:rsidRPr="00E84C93">
        <w:rPr>
          <w:rFonts w:cs="Times New Roman"/>
          <w:szCs w:val="24"/>
          <w:lang w:val="sr-Cyrl-CS" w:bidi="en-US"/>
        </w:rPr>
        <w:t>производња;</w:t>
      </w:r>
    </w:p>
    <w:p w14:paraId="6AAE0E1B" w14:textId="10BA0D86" w:rsidR="00122A64" w:rsidRPr="00E84C93" w:rsidRDefault="00122A64" w:rsidP="00DF360D">
      <w:pPr>
        <w:pStyle w:val="ListParagraph"/>
        <w:numPr>
          <w:ilvl w:val="0"/>
          <w:numId w:val="3"/>
        </w:numPr>
        <w:spacing w:after="0"/>
        <w:jc w:val="both"/>
        <w:rPr>
          <w:rFonts w:cs="Times New Roman"/>
          <w:szCs w:val="24"/>
          <w:lang w:val="sr-Cyrl-CS" w:bidi="en-US"/>
        </w:rPr>
      </w:pPr>
      <w:r w:rsidRPr="00E84C93">
        <w:rPr>
          <w:rFonts w:cs="Times New Roman"/>
          <w:szCs w:val="24"/>
          <w:lang w:val="sr-Cyrl-CS" w:bidi="en-US"/>
        </w:rPr>
        <w:t>биодиверзитет.</w:t>
      </w:r>
    </w:p>
    <w:p w14:paraId="50737675" w14:textId="71313961" w:rsidR="00FC6BAA" w:rsidRPr="00E84C93" w:rsidRDefault="00FC6BAA" w:rsidP="00122A64">
      <w:pPr>
        <w:pStyle w:val="Default"/>
        <w:ind w:firstLine="720"/>
        <w:jc w:val="both"/>
        <w:rPr>
          <w:rFonts w:ascii="Times New Roman" w:hAnsi="Times New Roman" w:cs="Times New Roman"/>
          <w:noProof/>
          <w:lang w:val="sr-Cyrl-CS" w:eastAsia="en-GB"/>
        </w:rPr>
      </w:pPr>
      <w:r w:rsidRPr="00E84C93">
        <w:rPr>
          <w:rFonts w:ascii="Times New Roman" w:hAnsi="Times New Roman" w:cs="Times New Roman"/>
          <w:noProof/>
          <w:lang w:val="sr-Cyrl-CS" w:eastAsia="en-GB"/>
        </w:rPr>
        <w:t>У складу са наведеним стратешким документима у ЕУ</w:t>
      </w:r>
      <w:r w:rsidR="004D08F1" w:rsidRPr="00E84C93">
        <w:rPr>
          <w:rFonts w:ascii="Times New Roman" w:hAnsi="Times New Roman" w:cs="Times New Roman"/>
          <w:noProof/>
          <w:lang w:val="sr-Cyrl-CS" w:eastAsia="en-GB"/>
        </w:rPr>
        <w:t xml:space="preserve"> развијен је</w:t>
      </w:r>
      <w:r w:rsidRPr="00E84C93">
        <w:rPr>
          <w:rFonts w:ascii="Times New Roman" w:hAnsi="Times New Roman" w:cs="Times New Roman"/>
          <w:noProof/>
          <w:lang w:val="sr-Cyrl-CS" w:eastAsia="en-GB"/>
        </w:rPr>
        <w:t xml:space="preserve"> законодавн</w:t>
      </w:r>
      <w:r w:rsidR="00E65617" w:rsidRPr="00E84C93">
        <w:rPr>
          <w:rFonts w:ascii="Times New Roman" w:hAnsi="Times New Roman" w:cs="Times New Roman"/>
          <w:noProof/>
          <w:lang w:val="sr-Cyrl-CS" w:eastAsia="en-GB"/>
        </w:rPr>
        <w:t>и</w:t>
      </w:r>
      <w:r w:rsidRPr="00E84C93">
        <w:rPr>
          <w:rFonts w:ascii="Times New Roman" w:hAnsi="Times New Roman" w:cs="Times New Roman"/>
          <w:noProof/>
          <w:lang w:val="sr-Cyrl-CS" w:eastAsia="en-GB"/>
        </w:rPr>
        <w:t xml:space="preserve"> оквир ЕУ</w:t>
      </w:r>
      <w:r w:rsidR="004D08F1" w:rsidRPr="00E84C93">
        <w:rPr>
          <w:rFonts w:ascii="Times New Roman" w:hAnsi="Times New Roman" w:cs="Times New Roman"/>
          <w:noProof/>
          <w:lang w:val="sr-Cyrl-CS" w:eastAsia="en-GB"/>
        </w:rPr>
        <w:t xml:space="preserve"> који поставља кључне захтеве </w:t>
      </w:r>
      <w:r w:rsidR="00E65617" w:rsidRPr="00E84C93">
        <w:rPr>
          <w:rFonts w:ascii="Times New Roman" w:hAnsi="Times New Roman" w:cs="Times New Roman"/>
          <w:noProof/>
          <w:lang w:val="sr-Cyrl-CS" w:eastAsia="en-GB"/>
        </w:rPr>
        <w:t>за</w:t>
      </w:r>
      <w:r w:rsidRPr="00E84C93">
        <w:rPr>
          <w:rFonts w:ascii="Times New Roman" w:hAnsi="Times New Roman" w:cs="Times New Roman"/>
          <w:noProof/>
          <w:lang w:val="sr-Cyrl-CS" w:eastAsia="en-GB"/>
        </w:rPr>
        <w:t xml:space="preserve"> управљањ</w:t>
      </w:r>
      <w:r w:rsidR="00E65617" w:rsidRPr="00E84C93">
        <w:rPr>
          <w:rFonts w:ascii="Times New Roman" w:hAnsi="Times New Roman" w:cs="Times New Roman"/>
          <w:noProof/>
          <w:lang w:val="sr-Cyrl-CS" w:eastAsia="en-GB"/>
        </w:rPr>
        <w:t xml:space="preserve">е муљем од пречишћавања отпадних </w:t>
      </w:r>
      <w:r w:rsidR="00847125" w:rsidRPr="00E84C93">
        <w:rPr>
          <w:rFonts w:ascii="Times New Roman" w:hAnsi="Times New Roman" w:cs="Times New Roman"/>
          <w:noProof/>
          <w:lang w:val="sr-Cyrl-CS" w:eastAsia="en-GB"/>
        </w:rPr>
        <w:t>вода</w:t>
      </w:r>
      <w:r w:rsidRPr="00E84C93">
        <w:rPr>
          <w:rFonts w:ascii="Times New Roman" w:hAnsi="Times New Roman" w:cs="Times New Roman"/>
          <w:noProof/>
          <w:lang w:val="sr-Cyrl-CS" w:eastAsia="en-GB"/>
        </w:rPr>
        <w:t>.</w:t>
      </w:r>
    </w:p>
    <w:p w14:paraId="401E4397" w14:textId="4FF0FB81" w:rsidR="00122A64" w:rsidRPr="00E84C93" w:rsidRDefault="00122A64" w:rsidP="00654902">
      <w:pPr>
        <w:spacing w:after="0"/>
        <w:ind w:firstLine="720"/>
        <w:jc w:val="both"/>
        <w:rPr>
          <w:rFonts w:cs="Times New Roman"/>
          <w:szCs w:val="24"/>
          <w:lang w:val="sr-Cyrl-CS"/>
        </w:rPr>
      </w:pPr>
      <w:r w:rsidRPr="00E84C93">
        <w:rPr>
          <w:rFonts w:cs="Times New Roman"/>
          <w:b/>
          <w:bCs/>
          <w:szCs w:val="24"/>
          <w:lang w:val="sr-Cyrl-CS"/>
        </w:rPr>
        <w:t xml:space="preserve">Директива </w:t>
      </w:r>
      <w:r w:rsidR="00654902" w:rsidRPr="00E84C93">
        <w:rPr>
          <w:rFonts w:cs="Times New Roman"/>
          <w:b/>
          <w:bCs/>
          <w:szCs w:val="24"/>
          <w:lang w:val="sr-Cyrl-CS"/>
        </w:rPr>
        <w:t xml:space="preserve">86/278/ЕЕС </w:t>
      </w:r>
      <w:r w:rsidRPr="00E84C93">
        <w:rPr>
          <w:rFonts w:cs="Times New Roman"/>
          <w:b/>
          <w:bCs/>
          <w:szCs w:val="24"/>
          <w:lang w:val="sr-Cyrl-CS"/>
        </w:rPr>
        <w:t xml:space="preserve">о </w:t>
      </w:r>
      <w:r w:rsidR="00654902" w:rsidRPr="00E84C93">
        <w:rPr>
          <w:rFonts w:cs="Times New Roman"/>
          <w:b/>
          <w:bCs/>
          <w:szCs w:val="24"/>
          <w:lang w:val="sr-Cyrl-CS"/>
        </w:rPr>
        <w:t>заштити животне средине, а посебно земљишта, при коришћењу</w:t>
      </w:r>
      <w:r w:rsidR="00E15BB7" w:rsidRPr="00E84C93">
        <w:rPr>
          <w:rFonts w:cs="Times New Roman"/>
          <w:b/>
          <w:bCs/>
          <w:szCs w:val="24"/>
          <w:lang w:val="sr-Cyrl-CS"/>
        </w:rPr>
        <w:t xml:space="preserve"> канализационог</w:t>
      </w:r>
      <w:r w:rsidR="00654902" w:rsidRPr="00E84C93">
        <w:rPr>
          <w:rFonts w:cs="Times New Roman"/>
          <w:b/>
          <w:bCs/>
          <w:szCs w:val="24"/>
          <w:lang w:val="sr-Cyrl-CS"/>
        </w:rPr>
        <w:t xml:space="preserve"> муља</w:t>
      </w:r>
      <w:r w:rsidR="00E15BB7" w:rsidRPr="00E84C93">
        <w:rPr>
          <w:rFonts w:cs="Times New Roman"/>
          <w:b/>
          <w:bCs/>
          <w:szCs w:val="24"/>
          <w:lang w:val="sr-Cyrl-CS"/>
        </w:rPr>
        <w:t xml:space="preserve"> </w:t>
      </w:r>
      <w:r w:rsidR="00654902" w:rsidRPr="00E84C93">
        <w:rPr>
          <w:rFonts w:cs="Times New Roman"/>
          <w:b/>
          <w:bCs/>
          <w:szCs w:val="24"/>
          <w:lang w:val="sr-Cyrl-CS"/>
        </w:rPr>
        <w:t>у пољопривреди</w:t>
      </w:r>
      <w:r w:rsidR="00654902" w:rsidRPr="00E84C93">
        <w:rPr>
          <w:rFonts w:cs="Times New Roman"/>
          <w:szCs w:val="24"/>
          <w:lang w:val="sr-Cyrl-CS"/>
        </w:rPr>
        <w:t xml:space="preserve"> </w:t>
      </w:r>
      <w:r w:rsidRPr="00E84C93">
        <w:rPr>
          <w:rFonts w:cs="Times New Roman"/>
          <w:szCs w:val="24"/>
          <w:lang w:val="sr-Cyrl-CS"/>
        </w:rPr>
        <w:t xml:space="preserve">успоставља правила којима се подстиче правилна употреба </w:t>
      </w:r>
      <w:r w:rsidR="00255FDD" w:rsidRPr="00E84C93">
        <w:rPr>
          <w:rFonts w:cs="Times New Roman"/>
          <w:szCs w:val="24"/>
          <w:lang w:val="sr-Cyrl-CS"/>
        </w:rPr>
        <w:t xml:space="preserve">муља из постројења за пречишћавање отпадних вода </w:t>
      </w:r>
      <w:r w:rsidRPr="00E84C93">
        <w:rPr>
          <w:rFonts w:cs="Times New Roman"/>
          <w:szCs w:val="24"/>
          <w:lang w:val="sr-Cyrl-CS"/>
        </w:rPr>
        <w:t>у пољопривреди</w:t>
      </w:r>
      <w:r w:rsidR="00F51ED7" w:rsidRPr="00E84C93">
        <w:rPr>
          <w:rFonts w:cs="Times New Roman"/>
          <w:szCs w:val="24"/>
          <w:lang w:val="sr-Cyrl-CS"/>
        </w:rPr>
        <w:t>,</w:t>
      </w:r>
      <w:r w:rsidRPr="00E84C93">
        <w:rPr>
          <w:rFonts w:cs="Times New Roman"/>
          <w:szCs w:val="24"/>
          <w:lang w:val="sr-Cyrl-CS"/>
        </w:rPr>
        <w:t xml:space="preserve"> како би се спречили штетни утицаји на животну средину и људско здравље као последица </w:t>
      </w:r>
      <w:r w:rsidR="0067616F" w:rsidRPr="00E84C93">
        <w:rPr>
          <w:rFonts w:cs="Times New Roman"/>
          <w:szCs w:val="24"/>
          <w:lang w:val="sr-Cyrl-CS"/>
        </w:rPr>
        <w:t>смањења</w:t>
      </w:r>
      <w:r w:rsidRPr="00E84C93">
        <w:rPr>
          <w:rFonts w:cs="Times New Roman"/>
          <w:szCs w:val="24"/>
          <w:lang w:val="sr-Cyrl-CS"/>
        </w:rPr>
        <w:t xml:space="preserve"> квалитета земљишта, површинских вода и/или подземних вода. </w:t>
      </w:r>
      <w:r w:rsidRPr="00E84C93">
        <w:rPr>
          <w:lang w:val="sr-Cyrl-CS"/>
        </w:rPr>
        <w:t xml:space="preserve">У том циљу, </w:t>
      </w:r>
      <w:r w:rsidR="00654902" w:rsidRPr="00E84C93">
        <w:rPr>
          <w:lang w:val="sr-Cyrl-CS"/>
        </w:rPr>
        <w:t>директива</w:t>
      </w:r>
      <w:r w:rsidRPr="00E84C93">
        <w:rPr>
          <w:lang w:val="sr-Cyrl-CS"/>
        </w:rPr>
        <w:t xml:space="preserve"> забрањује употребу нетретираног муља на пољопривредном земљишту</w:t>
      </w:r>
      <w:r w:rsidRPr="00E84C93">
        <w:rPr>
          <w:rFonts w:cs="Times New Roman"/>
          <w:szCs w:val="24"/>
          <w:lang w:val="sr-Cyrl-CS"/>
        </w:rPr>
        <w:t>. Директива</w:t>
      </w:r>
      <w:r w:rsidR="0067616F" w:rsidRPr="00E84C93">
        <w:rPr>
          <w:rFonts w:cs="Times New Roman"/>
          <w:szCs w:val="24"/>
          <w:lang w:val="sr-Cyrl-CS"/>
        </w:rPr>
        <w:t>, такође,</w:t>
      </w:r>
      <w:r w:rsidRPr="00E84C93">
        <w:rPr>
          <w:rFonts w:cs="Times New Roman"/>
          <w:szCs w:val="24"/>
          <w:lang w:val="sr-Cyrl-CS"/>
        </w:rPr>
        <w:t xml:space="preserve"> </w:t>
      </w:r>
      <w:r w:rsidR="0067616F" w:rsidRPr="00E84C93">
        <w:rPr>
          <w:rFonts w:cs="Times New Roman"/>
          <w:szCs w:val="24"/>
          <w:lang w:val="sr-Cyrl-CS"/>
        </w:rPr>
        <w:t>прописује</w:t>
      </w:r>
      <w:r w:rsidRPr="00E84C93">
        <w:rPr>
          <w:rFonts w:cs="Times New Roman"/>
          <w:szCs w:val="24"/>
          <w:lang w:val="sr-Cyrl-CS"/>
        </w:rPr>
        <w:t xml:space="preserve"> </w:t>
      </w:r>
      <w:r w:rsidR="001B14DB" w:rsidRPr="00E84C93">
        <w:rPr>
          <w:rFonts w:cs="Times New Roman"/>
          <w:szCs w:val="24"/>
          <w:lang w:val="sr-Cyrl-CS"/>
        </w:rPr>
        <w:t>максимално дозвољене</w:t>
      </w:r>
      <w:r w:rsidRPr="00E84C93">
        <w:rPr>
          <w:rFonts w:cs="Times New Roman"/>
          <w:szCs w:val="24"/>
          <w:lang w:val="sr-Cyrl-CS"/>
        </w:rPr>
        <w:t xml:space="preserve"> концентрациј</w:t>
      </w:r>
      <w:r w:rsidR="001B14DB" w:rsidRPr="00E84C93">
        <w:rPr>
          <w:rFonts w:cs="Times New Roman"/>
          <w:szCs w:val="24"/>
          <w:lang w:val="sr-Cyrl-CS"/>
        </w:rPr>
        <w:t>е</w:t>
      </w:r>
      <w:r w:rsidRPr="00E84C93">
        <w:rPr>
          <w:rFonts w:cs="Times New Roman"/>
          <w:szCs w:val="24"/>
          <w:lang w:val="sr-Cyrl-CS"/>
        </w:rPr>
        <w:t xml:space="preserve"> </w:t>
      </w:r>
      <w:r w:rsidR="001B14DB" w:rsidRPr="00E84C93">
        <w:rPr>
          <w:rFonts w:cs="Times New Roman"/>
          <w:szCs w:val="24"/>
          <w:lang w:val="sr-Cyrl-CS"/>
        </w:rPr>
        <w:t xml:space="preserve">метала </w:t>
      </w:r>
      <w:r w:rsidRPr="00E84C93">
        <w:rPr>
          <w:rFonts w:cs="Times New Roman"/>
          <w:szCs w:val="24"/>
          <w:lang w:val="sr-Cyrl-CS"/>
        </w:rPr>
        <w:t xml:space="preserve">у </w:t>
      </w:r>
      <w:r w:rsidRPr="00E84C93">
        <w:rPr>
          <w:rFonts w:cs="Times New Roman"/>
          <w:szCs w:val="24"/>
          <w:lang w:val="sr-Cyrl-CS"/>
        </w:rPr>
        <w:lastRenderedPageBreak/>
        <w:t>земљишту (</w:t>
      </w:r>
      <w:r w:rsidRPr="00E84C93">
        <w:rPr>
          <w:lang w:val="sr-Cyrl-CS"/>
        </w:rPr>
        <w:t>кадмијум, хром, бакар, олово, жива, никл и цинк</w:t>
      </w:r>
      <w:r w:rsidRPr="00E84C93">
        <w:rPr>
          <w:rFonts w:cs="Times New Roman"/>
          <w:szCs w:val="24"/>
          <w:lang w:val="sr-Cyrl-CS"/>
        </w:rPr>
        <w:t xml:space="preserve">) и </w:t>
      </w:r>
      <w:r w:rsidRPr="00E84C93">
        <w:rPr>
          <w:lang w:val="sr-Cyrl-CS"/>
        </w:rPr>
        <w:t xml:space="preserve">забрањује употребу </w:t>
      </w:r>
      <w:r w:rsidR="00255FDD" w:rsidRPr="00E84C93">
        <w:rPr>
          <w:lang w:val="sr-Cyrl-CS"/>
        </w:rPr>
        <w:t xml:space="preserve">муља из постројења за пречишћавање отпадних вода </w:t>
      </w:r>
      <w:r w:rsidRPr="00E84C93">
        <w:rPr>
          <w:lang w:val="sr-Cyrl-CS"/>
        </w:rPr>
        <w:t xml:space="preserve">у функцији ђубрива </w:t>
      </w:r>
      <w:r w:rsidR="001B14DB" w:rsidRPr="00E84C93">
        <w:rPr>
          <w:lang w:val="sr-Cyrl-CS"/>
        </w:rPr>
        <w:t xml:space="preserve">ако </w:t>
      </w:r>
      <w:r w:rsidR="0067616F" w:rsidRPr="00E84C93">
        <w:rPr>
          <w:lang w:val="sr-Cyrl-CS"/>
        </w:rPr>
        <w:t>се на тај начин превазилазе вредности максимално дозвољених</w:t>
      </w:r>
      <w:r w:rsidRPr="00E84C93">
        <w:rPr>
          <w:lang w:val="sr-Cyrl-CS"/>
        </w:rPr>
        <w:t xml:space="preserve"> концентрациј</w:t>
      </w:r>
      <w:r w:rsidR="0067616F" w:rsidRPr="00E84C93">
        <w:rPr>
          <w:lang w:val="sr-Cyrl-CS"/>
        </w:rPr>
        <w:t>а</w:t>
      </w:r>
      <w:r w:rsidRPr="00E84C93">
        <w:rPr>
          <w:lang w:val="sr-Cyrl-CS"/>
        </w:rPr>
        <w:t xml:space="preserve"> п</w:t>
      </w:r>
      <w:r w:rsidR="0067616F" w:rsidRPr="00E84C93">
        <w:rPr>
          <w:lang w:val="sr-Cyrl-CS"/>
        </w:rPr>
        <w:t>оменутих метала</w:t>
      </w:r>
      <w:r w:rsidRPr="00E84C93">
        <w:rPr>
          <w:lang w:val="sr-Cyrl-CS"/>
        </w:rPr>
        <w:t xml:space="preserve"> у земљишту</w:t>
      </w:r>
      <w:r w:rsidRPr="00E84C93">
        <w:rPr>
          <w:rFonts w:cs="Times New Roman"/>
          <w:szCs w:val="24"/>
          <w:lang w:val="sr-Cyrl-CS"/>
        </w:rPr>
        <w:t>.</w:t>
      </w:r>
    </w:p>
    <w:p w14:paraId="5EA30607" w14:textId="47C375E5"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Регулаторна одговорност за старање о томе да начин на који пољопривредници употребљавају муљ удовољава овим захтевима пада на </w:t>
      </w:r>
      <w:r w:rsidR="00F51ED7" w:rsidRPr="00E84C93">
        <w:rPr>
          <w:rFonts w:cs="Times New Roman"/>
          <w:szCs w:val="24"/>
          <w:lang w:val="sr-Cyrl-CS"/>
        </w:rPr>
        <w:t>државе чланице</w:t>
      </w:r>
      <w:r w:rsidRPr="00E84C93">
        <w:rPr>
          <w:rFonts w:cs="Times New Roman"/>
          <w:szCs w:val="24"/>
          <w:lang w:val="sr-Cyrl-CS"/>
        </w:rPr>
        <w:t>; од којих се тражи да узимају узорке и врше анализе како муља тако и земљишта на коме се муљ користи, а све то у сврху вођења евиденције о следећем:</w:t>
      </w:r>
    </w:p>
    <w:p w14:paraId="2F2B20BF" w14:textId="19A854FB" w:rsidR="00122A64" w:rsidRPr="00E84C93" w:rsidRDefault="005E0508" w:rsidP="00E15BB7">
      <w:pPr>
        <w:pStyle w:val="ListParagraph"/>
        <w:numPr>
          <w:ilvl w:val="0"/>
          <w:numId w:val="4"/>
        </w:numPr>
        <w:spacing w:after="0"/>
        <w:jc w:val="both"/>
        <w:rPr>
          <w:rFonts w:cs="Times New Roman"/>
          <w:szCs w:val="24"/>
          <w:lang w:val="sr-Cyrl-CS"/>
        </w:rPr>
      </w:pPr>
      <w:r w:rsidRPr="00E84C93">
        <w:rPr>
          <w:rFonts w:cs="Times New Roman"/>
          <w:szCs w:val="24"/>
          <w:lang w:val="sr-Cyrl-CS"/>
        </w:rPr>
        <w:t>к</w:t>
      </w:r>
      <w:r w:rsidR="00122A64" w:rsidRPr="00E84C93">
        <w:rPr>
          <w:rFonts w:cs="Times New Roman"/>
          <w:szCs w:val="24"/>
          <w:lang w:val="sr-Cyrl-CS"/>
        </w:rPr>
        <w:t>олико муља се производи и к</w:t>
      </w:r>
      <w:r w:rsidR="002B4A79" w:rsidRPr="00E84C93">
        <w:rPr>
          <w:rFonts w:cs="Times New Roman"/>
          <w:szCs w:val="24"/>
          <w:lang w:val="sr-Cyrl-CS"/>
        </w:rPr>
        <w:t>ористи за пољопривредне потребе;</w:t>
      </w:r>
    </w:p>
    <w:p w14:paraId="24940FF0" w14:textId="49338EA7" w:rsidR="00122A64" w:rsidRPr="00E84C93" w:rsidRDefault="005E0508" w:rsidP="00DF360D">
      <w:pPr>
        <w:numPr>
          <w:ilvl w:val="0"/>
          <w:numId w:val="4"/>
        </w:numPr>
        <w:spacing w:after="0"/>
        <w:jc w:val="both"/>
        <w:rPr>
          <w:rFonts w:cs="Times New Roman"/>
          <w:szCs w:val="24"/>
          <w:lang w:val="sr-Cyrl-CS"/>
        </w:rPr>
      </w:pPr>
      <w:r w:rsidRPr="00E84C93">
        <w:rPr>
          <w:rFonts w:cs="Times New Roman"/>
          <w:szCs w:val="24"/>
          <w:lang w:val="sr-Cyrl-CS"/>
        </w:rPr>
        <w:t>с</w:t>
      </w:r>
      <w:r w:rsidR="002B4A79" w:rsidRPr="00E84C93">
        <w:rPr>
          <w:rFonts w:cs="Times New Roman"/>
          <w:szCs w:val="24"/>
          <w:lang w:val="sr-Cyrl-CS"/>
        </w:rPr>
        <w:t>астав и својства муља;</w:t>
      </w:r>
    </w:p>
    <w:p w14:paraId="5F3427C7" w14:textId="722AD20C" w:rsidR="00122A64" w:rsidRPr="00E84C93" w:rsidRDefault="005E0508" w:rsidP="00DF360D">
      <w:pPr>
        <w:numPr>
          <w:ilvl w:val="0"/>
          <w:numId w:val="4"/>
        </w:numPr>
        <w:spacing w:after="0"/>
        <w:jc w:val="both"/>
        <w:rPr>
          <w:rFonts w:cs="Times New Roman"/>
          <w:szCs w:val="24"/>
          <w:lang w:val="sr-Cyrl-CS"/>
        </w:rPr>
      </w:pPr>
      <w:r w:rsidRPr="00E84C93">
        <w:rPr>
          <w:rFonts w:cs="Times New Roman"/>
          <w:szCs w:val="24"/>
          <w:lang w:val="sr-Cyrl-CS"/>
        </w:rPr>
        <w:t>н</w:t>
      </w:r>
      <w:r w:rsidR="002B4A79" w:rsidRPr="00E84C93">
        <w:rPr>
          <w:rFonts w:cs="Times New Roman"/>
          <w:szCs w:val="24"/>
          <w:lang w:val="sr-Cyrl-CS"/>
        </w:rPr>
        <w:t>а који начин је муљ третиран;</w:t>
      </w:r>
    </w:p>
    <w:p w14:paraId="6EE6E2F8" w14:textId="71427983" w:rsidR="00122A64" w:rsidRPr="00E84C93" w:rsidRDefault="005E0508" w:rsidP="00DF360D">
      <w:pPr>
        <w:numPr>
          <w:ilvl w:val="0"/>
          <w:numId w:val="4"/>
        </w:numPr>
        <w:spacing w:after="0"/>
        <w:jc w:val="both"/>
        <w:rPr>
          <w:rFonts w:cs="Times New Roman"/>
          <w:szCs w:val="24"/>
          <w:lang w:val="sr-Cyrl-CS"/>
        </w:rPr>
      </w:pPr>
      <w:r w:rsidRPr="00E84C93">
        <w:rPr>
          <w:rFonts w:cs="Times New Roman"/>
          <w:szCs w:val="24"/>
          <w:lang w:val="sr-Cyrl-CS"/>
        </w:rPr>
        <w:t>г</w:t>
      </w:r>
      <w:r w:rsidR="00122A64" w:rsidRPr="00E84C93">
        <w:rPr>
          <w:rFonts w:cs="Times New Roman"/>
          <w:szCs w:val="24"/>
          <w:lang w:val="sr-Cyrl-CS"/>
        </w:rPr>
        <w:t>де се муљ користи и ко га користи.</w:t>
      </w:r>
    </w:p>
    <w:p w14:paraId="2A9E3097" w14:textId="308EBF37"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Директива о </w:t>
      </w:r>
      <w:r w:rsidR="00255FDD" w:rsidRPr="00E84C93">
        <w:rPr>
          <w:rFonts w:cs="Times New Roman"/>
          <w:szCs w:val="24"/>
          <w:lang w:val="sr-Cyrl-CS"/>
        </w:rPr>
        <w:t xml:space="preserve">муљу из постројења за пречишћавање отпадних вода </w:t>
      </w:r>
      <w:r w:rsidRPr="00E84C93">
        <w:rPr>
          <w:rFonts w:cs="Times New Roman"/>
          <w:szCs w:val="24"/>
          <w:lang w:val="sr-Cyrl-CS"/>
        </w:rPr>
        <w:t xml:space="preserve">допуњује регулативу о отпаду ЕУ, подстичући безбедну употребу муља тако што промовише заштиту животне средине и јавног здравља, а такође доприноси ефикасности ресурса. </w:t>
      </w:r>
    </w:p>
    <w:p w14:paraId="11BAEB4C" w14:textId="20FE301E"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Значај рециклирања материјала, у складу са принципима циркуларне економије, истакнут је као приоритетна област у оквиру Европског </w:t>
      </w:r>
      <w:r w:rsidR="003D3E7B" w:rsidRPr="00E84C93">
        <w:rPr>
          <w:rFonts w:cs="Times New Roman"/>
          <w:szCs w:val="24"/>
          <w:lang w:val="sr-Cyrl-CS"/>
        </w:rPr>
        <w:t>з</w:t>
      </w:r>
      <w:r w:rsidRPr="00E84C93">
        <w:rPr>
          <w:rFonts w:cs="Times New Roman"/>
          <w:szCs w:val="24"/>
          <w:lang w:val="sr-Cyrl-CS"/>
        </w:rPr>
        <w:t xml:space="preserve">еленог </w:t>
      </w:r>
      <w:r w:rsidR="00113638" w:rsidRPr="00E84C93">
        <w:rPr>
          <w:rFonts w:cs="Times New Roman"/>
          <w:szCs w:val="24"/>
          <w:lang w:val="sr-Cyrl-CS"/>
        </w:rPr>
        <w:t xml:space="preserve">договора </w:t>
      </w:r>
      <w:r w:rsidRPr="00E84C93">
        <w:rPr>
          <w:rFonts w:cs="Times New Roman"/>
          <w:szCs w:val="24"/>
          <w:lang w:val="sr-Cyrl-CS"/>
        </w:rPr>
        <w:t xml:space="preserve">и Акционог плана за циркуларну економију. После процене имплементације </w:t>
      </w:r>
      <w:r w:rsidR="001C69C8" w:rsidRPr="00E84C93">
        <w:rPr>
          <w:rFonts w:cs="Times New Roman"/>
          <w:szCs w:val="24"/>
          <w:lang w:val="sr-Cyrl-CS"/>
        </w:rPr>
        <w:t>директиве</w:t>
      </w:r>
      <w:r w:rsidRPr="00E84C93">
        <w:rPr>
          <w:rFonts w:cs="Times New Roman"/>
          <w:szCs w:val="24"/>
          <w:lang w:val="sr-Cyrl-CS"/>
        </w:rPr>
        <w:t xml:space="preserve">, Европска комисија је 2014. </w:t>
      </w:r>
      <w:r w:rsidR="00E15BB7" w:rsidRPr="00E84C93">
        <w:rPr>
          <w:rFonts w:cs="Times New Roman"/>
          <w:szCs w:val="24"/>
          <w:lang w:val="sr-Cyrl-CS"/>
        </w:rPr>
        <w:t xml:space="preserve">године </w:t>
      </w:r>
      <w:r w:rsidRPr="00E84C93">
        <w:rPr>
          <w:rFonts w:cs="Times New Roman"/>
          <w:szCs w:val="24"/>
          <w:lang w:val="sr-Cyrl-CS"/>
        </w:rPr>
        <w:t xml:space="preserve">закључила да </w:t>
      </w:r>
      <w:r w:rsidR="00E879EB" w:rsidRPr="00E84C93">
        <w:rPr>
          <w:rFonts w:cs="Times New Roman"/>
          <w:szCs w:val="24"/>
          <w:lang w:val="sr-Cyrl-CS"/>
        </w:rPr>
        <w:t xml:space="preserve">Директиву о </w:t>
      </w:r>
      <w:r w:rsidR="00255FDD" w:rsidRPr="00E84C93">
        <w:rPr>
          <w:rFonts w:cs="Times New Roman"/>
          <w:szCs w:val="24"/>
          <w:lang w:val="sr-Cyrl-CS"/>
        </w:rPr>
        <w:t xml:space="preserve">муљу из постројења за пречишћавање отпадних вода </w:t>
      </w:r>
      <w:r w:rsidRPr="00E84C93">
        <w:rPr>
          <w:rFonts w:cs="Times New Roman"/>
          <w:szCs w:val="24"/>
          <w:lang w:val="sr-Cyrl-CS"/>
        </w:rPr>
        <w:t>треба ускладити са свим тренутним циљевима ЕУ везаним за одрживост (Стратегија за биоекономију, нов</w:t>
      </w:r>
      <w:r w:rsidR="00296BAF" w:rsidRPr="00E84C93">
        <w:rPr>
          <w:rFonts w:cs="Times New Roman"/>
          <w:szCs w:val="24"/>
          <w:lang w:val="sr-Cyrl-CS"/>
        </w:rPr>
        <w:t>а Уредба</w:t>
      </w:r>
      <w:r w:rsidRPr="00E84C93">
        <w:rPr>
          <w:rFonts w:cs="Times New Roman"/>
          <w:szCs w:val="24"/>
          <w:lang w:val="sr-Cyrl-CS"/>
        </w:rPr>
        <w:t xml:space="preserve"> о производима типа ђубрива, Фармацеутска стратегија и стратегија </w:t>
      </w:r>
      <w:r w:rsidR="00506BC9" w:rsidRPr="00E84C93">
        <w:rPr>
          <w:rStyle w:val="bold"/>
          <w:lang w:val="sr-Cyrl-CS"/>
        </w:rPr>
        <w:t>,,Од њиве до трпезе”</w:t>
      </w:r>
      <w:r w:rsidRPr="00E84C93">
        <w:rPr>
          <w:rFonts w:cs="Times New Roman"/>
          <w:szCs w:val="24"/>
          <w:lang w:val="sr-Cyrl-CS"/>
        </w:rPr>
        <w:t>).</w:t>
      </w:r>
    </w:p>
    <w:p w14:paraId="4AE17F4D" w14:textId="5F094BB3"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За сада, резултати процене из 2014. године треба да буду потврђени и допуњени на начин који је назначен у Новом акционом плану за циркуларну економију усвојеном 11. марта 2020. године, којим се прописује да ће </w:t>
      </w:r>
      <w:r w:rsidR="003D3E7B" w:rsidRPr="00E84C93">
        <w:rPr>
          <w:rFonts w:cs="Times New Roman"/>
          <w:szCs w:val="24"/>
          <w:lang w:val="sr-Cyrl-CS"/>
        </w:rPr>
        <w:t>Европска к</w:t>
      </w:r>
      <w:r w:rsidRPr="00E84C93">
        <w:rPr>
          <w:rFonts w:cs="Times New Roman"/>
          <w:szCs w:val="24"/>
          <w:lang w:val="sr-Cyrl-CS"/>
        </w:rPr>
        <w:t xml:space="preserve">омисија такође узети у обзир разматрање </w:t>
      </w:r>
      <w:r w:rsidR="00E15BB7" w:rsidRPr="00E84C93">
        <w:rPr>
          <w:rFonts w:cs="Times New Roman"/>
          <w:szCs w:val="24"/>
          <w:lang w:val="sr-Cyrl-CS"/>
        </w:rPr>
        <w:t>д</w:t>
      </w:r>
      <w:r w:rsidRPr="00E84C93">
        <w:rPr>
          <w:rFonts w:cs="Times New Roman"/>
          <w:szCs w:val="24"/>
          <w:lang w:val="sr-Cyrl-CS"/>
        </w:rPr>
        <w:t xml:space="preserve">иректива о </w:t>
      </w:r>
      <w:r w:rsidR="00255FDD" w:rsidRPr="00E84C93">
        <w:rPr>
          <w:rFonts w:cs="Times New Roman"/>
          <w:szCs w:val="24"/>
          <w:lang w:val="sr-Cyrl-CS"/>
        </w:rPr>
        <w:t>пречишћавању комуналних</w:t>
      </w:r>
      <w:r w:rsidRPr="00E84C93">
        <w:rPr>
          <w:rFonts w:cs="Times New Roman"/>
          <w:szCs w:val="24"/>
          <w:lang w:val="sr-Cyrl-CS"/>
        </w:rPr>
        <w:t xml:space="preserve"> отпадних вода и </w:t>
      </w:r>
      <w:r w:rsidR="00255FDD" w:rsidRPr="00E84C93">
        <w:rPr>
          <w:rFonts w:cs="Times New Roman"/>
          <w:szCs w:val="24"/>
          <w:lang w:val="sr-Cyrl-CS"/>
        </w:rPr>
        <w:t>муљу из постројења за пречишћавање отпадних вода</w:t>
      </w:r>
      <w:r w:rsidRPr="00E84C93">
        <w:rPr>
          <w:rFonts w:cs="Times New Roman"/>
          <w:szCs w:val="24"/>
          <w:lang w:val="sr-Cyrl-CS"/>
        </w:rPr>
        <w:t xml:space="preserve">, а такође и проценити природне начине уклањања </w:t>
      </w:r>
      <w:r w:rsidR="00255FDD" w:rsidRPr="00E84C93">
        <w:rPr>
          <w:rFonts w:cs="Times New Roman"/>
          <w:szCs w:val="24"/>
          <w:lang w:val="sr-Cyrl-CS"/>
        </w:rPr>
        <w:t>нутријената</w:t>
      </w:r>
      <w:r w:rsidRPr="00E84C93">
        <w:rPr>
          <w:rFonts w:cs="Times New Roman"/>
          <w:szCs w:val="24"/>
          <w:lang w:val="sr-Cyrl-CS"/>
        </w:rPr>
        <w:t>.</w:t>
      </w:r>
    </w:p>
    <w:p w14:paraId="47DD8BC2" w14:textId="22DAE6A0"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Европска комисија </w:t>
      </w:r>
      <w:r w:rsidR="00E15BB7" w:rsidRPr="00E84C93">
        <w:rPr>
          <w:rFonts w:cs="Times New Roman"/>
          <w:szCs w:val="24"/>
          <w:lang w:val="sr-Cyrl-CS"/>
        </w:rPr>
        <w:t>спровела</w:t>
      </w:r>
      <w:r w:rsidRPr="00E84C93">
        <w:rPr>
          <w:rFonts w:cs="Times New Roman"/>
          <w:szCs w:val="24"/>
          <w:lang w:val="sr-Cyrl-CS"/>
        </w:rPr>
        <w:t xml:space="preserve"> је </w:t>
      </w:r>
      <w:r w:rsidR="003D3E7B" w:rsidRPr="00E84C93">
        <w:rPr>
          <w:rFonts w:cs="Times New Roman"/>
          <w:szCs w:val="24"/>
          <w:lang w:val="sr-Cyrl-CS"/>
        </w:rPr>
        <w:t xml:space="preserve">2021. године </w:t>
      </w:r>
      <w:r w:rsidRPr="00E84C93">
        <w:rPr>
          <w:rFonts w:cs="Times New Roman"/>
          <w:szCs w:val="24"/>
          <w:lang w:val="sr-Cyrl-CS"/>
        </w:rPr>
        <w:t xml:space="preserve">низ консултација у оквиру иницијативе да се процени колико је делотворна била ова Директива, а такође и да се анализирају ризици и могућности у вези са управљањем употребом </w:t>
      </w:r>
      <w:r w:rsidR="00255FDD" w:rsidRPr="00E84C93">
        <w:rPr>
          <w:rFonts w:cs="Times New Roman"/>
          <w:szCs w:val="24"/>
          <w:lang w:val="sr-Cyrl-CS"/>
        </w:rPr>
        <w:t>муља из постројења за пречишћавање отпадних вода</w:t>
      </w:r>
      <w:r w:rsidRPr="00E84C93">
        <w:rPr>
          <w:rFonts w:cs="Times New Roman"/>
          <w:szCs w:val="24"/>
          <w:lang w:val="sr-Cyrl-CS"/>
        </w:rPr>
        <w:t xml:space="preserve"> у пољопривредним делатностима. Ово ће пружити информације потребне за доношење одлуке </w:t>
      </w:r>
      <w:r w:rsidR="003D3E7B" w:rsidRPr="00E84C93">
        <w:rPr>
          <w:rFonts w:cs="Times New Roman"/>
          <w:szCs w:val="24"/>
          <w:lang w:val="sr-Cyrl-CS"/>
        </w:rPr>
        <w:t>Европске к</w:t>
      </w:r>
      <w:r w:rsidRPr="00E84C93">
        <w:rPr>
          <w:rFonts w:cs="Times New Roman"/>
          <w:szCs w:val="24"/>
          <w:lang w:val="sr-Cyrl-CS"/>
        </w:rPr>
        <w:t xml:space="preserve">омисије о потреби да се спроведе процена утицаја предлога за разматрање </w:t>
      </w:r>
      <w:r w:rsidR="00847125" w:rsidRPr="00E84C93">
        <w:rPr>
          <w:rFonts w:cs="Times New Roman"/>
          <w:szCs w:val="24"/>
          <w:lang w:val="sr-Cyrl-CS"/>
        </w:rPr>
        <w:t>Д</w:t>
      </w:r>
      <w:r w:rsidR="001C69C8" w:rsidRPr="00E84C93">
        <w:rPr>
          <w:rFonts w:cs="Times New Roman"/>
          <w:szCs w:val="24"/>
          <w:lang w:val="sr-Cyrl-CS"/>
        </w:rPr>
        <w:t xml:space="preserve">ирективе о </w:t>
      </w:r>
      <w:r w:rsidR="00255FDD" w:rsidRPr="00E84C93">
        <w:rPr>
          <w:rFonts w:cs="Times New Roman"/>
          <w:szCs w:val="24"/>
          <w:lang w:val="sr-Cyrl-CS"/>
        </w:rPr>
        <w:t>муљу из постројења за пречишћавање отпадних вода</w:t>
      </w:r>
      <w:r w:rsidRPr="00E84C93">
        <w:rPr>
          <w:rFonts w:cs="Times New Roman"/>
          <w:szCs w:val="24"/>
          <w:lang w:val="sr-Cyrl-CS"/>
        </w:rPr>
        <w:t>.</w:t>
      </w:r>
    </w:p>
    <w:p w14:paraId="3866433D" w14:textId="610B4EF5" w:rsidR="00122A64" w:rsidRPr="00E84C93" w:rsidRDefault="00122A64" w:rsidP="00122A64">
      <w:pPr>
        <w:spacing w:after="0"/>
        <w:ind w:firstLine="720"/>
        <w:jc w:val="both"/>
        <w:rPr>
          <w:szCs w:val="24"/>
          <w:lang w:val="sr-Cyrl-CS"/>
        </w:rPr>
      </w:pPr>
      <w:r w:rsidRPr="00E84C93">
        <w:rPr>
          <w:rFonts w:cs="Times New Roman"/>
          <w:szCs w:val="24"/>
          <w:lang w:val="sr-Cyrl-CS"/>
        </w:rPr>
        <w:t xml:space="preserve">Коришћење муља у пољопривреди представља делотворну алтернативу хемијским ђубривима, нарочито онима заснованим на фосфору. Важност рециклирања материјала, у складу са принципима циркуларне економије, наглашена је као приоритетна област у оквиру Европског </w:t>
      </w:r>
      <w:r w:rsidR="003D3E7B" w:rsidRPr="00E84C93">
        <w:rPr>
          <w:rFonts w:cs="Times New Roman"/>
          <w:szCs w:val="24"/>
          <w:lang w:val="sr-Cyrl-CS"/>
        </w:rPr>
        <w:t>з</w:t>
      </w:r>
      <w:r w:rsidRPr="00E84C93">
        <w:rPr>
          <w:rFonts w:cs="Times New Roman"/>
          <w:szCs w:val="24"/>
          <w:lang w:val="sr-Cyrl-CS"/>
        </w:rPr>
        <w:t xml:space="preserve">еленог </w:t>
      </w:r>
      <w:r w:rsidR="00113638" w:rsidRPr="00E84C93">
        <w:rPr>
          <w:rFonts w:cs="Times New Roman"/>
          <w:szCs w:val="24"/>
          <w:lang w:val="sr-Cyrl-CS"/>
        </w:rPr>
        <w:t xml:space="preserve">договора </w:t>
      </w:r>
      <w:r w:rsidRPr="00E84C93">
        <w:rPr>
          <w:rFonts w:cs="Times New Roman"/>
          <w:szCs w:val="24"/>
          <w:lang w:val="sr-Cyrl-CS"/>
        </w:rPr>
        <w:t>и Новог акционог плана за циркуларну економију. Неопходна је трансформација индустрије и свих ланаца вредности како би Европа могла да постане мање зависна од екстракције сирови</w:t>
      </w:r>
      <w:r w:rsidR="007201F0" w:rsidRPr="00E84C93">
        <w:rPr>
          <w:rFonts w:cs="Times New Roman"/>
          <w:szCs w:val="24"/>
          <w:lang w:val="sr-Cyrl-CS"/>
        </w:rPr>
        <w:t>н</w:t>
      </w:r>
      <w:r w:rsidRPr="00E84C93">
        <w:rPr>
          <w:rFonts w:cs="Times New Roman"/>
          <w:szCs w:val="24"/>
          <w:lang w:val="sr-Cyrl-CS"/>
        </w:rPr>
        <w:t xml:space="preserve">а. Међутим, значајно је да не буде контаминације ресурса који треба да буду рециклирани и поново коришћени, иначе ће тај процес резултирати све већим загађењем земљишта, воде и/или ваздуха. Ово је такође у складу са амбицијом </w:t>
      </w:r>
      <w:r w:rsidR="003D3E7B" w:rsidRPr="00E84C93">
        <w:rPr>
          <w:rFonts w:cs="Times New Roman"/>
          <w:szCs w:val="24"/>
          <w:lang w:val="sr-Cyrl-CS"/>
        </w:rPr>
        <w:t xml:space="preserve">Европске комисије </w:t>
      </w:r>
      <w:r w:rsidRPr="00E84C93">
        <w:rPr>
          <w:rFonts w:cs="Times New Roman"/>
          <w:szCs w:val="24"/>
          <w:lang w:val="sr-Cyrl-CS"/>
        </w:rPr>
        <w:t xml:space="preserve">да се постигне нулти степен загађења најављен у Европском </w:t>
      </w:r>
      <w:r w:rsidR="003D3E7B" w:rsidRPr="00E84C93">
        <w:rPr>
          <w:rFonts w:cs="Times New Roman"/>
          <w:szCs w:val="24"/>
          <w:lang w:val="sr-Cyrl-CS"/>
        </w:rPr>
        <w:t>з</w:t>
      </w:r>
      <w:r w:rsidRPr="00E84C93">
        <w:rPr>
          <w:rFonts w:cs="Times New Roman"/>
          <w:szCs w:val="24"/>
          <w:lang w:val="sr-Cyrl-CS"/>
        </w:rPr>
        <w:t xml:space="preserve">еленом </w:t>
      </w:r>
      <w:r w:rsidR="00113638" w:rsidRPr="00E84C93">
        <w:rPr>
          <w:rFonts w:cs="Times New Roman"/>
          <w:szCs w:val="24"/>
          <w:lang w:val="sr-Cyrl-CS"/>
        </w:rPr>
        <w:t>договору</w:t>
      </w:r>
      <w:r w:rsidRPr="00E84C93">
        <w:rPr>
          <w:rFonts w:cs="Times New Roman"/>
          <w:szCs w:val="24"/>
          <w:lang w:val="sr-Cyrl-CS"/>
        </w:rPr>
        <w:t>.</w:t>
      </w:r>
    </w:p>
    <w:p w14:paraId="57702501" w14:textId="01046441" w:rsidR="00E65617" w:rsidRPr="00E84C93" w:rsidRDefault="00E65617" w:rsidP="00122A64">
      <w:pPr>
        <w:spacing w:after="0"/>
        <w:ind w:firstLine="720"/>
        <w:jc w:val="both"/>
        <w:rPr>
          <w:rFonts w:cs="Times New Roman"/>
          <w:szCs w:val="24"/>
          <w:lang w:val="sr-Cyrl-CS"/>
        </w:rPr>
      </w:pPr>
      <w:r w:rsidRPr="00E84C93">
        <w:rPr>
          <w:rFonts w:cs="Times New Roman"/>
          <w:b/>
          <w:bCs/>
          <w:szCs w:val="24"/>
          <w:lang w:val="sr-Cyrl-CS"/>
        </w:rPr>
        <w:t xml:space="preserve">Директива 91/271/EEC о </w:t>
      </w:r>
      <w:r w:rsidR="001C69C8" w:rsidRPr="00E84C93">
        <w:rPr>
          <w:rFonts w:cs="Times New Roman"/>
          <w:b/>
          <w:bCs/>
          <w:szCs w:val="24"/>
          <w:lang w:val="sr-Cyrl-CS"/>
        </w:rPr>
        <w:t>пречишћавању</w:t>
      </w:r>
      <w:r w:rsidRPr="00E84C93">
        <w:rPr>
          <w:rFonts w:cs="Times New Roman"/>
          <w:b/>
          <w:bCs/>
          <w:szCs w:val="24"/>
          <w:lang w:val="sr-Cyrl-CS"/>
        </w:rPr>
        <w:t xml:space="preserve"> </w:t>
      </w:r>
      <w:r w:rsidR="005F006D" w:rsidRPr="00E84C93">
        <w:rPr>
          <w:rFonts w:cs="Times New Roman"/>
          <w:b/>
          <w:bCs/>
          <w:szCs w:val="24"/>
          <w:lang w:val="sr-Cyrl-CS"/>
        </w:rPr>
        <w:t>комуналних</w:t>
      </w:r>
      <w:r w:rsidRPr="00E84C93">
        <w:rPr>
          <w:rFonts w:cs="Times New Roman"/>
          <w:b/>
          <w:bCs/>
          <w:szCs w:val="24"/>
          <w:lang w:val="sr-Cyrl-CS"/>
        </w:rPr>
        <w:t xml:space="preserve"> отпадних вода</w:t>
      </w:r>
      <w:r w:rsidRPr="00E84C93">
        <w:rPr>
          <w:rFonts w:cs="Times New Roman"/>
          <w:szCs w:val="24"/>
          <w:lang w:val="sr-Cyrl-CS"/>
        </w:rPr>
        <w:t xml:space="preserve"> усвојена је у циљу заштите животне средине од неповољних ефеката испуштања </w:t>
      </w:r>
      <w:r w:rsidR="005F006D" w:rsidRPr="00E84C93">
        <w:rPr>
          <w:rFonts w:cs="Times New Roman"/>
          <w:szCs w:val="24"/>
          <w:lang w:val="sr-Cyrl-CS"/>
        </w:rPr>
        <w:t>комуналних</w:t>
      </w:r>
      <w:r w:rsidRPr="00E84C93">
        <w:rPr>
          <w:rFonts w:cs="Times New Roman"/>
          <w:szCs w:val="24"/>
          <w:lang w:val="sr-Cyrl-CS"/>
        </w:rPr>
        <w:t xml:space="preserve"> отпадних </w:t>
      </w:r>
      <w:r w:rsidRPr="00E84C93">
        <w:rPr>
          <w:rFonts w:cs="Times New Roman"/>
          <w:szCs w:val="24"/>
          <w:lang w:val="sr-Cyrl-CS"/>
        </w:rPr>
        <w:lastRenderedPageBreak/>
        <w:t>вода, као и отпадних вода из одређених индустријских сектора, конкретније, од испуштања органских загађ</w:t>
      </w:r>
      <w:r w:rsidR="005F006D" w:rsidRPr="00E84C93">
        <w:rPr>
          <w:rFonts w:cs="Times New Roman"/>
          <w:szCs w:val="24"/>
          <w:lang w:val="sr-Cyrl-CS"/>
        </w:rPr>
        <w:t>ујућих материја</w:t>
      </w:r>
      <w:r w:rsidRPr="00E84C93">
        <w:rPr>
          <w:rFonts w:cs="Times New Roman"/>
          <w:szCs w:val="24"/>
          <w:lang w:val="sr-Cyrl-CS"/>
        </w:rPr>
        <w:t xml:space="preserve"> и </w:t>
      </w:r>
      <w:r w:rsidR="00A843ED" w:rsidRPr="00E84C93">
        <w:rPr>
          <w:rFonts w:cs="Times New Roman"/>
          <w:szCs w:val="24"/>
          <w:lang w:val="sr-Cyrl-CS"/>
        </w:rPr>
        <w:t>нутријената</w:t>
      </w:r>
      <w:r w:rsidRPr="00E84C93">
        <w:rPr>
          <w:rFonts w:cs="Times New Roman"/>
          <w:szCs w:val="24"/>
          <w:lang w:val="sr-Cyrl-CS"/>
        </w:rPr>
        <w:t xml:space="preserve">. У овој </w:t>
      </w:r>
      <w:r w:rsidR="00E15BB7" w:rsidRPr="00E84C93">
        <w:rPr>
          <w:rFonts w:cs="Times New Roman"/>
          <w:szCs w:val="24"/>
          <w:lang w:val="sr-Cyrl-CS"/>
        </w:rPr>
        <w:t>д</w:t>
      </w:r>
      <w:r w:rsidRPr="00E84C93">
        <w:rPr>
          <w:rFonts w:cs="Times New Roman"/>
          <w:szCs w:val="24"/>
          <w:lang w:val="sr-Cyrl-CS"/>
        </w:rPr>
        <w:t xml:space="preserve">ирективи назначени су неопходни кораци за прикупљање, третман и </w:t>
      </w:r>
      <w:r w:rsidR="00255FDD" w:rsidRPr="00E84C93">
        <w:rPr>
          <w:rFonts w:cs="Times New Roman"/>
          <w:szCs w:val="24"/>
          <w:lang w:val="sr-Cyrl-CS"/>
        </w:rPr>
        <w:t>искоришћење</w:t>
      </w:r>
      <w:r w:rsidRPr="00E84C93">
        <w:rPr>
          <w:rFonts w:cs="Times New Roman"/>
          <w:szCs w:val="24"/>
          <w:lang w:val="sr-Cyrl-CS"/>
        </w:rPr>
        <w:t xml:space="preserve"> третираних отпадних вода и </w:t>
      </w:r>
      <w:r w:rsidR="00255FDD" w:rsidRPr="00E84C93">
        <w:rPr>
          <w:rFonts w:cs="Times New Roman"/>
          <w:szCs w:val="24"/>
          <w:lang w:val="sr-Cyrl-CS"/>
        </w:rPr>
        <w:t>муља из постројења за пречишћавање отпадних вода</w:t>
      </w:r>
      <w:r w:rsidRPr="00E84C93">
        <w:rPr>
          <w:rFonts w:cs="Times New Roman"/>
          <w:szCs w:val="24"/>
          <w:lang w:val="sr-Cyrl-CS"/>
        </w:rPr>
        <w:t>.</w:t>
      </w:r>
    </w:p>
    <w:p w14:paraId="2E20A181" w14:textId="6C2FE171" w:rsidR="002A1F2A" w:rsidRPr="00E84C93" w:rsidRDefault="002A1F2A" w:rsidP="002A1F2A">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 xml:space="preserve">Директива подржава коришћење муља из постројења за пречишћавање отпадних вода у оквиру одредби </w:t>
      </w:r>
      <w:r w:rsidR="00E15BB7" w:rsidRPr="00E84C93">
        <w:rPr>
          <w:rFonts w:ascii="Times New Roman" w:hAnsi="Times New Roman" w:cs="Times New Roman"/>
          <w:lang w:val="sr-Cyrl-CS"/>
        </w:rPr>
        <w:t>ч</w:t>
      </w:r>
      <w:r w:rsidRPr="00E84C93">
        <w:rPr>
          <w:rFonts w:ascii="Times New Roman" w:hAnsi="Times New Roman" w:cs="Times New Roman"/>
          <w:lang w:val="sr-Cyrl-CS"/>
        </w:rPr>
        <w:t>лана 14. „Муљ настао пречишћавањем отпадних вода биће поново употребљен кад год је то прикладно. Начини одлагања морају смањити неповољне ефекте по животну средину на најмању могућу меру. Одредбама овог члана такође се забрањује одлагање муља у површинским водама”.</w:t>
      </w:r>
    </w:p>
    <w:p w14:paraId="4023612D" w14:textId="37579E56" w:rsidR="00A67BCB" w:rsidRPr="00E84C93" w:rsidRDefault="00A67BCB" w:rsidP="00A67BCB">
      <w:pPr>
        <w:spacing w:after="0"/>
        <w:ind w:firstLine="720"/>
        <w:jc w:val="both"/>
        <w:rPr>
          <w:rFonts w:cs="Times New Roman"/>
          <w:szCs w:val="24"/>
          <w:lang w:val="sr-Cyrl-CS"/>
        </w:rPr>
      </w:pPr>
      <w:r w:rsidRPr="00E84C93">
        <w:rPr>
          <w:rFonts w:cs="Times New Roman"/>
          <w:szCs w:val="24"/>
          <w:lang w:val="sr-Cyrl-CS"/>
        </w:rPr>
        <w:t xml:space="preserve">Директива о пречишћавању комуналних отпадних вода укључује одредбе којима се штити квалитет муља путем захтева да отпадне воде буду подвргнуте </w:t>
      </w:r>
      <w:r w:rsidR="002A1F2A" w:rsidRPr="00E84C93">
        <w:rPr>
          <w:rFonts w:cs="Times New Roman"/>
          <w:szCs w:val="24"/>
          <w:lang w:val="sr-Cyrl-CS"/>
        </w:rPr>
        <w:t>пред</w:t>
      </w:r>
      <w:r w:rsidRPr="00E84C93">
        <w:rPr>
          <w:rFonts w:cs="Times New Roman"/>
          <w:szCs w:val="24"/>
          <w:lang w:val="sr-Cyrl-CS"/>
        </w:rPr>
        <w:t>третману пре уласка у постројења за пречишћавање комуналних отпадних вода уколико је то захтевано, како би се обезбедило да третман муља који настане тим путем не буде ометен и да се тај муљ може безбедно одлагати.</w:t>
      </w:r>
    </w:p>
    <w:p w14:paraId="34AB98A8" w14:textId="2853BF89" w:rsidR="00E65617" w:rsidRPr="00E84C93" w:rsidRDefault="00A67BCB" w:rsidP="00A67BCB">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Европска комисија је указала да и Директива о пречишћавању комуналних отпадних вода и Директива о индустријским емисијама не садрже јасне захтеве у погледу третмана и рециклирања муља. Тиме је истакнуто да постоји правна празнина, јер тренутно ни Директива о пречишћавању комуналних отпадних вода ни Директива о индустријским емисијама не садржи детаљна и ажурирана правила за надзирање, анализу и третман муља, док Директива о муљу из постројења за пречишћавање отпадних вода садржи правила само за једну врсту употребе, односно, његово распростирање по пољопривредном земљишту. Отуда, тренутно постојећем регулаторном оквиру недостају јасно формулисана правила о управљању муљем за друге видове употребе и одлагања</w:t>
      </w:r>
      <w:r w:rsidR="00E65617" w:rsidRPr="00E84C93">
        <w:rPr>
          <w:rFonts w:ascii="Times New Roman" w:hAnsi="Times New Roman" w:cs="Times New Roman"/>
          <w:lang w:val="sr-Cyrl-CS"/>
        </w:rPr>
        <w:t>.</w:t>
      </w:r>
    </w:p>
    <w:p w14:paraId="4B01749F" w14:textId="1A471880" w:rsidR="00E65617" w:rsidRPr="00E84C93" w:rsidRDefault="00E65617" w:rsidP="00122A64">
      <w:pPr>
        <w:widowControl w:val="0"/>
        <w:spacing w:after="0"/>
        <w:ind w:firstLine="720"/>
        <w:jc w:val="both"/>
        <w:rPr>
          <w:rFonts w:cs="Times New Roman"/>
          <w:szCs w:val="24"/>
          <w:lang w:val="sr-Cyrl-CS"/>
        </w:rPr>
      </w:pPr>
      <w:r w:rsidRPr="00E84C93">
        <w:rPr>
          <w:rFonts w:cs="Times New Roman"/>
          <w:b/>
          <w:bCs/>
          <w:szCs w:val="24"/>
          <w:lang w:val="sr-Cyrl-CS"/>
        </w:rPr>
        <w:t>Директива Савета 91/676/EEC о заштити вода од загађ</w:t>
      </w:r>
      <w:r w:rsidR="00E15BB7" w:rsidRPr="00E84C93">
        <w:rPr>
          <w:rFonts w:cs="Times New Roman"/>
          <w:b/>
          <w:bCs/>
          <w:szCs w:val="24"/>
          <w:lang w:val="sr-Cyrl-CS"/>
        </w:rPr>
        <w:t>ива</w:t>
      </w:r>
      <w:r w:rsidRPr="00E84C93">
        <w:rPr>
          <w:rFonts w:cs="Times New Roman"/>
          <w:b/>
          <w:bCs/>
          <w:szCs w:val="24"/>
          <w:lang w:val="sr-Cyrl-CS"/>
        </w:rPr>
        <w:t>ња узрокованог нитратима</w:t>
      </w:r>
      <w:r w:rsidR="00E15BB7" w:rsidRPr="00E84C93">
        <w:rPr>
          <w:rFonts w:cs="Times New Roman"/>
          <w:b/>
          <w:bCs/>
          <w:szCs w:val="24"/>
          <w:lang w:val="sr-Cyrl-CS"/>
        </w:rPr>
        <w:t xml:space="preserve"> </w:t>
      </w:r>
      <w:r w:rsidRPr="00E84C93">
        <w:rPr>
          <w:rFonts w:cs="Times New Roman"/>
          <w:b/>
          <w:bCs/>
          <w:szCs w:val="24"/>
          <w:lang w:val="sr-Cyrl-CS"/>
        </w:rPr>
        <w:t>из пољопривредних извора</w:t>
      </w:r>
      <w:r w:rsidRPr="00E84C93">
        <w:rPr>
          <w:rFonts w:cs="Times New Roman"/>
          <w:szCs w:val="24"/>
          <w:lang w:val="sr-Cyrl-CS"/>
        </w:rPr>
        <w:t xml:space="preserve"> штити воде од </w:t>
      </w:r>
      <w:r w:rsidR="006657E3" w:rsidRPr="00E84C93">
        <w:rPr>
          <w:rFonts w:cs="Times New Roman"/>
          <w:szCs w:val="24"/>
          <w:lang w:val="sr-Cyrl-CS"/>
        </w:rPr>
        <w:t xml:space="preserve">овог </w:t>
      </w:r>
      <w:r w:rsidRPr="00E84C93">
        <w:rPr>
          <w:rFonts w:cs="Times New Roman"/>
          <w:szCs w:val="24"/>
          <w:lang w:val="sr-Cyrl-CS"/>
        </w:rPr>
        <w:t xml:space="preserve">загађења и спречава тај вид загађења. Изискује одређивање </w:t>
      </w:r>
      <w:r w:rsidR="003032D4" w:rsidRPr="00E84C93">
        <w:rPr>
          <w:rFonts w:cs="Times New Roman"/>
          <w:szCs w:val="24"/>
          <w:lang w:val="sr-Cyrl-CS"/>
        </w:rPr>
        <w:t>рањивих подручја – подручја осетљивих на нитрате из пољопривредних извора</w:t>
      </w:r>
      <w:r w:rsidRPr="00E84C93">
        <w:rPr>
          <w:rFonts w:cs="Times New Roman"/>
          <w:szCs w:val="24"/>
          <w:lang w:val="sr-Cyrl-CS"/>
        </w:rPr>
        <w:t xml:space="preserve"> и уводи </w:t>
      </w:r>
      <w:r w:rsidR="003032D4" w:rsidRPr="00E84C93">
        <w:rPr>
          <w:rFonts w:cs="Times New Roman"/>
          <w:szCs w:val="24"/>
          <w:lang w:val="sr-Cyrl-CS"/>
        </w:rPr>
        <w:t xml:space="preserve">Правила </w:t>
      </w:r>
      <w:r w:rsidRPr="00E84C93">
        <w:rPr>
          <w:rFonts w:cs="Times New Roman"/>
          <w:szCs w:val="24"/>
          <w:lang w:val="sr-Cyrl-CS"/>
        </w:rPr>
        <w:t>добр</w:t>
      </w:r>
      <w:r w:rsidR="006657E3" w:rsidRPr="00E84C93">
        <w:rPr>
          <w:rFonts w:cs="Times New Roman"/>
          <w:szCs w:val="24"/>
          <w:lang w:val="sr-Cyrl-CS"/>
        </w:rPr>
        <w:t>е</w:t>
      </w:r>
      <w:r w:rsidRPr="00E84C93">
        <w:rPr>
          <w:rFonts w:cs="Times New Roman"/>
          <w:szCs w:val="24"/>
          <w:lang w:val="sr-Cyrl-CS"/>
        </w:rPr>
        <w:t xml:space="preserve"> пољопривредн</w:t>
      </w:r>
      <w:r w:rsidR="006657E3" w:rsidRPr="00E84C93">
        <w:rPr>
          <w:rFonts w:cs="Times New Roman"/>
          <w:szCs w:val="24"/>
          <w:lang w:val="sr-Cyrl-CS"/>
        </w:rPr>
        <w:t>е</w:t>
      </w:r>
      <w:r w:rsidRPr="00E84C93">
        <w:rPr>
          <w:rFonts w:cs="Times New Roman"/>
          <w:szCs w:val="24"/>
          <w:lang w:val="sr-Cyrl-CS"/>
        </w:rPr>
        <w:t xml:space="preserve"> пракс</w:t>
      </w:r>
      <w:r w:rsidR="006657E3" w:rsidRPr="00E84C93">
        <w:rPr>
          <w:rFonts w:cs="Times New Roman"/>
          <w:szCs w:val="24"/>
          <w:lang w:val="sr-Cyrl-CS"/>
        </w:rPr>
        <w:t>е</w:t>
      </w:r>
      <w:r w:rsidRPr="00E84C93">
        <w:rPr>
          <w:rFonts w:cs="Times New Roman"/>
          <w:szCs w:val="24"/>
          <w:lang w:val="sr-Cyrl-CS"/>
        </w:rPr>
        <w:t>,</w:t>
      </w:r>
      <w:r w:rsidR="003032D4" w:rsidRPr="00E84C93">
        <w:rPr>
          <w:rFonts w:cs="Times New Roman"/>
          <w:szCs w:val="24"/>
          <w:lang w:val="sr-Cyrl-CS"/>
        </w:rPr>
        <w:t xml:space="preserve"> којима се регулише употреба и складиштење ђубрива </w:t>
      </w:r>
      <w:r w:rsidRPr="00E84C93">
        <w:rPr>
          <w:rFonts w:cs="Times New Roman"/>
          <w:szCs w:val="24"/>
          <w:lang w:val="sr-Cyrl-CS"/>
        </w:rPr>
        <w:t xml:space="preserve">. </w:t>
      </w:r>
    </w:p>
    <w:p w14:paraId="4C6DA989" w14:textId="77777777" w:rsidR="00A67BCB" w:rsidRPr="00E84C93" w:rsidRDefault="00E65617" w:rsidP="00A67BCB">
      <w:pPr>
        <w:spacing w:after="0"/>
        <w:ind w:firstLine="720"/>
        <w:jc w:val="both"/>
        <w:rPr>
          <w:rFonts w:cs="Times New Roman"/>
          <w:lang w:val="sr-Cyrl-CS"/>
        </w:rPr>
      </w:pPr>
      <w:r w:rsidRPr="00E84C93">
        <w:rPr>
          <w:rFonts w:cs="Times New Roman"/>
          <w:b/>
          <w:bCs/>
          <w:szCs w:val="24"/>
          <w:lang w:val="sr-Cyrl-CS"/>
        </w:rPr>
        <w:t>Директива 99/31/EC о депониј</w:t>
      </w:r>
      <w:r w:rsidR="006D3CAA" w:rsidRPr="00E84C93">
        <w:rPr>
          <w:rFonts w:cs="Times New Roman"/>
          <w:b/>
          <w:bCs/>
          <w:szCs w:val="24"/>
          <w:lang w:val="sr-Cyrl-CS"/>
        </w:rPr>
        <w:t>ама</w:t>
      </w:r>
      <w:r w:rsidRPr="00E84C93">
        <w:rPr>
          <w:rFonts w:cs="Times New Roman"/>
          <w:b/>
          <w:bCs/>
          <w:szCs w:val="24"/>
          <w:lang w:val="sr-Cyrl-CS"/>
        </w:rPr>
        <w:t xml:space="preserve"> измењена Директивом ЕУ 2018/850</w:t>
      </w:r>
      <w:r w:rsidRPr="00E84C93">
        <w:rPr>
          <w:rFonts w:cs="Times New Roman"/>
          <w:szCs w:val="24"/>
          <w:lang w:val="sr-Cyrl-CS"/>
        </w:rPr>
        <w:t xml:space="preserve"> има за циљ да спречи или умањи негативне ефекте депонија отпада на животну средину, и том контексту посебно тежи да умањи одлагање биоразградивог отпада на депонијама</w:t>
      </w:r>
      <w:r w:rsidR="0004065F" w:rsidRPr="00E84C93">
        <w:rPr>
          <w:rFonts w:cs="Times New Roman"/>
          <w:szCs w:val="24"/>
          <w:lang w:val="sr-Cyrl-CS"/>
        </w:rPr>
        <w:t xml:space="preserve">. </w:t>
      </w:r>
      <w:r w:rsidRPr="00E84C93">
        <w:rPr>
          <w:rFonts w:cs="Times New Roman"/>
          <w:lang w:val="sr-Cyrl-CS"/>
        </w:rPr>
        <w:t>Директива обавезује државе чланице да редукују количину биоразградивог отпада који се одлаже на депониј</w:t>
      </w:r>
      <w:r w:rsidR="00586281" w:rsidRPr="00E84C93">
        <w:rPr>
          <w:rFonts w:cs="Times New Roman"/>
          <w:lang w:val="sr-Cyrl-CS"/>
        </w:rPr>
        <w:t>е</w:t>
      </w:r>
      <w:r w:rsidRPr="00E84C93">
        <w:rPr>
          <w:rFonts w:cs="Times New Roman"/>
          <w:lang w:val="sr-Cyrl-CS"/>
        </w:rPr>
        <w:t xml:space="preserve"> за 25% у односу на ниво из 1995. до 2010. године, 50% до 2013. и 65% до 2017. </w:t>
      </w:r>
      <w:r w:rsidR="00586281" w:rsidRPr="00E84C93">
        <w:rPr>
          <w:rFonts w:cs="Times New Roman"/>
          <w:lang w:val="sr-Cyrl-CS"/>
        </w:rPr>
        <w:t>године.</w:t>
      </w:r>
      <w:r w:rsidRPr="00E84C93">
        <w:rPr>
          <w:rFonts w:cs="Times New Roman"/>
          <w:lang w:val="sr-Cyrl-CS"/>
        </w:rPr>
        <w:t xml:space="preserve"> </w:t>
      </w:r>
      <w:r w:rsidR="00A67BCB" w:rsidRPr="00E84C93">
        <w:rPr>
          <w:rFonts w:cs="Times New Roman"/>
          <w:lang w:val="sr-Cyrl-CS"/>
        </w:rPr>
        <w:t>Тиме се имплицира да се одлагање на депоније не сматра одрживим приступом управљању муљем у дугорочном периоду.</w:t>
      </w:r>
    </w:p>
    <w:p w14:paraId="7B970847" w14:textId="0CF1056B" w:rsidR="00E65617" w:rsidRPr="00E84C93" w:rsidRDefault="00A67BCB" w:rsidP="00A67BCB">
      <w:pPr>
        <w:spacing w:after="0"/>
        <w:ind w:firstLine="720"/>
        <w:jc w:val="both"/>
        <w:rPr>
          <w:rFonts w:cs="Times New Roman"/>
          <w:lang w:val="sr-Cyrl-CS"/>
        </w:rPr>
      </w:pPr>
      <w:r w:rsidRPr="00E84C93">
        <w:rPr>
          <w:rFonts w:cs="Times New Roman"/>
          <w:lang w:val="sr-Cyrl-CS"/>
        </w:rPr>
        <w:t xml:space="preserve">Осим тога, депоновање муља је прихватљиво само ако су испуњени критеријуми Одлуке Савета 2003/33/EC којом се успостављају критеријуми и процедуре за прихватање отпада на депонијама у складу са </w:t>
      </w:r>
      <w:r w:rsidR="00F13789" w:rsidRPr="00E84C93">
        <w:rPr>
          <w:rFonts w:cs="Times New Roman"/>
          <w:lang w:val="sr-Cyrl-CS"/>
        </w:rPr>
        <w:t>ч</w:t>
      </w:r>
      <w:r w:rsidRPr="00E84C93">
        <w:rPr>
          <w:rFonts w:cs="Times New Roman"/>
          <w:lang w:val="sr-Cyrl-CS"/>
        </w:rPr>
        <w:t>ланом 16. и Анексом II Директиве 1999/31/EC. Опште карактеристике отпада се испитују у складу са стандардима EN 13137 и EN 12457/1-4</w:t>
      </w:r>
      <w:r w:rsidR="00E65617" w:rsidRPr="00E84C93">
        <w:rPr>
          <w:rFonts w:cs="Times New Roman"/>
          <w:lang w:val="sr-Cyrl-CS"/>
        </w:rPr>
        <w:t>.</w:t>
      </w:r>
    </w:p>
    <w:p w14:paraId="2D068A6A" w14:textId="156984CF" w:rsidR="00E65617" w:rsidRPr="00E84C93" w:rsidRDefault="00BC268A" w:rsidP="00122A64">
      <w:pPr>
        <w:spacing w:after="0"/>
        <w:ind w:firstLine="720"/>
        <w:jc w:val="both"/>
        <w:rPr>
          <w:rFonts w:cs="Times New Roman"/>
          <w:szCs w:val="24"/>
          <w:lang w:val="sr-Cyrl-CS"/>
        </w:rPr>
      </w:pPr>
      <w:r w:rsidRPr="00E84C93">
        <w:rPr>
          <w:rFonts w:cs="Times New Roman"/>
          <w:b/>
          <w:bCs/>
          <w:noProof/>
          <w:szCs w:val="24"/>
          <w:lang w:val="sr-Cyrl-CS" w:eastAsia="en-GB"/>
        </w:rPr>
        <w:t>Окв</w:t>
      </w:r>
      <w:r w:rsidR="00F13789" w:rsidRPr="00E84C93">
        <w:rPr>
          <w:rFonts w:cs="Times New Roman"/>
          <w:b/>
          <w:bCs/>
          <w:noProof/>
          <w:szCs w:val="24"/>
          <w:lang w:val="sr-Cyrl-CS" w:eastAsia="en-GB"/>
        </w:rPr>
        <w:t>и</w:t>
      </w:r>
      <w:r w:rsidRPr="00E84C93">
        <w:rPr>
          <w:rFonts w:cs="Times New Roman"/>
          <w:b/>
          <w:bCs/>
          <w:noProof/>
          <w:szCs w:val="24"/>
          <w:lang w:val="sr-Cyrl-CS" w:eastAsia="en-GB"/>
        </w:rPr>
        <w:t xml:space="preserve">рна </w:t>
      </w:r>
      <w:r w:rsidR="00FC6BAA" w:rsidRPr="00E84C93">
        <w:rPr>
          <w:rFonts w:cs="Times New Roman"/>
          <w:b/>
          <w:bCs/>
          <w:noProof/>
          <w:szCs w:val="24"/>
          <w:lang w:val="sr-Cyrl-CS" w:eastAsia="en-GB"/>
        </w:rPr>
        <w:t xml:space="preserve">Директива 2008/98/ЕС о отпаду </w:t>
      </w:r>
      <w:r w:rsidR="00E65617" w:rsidRPr="00E84C93">
        <w:rPr>
          <w:rFonts w:cs="Times New Roman"/>
          <w:b/>
          <w:bCs/>
          <w:szCs w:val="24"/>
          <w:lang w:val="sr-Cyrl-CS"/>
        </w:rPr>
        <w:t xml:space="preserve">измењена Директивом ЕУ 2018/851 </w:t>
      </w:r>
      <w:r w:rsidR="00E65617" w:rsidRPr="00E84C93">
        <w:rPr>
          <w:rFonts w:cs="Times New Roman"/>
          <w:szCs w:val="24"/>
          <w:lang w:val="sr-Cyrl-CS"/>
        </w:rPr>
        <w:t>прописује мере којима се штити животна средина и људско здравље спречавањем или смањивањем неповољних утицаја стварања отпада и управљања њиме, као и смањивањем укупних утицаја коришћења ресурса и побољшавања ефикасности њихове употребе. Она успоставља основне појмове везане за управљање отпадом и доноси правни оквир за третман отпада унутар ЕУ.</w:t>
      </w:r>
    </w:p>
    <w:p w14:paraId="6EF8DD5F" w14:textId="645E1482" w:rsidR="00E65617" w:rsidRPr="00E84C93" w:rsidRDefault="00E65617" w:rsidP="00122A64">
      <w:pPr>
        <w:spacing w:after="0"/>
        <w:ind w:firstLine="720"/>
        <w:jc w:val="both"/>
        <w:rPr>
          <w:rFonts w:cs="Times New Roman"/>
          <w:szCs w:val="24"/>
          <w:lang w:val="sr-Cyrl-CS"/>
        </w:rPr>
      </w:pPr>
      <w:r w:rsidRPr="00E84C93">
        <w:rPr>
          <w:rFonts w:cs="Times New Roman"/>
          <w:szCs w:val="24"/>
          <w:lang w:val="sr-Cyrl-CS"/>
        </w:rPr>
        <w:lastRenderedPageBreak/>
        <w:t xml:space="preserve">У </w:t>
      </w:r>
      <w:r w:rsidR="00F13789" w:rsidRPr="00E84C93">
        <w:rPr>
          <w:rFonts w:cs="Times New Roman"/>
          <w:szCs w:val="24"/>
          <w:lang w:val="sr-Cyrl-CS"/>
        </w:rPr>
        <w:t>ч</w:t>
      </w:r>
      <w:r w:rsidRPr="00E84C93">
        <w:rPr>
          <w:rFonts w:cs="Times New Roman"/>
          <w:szCs w:val="24"/>
          <w:lang w:val="sr-Cyrl-CS"/>
        </w:rPr>
        <w:t>лану 5</w:t>
      </w:r>
      <w:r w:rsidR="00F13789" w:rsidRPr="00E84C93">
        <w:rPr>
          <w:rFonts w:cs="Times New Roman"/>
          <w:szCs w:val="24"/>
          <w:lang w:val="sr-Cyrl-CS"/>
        </w:rPr>
        <w:t>. Директиве</w:t>
      </w:r>
      <w:r w:rsidRPr="00E84C93">
        <w:rPr>
          <w:rFonts w:cs="Times New Roman"/>
          <w:szCs w:val="24"/>
          <w:lang w:val="sr-Cyrl-CS"/>
        </w:rPr>
        <w:t xml:space="preserve"> кључни захтеви у вези са „нуспроизводима</w:t>
      </w:r>
      <w:r w:rsidR="005E0508" w:rsidRPr="00E84C93">
        <w:rPr>
          <w:rFonts w:cs="Times New Roman"/>
          <w:lang w:val="sr-Cyrl-CS"/>
        </w:rPr>
        <w:t>”</w:t>
      </w:r>
      <w:r w:rsidR="006D3CAA" w:rsidRPr="00E84C93">
        <w:rPr>
          <w:rFonts w:cs="Times New Roman"/>
          <w:szCs w:val="24"/>
          <w:lang w:val="sr-Cyrl-CS"/>
        </w:rPr>
        <w:t xml:space="preserve"> </w:t>
      </w:r>
      <w:r w:rsidRPr="00E84C93">
        <w:rPr>
          <w:rFonts w:cs="Times New Roman"/>
          <w:szCs w:val="24"/>
          <w:lang w:val="sr-Cyrl-CS"/>
        </w:rPr>
        <w:t xml:space="preserve">дефинисани су тако да омогућују да се може сматрати да нека супстанца или предмет створени производним процесом, чији основни циљ није стварање тог предмета или те супстанце, не представљају отпад. Поред тога, </w:t>
      </w:r>
      <w:r w:rsidR="00F13789" w:rsidRPr="00E84C93">
        <w:rPr>
          <w:rFonts w:cs="Times New Roman"/>
          <w:szCs w:val="24"/>
          <w:lang w:val="sr-Cyrl-CS"/>
        </w:rPr>
        <w:t>ч</w:t>
      </w:r>
      <w:r w:rsidRPr="00E84C93">
        <w:rPr>
          <w:rFonts w:cs="Times New Roman"/>
          <w:szCs w:val="24"/>
          <w:lang w:val="sr-Cyrl-CS"/>
        </w:rPr>
        <w:t>лан 6</w:t>
      </w:r>
      <w:r w:rsidR="00357684" w:rsidRPr="00E84C93">
        <w:rPr>
          <w:rFonts w:cs="Times New Roman"/>
          <w:szCs w:val="24"/>
          <w:lang w:val="sr-Cyrl-CS"/>
        </w:rPr>
        <w:t>.</w:t>
      </w:r>
      <w:r w:rsidRPr="00E84C93">
        <w:rPr>
          <w:rFonts w:cs="Times New Roman"/>
          <w:szCs w:val="24"/>
          <w:lang w:val="sr-Cyrl-CS"/>
        </w:rPr>
        <w:t xml:space="preserve"> </w:t>
      </w:r>
      <w:r w:rsidR="00F13789" w:rsidRPr="00E84C93">
        <w:rPr>
          <w:rFonts w:cs="Times New Roman"/>
          <w:szCs w:val="24"/>
          <w:lang w:val="sr-Cyrl-CS"/>
        </w:rPr>
        <w:t xml:space="preserve">Директиве </w:t>
      </w:r>
      <w:r w:rsidRPr="00E84C93">
        <w:rPr>
          <w:rFonts w:cs="Times New Roman"/>
          <w:szCs w:val="24"/>
          <w:lang w:val="sr-Cyrl-CS"/>
        </w:rPr>
        <w:t xml:space="preserve">дефинише следеће кључне захтеве за стицање </w:t>
      </w:r>
      <w:r w:rsidR="00B605DC" w:rsidRPr="00E84C93">
        <w:rPr>
          <w:rFonts w:cs="Times New Roman"/>
          <w:szCs w:val="24"/>
          <w:lang w:val="sr-Cyrl-CS"/>
        </w:rPr>
        <w:t xml:space="preserve">„престанка </w:t>
      </w:r>
      <w:r w:rsidRPr="00E84C93">
        <w:rPr>
          <w:rFonts w:cs="Times New Roman"/>
          <w:szCs w:val="24"/>
          <w:lang w:val="sr-Cyrl-CS"/>
        </w:rPr>
        <w:t>статуса отпад</w:t>
      </w:r>
      <w:r w:rsidR="00B605DC" w:rsidRPr="00E84C93">
        <w:rPr>
          <w:rFonts w:cs="Times New Roman"/>
          <w:szCs w:val="24"/>
          <w:lang w:val="sr-Cyrl-CS"/>
        </w:rPr>
        <w:t>а</w:t>
      </w:r>
      <w:r w:rsidR="005E0508" w:rsidRPr="00E84C93">
        <w:rPr>
          <w:rFonts w:cs="Times New Roman"/>
          <w:szCs w:val="24"/>
          <w:lang w:val="sr-Cyrl-CS"/>
        </w:rPr>
        <w:t>”</w:t>
      </w:r>
      <w:r w:rsidRPr="00E84C93">
        <w:rPr>
          <w:rFonts w:cs="Times New Roman"/>
          <w:szCs w:val="24"/>
          <w:lang w:val="sr-Cyrl-CS"/>
        </w:rPr>
        <w:t>, којим се омогућава да одређене конкретно назначене врсте отпада престану да то буду (обнављање, рециклирање):</w:t>
      </w:r>
    </w:p>
    <w:p w14:paraId="5C516FAF" w14:textId="59C860A6" w:rsidR="00E65617" w:rsidRPr="00E84C93" w:rsidRDefault="00E65617" w:rsidP="00F13789">
      <w:pPr>
        <w:pStyle w:val="ListParagraph"/>
        <w:numPr>
          <w:ilvl w:val="0"/>
          <w:numId w:val="6"/>
        </w:numPr>
        <w:spacing w:after="0"/>
        <w:jc w:val="both"/>
        <w:rPr>
          <w:rFonts w:cs="Times New Roman"/>
          <w:szCs w:val="24"/>
          <w:lang w:val="sr-Cyrl-CS"/>
        </w:rPr>
      </w:pPr>
      <w:r w:rsidRPr="00E84C93">
        <w:rPr>
          <w:rFonts w:cs="Times New Roman"/>
          <w:szCs w:val="24"/>
          <w:lang w:val="sr-Cyrl-CS"/>
        </w:rPr>
        <w:t>када је даља употреба те супстанце или предмета извесна</w:t>
      </w:r>
      <w:r w:rsidR="007F0258" w:rsidRPr="00E84C93">
        <w:rPr>
          <w:rFonts w:cs="Times New Roman"/>
          <w:szCs w:val="24"/>
          <w:lang w:val="sr-Cyrl-CS"/>
        </w:rPr>
        <w:t>;</w:t>
      </w:r>
    </w:p>
    <w:p w14:paraId="3B367540" w14:textId="71E16940" w:rsidR="00E65617" w:rsidRPr="00E84C93" w:rsidRDefault="007F0258" w:rsidP="007F0258">
      <w:pPr>
        <w:pStyle w:val="ListParagraph"/>
        <w:numPr>
          <w:ilvl w:val="0"/>
          <w:numId w:val="6"/>
        </w:numPr>
        <w:tabs>
          <w:tab w:val="left" w:pos="993"/>
        </w:tabs>
        <w:spacing w:after="0"/>
        <w:ind w:left="0" w:firstLine="720"/>
        <w:jc w:val="both"/>
        <w:rPr>
          <w:rFonts w:cs="Times New Roman"/>
          <w:szCs w:val="24"/>
          <w:lang w:val="sr-Cyrl-CS"/>
        </w:rPr>
      </w:pPr>
      <w:r w:rsidRPr="00E84C93">
        <w:rPr>
          <w:rFonts w:cs="Times New Roman"/>
          <w:szCs w:val="24"/>
          <w:lang w:val="sr-Cyrl-CS"/>
        </w:rPr>
        <w:t xml:space="preserve"> </w:t>
      </w:r>
      <w:r w:rsidR="00B605DC" w:rsidRPr="00E84C93">
        <w:rPr>
          <w:rFonts w:cs="Times New Roman"/>
          <w:szCs w:val="24"/>
          <w:lang w:val="sr-Cyrl-CS"/>
        </w:rPr>
        <w:t>када се та</w:t>
      </w:r>
      <w:r w:rsidR="00E65617" w:rsidRPr="00E84C93">
        <w:rPr>
          <w:rFonts w:cs="Times New Roman"/>
          <w:szCs w:val="24"/>
          <w:lang w:val="sr-Cyrl-CS"/>
        </w:rPr>
        <w:t xml:space="preserve"> супстанца или предмет може користити директно, без икакве даље обраде изузев уобичајене индустријске праксе</w:t>
      </w:r>
      <w:r w:rsidR="00397723" w:rsidRPr="00E84C93">
        <w:rPr>
          <w:rFonts w:cs="Times New Roman"/>
          <w:szCs w:val="24"/>
          <w:lang w:val="sr-Cyrl-CS"/>
        </w:rPr>
        <w:t>;</w:t>
      </w:r>
    </w:p>
    <w:p w14:paraId="333CE893" w14:textId="2CD0AE8B" w:rsidR="00E65617" w:rsidRPr="00E84C93" w:rsidRDefault="00397723" w:rsidP="00397723">
      <w:pPr>
        <w:pStyle w:val="ListParagraph"/>
        <w:numPr>
          <w:ilvl w:val="0"/>
          <w:numId w:val="6"/>
        </w:numPr>
        <w:tabs>
          <w:tab w:val="left" w:pos="993"/>
        </w:tabs>
        <w:spacing w:after="0"/>
        <w:ind w:left="0" w:firstLine="720"/>
        <w:jc w:val="both"/>
        <w:rPr>
          <w:rFonts w:cs="Times New Roman"/>
          <w:szCs w:val="24"/>
          <w:lang w:val="sr-Cyrl-CS"/>
        </w:rPr>
      </w:pPr>
      <w:r w:rsidRPr="00E84C93">
        <w:rPr>
          <w:rFonts w:cs="Times New Roman"/>
          <w:szCs w:val="24"/>
          <w:lang w:val="sr-Cyrl-CS"/>
        </w:rPr>
        <w:t xml:space="preserve"> </w:t>
      </w:r>
      <w:r w:rsidR="00B605DC" w:rsidRPr="00E84C93">
        <w:rPr>
          <w:rFonts w:cs="Times New Roman"/>
          <w:szCs w:val="24"/>
          <w:lang w:val="sr-Cyrl-CS"/>
        </w:rPr>
        <w:t xml:space="preserve">када се </w:t>
      </w:r>
      <w:r w:rsidR="00E65617" w:rsidRPr="00E84C93">
        <w:rPr>
          <w:rFonts w:cs="Times New Roman"/>
          <w:szCs w:val="24"/>
          <w:lang w:val="sr-Cyrl-CS"/>
        </w:rPr>
        <w:t>та супстанца или предмет производи као интегрални део производног процеса</w:t>
      </w:r>
      <w:r w:rsidRPr="00E84C93">
        <w:rPr>
          <w:rFonts w:cs="Times New Roman"/>
          <w:szCs w:val="24"/>
          <w:lang w:val="sr-Cyrl-CS"/>
        </w:rPr>
        <w:t>;</w:t>
      </w:r>
    </w:p>
    <w:p w14:paraId="42B31E74" w14:textId="21826C1E" w:rsidR="00E65617" w:rsidRPr="00E84C93" w:rsidRDefault="00B605DC" w:rsidP="000E6F34">
      <w:pPr>
        <w:pStyle w:val="ListParagraph"/>
        <w:numPr>
          <w:ilvl w:val="0"/>
          <w:numId w:val="6"/>
        </w:numPr>
        <w:spacing w:after="0"/>
        <w:ind w:left="0" w:firstLine="720"/>
        <w:jc w:val="both"/>
        <w:rPr>
          <w:rFonts w:cs="Times New Roman"/>
          <w:szCs w:val="24"/>
          <w:lang w:val="sr-Cyrl-CS"/>
        </w:rPr>
      </w:pPr>
      <w:r w:rsidRPr="00E84C93">
        <w:rPr>
          <w:rFonts w:cs="Times New Roman"/>
          <w:szCs w:val="24"/>
          <w:lang w:val="sr-Cyrl-CS"/>
        </w:rPr>
        <w:t xml:space="preserve">када је </w:t>
      </w:r>
      <w:r w:rsidR="00E65617" w:rsidRPr="00E84C93">
        <w:rPr>
          <w:rFonts w:cs="Times New Roman"/>
          <w:szCs w:val="24"/>
          <w:lang w:val="sr-Cyrl-CS"/>
        </w:rPr>
        <w:t>њихова даља употреба у складу са законом, односно, та супстанца или предмет испуњава све релевантне захтеве везане за производ, животну средину и заштиту здравља за дату конкретну употребу, и неће довести до укупних неповољних утицаја на животну средину или људско здравље.</w:t>
      </w:r>
    </w:p>
    <w:p w14:paraId="54E7C674" w14:textId="3F4D9104" w:rsidR="00E65617" w:rsidRPr="00E84C93" w:rsidRDefault="00E65617" w:rsidP="00122A64">
      <w:pPr>
        <w:pStyle w:val="Default"/>
        <w:ind w:firstLine="720"/>
        <w:jc w:val="both"/>
        <w:rPr>
          <w:rFonts w:ascii="Times New Roman" w:hAnsi="Times New Roman" w:cs="Times New Roman"/>
          <w:noProof/>
          <w:lang w:val="sr-Cyrl-CS" w:eastAsia="en-GB"/>
        </w:rPr>
      </w:pPr>
      <w:r w:rsidRPr="00E84C93">
        <w:rPr>
          <w:rFonts w:ascii="Times New Roman" w:hAnsi="Times New Roman" w:cs="Times New Roman"/>
          <w:b/>
          <w:bCs/>
          <w:lang w:val="sr-Cyrl-CS"/>
        </w:rPr>
        <w:t>Директива 2010/75/EU о индустријским емисијама</w:t>
      </w:r>
      <w:r w:rsidRPr="00E84C93">
        <w:rPr>
          <w:rFonts w:ascii="Times New Roman" w:hAnsi="Times New Roman" w:cs="Times New Roman"/>
          <w:lang w:val="sr-Cyrl-CS"/>
        </w:rPr>
        <w:t xml:space="preserve"> </w:t>
      </w:r>
      <w:r w:rsidR="00122A64" w:rsidRPr="00E84C93">
        <w:rPr>
          <w:rFonts w:ascii="Times New Roman" w:hAnsi="Times New Roman" w:cs="Times New Roman"/>
          <w:noProof/>
          <w:lang w:val="sr-Cyrl-CS" w:eastAsia="en-GB"/>
        </w:rPr>
        <w:t xml:space="preserve">обухвата седам претходних директива - </w:t>
      </w:r>
      <w:r w:rsidR="00122A64" w:rsidRPr="00E84C93">
        <w:rPr>
          <w:rFonts w:ascii="Times New Roman" w:hAnsi="Times New Roman" w:cs="Times New Roman"/>
          <w:lang w:val="sr-Cyrl-CS"/>
        </w:rPr>
        <w:t>Директиву о интегрисаном спречавању и контроли загађивања 1996/61/EС, Директиву о великим постројењима за сагоревање 2001/80/EС, Директиву о спаљивању отпада 200/76/ЕС, Директиву 1999/13/EС о постројењима у којима се користе испарљива органска једињења, Директиву о отпаду из индустрије титан-диоксида</w:t>
      </w:r>
      <w:r w:rsidR="00CD584B" w:rsidRPr="00E84C93">
        <w:rPr>
          <w:rFonts w:ascii="Times New Roman" w:hAnsi="Times New Roman" w:cs="Times New Roman"/>
          <w:lang w:val="sr-Cyrl-CS"/>
        </w:rPr>
        <w:t xml:space="preserve"> </w:t>
      </w:r>
      <w:r w:rsidR="00122A64" w:rsidRPr="00E84C93">
        <w:rPr>
          <w:rFonts w:ascii="Times New Roman" w:hAnsi="Times New Roman" w:cs="Times New Roman"/>
          <w:lang w:val="sr-Cyrl-CS"/>
        </w:rPr>
        <w:t>78/176/ЕЕС, СЕВЕСО Директиву 2012/18/EУ</w:t>
      </w:r>
      <w:r w:rsidR="00F13789" w:rsidRPr="00E84C93">
        <w:rPr>
          <w:rFonts w:ascii="Times New Roman" w:hAnsi="Times New Roman" w:cs="Times New Roman"/>
          <w:lang w:val="sr-Cyrl-CS"/>
        </w:rPr>
        <w:t xml:space="preserve"> и</w:t>
      </w:r>
      <w:r w:rsidR="00122A64" w:rsidRPr="00E84C93">
        <w:rPr>
          <w:rFonts w:ascii="Times New Roman" w:hAnsi="Times New Roman" w:cs="Times New Roman"/>
          <w:lang w:val="sr-Cyrl-CS"/>
        </w:rPr>
        <w:t xml:space="preserve"> Директиву о испарљивим органским једињењима у бојама 2004/42/ЕС и 2010/79/EУ</w:t>
      </w:r>
      <w:r w:rsidR="00122A64" w:rsidRPr="00E84C93">
        <w:rPr>
          <w:rFonts w:ascii="Times New Roman" w:hAnsi="Times New Roman" w:cs="Times New Roman"/>
          <w:noProof/>
          <w:lang w:val="sr-Cyrl-CS" w:eastAsia="en-GB"/>
        </w:rPr>
        <w:t>.</w:t>
      </w:r>
    </w:p>
    <w:p w14:paraId="54A2C225" w14:textId="327598C1" w:rsidR="00122A64" w:rsidRPr="00E84C93" w:rsidRDefault="00A67BCB" w:rsidP="00122A64">
      <w:pPr>
        <w:spacing w:after="0"/>
        <w:ind w:firstLine="720"/>
        <w:jc w:val="both"/>
        <w:rPr>
          <w:rFonts w:cs="Times New Roman"/>
          <w:szCs w:val="24"/>
          <w:lang w:val="sr-Cyrl-CS"/>
        </w:rPr>
      </w:pPr>
      <w:r w:rsidRPr="00E84C93">
        <w:rPr>
          <w:rFonts w:cs="Times New Roman"/>
          <w:szCs w:val="24"/>
          <w:lang w:val="sr-Cyrl-CS"/>
        </w:rPr>
        <w:t xml:space="preserve">Између осталог, ова </w:t>
      </w:r>
      <w:r w:rsidR="00F13789" w:rsidRPr="00E84C93">
        <w:rPr>
          <w:rFonts w:cs="Times New Roman"/>
          <w:szCs w:val="24"/>
          <w:lang w:val="sr-Cyrl-CS"/>
        </w:rPr>
        <w:t>д</w:t>
      </w:r>
      <w:r w:rsidRPr="00E84C93">
        <w:rPr>
          <w:rFonts w:cs="Times New Roman"/>
          <w:szCs w:val="24"/>
          <w:lang w:val="sr-Cyrl-CS"/>
        </w:rPr>
        <w:t>иректива успоставља стандарде и техничке захтеве (емисије у ваздух, контаминирање испуштањем у воду, планови постројења) које морају поштовати оператери постројења у којима се спаљује отпад. Муљ из постројења за пречишћавање отпадних вода спада у категорију отпада, тако да је спаљивање муља обухваћено</w:t>
      </w:r>
      <w:r w:rsidR="00A61448" w:rsidRPr="00E84C93">
        <w:rPr>
          <w:rFonts w:cs="Times New Roman"/>
          <w:szCs w:val="24"/>
          <w:lang w:val="sr-Cyrl-CS"/>
        </w:rPr>
        <w:t xml:space="preserve"> </w:t>
      </w:r>
      <w:r w:rsidRPr="00E84C93">
        <w:rPr>
          <w:rFonts w:cs="Times New Roman"/>
          <w:szCs w:val="24"/>
          <w:lang w:val="sr-Cyrl-CS"/>
        </w:rPr>
        <w:t xml:space="preserve">овом </w:t>
      </w:r>
      <w:r w:rsidR="00F13789" w:rsidRPr="00E84C93">
        <w:rPr>
          <w:rFonts w:cs="Times New Roman"/>
          <w:szCs w:val="24"/>
          <w:lang w:val="sr-Cyrl-CS"/>
        </w:rPr>
        <w:t>д</w:t>
      </w:r>
      <w:r w:rsidRPr="00E84C93">
        <w:rPr>
          <w:rFonts w:cs="Times New Roman"/>
          <w:szCs w:val="24"/>
          <w:lang w:val="sr-Cyrl-CS"/>
        </w:rPr>
        <w:t>ирективом</w:t>
      </w:r>
      <w:r w:rsidR="00122A64" w:rsidRPr="00E84C93">
        <w:rPr>
          <w:rFonts w:cs="Times New Roman"/>
          <w:szCs w:val="24"/>
          <w:lang w:val="sr-Cyrl-CS"/>
        </w:rPr>
        <w:t>.</w:t>
      </w:r>
    </w:p>
    <w:p w14:paraId="02FEFAB5" w14:textId="1A605307"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Међу одредбе релевантне за муљ спадају захтеви за издавање дозвола за испуштање у канализацију и за спаљивање и коспаљивање. </w:t>
      </w:r>
      <w:r w:rsidR="00CD584B" w:rsidRPr="00E84C93">
        <w:rPr>
          <w:rFonts w:cs="Times New Roman"/>
          <w:lang w:val="sr-Cyrl-CS"/>
        </w:rPr>
        <w:t xml:space="preserve">Директива о индустријским емисијама </w:t>
      </w:r>
      <w:r w:rsidRPr="00E84C93">
        <w:rPr>
          <w:rFonts w:cs="Times New Roman"/>
          <w:szCs w:val="24"/>
          <w:lang w:val="sr-Cyrl-CS"/>
        </w:rPr>
        <w:t>заснива се на четири главна принципа:</w:t>
      </w:r>
    </w:p>
    <w:p w14:paraId="0AE4AF80" w14:textId="11540D97" w:rsidR="00122A64" w:rsidRPr="00E84C93" w:rsidRDefault="00122A64" w:rsidP="00D60260">
      <w:pPr>
        <w:pStyle w:val="ListParagraph"/>
        <w:numPr>
          <w:ilvl w:val="0"/>
          <w:numId w:val="5"/>
        </w:numPr>
        <w:spacing w:after="0"/>
        <w:ind w:left="0" w:firstLine="720"/>
        <w:jc w:val="both"/>
        <w:rPr>
          <w:rFonts w:cs="Times New Roman"/>
          <w:szCs w:val="24"/>
          <w:lang w:val="sr-Cyrl-CS"/>
        </w:rPr>
      </w:pPr>
      <w:r w:rsidRPr="00E84C93">
        <w:rPr>
          <w:rFonts w:cs="Times New Roman"/>
          <w:szCs w:val="24"/>
          <w:lang w:val="sr-Cyrl-CS"/>
        </w:rPr>
        <w:t>интегрисани приступ, односно, при издавању дозвола мора се узети у обзир целокупни еколошки учинак постројења</w:t>
      </w:r>
      <w:r w:rsidR="00D60260" w:rsidRPr="00E84C93">
        <w:rPr>
          <w:rFonts w:cs="Times New Roman"/>
          <w:szCs w:val="24"/>
          <w:lang w:val="sr-Cyrl-CS"/>
        </w:rPr>
        <w:t>;</w:t>
      </w:r>
    </w:p>
    <w:p w14:paraId="022D6865" w14:textId="120C8EBE" w:rsidR="00122A64" w:rsidRPr="00E84C93" w:rsidRDefault="00122A64" w:rsidP="00D60260">
      <w:pPr>
        <w:pStyle w:val="ListParagraph"/>
        <w:numPr>
          <w:ilvl w:val="0"/>
          <w:numId w:val="5"/>
        </w:numPr>
        <w:spacing w:after="0"/>
        <w:ind w:left="0" w:firstLine="720"/>
        <w:jc w:val="both"/>
        <w:rPr>
          <w:rFonts w:cs="Times New Roman"/>
          <w:szCs w:val="24"/>
          <w:lang w:val="sr-Cyrl-CS"/>
        </w:rPr>
      </w:pPr>
      <w:r w:rsidRPr="00E84C93">
        <w:rPr>
          <w:rFonts w:cs="Times New Roman"/>
          <w:szCs w:val="24"/>
          <w:lang w:val="sr-Cyrl-CS"/>
        </w:rPr>
        <w:t>услови за издавање дозвола, укључујући и граничне вредности емисија, морају бити засновани на најбољим расположивим техникама (BAT), наведеним у забелешкама о BAT за сваки тип инсталације</w:t>
      </w:r>
      <w:r w:rsidR="00D60260" w:rsidRPr="00E84C93">
        <w:rPr>
          <w:rFonts w:cs="Times New Roman"/>
          <w:szCs w:val="24"/>
          <w:lang w:val="sr-Cyrl-CS"/>
        </w:rPr>
        <w:t>;</w:t>
      </w:r>
    </w:p>
    <w:p w14:paraId="230A9937" w14:textId="64823692" w:rsidR="00122A64" w:rsidRPr="00E84C93" w:rsidRDefault="00122A64" w:rsidP="00D60260">
      <w:pPr>
        <w:pStyle w:val="ListParagraph"/>
        <w:numPr>
          <w:ilvl w:val="0"/>
          <w:numId w:val="5"/>
        </w:numPr>
        <w:spacing w:after="0"/>
        <w:ind w:left="0" w:firstLine="720"/>
        <w:jc w:val="both"/>
        <w:rPr>
          <w:rFonts w:cs="Times New Roman"/>
          <w:szCs w:val="24"/>
          <w:lang w:val="sr-Cyrl-CS"/>
        </w:rPr>
      </w:pPr>
      <w:r w:rsidRPr="00E84C93">
        <w:rPr>
          <w:rFonts w:cs="Times New Roman"/>
          <w:szCs w:val="24"/>
          <w:lang w:val="sr-Cyrl-CS"/>
        </w:rPr>
        <w:t>омогућавање националним органима власти задуженим за издавање дозвола да имају одређену дозу флексибилности када одређују услове за издавање дозвола, узимајући у обзир техничке карактеристике инсталације, њен географски положај и локалне еколошке услове</w:t>
      </w:r>
      <w:r w:rsidR="00D60260" w:rsidRPr="00E84C93">
        <w:rPr>
          <w:rFonts w:cs="Times New Roman"/>
          <w:szCs w:val="24"/>
          <w:lang w:val="sr-Cyrl-CS"/>
        </w:rPr>
        <w:t>;</w:t>
      </w:r>
    </w:p>
    <w:p w14:paraId="68A495D8" w14:textId="71B052BF" w:rsidR="00122A64" w:rsidRPr="00E84C93" w:rsidRDefault="00122A64" w:rsidP="00D60260">
      <w:pPr>
        <w:pStyle w:val="ListParagraph"/>
        <w:numPr>
          <w:ilvl w:val="0"/>
          <w:numId w:val="5"/>
        </w:numPr>
        <w:spacing w:after="0"/>
        <w:ind w:left="0" w:firstLine="720"/>
        <w:jc w:val="both"/>
        <w:rPr>
          <w:rFonts w:cs="Times New Roman"/>
          <w:szCs w:val="24"/>
          <w:lang w:val="sr-Cyrl-CS"/>
        </w:rPr>
      </w:pPr>
      <w:r w:rsidRPr="00E84C93">
        <w:rPr>
          <w:rFonts w:cs="Times New Roman"/>
          <w:szCs w:val="24"/>
          <w:lang w:val="sr-Cyrl-CS"/>
        </w:rPr>
        <w:t>учешће јавности у процесу одлучивања, омогућујући приступ процедури издавања дозвола у сврху давања коментара, као и приступ јавном регистру, чија је намена да пружи еколошке информације о главним индустријским активностима.</w:t>
      </w:r>
    </w:p>
    <w:p w14:paraId="0D1578A2" w14:textId="6BBBCCC6"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Интегрисани приступ значи да се при издавању дозвола мора узимати у обзир целокупни учинак постројења</w:t>
      </w:r>
      <w:r w:rsidR="00CD584B" w:rsidRPr="00E84C93">
        <w:rPr>
          <w:rFonts w:cs="Times New Roman"/>
          <w:szCs w:val="24"/>
          <w:lang w:val="sr-Cyrl-CS"/>
        </w:rPr>
        <w:t xml:space="preserve"> на заштиту животн</w:t>
      </w:r>
      <w:r w:rsidR="00B433B8" w:rsidRPr="00E84C93">
        <w:rPr>
          <w:rFonts w:cs="Times New Roman"/>
          <w:szCs w:val="24"/>
          <w:lang w:val="sr-Cyrl-CS"/>
        </w:rPr>
        <w:t>е</w:t>
      </w:r>
      <w:r w:rsidR="00CD584B" w:rsidRPr="00E84C93">
        <w:rPr>
          <w:rFonts w:cs="Times New Roman"/>
          <w:szCs w:val="24"/>
          <w:lang w:val="sr-Cyrl-CS"/>
        </w:rPr>
        <w:t xml:space="preserve"> средин</w:t>
      </w:r>
      <w:r w:rsidR="00B433B8" w:rsidRPr="00E84C93">
        <w:rPr>
          <w:rFonts w:cs="Times New Roman"/>
          <w:szCs w:val="24"/>
          <w:lang w:val="sr-Cyrl-CS"/>
        </w:rPr>
        <w:t>е</w:t>
      </w:r>
      <w:r w:rsidRPr="00E84C93">
        <w:rPr>
          <w:rFonts w:cs="Times New Roman"/>
          <w:szCs w:val="24"/>
          <w:lang w:val="sr-Cyrl-CS"/>
        </w:rPr>
        <w:t xml:space="preserve"> при томе обухватајући, на пример, емисије у ваздух, вод</w:t>
      </w:r>
      <w:r w:rsidR="00CD584B" w:rsidRPr="00E84C93">
        <w:rPr>
          <w:rFonts w:cs="Times New Roman"/>
          <w:szCs w:val="24"/>
          <w:lang w:val="sr-Cyrl-CS"/>
        </w:rPr>
        <w:t>у</w:t>
      </w:r>
      <w:r w:rsidRPr="00E84C93">
        <w:rPr>
          <w:rFonts w:cs="Times New Roman"/>
          <w:szCs w:val="24"/>
          <w:lang w:val="sr-Cyrl-CS"/>
        </w:rPr>
        <w:t xml:space="preserve"> и земљишт</w:t>
      </w:r>
      <w:r w:rsidR="00CD584B" w:rsidRPr="00E84C93">
        <w:rPr>
          <w:rFonts w:cs="Times New Roman"/>
          <w:szCs w:val="24"/>
          <w:lang w:val="sr-Cyrl-CS"/>
        </w:rPr>
        <w:t>е</w:t>
      </w:r>
      <w:r w:rsidRPr="00E84C93">
        <w:rPr>
          <w:rFonts w:cs="Times New Roman"/>
          <w:szCs w:val="24"/>
          <w:lang w:val="sr-Cyrl-CS"/>
        </w:rPr>
        <w:t>, производњ</w:t>
      </w:r>
      <w:r w:rsidR="00CD584B" w:rsidRPr="00E84C93">
        <w:rPr>
          <w:rFonts w:cs="Times New Roman"/>
          <w:szCs w:val="24"/>
          <w:lang w:val="sr-Cyrl-CS"/>
        </w:rPr>
        <w:t>у</w:t>
      </w:r>
      <w:r w:rsidRPr="00E84C93">
        <w:rPr>
          <w:rFonts w:cs="Times New Roman"/>
          <w:szCs w:val="24"/>
          <w:lang w:val="sr-Cyrl-CS"/>
        </w:rPr>
        <w:t xml:space="preserve"> отпада, употреб</w:t>
      </w:r>
      <w:r w:rsidR="00CD584B" w:rsidRPr="00E84C93">
        <w:rPr>
          <w:rFonts w:cs="Times New Roman"/>
          <w:szCs w:val="24"/>
          <w:lang w:val="sr-Cyrl-CS"/>
        </w:rPr>
        <w:t>у</w:t>
      </w:r>
      <w:r w:rsidRPr="00E84C93">
        <w:rPr>
          <w:rFonts w:cs="Times New Roman"/>
          <w:szCs w:val="24"/>
          <w:lang w:val="sr-Cyrl-CS"/>
        </w:rPr>
        <w:t xml:space="preserve"> сировина, енергетск</w:t>
      </w:r>
      <w:r w:rsidR="00CD584B" w:rsidRPr="00E84C93">
        <w:rPr>
          <w:rFonts w:cs="Times New Roman"/>
          <w:szCs w:val="24"/>
          <w:lang w:val="sr-Cyrl-CS"/>
        </w:rPr>
        <w:t>у</w:t>
      </w:r>
      <w:r w:rsidRPr="00E84C93">
        <w:rPr>
          <w:rFonts w:cs="Times New Roman"/>
          <w:szCs w:val="24"/>
          <w:lang w:val="sr-Cyrl-CS"/>
        </w:rPr>
        <w:t xml:space="preserve"> ефикасност, бук</w:t>
      </w:r>
      <w:r w:rsidR="00CD584B" w:rsidRPr="00E84C93">
        <w:rPr>
          <w:rFonts w:cs="Times New Roman"/>
          <w:szCs w:val="24"/>
          <w:lang w:val="sr-Cyrl-CS"/>
        </w:rPr>
        <w:t>у</w:t>
      </w:r>
      <w:r w:rsidRPr="00E84C93">
        <w:rPr>
          <w:rFonts w:cs="Times New Roman"/>
          <w:szCs w:val="24"/>
          <w:lang w:val="sr-Cyrl-CS"/>
        </w:rPr>
        <w:t xml:space="preserve">, спречавање </w:t>
      </w:r>
      <w:r w:rsidR="00710782" w:rsidRPr="00E84C93">
        <w:rPr>
          <w:rFonts w:cs="Times New Roman"/>
          <w:szCs w:val="24"/>
          <w:lang w:val="sr-Cyrl-CS"/>
        </w:rPr>
        <w:t>удеса</w:t>
      </w:r>
      <w:r w:rsidRPr="00E84C93">
        <w:rPr>
          <w:rFonts w:cs="Times New Roman"/>
          <w:szCs w:val="24"/>
          <w:lang w:val="sr-Cyrl-CS"/>
        </w:rPr>
        <w:t xml:space="preserve"> и </w:t>
      </w:r>
      <w:r w:rsidR="00CD584B" w:rsidRPr="00E84C93">
        <w:rPr>
          <w:rFonts w:cs="Times New Roman"/>
          <w:szCs w:val="24"/>
          <w:lang w:val="sr-Cyrl-CS"/>
        </w:rPr>
        <w:t>санацију</w:t>
      </w:r>
      <w:r w:rsidRPr="00E84C93">
        <w:rPr>
          <w:rFonts w:cs="Times New Roman"/>
          <w:szCs w:val="24"/>
          <w:lang w:val="sr-Cyrl-CS"/>
        </w:rPr>
        <w:t xml:space="preserve"> локације по завршетку. Услови </w:t>
      </w:r>
      <w:r w:rsidRPr="00E84C93">
        <w:rPr>
          <w:rFonts w:cs="Times New Roman"/>
          <w:szCs w:val="24"/>
          <w:lang w:val="sr-Cyrl-CS"/>
        </w:rPr>
        <w:lastRenderedPageBreak/>
        <w:t>за издавање дозвола, укључујући ту и граничне вредности емисија, морају се заснивати на најбољим расположивим техникама (BAT).</w:t>
      </w:r>
    </w:p>
    <w:p w14:paraId="2160E61C" w14:textId="0C6D0E91" w:rsidR="00122A64" w:rsidRPr="00E84C93" w:rsidRDefault="00122A64" w:rsidP="00122A64">
      <w:pPr>
        <w:spacing w:after="0"/>
        <w:ind w:firstLine="720"/>
        <w:jc w:val="both"/>
        <w:rPr>
          <w:rFonts w:cs="Times New Roman"/>
          <w:szCs w:val="24"/>
          <w:lang w:val="sr-Cyrl-CS"/>
        </w:rPr>
      </w:pPr>
      <w:r w:rsidRPr="00E84C93">
        <w:rPr>
          <w:rFonts w:cs="Times New Roman"/>
          <w:szCs w:val="24"/>
          <w:lang w:val="sr-Cyrl-CS"/>
        </w:rPr>
        <w:t xml:space="preserve">Од посебног значаја у домену третмана </w:t>
      </w:r>
      <w:r w:rsidR="00255FDD" w:rsidRPr="00E84C93">
        <w:rPr>
          <w:rFonts w:cs="Times New Roman"/>
          <w:szCs w:val="24"/>
          <w:lang w:val="sr-Cyrl-CS"/>
        </w:rPr>
        <w:t xml:space="preserve">муља из постројења за пречишћавање отпадних вода </w:t>
      </w:r>
      <w:r w:rsidRPr="00E84C93">
        <w:rPr>
          <w:rFonts w:cs="Times New Roman"/>
          <w:szCs w:val="24"/>
          <w:lang w:val="sr-Cyrl-CS"/>
        </w:rPr>
        <w:t>су документи са референцама најбољих расположивих техника (BREF):</w:t>
      </w:r>
    </w:p>
    <w:p w14:paraId="1E33301B" w14:textId="746B0D58" w:rsidR="00122A64" w:rsidRPr="00E84C93" w:rsidRDefault="00122A64" w:rsidP="009F46DE">
      <w:pPr>
        <w:pStyle w:val="ListParagraph"/>
        <w:numPr>
          <w:ilvl w:val="0"/>
          <w:numId w:val="7"/>
        </w:numPr>
        <w:spacing w:after="0"/>
        <w:ind w:left="0" w:firstLine="720"/>
        <w:jc w:val="both"/>
        <w:rPr>
          <w:rFonts w:cs="Times New Roman"/>
          <w:szCs w:val="24"/>
          <w:lang w:val="sr-Cyrl-CS"/>
        </w:rPr>
      </w:pPr>
      <w:r w:rsidRPr="00E84C93">
        <w:rPr>
          <w:rFonts w:cs="Times New Roman"/>
          <w:szCs w:val="24"/>
          <w:lang w:val="sr-Cyrl-CS"/>
        </w:rPr>
        <w:t>референтни документ о најбољим расположивим техникама у домену индустрије третмана отпада (BREF W</w:t>
      </w:r>
      <w:r w:rsidR="009F46DE" w:rsidRPr="00E84C93">
        <w:rPr>
          <w:rFonts w:cs="Times New Roman"/>
          <w:szCs w:val="24"/>
          <w:lang w:val="sr-Cyrl-CS"/>
        </w:rPr>
        <w:t>Т);</w:t>
      </w:r>
    </w:p>
    <w:p w14:paraId="2CC943BE" w14:textId="0CDE38F0" w:rsidR="00122A64" w:rsidRPr="00E84C93" w:rsidRDefault="00122A64" w:rsidP="009F46DE">
      <w:pPr>
        <w:pStyle w:val="ListParagraph"/>
        <w:numPr>
          <w:ilvl w:val="0"/>
          <w:numId w:val="7"/>
        </w:numPr>
        <w:spacing w:after="0"/>
        <w:ind w:left="0" w:firstLine="720"/>
        <w:jc w:val="both"/>
        <w:rPr>
          <w:rFonts w:cs="Times New Roman"/>
          <w:szCs w:val="24"/>
          <w:lang w:val="sr-Cyrl-CS"/>
        </w:rPr>
      </w:pPr>
      <w:r w:rsidRPr="00E84C93">
        <w:rPr>
          <w:rFonts w:cs="Times New Roman"/>
          <w:szCs w:val="24"/>
          <w:lang w:val="sr-Cyrl-CS"/>
        </w:rPr>
        <w:t xml:space="preserve">референтни документ о најбољим расположивим техникама у домену </w:t>
      </w:r>
      <w:r w:rsidR="00B605DC" w:rsidRPr="00E84C93">
        <w:rPr>
          <w:rFonts w:cs="Times New Roman"/>
          <w:szCs w:val="24"/>
          <w:lang w:val="sr-Cyrl-CS"/>
        </w:rPr>
        <w:t>инсинерације</w:t>
      </w:r>
      <w:r w:rsidRPr="00E84C93">
        <w:rPr>
          <w:rFonts w:cs="Times New Roman"/>
          <w:szCs w:val="24"/>
          <w:lang w:val="sr-Cyrl-CS"/>
        </w:rPr>
        <w:t xml:space="preserve"> отпада (BREF WI</w:t>
      </w:r>
      <w:r w:rsidR="009F46DE" w:rsidRPr="00E84C93">
        <w:rPr>
          <w:rFonts w:cs="Times New Roman"/>
          <w:szCs w:val="24"/>
          <w:lang w:val="sr-Cyrl-CS"/>
        </w:rPr>
        <w:t>);</w:t>
      </w:r>
    </w:p>
    <w:p w14:paraId="403891E3" w14:textId="7DCB631A" w:rsidR="00122A64" w:rsidRPr="00E84C93" w:rsidRDefault="00122A64" w:rsidP="009F46DE">
      <w:pPr>
        <w:pStyle w:val="ListParagraph"/>
        <w:numPr>
          <w:ilvl w:val="0"/>
          <w:numId w:val="7"/>
        </w:numPr>
        <w:spacing w:after="0"/>
        <w:ind w:left="0" w:firstLine="720"/>
        <w:jc w:val="both"/>
        <w:rPr>
          <w:rFonts w:cs="Times New Roman"/>
          <w:szCs w:val="24"/>
          <w:lang w:val="sr-Cyrl-CS"/>
        </w:rPr>
      </w:pPr>
      <w:r w:rsidRPr="00E84C93">
        <w:rPr>
          <w:rFonts w:cs="Times New Roman"/>
          <w:szCs w:val="24"/>
          <w:lang w:val="sr-Cyrl-CS"/>
        </w:rPr>
        <w:t xml:space="preserve">референтни документ о најбољим расположивим техникама у домену заједничког </w:t>
      </w:r>
      <w:r w:rsidR="00710782" w:rsidRPr="00E84C93">
        <w:rPr>
          <w:rFonts w:cs="Times New Roman"/>
          <w:szCs w:val="24"/>
          <w:lang w:val="sr-Cyrl-CS"/>
        </w:rPr>
        <w:t>пречишћавања</w:t>
      </w:r>
      <w:r w:rsidRPr="00E84C93">
        <w:rPr>
          <w:rFonts w:cs="Times New Roman"/>
          <w:szCs w:val="24"/>
          <w:lang w:val="sr-Cyrl-CS"/>
        </w:rPr>
        <w:t xml:space="preserve"> отпадних вода и отпадних гасова / система управљања у хемијском сектору (BREF TCI).</w:t>
      </w:r>
    </w:p>
    <w:p w14:paraId="55417E57" w14:textId="00D7123C" w:rsidR="00122A64" w:rsidRPr="00E84C93" w:rsidRDefault="001C69C8" w:rsidP="00122A64">
      <w:pPr>
        <w:spacing w:after="0"/>
        <w:ind w:firstLine="720"/>
        <w:jc w:val="both"/>
        <w:rPr>
          <w:rFonts w:cs="Times New Roman"/>
          <w:szCs w:val="24"/>
          <w:lang w:val="sr-Cyrl-CS"/>
        </w:rPr>
      </w:pPr>
      <w:r w:rsidRPr="00E84C93">
        <w:rPr>
          <w:rFonts w:cs="Times New Roman"/>
          <w:szCs w:val="24"/>
          <w:lang w:val="sr-Cyrl-CS"/>
        </w:rPr>
        <w:t>У</w:t>
      </w:r>
      <w:r w:rsidR="00122A64" w:rsidRPr="00E84C93">
        <w:rPr>
          <w:rFonts w:cs="Times New Roman"/>
          <w:szCs w:val="24"/>
          <w:lang w:val="sr-Cyrl-CS"/>
        </w:rPr>
        <w:t xml:space="preserve">свајањем Директиве 2010/75/EU о индустријском емисијама, </w:t>
      </w:r>
      <w:r w:rsidR="005F006D" w:rsidRPr="00E84C93">
        <w:rPr>
          <w:rFonts w:cs="Times New Roman"/>
          <w:szCs w:val="24"/>
          <w:lang w:val="sr-Cyrl-CS"/>
        </w:rPr>
        <w:t>з</w:t>
      </w:r>
      <w:r w:rsidR="00122A64" w:rsidRPr="00E84C93">
        <w:rPr>
          <w:rFonts w:cs="Times New Roman"/>
          <w:szCs w:val="24"/>
          <w:lang w:val="sr-Cyrl-CS"/>
        </w:rPr>
        <w:t>ахтеви у погледу спаљивања и коспаљивања отпада дати</w:t>
      </w:r>
      <w:r w:rsidR="005F006D" w:rsidRPr="00E84C93">
        <w:rPr>
          <w:rFonts w:cs="Times New Roman"/>
          <w:szCs w:val="24"/>
          <w:lang w:val="sr-Cyrl-CS"/>
        </w:rPr>
        <w:t xml:space="preserve"> су</w:t>
      </w:r>
      <w:r w:rsidR="00122A64" w:rsidRPr="00E84C93">
        <w:rPr>
          <w:rFonts w:cs="Times New Roman"/>
          <w:szCs w:val="24"/>
          <w:lang w:val="sr-Cyrl-CS"/>
        </w:rPr>
        <w:t xml:space="preserve"> у Поглављу IV (</w:t>
      </w:r>
      <w:r w:rsidR="00F13789" w:rsidRPr="00E84C93">
        <w:rPr>
          <w:rFonts w:cs="Times New Roman"/>
          <w:szCs w:val="24"/>
          <w:lang w:val="sr-Cyrl-CS"/>
        </w:rPr>
        <w:t>ч</w:t>
      </w:r>
      <w:r w:rsidR="00122A64" w:rsidRPr="00E84C93">
        <w:rPr>
          <w:rFonts w:cs="Times New Roman"/>
          <w:szCs w:val="24"/>
          <w:lang w:val="sr-Cyrl-CS"/>
        </w:rPr>
        <w:t>л</w:t>
      </w:r>
      <w:r w:rsidR="00F13789" w:rsidRPr="00E84C93">
        <w:rPr>
          <w:rFonts w:cs="Times New Roman"/>
          <w:szCs w:val="24"/>
          <w:lang w:val="sr-Cyrl-CS"/>
        </w:rPr>
        <w:t>.</w:t>
      </w:r>
      <w:r w:rsidR="00122A64" w:rsidRPr="00E84C93">
        <w:rPr>
          <w:rFonts w:cs="Times New Roman"/>
          <w:szCs w:val="24"/>
          <w:lang w:val="sr-Cyrl-CS"/>
        </w:rPr>
        <w:t xml:space="preserve"> 42-55</w:t>
      </w:r>
      <w:r w:rsidR="005F006D" w:rsidRPr="00E84C93">
        <w:rPr>
          <w:rFonts w:cs="Times New Roman"/>
          <w:szCs w:val="24"/>
          <w:lang w:val="sr-Cyrl-CS"/>
        </w:rPr>
        <w:t>.</w:t>
      </w:r>
      <w:r w:rsidR="00122A64" w:rsidRPr="00E84C93">
        <w:rPr>
          <w:rFonts w:cs="Times New Roman"/>
          <w:szCs w:val="24"/>
          <w:lang w:val="sr-Cyrl-CS"/>
        </w:rPr>
        <w:t xml:space="preserve">) Директиве. Технички захтеви за инсталације које користе </w:t>
      </w:r>
      <w:r w:rsidR="0067330C" w:rsidRPr="00E84C93">
        <w:rPr>
          <w:rFonts w:cs="Times New Roman"/>
          <w:szCs w:val="24"/>
          <w:lang w:val="sr-Cyrl-CS"/>
        </w:rPr>
        <w:t>инсинерацију или коинсинерацију</w:t>
      </w:r>
      <w:r w:rsidR="00122A64" w:rsidRPr="00E84C93">
        <w:rPr>
          <w:rFonts w:cs="Times New Roman"/>
          <w:szCs w:val="24"/>
          <w:lang w:val="sr-Cyrl-CS"/>
        </w:rPr>
        <w:t xml:space="preserve"> налазе се у Анексу VI.</w:t>
      </w:r>
    </w:p>
    <w:p w14:paraId="1B8FD3E0" w14:textId="0B87E589" w:rsidR="00A67BCB" w:rsidRPr="00E84C93" w:rsidRDefault="00A67BCB" w:rsidP="00A67BCB">
      <w:pPr>
        <w:spacing w:after="0"/>
        <w:ind w:firstLine="720"/>
        <w:jc w:val="both"/>
        <w:rPr>
          <w:rFonts w:cs="Times New Roman"/>
          <w:szCs w:val="24"/>
          <w:lang w:val="sr-Cyrl-CS"/>
        </w:rPr>
      </w:pPr>
      <w:r w:rsidRPr="00E84C93">
        <w:rPr>
          <w:rFonts w:cs="Times New Roman"/>
          <w:szCs w:val="24"/>
          <w:lang w:val="sr-Cyrl-CS"/>
        </w:rPr>
        <w:t>Муљ из постројења за пречишћавање отпадних вода</w:t>
      </w:r>
      <w:r w:rsidR="00A61448" w:rsidRPr="00E84C93">
        <w:rPr>
          <w:rFonts w:cs="Times New Roman"/>
          <w:szCs w:val="24"/>
          <w:lang w:val="sr-Cyrl-CS"/>
        </w:rPr>
        <w:t xml:space="preserve"> </w:t>
      </w:r>
      <w:r w:rsidRPr="00E84C93">
        <w:rPr>
          <w:rFonts w:cs="Times New Roman"/>
          <w:szCs w:val="24"/>
          <w:lang w:val="sr-Cyrl-CS"/>
        </w:rPr>
        <w:t>сврстан је</w:t>
      </w:r>
      <w:r w:rsidR="00A61448" w:rsidRPr="00E84C93">
        <w:rPr>
          <w:rFonts w:cs="Times New Roman"/>
          <w:szCs w:val="24"/>
          <w:lang w:val="sr-Cyrl-CS"/>
        </w:rPr>
        <w:t xml:space="preserve"> </w:t>
      </w:r>
      <w:r w:rsidRPr="00E84C93">
        <w:rPr>
          <w:rFonts w:cs="Times New Roman"/>
          <w:szCs w:val="24"/>
          <w:lang w:val="sr-Cyrl-CS"/>
        </w:rPr>
        <w:t>у категорију отпада, и сагл</w:t>
      </w:r>
      <w:r w:rsidR="00170D3B" w:rsidRPr="00E84C93">
        <w:rPr>
          <w:rFonts w:cs="Times New Roman"/>
          <w:szCs w:val="24"/>
          <w:lang w:val="sr-Cyrl-CS"/>
        </w:rPr>
        <w:t>а</w:t>
      </w:r>
      <w:r w:rsidRPr="00E84C93">
        <w:rPr>
          <w:rFonts w:cs="Times New Roman"/>
          <w:szCs w:val="24"/>
          <w:lang w:val="sr-Cyrl-CS"/>
        </w:rPr>
        <w:t>сно томе</w:t>
      </w:r>
      <w:r w:rsidR="00A61448" w:rsidRPr="00E84C93">
        <w:rPr>
          <w:rFonts w:cs="Times New Roman"/>
          <w:szCs w:val="24"/>
          <w:lang w:val="sr-Cyrl-CS"/>
        </w:rPr>
        <w:t xml:space="preserve"> </w:t>
      </w:r>
      <w:r w:rsidRPr="00E84C93">
        <w:rPr>
          <w:rFonts w:cs="Times New Roman"/>
          <w:szCs w:val="24"/>
          <w:lang w:val="sr-Cyrl-CS"/>
        </w:rPr>
        <w:t xml:space="preserve">спаљивање муља је обухваћено овом </w:t>
      </w:r>
      <w:r w:rsidR="00F13789" w:rsidRPr="00E84C93">
        <w:rPr>
          <w:rFonts w:cs="Times New Roman"/>
          <w:szCs w:val="24"/>
          <w:lang w:val="sr-Cyrl-CS"/>
        </w:rPr>
        <w:t>д</w:t>
      </w:r>
      <w:r w:rsidRPr="00E84C93">
        <w:rPr>
          <w:rFonts w:cs="Times New Roman"/>
          <w:szCs w:val="24"/>
          <w:lang w:val="sr-Cyrl-CS"/>
        </w:rPr>
        <w:t>ирективом.</w:t>
      </w:r>
    </w:p>
    <w:p w14:paraId="77BFF2D1" w14:textId="77777777" w:rsidR="00A67BCB" w:rsidRPr="00E84C93" w:rsidRDefault="00A67BCB" w:rsidP="00A67BCB">
      <w:pPr>
        <w:spacing w:after="0"/>
        <w:ind w:firstLine="720"/>
        <w:jc w:val="both"/>
        <w:rPr>
          <w:rFonts w:cs="Times New Roman"/>
          <w:szCs w:val="24"/>
          <w:lang w:val="sr-Cyrl-CS"/>
        </w:rPr>
      </w:pPr>
      <w:r w:rsidRPr="00E84C93">
        <w:rPr>
          <w:rFonts w:cs="Times New Roman"/>
          <w:szCs w:val="24"/>
          <w:lang w:val="sr-Cyrl-CS"/>
        </w:rPr>
        <w:t>Од важности за муљ су и захтеви у вези са издавањем дозвола за испуштање у канализацију, као и за инсинерацију и коинсинерацију.</w:t>
      </w:r>
    </w:p>
    <w:p w14:paraId="76656DD5" w14:textId="1BB7C175" w:rsidR="00E65617" w:rsidRPr="00E84C93" w:rsidRDefault="00A67BCB" w:rsidP="00A67BCB">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 xml:space="preserve">За неке депоније обухваћене Директивом 1999/31/EC о одлагању отпада на депоније такође је важења и Директива о индустријским емисијама. Као последица тога, захтеви наведени у Анексу I Директиве о депонијама замењују граничне вредности емисија, еквивалентне параметре и техничке мере засноване на најбољим расположивим техникама (BAT) које изискује </w:t>
      </w:r>
      <w:r w:rsidR="00266A1A" w:rsidRPr="00E84C93">
        <w:rPr>
          <w:rFonts w:ascii="Times New Roman" w:hAnsi="Times New Roman" w:cs="Times New Roman"/>
          <w:lang w:val="sr-Cyrl-CS"/>
        </w:rPr>
        <w:t>Д</w:t>
      </w:r>
      <w:r w:rsidRPr="00E84C93">
        <w:rPr>
          <w:rFonts w:ascii="Times New Roman" w:hAnsi="Times New Roman" w:cs="Times New Roman"/>
          <w:lang w:val="sr-Cyrl-CS"/>
        </w:rPr>
        <w:t>иректива о индустријским емисијама</w:t>
      </w:r>
      <w:r w:rsidR="00122A64" w:rsidRPr="00E84C93">
        <w:rPr>
          <w:rFonts w:ascii="Times New Roman" w:hAnsi="Times New Roman" w:cs="Times New Roman"/>
          <w:lang w:val="sr-Cyrl-CS"/>
        </w:rPr>
        <w:t>.</w:t>
      </w:r>
    </w:p>
    <w:p w14:paraId="1179B06E" w14:textId="133D6B2B" w:rsidR="00122A64" w:rsidRPr="00E84C93" w:rsidRDefault="00122A64" w:rsidP="00122A64">
      <w:pPr>
        <w:pStyle w:val="Default"/>
        <w:ind w:firstLine="720"/>
        <w:jc w:val="both"/>
        <w:rPr>
          <w:rFonts w:ascii="Times New Roman" w:hAnsi="Times New Roman" w:cs="Times New Roman"/>
          <w:color w:val="auto"/>
          <w:lang w:val="sr-Cyrl-CS"/>
        </w:rPr>
      </w:pPr>
      <w:r w:rsidRPr="00E84C93">
        <w:rPr>
          <w:rFonts w:ascii="Times New Roman" w:hAnsi="Times New Roman" w:cs="Times New Roman"/>
          <w:b/>
          <w:bCs/>
          <w:lang w:val="sr-Cyrl-CS"/>
        </w:rPr>
        <w:t xml:space="preserve">Директива 2008/105/EC о стандардима квалитета </w:t>
      </w:r>
      <w:r w:rsidR="00E50711" w:rsidRPr="00E84C93">
        <w:rPr>
          <w:rFonts w:ascii="Times New Roman" w:hAnsi="Times New Roman" w:cs="Times New Roman"/>
          <w:b/>
          <w:bCs/>
          <w:lang w:val="sr-Cyrl-CS"/>
        </w:rPr>
        <w:t>животне средине</w:t>
      </w:r>
      <w:r w:rsidR="00E50711" w:rsidRPr="00E84C93">
        <w:rPr>
          <w:rFonts w:ascii="Times New Roman" w:hAnsi="Times New Roman" w:cs="Times New Roman"/>
          <w:lang w:val="sr-Cyrl-CS"/>
        </w:rPr>
        <w:t xml:space="preserve"> </w:t>
      </w:r>
      <w:r w:rsidRPr="00E84C93">
        <w:rPr>
          <w:rFonts w:ascii="Times New Roman" w:hAnsi="Times New Roman" w:cs="Times New Roman"/>
          <w:lang w:val="sr-Cyrl-CS"/>
        </w:rPr>
        <w:t>успоставља стандарде квалитета за приоритетне супстанце и загађ</w:t>
      </w:r>
      <w:r w:rsidR="005F006D" w:rsidRPr="00E84C93">
        <w:rPr>
          <w:rFonts w:ascii="Times New Roman" w:hAnsi="Times New Roman" w:cs="Times New Roman"/>
          <w:lang w:val="sr-Cyrl-CS"/>
        </w:rPr>
        <w:t>ујуће материје</w:t>
      </w:r>
      <w:r w:rsidRPr="00E84C93">
        <w:rPr>
          <w:rFonts w:ascii="Times New Roman" w:hAnsi="Times New Roman" w:cs="Times New Roman"/>
          <w:lang w:val="sr-Cyrl-CS"/>
        </w:rPr>
        <w:t xml:space="preserve"> у вези са добрим хемијским статусом површин</w:t>
      </w:r>
      <w:r w:rsidR="005F006D" w:rsidRPr="00E84C93">
        <w:rPr>
          <w:rFonts w:ascii="Times New Roman" w:hAnsi="Times New Roman" w:cs="Times New Roman"/>
          <w:lang w:val="sr-Cyrl-CS"/>
        </w:rPr>
        <w:t>ских</w:t>
      </w:r>
      <w:r w:rsidRPr="00E84C93">
        <w:rPr>
          <w:rFonts w:ascii="Times New Roman" w:hAnsi="Times New Roman" w:cs="Times New Roman"/>
          <w:lang w:val="sr-Cyrl-CS"/>
        </w:rPr>
        <w:t xml:space="preserve"> вода (седименти и живи свет), а државе чланице, у сврху </w:t>
      </w:r>
      <w:r w:rsidR="005F006D" w:rsidRPr="00E84C93">
        <w:rPr>
          <w:rFonts w:ascii="Times New Roman" w:hAnsi="Times New Roman" w:cs="Times New Roman"/>
          <w:lang w:val="sr-Cyrl-CS"/>
        </w:rPr>
        <w:t>за</w:t>
      </w:r>
      <w:r w:rsidRPr="00E84C93">
        <w:rPr>
          <w:rFonts w:ascii="Times New Roman" w:hAnsi="Times New Roman" w:cs="Times New Roman"/>
          <w:lang w:val="sr-Cyrl-CS"/>
        </w:rPr>
        <w:t xml:space="preserve">довољавања </w:t>
      </w:r>
      <w:r w:rsidR="005F006D" w:rsidRPr="00E84C93">
        <w:rPr>
          <w:rFonts w:ascii="Times New Roman" w:hAnsi="Times New Roman" w:cs="Times New Roman"/>
          <w:lang w:val="sr-Cyrl-CS"/>
        </w:rPr>
        <w:t>ових стандарда</w:t>
      </w:r>
      <w:r w:rsidRPr="00E84C93">
        <w:rPr>
          <w:rFonts w:ascii="Times New Roman" w:hAnsi="Times New Roman" w:cs="Times New Roman"/>
          <w:lang w:val="sr-Cyrl-CS"/>
        </w:rPr>
        <w:t xml:space="preserve">, </w:t>
      </w:r>
      <w:r w:rsidRPr="00E84C93">
        <w:rPr>
          <w:rFonts w:ascii="Times New Roman" w:hAnsi="Times New Roman" w:cs="Times New Roman"/>
          <w:color w:val="auto"/>
          <w:lang w:val="sr-Cyrl-CS"/>
        </w:rPr>
        <w:t>могу примењивати строж</w:t>
      </w:r>
      <w:r w:rsidR="00F51ED7" w:rsidRPr="00E84C93">
        <w:rPr>
          <w:rFonts w:ascii="Times New Roman" w:hAnsi="Times New Roman" w:cs="Times New Roman"/>
          <w:color w:val="auto"/>
          <w:lang w:val="sr-Cyrl-CS"/>
        </w:rPr>
        <w:t>иј</w:t>
      </w:r>
      <w:r w:rsidRPr="00E84C93">
        <w:rPr>
          <w:rFonts w:ascii="Times New Roman" w:hAnsi="Times New Roman" w:cs="Times New Roman"/>
          <w:color w:val="auto"/>
          <w:lang w:val="sr-Cyrl-CS"/>
        </w:rPr>
        <w:t>е стандарде за муљ</w:t>
      </w:r>
      <w:r w:rsidR="00255FDD" w:rsidRPr="00E84C93">
        <w:rPr>
          <w:rFonts w:ascii="Times New Roman" w:hAnsi="Times New Roman" w:cs="Times New Roman"/>
          <w:color w:val="auto"/>
          <w:lang w:val="sr-Cyrl-CS"/>
        </w:rPr>
        <w:t xml:space="preserve"> </w:t>
      </w:r>
      <w:r w:rsidR="00255FDD" w:rsidRPr="00E84C93">
        <w:rPr>
          <w:rFonts w:ascii="Times New Roman" w:hAnsi="Times New Roman" w:cs="Times New Roman"/>
          <w:lang w:val="sr-Cyrl-CS"/>
        </w:rPr>
        <w:t>из постројења за пречишћавање отпадних вода</w:t>
      </w:r>
      <w:r w:rsidRPr="00E84C93">
        <w:rPr>
          <w:rFonts w:ascii="Times New Roman" w:hAnsi="Times New Roman" w:cs="Times New Roman"/>
          <w:color w:val="auto"/>
          <w:lang w:val="sr-Cyrl-CS"/>
        </w:rPr>
        <w:t>.</w:t>
      </w:r>
    </w:p>
    <w:p w14:paraId="18756B5A" w14:textId="5C1E7CD7" w:rsidR="00122A64" w:rsidRPr="00E84C93" w:rsidRDefault="00122A64" w:rsidP="00122A64">
      <w:pPr>
        <w:pStyle w:val="Default"/>
        <w:ind w:firstLine="720"/>
        <w:jc w:val="both"/>
        <w:rPr>
          <w:rFonts w:ascii="Times New Roman" w:hAnsi="Times New Roman" w:cs="Times New Roman"/>
          <w:lang w:val="sr-Cyrl-CS"/>
        </w:rPr>
      </w:pPr>
      <w:r w:rsidRPr="00E84C93">
        <w:rPr>
          <w:rFonts w:ascii="Times New Roman" w:hAnsi="Times New Roman" w:cs="Times New Roman"/>
          <w:b/>
          <w:bCs/>
          <w:color w:val="auto"/>
          <w:lang w:val="sr-Cyrl-CS"/>
        </w:rPr>
        <w:t xml:space="preserve">Директива 2007/2/EC </w:t>
      </w:r>
      <w:r w:rsidR="00E50711" w:rsidRPr="00E84C93">
        <w:rPr>
          <w:rFonts w:ascii="Times New Roman" w:hAnsi="Times New Roman" w:cs="Times New Roman"/>
          <w:b/>
          <w:bCs/>
          <w:color w:val="auto"/>
          <w:lang w:val="sr-Cyrl-CS"/>
        </w:rPr>
        <w:t>о у</w:t>
      </w:r>
      <w:r w:rsidR="00E50711" w:rsidRPr="00E84C93">
        <w:rPr>
          <w:rFonts w:ascii="Times New Roman" w:hAnsi="Times New Roman" w:cs="Times New Roman"/>
          <w:b/>
          <w:bCs/>
          <w:color w:val="auto"/>
          <w:shd w:val="clear" w:color="auto" w:fill="FFFFFF"/>
          <w:lang w:val="sr-Cyrl-CS"/>
        </w:rPr>
        <w:t>спостављању инфраструктуре просторних информација у Европској заједници</w:t>
      </w:r>
      <w:r w:rsidR="00E50711" w:rsidRPr="00E84C93">
        <w:rPr>
          <w:rFonts w:ascii="Times New Roman" w:hAnsi="Times New Roman" w:cs="Times New Roman"/>
          <w:b/>
          <w:bCs/>
          <w:color w:val="auto"/>
          <w:lang w:val="sr-Cyrl-CS"/>
        </w:rPr>
        <w:t xml:space="preserve"> </w:t>
      </w:r>
      <w:r w:rsidR="001C69C8" w:rsidRPr="00E84C93">
        <w:rPr>
          <w:rFonts w:ascii="Times New Roman" w:hAnsi="Times New Roman" w:cs="Times New Roman"/>
          <w:b/>
          <w:bCs/>
          <w:color w:val="auto"/>
          <w:lang w:val="sr-Cyrl-CS"/>
        </w:rPr>
        <w:t>и</w:t>
      </w:r>
      <w:r w:rsidRPr="00E84C93">
        <w:rPr>
          <w:rFonts w:ascii="Times New Roman" w:hAnsi="Times New Roman" w:cs="Times New Roman"/>
          <w:b/>
          <w:bCs/>
          <w:color w:val="auto"/>
          <w:lang w:val="sr-Cyrl-CS"/>
        </w:rPr>
        <w:t xml:space="preserve"> Директива 2003/4/EC </w:t>
      </w:r>
      <w:r w:rsidR="00E50711" w:rsidRPr="00E84C93">
        <w:rPr>
          <w:rFonts w:ascii="Times New Roman" w:hAnsi="Times New Roman" w:cs="Times New Roman"/>
          <w:b/>
          <w:bCs/>
          <w:color w:val="auto"/>
          <w:lang w:val="sr-Cyrl-CS"/>
        </w:rPr>
        <w:t xml:space="preserve">o приступу </w:t>
      </w:r>
      <w:r w:rsidR="008B6857" w:rsidRPr="00E84C93">
        <w:rPr>
          <w:rFonts w:ascii="Times New Roman" w:hAnsi="Times New Roman" w:cs="Times New Roman"/>
          <w:b/>
          <w:bCs/>
          <w:color w:val="auto"/>
          <w:lang w:val="sr-Cyrl-CS"/>
        </w:rPr>
        <w:t xml:space="preserve">јавним </w:t>
      </w:r>
      <w:r w:rsidR="00E50711" w:rsidRPr="00E84C93">
        <w:rPr>
          <w:rFonts w:ascii="Times New Roman" w:hAnsi="Times New Roman" w:cs="Times New Roman"/>
          <w:b/>
          <w:bCs/>
          <w:color w:val="auto"/>
          <w:lang w:val="sr-Cyrl-CS"/>
        </w:rPr>
        <w:t>информацијама о животној средини</w:t>
      </w:r>
      <w:r w:rsidR="00E50711" w:rsidRPr="00E84C93">
        <w:rPr>
          <w:rFonts w:ascii="Times New Roman" w:hAnsi="Times New Roman" w:cs="Times New Roman"/>
          <w:color w:val="auto"/>
          <w:lang w:val="sr-Cyrl-CS"/>
        </w:rPr>
        <w:t xml:space="preserve"> </w:t>
      </w:r>
      <w:r w:rsidRPr="00E84C93">
        <w:rPr>
          <w:rFonts w:ascii="Times New Roman" w:hAnsi="Times New Roman" w:cs="Times New Roman"/>
          <w:color w:val="auto"/>
          <w:lang w:val="sr-Cyrl-CS"/>
        </w:rPr>
        <w:t xml:space="preserve">- У вези са обавезом пријављивања садржаном у Директиви о </w:t>
      </w:r>
      <w:r w:rsidR="00255FDD" w:rsidRPr="00E84C93">
        <w:rPr>
          <w:rFonts w:ascii="Times New Roman" w:hAnsi="Times New Roman" w:cs="Times New Roman"/>
          <w:lang w:val="sr-Cyrl-CS"/>
        </w:rPr>
        <w:t>муљу из постројења за пречишћавање отпадних вода</w:t>
      </w:r>
      <w:r w:rsidRPr="00E84C93">
        <w:rPr>
          <w:rFonts w:ascii="Times New Roman" w:hAnsi="Times New Roman" w:cs="Times New Roman"/>
          <w:color w:val="auto"/>
          <w:lang w:val="sr-Cyrl-CS"/>
        </w:rPr>
        <w:t xml:space="preserve">, скорашњи амандмани обавезују државе чланице да обезбеде виши ниво транспарентности и да учине доступним, на </w:t>
      </w:r>
      <w:r w:rsidRPr="00E84C93">
        <w:rPr>
          <w:rFonts w:ascii="Times New Roman" w:hAnsi="Times New Roman" w:cs="Times New Roman"/>
          <w:lang w:val="sr-Cyrl-CS"/>
        </w:rPr>
        <w:t>лак начин путем електронских средстава, информације</w:t>
      </w:r>
      <w:r w:rsidR="0004065F" w:rsidRPr="00E84C93">
        <w:rPr>
          <w:rFonts w:ascii="Times New Roman" w:hAnsi="Times New Roman" w:cs="Times New Roman"/>
          <w:lang w:val="sr-Cyrl-CS"/>
        </w:rPr>
        <w:t xml:space="preserve"> o животној средини</w:t>
      </w:r>
      <w:r w:rsidRPr="00E84C93">
        <w:rPr>
          <w:rFonts w:ascii="Times New Roman" w:hAnsi="Times New Roman" w:cs="Times New Roman"/>
          <w:lang w:val="sr-Cyrl-CS"/>
        </w:rPr>
        <w:t xml:space="preserve"> и просторне податке, нарочито о приступачности јавности, дељењу информација и услугама.</w:t>
      </w:r>
    </w:p>
    <w:p w14:paraId="74DDA478" w14:textId="51188751" w:rsidR="00FC6BAA" w:rsidRPr="00E84C93" w:rsidRDefault="00FC6BAA" w:rsidP="00FC6BAA">
      <w:pPr>
        <w:pStyle w:val="Default"/>
        <w:jc w:val="both"/>
        <w:rPr>
          <w:rFonts w:ascii="Times New Roman" w:hAnsi="Times New Roman" w:cs="Times New Roman"/>
          <w:lang w:val="sr-Cyrl-CS"/>
        </w:rPr>
      </w:pPr>
    </w:p>
    <w:p w14:paraId="75FB98EF" w14:textId="747CDE80" w:rsidR="00FC6BAA" w:rsidRPr="00E84C93" w:rsidRDefault="00FC6BAA" w:rsidP="00DF360D">
      <w:pPr>
        <w:pStyle w:val="Heading2"/>
        <w:numPr>
          <w:ilvl w:val="1"/>
          <w:numId w:val="2"/>
        </w:numPr>
        <w:tabs>
          <w:tab w:val="num" w:pos="1440"/>
        </w:tabs>
        <w:spacing w:before="0"/>
        <w:ind w:hanging="360"/>
        <w:rPr>
          <w:lang w:val="sr-Cyrl-CS"/>
        </w:rPr>
      </w:pPr>
      <w:r w:rsidRPr="00E84C93">
        <w:rPr>
          <w:lang w:val="sr-Cyrl-CS"/>
        </w:rPr>
        <w:t xml:space="preserve"> </w:t>
      </w:r>
      <w:bookmarkStart w:id="4" w:name="_Toc99920886"/>
      <w:r w:rsidRPr="00E84C93">
        <w:rPr>
          <w:lang w:val="sr-Cyrl-CS"/>
        </w:rPr>
        <w:t>Национални оквир јавне политике</w:t>
      </w:r>
      <w:bookmarkEnd w:id="4"/>
      <w:r w:rsidRPr="00E84C93">
        <w:rPr>
          <w:lang w:val="sr-Cyrl-CS"/>
        </w:rPr>
        <w:t xml:space="preserve"> </w:t>
      </w:r>
    </w:p>
    <w:p w14:paraId="50270714" w14:textId="61D9F6BB" w:rsidR="00FC6BAA" w:rsidRPr="00E84C93" w:rsidRDefault="00FC6BAA" w:rsidP="00DF360D">
      <w:pPr>
        <w:pStyle w:val="Heading3"/>
        <w:numPr>
          <w:ilvl w:val="2"/>
          <w:numId w:val="2"/>
        </w:numPr>
        <w:tabs>
          <w:tab w:val="num" w:pos="2160"/>
        </w:tabs>
        <w:spacing w:before="0" w:after="0"/>
        <w:ind w:left="2160" w:hanging="360"/>
        <w:rPr>
          <w:rFonts w:eastAsia="Arial"/>
          <w:noProof/>
          <w:lang w:val="sr-Cyrl-CS"/>
        </w:rPr>
      </w:pPr>
      <w:bookmarkStart w:id="5" w:name="_Toc99920887"/>
      <w:r w:rsidRPr="00E84C93">
        <w:rPr>
          <w:rFonts w:eastAsia="Arial"/>
          <w:noProof/>
          <w:lang w:val="sr-Cyrl-CS"/>
        </w:rPr>
        <w:t>Законодавн</w:t>
      </w:r>
      <w:r w:rsidR="0055215B" w:rsidRPr="00E84C93">
        <w:rPr>
          <w:rFonts w:eastAsia="Arial"/>
          <w:noProof/>
          <w:lang w:val="sr-Cyrl-CS"/>
        </w:rPr>
        <w:t>и</w:t>
      </w:r>
      <w:r w:rsidRPr="00E84C93">
        <w:rPr>
          <w:rFonts w:eastAsia="Arial"/>
          <w:noProof/>
          <w:lang w:val="sr-Cyrl-CS"/>
        </w:rPr>
        <w:t xml:space="preserve"> и стратешки оквир Републике Србије</w:t>
      </w:r>
      <w:bookmarkEnd w:id="5"/>
    </w:p>
    <w:p w14:paraId="4CE3E544" w14:textId="77777777" w:rsidR="006D3CAA" w:rsidRPr="00E84C93" w:rsidRDefault="00FC6BAA" w:rsidP="00FC6BAA">
      <w:pPr>
        <w:widowControl w:val="0"/>
        <w:tabs>
          <w:tab w:val="left" w:pos="0"/>
        </w:tabs>
        <w:spacing w:after="0"/>
        <w:jc w:val="both"/>
        <w:rPr>
          <w:rFonts w:eastAsia="Arial"/>
          <w:noProof/>
          <w:color w:val="000000" w:themeColor="text1"/>
          <w:szCs w:val="24"/>
          <w:lang w:val="sr-Cyrl-CS"/>
        </w:rPr>
      </w:pPr>
      <w:r w:rsidRPr="00E84C93">
        <w:rPr>
          <w:rFonts w:eastAsia="Arial"/>
          <w:noProof/>
          <w:color w:val="000000" w:themeColor="text1"/>
          <w:szCs w:val="24"/>
          <w:lang w:val="sr-Cyrl-CS"/>
        </w:rPr>
        <w:tab/>
      </w:r>
    </w:p>
    <w:p w14:paraId="044766A8" w14:textId="3F8B3AE0" w:rsidR="00FC6BAA" w:rsidRPr="00E84C93" w:rsidRDefault="006709ED" w:rsidP="00FC6BAA">
      <w:pPr>
        <w:widowControl w:val="0"/>
        <w:tabs>
          <w:tab w:val="left" w:pos="0"/>
        </w:tabs>
        <w:spacing w:after="0"/>
        <w:jc w:val="both"/>
        <w:rPr>
          <w:rFonts w:eastAsia="Arial" w:cs="Times New Roman"/>
          <w:noProof/>
          <w:color w:val="000000" w:themeColor="text1"/>
          <w:szCs w:val="24"/>
          <w:lang w:val="sr-Cyrl-CS"/>
        </w:rPr>
      </w:pPr>
      <w:r w:rsidRPr="00E84C93">
        <w:rPr>
          <w:rFonts w:cs="Times New Roman"/>
          <w:lang w:val="sr-Cyrl-CS" w:bidi="en-US"/>
        </w:rPr>
        <w:tab/>
      </w:r>
      <w:r w:rsidR="00F13789" w:rsidRPr="00E84C93">
        <w:rPr>
          <w:rFonts w:cs="Times New Roman"/>
          <w:lang w:val="sr-Cyrl-CS" w:bidi="en-US"/>
        </w:rPr>
        <w:t>У Републици</w:t>
      </w:r>
      <w:r w:rsidR="00F13789" w:rsidRPr="00E84C93">
        <w:rPr>
          <w:lang w:val="sr-Cyrl-CS"/>
        </w:rPr>
        <w:t xml:space="preserve"> </w:t>
      </w:r>
      <w:r w:rsidR="00F13789" w:rsidRPr="00E84C93">
        <w:rPr>
          <w:rFonts w:cs="Times New Roman"/>
          <w:lang w:val="sr-Cyrl-CS" w:bidi="en-US"/>
        </w:rPr>
        <w:t>Србији</w:t>
      </w:r>
      <w:r w:rsidR="00F13789" w:rsidRPr="00E84C93">
        <w:rPr>
          <w:lang w:val="sr-Cyrl-CS"/>
        </w:rPr>
        <w:t xml:space="preserve"> </w:t>
      </w:r>
      <w:r w:rsidR="00F13789" w:rsidRPr="00E84C93">
        <w:rPr>
          <w:rFonts w:cs="Times New Roman"/>
          <w:lang w:val="sr-Cyrl-CS" w:bidi="en-US"/>
        </w:rPr>
        <w:t>примењују се с</w:t>
      </w:r>
      <w:r w:rsidRPr="00E84C93">
        <w:rPr>
          <w:rFonts w:cs="Times New Roman"/>
          <w:lang w:val="sr-Cyrl-CS" w:bidi="en-US"/>
        </w:rPr>
        <w:t>ледећи прописи на управљање муљем</w:t>
      </w:r>
      <w:r w:rsidR="00255FDD" w:rsidRPr="00E84C93">
        <w:rPr>
          <w:rFonts w:cs="Times New Roman"/>
          <w:lang w:val="sr-Cyrl-CS" w:bidi="en-US"/>
        </w:rPr>
        <w:t xml:space="preserve"> </w:t>
      </w:r>
      <w:r w:rsidR="00255FDD" w:rsidRPr="00E84C93">
        <w:rPr>
          <w:rFonts w:cs="Times New Roman"/>
          <w:szCs w:val="24"/>
          <w:lang w:val="sr-Cyrl-CS"/>
        </w:rPr>
        <w:t>из постројења за пречишћавање отпадних вода</w:t>
      </w:r>
      <w:r w:rsidR="0055215B" w:rsidRPr="00E84C93">
        <w:rPr>
          <w:rFonts w:cs="Times New Roman"/>
          <w:lang w:val="sr-Cyrl-CS" w:bidi="en-US"/>
        </w:rPr>
        <w:t>:</w:t>
      </w:r>
    </w:p>
    <w:p w14:paraId="58622C76" w14:textId="4E621224" w:rsidR="006709ED" w:rsidRPr="00E84C93" w:rsidRDefault="00FC6BAA" w:rsidP="006709ED">
      <w:pPr>
        <w:spacing w:after="0"/>
        <w:ind w:firstLine="720"/>
        <w:jc w:val="both"/>
        <w:rPr>
          <w:rFonts w:eastAsia="Arial"/>
          <w:noProof/>
          <w:color w:val="000000" w:themeColor="text1"/>
          <w:szCs w:val="24"/>
          <w:lang w:val="sr-Cyrl-CS"/>
        </w:rPr>
      </w:pPr>
      <w:r w:rsidRPr="00E84C93">
        <w:rPr>
          <w:rFonts w:eastAsia="Arial"/>
          <w:b/>
          <w:noProof/>
          <w:color w:val="000000" w:themeColor="text1"/>
          <w:szCs w:val="24"/>
          <w:lang w:val="sr-Cyrl-CS"/>
        </w:rPr>
        <w:t>Закон о управљању отпадом</w:t>
      </w:r>
      <w:r w:rsidR="006709ED" w:rsidRPr="00E84C93">
        <w:rPr>
          <w:rFonts w:eastAsia="Arial"/>
          <w:b/>
          <w:noProof/>
          <w:color w:val="000000" w:themeColor="text1"/>
          <w:szCs w:val="24"/>
          <w:lang w:val="sr-Cyrl-CS"/>
        </w:rPr>
        <w:t xml:space="preserve"> </w:t>
      </w:r>
      <w:r w:rsidR="006709ED" w:rsidRPr="00E84C93">
        <w:rPr>
          <w:rFonts w:eastAsia="Arial"/>
          <w:bCs/>
          <w:noProof/>
          <w:color w:val="000000" w:themeColor="text1"/>
          <w:szCs w:val="24"/>
          <w:lang w:val="sr-Cyrl-CS"/>
        </w:rPr>
        <w:t>(</w:t>
      </w:r>
      <w:r w:rsidR="006709ED" w:rsidRPr="00E84C93">
        <w:rPr>
          <w:rFonts w:cs="Times New Roman"/>
          <w:bCs/>
          <w:noProof/>
          <w:szCs w:val="24"/>
          <w:lang w:val="sr-Cyrl-CS"/>
        </w:rPr>
        <w:t>„Службени гласник РС”</w:t>
      </w:r>
      <w:r w:rsidR="006D3CAA" w:rsidRPr="00E84C93">
        <w:rPr>
          <w:rFonts w:eastAsia="Arial"/>
          <w:bCs/>
          <w:noProof/>
          <w:color w:val="000000" w:themeColor="text1"/>
          <w:szCs w:val="24"/>
          <w:lang w:val="sr-Cyrl-CS"/>
        </w:rPr>
        <w:t>, бр. 36/09, 88/10, 14/16</w:t>
      </w:r>
      <w:r w:rsidR="00F13789" w:rsidRPr="00E84C93">
        <w:rPr>
          <w:rFonts w:eastAsia="Arial"/>
          <w:bCs/>
          <w:noProof/>
          <w:color w:val="000000" w:themeColor="text1"/>
          <w:szCs w:val="24"/>
          <w:lang w:val="sr-Cyrl-CS"/>
        </w:rPr>
        <w:t>,</w:t>
      </w:r>
      <w:r w:rsidR="006D3CAA" w:rsidRPr="00E84C93">
        <w:rPr>
          <w:rFonts w:eastAsia="Arial"/>
          <w:bCs/>
          <w:noProof/>
          <w:color w:val="000000" w:themeColor="text1"/>
          <w:szCs w:val="24"/>
          <w:lang w:val="sr-Cyrl-CS"/>
        </w:rPr>
        <w:t xml:space="preserve"> 95/18 – др. </w:t>
      </w:r>
      <w:r w:rsidR="001C69C8" w:rsidRPr="00E84C93">
        <w:rPr>
          <w:rFonts w:eastAsia="Arial"/>
          <w:bCs/>
          <w:noProof/>
          <w:color w:val="000000" w:themeColor="text1"/>
          <w:szCs w:val="24"/>
          <w:lang w:val="sr-Cyrl-CS"/>
        </w:rPr>
        <w:t>з</w:t>
      </w:r>
      <w:r w:rsidR="006D3CAA" w:rsidRPr="00E84C93">
        <w:rPr>
          <w:rFonts w:eastAsia="Arial"/>
          <w:bCs/>
          <w:noProof/>
          <w:color w:val="000000" w:themeColor="text1"/>
          <w:szCs w:val="24"/>
          <w:lang w:val="sr-Cyrl-CS"/>
        </w:rPr>
        <w:t>акон</w:t>
      </w:r>
      <w:r w:rsidR="00F13789" w:rsidRPr="00E84C93">
        <w:rPr>
          <w:rFonts w:eastAsia="Arial"/>
          <w:bCs/>
          <w:noProof/>
          <w:color w:val="000000" w:themeColor="text1"/>
          <w:szCs w:val="24"/>
          <w:lang w:val="sr-Cyrl-CS"/>
        </w:rPr>
        <w:t xml:space="preserve"> и 35/23</w:t>
      </w:r>
      <w:r w:rsidR="006D3CAA" w:rsidRPr="00E84C93">
        <w:rPr>
          <w:rFonts w:eastAsia="Arial"/>
          <w:bCs/>
          <w:noProof/>
          <w:color w:val="000000" w:themeColor="text1"/>
          <w:szCs w:val="24"/>
          <w:lang w:val="sr-Cyrl-CS"/>
        </w:rPr>
        <w:t>)</w:t>
      </w:r>
      <w:r w:rsidRPr="00E84C93">
        <w:rPr>
          <w:bCs/>
          <w:noProof/>
          <w:szCs w:val="24"/>
          <w:lang w:val="sr-Cyrl-CS"/>
        </w:rPr>
        <w:t xml:space="preserve"> </w:t>
      </w:r>
      <w:r w:rsidRPr="00E84C93">
        <w:rPr>
          <w:rFonts w:eastAsia="Arial"/>
          <w:bCs/>
          <w:noProof/>
          <w:color w:val="000000" w:themeColor="text1"/>
          <w:szCs w:val="24"/>
          <w:lang w:val="sr-Cyrl-CS"/>
        </w:rPr>
        <w:t>утврђује врсте отпада и његову класификацију, планирање управљања отпадом, заинтересоване стране, обавезе</w:t>
      </w:r>
      <w:r w:rsidRPr="00E84C93">
        <w:rPr>
          <w:rFonts w:eastAsia="Arial"/>
          <w:noProof/>
          <w:color w:val="000000" w:themeColor="text1"/>
          <w:szCs w:val="24"/>
          <w:lang w:val="sr-Cyrl-CS"/>
        </w:rPr>
        <w:t xml:space="preserve"> и одговорности у погледу управљања отпадом, управљање посебним токовима отпада, захтеве и процедуре за издавање дозвола, </w:t>
      </w:r>
      <w:r w:rsidRPr="00E84C93">
        <w:rPr>
          <w:rFonts w:eastAsia="Arial"/>
          <w:noProof/>
          <w:color w:val="000000" w:themeColor="text1"/>
          <w:szCs w:val="24"/>
          <w:lang w:val="sr-Cyrl-CS"/>
        </w:rPr>
        <w:lastRenderedPageBreak/>
        <w:t xml:space="preserve">прекогранично кретање отпада, извештавање, финансирање управљања отпадом, надзор и друге релевантне аспекте управљања отпадом. </w:t>
      </w:r>
      <w:r w:rsidR="006709ED" w:rsidRPr="00E84C93">
        <w:rPr>
          <w:rFonts w:eastAsia="Arial"/>
          <w:noProof/>
          <w:color w:val="000000" w:themeColor="text1"/>
          <w:szCs w:val="24"/>
          <w:lang w:val="sr-Cyrl-CS"/>
        </w:rPr>
        <w:t xml:space="preserve">Власник отпада обавезан је да класификује отпад у складу са каталогом отпада. Муљ потекао из постројења </w:t>
      </w:r>
      <w:r w:rsidR="0016531B" w:rsidRPr="00E84C93">
        <w:rPr>
          <w:rFonts w:eastAsia="Arial"/>
          <w:noProof/>
          <w:color w:val="000000" w:themeColor="text1"/>
          <w:szCs w:val="24"/>
          <w:lang w:val="sr-Cyrl-CS"/>
        </w:rPr>
        <w:t>за пречишћавање</w:t>
      </w:r>
      <w:r w:rsidR="007E11BB" w:rsidRPr="00E84C93">
        <w:rPr>
          <w:rFonts w:eastAsia="Arial"/>
          <w:noProof/>
          <w:color w:val="000000" w:themeColor="text1"/>
          <w:szCs w:val="24"/>
          <w:lang w:val="sr-Cyrl-CS"/>
        </w:rPr>
        <w:t xml:space="preserve"> комуналних</w:t>
      </w:r>
      <w:r w:rsidR="0016531B" w:rsidRPr="00E84C93">
        <w:rPr>
          <w:rFonts w:eastAsia="Arial"/>
          <w:noProof/>
          <w:color w:val="000000" w:themeColor="text1"/>
          <w:szCs w:val="24"/>
          <w:lang w:val="sr-Cyrl-CS"/>
        </w:rPr>
        <w:t xml:space="preserve"> отпадних вода</w:t>
      </w:r>
      <w:r w:rsidR="006709ED" w:rsidRPr="00E84C93">
        <w:rPr>
          <w:rFonts w:eastAsia="Arial"/>
          <w:noProof/>
          <w:color w:val="000000" w:themeColor="text1"/>
          <w:szCs w:val="24"/>
          <w:lang w:val="sr-Cyrl-CS"/>
        </w:rPr>
        <w:t xml:space="preserve"> класификује се као 19 08 05 у Каталогу отпада.</w:t>
      </w:r>
      <w:r w:rsidR="0004065F" w:rsidRPr="00E84C93">
        <w:rPr>
          <w:rFonts w:eastAsia="Arial"/>
          <w:noProof/>
          <w:color w:val="000000" w:themeColor="text1"/>
          <w:szCs w:val="24"/>
          <w:lang w:val="sr-Cyrl-CS"/>
        </w:rPr>
        <w:t xml:space="preserve"> </w:t>
      </w:r>
      <w:r w:rsidR="006709ED" w:rsidRPr="00E84C93">
        <w:rPr>
          <w:rFonts w:eastAsia="Arial"/>
          <w:noProof/>
          <w:color w:val="000000" w:themeColor="text1"/>
          <w:szCs w:val="24"/>
          <w:lang w:val="sr-Cyrl-CS"/>
        </w:rPr>
        <w:t xml:space="preserve">Овај </w:t>
      </w:r>
      <w:r w:rsidR="00A67BCB" w:rsidRPr="00E84C93">
        <w:rPr>
          <w:rFonts w:eastAsia="Arial"/>
          <w:noProof/>
          <w:color w:val="000000" w:themeColor="text1"/>
          <w:szCs w:val="24"/>
          <w:lang w:val="sr-Cyrl-CS"/>
        </w:rPr>
        <w:t>закон</w:t>
      </w:r>
      <w:r w:rsidR="006709ED" w:rsidRPr="00E84C93">
        <w:rPr>
          <w:rFonts w:eastAsia="Arial"/>
          <w:noProof/>
          <w:color w:val="000000" w:themeColor="text1"/>
          <w:szCs w:val="24"/>
          <w:lang w:val="sr-Cyrl-CS"/>
        </w:rPr>
        <w:t xml:space="preserve"> </w:t>
      </w:r>
      <w:r w:rsidR="00FF4420" w:rsidRPr="00E84C93">
        <w:rPr>
          <w:rFonts w:eastAsia="Arial"/>
          <w:noProof/>
          <w:color w:val="000000" w:themeColor="text1"/>
          <w:szCs w:val="24"/>
          <w:lang w:val="sr-Cyrl-CS"/>
        </w:rPr>
        <w:t>прописује</w:t>
      </w:r>
      <w:r w:rsidR="006709ED" w:rsidRPr="00E84C93">
        <w:rPr>
          <w:rFonts w:eastAsia="Arial"/>
          <w:noProof/>
          <w:color w:val="000000" w:themeColor="text1"/>
          <w:szCs w:val="24"/>
          <w:lang w:val="sr-Cyrl-CS"/>
        </w:rPr>
        <w:t xml:space="preserve"> </w:t>
      </w:r>
      <w:r w:rsidR="00A67BCB" w:rsidRPr="00E84C93">
        <w:rPr>
          <w:rFonts w:eastAsia="Arial"/>
          <w:noProof/>
          <w:color w:val="000000" w:themeColor="text1"/>
          <w:szCs w:val="24"/>
          <w:lang w:val="sr-Cyrl-CS"/>
        </w:rPr>
        <w:t>и</w:t>
      </w:r>
      <w:r w:rsidR="006709ED" w:rsidRPr="00E84C93">
        <w:rPr>
          <w:rFonts w:eastAsia="Arial"/>
          <w:noProof/>
          <w:color w:val="000000" w:themeColor="text1"/>
          <w:szCs w:val="24"/>
          <w:lang w:val="sr-Cyrl-CS"/>
        </w:rPr>
        <w:t xml:space="preserve"> </w:t>
      </w:r>
      <w:r w:rsidR="0004065F" w:rsidRPr="00E84C93">
        <w:rPr>
          <w:rFonts w:eastAsia="Arial"/>
          <w:noProof/>
          <w:color w:val="000000" w:themeColor="text1"/>
          <w:szCs w:val="24"/>
          <w:lang w:val="sr-Cyrl-CS"/>
        </w:rPr>
        <w:t>врсте</w:t>
      </w:r>
      <w:r w:rsidR="006709ED" w:rsidRPr="00E84C93">
        <w:rPr>
          <w:rFonts w:eastAsia="Arial"/>
          <w:noProof/>
          <w:color w:val="000000" w:themeColor="text1"/>
          <w:szCs w:val="24"/>
          <w:lang w:val="sr-Cyrl-CS"/>
        </w:rPr>
        <w:t xml:space="preserve"> отпада кој</w:t>
      </w:r>
      <w:r w:rsidR="0004065F" w:rsidRPr="00E84C93">
        <w:rPr>
          <w:rFonts w:eastAsia="Arial"/>
          <w:noProof/>
          <w:color w:val="000000" w:themeColor="text1"/>
          <w:szCs w:val="24"/>
          <w:lang w:val="sr-Cyrl-CS"/>
        </w:rPr>
        <w:t>е</w:t>
      </w:r>
      <w:r w:rsidR="006709ED" w:rsidRPr="00E84C93">
        <w:rPr>
          <w:rFonts w:eastAsia="Arial"/>
          <w:noProof/>
          <w:color w:val="000000" w:themeColor="text1"/>
          <w:szCs w:val="24"/>
          <w:lang w:val="sr-Cyrl-CS"/>
        </w:rPr>
        <w:t xml:space="preserve"> су подесн</w:t>
      </w:r>
      <w:r w:rsidR="0004065F" w:rsidRPr="00E84C93">
        <w:rPr>
          <w:rFonts w:eastAsia="Arial"/>
          <w:noProof/>
          <w:color w:val="000000" w:themeColor="text1"/>
          <w:szCs w:val="24"/>
          <w:lang w:val="sr-Cyrl-CS"/>
        </w:rPr>
        <w:t>е</w:t>
      </w:r>
      <w:r w:rsidR="006709ED" w:rsidRPr="00E84C93">
        <w:rPr>
          <w:rFonts w:eastAsia="Arial"/>
          <w:noProof/>
          <w:color w:val="000000" w:themeColor="text1"/>
          <w:szCs w:val="24"/>
          <w:lang w:val="sr-Cyrl-CS"/>
        </w:rPr>
        <w:t xml:space="preserve"> за термички третман, услове и критеријуме за одређивање локације, техничке и технолошке услове за пројектовање, изградњу, опремање и функционисање постројења за термички третман отпада, поступање са остацима после спаљивања, као и друга питања релевантна за постројење за термички третман отпада.</w:t>
      </w:r>
      <w:r w:rsidR="0004065F" w:rsidRPr="00E84C93">
        <w:rPr>
          <w:rFonts w:eastAsia="Arial"/>
          <w:noProof/>
          <w:color w:val="000000" w:themeColor="text1"/>
          <w:szCs w:val="24"/>
          <w:lang w:val="sr-Cyrl-CS"/>
        </w:rPr>
        <w:t xml:space="preserve"> </w:t>
      </w:r>
      <w:r w:rsidR="00BC268A" w:rsidRPr="00E84C93">
        <w:rPr>
          <w:rFonts w:eastAsia="Arial"/>
          <w:noProof/>
          <w:color w:val="000000" w:themeColor="text1"/>
          <w:szCs w:val="24"/>
          <w:lang w:val="sr-Cyrl-CS"/>
        </w:rPr>
        <w:t>Закон</w:t>
      </w:r>
      <w:r w:rsidR="006709ED" w:rsidRPr="00E84C93">
        <w:rPr>
          <w:rFonts w:eastAsia="Arial"/>
          <w:noProof/>
          <w:color w:val="000000" w:themeColor="text1"/>
          <w:szCs w:val="24"/>
          <w:lang w:val="sr-Cyrl-CS"/>
        </w:rPr>
        <w:t xml:space="preserve"> </w:t>
      </w:r>
      <w:r w:rsidR="00FF4420" w:rsidRPr="00E84C93">
        <w:rPr>
          <w:rFonts w:eastAsia="Arial"/>
          <w:noProof/>
          <w:color w:val="000000" w:themeColor="text1"/>
          <w:szCs w:val="24"/>
          <w:lang w:val="sr-Cyrl-CS"/>
        </w:rPr>
        <w:t>прописује</w:t>
      </w:r>
      <w:r w:rsidR="006709ED" w:rsidRPr="00E84C93">
        <w:rPr>
          <w:rFonts w:eastAsia="Arial"/>
          <w:noProof/>
          <w:color w:val="000000" w:themeColor="text1"/>
          <w:szCs w:val="24"/>
          <w:lang w:val="sr-Cyrl-CS"/>
        </w:rPr>
        <w:t xml:space="preserve"> услове и критеријуме за утврђивање локације, техничке и технолошке услове за пројектовање, изградњу и функционисање депонија, </w:t>
      </w:r>
      <w:r w:rsidR="00BC268A" w:rsidRPr="00E84C93">
        <w:rPr>
          <w:rFonts w:eastAsia="Arial"/>
          <w:noProof/>
          <w:color w:val="000000" w:themeColor="text1"/>
          <w:szCs w:val="24"/>
          <w:lang w:val="sr-Cyrl-CS"/>
        </w:rPr>
        <w:t>врсте</w:t>
      </w:r>
      <w:r w:rsidR="006709ED" w:rsidRPr="00E84C93">
        <w:rPr>
          <w:rFonts w:eastAsia="Arial"/>
          <w:noProof/>
          <w:color w:val="000000" w:themeColor="text1"/>
          <w:szCs w:val="24"/>
          <w:lang w:val="sr-Cyrl-CS"/>
        </w:rPr>
        <w:t xml:space="preserve"> отпада за које </w:t>
      </w:r>
      <w:r w:rsidR="00BC268A" w:rsidRPr="00E84C93">
        <w:rPr>
          <w:rFonts w:eastAsia="Arial"/>
          <w:noProof/>
          <w:color w:val="000000" w:themeColor="text1"/>
          <w:szCs w:val="24"/>
          <w:lang w:val="sr-Cyrl-CS"/>
        </w:rPr>
        <w:t>је</w:t>
      </w:r>
      <w:r w:rsidR="006709ED" w:rsidRPr="00E84C93">
        <w:rPr>
          <w:rFonts w:eastAsia="Arial"/>
          <w:noProof/>
          <w:color w:val="000000" w:themeColor="text1"/>
          <w:szCs w:val="24"/>
          <w:lang w:val="sr-Cyrl-CS"/>
        </w:rPr>
        <w:t xml:space="preserve"> одлагање на депоније забрањено, количину биоразградивог отпада која се може одложити, критеријуме и процедуре за прихватање или неприхватање, односно, одлагање на депонију, начин и процедуре рада, као и затварање депоније, садржину и надзор начина рада депоније, као и будуће одржавање после затварања депоније</w:t>
      </w:r>
      <w:r w:rsidR="0004065F" w:rsidRPr="00E84C93">
        <w:rPr>
          <w:rFonts w:eastAsia="Arial"/>
          <w:noProof/>
          <w:color w:val="000000" w:themeColor="text1"/>
          <w:szCs w:val="24"/>
          <w:lang w:val="sr-Cyrl-CS"/>
        </w:rPr>
        <w:t>.</w:t>
      </w:r>
    </w:p>
    <w:p w14:paraId="2D3E591C" w14:textId="65D1BE0D" w:rsidR="009A6F55" w:rsidRPr="00E84C93" w:rsidRDefault="00ED6255" w:rsidP="006709ED">
      <w:pPr>
        <w:spacing w:after="0"/>
        <w:ind w:firstLine="720"/>
        <w:jc w:val="both"/>
        <w:rPr>
          <w:rFonts w:cs="Times New Roman"/>
          <w:bCs/>
          <w:szCs w:val="24"/>
          <w:lang w:val="sr-Cyrl-CS" w:bidi="en-US"/>
        </w:rPr>
      </w:pPr>
      <w:r w:rsidRPr="00E84C93">
        <w:rPr>
          <w:rFonts w:cs="Times New Roman"/>
          <w:bCs/>
          <w:szCs w:val="24"/>
          <w:lang w:val="sr-Cyrl-CS" w:bidi="en-US"/>
        </w:rPr>
        <w:t xml:space="preserve">Закон о управљању отпадом </w:t>
      </w:r>
      <w:r w:rsidR="00B605DC" w:rsidRPr="00E84C93">
        <w:rPr>
          <w:rFonts w:cs="Times New Roman"/>
          <w:bCs/>
          <w:szCs w:val="24"/>
          <w:lang w:val="sr-Cyrl-CS" w:bidi="en-US"/>
        </w:rPr>
        <w:t xml:space="preserve">у члану 4. </w:t>
      </w:r>
      <w:r w:rsidR="00CF7D0E" w:rsidRPr="00E84C93">
        <w:rPr>
          <w:rFonts w:cs="Times New Roman"/>
          <w:bCs/>
          <w:szCs w:val="24"/>
          <w:lang w:val="sr-Cyrl-CS" w:bidi="en-US"/>
        </w:rPr>
        <w:t xml:space="preserve">став 1. тачка 8) </w:t>
      </w:r>
      <w:r w:rsidR="00B605DC" w:rsidRPr="00E84C93">
        <w:rPr>
          <w:rFonts w:cs="Times New Roman"/>
          <w:bCs/>
          <w:szCs w:val="24"/>
          <w:lang w:val="sr-Cyrl-CS" w:bidi="en-US"/>
        </w:rPr>
        <w:t>утврђује да се о</w:t>
      </w:r>
      <w:r w:rsidRPr="00E84C93">
        <w:rPr>
          <w:rFonts w:cs="Times New Roman"/>
          <w:bCs/>
          <w:szCs w:val="24"/>
          <w:lang w:val="sr-Cyrl-CS" w:bidi="en-US"/>
        </w:rPr>
        <w:t xml:space="preserve">дредбе овог </w:t>
      </w:r>
      <w:r w:rsidR="00CF7D0E" w:rsidRPr="00E84C93">
        <w:rPr>
          <w:rFonts w:cs="Times New Roman"/>
          <w:bCs/>
          <w:szCs w:val="24"/>
          <w:lang w:val="sr-Cyrl-CS" w:bidi="en-US"/>
        </w:rPr>
        <w:t>з</w:t>
      </w:r>
      <w:r w:rsidRPr="00E84C93">
        <w:rPr>
          <w:rFonts w:cs="Times New Roman"/>
          <w:bCs/>
          <w:szCs w:val="24"/>
          <w:lang w:val="sr-Cyrl-CS" w:bidi="en-US"/>
        </w:rPr>
        <w:t xml:space="preserve">акона не примењују на </w:t>
      </w:r>
      <w:r w:rsidR="00B605DC" w:rsidRPr="00E84C93">
        <w:rPr>
          <w:rFonts w:cs="Times New Roman"/>
          <w:bCs/>
          <w:szCs w:val="24"/>
          <w:lang w:val="sr-Cyrl-CS" w:bidi="en-US"/>
        </w:rPr>
        <w:t xml:space="preserve">муљ из </w:t>
      </w:r>
      <w:r w:rsidRPr="00E84C93">
        <w:rPr>
          <w:rFonts w:cs="Times New Roman"/>
          <w:bCs/>
          <w:szCs w:val="24"/>
          <w:lang w:val="sr-Cyrl-CS" w:bidi="en-US"/>
        </w:rPr>
        <w:t>канализациони</w:t>
      </w:r>
      <w:r w:rsidR="00B605DC" w:rsidRPr="00E84C93">
        <w:rPr>
          <w:rFonts w:cs="Times New Roman"/>
          <w:bCs/>
          <w:szCs w:val="24"/>
          <w:lang w:val="sr-Cyrl-CS" w:bidi="en-US"/>
        </w:rPr>
        <w:t xml:space="preserve">х система </w:t>
      </w:r>
      <w:r w:rsidRPr="00E84C93">
        <w:rPr>
          <w:rFonts w:cs="Times New Roman"/>
          <w:bCs/>
          <w:szCs w:val="24"/>
          <w:lang w:val="sr-Cyrl-CS" w:bidi="en-US"/>
        </w:rPr>
        <w:t>и садрж</w:t>
      </w:r>
      <w:r w:rsidR="00B605DC" w:rsidRPr="00E84C93">
        <w:rPr>
          <w:rFonts w:cs="Times New Roman"/>
          <w:bCs/>
          <w:szCs w:val="24"/>
          <w:lang w:val="sr-Cyrl-CS" w:bidi="en-US"/>
        </w:rPr>
        <w:t>ај</w:t>
      </w:r>
      <w:r w:rsidRPr="00E84C93">
        <w:rPr>
          <w:rFonts w:cs="Times New Roman"/>
          <w:bCs/>
          <w:szCs w:val="24"/>
          <w:lang w:val="sr-Cyrl-CS" w:bidi="en-US"/>
        </w:rPr>
        <w:t xml:space="preserve"> септичких јама, </w:t>
      </w:r>
      <w:r w:rsidR="00B605DC" w:rsidRPr="00E84C93">
        <w:rPr>
          <w:rFonts w:cs="Times New Roman"/>
          <w:bCs/>
          <w:szCs w:val="24"/>
          <w:lang w:val="sr-Cyrl-CS" w:bidi="en-US"/>
        </w:rPr>
        <w:t>осим</w:t>
      </w:r>
      <w:r w:rsidRPr="00E84C93">
        <w:rPr>
          <w:rFonts w:cs="Times New Roman"/>
          <w:bCs/>
          <w:szCs w:val="24"/>
          <w:lang w:val="sr-Cyrl-CS" w:bidi="en-US"/>
        </w:rPr>
        <w:t xml:space="preserve"> муљ</w:t>
      </w:r>
      <w:r w:rsidR="00B605DC" w:rsidRPr="00E84C93">
        <w:rPr>
          <w:rFonts w:cs="Times New Roman"/>
          <w:bCs/>
          <w:szCs w:val="24"/>
          <w:lang w:val="sr-Cyrl-CS" w:bidi="en-US"/>
        </w:rPr>
        <w:t>а</w:t>
      </w:r>
      <w:r w:rsidRPr="00E84C93">
        <w:rPr>
          <w:rFonts w:cs="Times New Roman"/>
          <w:bCs/>
          <w:szCs w:val="24"/>
          <w:lang w:val="sr-Cyrl-CS" w:bidi="en-US"/>
        </w:rPr>
        <w:t xml:space="preserve"> из постројења за пречишћавање отпадних вода</w:t>
      </w:r>
      <w:r w:rsidR="00B605DC" w:rsidRPr="00E84C93">
        <w:rPr>
          <w:rFonts w:cs="Times New Roman"/>
          <w:bCs/>
          <w:szCs w:val="24"/>
          <w:lang w:val="sr-Cyrl-CS" w:bidi="en-US"/>
        </w:rPr>
        <w:t>.</w:t>
      </w:r>
      <w:r w:rsidRPr="00E84C93">
        <w:rPr>
          <w:rFonts w:cs="Times New Roman"/>
          <w:bCs/>
          <w:szCs w:val="24"/>
          <w:lang w:val="sr-Cyrl-CS" w:bidi="en-US"/>
        </w:rPr>
        <w:t xml:space="preserve"> </w:t>
      </w:r>
    </w:p>
    <w:p w14:paraId="398AB136" w14:textId="75BA2AA6" w:rsidR="006709ED" w:rsidRPr="00E84C93" w:rsidRDefault="006709ED" w:rsidP="006709ED">
      <w:pPr>
        <w:spacing w:before="120"/>
        <w:ind w:firstLine="720"/>
        <w:contextualSpacing/>
        <w:jc w:val="both"/>
        <w:rPr>
          <w:rFonts w:cs="Times New Roman"/>
          <w:bCs/>
          <w:color w:val="000000" w:themeColor="text1"/>
          <w:szCs w:val="24"/>
          <w:lang w:val="sr-Cyrl-CS" w:bidi="en-US"/>
        </w:rPr>
      </w:pPr>
      <w:r w:rsidRPr="00E84C93">
        <w:rPr>
          <w:rFonts w:cs="Times New Roman"/>
          <w:b/>
          <w:bCs/>
          <w:color w:val="000000" w:themeColor="text1"/>
          <w:szCs w:val="24"/>
          <w:lang w:val="sr-Cyrl-CS" w:bidi="en-US"/>
        </w:rPr>
        <w:t>Закон</w:t>
      </w:r>
      <w:r w:rsidR="00FC25D5" w:rsidRPr="00E84C93">
        <w:rPr>
          <w:rFonts w:cs="Times New Roman"/>
          <w:b/>
          <w:bCs/>
          <w:color w:val="000000" w:themeColor="text1"/>
          <w:szCs w:val="24"/>
          <w:lang w:val="sr-Cyrl-CS" w:bidi="en-US"/>
        </w:rPr>
        <w:t>ом</w:t>
      </w:r>
      <w:r w:rsidRPr="00E84C93">
        <w:rPr>
          <w:rFonts w:cs="Times New Roman"/>
          <w:b/>
          <w:bCs/>
          <w:color w:val="000000" w:themeColor="text1"/>
          <w:szCs w:val="24"/>
          <w:lang w:val="sr-Cyrl-CS" w:bidi="en-US"/>
        </w:rPr>
        <w:t xml:space="preserve"> о водама </w:t>
      </w:r>
      <w:r w:rsidRPr="00E84C93">
        <w:rPr>
          <w:rFonts w:cs="Times New Roman"/>
          <w:color w:val="000000" w:themeColor="text1"/>
          <w:szCs w:val="24"/>
          <w:lang w:val="sr-Cyrl-CS" w:bidi="en-US"/>
        </w:rPr>
        <w:t>(</w:t>
      </w:r>
      <w:r w:rsidRPr="00E84C93">
        <w:rPr>
          <w:rFonts w:cs="Times New Roman"/>
          <w:noProof/>
          <w:szCs w:val="24"/>
          <w:lang w:val="sr-Cyrl-CS"/>
        </w:rPr>
        <w:t>„Службени гласник РС”</w:t>
      </w:r>
      <w:r w:rsidRPr="00E84C93">
        <w:rPr>
          <w:rFonts w:cs="Times New Roman"/>
          <w:color w:val="000000" w:themeColor="text1"/>
          <w:szCs w:val="24"/>
          <w:lang w:val="sr-Cyrl-CS" w:bidi="en-US"/>
        </w:rPr>
        <w:t xml:space="preserve">, бр. 30/10, 93/12, 101/16, </w:t>
      </w:r>
      <w:r w:rsidR="00584E99" w:rsidRPr="00E84C93">
        <w:rPr>
          <w:rFonts w:cs="Times New Roman"/>
          <w:color w:val="000000" w:themeColor="text1"/>
          <w:szCs w:val="24"/>
          <w:lang w:val="sr-Cyrl-CS" w:bidi="en-US"/>
        </w:rPr>
        <w:t>95/18</w:t>
      </w:r>
      <w:r w:rsidR="006B3633" w:rsidRPr="00E84C93">
        <w:rPr>
          <w:rFonts w:cs="Times New Roman"/>
          <w:color w:val="000000" w:themeColor="text1"/>
          <w:szCs w:val="24"/>
          <w:lang w:val="sr-Cyrl-CS" w:bidi="en-US"/>
        </w:rPr>
        <w:t xml:space="preserve"> и</w:t>
      </w:r>
      <w:r w:rsidR="00584E99" w:rsidRPr="00E84C93">
        <w:rPr>
          <w:rFonts w:cs="Times New Roman"/>
          <w:color w:val="000000" w:themeColor="text1"/>
          <w:szCs w:val="24"/>
          <w:lang w:val="sr-Cyrl-CS" w:bidi="en-US"/>
        </w:rPr>
        <w:t xml:space="preserve"> </w:t>
      </w:r>
      <w:r w:rsidRPr="00E84C93">
        <w:rPr>
          <w:rFonts w:cs="Times New Roman"/>
          <w:color w:val="000000" w:themeColor="text1"/>
          <w:szCs w:val="24"/>
          <w:lang w:val="sr-Cyrl-CS" w:bidi="en-US"/>
        </w:rPr>
        <w:t xml:space="preserve">95/18 – др. закон) </w:t>
      </w:r>
      <w:r w:rsidR="00FC25D5" w:rsidRPr="00E84C93">
        <w:rPr>
          <w:rFonts w:cs="Times New Roman"/>
          <w:color w:val="000000" w:themeColor="text1"/>
          <w:szCs w:val="24"/>
          <w:lang w:val="sr-Cyrl-CS" w:bidi="en-US"/>
        </w:rPr>
        <w:t>уређује се</w:t>
      </w:r>
      <w:r w:rsidRPr="00E84C93">
        <w:rPr>
          <w:rFonts w:cs="Times New Roman"/>
          <w:color w:val="000000" w:themeColor="text1"/>
          <w:szCs w:val="24"/>
          <w:lang w:val="sr-Cyrl-CS" w:bidi="en-US"/>
        </w:rPr>
        <w:t xml:space="preserve"> пра</w:t>
      </w:r>
      <w:r w:rsidRPr="00E84C93">
        <w:rPr>
          <w:rFonts w:cs="Times New Roman"/>
          <w:bCs/>
          <w:color w:val="000000" w:themeColor="text1"/>
          <w:szCs w:val="24"/>
          <w:lang w:val="sr-Cyrl-CS" w:bidi="en-US"/>
        </w:rPr>
        <w:t>вни статус вода, интегр</w:t>
      </w:r>
      <w:r w:rsidR="00FC25D5" w:rsidRPr="00E84C93">
        <w:rPr>
          <w:rFonts w:cs="Times New Roman"/>
          <w:bCs/>
          <w:color w:val="000000" w:themeColor="text1"/>
          <w:szCs w:val="24"/>
          <w:lang w:val="sr-Cyrl-CS" w:bidi="en-US"/>
        </w:rPr>
        <w:t>ално</w:t>
      </w:r>
      <w:r w:rsidRPr="00E84C93">
        <w:rPr>
          <w:rFonts w:cs="Times New Roman"/>
          <w:bCs/>
          <w:color w:val="000000" w:themeColor="text1"/>
          <w:szCs w:val="24"/>
          <w:lang w:val="sr-Cyrl-CS" w:bidi="en-US"/>
        </w:rPr>
        <w:t xml:space="preserve"> управљање вод</w:t>
      </w:r>
      <w:r w:rsidR="00FC25D5" w:rsidRPr="00E84C93">
        <w:rPr>
          <w:rFonts w:cs="Times New Roman"/>
          <w:bCs/>
          <w:color w:val="000000" w:themeColor="text1"/>
          <w:szCs w:val="24"/>
          <w:lang w:val="sr-Cyrl-CS" w:bidi="en-US"/>
        </w:rPr>
        <w:t>а</w:t>
      </w:r>
      <w:r w:rsidRPr="00E84C93">
        <w:rPr>
          <w:rFonts w:cs="Times New Roman"/>
          <w:bCs/>
          <w:color w:val="000000" w:themeColor="text1"/>
          <w:szCs w:val="24"/>
          <w:lang w:val="sr-Cyrl-CS" w:bidi="en-US"/>
        </w:rPr>
        <w:t>м</w:t>
      </w:r>
      <w:r w:rsidR="00FC25D5" w:rsidRPr="00E84C93">
        <w:rPr>
          <w:rFonts w:cs="Times New Roman"/>
          <w:bCs/>
          <w:color w:val="000000" w:themeColor="text1"/>
          <w:szCs w:val="24"/>
          <w:lang w:val="sr-Cyrl-CS" w:bidi="en-US"/>
        </w:rPr>
        <w:t>а</w:t>
      </w:r>
      <w:r w:rsidRPr="00E84C93">
        <w:rPr>
          <w:rFonts w:cs="Times New Roman"/>
          <w:bCs/>
          <w:color w:val="000000" w:themeColor="text1"/>
          <w:szCs w:val="24"/>
          <w:lang w:val="sr-Cyrl-CS" w:bidi="en-US"/>
        </w:rPr>
        <w:t xml:space="preserve">, управљање </w:t>
      </w:r>
      <w:r w:rsidR="00FC25D5" w:rsidRPr="00E84C93">
        <w:rPr>
          <w:rFonts w:cs="Times New Roman"/>
          <w:bCs/>
          <w:color w:val="000000" w:themeColor="text1"/>
          <w:szCs w:val="24"/>
          <w:lang w:val="sr-Cyrl-CS" w:bidi="en-US"/>
        </w:rPr>
        <w:t>водним објектима и водним земљиштем</w:t>
      </w:r>
      <w:r w:rsidRPr="00E84C93">
        <w:rPr>
          <w:rFonts w:cs="Times New Roman"/>
          <w:bCs/>
          <w:color w:val="000000" w:themeColor="text1"/>
          <w:szCs w:val="24"/>
          <w:lang w:val="sr-Cyrl-CS" w:bidi="en-US"/>
        </w:rPr>
        <w:t xml:space="preserve">, </w:t>
      </w:r>
      <w:r w:rsidR="00FC25D5" w:rsidRPr="00E84C93">
        <w:rPr>
          <w:rFonts w:cs="Times New Roman"/>
          <w:bCs/>
          <w:color w:val="000000" w:themeColor="text1"/>
          <w:szCs w:val="24"/>
          <w:lang w:val="sr-Cyrl-CS" w:bidi="en-US"/>
        </w:rPr>
        <w:t>извори и начин</w:t>
      </w:r>
      <w:r w:rsidRPr="00E84C93">
        <w:rPr>
          <w:rFonts w:cs="Times New Roman"/>
          <w:bCs/>
          <w:color w:val="000000" w:themeColor="text1"/>
          <w:szCs w:val="24"/>
          <w:lang w:val="sr-Cyrl-CS" w:bidi="en-US"/>
        </w:rPr>
        <w:t xml:space="preserve"> финансирања </w:t>
      </w:r>
      <w:r w:rsidR="00FC25D5" w:rsidRPr="00E84C93">
        <w:rPr>
          <w:rFonts w:cs="Times New Roman"/>
          <w:bCs/>
          <w:color w:val="000000" w:themeColor="text1"/>
          <w:szCs w:val="24"/>
          <w:lang w:val="sr-Cyrl-CS" w:bidi="en-US"/>
        </w:rPr>
        <w:t>водне делатности</w:t>
      </w:r>
      <w:r w:rsidRPr="00E84C93">
        <w:rPr>
          <w:rFonts w:cs="Times New Roman"/>
          <w:bCs/>
          <w:color w:val="000000" w:themeColor="text1"/>
          <w:szCs w:val="24"/>
          <w:lang w:val="sr-Cyrl-CS" w:bidi="en-US"/>
        </w:rPr>
        <w:t xml:space="preserve">, надзор над спровођењем овог </w:t>
      </w:r>
      <w:r w:rsidR="00FC25D5" w:rsidRPr="00E84C93">
        <w:rPr>
          <w:rFonts w:cs="Times New Roman"/>
          <w:bCs/>
          <w:color w:val="000000" w:themeColor="text1"/>
          <w:szCs w:val="24"/>
          <w:lang w:val="sr-Cyrl-CS" w:bidi="en-US"/>
        </w:rPr>
        <w:t>з</w:t>
      </w:r>
      <w:r w:rsidRPr="00E84C93">
        <w:rPr>
          <w:rFonts w:cs="Times New Roman"/>
          <w:bCs/>
          <w:color w:val="000000" w:themeColor="text1"/>
          <w:szCs w:val="24"/>
          <w:lang w:val="sr-Cyrl-CS" w:bidi="en-US"/>
        </w:rPr>
        <w:t>акона</w:t>
      </w:r>
      <w:r w:rsidR="00FC25D5" w:rsidRPr="00E84C93">
        <w:rPr>
          <w:rFonts w:cs="Times New Roman"/>
          <w:bCs/>
          <w:color w:val="000000" w:themeColor="text1"/>
          <w:szCs w:val="24"/>
          <w:lang w:val="sr-Cyrl-CS" w:bidi="en-US"/>
        </w:rPr>
        <w:t>, као</w:t>
      </w:r>
      <w:r w:rsidRPr="00E84C93">
        <w:rPr>
          <w:rFonts w:cs="Times New Roman"/>
          <w:bCs/>
          <w:color w:val="000000" w:themeColor="text1"/>
          <w:szCs w:val="24"/>
          <w:lang w:val="sr-Cyrl-CS" w:bidi="en-US"/>
        </w:rPr>
        <w:t xml:space="preserve"> и друга питања од значаја за управљање вод</w:t>
      </w:r>
      <w:r w:rsidR="00584E99" w:rsidRPr="00E84C93">
        <w:rPr>
          <w:rFonts w:cs="Times New Roman"/>
          <w:bCs/>
          <w:color w:val="000000" w:themeColor="text1"/>
          <w:szCs w:val="24"/>
          <w:lang w:val="sr-Cyrl-CS" w:bidi="en-US"/>
        </w:rPr>
        <w:t>ама</w:t>
      </w:r>
      <w:r w:rsidRPr="00E84C93">
        <w:rPr>
          <w:rFonts w:cs="Times New Roman"/>
          <w:bCs/>
          <w:color w:val="000000" w:themeColor="text1"/>
          <w:szCs w:val="24"/>
          <w:lang w:val="sr-Cyrl-CS" w:bidi="en-US"/>
        </w:rPr>
        <w:t>.</w:t>
      </w:r>
    </w:p>
    <w:p w14:paraId="623E6374" w14:textId="5351FBB9" w:rsidR="00ED6255" w:rsidRPr="00E84C93" w:rsidRDefault="00ED6255" w:rsidP="00ED6255">
      <w:pPr>
        <w:spacing w:before="120"/>
        <w:ind w:firstLine="720"/>
        <w:contextualSpacing/>
        <w:jc w:val="both"/>
        <w:rPr>
          <w:rFonts w:cs="Times New Roman"/>
          <w:bCs/>
          <w:color w:val="000000" w:themeColor="text1"/>
          <w:szCs w:val="24"/>
          <w:lang w:val="sr-Cyrl-CS" w:bidi="en-US"/>
        </w:rPr>
      </w:pPr>
      <w:r w:rsidRPr="00E84C93">
        <w:rPr>
          <w:rFonts w:cs="Times New Roman"/>
          <w:bCs/>
          <w:color w:val="000000" w:themeColor="text1"/>
          <w:szCs w:val="24"/>
          <w:lang w:val="sr-Cyrl-CS" w:bidi="en-US"/>
        </w:rPr>
        <w:t>Чланом 3.</w:t>
      </w:r>
      <w:r w:rsidR="00DD0C3F" w:rsidRPr="00E84C93">
        <w:rPr>
          <w:rFonts w:cs="Times New Roman"/>
          <w:bCs/>
          <w:color w:val="000000" w:themeColor="text1"/>
          <w:szCs w:val="24"/>
          <w:lang w:val="sr-Cyrl-CS" w:bidi="en-US"/>
        </w:rPr>
        <w:t xml:space="preserve"> тачка </w:t>
      </w:r>
      <w:r w:rsidRPr="00E84C93">
        <w:rPr>
          <w:rFonts w:cs="Times New Roman"/>
          <w:bCs/>
          <w:color w:val="000000" w:themeColor="text1"/>
          <w:szCs w:val="24"/>
          <w:lang w:val="sr-Cyrl-CS" w:bidi="en-US"/>
        </w:rPr>
        <w:t xml:space="preserve">41а утврђена </w:t>
      </w:r>
      <w:r w:rsidR="00DD0C3F" w:rsidRPr="00E84C93">
        <w:rPr>
          <w:rFonts w:cs="Times New Roman"/>
          <w:bCs/>
          <w:color w:val="000000" w:themeColor="text1"/>
          <w:szCs w:val="24"/>
          <w:lang w:val="sr-Cyrl-CS" w:bidi="en-US"/>
        </w:rPr>
        <w:t xml:space="preserve">је </w:t>
      </w:r>
      <w:r w:rsidRPr="00E84C93">
        <w:rPr>
          <w:rFonts w:cs="Times New Roman"/>
          <w:bCs/>
          <w:color w:val="000000" w:themeColor="text1"/>
          <w:szCs w:val="24"/>
          <w:lang w:val="sr-Cyrl-CS" w:bidi="en-US"/>
        </w:rPr>
        <w:t>дефиниција муља: „муљ јесу обрађени или необрађени остаци који настају у процесу пречишћавања комуналних отпадних вода”.</w:t>
      </w:r>
    </w:p>
    <w:p w14:paraId="77B2E7D8" w14:textId="7A84D687" w:rsidR="006709ED" w:rsidRPr="00E84C93" w:rsidRDefault="00ED6255" w:rsidP="00ED6255">
      <w:pPr>
        <w:spacing w:before="120"/>
        <w:ind w:firstLine="720"/>
        <w:contextualSpacing/>
        <w:jc w:val="both"/>
        <w:rPr>
          <w:rFonts w:cs="Times New Roman"/>
          <w:bCs/>
          <w:color w:val="000000" w:themeColor="text1"/>
          <w:szCs w:val="24"/>
          <w:lang w:val="sr-Cyrl-CS" w:bidi="en-US"/>
        </w:rPr>
      </w:pPr>
      <w:r w:rsidRPr="00E84C93">
        <w:rPr>
          <w:rFonts w:cs="Times New Roman"/>
          <w:bCs/>
          <w:color w:val="000000" w:themeColor="text1"/>
          <w:szCs w:val="24"/>
          <w:lang w:val="sr-Cyrl-CS" w:bidi="en-US"/>
        </w:rPr>
        <w:t xml:space="preserve">Чланом 98. </w:t>
      </w:r>
      <w:r w:rsidR="00DD0C3F" w:rsidRPr="00E84C93">
        <w:rPr>
          <w:rFonts w:cs="Times New Roman"/>
          <w:bCs/>
          <w:color w:val="000000" w:themeColor="text1"/>
          <w:szCs w:val="24"/>
          <w:lang w:val="sr-Cyrl-CS" w:bidi="en-US"/>
        </w:rPr>
        <w:t xml:space="preserve">став 6. </w:t>
      </w:r>
      <w:r w:rsidRPr="00E84C93">
        <w:rPr>
          <w:rFonts w:cs="Times New Roman"/>
          <w:bCs/>
          <w:color w:val="000000" w:themeColor="text1"/>
          <w:szCs w:val="24"/>
          <w:lang w:val="sr-Cyrl-CS" w:bidi="en-US"/>
        </w:rPr>
        <w:t>утврђено</w:t>
      </w:r>
      <w:r w:rsidR="00DD0C3F" w:rsidRPr="00E84C93">
        <w:rPr>
          <w:rFonts w:cs="Times New Roman"/>
          <w:bCs/>
          <w:color w:val="000000" w:themeColor="text1"/>
          <w:szCs w:val="24"/>
          <w:lang w:val="sr-Cyrl-CS" w:bidi="en-US"/>
        </w:rPr>
        <w:t xml:space="preserve"> је</w:t>
      </w:r>
      <w:r w:rsidRPr="00E84C93">
        <w:rPr>
          <w:rFonts w:cs="Times New Roman"/>
          <w:bCs/>
          <w:color w:val="000000" w:themeColor="text1"/>
          <w:szCs w:val="24"/>
          <w:lang w:val="sr-Cyrl-CS" w:bidi="en-US"/>
        </w:rPr>
        <w:t xml:space="preserve"> да </w:t>
      </w:r>
      <w:r w:rsidR="006709ED" w:rsidRPr="00E84C93">
        <w:rPr>
          <w:rFonts w:cs="Times New Roman"/>
          <w:bCs/>
          <w:color w:val="000000" w:themeColor="text1"/>
          <w:szCs w:val="24"/>
          <w:lang w:val="sr-Cyrl-CS" w:bidi="en-US"/>
        </w:rPr>
        <w:t>„</w:t>
      </w:r>
      <w:r w:rsidR="00FC25D5" w:rsidRPr="00E84C93">
        <w:rPr>
          <w:rFonts w:cs="Times New Roman"/>
          <w:bCs/>
          <w:color w:val="000000" w:themeColor="text1"/>
          <w:szCs w:val="24"/>
          <w:lang w:val="sr-Cyrl-CS" w:bidi="en-US"/>
        </w:rPr>
        <w:t>Муљ који је настао у процесу пречишћавања комуналних отпадних вода обрађује се, користи или одлаже на начин којим се не угрожава животна средина и здравље људи, у складу са овим законом, прописом којим се уређују граничне вредности емисије загађујућих материја у воде и посебним законима којима се уређује пољопривредно земљиште и управљање отпадом</w:t>
      </w:r>
      <w:r w:rsidR="005E0508" w:rsidRPr="00E84C93">
        <w:rPr>
          <w:rFonts w:cs="Times New Roman"/>
          <w:bCs/>
          <w:color w:val="000000" w:themeColor="text1"/>
          <w:szCs w:val="24"/>
          <w:lang w:val="sr-Cyrl-CS" w:bidi="en-US"/>
        </w:rPr>
        <w:t>”</w:t>
      </w:r>
      <w:r w:rsidR="006709ED" w:rsidRPr="00E84C93">
        <w:rPr>
          <w:rFonts w:cs="Times New Roman"/>
          <w:bCs/>
          <w:color w:val="000000" w:themeColor="text1"/>
          <w:szCs w:val="24"/>
          <w:lang w:val="sr-Cyrl-CS" w:bidi="en-US"/>
        </w:rPr>
        <w:t>.</w:t>
      </w:r>
    </w:p>
    <w:p w14:paraId="617D619C" w14:textId="375FCA34" w:rsidR="006709ED" w:rsidRPr="00E84C93" w:rsidRDefault="003A4229" w:rsidP="006709ED">
      <w:pPr>
        <w:spacing w:before="120"/>
        <w:ind w:firstLine="720"/>
        <w:contextualSpacing/>
        <w:jc w:val="both"/>
        <w:rPr>
          <w:rFonts w:cs="Times New Roman"/>
          <w:color w:val="000000" w:themeColor="text1"/>
          <w:szCs w:val="24"/>
          <w:lang w:val="sr-Cyrl-CS" w:bidi="en-US"/>
        </w:rPr>
      </w:pPr>
      <w:r w:rsidRPr="00E84C93">
        <w:rPr>
          <w:rFonts w:cs="Times New Roman"/>
          <w:bCs/>
          <w:color w:val="000000" w:themeColor="text1"/>
          <w:szCs w:val="24"/>
          <w:lang w:val="sr-Cyrl-CS" w:bidi="en-US"/>
        </w:rPr>
        <w:t>У Уредби о граничним вредностима емисије загађујућих материја у вод</w:t>
      </w:r>
      <w:r w:rsidR="00DD0C3F" w:rsidRPr="00E84C93">
        <w:rPr>
          <w:rFonts w:cs="Times New Roman"/>
          <w:bCs/>
          <w:color w:val="000000" w:themeColor="text1"/>
          <w:szCs w:val="24"/>
          <w:lang w:val="sr-Cyrl-CS" w:bidi="en-US"/>
        </w:rPr>
        <w:t>е</w:t>
      </w:r>
      <w:r w:rsidRPr="00E84C93">
        <w:rPr>
          <w:rFonts w:cs="Times New Roman"/>
          <w:bCs/>
          <w:color w:val="000000" w:themeColor="text1"/>
          <w:szCs w:val="24"/>
          <w:lang w:val="sr-Cyrl-CS" w:bidi="en-US"/>
        </w:rPr>
        <w:t xml:space="preserve"> и роковима за њихово </w:t>
      </w:r>
      <w:r w:rsidR="00DD0C3F" w:rsidRPr="00E84C93">
        <w:rPr>
          <w:rFonts w:cs="Times New Roman"/>
          <w:bCs/>
          <w:color w:val="000000" w:themeColor="text1"/>
          <w:szCs w:val="24"/>
          <w:lang w:val="sr-Cyrl-CS" w:bidi="en-US"/>
        </w:rPr>
        <w:t>д</w:t>
      </w:r>
      <w:r w:rsidRPr="00E84C93">
        <w:rPr>
          <w:rFonts w:cs="Times New Roman"/>
          <w:bCs/>
          <w:color w:val="000000" w:themeColor="text1"/>
          <w:szCs w:val="24"/>
          <w:lang w:val="sr-Cyrl-CS" w:bidi="en-US"/>
        </w:rPr>
        <w:t>остизање („Службени гласник РС</w:t>
      </w:r>
      <w:r w:rsidR="00DD0C3F" w:rsidRPr="00E84C93">
        <w:rPr>
          <w:rFonts w:cs="Times New Roman"/>
          <w:bCs/>
          <w:color w:val="000000" w:themeColor="text1"/>
          <w:szCs w:val="24"/>
          <w:lang w:val="sr-Cyrl-CS" w:bidi="en-US"/>
        </w:rPr>
        <w:t>”</w:t>
      </w:r>
      <w:r w:rsidRPr="00E84C93">
        <w:rPr>
          <w:rFonts w:cs="Times New Roman"/>
          <w:bCs/>
          <w:color w:val="000000" w:themeColor="text1"/>
          <w:szCs w:val="24"/>
          <w:lang w:val="sr-Cyrl-CS" w:bidi="en-US"/>
        </w:rPr>
        <w:t>, бр. 67/11, 48/12</w:t>
      </w:r>
      <w:r w:rsidR="00DD0C3F" w:rsidRPr="00E84C93">
        <w:rPr>
          <w:rFonts w:cs="Times New Roman"/>
          <w:bCs/>
          <w:color w:val="000000" w:themeColor="text1"/>
          <w:szCs w:val="24"/>
          <w:lang w:val="sr-Cyrl-CS" w:bidi="en-US"/>
        </w:rPr>
        <w:t xml:space="preserve"> и </w:t>
      </w:r>
      <w:r w:rsidRPr="00E84C93">
        <w:rPr>
          <w:rFonts w:cs="Times New Roman"/>
          <w:bCs/>
          <w:color w:val="000000" w:themeColor="text1"/>
          <w:szCs w:val="24"/>
          <w:lang w:val="sr-Cyrl-CS" w:bidi="en-US"/>
        </w:rPr>
        <w:t xml:space="preserve">1/16) у члану 15. и Прилогу 2, III Комуналне отпадне воде, </w:t>
      </w:r>
      <w:r w:rsidR="000E46AA" w:rsidRPr="00E84C93">
        <w:rPr>
          <w:rFonts w:cs="Times New Roman"/>
          <w:bCs/>
          <w:color w:val="000000" w:themeColor="text1"/>
          <w:szCs w:val="24"/>
          <w:lang w:val="sr-Cyrl-CS" w:bidi="en-US"/>
        </w:rPr>
        <w:t>Т</w:t>
      </w:r>
      <w:r w:rsidRPr="00E84C93">
        <w:rPr>
          <w:rFonts w:cs="Times New Roman"/>
          <w:bCs/>
          <w:color w:val="000000" w:themeColor="text1"/>
          <w:szCs w:val="24"/>
          <w:lang w:val="sr-Cyrl-CS" w:bidi="en-US"/>
        </w:rPr>
        <w:t>абела 7.</w:t>
      </w:r>
      <w:r w:rsidRPr="00E84C93">
        <w:rPr>
          <w:lang w:val="sr-Cyrl-CS"/>
        </w:rPr>
        <w:t xml:space="preserve"> </w:t>
      </w:r>
      <w:r w:rsidRPr="00E84C93">
        <w:rPr>
          <w:rFonts w:cs="Times New Roman"/>
          <w:bCs/>
          <w:color w:val="000000" w:themeColor="text1"/>
          <w:szCs w:val="24"/>
          <w:lang w:val="sr-Cyrl-CS" w:bidi="en-US"/>
        </w:rPr>
        <w:t>Граничне вредности емисије за остатке од пречишћавања комуналних отпадних вода, д</w:t>
      </w:r>
      <w:r w:rsidR="00ED6255" w:rsidRPr="00E84C93">
        <w:rPr>
          <w:rFonts w:cs="Times New Roman"/>
          <w:bCs/>
          <w:color w:val="000000" w:themeColor="text1"/>
          <w:szCs w:val="24"/>
          <w:lang w:val="sr-Cyrl-CS" w:bidi="en-US"/>
        </w:rPr>
        <w:t xml:space="preserve">елимично </w:t>
      </w:r>
      <w:r w:rsidRPr="00E84C93">
        <w:rPr>
          <w:rFonts w:cs="Times New Roman"/>
          <w:bCs/>
          <w:color w:val="000000" w:themeColor="text1"/>
          <w:szCs w:val="24"/>
          <w:lang w:val="sr-Cyrl-CS" w:bidi="en-US"/>
        </w:rPr>
        <w:t xml:space="preserve">је </w:t>
      </w:r>
      <w:r w:rsidR="00ED6255" w:rsidRPr="00E84C93">
        <w:rPr>
          <w:rFonts w:cs="Times New Roman"/>
          <w:bCs/>
          <w:color w:val="000000" w:themeColor="text1"/>
          <w:szCs w:val="24"/>
          <w:lang w:val="sr-Cyrl-CS" w:bidi="en-US"/>
        </w:rPr>
        <w:t>усаглашен</w:t>
      </w:r>
      <w:r w:rsidRPr="00E84C93">
        <w:rPr>
          <w:rFonts w:cs="Times New Roman"/>
          <w:bCs/>
          <w:color w:val="000000" w:themeColor="text1"/>
          <w:szCs w:val="24"/>
          <w:lang w:val="sr-Cyrl-CS" w:bidi="en-US"/>
        </w:rPr>
        <w:t>а</w:t>
      </w:r>
      <w:r w:rsidR="00ED6255" w:rsidRPr="00E84C93">
        <w:rPr>
          <w:rFonts w:cs="Times New Roman"/>
          <w:bCs/>
          <w:color w:val="000000" w:themeColor="text1"/>
          <w:szCs w:val="24"/>
          <w:lang w:val="sr-Cyrl-CS" w:bidi="en-US"/>
        </w:rPr>
        <w:t xml:space="preserve"> са захтевима Директиве EC 86/278/EEC о коришћењу муља на пољопривредном земљишту. Ова</w:t>
      </w:r>
      <w:r w:rsidRPr="00E84C93">
        <w:rPr>
          <w:rFonts w:cs="Times New Roman"/>
          <w:bCs/>
          <w:color w:val="000000" w:themeColor="text1"/>
          <w:szCs w:val="24"/>
          <w:lang w:val="sr-Cyrl-CS" w:bidi="en-US"/>
        </w:rPr>
        <w:t xml:space="preserve"> </w:t>
      </w:r>
      <w:r w:rsidR="00DD0C3F" w:rsidRPr="00E84C93">
        <w:rPr>
          <w:rFonts w:cs="Times New Roman"/>
          <w:bCs/>
          <w:color w:val="000000" w:themeColor="text1"/>
          <w:szCs w:val="24"/>
          <w:lang w:val="sr-Cyrl-CS" w:bidi="en-US"/>
        </w:rPr>
        <w:t>у</w:t>
      </w:r>
      <w:r w:rsidRPr="00E84C93">
        <w:rPr>
          <w:rFonts w:cs="Times New Roman"/>
          <w:bCs/>
          <w:color w:val="000000" w:themeColor="text1"/>
          <w:szCs w:val="24"/>
          <w:lang w:val="sr-Cyrl-CS" w:bidi="en-US"/>
        </w:rPr>
        <w:t xml:space="preserve">редба </w:t>
      </w:r>
      <w:r w:rsidR="00ED6255" w:rsidRPr="00E84C93">
        <w:rPr>
          <w:rFonts w:cs="Times New Roman"/>
          <w:bCs/>
          <w:color w:val="000000" w:themeColor="text1"/>
          <w:szCs w:val="24"/>
          <w:lang w:val="sr-Cyrl-CS" w:bidi="en-US"/>
        </w:rPr>
        <w:t xml:space="preserve">о граничним вредностима </w:t>
      </w:r>
      <w:r w:rsidR="00DD0C3F" w:rsidRPr="00E84C93">
        <w:rPr>
          <w:rFonts w:cs="Times New Roman"/>
          <w:bCs/>
          <w:color w:val="000000" w:themeColor="text1"/>
          <w:szCs w:val="24"/>
          <w:lang w:val="sr-Cyrl-CS" w:bidi="en-US"/>
        </w:rPr>
        <w:t>прописује</w:t>
      </w:r>
      <w:r w:rsidR="00ED6255" w:rsidRPr="00E84C93">
        <w:rPr>
          <w:rFonts w:cs="Times New Roman"/>
          <w:bCs/>
          <w:color w:val="000000" w:themeColor="text1"/>
          <w:szCs w:val="24"/>
          <w:lang w:val="sr-Cyrl-CS" w:bidi="en-US"/>
        </w:rPr>
        <w:t xml:space="preserve"> ограничења која се тичу употребе муља на земљишту. У њ</w:t>
      </w:r>
      <w:r w:rsidR="00B433B8" w:rsidRPr="00E84C93">
        <w:rPr>
          <w:rFonts w:cs="Times New Roman"/>
          <w:bCs/>
          <w:color w:val="000000" w:themeColor="text1"/>
          <w:szCs w:val="24"/>
          <w:lang w:val="sr-Cyrl-CS" w:bidi="en-US"/>
        </w:rPr>
        <w:t>ој</w:t>
      </w:r>
      <w:r w:rsidR="00ED6255" w:rsidRPr="00E84C93">
        <w:rPr>
          <w:rFonts w:cs="Times New Roman"/>
          <w:bCs/>
          <w:color w:val="000000" w:themeColor="text1"/>
          <w:szCs w:val="24"/>
          <w:lang w:val="sr-Cyrl-CS" w:bidi="en-US"/>
        </w:rPr>
        <w:t xml:space="preserve"> је утврђено да </w:t>
      </w:r>
      <w:r w:rsidR="00B433B8" w:rsidRPr="00E84C93">
        <w:rPr>
          <w:rFonts w:cs="Times New Roman"/>
          <w:bCs/>
          <w:color w:val="000000" w:themeColor="text1"/>
          <w:szCs w:val="24"/>
          <w:lang w:val="sr-Cyrl-CS" w:bidi="en-US"/>
        </w:rPr>
        <w:t xml:space="preserve">је муљ </w:t>
      </w:r>
      <w:r w:rsidR="00ED6255" w:rsidRPr="00E84C93">
        <w:rPr>
          <w:rFonts w:cs="Times New Roman"/>
          <w:bCs/>
          <w:color w:val="000000" w:themeColor="text1"/>
          <w:szCs w:val="24"/>
          <w:lang w:val="sr-Cyrl-CS" w:bidi="en-US"/>
        </w:rPr>
        <w:t xml:space="preserve">остатак настао пречишћавањем отпадних вода </w:t>
      </w:r>
      <w:r w:rsidR="00B433B8" w:rsidRPr="00E84C93">
        <w:rPr>
          <w:rFonts w:cs="Times New Roman"/>
          <w:bCs/>
          <w:color w:val="000000" w:themeColor="text1"/>
          <w:szCs w:val="24"/>
          <w:lang w:val="sr-Cyrl-CS" w:bidi="en-US"/>
        </w:rPr>
        <w:t>из постројења за пречишћавање отпадних вода</w:t>
      </w:r>
      <w:r w:rsidR="00ED6255" w:rsidRPr="00E84C93">
        <w:rPr>
          <w:rFonts w:cs="Times New Roman"/>
          <w:bCs/>
          <w:color w:val="000000" w:themeColor="text1"/>
          <w:szCs w:val="24"/>
          <w:lang w:val="sr-Cyrl-CS" w:bidi="en-US"/>
        </w:rPr>
        <w:t>, било да је третиран или нетретиран</w:t>
      </w:r>
      <w:r w:rsidR="006709ED" w:rsidRPr="00E84C93">
        <w:rPr>
          <w:rFonts w:cs="Times New Roman"/>
          <w:bCs/>
          <w:color w:val="000000" w:themeColor="text1"/>
          <w:szCs w:val="24"/>
          <w:lang w:val="sr-Cyrl-CS" w:bidi="en-US"/>
        </w:rPr>
        <w:t>.</w:t>
      </w:r>
    </w:p>
    <w:p w14:paraId="37FE503C" w14:textId="30728DE6" w:rsidR="006709ED" w:rsidRPr="00E84C93" w:rsidRDefault="006709ED" w:rsidP="006709ED">
      <w:pPr>
        <w:spacing w:after="0"/>
        <w:ind w:firstLine="720"/>
        <w:jc w:val="both"/>
        <w:rPr>
          <w:rFonts w:eastAsia="Arial" w:cs="Times New Roman"/>
          <w:noProof/>
          <w:color w:val="000000" w:themeColor="text1"/>
          <w:szCs w:val="24"/>
          <w:lang w:val="sr-Cyrl-CS"/>
        </w:rPr>
      </w:pPr>
      <w:r w:rsidRPr="00E84C93">
        <w:rPr>
          <w:b/>
          <w:noProof/>
          <w:szCs w:val="24"/>
          <w:lang w:val="sr-Cyrl-CS"/>
        </w:rPr>
        <w:t xml:space="preserve">Закон о пољопривредном земљишту </w:t>
      </w:r>
      <w:r w:rsidRPr="00E84C93">
        <w:rPr>
          <w:bCs/>
          <w:noProof/>
          <w:szCs w:val="24"/>
          <w:lang w:val="sr-Cyrl-CS"/>
        </w:rPr>
        <w:t>(„Службени гласник РС”, бр. 62/06, 65/08 – др. закон, 41/09, 112/15, 80/17 и</w:t>
      </w:r>
      <w:r w:rsidR="00396006" w:rsidRPr="00E84C93">
        <w:rPr>
          <w:bCs/>
          <w:noProof/>
          <w:szCs w:val="24"/>
          <w:lang w:val="sr-Cyrl-CS"/>
        </w:rPr>
        <w:t xml:space="preserve"> </w:t>
      </w:r>
      <w:r w:rsidRPr="00E84C93">
        <w:rPr>
          <w:bCs/>
          <w:noProof/>
          <w:szCs w:val="24"/>
          <w:lang w:val="sr-Cyrl-CS"/>
        </w:rPr>
        <w:t>95/18 – др. закон)</w:t>
      </w:r>
      <w:r w:rsidRPr="00E84C93">
        <w:rPr>
          <w:rFonts w:eastAsia="Arial" w:cs="Times New Roman"/>
          <w:bCs/>
          <w:noProof/>
          <w:color w:val="000000" w:themeColor="text1"/>
          <w:szCs w:val="24"/>
          <w:lang w:val="sr-Cyrl-CS"/>
        </w:rPr>
        <w:t xml:space="preserve"> </w:t>
      </w:r>
      <w:r w:rsidR="00FC25D5" w:rsidRPr="00E84C93">
        <w:rPr>
          <w:rFonts w:eastAsia="Arial" w:cs="Times New Roman"/>
          <w:bCs/>
          <w:noProof/>
          <w:color w:val="000000" w:themeColor="text1"/>
          <w:szCs w:val="24"/>
          <w:lang w:val="sr-Cyrl-CS"/>
        </w:rPr>
        <w:t>уређује</w:t>
      </w:r>
      <w:r w:rsidRPr="00E84C93">
        <w:rPr>
          <w:rFonts w:eastAsia="Arial" w:cs="Times New Roman"/>
          <w:bCs/>
          <w:noProof/>
          <w:color w:val="000000" w:themeColor="text1"/>
          <w:szCs w:val="24"/>
          <w:lang w:val="sr-Cyrl-CS"/>
        </w:rPr>
        <w:t xml:space="preserve"> планирање, заштиту, </w:t>
      </w:r>
      <w:r w:rsidR="007502BB" w:rsidRPr="00E84C93">
        <w:rPr>
          <w:rFonts w:cs="Times New Roman"/>
          <w:color w:val="2C363A"/>
          <w:shd w:val="clear" w:color="auto" w:fill="FFFFFF"/>
          <w:lang w:val="sr-Cyrl-CS"/>
        </w:rPr>
        <w:t>уређење и коришћење</w:t>
      </w:r>
      <w:r w:rsidR="007502BB" w:rsidRPr="00E84C93">
        <w:rPr>
          <w:rFonts w:cs="Times New Roman"/>
          <w:color w:val="000000"/>
          <w:shd w:val="clear" w:color="auto" w:fill="FFFFFF"/>
          <w:lang w:val="sr-Cyrl-CS"/>
        </w:rPr>
        <w:t> </w:t>
      </w:r>
      <w:r w:rsidR="007502BB" w:rsidRPr="00E84C93">
        <w:rPr>
          <w:rFonts w:cs="Times New Roman"/>
          <w:color w:val="2C363A"/>
          <w:shd w:val="clear" w:color="auto" w:fill="FFFFFF"/>
          <w:lang w:val="sr-Cyrl-CS"/>
        </w:rPr>
        <w:t xml:space="preserve">пољопривредног земљишта, надзор над правилном применом овог </w:t>
      </w:r>
      <w:r w:rsidR="00DD0C3F" w:rsidRPr="00E84C93">
        <w:rPr>
          <w:rFonts w:cs="Times New Roman"/>
          <w:color w:val="2C363A"/>
          <w:shd w:val="clear" w:color="auto" w:fill="FFFFFF"/>
          <w:lang w:val="sr-Cyrl-CS"/>
        </w:rPr>
        <w:t>з</w:t>
      </w:r>
      <w:r w:rsidR="007502BB" w:rsidRPr="00E84C93">
        <w:rPr>
          <w:rFonts w:cs="Times New Roman"/>
          <w:color w:val="2C363A"/>
          <w:shd w:val="clear" w:color="auto" w:fill="FFFFFF"/>
          <w:lang w:val="sr-Cyrl-CS"/>
        </w:rPr>
        <w:t>акона</w:t>
      </w:r>
      <w:r w:rsidR="00DD0C3F" w:rsidRPr="00E84C93">
        <w:rPr>
          <w:rFonts w:cs="Times New Roman"/>
          <w:color w:val="2C363A"/>
          <w:shd w:val="clear" w:color="auto" w:fill="FFFFFF"/>
          <w:lang w:val="sr-Cyrl-CS"/>
        </w:rPr>
        <w:t xml:space="preserve"> </w:t>
      </w:r>
      <w:r w:rsidR="007502BB" w:rsidRPr="00E84C93">
        <w:rPr>
          <w:rFonts w:cs="Times New Roman"/>
          <w:color w:val="2C363A"/>
          <w:shd w:val="clear" w:color="auto" w:fill="FFFFFF"/>
          <w:lang w:val="sr-Cyrl-CS"/>
        </w:rPr>
        <w:t xml:space="preserve">и друга питања која су од суштинског значаја за коришћење пољопривредног земљишта као добра од </w:t>
      </w:r>
      <w:r w:rsidR="00D51FCB" w:rsidRPr="00E84C93">
        <w:rPr>
          <w:rFonts w:cs="Times New Roman"/>
          <w:color w:val="2C363A"/>
          <w:shd w:val="clear" w:color="auto" w:fill="FFFFFF"/>
          <w:lang w:val="sr-Cyrl-CS"/>
        </w:rPr>
        <w:t xml:space="preserve">општег </w:t>
      </w:r>
      <w:r w:rsidR="007502BB" w:rsidRPr="00E84C93">
        <w:rPr>
          <w:rFonts w:cs="Times New Roman"/>
          <w:color w:val="2C363A"/>
          <w:shd w:val="clear" w:color="auto" w:fill="FFFFFF"/>
          <w:lang w:val="sr-Cyrl-CS"/>
        </w:rPr>
        <w:t xml:space="preserve">интереса. Чланом 58. је утврђено да побољшање квалитета обрадивог пољопривредног земљишта укључује мере које унапређују физичка, хемијска и биолошка својства </w:t>
      </w:r>
      <w:r w:rsidR="007502BB" w:rsidRPr="00E84C93">
        <w:rPr>
          <w:rFonts w:cs="Times New Roman"/>
          <w:color w:val="2C363A"/>
          <w:szCs w:val="24"/>
          <w:shd w:val="clear" w:color="auto" w:fill="FFFFFF"/>
          <w:lang w:val="sr-Cyrl-CS"/>
        </w:rPr>
        <w:t>земљишта </w:t>
      </w:r>
      <w:r w:rsidR="007502BB" w:rsidRPr="00E84C93">
        <w:rPr>
          <w:rFonts w:cs="Times New Roman"/>
          <w:szCs w:val="24"/>
          <w:lang w:val="sr-Cyrl-CS"/>
        </w:rPr>
        <w:t>(оглињавање и опескавање земљишта, смањење киселости, смањење алкалности земљишта, мелиоративно ђубрење земљишта и друге мере). Закон забрањује испуштање (</w:t>
      </w:r>
      <w:r w:rsidR="00DD0C3F" w:rsidRPr="00E84C93">
        <w:rPr>
          <w:rFonts w:cs="Times New Roman"/>
          <w:szCs w:val="24"/>
          <w:lang w:val="sr-Cyrl-CS"/>
        </w:rPr>
        <w:t>ч</w:t>
      </w:r>
      <w:r w:rsidR="007502BB" w:rsidRPr="00E84C93">
        <w:rPr>
          <w:rFonts w:cs="Times New Roman"/>
          <w:szCs w:val="24"/>
          <w:lang w:val="sr-Cyrl-CS"/>
        </w:rPr>
        <w:t xml:space="preserve">лан 16) и </w:t>
      </w:r>
      <w:r w:rsidR="00DD0C3F" w:rsidRPr="00E84C93">
        <w:rPr>
          <w:rFonts w:cs="Times New Roman"/>
          <w:szCs w:val="24"/>
          <w:lang w:val="sr-Cyrl-CS"/>
        </w:rPr>
        <w:t>одлагање</w:t>
      </w:r>
      <w:r w:rsidR="007502BB" w:rsidRPr="00E84C93">
        <w:rPr>
          <w:rFonts w:cs="Times New Roman"/>
          <w:szCs w:val="24"/>
          <w:lang w:val="sr-Cyrl-CS"/>
        </w:rPr>
        <w:t xml:space="preserve"> штетних и опасних материја у пољопривредно земљиште и у канале за одводњавање и наводњавање. Пољопривредни инспектор у складу са чланом </w:t>
      </w:r>
      <w:r w:rsidR="007502BB" w:rsidRPr="00E84C93">
        <w:rPr>
          <w:rFonts w:cs="Times New Roman"/>
          <w:szCs w:val="24"/>
          <w:lang w:val="sr-Cyrl-CS"/>
        </w:rPr>
        <w:lastRenderedPageBreak/>
        <w:t>84. Закона о пољопривредном земљишту има овлашћења да забрани испуштање и одлагање опасних и штетних материја на пољопривредном земљишту и каналима за наводњавање у количини која може да оштети и смањи производну способност пољопривредног земљишта и квалитет воде за наводњавање</w:t>
      </w:r>
      <w:r w:rsidRPr="00E84C93">
        <w:rPr>
          <w:rFonts w:eastAsia="Arial" w:cs="Times New Roman"/>
          <w:noProof/>
          <w:color w:val="000000" w:themeColor="text1"/>
          <w:szCs w:val="24"/>
          <w:lang w:val="sr-Cyrl-CS"/>
        </w:rPr>
        <w:t>.</w:t>
      </w:r>
    </w:p>
    <w:p w14:paraId="00D4B48D" w14:textId="1F572BD4" w:rsidR="009C2E34" w:rsidRPr="00E84C93" w:rsidRDefault="006709ED" w:rsidP="0014747E">
      <w:pPr>
        <w:pStyle w:val="Normal4"/>
        <w:shd w:val="clear" w:color="auto" w:fill="FFFFFF"/>
        <w:spacing w:before="0" w:beforeAutospacing="0" w:after="0" w:afterAutospacing="0"/>
        <w:ind w:firstLine="720"/>
        <w:jc w:val="both"/>
        <w:rPr>
          <w:color w:val="333333"/>
          <w:lang w:val="sr-Cyrl-CS"/>
        </w:rPr>
      </w:pPr>
      <w:r w:rsidRPr="00E84C93">
        <w:rPr>
          <w:rFonts w:eastAsia="Arial"/>
          <w:b/>
          <w:bCs/>
          <w:noProof/>
          <w:color w:val="000000" w:themeColor="text1"/>
          <w:lang w:val="sr-Cyrl-CS"/>
        </w:rPr>
        <w:t xml:space="preserve">Закон о заштити земљишта </w:t>
      </w:r>
      <w:r w:rsidRPr="00E84C93">
        <w:rPr>
          <w:rFonts w:eastAsia="Arial"/>
          <w:noProof/>
          <w:color w:val="000000" w:themeColor="text1"/>
          <w:lang w:val="sr-Cyrl-CS"/>
        </w:rPr>
        <w:t>(„</w:t>
      </w:r>
      <w:r w:rsidRPr="00E84C93">
        <w:rPr>
          <w:noProof/>
          <w:lang w:val="sr-Cyrl-CS"/>
        </w:rPr>
        <w:t xml:space="preserve">Службени гласник РС”, број </w:t>
      </w:r>
      <w:r w:rsidRPr="00E84C93">
        <w:rPr>
          <w:rFonts w:eastAsia="Arial"/>
          <w:noProof/>
          <w:color w:val="000000" w:themeColor="text1"/>
          <w:lang w:val="sr-Cyrl-CS"/>
        </w:rPr>
        <w:t xml:space="preserve">112/15) </w:t>
      </w:r>
      <w:r w:rsidR="00DD0C3F" w:rsidRPr="00E84C93">
        <w:rPr>
          <w:rFonts w:eastAsia="Arial"/>
          <w:noProof/>
          <w:color w:val="000000" w:themeColor="text1"/>
          <w:lang w:val="sr-Cyrl-CS"/>
        </w:rPr>
        <w:t>уређује</w:t>
      </w:r>
      <w:r w:rsidRPr="00E84C93">
        <w:rPr>
          <w:rFonts w:eastAsia="Arial"/>
          <w:noProof/>
          <w:color w:val="000000" w:themeColor="text1"/>
          <w:lang w:val="sr-Cyrl-CS"/>
        </w:rPr>
        <w:t xml:space="preserve"> заштиту земљишта, систематски надзор над стањем и квалитетом мера за санацију земљишта, ремедијацију, обнову, инспекцију, надзор и друга питања од значаја за заштиту и очување земљишта као природног ресурса од националног интереса. Члан 3</w:t>
      </w:r>
      <w:r w:rsidR="00A15EC5" w:rsidRPr="00E84C93">
        <w:rPr>
          <w:rFonts w:eastAsia="Arial"/>
          <w:noProof/>
          <w:color w:val="000000" w:themeColor="text1"/>
          <w:lang w:val="sr-Cyrl-CS"/>
        </w:rPr>
        <w:t>.</w:t>
      </w:r>
      <w:r w:rsidRPr="00E84C93">
        <w:rPr>
          <w:rFonts w:eastAsia="Arial"/>
          <w:noProof/>
          <w:color w:val="000000" w:themeColor="text1"/>
          <w:lang w:val="sr-Cyrl-CS"/>
        </w:rPr>
        <w:t xml:space="preserve"> прописује</w:t>
      </w:r>
      <w:r w:rsidR="00DD0C3F" w:rsidRPr="00E84C93">
        <w:rPr>
          <w:rFonts w:eastAsia="Arial"/>
          <w:noProof/>
          <w:color w:val="000000" w:themeColor="text1"/>
          <w:lang w:val="sr-Cyrl-CS"/>
        </w:rPr>
        <w:t xml:space="preserve"> да је циљ закона да се очувају површине и функције земљушта као природног ресурса и да се спрече и отклоне штетне последице на земљишту</w:t>
      </w:r>
      <w:r w:rsidRPr="00E84C93">
        <w:rPr>
          <w:rFonts w:eastAsia="Arial"/>
          <w:noProof/>
          <w:color w:val="000000" w:themeColor="text1"/>
          <w:lang w:val="sr-Cyrl-CS"/>
        </w:rPr>
        <w:t>.</w:t>
      </w:r>
      <w:r w:rsidR="009C2E34" w:rsidRPr="00E84C93">
        <w:rPr>
          <w:rFonts w:eastAsia="Arial"/>
          <w:noProof/>
          <w:color w:val="000000" w:themeColor="text1"/>
          <w:lang w:val="sr-Cyrl-CS"/>
        </w:rPr>
        <w:t xml:space="preserve"> </w:t>
      </w:r>
      <w:r w:rsidR="009C2E34" w:rsidRPr="00E84C93">
        <w:rPr>
          <w:color w:val="333333"/>
          <w:lang w:val="sr-Cyrl-CS"/>
        </w:rPr>
        <w:t>Чланом 19. забрањено је испуштање и одлагање загађујућих, штетних и опасних материја и отпадних вода на површину земљишта и у земљиште. Особине земљишта могу да се мењају само у циљу побољшања квалитета у складу са његовом наменом. У циљу заштите квалитета земљишта и животне средине Влада, на предлог Министарства</w:t>
      </w:r>
      <w:r w:rsidR="008013E8" w:rsidRPr="00E84C93">
        <w:rPr>
          <w:color w:val="333333"/>
          <w:lang w:val="sr-Cyrl-CS"/>
        </w:rPr>
        <w:t xml:space="preserve"> заштите животне средине</w:t>
      </w:r>
      <w:r w:rsidR="009C2E34" w:rsidRPr="00E84C93">
        <w:rPr>
          <w:color w:val="333333"/>
          <w:lang w:val="sr-Cyrl-CS"/>
        </w:rPr>
        <w:t>, утврђује граничне вредности загађујућих, штетних и опасних материја у земљишту.</w:t>
      </w:r>
    </w:p>
    <w:p w14:paraId="4C337B8F" w14:textId="54F2B74A" w:rsidR="006709ED" w:rsidRPr="00E84C93" w:rsidRDefault="00A83A4B" w:rsidP="009C2E34">
      <w:pPr>
        <w:spacing w:after="0"/>
        <w:ind w:firstLine="720"/>
        <w:jc w:val="both"/>
        <w:rPr>
          <w:rFonts w:eastAsia="Arial" w:cs="Times New Roman"/>
          <w:noProof/>
          <w:color w:val="000000" w:themeColor="text1"/>
          <w:szCs w:val="24"/>
          <w:lang w:val="sr-Cyrl-CS"/>
        </w:rPr>
      </w:pPr>
      <w:r w:rsidRPr="00E84C93">
        <w:rPr>
          <w:b/>
          <w:bCs/>
          <w:noProof/>
          <w:szCs w:val="24"/>
          <w:lang w:val="sr-Cyrl-CS"/>
        </w:rPr>
        <w:t xml:space="preserve">Закон о планирању и изградњи </w:t>
      </w:r>
      <w:r w:rsidRPr="00E84C93">
        <w:rPr>
          <w:noProof/>
          <w:szCs w:val="24"/>
          <w:lang w:val="sr-Cyrl-CS"/>
        </w:rPr>
        <w:t>(„Службени гласник РС”, бр. 72/09, 81/09-исправка, 64/10 – УС, 24/11, 121/12, 42/13 – УС, 50/13 – УС, 98/13 – УС, 132/14, 145/14, 83/18, 31/19, 37/19 – др. закон, 9/20</w:t>
      </w:r>
      <w:r w:rsidR="0069687F" w:rsidRPr="00E84C93">
        <w:rPr>
          <w:noProof/>
          <w:szCs w:val="24"/>
          <w:lang w:val="sr-Cyrl-CS"/>
        </w:rPr>
        <w:t xml:space="preserve">, </w:t>
      </w:r>
      <w:r w:rsidRPr="00E84C93">
        <w:rPr>
          <w:noProof/>
          <w:szCs w:val="24"/>
          <w:lang w:val="sr-Cyrl-CS"/>
        </w:rPr>
        <w:t>52/21</w:t>
      </w:r>
      <w:r w:rsidR="0069687F" w:rsidRPr="00E84C93">
        <w:rPr>
          <w:noProof/>
          <w:szCs w:val="24"/>
          <w:lang w:val="sr-Cyrl-CS"/>
        </w:rPr>
        <w:t xml:space="preserve"> и 62/23</w:t>
      </w:r>
      <w:r w:rsidRPr="00E84C93">
        <w:rPr>
          <w:noProof/>
          <w:szCs w:val="24"/>
          <w:lang w:val="sr-Cyrl-CS"/>
        </w:rPr>
        <w:t xml:space="preserve">) </w:t>
      </w:r>
      <w:r w:rsidR="0069687F" w:rsidRPr="00E84C93">
        <w:rPr>
          <w:rFonts w:eastAsia="Arial" w:cs="Times New Roman"/>
          <w:noProof/>
          <w:color w:val="000000" w:themeColor="text1"/>
          <w:szCs w:val="24"/>
          <w:lang w:val="sr-Cyrl-CS"/>
        </w:rPr>
        <w:t>уређуј</w:t>
      </w:r>
      <w:r w:rsidR="002E1846" w:rsidRPr="00E84C93">
        <w:rPr>
          <w:rFonts w:eastAsia="Arial" w:cs="Times New Roman"/>
          <w:noProof/>
          <w:color w:val="000000" w:themeColor="text1"/>
          <w:szCs w:val="24"/>
          <w:lang w:val="sr-Cyrl-CS"/>
        </w:rPr>
        <w:t xml:space="preserve">е: услове и модалитете просторног планирања и развоја, развој и коришћење грађевинског земљишта и изградњу објеката; спровођење надзора над применом овог </w:t>
      </w:r>
      <w:r w:rsidR="0069687F" w:rsidRPr="00E84C93">
        <w:rPr>
          <w:rFonts w:eastAsia="Arial" w:cs="Times New Roman"/>
          <w:noProof/>
          <w:color w:val="000000" w:themeColor="text1"/>
          <w:szCs w:val="24"/>
          <w:lang w:val="sr-Cyrl-CS"/>
        </w:rPr>
        <w:t>з</w:t>
      </w:r>
      <w:r w:rsidR="002E1846" w:rsidRPr="00E84C93">
        <w:rPr>
          <w:rFonts w:eastAsia="Arial" w:cs="Times New Roman"/>
          <w:noProof/>
          <w:color w:val="000000" w:themeColor="text1"/>
          <w:szCs w:val="24"/>
          <w:lang w:val="sr-Cyrl-CS"/>
        </w:rPr>
        <w:t>акона и инспекциј</w:t>
      </w:r>
      <w:r w:rsidR="0069687F" w:rsidRPr="00E84C93">
        <w:rPr>
          <w:rFonts w:eastAsia="Arial" w:cs="Times New Roman"/>
          <w:noProof/>
          <w:color w:val="000000" w:themeColor="text1"/>
          <w:szCs w:val="24"/>
          <w:lang w:val="sr-Cyrl-CS"/>
        </w:rPr>
        <w:t>ски</w:t>
      </w:r>
      <w:r w:rsidR="002E1846" w:rsidRPr="00E84C93">
        <w:rPr>
          <w:rFonts w:eastAsia="Arial" w:cs="Times New Roman"/>
          <w:noProof/>
          <w:color w:val="000000" w:themeColor="text1"/>
          <w:szCs w:val="24"/>
          <w:lang w:val="sr-Cyrl-CS"/>
        </w:rPr>
        <w:t xml:space="preserve"> надзор; друга питања од значаја за развој простор</w:t>
      </w:r>
      <w:r w:rsidR="00ED6255" w:rsidRPr="00E84C93">
        <w:rPr>
          <w:rFonts w:eastAsia="Arial" w:cs="Times New Roman"/>
          <w:noProof/>
          <w:color w:val="000000" w:themeColor="text1"/>
          <w:szCs w:val="24"/>
          <w:lang w:val="sr-Cyrl-CS"/>
        </w:rPr>
        <w:t>а</w:t>
      </w:r>
      <w:r w:rsidR="002E1846" w:rsidRPr="00E84C93">
        <w:rPr>
          <w:rFonts w:eastAsia="Arial" w:cs="Times New Roman"/>
          <w:noProof/>
          <w:color w:val="000000" w:themeColor="text1"/>
          <w:szCs w:val="24"/>
          <w:lang w:val="sr-Cyrl-CS"/>
        </w:rPr>
        <w:t>, уређење простора, коришћење грађевинског земљишта и изградњу објеката.</w:t>
      </w:r>
      <w:r w:rsidR="007868F4" w:rsidRPr="00E84C93">
        <w:rPr>
          <w:rFonts w:eastAsia="Arial" w:cs="Times New Roman"/>
          <w:noProof/>
          <w:color w:val="000000" w:themeColor="text1"/>
          <w:szCs w:val="24"/>
          <w:lang w:val="sr-Cyrl-CS"/>
        </w:rPr>
        <w:t xml:space="preserve"> </w:t>
      </w:r>
      <w:r w:rsidR="002E1846" w:rsidRPr="00E84C93">
        <w:rPr>
          <w:rFonts w:eastAsia="Arial" w:cs="Times New Roman"/>
          <w:noProof/>
          <w:color w:val="000000" w:themeColor="text1"/>
          <w:szCs w:val="24"/>
          <w:lang w:val="sr-Cyrl-CS"/>
        </w:rPr>
        <w:t xml:space="preserve">Члан 133. овог </w:t>
      </w:r>
      <w:r w:rsidR="0069687F" w:rsidRPr="00E84C93">
        <w:rPr>
          <w:rFonts w:eastAsia="Arial" w:cs="Times New Roman"/>
          <w:noProof/>
          <w:color w:val="000000" w:themeColor="text1"/>
          <w:szCs w:val="24"/>
          <w:lang w:val="sr-Cyrl-CS"/>
        </w:rPr>
        <w:t>з</w:t>
      </w:r>
      <w:r w:rsidR="002E1846" w:rsidRPr="00E84C93">
        <w:rPr>
          <w:rFonts w:eastAsia="Arial" w:cs="Times New Roman"/>
          <w:noProof/>
          <w:color w:val="000000" w:themeColor="text1"/>
          <w:szCs w:val="24"/>
          <w:lang w:val="sr-Cyrl-CS"/>
        </w:rPr>
        <w:t xml:space="preserve">акона наводи списак грађевинских објеката за које </w:t>
      </w:r>
      <w:r w:rsidR="0069687F" w:rsidRPr="00E84C93">
        <w:rPr>
          <w:rFonts w:eastAsia="Arial" w:cs="Times New Roman"/>
          <w:noProof/>
          <w:color w:val="000000" w:themeColor="text1"/>
          <w:szCs w:val="24"/>
          <w:lang w:val="sr-Cyrl-CS"/>
        </w:rPr>
        <w:t>је</w:t>
      </w:r>
      <w:r w:rsidR="002E1846" w:rsidRPr="00E84C93">
        <w:rPr>
          <w:rFonts w:eastAsia="Arial" w:cs="Times New Roman"/>
          <w:noProof/>
          <w:color w:val="000000" w:themeColor="text1"/>
          <w:szCs w:val="24"/>
          <w:lang w:val="sr-Cyrl-CS"/>
        </w:rPr>
        <w:t xml:space="preserve"> одговорн</w:t>
      </w:r>
      <w:r w:rsidR="0069687F" w:rsidRPr="00E84C93">
        <w:rPr>
          <w:rFonts w:eastAsia="Arial" w:cs="Times New Roman"/>
          <w:noProof/>
          <w:color w:val="000000" w:themeColor="text1"/>
          <w:szCs w:val="24"/>
          <w:lang w:val="sr-Cyrl-CS"/>
        </w:rPr>
        <w:t>о</w:t>
      </w:r>
      <w:r w:rsidR="001F131A" w:rsidRPr="00E84C93">
        <w:rPr>
          <w:rFonts w:eastAsia="Arial" w:cs="Times New Roman"/>
          <w:noProof/>
          <w:color w:val="000000" w:themeColor="text1"/>
          <w:szCs w:val="24"/>
          <w:lang w:val="sr-Cyrl-CS"/>
        </w:rPr>
        <w:t>, односно за</w:t>
      </w:r>
      <w:r w:rsidR="008013E8" w:rsidRPr="00E84C93">
        <w:rPr>
          <w:rFonts w:eastAsia="Arial" w:cs="Times New Roman"/>
          <w:noProof/>
          <w:color w:val="000000" w:themeColor="text1"/>
          <w:szCs w:val="24"/>
          <w:lang w:val="sr-Cyrl-CS"/>
        </w:rPr>
        <w:t xml:space="preserve"> </w:t>
      </w:r>
      <w:r w:rsidR="001F131A" w:rsidRPr="00E84C93">
        <w:rPr>
          <w:rFonts w:eastAsia="Arial" w:cs="Times New Roman"/>
          <w:noProof/>
          <w:color w:val="000000" w:themeColor="text1"/>
          <w:szCs w:val="24"/>
          <w:lang w:val="sr-Cyrl-CS"/>
        </w:rPr>
        <w:t>које</w:t>
      </w:r>
      <w:r w:rsidR="008013E8" w:rsidRPr="00E84C93">
        <w:rPr>
          <w:rFonts w:eastAsia="Arial" w:cs="Times New Roman"/>
          <w:noProof/>
          <w:color w:val="000000" w:themeColor="text1"/>
          <w:szCs w:val="24"/>
          <w:lang w:val="sr-Cyrl-CS"/>
        </w:rPr>
        <w:t xml:space="preserve"> </w:t>
      </w:r>
      <w:r w:rsidR="001F131A" w:rsidRPr="00E84C93">
        <w:rPr>
          <w:rFonts w:eastAsia="Arial" w:cs="Times New Roman"/>
          <w:noProof/>
          <w:color w:val="000000" w:themeColor="text1"/>
          <w:szCs w:val="24"/>
          <w:lang w:val="sr-Cyrl-CS"/>
        </w:rPr>
        <w:t xml:space="preserve">грађевинску дозволу за изградњу издаје </w:t>
      </w:r>
      <w:r w:rsidR="002E1846" w:rsidRPr="00E84C93">
        <w:rPr>
          <w:rFonts w:eastAsia="Arial" w:cs="Times New Roman"/>
          <w:noProof/>
          <w:color w:val="000000" w:themeColor="text1"/>
          <w:szCs w:val="24"/>
          <w:lang w:val="sr-Cyrl-CS"/>
        </w:rPr>
        <w:t>Министарство</w:t>
      </w:r>
      <w:r w:rsidR="0069687F" w:rsidRPr="00E84C93">
        <w:rPr>
          <w:rFonts w:eastAsia="Arial" w:cs="Times New Roman"/>
          <w:noProof/>
          <w:color w:val="000000" w:themeColor="text1"/>
          <w:szCs w:val="24"/>
          <w:lang w:val="sr-Cyrl-CS"/>
        </w:rPr>
        <w:t xml:space="preserve"> грађевинарства, саобраћаја и инфраструктуре</w:t>
      </w:r>
      <w:r w:rsidR="002E1846" w:rsidRPr="00E84C93">
        <w:rPr>
          <w:rFonts w:eastAsia="Arial" w:cs="Times New Roman"/>
          <w:noProof/>
          <w:color w:val="000000" w:themeColor="text1"/>
          <w:szCs w:val="24"/>
          <w:lang w:val="sr-Cyrl-CS"/>
        </w:rPr>
        <w:t xml:space="preserve">. За друге објекте, који нису наведени у </w:t>
      </w:r>
      <w:r w:rsidR="0069687F" w:rsidRPr="00E84C93">
        <w:rPr>
          <w:rFonts w:eastAsia="Arial" w:cs="Times New Roman"/>
          <w:noProof/>
          <w:color w:val="000000" w:themeColor="text1"/>
          <w:szCs w:val="24"/>
          <w:lang w:val="sr-Cyrl-CS"/>
        </w:rPr>
        <w:t>ч</w:t>
      </w:r>
      <w:r w:rsidR="002E1846" w:rsidRPr="00E84C93">
        <w:rPr>
          <w:rFonts w:eastAsia="Arial" w:cs="Times New Roman"/>
          <w:noProof/>
          <w:color w:val="000000" w:themeColor="text1"/>
          <w:szCs w:val="24"/>
          <w:lang w:val="sr-Cyrl-CS"/>
        </w:rPr>
        <w:t>лану 133, одговорне су јединице локалне самоуправе.</w:t>
      </w:r>
    </w:p>
    <w:p w14:paraId="22CF5262" w14:textId="7FDB6BEE" w:rsidR="00FC6BAA" w:rsidRPr="00E84C93" w:rsidRDefault="00FC6BAA" w:rsidP="00FC6BAA">
      <w:pPr>
        <w:tabs>
          <w:tab w:val="left" w:pos="0"/>
        </w:tabs>
        <w:spacing w:after="0"/>
        <w:jc w:val="both"/>
        <w:rPr>
          <w:rFonts w:eastAsia="MS Mincho"/>
          <w:bCs/>
          <w:lang w:val="sr-Cyrl-CS"/>
        </w:rPr>
      </w:pPr>
      <w:r w:rsidRPr="00E84C93">
        <w:rPr>
          <w:rFonts w:eastAsia="MS Mincho"/>
          <w:szCs w:val="24"/>
          <w:lang w:val="sr-Cyrl-CS"/>
        </w:rPr>
        <w:tab/>
      </w:r>
      <w:r w:rsidRPr="00E84C93">
        <w:rPr>
          <w:rFonts w:eastAsia="MS Mincho" w:cs="Times New Roman"/>
          <w:b/>
          <w:bCs/>
          <w:szCs w:val="24"/>
          <w:lang w:val="sr-Cyrl-CS"/>
        </w:rPr>
        <w:t xml:space="preserve">Закон о енергетској ефикасности и рационалној употреби енергије </w:t>
      </w:r>
      <w:r w:rsidRPr="00E84C93">
        <w:rPr>
          <w:rFonts w:eastAsia="MS Mincho" w:cs="Times New Roman"/>
          <w:szCs w:val="24"/>
          <w:lang w:val="sr-Cyrl-CS"/>
        </w:rPr>
        <w:t>(„Службени гласник РС”, број 40/21)</w:t>
      </w:r>
      <w:r w:rsidR="002E1846" w:rsidRPr="00E84C93">
        <w:rPr>
          <w:rFonts w:eastAsia="MS Mincho"/>
          <w:szCs w:val="24"/>
          <w:lang w:val="sr-Cyrl-CS"/>
        </w:rPr>
        <w:t xml:space="preserve"> </w:t>
      </w:r>
      <w:r w:rsidR="003C18C5" w:rsidRPr="00E84C93">
        <w:rPr>
          <w:rFonts w:eastAsia="MS Mincho"/>
          <w:szCs w:val="24"/>
          <w:lang w:val="sr-Cyrl-CS"/>
        </w:rPr>
        <w:t>уређује услове и начин ефикасног коришћења енергије и енергената; политику ефикасног коришћења енергије; систем енергетског менаџмента; мере политике енергетске ефикасности: коришћење енергије у зградама, код енергетских делатности и крајњих купаца, за енергетске објекте и енергетске услуге; енергетско означавање и захтеве у погледу еко-дизајна; финансирање, подстицајне и друге мере у овој области, као и друга питања од значаја за права и обавезе физичких и правних лица у вези са ефикасним коришћењем енергије.</w:t>
      </w:r>
    </w:p>
    <w:p w14:paraId="363ED5C1" w14:textId="68908E26" w:rsidR="002E1846" w:rsidRPr="00E84C93" w:rsidRDefault="002E1846" w:rsidP="002E1846">
      <w:pPr>
        <w:tabs>
          <w:tab w:val="left" w:pos="0"/>
        </w:tabs>
        <w:spacing w:after="0"/>
        <w:jc w:val="both"/>
        <w:rPr>
          <w:rFonts w:eastAsia="MS Mincho"/>
          <w:bCs/>
          <w:lang w:val="sr-Cyrl-CS"/>
        </w:rPr>
      </w:pPr>
      <w:r w:rsidRPr="00E84C93">
        <w:rPr>
          <w:rFonts w:eastAsia="MS Mincho"/>
          <w:bCs/>
          <w:lang w:val="sr-Cyrl-CS"/>
        </w:rPr>
        <w:tab/>
      </w:r>
      <w:r w:rsidRPr="00E84C93">
        <w:rPr>
          <w:rFonts w:eastAsia="MS Mincho"/>
          <w:b/>
          <w:lang w:val="sr-Cyrl-CS"/>
        </w:rPr>
        <w:t xml:space="preserve">Закон о заштити животне средине </w:t>
      </w:r>
      <w:r w:rsidRPr="00E84C93">
        <w:rPr>
          <w:rFonts w:eastAsia="Arial" w:cs="Times New Roman"/>
          <w:bCs/>
          <w:noProof/>
          <w:szCs w:val="24"/>
          <w:lang w:val="sr-Cyrl-CS"/>
        </w:rPr>
        <w:t>(„Службени гласник РС”, бр. 135/04, 36/09- др. закон, 72/09 – др. закон, 43/11 – УС, 14/16, 76/18</w:t>
      </w:r>
      <w:r w:rsidR="009257C0" w:rsidRPr="00E84C93">
        <w:rPr>
          <w:rFonts w:eastAsia="Arial" w:cs="Times New Roman"/>
          <w:bCs/>
          <w:noProof/>
          <w:szCs w:val="24"/>
          <w:lang w:val="sr-Cyrl-CS"/>
        </w:rPr>
        <w:t>,</w:t>
      </w:r>
      <w:r w:rsidRPr="00E84C93">
        <w:rPr>
          <w:rFonts w:eastAsia="Arial" w:cs="Times New Roman"/>
          <w:bCs/>
          <w:noProof/>
          <w:szCs w:val="24"/>
          <w:lang w:val="sr-Cyrl-CS"/>
        </w:rPr>
        <w:t xml:space="preserve"> 95/18 – др. закон</w:t>
      </w:r>
      <w:r w:rsidR="009257C0" w:rsidRPr="00E84C93">
        <w:rPr>
          <w:rFonts w:eastAsia="Arial" w:cs="Times New Roman"/>
          <w:bCs/>
          <w:noProof/>
          <w:szCs w:val="24"/>
          <w:lang w:val="sr-Cyrl-CS"/>
        </w:rPr>
        <w:t xml:space="preserve"> и 95/18 – др. закон</w:t>
      </w:r>
      <w:r w:rsidRPr="00E84C93">
        <w:rPr>
          <w:rFonts w:eastAsia="Arial" w:cs="Times New Roman"/>
          <w:bCs/>
          <w:noProof/>
          <w:szCs w:val="24"/>
          <w:lang w:val="sr-Cyrl-CS"/>
        </w:rPr>
        <w:t>)</w:t>
      </w:r>
      <w:r w:rsidRPr="00E84C93">
        <w:rPr>
          <w:rFonts w:eastAsia="MS Mincho"/>
          <w:bCs/>
          <w:lang w:val="sr-Cyrl-CS"/>
        </w:rPr>
        <w:t xml:space="preserve"> </w:t>
      </w:r>
      <w:r w:rsidR="009257C0" w:rsidRPr="00E84C93">
        <w:rPr>
          <w:rFonts w:eastAsia="MS Mincho"/>
          <w:bCs/>
          <w:lang w:val="sr-Cyrl-CS"/>
        </w:rPr>
        <w:t>уређује</w:t>
      </w:r>
      <w:r w:rsidRPr="00E84C93">
        <w:rPr>
          <w:rFonts w:eastAsia="MS Mincho"/>
          <w:bCs/>
          <w:lang w:val="sr-Cyrl-CS"/>
        </w:rPr>
        <w:t xml:space="preserve"> интегрални систем заштите животне средине који</w:t>
      </w:r>
      <w:r w:rsidR="007C2B77" w:rsidRPr="00E84C93">
        <w:rPr>
          <w:rFonts w:eastAsia="MS Mincho"/>
          <w:bCs/>
          <w:lang w:val="sr-Cyrl-CS"/>
        </w:rPr>
        <w:t>м се</w:t>
      </w:r>
      <w:r w:rsidRPr="00E84C93">
        <w:rPr>
          <w:rFonts w:eastAsia="MS Mincho"/>
          <w:bCs/>
          <w:lang w:val="sr-Cyrl-CS"/>
        </w:rPr>
        <w:t xml:space="preserve"> обезбе</w:t>
      </w:r>
      <w:r w:rsidR="007C2B77" w:rsidRPr="00E84C93">
        <w:rPr>
          <w:rFonts w:eastAsia="MS Mincho"/>
          <w:bCs/>
          <w:lang w:val="sr-Cyrl-CS"/>
        </w:rPr>
        <w:t>ђује остваривање права човека</w:t>
      </w:r>
      <w:r w:rsidRPr="00E84C93">
        <w:rPr>
          <w:rFonts w:eastAsia="MS Mincho"/>
          <w:bCs/>
          <w:lang w:val="sr-Cyrl-CS"/>
        </w:rPr>
        <w:t xml:space="preserve"> на живот и развој у здравој животној средини и уравнотежен однос </w:t>
      </w:r>
      <w:r w:rsidR="007C2B77" w:rsidRPr="00E84C93">
        <w:rPr>
          <w:rFonts w:eastAsia="MS Mincho"/>
          <w:bCs/>
          <w:lang w:val="sr-Cyrl-CS"/>
        </w:rPr>
        <w:t>привредној развоја и</w:t>
      </w:r>
      <w:r w:rsidRPr="00E84C93">
        <w:rPr>
          <w:rFonts w:eastAsia="MS Mincho"/>
          <w:bCs/>
          <w:lang w:val="sr-Cyrl-CS"/>
        </w:rPr>
        <w:t xml:space="preserve"> животне средине у Републици Србији. </w:t>
      </w:r>
      <w:r w:rsidR="00ED6255" w:rsidRPr="00E84C93">
        <w:rPr>
          <w:rFonts w:eastAsia="MS Mincho"/>
          <w:bCs/>
          <w:lang w:val="sr-Cyrl-CS"/>
        </w:rPr>
        <w:t xml:space="preserve">Чланом 3. </w:t>
      </w:r>
      <w:r w:rsidR="005E6BFF" w:rsidRPr="00E84C93">
        <w:rPr>
          <w:rFonts w:eastAsia="MS Mincho"/>
          <w:bCs/>
          <w:lang w:val="sr-Cyrl-CS"/>
        </w:rPr>
        <w:t xml:space="preserve">тачка </w:t>
      </w:r>
      <w:r w:rsidR="00ED6255" w:rsidRPr="00E84C93">
        <w:rPr>
          <w:rFonts w:eastAsia="MS Mincho"/>
          <w:bCs/>
          <w:lang w:val="sr-Cyrl-CS"/>
        </w:rPr>
        <w:t>33</w:t>
      </w:r>
      <w:r w:rsidR="005E6BFF" w:rsidRPr="00E84C93">
        <w:rPr>
          <w:rFonts w:eastAsia="MS Mincho"/>
          <w:bCs/>
          <w:lang w:val="sr-Cyrl-CS"/>
        </w:rPr>
        <w:t>в</w:t>
      </w:r>
      <w:r w:rsidR="00ED6255" w:rsidRPr="00E84C93">
        <w:rPr>
          <w:rFonts w:eastAsia="MS Mincho"/>
          <w:bCs/>
          <w:lang w:val="sr-Cyrl-CS"/>
        </w:rPr>
        <w:t xml:space="preserve"> утврђено</w:t>
      </w:r>
      <w:r w:rsidR="005E6BFF" w:rsidRPr="00E84C93">
        <w:rPr>
          <w:rFonts w:eastAsia="MS Mincho"/>
          <w:bCs/>
          <w:lang w:val="sr-Cyrl-CS"/>
        </w:rPr>
        <w:t xml:space="preserve"> је </w:t>
      </w:r>
      <w:r w:rsidR="00ED6255" w:rsidRPr="00E84C93">
        <w:rPr>
          <w:rFonts w:eastAsia="MS Mincho"/>
          <w:bCs/>
          <w:lang w:val="sr-Cyrl-CS"/>
        </w:rPr>
        <w:t xml:space="preserve"> да„…муљ јесте обрађени или необрађени остатак из постројења за </w:t>
      </w:r>
      <w:r w:rsidR="00ED6255" w:rsidRPr="00E84C93">
        <w:rPr>
          <w:lang w:val="sr-Cyrl-CS"/>
        </w:rPr>
        <w:t xml:space="preserve">пречишћавање технолошких отпадних </w:t>
      </w:r>
      <w:r w:rsidR="00ED6255" w:rsidRPr="00E84C93">
        <w:rPr>
          <w:rFonts w:eastAsia="MS Mincho"/>
          <w:bCs/>
          <w:lang w:val="sr-Cyrl-CS"/>
        </w:rPr>
        <w:t>вода</w:t>
      </w:r>
      <w:r w:rsidR="00ED6255" w:rsidRPr="00E84C93">
        <w:rPr>
          <w:rFonts w:eastAsia="MS Mincho" w:cs="Times New Roman"/>
          <w:bCs/>
          <w:lang w:val="sr-Cyrl-CS"/>
        </w:rPr>
        <w:t>”</w:t>
      </w:r>
      <w:r w:rsidR="00ED6255" w:rsidRPr="00E84C93">
        <w:rPr>
          <w:rFonts w:eastAsia="MS Mincho"/>
          <w:bCs/>
          <w:lang w:val="sr-Cyrl-CS"/>
        </w:rPr>
        <w:t xml:space="preserve">, </w:t>
      </w:r>
      <w:r w:rsidR="005E6BFF" w:rsidRPr="00E84C93">
        <w:rPr>
          <w:rFonts w:eastAsia="MS Mincho"/>
          <w:bCs/>
          <w:lang w:val="sr-Cyrl-CS"/>
        </w:rPr>
        <w:t>а</w:t>
      </w:r>
      <w:r w:rsidR="00ED6255" w:rsidRPr="00E84C93">
        <w:rPr>
          <w:rFonts w:eastAsia="MS Mincho"/>
          <w:bCs/>
          <w:lang w:val="sr-Cyrl-CS"/>
        </w:rPr>
        <w:t xml:space="preserve"> чланом 23</w:t>
      </w:r>
      <w:r w:rsidR="005E6BFF" w:rsidRPr="00E84C93">
        <w:rPr>
          <w:rFonts w:eastAsia="MS Mincho"/>
          <w:bCs/>
          <w:lang w:val="sr-Cyrl-CS"/>
        </w:rPr>
        <w:t>.</w:t>
      </w:r>
      <w:r w:rsidR="00ED6255" w:rsidRPr="00E84C93">
        <w:rPr>
          <w:rFonts w:eastAsia="MS Mincho"/>
          <w:bCs/>
          <w:lang w:val="sr-Cyrl-CS"/>
        </w:rPr>
        <w:t xml:space="preserve"> </w:t>
      </w:r>
      <w:r w:rsidR="00D17BF6" w:rsidRPr="00E84C93">
        <w:rPr>
          <w:rFonts w:eastAsia="MS Mincho"/>
          <w:bCs/>
          <w:lang w:val="sr-Cyrl-CS"/>
        </w:rPr>
        <w:t xml:space="preserve">став </w:t>
      </w:r>
      <w:r w:rsidR="00ED6255" w:rsidRPr="00E84C93">
        <w:rPr>
          <w:rFonts w:eastAsia="MS Mincho"/>
          <w:bCs/>
          <w:lang w:val="sr-Cyrl-CS"/>
        </w:rPr>
        <w:t>4. утврђено</w:t>
      </w:r>
      <w:r w:rsidR="005E6BFF" w:rsidRPr="00E84C93">
        <w:rPr>
          <w:rFonts w:eastAsia="MS Mincho"/>
          <w:bCs/>
          <w:lang w:val="sr-Cyrl-CS"/>
        </w:rPr>
        <w:t xml:space="preserve"> је</w:t>
      </w:r>
      <w:r w:rsidR="00ED6255" w:rsidRPr="00E84C93">
        <w:rPr>
          <w:rFonts w:eastAsia="MS Mincho"/>
          <w:bCs/>
          <w:lang w:val="sr-Cyrl-CS"/>
        </w:rPr>
        <w:t xml:space="preserve"> да „Муљ који је настао у процесу пречишћавања комуналних отпадних вода </w:t>
      </w:r>
      <w:r w:rsidR="00ED6255" w:rsidRPr="00E84C93">
        <w:rPr>
          <w:lang w:val="sr-Cyrl-CS"/>
        </w:rPr>
        <w:t>мора се третирати, одлагати и користити на начин да се не угрози животна средина</w:t>
      </w:r>
      <w:r w:rsidR="00ED6255" w:rsidRPr="00E84C93">
        <w:rPr>
          <w:rFonts w:eastAsia="MS Mincho"/>
          <w:bCs/>
          <w:lang w:val="sr-Cyrl-CS"/>
        </w:rPr>
        <w:t xml:space="preserve"> и здравље људи, у складу са законом који регулише заштиту воде од загађивања</w:t>
      </w:r>
      <w:r w:rsidR="00ED6255" w:rsidRPr="00E84C93">
        <w:rPr>
          <w:rFonts w:eastAsia="MS Mincho" w:cs="Times New Roman"/>
          <w:bCs/>
          <w:lang w:val="sr-Cyrl-CS"/>
        </w:rPr>
        <w:t>”</w:t>
      </w:r>
      <w:r w:rsidR="00ED6255" w:rsidRPr="00E84C93">
        <w:rPr>
          <w:rFonts w:eastAsia="MS Mincho"/>
          <w:bCs/>
          <w:lang w:val="sr-Cyrl-CS"/>
        </w:rPr>
        <w:t>.</w:t>
      </w:r>
    </w:p>
    <w:p w14:paraId="419CED60" w14:textId="23D23C26" w:rsidR="002E1846" w:rsidRPr="00E84C93" w:rsidRDefault="002E1846" w:rsidP="002E1846">
      <w:pPr>
        <w:autoSpaceDE w:val="0"/>
        <w:autoSpaceDN w:val="0"/>
        <w:adjustRightInd w:val="0"/>
        <w:spacing w:after="0"/>
        <w:ind w:firstLine="720"/>
        <w:jc w:val="both"/>
        <w:rPr>
          <w:rFonts w:eastAsia="Arial" w:cs="Times New Roman"/>
          <w:noProof/>
          <w:szCs w:val="24"/>
          <w:lang w:val="sr-Cyrl-CS"/>
        </w:rPr>
      </w:pPr>
      <w:r w:rsidRPr="00E84C93">
        <w:rPr>
          <w:rFonts w:eastAsia="Arial" w:cs="Times New Roman"/>
          <w:b/>
          <w:noProof/>
          <w:szCs w:val="24"/>
          <w:lang w:val="sr-Cyrl-CS"/>
        </w:rPr>
        <w:t xml:space="preserve">Закон о стратешкој процени утицаја на животну средину </w:t>
      </w:r>
      <w:r w:rsidRPr="00E84C93">
        <w:rPr>
          <w:rFonts w:cs="Times New Roman"/>
          <w:bCs/>
          <w:noProof/>
          <w:szCs w:val="24"/>
          <w:lang w:val="sr-Cyrl-CS"/>
        </w:rPr>
        <w:t xml:space="preserve">(„Службени гласник РС”, бр. </w:t>
      </w:r>
      <w:r w:rsidRPr="00E84C93">
        <w:rPr>
          <w:rFonts w:eastAsia="Arial" w:cs="Times New Roman"/>
          <w:bCs/>
          <w:noProof/>
          <w:szCs w:val="24"/>
          <w:lang w:val="sr-Cyrl-CS"/>
        </w:rPr>
        <w:t>135/04 и 88/10) регулише услове, методе и процедуру према</w:t>
      </w:r>
      <w:r w:rsidRPr="00E84C93">
        <w:rPr>
          <w:rFonts w:eastAsia="Arial" w:cs="Times New Roman"/>
          <w:noProof/>
          <w:szCs w:val="24"/>
          <w:lang w:val="sr-Cyrl-CS"/>
        </w:rPr>
        <w:t xml:space="preserve"> којима ће се вршити процена утицаја одређених планова и програма на животну средину (у даљем тексту: </w:t>
      </w:r>
      <w:r w:rsidRPr="00E84C93">
        <w:rPr>
          <w:rFonts w:eastAsia="Arial" w:cs="Times New Roman"/>
          <w:noProof/>
          <w:szCs w:val="24"/>
          <w:lang w:val="sr-Cyrl-CS"/>
        </w:rPr>
        <w:lastRenderedPageBreak/>
        <w:t>стратешка процена) у циљу обезбеђивања заштите животне средине и унапређења одрживог развоја путем интеграције основних принципа заштите животне средине у процедуру припреме и усвајања планова и програма.</w:t>
      </w:r>
    </w:p>
    <w:p w14:paraId="3C4B43A8" w14:textId="6D34388D" w:rsidR="002E1846" w:rsidRPr="00E84C93" w:rsidRDefault="002E1846" w:rsidP="002E1846">
      <w:pPr>
        <w:spacing w:after="0"/>
        <w:ind w:firstLine="720"/>
        <w:jc w:val="both"/>
        <w:rPr>
          <w:rFonts w:cs="Times New Roman"/>
          <w:noProof/>
          <w:szCs w:val="24"/>
          <w:lang w:val="sr-Cyrl-CS"/>
        </w:rPr>
      </w:pPr>
      <w:r w:rsidRPr="00E84C93">
        <w:rPr>
          <w:rFonts w:eastAsia="Arial" w:cs="Times New Roman"/>
          <w:b/>
          <w:noProof/>
          <w:szCs w:val="24"/>
          <w:lang w:val="sr-Cyrl-CS"/>
        </w:rPr>
        <w:t xml:space="preserve">Закон о процени утицаја на животну средину </w:t>
      </w:r>
      <w:r w:rsidRPr="00E84C93">
        <w:rPr>
          <w:rFonts w:cs="Times New Roman"/>
          <w:bCs/>
          <w:noProof/>
          <w:szCs w:val="24"/>
          <w:lang w:val="sr-Cyrl-CS"/>
        </w:rPr>
        <w:t xml:space="preserve">(„Службени гласник РС”, бр. </w:t>
      </w:r>
      <w:r w:rsidRPr="00E84C93">
        <w:rPr>
          <w:rFonts w:eastAsia="Arial" w:cs="Times New Roman"/>
          <w:bCs/>
          <w:noProof/>
          <w:szCs w:val="24"/>
          <w:lang w:val="sr-Cyrl-CS"/>
        </w:rPr>
        <w:t>135/04 и 36/09) прописује поступак процене потенцијално значајних утицаја одређених пројеката које спроводе јавна или приватна предузећа на жив</w:t>
      </w:r>
      <w:r w:rsidRPr="00E84C93">
        <w:rPr>
          <w:rFonts w:eastAsia="Arial" w:cs="Times New Roman"/>
          <w:noProof/>
          <w:szCs w:val="24"/>
          <w:lang w:val="sr-Cyrl-CS"/>
        </w:rPr>
        <w:t>отну средину, садржај студије о процени утицаја на животну средину,</w:t>
      </w:r>
      <w:r w:rsidR="00A83A4B" w:rsidRPr="00E84C93">
        <w:rPr>
          <w:rFonts w:eastAsia="Arial" w:cs="Times New Roman"/>
          <w:noProof/>
          <w:szCs w:val="24"/>
          <w:lang w:val="sr-Cyrl-CS"/>
        </w:rPr>
        <w:t xml:space="preserve"> учешће надлежних институција, учешће јавности, прекограничну размену информација о пројектима који могу у знатној мери утицати на животну средину неке друге државе, надзор и друга питања која су релевантна за процену утицаја.</w:t>
      </w:r>
    </w:p>
    <w:p w14:paraId="2E6F5E52" w14:textId="0B9064A8" w:rsidR="002E1846" w:rsidRPr="00E84C93" w:rsidRDefault="002E1846" w:rsidP="002E1846">
      <w:pPr>
        <w:spacing w:after="0"/>
        <w:ind w:firstLine="720"/>
        <w:jc w:val="both"/>
        <w:rPr>
          <w:rFonts w:cs="Times New Roman"/>
          <w:bCs/>
          <w:noProof/>
          <w:szCs w:val="24"/>
          <w:lang w:val="sr-Cyrl-CS"/>
        </w:rPr>
      </w:pPr>
      <w:r w:rsidRPr="00E84C93">
        <w:rPr>
          <w:rFonts w:cs="Times New Roman"/>
          <w:b/>
          <w:bCs/>
          <w:noProof/>
          <w:szCs w:val="24"/>
          <w:lang w:val="sr-Cyrl-CS"/>
        </w:rPr>
        <w:t xml:space="preserve">Закон о интегрисаном спречавању и контроли загађивања животне средине </w:t>
      </w:r>
      <w:r w:rsidRPr="00E84C93">
        <w:rPr>
          <w:rFonts w:cs="Times New Roman"/>
          <w:noProof/>
          <w:szCs w:val="24"/>
          <w:lang w:val="sr-Cyrl-CS"/>
        </w:rPr>
        <w:t>(„Службени гласник РС”, бр. 135/04, 25/15 и 109/21) утврђује услове и поступак за</w:t>
      </w:r>
      <w:r w:rsidRPr="00E84C93">
        <w:rPr>
          <w:rFonts w:cs="Times New Roman"/>
          <w:bCs/>
          <w:noProof/>
          <w:szCs w:val="24"/>
          <w:lang w:val="sr-Cyrl-CS"/>
        </w:rPr>
        <w:t xml:space="preserve"> издавање интегрисане дозволе за рад постројења и активности које могу негативно утицати на људско здравље, животну средину или материјална добра, врсте активности и постројења, надзор и друге релевантне аспекте спречавања или контроле загађивања животне средине.</w:t>
      </w:r>
    </w:p>
    <w:p w14:paraId="226820AC" w14:textId="077CFCF7" w:rsidR="002E1846" w:rsidRPr="00E84C93" w:rsidRDefault="00A83A4B" w:rsidP="002E1846">
      <w:pPr>
        <w:tabs>
          <w:tab w:val="left" w:pos="0"/>
        </w:tabs>
        <w:spacing w:after="0"/>
        <w:jc w:val="both"/>
        <w:rPr>
          <w:rFonts w:eastAsia="MS Mincho"/>
          <w:bCs/>
          <w:lang w:val="sr-Cyrl-CS"/>
        </w:rPr>
      </w:pPr>
      <w:r w:rsidRPr="00E84C93">
        <w:rPr>
          <w:noProof/>
          <w:szCs w:val="24"/>
          <w:lang w:val="sr-Cyrl-CS"/>
        </w:rPr>
        <w:tab/>
      </w:r>
      <w:r w:rsidRPr="00E84C93">
        <w:rPr>
          <w:b/>
          <w:bCs/>
          <w:noProof/>
          <w:szCs w:val="24"/>
          <w:lang w:val="sr-Cyrl-CS"/>
        </w:rPr>
        <w:t xml:space="preserve">Закон о хемикалијама </w:t>
      </w:r>
      <w:r w:rsidRPr="00E84C93">
        <w:rPr>
          <w:noProof/>
          <w:szCs w:val="24"/>
          <w:lang w:val="sr-Cyrl-CS"/>
        </w:rPr>
        <w:t>(„Службени гласник РС”, бр. 36/09, 88/10, 92/11, 93/12 и 25/15) уређује интегрисано управљање</w:t>
      </w:r>
      <w:r w:rsidRPr="00E84C93">
        <w:rPr>
          <w:bCs/>
          <w:noProof/>
          <w:szCs w:val="24"/>
          <w:lang w:val="sr-Cyrl-CS"/>
        </w:rPr>
        <w:t xml:space="preserve"> хемикалијама, класификацију, паковање и обележавање хемикалија, интегрисани регистар хемикалија које се стављају на тржиште, ограничења и забране производње, стављања на тржиште и употребу хемикалија, увоз и извоз појединих опасних хемикалија, дозволе за стављање у промет и дозволе за коришћење веома опасних хемикалија, пласман детер</w:t>
      </w:r>
      <w:r w:rsidR="008B6857" w:rsidRPr="00E84C93">
        <w:rPr>
          <w:bCs/>
          <w:noProof/>
          <w:szCs w:val="24"/>
          <w:lang w:val="sr-Cyrl-CS"/>
        </w:rPr>
        <w:t>џ</w:t>
      </w:r>
      <w:r w:rsidRPr="00E84C93">
        <w:rPr>
          <w:bCs/>
          <w:noProof/>
          <w:szCs w:val="24"/>
          <w:lang w:val="sr-Cyrl-CS"/>
        </w:rPr>
        <w:t>ената на тржиште, систематски надзор над хемикалијама, доступност података, надзор и друга питања од значаја за управљање хемикалијама.</w:t>
      </w:r>
    </w:p>
    <w:p w14:paraId="3843D735" w14:textId="30C2F6B3" w:rsidR="00FC6BAA" w:rsidRPr="00E84C93" w:rsidRDefault="00FC6BAA" w:rsidP="00FC6BAA">
      <w:pPr>
        <w:pStyle w:val="BodyText"/>
        <w:widowControl w:val="0"/>
        <w:tabs>
          <w:tab w:val="left" w:pos="0"/>
          <w:tab w:val="left" w:pos="527"/>
        </w:tabs>
        <w:spacing w:after="0" w:line="240" w:lineRule="auto"/>
        <w:rPr>
          <w:rFonts w:ascii="Times New Roman" w:hAnsi="Times New Roman"/>
          <w:noProof/>
          <w:sz w:val="24"/>
          <w:szCs w:val="24"/>
          <w:lang w:val="sr-Cyrl-CS"/>
        </w:rPr>
      </w:pPr>
      <w:r w:rsidRPr="00E84C93">
        <w:rPr>
          <w:rFonts w:ascii="Times New Roman" w:hAnsi="Times New Roman"/>
          <w:bCs/>
          <w:noProof/>
          <w:sz w:val="24"/>
          <w:szCs w:val="24"/>
          <w:lang w:val="sr-Cyrl-CS"/>
        </w:rPr>
        <w:tab/>
      </w:r>
      <w:r w:rsidRPr="00E84C93">
        <w:rPr>
          <w:rFonts w:ascii="Times New Roman" w:hAnsi="Times New Roman"/>
          <w:bCs/>
          <w:noProof/>
          <w:sz w:val="24"/>
          <w:szCs w:val="24"/>
          <w:lang w:val="sr-Cyrl-CS"/>
        </w:rPr>
        <w:tab/>
      </w:r>
      <w:r w:rsidRPr="00E84C93">
        <w:rPr>
          <w:rFonts w:ascii="Times New Roman" w:hAnsi="Times New Roman"/>
          <w:b/>
          <w:noProof/>
          <w:sz w:val="24"/>
          <w:szCs w:val="24"/>
          <w:lang w:val="sr-Cyrl-CS"/>
        </w:rPr>
        <w:t>Закон</w:t>
      </w:r>
      <w:r w:rsidR="00EB16B9" w:rsidRPr="00E84C93">
        <w:rPr>
          <w:rFonts w:ascii="Times New Roman" w:hAnsi="Times New Roman"/>
          <w:b/>
          <w:noProof/>
          <w:sz w:val="24"/>
          <w:szCs w:val="24"/>
          <w:lang w:val="sr-Cyrl-CS"/>
        </w:rPr>
        <w:t>ом</w:t>
      </w:r>
      <w:r w:rsidRPr="00E84C93">
        <w:rPr>
          <w:rFonts w:ascii="Times New Roman" w:hAnsi="Times New Roman"/>
          <w:b/>
          <w:noProof/>
          <w:sz w:val="24"/>
          <w:szCs w:val="24"/>
          <w:lang w:val="sr-Cyrl-CS"/>
        </w:rPr>
        <w:t xml:space="preserve"> о министарствима </w:t>
      </w:r>
      <w:r w:rsidRPr="00E84C93">
        <w:rPr>
          <w:rFonts w:ascii="Times New Roman" w:hAnsi="Times New Roman"/>
          <w:bCs/>
          <w:noProof/>
          <w:sz w:val="24"/>
          <w:szCs w:val="24"/>
          <w:lang w:val="sr-Cyrl-CS"/>
        </w:rPr>
        <w:t>(„Службени гласник РС”, бр</w:t>
      </w:r>
      <w:r w:rsidR="00EB16B9" w:rsidRPr="00E84C93">
        <w:rPr>
          <w:rFonts w:ascii="Times New Roman" w:hAnsi="Times New Roman"/>
          <w:bCs/>
          <w:noProof/>
          <w:sz w:val="24"/>
          <w:szCs w:val="24"/>
          <w:lang w:val="sr-Cyrl-CS"/>
        </w:rPr>
        <w:t>.</w:t>
      </w:r>
      <w:r w:rsidRPr="00E84C93">
        <w:rPr>
          <w:rFonts w:ascii="Times New Roman" w:hAnsi="Times New Roman"/>
          <w:bCs/>
          <w:noProof/>
          <w:sz w:val="24"/>
          <w:szCs w:val="24"/>
          <w:lang w:val="sr-Cyrl-CS"/>
        </w:rPr>
        <w:t xml:space="preserve"> 128/20</w:t>
      </w:r>
      <w:r w:rsidR="00EB16B9" w:rsidRPr="00E84C93">
        <w:rPr>
          <w:rFonts w:ascii="Times New Roman" w:hAnsi="Times New Roman"/>
          <w:bCs/>
          <w:noProof/>
          <w:sz w:val="24"/>
          <w:szCs w:val="24"/>
          <w:lang w:val="sr-Cyrl-CS"/>
        </w:rPr>
        <w:t xml:space="preserve"> и 116/22</w:t>
      </w:r>
      <w:r w:rsidRPr="00E84C93">
        <w:rPr>
          <w:rFonts w:ascii="Times New Roman" w:hAnsi="Times New Roman"/>
          <w:bCs/>
          <w:noProof/>
          <w:sz w:val="24"/>
          <w:szCs w:val="24"/>
          <w:lang w:val="sr-Cyrl-CS"/>
        </w:rPr>
        <w:t xml:space="preserve">) </w:t>
      </w:r>
      <w:r w:rsidR="00EB16B9" w:rsidRPr="00E84C93">
        <w:rPr>
          <w:rFonts w:ascii="Times New Roman" w:hAnsi="Times New Roman"/>
          <w:bCs/>
          <w:noProof/>
          <w:sz w:val="24"/>
          <w:szCs w:val="24"/>
          <w:lang w:val="sr-Cyrl-CS"/>
        </w:rPr>
        <w:t>образована су</w:t>
      </w:r>
      <w:r w:rsidRPr="00E84C93">
        <w:rPr>
          <w:rFonts w:ascii="Times New Roman" w:hAnsi="Times New Roman"/>
          <w:noProof/>
          <w:sz w:val="24"/>
          <w:szCs w:val="24"/>
          <w:lang w:val="sr-Cyrl-CS"/>
        </w:rPr>
        <w:t xml:space="preserve"> министарстава и </w:t>
      </w:r>
      <w:r w:rsidRPr="00E84C93">
        <w:rPr>
          <w:rFonts w:ascii="Times New Roman" w:hAnsi="Times New Roman"/>
          <w:color w:val="333333"/>
          <w:sz w:val="24"/>
          <w:szCs w:val="24"/>
          <w:shd w:val="clear" w:color="auto" w:fill="FFFFFF"/>
          <w:lang w:val="sr-Cyrl-CS"/>
        </w:rPr>
        <w:t>посебн</w:t>
      </w:r>
      <w:r w:rsidR="00EB16B9" w:rsidRPr="00E84C93">
        <w:rPr>
          <w:rFonts w:ascii="Times New Roman" w:hAnsi="Times New Roman"/>
          <w:color w:val="333333"/>
          <w:sz w:val="24"/>
          <w:szCs w:val="24"/>
          <w:shd w:val="clear" w:color="auto" w:fill="FFFFFF"/>
          <w:lang w:val="sr-Cyrl-CS"/>
        </w:rPr>
        <w:t>е</w:t>
      </w:r>
      <w:r w:rsidRPr="00E84C93">
        <w:rPr>
          <w:rFonts w:ascii="Times New Roman" w:hAnsi="Times New Roman"/>
          <w:color w:val="333333"/>
          <w:sz w:val="24"/>
          <w:szCs w:val="24"/>
          <w:shd w:val="clear" w:color="auto" w:fill="FFFFFF"/>
          <w:lang w:val="sr-Cyrl-CS"/>
        </w:rPr>
        <w:t xml:space="preserve"> организациј</w:t>
      </w:r>
      <w:r w:rsidR="00EB16B9" w:rsidRPr="00E84C93">
        <w:rPr>
          <w:rFonts w:ascii="Times New Roman" w:hAnsi="Times New Roman"/>
          <w:color w:val="333333"/>
          <w:sz w:val="24"/>
          <w:szCs w:val="24"/>
          <w:shd w:val="clear" w:color="auto" w:fill="FFFFFF"/>
          <w:lang w:val="sr-Cyrl-CS"/>
        </w:rPr>
        <w:t>е</w:t>
      </w:r>
      <w:r w:rsidRPr="00E84C93">
        <w:rPr>
          <w:rFonts w:ascii="Times New Roman" w:hAnsi="Times New Roman"/>
          <w:color w:val="333333"/>
          <w:sz w:val="24"/>
          <w:szCs w:val="24"/>
          <w:shd w:val="clear" w:color="auto" w:fill="FFFFFF"/>
          <w:lang w:val="sr-Cyrl-CS"/>
        </w:rPr>
        <w:t xml:space="preserve"> и </w:t>
      </w:r>
      <w:r w:rsidR="00EB16B9" w:rsidRPr="00E84C93">
        <w:rPr>
          <w:rFonts w:ascii="Times New Roman" w:hAnsi="Times New Roman"/>
          <w:color w:val="333333"/>
          <w:sz w:val="24"/>
          <w:szCs w:val="24"/>
          <w:shd w:val="clear" w:color="auto" w:fill="FFFFFF"/>
          <w:lang w:val="sr-Cyrl-CS"/>
        </w:rPr>
        <w:t xml:space="preserve">утврђен је </w:t>
      </w:r>
      <w:r w:rsidRPr="00E84C93">
        <w:rPr>
          <w:rFonts w:ascii="Times New Roman" w:hAnsi="Times New Roman"/>
          <w:color w:val="333333"/>
          <w:sz w:val="24"/>
          <w:szCs w:val="24"/>
          <w:shd w:val="clear" w:color="auto" w:fill="FFFFFF"/>
          <w:lang w:val="sr-Cyrl-CS"/>
        </w:rPr>
        <w:t xml:space="preserve">њихов делокруг. </w:t>
      </w:r>
    </w:p>
    <w:p w14:paraId="302721C7" w14:textId="078A303E" w:rsidR="00FC6BAA" w:rsidRPr="00E84C93" w:rsidRDefault="00FC6BAA" w:rsidP="00FC6BAA">
      <w:pPr>
        <w:pStyle w:val="BodyText"/>
        <w:widowControl w:val="0"/>
        <w:tabs>
          <w:tab w:val="left" w:pos="0"/>
          <w:tab w:val="left" w:pos="527"/>
        </w:tabs>
        <w:spacing w:after="0" w:line="240" w:lineRule="auto"/>
        <w:rPr>
          <w:rFonts w:ascii="Times New Roman" w:hAnsi="Times New Roman"/>
          <w:noProof/>
          <w:sz w:val="24"/>
          <w:szCs w:val="24"/>
          <w:lang w:val="sr-Cyrl-CS"/>
        </w:rPr>
      </w:pPr>
      <w:r w:rsidRPr="00E84C93">
        <w:rPr>
          <w:rFonts w:ascii="Times New Roman" w:hAnsi="Times New Roman"/>
          <w:bCs/>
          <w:noProof/>
          <w:sz w:val="24"/>
          <w:szCs w:val="24"/>
          <w:lang w:val="sr-Cyrl-CS"/>
        </w:rPr>
        <w:tab/>
      </w:r>
      <w:r w:rsidRPr="00E84C93">
        <w:rPr>
          <w:rFonts w:ascii="Times New Roman" w:hAnsi="Times New Roman"/>
          <w:bCs/>
          <w:noProof/>
          <w:sz w:val="24"/>
          <w:szCs w:val="24"/>
          <w:lang w:val="sr-Cyrl-CS"/>
        </w:rPr>
        <w:tab/>
      </w:r>
      <w:r w:rsidRPr="00E84C93">
        <w:rPr>
          <w:rFonts w:ascii="Times New Roman" w:hAnsi="Times New Roman"/>
          <w:b/>
          <w:noProof/>
          <w:sz w:val="24"/>
          <w:szCs w:val="24"/>
          <w:lang w:val="sr-Cyrl-CS"/>
        </w:rPr>
        <w:t xml:space="preserve">Закон о утврђивању надлежности Аутономне покрајине Војводине </w:t>
      </w:r>
      <w:r w:rsidRPr="00E84C93">
        <w:rPr>
          <w:rFonts w:ascii="Times New Roman" w:hAnsi="Times New Roman"/>
          <w:bCs/>
          <w:noProof/>
          <w:sz w:val="24"/>
          <w:szCs w:val="24"/>
          <w:lang w:val="sr-Cyrl-CS"/>
        </w:rPr>
        <w:t xml:space="preserve">(„Службени гласник РС”, бр. 99/09, 67/12 - УС, 18/20 – др, закон и 111/21 – др. закон) утврђује надлежности </w:t>
      </w:r>
      <w:r w:rsidR="00AD3951" w:rsidRPr="00E84C93">
        <w:rPr>
          <w:rFonts w:ascii="Times New Roman" w:hAnsi="Times New Roman"/>
          <w:bCs/>
          <w:noProof/>
          <w:sz w:val="24"/>
          <w:szCs w:val="24"/>
          <w:lang w:val="sr-Cyrl-CS"/>
        </w:rPr>
        <w:t>А</w:t>
      </w:r>
      <w:r w:rsidRPr="00E84C93">
        <w:rPr>
          <w:rFonts w:ascii="Times New Roman" w:hAnsi="Times New Roman"/>
          <w:bCs/>
          <w:noProof/>
          <w:sz w:val="24"/>
          <w:szCs w:val="24"/>
          <w:lang w:val="sr-Cyrl-CS"/>
        </w:rPr>
        <w:t>утономне покрајине</w:t>
      </w:r>
      <w:r w:rsidR="00AD3951" w:rsidRPr="00E84C93">
        <w:rPr>
          <w:rFonts w:ascii="Times New Roman" w:hAnsi="Times New Roman"/>
          <w:bCs/>
          <w:noProof/>
          <w:sz w:val="24"/>
          <w:szCs w:val="24"/>
          <w:lang w:val="sr-Cyrl-CS"/>
        </w:rPr>
        <w:t xml:space="preserve"> Војводине</w:t>
      </w:r>
      <w:r w:rsidRPr="00E84C93">
        <w:rPr>
          <w:rFonts w:ascii="Times New Roman" w:hAnsi="Times New Roman"/>
          <w:bCs/>
          <w:noProof/>
          <w:sz w:val="24"/>
          <w:szCs w:val="24"/>
          <w:lang w:val="sr-Cyrl-CS"/>
        </w:rPr>
        <w:t xml:space="preserve">, посебно у областима у којима </w:t>
      </w:r>
      <w:r w:rsidR="00ED6255" w:rsidRPr="00E84C93">
        <w:rPr>
          <w:rFonts w:ascii="Times New Roman" w:hAnsi="Times New Roman"/>
          <w:bCs/>
          <w:noProof/>
          <w:sz w:val="24"/>
          <w:szCs w:val="24"/>
          <w:lang w:val="sr-Cyrl-CS"/>
        </w:rPr>
        <w:t>Р</w:t>
      </w:r>
      <w:r w:rsidRPr="00E84C93">
        <w:rPr>
          <w:rFonts w:ascii="Times New Roman" w:hAnsi="Times New Roman"/>
          <w:bCs/>
          <w:noProof/>
          <w:sz w:val="24"/>
          <w:szCs w:val="24"/>
          <w:lang w:val="sr-Cyrl-CS"/>
        </w:rPr>
        <w:t>епублика</w:t>
      </w:r>
      <w:r w:rsidR="00AD3951" w:rsidRPr="00E84C93">
        <w:rPr>
          <w:rFonts w:ascii="Times New Roman" w:hAnsi="Times New Roman"/>
          <w:bCs/>
          <w:noProof/>
          <w:sz w:val="24"/>
          <w:szCs w:val="24"/>
          <w:lang w:val="sr-Cyrl-CS"/>
        </w:rPr>
        <w:t xml:space="preserve"> Србија</w:t>
      </w:r>
      <w:r w:rsidRPr="00E84C93">
        <w:rPr>
          <w:rFonts w:ascii="Times New Roman" w:hAnsi="Times New Roman"/>
          <w:noProof/>
          <w:sz w:val="24"/>
          <w:szCs w:val="24"/>
          <w:lang w:val="sr-Cyrl-CS"/>
        </w:rPr>
        <w:t xml:space="preserve"> уређује систем, као што су следеће: култура, образовање, здравствена заштита, санитарна инспекција, заштита и унапређење животне средине, урбанизам, грађевинарство, привреда и приватизација, рударство и енергетика, пољопривреда, шумарство и слично.</w:t>
      </w:r>
    </w:p>
    <w:p w14:paraId="0C4FCF2B" w14:textId="14F486A8" w:rsidR="00FC6BAA" w:rsidRPr="00E84C93" w:rsidRDefault="00FC6BAA" w:rsidP="00FC6BAA">
      <w:pPr>
        <w:pStyle w:val="BodyText"/>
        <w:widowControl w:val="0"/>
        <w:tabs>
          <w:tab w:val="left" w:pos="0"/>
          <w:tab w:val="left" w:pos="527"/>
        </w:tabs>
        <w:spacing w:after="0" w:line="240" w:lineRule="auto"/>
        <w:rPr>
          <w:rFonts w:ascii="Times New Roman" w:hAnsi="Times New Roman"/>
          <w:noProof/>
          <w:sz w:val="24"/>
          <w:szCs w:val="24"/>
          <w:lang w:val="sr-Cyrl-CS"/>
        </w:rPr>
      </w:pPr>
      <w:r w:rsidRPr="00E84C93">
        <w:rPr>
          <w:rFonts w:ascii="Times New Roman" w:hAnsi="Times New Roman"/>
          <w:bCs/>
          <w:noProof/>
          <w:sz w:val="24"/>
          <w:szCs w:val="24"/>
          <w:lang w:val="sr-Cyrl-CS"/>
        </w:rPr>
        <w:tab/>
      </w:r>
      <w:r w:rsidRPr="00E84C93">
        <w:rPr>
          <w:rFonts w:ascii="Times New Roman" w:hAnsi="Times New Roman"/>
          <w:bCs/>
          <w:noProof/>
          <w:sz w:val="24"/>
          <w:szCs w:val="24"/>
          <w:lang w:val="sr-Cyrl-CS"/>
        </w:rPr>
        <w:tab/>
      </w:r>
      <w:r w:rsidRPr="00E84C93">
        <w:rPr>
          <w:rFonts w:ascii="Times New Roman" w:hAnsi="Times New Roman"/>
          <w:b/>
          <w:noProof/>
          <w:sz w:val="24"/>
          <w:szCs w:val="24"/>
          <w:lang w:val="sr-Cyrl-CS"/>
        </w:rPr>
        <w:t xml:space="preserve">Закон о јавним предузећима </w:t>
      </w:r>
      <w:r w:rsidRPr="00E84C93">
        <w:rPr>
          <w:rFonts w:ascii="Times New Roman" w:hAnsi="Times New Roman"/>
          <w:bCs/>
          <w:noProof/>
          <w:sz w:val="24"/>
          <w:szCs w:val="24"/>
          <w:lang w:val="sr-Cyrl-CS"/>
        </w:rPr>
        <w:t>(„Службени гласник РС”, бр. 15/16 и 88/19)</w:t>
      </w:r>
      <w:r w:rsidRPr="00E84C93">
        <w:rPr>
          <w:rFonts w:ascii="Times New Roman" w:hAnsi="Times New Roman"/>
          <w:noProof/>
          <w:sz w:val="24"/>
          <w:szCs w:val="24"/>
          <w:lang w:val="sr-Cyrl-CS"/>
        </w:rPr>
        <w:t xml:space="preserve"> уређује оснивање и пословање предузећа која обављају делатности од општег интереса, облик и удео државног капитала у јавном предузећу и дефинише делатности од општег значаја као активности које су законом прописане као такве, између осталог, у области коришћења, управљања, заштите и промоције имовине од општег интереса, као и комуналних услуга.</w:t>
      </w:r>
    </w:p>
    <w:p w14:paraId="6CCB4DFB" w14:textId="2E454CE7" w:rsidR="00FC6BAA" w:rsidRPr="00E84C93" w:rsidRDefault="00FC6BAA" w:rsidP="00FC6BAA">
      <w:pPr>
        <w:pStyle w:val="BodyText"/>
        <w:widowControl w:val="0"/>
        <w:tabs>
          <w:tab w:val="left" w:pos="0"/>
          <w:tab w:val="left" w:pos="527"/>
        </w:tabs>
        <w:spacing w:after="0" w:line="240" w:lineRule="auto"/>
        <w:rPr>
          <w:rFonts w:ascii="Times New Roman" w:hAnsi="Times New Roman"/>
          <w:noProof/>
          <w:sz w:val="24"/>
          <w:szCs w:val="24"/>
          <w:lang w:val="sr-Cyrl-CS"/>
        </w:rPr>
      </w:pPr>
      <w:r w:rsidRPr="00E84C93">
        <w:rPr>
          <w:rFonts w:ascii="Times New Roman" w:hAnsi="Times New Roman"/>
          <w:bCs/>
          <w:noProof/>
          <w:sz w:val="24"/>
          <w:szCs w:val="24"/>
          <w:lang w:val="sr-Cyrl-CS"/>
        </w:rPr>
        <w:tab/>
      </w:r>
      <w:r w:rsidRPr="00E84C93">
        <w:rPr>
          <w:rFonts w:ascii="Times New Roman" w:hAnsi="Times New Roman"/>
          <w:bCs/>
          <w:noProof/>
          <w:sz w:val="24"/>
          <w:szCs w:val="24"/>
          <w:lang w:val="sr-Cyrl-CS"/>
        </w:rPr>
        <w:tab/>
      </w:r>
      <w:r w:rsidRPr="00E84C93">
        <w:rPr>
          <w:rFonts w:ascii="Times New Roman" w:hAnsi="Times New Roman"/>
          <w:b/>
          <w:noProof/>
          <w:sz w:val="24"/>
          <w:szCs w:val="24"/>
          <w:lang w:val="sr-Cyrl-CS"/>
        </w:rPr>
        <w:t xml:space="preserve">Законом о привредним друштвима </w:t>
      </w:r>
      <w:r w:rsidRPr="00E84C93">
        <w:rPr>
          <w:rFonts w:ascii="Times New Roman" w:hAnsi="Times New Roman"/>
          <w:bCs/>
          <w:noProof/>
          <w:sz w:val="24"/>
          <w:szCs w:val="24"/>
          <w:lang w:val="sr-Cyrl-CS"/>
        </w:rPr>
        <w:t>(„Службени гласник РС”, бр. 36/11, 99/11, 83/14 – др. закон, 5/15, 44/18, 95/18, 91/19 и 109/21) уређује се правни положај привредних друштава и других облика организовања у складу са овим</w:t>
      </w:r>
      <w:r w:rsidRPr="00E84C93">
        <w:rPr>
          <w:rFonts w:ascii="Times New Roman" w:hAnsi="Times New Roman"/>
          <w:noProof/>
          <w:sz w:val="24"/>
          <w:szCs w:val="24"/>
          <w:lang w:val="sr-Cyrl-CS"/>
        </w:rPr>
        <w:t xml:space="preserve"> законом,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w:t>
      </w:r>
    </w:p>
    <w:p w14:paraId="720C5656" w14:textId="0CD8617B" w:rsidR="00FC6BAA" w:rsidRPr="00E84C93" w:rsidRDefault="00FC6BAA" w:rsidP="00874F8C">
      <w:pPr>
        <w:pStyle w:val="BodyText"/>
        <w:widowControl w:val="0"/>
        <w:tabs>
          <w:tab w:val="left" w:pos="0"/>
          <w:tab w:val="left" w:pos="527"/>
        </w:tabs>
        <w:spacing w:after="0" w:line="240" w:lineRule="auto"/>
        <w:rPr>
          <w:rFonts w:ascii="Times New Roman" w:hAnsi="Times New Roman"/>
          <w:noProof/>
          <w:sz w:val="24"/>
          <w:szCs w:val="24"/>
          <w:lang w:val="sr-Cyrl-CS"/>
        </w:rPr>
      </w:pPr>
      <w:r w:rsidRPr="00E84C93">
        <w:rPr>
          <w:rFonts w:ascii="Times New Roman" w:hAnsi="Times New Roman"/>
          <w:bCs/>
          <w:noProof/>
          <w:sz w:val="24"/>
          <w:szCs w:val="24"/>
          <w:lang w:val="sr-Cyrl-CS"/>
        </w:rPr>
        <w:tab/>
      </w:r>
      <w:r w:rsidRPr="00E84C93">
        <w:rPr>
          <w:rFonts w:ascii="Times New Roman" w:hAnsi="Times New Roman"/>
          <w:bCs/>
          <w:noProof/>
          <w:sz w:val="24"/>
          <w:szCs w:val="24"/>
          <w:lang w:val="sr-Cyrl-CS"/>
        </w:rPr>
        <w:tab/>
      </w:r>
      <w:r w:rsidR="005F7E03" w:rsidRPr="00E84C93">
        <w:rPr>
          <w:rFonts w:ascii="Times New Roman" w:hAnsi="Times New Roman"/>
          <w:bCs/>
          <w:noProof/>
          <w:sz w:val="24"/>
          <w:szCs w:val="24"/>
          <w:lang w:val="sr-Cyrl-CS"/>
        </w:rPr>
        <w:t>У</w:t>
      </w:r>
      <w:r w:rsidRPr="00E84C93">
        <w:rPr>
          <w:rFonts w:ascii="Times New Roman" w:hAnsi="Times New Roman"/>
          <w:noProof/>
          <w:sz w:val="24"/>
          <w:szCs w:val="24"/>
          <w:lang w:val="sr-Cyrl-CS"/>
        </w:rPr>
        <w:t>прављањ</w:t>
      </w:r>
      <w:r w:rsidR="005F7E03" w:rsidRPr="00E84C93">
        <w:rPr>
          <w:rFonts w:ascii="Times New Roman" w:hAnsi="Times New Roman"/>
          <w:noProof/>
          <w:sz w:val="24"/>
          <w:szCs w:val="24"/>
          <w:lang w:val="sr-Cyrl-CS"/>
        </w:rPr>
        <w:t>е</w:t>
      </w:r>
      <w:r w:rsidRPr="00E84C93">
        <w:rPr>
          <w:rFonts w:ascii="Times New Roman" w:hAnsi="Times New Roman"/>
          <w:noProof/>
          <w:sz w:val="24"/>
          <w:szCs w:val="24"/>
          <w:lang w:val="sr-Cyrl-CS"/>
        </w:rPr>
        <w:t xml:space="preserve"> </w:t>
      </w:r>
      <w:r w:rsidR="005F7E03" w:rsidRPr="00E84C93">
        <w:rPr>
          <w:rFonts w:ascii="Times New Roman" w:hAnsi="Times New Roman"/>
          <w:noProof/>
          <w:sz w:val="24"/>
          <w:szCs w:val="24"/>
          <w:lang w:val="sr-Cyrl-CS"/>
        </w:rPr>
        <w:t>муљем</w:t>
      </w:r>
      <w:r w:rsidRPr="00E84C93">
        <w:rPr>
          <w:rFonts w:ascii="Times New Roman" w:hAnsi="Times New Roman"/>
          <w:noProof/>
          <w:sz w:val="24"/>
          <w:szCs w:val="24"/>
          <w:lang w:val="sr-Cyrl-CS"/>
        </w:rPr>
        <w:t xml:space="preserve"> </w:t>
      </w:r>
      <w:r w:rsidR="00ED6255" w:rsidRPr="00E84C93">
        <w:rPr>
          <w:rFonts w:ascii="Times New Roman" w:hAnsi="Times New Roman"/>
          <w:noProof/>
          <w:sz w:val="24"/>
          <w:szCs w:val="24"/>
          <w:lang w:val="sr-Cyrl-CS"/>
        </w:rPr>
        <w:t xml:space="preserve">уређено </w:t>
      </w:r>
      <w:r w:rsidRPr="00E84C93">
        <w:rPr>
          <w:rFonts w:ascii="Times New Roman" w:hAnsi="Times New Roman"/>
          <w:noProof/>
          <w:sz w:val="24"/>
          <w:szCs w:val="24"/>
          <w:lang w:val="sr-Cyrl-CS"/>
        </w:rPr>
        <w:t xml:space="preserve">је </w:t>
      </w:r>
      <w:r w:rsidR="005F7E03" w:rsidRPr="00E84C93">
        <w:rPr>
          <w:rFonts w:ascii="Times New Roman" w:hAnsi="Times New Roman"/>
          <w:noProof/>
          <w:sz w:val="24"/>
          <w:szCs w:val="24"/>
          <w:lang w:val="sr-Cyrl-CS"/>
        </w:rPr>
        <w:t>у складу са постојећим</w:t>
      </w:r>
      <w:r w:rsidRPr="00E84C93">
        <w:rPr>
          <w:rFonts w:ascii="Times New Roman" w:hAnsi="Times New Roman"/>
          <w:noProof/>
          <w:sz w:val="24"/>
          <w:szCs w:val="24"/>
          <w:lang w:val="sr-Cyrl-CS"/>
        </w:rPr>
        <w:t xml:space="preserve"> </w:t>
      </w:r>
      <w:r w:rsidR="005F7E03" w:rsidRPr="00E84C93">
        <w:rPr>
          <w:rFonts w:ascii="Times New Roman" w:hAnsi="Times New Roman"/>
          <w:noProof/>
          <w:sz w:val="24"/>
          <w:szCs w:val="24"/>
          <w:lang w:val="sr-Cyrl-CS"/>
        </w:rPr>
        <w:t>стратешким документима Републике Србије.</w:t>
      </w:r>
      <w:r w:rsidRPr="00E84C93">
        <w:rPr>
          <w:rFonts w:ascii="Times New Roman" w:hAnsi="Times New Roman"/>
          <w:noProof/>
          <w:sz w:val="24"/>
          <w:szCs w:val="24"/>
          <w:lang w:val="sr-Cyrl-CS"/>
        </w:rPr>
        <w:t xml:space="preserve"> </w:t>
      </w:r>
    </w:p>
    <w:p w14:paraId="5E591096" w14:textId="6ED39080" w:rsidR="00FC6BAA" w:rsidRPr="00E84C93" w:rsidRDefault="00A83A4B" w:rsidP="00FC6BAA">
      <w:pPr>
        <w:spacing w:after="0"/>
        <w:ind w:firstLine="720"/>
        <w:jc w:val="both"/>
        <w:rPr>
          <w:noProof/>
          <w:szCs w:val="24"/>
          <w:lang w:val="sr-Cyrl-CS"/>
        </w:rPr>
      </w:pPr>
      <w:r w:rsidRPr="00E84C93">
        <w:rPr>
          <w:rFonts w:cs="Times New Roman"/>
          <w:b/>
          <w:bCs/>
          <w:noProof/>
          <w:szCs w:val="24"/>
          <w:lang w:val="sr-Cyrl-CS"/>
        </w:rPr>
        <w:t>Програм управљања</w:t>
      </w:r>
      <w:r w:rsidRPr="00E84C93">
        <w:rPr>
          <w:b/>
          <w:bCs/>
          <w:noProof/>
          <w:szCs w:val="24"/>
          <w:lang w:val="sr-Cyrl-CS"/>
        </w:rPr>
        <w:t xml:space="preserve"> отпадом Републике Србије за период </w:t>
      </w:r>
      <w:r w:rsidR="002D073C" w:rsidRPr="00E84C93">
        <w:rPr>
          <w:b/>
          <w:bCs/>
          <w:noProof/>
          <w:szCs w:val="24"/>
          <w:lang w:val="sr-Cyrl-CS"/>
        </w:rPr>
        <w:t>202</w:t>
      </w:r>
      <w:r w:rsidR="00BE2B62" w:rsidRPr="00E84C93">
        <w:rPr>
          <w:b/>
          <w:bCs/>
          <w:noProof/>
          <w:szCs w:val="24"/>
          <w:lang w:val="sr-Cyrl-CS"/>
        </w:rPr>
        <w:t>2</w:t>
      </w:r>
      <w:r w:rsidR="002D073C" w:rsidRPr="00E84C93">
        <w:rPr>
          <w:b/>
          <w:bCs/>
          <w:noProof/>
          <w:szCs w:val="24"/>
          <w:lang w:val="sr-Cyrl-CS"/>
        </w:rPr>
        <w:t>-203</w:t>
      </w:r>
      <w:r w:rsidR="00BE2B62" w:rsidRPr="00E84C93">
        <w:rPr>
          <w:b/>
          <w:bCs/>
          <w:noProof/>
          <w:szCs w:val="24"/>
          <w:lang w:val="sr-Cyrl-CS"/>
        </w:rPr>
        <w:t>1</w:t>
      </w:r>
      <w:r w:rsidRPr="00E84C93">
        <w:rPr>
          <w:noProof/>
          <w:szCs w:val="24"/>
          <w:lang w:val="sr-Cyrl-CS"/>
        </w:rPr>
        <w:t xml:space="preserve">. („Службени гласник РС”, број </w:t>
      </w:r>
      <w:r w:rsidR="00D41433" w:rsidRPr="00E84C93">
        <w:rPr>
          <w:noProof/>
          <w:szCs w:val="24"/>
          <w:lang w:val="sr-Cyrl-CS"/>
        </w:rPr>
        <w:t>12/</w:t>
      </w:r>
      <w:r w:rsidRPr="00E84C93">
        <w:rPr>
          <w:noProof/>
          <w:szCs w:val="24"/>
          <w:lang w:val="sr-Cyrl-CS"/>
        </w:rPr>
        <w:t>22)</w:t>
      </w:r>
      <w:r w:rsidRPr="00E84C93">
        <w:rPr>
          <w:bCs/>
          <w:noProof/>
          <w:szCs w:val="24"/>
          <w:lang w:val="sr-Cyrl-CS"/>
        </w:rPr>
        <w:t xml:space="preserve"> </w:t>
      </w:r>
      <w:r w:rsidR="003E014C" w:rsidRPr="00E84C93">
        <w:rPr>
          <w:bCs/>
          <w:noProof/>
          <w:szCs w:val="24"/>
          <w:lang w:val="sr-Cyrl-CS"/>
        </w:rPr>
        <w:t xml:space="preserve">наставља </w:t>
      </w:r>
      <w:r w:rsidR="003E014C" w:rsidRPr="00E84C93">
        <w:rPr>
          <w:noProof/>
          <w:szCs w:val="24"/>
          <w:lang w:val="sr-Cyrl-CS"/>
        </w:rPr>
        <w:t>спровођење</w:t>
      </w:r>
      <w:r w:rsidR="003E014C" w:rsidRPr="00E84C93">
        <w:rPr>
          <w:b/>
          <w:bCs/>
          <w:noProof/>
          <w:szCs w:val="24"/>
          <w:lang w:val="sr-Cyrl-CS"/>
        </w:rPr>
        <w:t xml:space="preserve"> </w:t>
      </w:r>
      <w:r w:rsidR="003E014C" w:rsidRPr="00E84C93">
        <w:rPr>
          <w:bCs/>
          <w:noProof/>
          <w:szCs w:val="24"/>
          <w:lang w:val="sr-Cyrl-CS"/>
        </w:rPr>
        <w:t>регионалног приступа управљању отпадом. Већи фокус је на повећању процента рециклаже</w:t>
      </w:r>
      <w:r w:rsidRPr="00E84C93">
        <w:rPr>
          <w:noProof/>
          <w:szCs w:val="24"/>
          <w:lang w:val="sr-Cyrl-CS"/>
        </w:rPr>
        <w:t xml:space="preserve"> </w:t>
      </w:r>
      <w:r w:rsidR="003E014C" w:rsidRPr="00E84C93">
        <w:rPr>
          <w:noProof/>
          <w:szCs w:val="24"/>
          <w:lang w:val="sr-Cyrl-CS"/>
        </w:rPr>
        <w:t xml:space="preserve">и примени циркуларне </w:t>
      </w:r>
      <w:r w:rsidR="003E014C" w:rsidRPr="00E84C93">
        <w:rPr>
          <w:noProof/>
          <w:szCs w:val="24"/>
          <w:lang w:val="sr-Cyrl-CS"/>
        </w:rPr>
        <w:lastRenderedPageBreak/>
        <w:t xml:space="preserve">економије. </w:t>
      </w:r>
      <w:r w:rsidR="00017C56" w:rsidRPr="00E84C93">
        <w:rPr>
          <w:noProof/>
          <w:szCs w:val="24"/>
          <w:lang w:val="sr-Cyrl-CS"/>
        </w:rPr>
        <w:t>Д</w:t>
      </w:r>
      <w:r w:rsidR="00017C56" w:rsidRPr="00E84C93">
        <w:rPr>
          <w:szCs w:val="24"/>
          <w:lang w:val="sr-Cyrl-CS"/>
        </w:rPr>
        <w:t>ефинишу се циљеви, принципи и опције управљања отпадом, стратешки правци и приоритетне активности на њиховој имплементацији, законодавно-правним активностима и институционалном јачању одрживог система управљања отпадом. У првом плану је селекција отпада на извору, повећање степена рециклаже отпада и изградња недостајуће инфраструктуре како би се створиле основе за испуњење постављених циљева наведених у кључним Директивама ЕУ у сектору отпада. С</w:t>
      </w:r>
      <w:r w:rsidR="00017C56" w:rsidRPr="00E84C93">
        <w:rPr>
          <w:szCs w:val="24"/>
          <w:shd w:val="clear" w:color="auto" w:fill="FFFFFF"/>
          <w:lang w:val="sr-Cyrl-CS"/>
        </w:rPr>
        <w:t>врха је развој и унапређење система управљања отпадом, кроз употпуњавање стратешког и законодавног оквира и планских докумената у овом сектору.</w:t>
      </w:r>
      <w:r w:rsidR="00842D6B" w:rsidRPr="00E84C93">
        <w:rPr>
          <w:szCs w:val="24"/>
          <w:shd w:val="clear" w:color="auto" w:fill="FFFFFF"/>
          <w:lang w:val="sr-Cyrl-CS"/>
        </w:rPr>
        <w:t xml:space="preserve"> У оквиру навед</w:t>
      </w:r>
      <w:r w:rsidR="005E1AB2" w:rsidRPr="00E84C93">
        <w:rPr>
          <w:szCs w:val="24"/>
          <w:shd w:val="clear" w:color="auto" w:fill="FFFFFF"/>
          <w:lang w:val="sr-Cyrl-CS"/>
        </w:rPr>
        <w:t>e</w:t>
      </w:r>
      <w:r w:rsidR="00842D6B" w:rsidRPr="00E84C93">
        <w:rPr>
          <w:szCs w:val="24"/>
          <w:shd w:val="clear" w:color="auto" w:fill="FFFFFF"/>
          <w:lang w:val="sr-Cyrl-CS"/>
        </w:rPr>
        <w:t>н</w:t>
      </w:r>
      <w:r w:rsidR="005E1AB2" w:rsidRPr="00E84C93">
        <w:rPr>
          <w:szCs w:val="24"/>
          <w:shd w:val="clear" w:color="auto" w:fill="FFFFFF"/>
          <w:lang w:val="sr-Cyrl-CS"/>
        </w:rPr>
        <w:t>ог</w:t>
      </w:r>
      <w:r w:rsidR="00842D6B" w:rsidRPr="00E84C93">
        <w:rPr>
          <w:szCs w:val="24"/>
          <w:shd w:val="clear" w:color="auto" w:fill="FFFFFF"/>
          <w:lang w:val="sr-Cyrl-CS"/>
        </w:rPr>
        <w:t xml:space="preserve"> документа кратко је </w:t>
      </w:r>
      <w:r w:rsidR="0045768B" w:rsidRPr="00E84C93">
        <w:rPr>
          <w:noProof/>
          <w:szCs w:val="24"/>
          <w:lang w:val="sr-Cyrl-CS"/>
        </w:rPr>
        <w:t xml:space="preserve">анализирано </w:t>
      </w:r>
      <w:r w:rsidR="005E1AB2" w:rsidRPr="00E84C93">
        <w:rPr>
          <w:noProof/>
          <w:szCs w:val="24"/>
          <w:lang w:val="sr-Cyrl-CS"/>
        </w:rPr>
        <w:t xml:space="preserve">садашње стање у </w:t>
      </w:r>
      <w:r w:rsidR="0045768B" w:rsidRPr="00E84C93">
        <w:rPr>
          <w:noProof/>
          <w:szCs w:val="24"/>
          <w:lang w:val="sr-Cyrl-CS"/>
        </w:rPr>
        <w:t>управљањ</w:t>
      </w:r>
      <w:r w:rsidR="005E1AB2" w:rsidRPr="00E84C93">
        <w:rPr>
          <w:noProof/>
          <w:szCs w:val="24"/>
          <w:lang w:val="sr-Cyrl-CS"/>
        </w:rPr>
        <w:t>у</w:t>
      </w:r>
      <w:r w:rsidR="0045768B" w:rsidRPr="00E84C93">
        <w:rPr>
          <w:noProof/>
          <w:szCs w:val="24"/>
          <w:lang w:val="sr-Cyrl-CS"/>
        </w:rPr>
        <w:t xml:space="preserve"> муљем из </w:t>
      </w:r>
      <w:r w:rsidR="005E1AB2" w:rsidRPr="00E84C93">
        <w:rPr>
          <w:noProof/>
          <w:szCs w:val="24"/>
          <w:lang w:val="sr-Cyrl-CS"/>
        </w:rPr>
        <w:t>постројења за</w:t>
      </w:r>
      <w:r w:rsidR="0045768B" w:rsidRPr="00E84C93">
        <w:rPr>
          <w:noProof/>
          <w:szCs w:val="24"/>
          <w:lang w:val="sr-Cyrl-CS"/>
        </w:rPr>
        <w:t xml:space="preserve"> пречишћавањ</w:t>
      </w:r>
      <w:r w:rsidR="005E1AB2" w:rsidRPr="00E84C93">
        <w:rPr>
          <w:noProof/>
          <w:szCs w:val="24"/>
          <w:lang w:val="sr-Cyrl-CS"/>
        </w:rPr>
        <w:t>е</w:t>
      </w:r>
      <w:r w:rsidR="0045768B" w:rsidRPr="00E84C93">
        <w:rPr>
          <w:noProof/>
          <w:szCs w:val="24"/>
          <w:lang w:val="sr-Cyrl-CS"/>
        </w:rPr>
        <w:t xml:space="preserve"> отпадних вода</w:t>
      </w:r>
      <w:r w:rsidR="005E1AB2" w:rsidRPr="00E84C93">
        <w:rPr>
          <w:noProof/>
          <w:szCs w:val="24"/>
          <w:lang w:val="sr-Cyrl-CS"/>
        </w:rPr>
        <w:t xml:space="preserve"> и дате су смернице за даље поступање у циљу успостављања одрживог система</w:t>
      </w:r>
      <w:r w:rsidR="0045768B" w:rsidRPr="00E84C93">
        <w:rPr>
          <w:noProof/>
          <w:szCs w:val="24"/>
          <w:lang w:val="sr-Cyrl-CS"/>
        </w:rPr>
        <w:t>.</w:t>
      </w:r>
    </w:p>
    <w:p w14:paraId="77DB1C80" w14:textId="2C6F646E" w:rsidR="00702D2B" w:rsidRPr="00E84C93" w:rsidRDefault="00702D2B" w:rsidP="00FC6BAA">
      <w:pPr>
        <w:spacing w:after="0"/>
        <w:ind w:firstLine="720"/>
        <w:jc w:val="both"/>
        <w:rPr>
          <w:noProof/>
          <w:szCs w:val="24"/>
          <w:lang w:val="sr-Cyrl-CS"/>
        </w:rPr>
      </w:pPr>
      <w:r w:rsidRPr="00E84C93">
        <w:rPr>
          <w:b/>
          <w:bCs/>
          <w:noProof/>
          <w:szCs w:val="24"/>
          <w:lang w:val="sr-Cyrl-CS"/>
        </w:rPr>
        <w:t>Стратегија управљања водама</w:t>
      </w:r>
      <w:r w:rsidR="00DB371A" w:rsidRPr="00E84C93">
        <w:rPr>
          <w:b/>
          <w:bCs/>
          <w:noProof/>
          <w:szCs w:val="24"/>
          <w:lang w:val="sr-Cyrl-CS"/>
        </w:rPr>
        <w:t xml:space="preserve"> на територији Републике Србије до 2034. године</w:t>
      </w:r>
      <w:r w:rsidRPr="00E84C93">
        <w:rPr>
          <w:b/>
          <w:bCs/>
          <w:noProof/>
          <w:szCs w:val="24"/>
          <w:lang w:val="sr-Cyrl-CS"/>
        </w:rPr>
        <w:t xml:space="preserve"> </w:t>
      </w:r>
      <w:r w:rsidRPr="00E84C93">
        <w:rPr>
          <w:noProof/>
          <w:szCs w:val="24"/>
          <w:lang w:val="sr-Cyrl-CS"/>
        </w:rPr>
        <w:t xml:space="preserve">(„Службени гласник РС”, број </w:t>
      </w:r>
      <w:r w:rsidR="00DB371A" w:rsidRPr="00E84C93">
        <w:rPr>
          <w:noProof/>
          <w:szCs w:val="24"/>
          <w:lang w:val="sr-Cyrl-CS"/>
        </w:rPr>
        <w:t>3/</w:t>
      </w:r>
      <w:r w:rsidRPr="00E84C93">
        <w:rPr>
          <w:noProof/>
          <w:szCs w:val="24"/>
          <w:lang w:val="sr-Cyrl-CS"/>
        </w:rPr>
        <w:t xml:space="preserve">17) </w:t>
      </w:r>
      <w:r w:rsidR="001B3C15" w:rsidRPr="00E84C93">
        <w:rPr>
          <w:noProof/>
          <w:szCs w:val="24"/>
          <w:lang w:val="sr-Cyrl-CS"/>
        </w:rPr>
        <w:t>усмерена је на одржавање и унапређење водног режима, обезбеђивање потребних количина вода захтеваног квалитета за различите намене, заштиту вода од загађивања и заштиту од штетног дејства вода.</w:t>
      </w:r>
    </w:p>
    <w:p w14:paraId="022DF16C" w14:textId="373E2CF5" w:rsidR="00D1559A" w:rsidRPr="00E84C93" w:rsidRDefault="00625FE6" w:rsidP="00FC6BAA">
      <w:pPr>
        <w:spacing w:after="0"/>
        <w:ind w:firstLine="720"/>
        <w:jc w:val="both"/>
        <w:rPr>
          <w:noProof/>
          <w:szCs w:val="24"/>
          <w:lang w:val="sr-Cyrl-CS"/>
        </w:rPr>
      </w:pPr>
      <w:r w:rsidRPr="00E84C93">
        <w:rPr>
          <w:b/>
          <w:bCs/>
          <w:noProof/>
          <w:szCs w:val="24"/>
          <w:lang w:val="sr-Cyrl-CS"/>
        </w:rPr>
        <w:t>Програм развоја циркуларне економије Републике Србије за период 2022-2024.</w:t>
      </w:r>
      <w:r w:rsidRPr="00E84C93">
        <w:rPr>
          <w:noProof/>
          <w:szCs w:val="24"/>
          <w:lang w:val="sr-Cyrl-CS"/>
        </w:rPr>
        <w:t xml:space="preserve"> („Службени гласник РС”, број 137/21) </w:t>
      </w:r>
      <w:r w:rsidR="00B1653D" w:rsidRPr="00E84C93">
        <w:rPr>
          <w:noProof/>
          <w:szCs w:val="24"/>
          <w:lang w:val="sr-Cyrl-CS"/>
        </w:rPr>
        <w:t>има за циљ стварање подстицајног окружења за развој циркуларне економије у  циљу подршке зеленој транзицији</w:t>
      </w:r>
      <w:r w:rsidRPr="00E84C93">
        <w:rPr>
          <w:noProof/>
          <w:szCs w:val="24"/>
          <w:lang w:val="sr-Cyrl-CS"/>
        </w:rPr>
        <w:t>.</w:t>
      </w:r>
      <w:r w:rsidR="00B1653D" w:rsidRPr="00E84C93">
        <w:rPr>
          <w:noProof/>
          <w:szCs w:val="24"/>
          <w:lang w:val="sr-Cyrl-CS"/>
        </w:rPr>
        <w:t xml:space="preserve"> Развој индустријске симбиозе омогућиће успостављање тржишних механизама у погледу понуде остатака из производних процеса и потражње ових остатака који се могу користити као ресурс у другим производним циклусима.</w:t>
      </w:r>
    </w:p>
    <w:p w14:paraId="4E08D139" w14:textId="7FD7CD8C" w:rsidR="00FC6BAA" w:rsidRPr="00E84C93" w:rsidRDefault="00D1559A" w:rsidP="00FC6BAA">
      <w:pPr>
        <w:spacing w:after="0"/>
        <w:ind w:firstLine="720"/>
        <w:jc w:val="both"/>
        <w:rPr>
          <w:lang w:val="sr-Cyrl-CS"/>
        </w:rPr>
      </w:pPr>
      <w:r w:rsidRPr="00E84C93">
        <w:rPr>
          <w:b/>
          <w:bCs/>
          <w:lang w:val="sr-Cyrl-CS"/>
        </w:rPr>
        <w:t>Стратегија одрживог урбаног развоја до 2030. године</w:t>
      </w:r>
      <w:r w:rsidRPr="00E84C93">
        <w:rPr>
          <w:lang w:val="sr-Cyrl-CS"/>
        </w:rPr>
        <w:t xml:space="preserve"> („Сл</w:t>
      </w:r>
      <w:r w:rsidR="007D5C64" w:rsidRPr="00E84C93">
        <w:rPr>
          <w:lang w:val="sr-Cyrl-CS"/>
        </w:rPr>
        <w:t>ужбени</w:t>
      </w:r>
      <w:r w:rsidRPr="00E84C93">
        <w:rPr>
          <w:lang w:val="sr-Cyrl-CS"/>
        </w:rPr>
        <w:t xml:space="preserve"> гласник РС</w:t>
      </w:r>
      <w:r w:rsidR="00A949B2" w:rsidRPr="00E84C93">
        <w:rPr>
          <w:rFonts w:cs="Times New Roman"/>
          <w:lang w:val="sr-Cyrl-CS"/>
        </w:rPr>
        <w:t>ˮ</w:t>
      </w:r>
      <w:r w:rsidRPr="00E84C93">
        <w:rPr>
          <w:lang w:val="sr-Cyrl-CS"/>
        </w:rPr>
        <w:t>, бр</w:t>
      </w:r>
      <w:r w:rsidR="007D5C64" w:rsidRPr="00E84C93">
        <w:rPr>
          <w:lang w:val="sr-Cyrl-CS"/>
        </w:rPr>
        <w:t>ој</w:t>
      </w:r>
      <w:r w:rsidRPr="00E84C93">
        <w:rPr>
          <w:lang w:val="sr-Cyrl-CS"/>
        </w:rPr>
        <w:t xml:space="preserve"> 47/19), као мере за постизање циљева урбаног развоја, наводи и мере за ублажавање климатских промена унапређењем квалитета свих параметара животне средине, система управљања отпадом и мере унапређења енергетске ефикасности. </w:t>
      </w:r>
    </w:p>
    <w:p w14:paraId="297B8572" w14:textId="36CAFD41" w:rsidR="00506BC9" w:rsidRPr="00E84C93" w:rsidRDefault="00506BC9" w:rsidP="00FC6BAA">
      <w:pPr>
        <w:spacing w:after="0"/>
        <w:ind w:firstLine="720"/>
        <w:jc w:val="both"/>
        <w:rPr>
          <w:lang w:val="sr-Cyrl-CS"/>
        </w:rPr>
      </w:pPr>
      <w:r w:rsidRPr="00E84C93">
        <w:rPr>
          <w:b/>
          <w:bCs/>
          <w:lang w:val="sr-Cyrl-CS"/>
        </w:rPr>
        <w:t>Стратегија развоја енергетике</w:t>
      </w:r>
      <w:r w:rsidR="00140C44" w:rsidRPr="00E84C93">
        <w:rPr>
          <w:b/>
          <w:bCs/>
          <w:lang w:val="sr-Cyrl-CS"/>
        </w:rPr>
        <w:t xml:space="preserve"> Републике Србије</w:t>
      </w:r>
      <w:r w:rsidRPr="00E84C93">
        <w:rPr>
          <w:b/>
          <w:bCs/>
          <w:lang w:val="sr-Cyrl-CS"/>
        </w:rPr>
        <w:t xml:space="preserve"> до 2025. године, са пројекцијама до 2030. године</w:t>
      </w:r>
      <w:r w:rsidRPr="00E84C93">
        <w:rPr>
          <w:lang w:val="sr-Cyrl-CS"/>
        </w:rPr>
        <w:t xml:space="preserve"> </w:t>
      </w:r>
      <w:r w:rsidRPr="00E84C93">
        <w:rPr>
          <w:noProof/>
          <w:szCs w:val="24"/>
          <w:lang w:val="sr-Cyrl-CS"/>
        </w:rPr>
        <w:t xml:space="preserve">(„Службени гласник РС”, број </w:t>
      </w:r>
      <w:r w:rsidR="007D5C64" w:rsidRPr="00E84C93">
        <w:rPr>
          <w:noProof/>
          <w:szCs w:val="24"/>
          <w:lang w:val="sr-Cyrl-CS"/>
        </w:rPr>
        <w:t>101/15</w:t>
      </w:r>
      <w:r w:rsidRPr="00E84C93">
        <w:rPr>
          <w:noProof/>
          <w:szCs w:val="24"/>
          <w:lang w:val="sr-Cyrl-CS"/>
        </w:rPr>
        <w:t xml:space="preserve">) </w:t>
      </w:r>
      <w:r w:rsidR="007D5C64" w:rsidRPr="00E84C93">
        <w:rPr>
          <w:rFonts w:cs="Times New Roman"/>
          <w:szCs w:val="24"/>
          <w:lang w:val="sr-Cyrl-CS"/>
        </w:rPr>
        <w:t>даје основне смернице и правце примене принципа ефикасног коришћења енергије.</w:t>
      </w:r>
    </w:p>
    <w:p w14:paraId="09659238" w14:textId="14831DEE" w:rsidR="00506BC9" w:rsidRPr="00E84C93" w:rsidRDefault="007D5C64" w:rsidP="00FC6BAA">
      <w:pPr>
        <w:spacing w:after="0"/>
        <w:ind w:firstLine="720"/>
        <w:jc w:val="both"/>
        <w:rPr>
          <w:rFonts w:cs="Times New Roman"/>
          <w:szCs w:val="24"/>
          <w:lang w:val="sr-Cyrl-CS"/>
        </w:rPr>
      </w:pPr>
      <w:r w:rsidRPr="00E84C93">
        <w:rPr>
          <w:rFonts w:cs="Times New Roman"/>
          <w:b/>
          <w:szCs w:val="24"/>
          <w:lang w:val="sr-Cyrl-CS"/>
        </w:rPr>
        <w:t xml:space="preserve">Стратегија пољопривреде и руралног развоја Републике Србије за период 2014–2024. године </w:t>
      </w:r>
      <w:r w:rsidRPr="00E84C93">
        <w:rPr>
          <w:rFonts w:cs="Times New Roman"/>
          <w:bCs/>
          <w:szCs w:val="24"/>
          <w:lang w:val="sr-Cyrl-CS"/>
        </w:rPr>
        <w:t xml:space="preserve">(,,Службени гласник РС”, број 85/14) дефинише, између осталог, </w:t>
      </w:r>
      <w:r w:rsidRPr="00E84C93">
        <w:rPr>
          <w:rFonts w:cs="Times New Roman"/>
          <w:szCs w:val="24"/>
          <w:lang w:val="sr-Cyrl-CS"/>
        </w:rPr>
        <w:t>циљеве за повећање продуктивности и ефикасности у производњи на свим нивоима у ланцу производње хране. Област заштите и унапређења животне средине и очувања природних ресурса дефинише оперативни циљ подизања свести о значају коришћења обновљивих извора енергије и производњи енергетских усева.</w:t>
      </w:r>
    </w:p>
    <w:p w14:paraId="434F6434" w14:textId="77777777" w:rsidR="00FC6BAA" w:rsidRPr="00E84C93" w:rsidRDefault="00FC6BAA" w:rsidP="00FC6BAA">
      <w:pPr>
        <w:spacing w:after="0"/>
        <w:jc w:val="both"/>
        <w:rPr>
          <w:rFonts w:cs="Times New Roman"/>
          <w:szCs w:val="24"/>
          <w:lang w:val="sr-Cyrl-CS"/>
        </w:rPr>
      </w:pPr>
    </w:p>
    <w:p w14:paraId="57C3F954" w14:textId="01FDA011" w:rsidR="00FC6BAA" w:rsidRPr="00E84C93" w:rsidRDefault="00FC6BAA" w:rsidP="00DF360D">
      <w:pPr>
        <w:pStyle w:val="Heading3"/>
        <w:numPr>
          <w:ilvl w:val="2"/>
          <w:numId w:val="2"/>
        </w:numPr>
        <w:tabs>
          <w:tab w:val="num" w:pos="2160"/>
        </w:tabs>
        <w:spacing w:before="0" w:after="0"/>
        <w:ind w:left="2160" w:hanging="360"/>
        <w:rPr>
          <w:lang w:val="sr-Cyrl-CS"/>
        </w:rPr>
      </w:pPr>
      <w:bookmarkStart w:id="6" w:name="_Toc99920888"/>
      <w:r w:rsidRPr="00E84C93">
        <w:rPr>
          <w:lang w:val="sr-Cyrl-CS"/>
        </w:rPr>
        <w:t>Институционални оквир</w:t>
      </w:r>
      <w:bookmarkEnd w:id="6"/>
    </w:p>
    <w:p w14:paraId="7007F2DB" w14:textId="77777777" w:rsidR="005D1F52" w:rsidRPr="00E84C93" w:rsidRDefault="005D1F52" w:rsidP="00FC6BAA">
      <w:pPr>
        <w:spacing w:after="0"/>
        <w:ind w:firstLine="720"/>
        <w:jc w:val="both"/>
        <w:rPr>
          <w:rFonts w:cs="Times New Roman"/>
          <w:szCs w:val="24"/>
          <w:lang w:val="sr-Cyrl-CS"/>
        </w:rPr>
      </w:pPr>
    </w:p>
    <w:p w14:paraId="347F49BB" w14:textId="792CD88D" w:rsidR="005C2504" w:rsidRPr="00E84C93" w:rsidRDefault="005F7E03" w:rsidP="005C2504">
      <w:pPr>
        <w:spacing w:after="0"/>
        <w:ind w:firstLine="720"/>
        <w:jc w:val="both"/>
        <w:rPr>
          <w:rFonts w:cs="Times New Roman"/>
          <w:szCs w:val="24"/>
          <w:lang w:val="sr-Cyrl-CS"/>
        </w:rPr>
      </w:pPr>
      <w:r w:rsidRPr="00E84C93">
        <w:rPr>
          <w:rFonts w:cs="Times New Roman"/>
          <w:b/>
          <w:bCs/>
          <w:szCs w:val="24"/>
          <w:lang w:val="sr-Cyrl-CS"/>
        </w:rPr>
        <w:t xml:space="preserve">Министарство </w:t>
      </w:r>
      <w:bookmarkStart w:id="7" w:name="_Hlk145927097"/>
      <w:r w:rsidRPr="00E84C93">
        <w:rPr>
          <w:rFonts w:cs="Times New Roman"/>
          <w:b/>
          <w:bCs/>
          <w:szCs w:val="24"/>
          <w:lang w:val="sr-Cyrl-CS"/>
        </w:rPr>
        <w:t xml:space="preserve">заштите животне средине </w:t>
      </w:r>
      <w:bookmarkEnd w:id="7"/>
      <w:r w:rsidRPr="00E84C93">
        <w:rPr>
          <w:rFonts w:cs="Times New Roman"/>
          <w:szCs w:val="24"/>
          <w:lang w:val="sr-Cyrl-CS"/>
        </w:rPr>
        <w:t>надлежно је за управљање муљем из постројења за пречишћавање отпадних вода</w:t>
      </w:r>
      <w:r w:rsidR="005C2504" w:rsidRPr="00E84C93">
        <w:rPr>
          <w:rFonts w:cs="Times New Roman"/>
          <w:szCs w:val="24"/>
          <w:lang w:val="sr-Cyrl-CS"/>
        </w:rPr>
        <w:t xml:space="preserve">, </w:t>
      </w:r>
      <w:r w:rsidR="00140C44" w:rsidRPr="00E84C93">
        <w:rPr>
          <w:rFonts w:cs="Times New Roman"/>
          <w:szCs w:val="24"/>
          <w:lang w:val="sr-Cyrl-CS"/>
        </w:rPr>
        <w:t xml:space="preserve">с </w:t>
      </w:r>
      <w:r w:rsidR="005C2504" w:rsidRPr="00E84C93">
        <w:rPr>
          <w:rFonts w:cs="Times New Roman"/>
          <w:szCs w:val="24"/>
          <w:lang w:val="sr-Cyrl-CS"/>
        </w:rPr>
        <w:t xml:space="preserve">обзиром </w:t>
      </w:r>
      <w:r w:rsidR="00140C44" w:rsidRPr="00E84C93">
        <w:rPr>
          <w:rFonts w:cs="Times New Roman"/>
          <w:szCs w:val="24"/>
          <w:lang w:val="sr-Cyrl-CS"/>
        </w:rPr>
        <w:t xml:space="preserve">на то да </w:t>
      </w:r>
      <w:r w:rsidR="005C2504" w:rsidRPr="00E84C93">
        <w:rPr>
          <w:rFonts w:cs="Times New Roman"/>
          <w:szCs w:val="24"/>
          <w:lang w:val="sr-Cyrl-CS"/>
        </w:rPr>
        <w:t>да се муљ сматра отпадом</w:t>
      </w:r>
      <w:r w:rsidRPr="00E84C93">
        <w:rPr>
          <w:rFonts w:cs="Times New Roman"/>
          <w:szCs w:val="24"/>
          <w:lang w:val="sr-Cyrl-CS"/>
        </w:rPr>
        <w:t>.</w:t>
      </w:r>
      <w:r w:rsidR="005C2504" w:rsidRPr="00E84C93">
        <w:rPr>
          <w:rFonts w:cs="Times New Roman"/>
          <w:szCs w:val="24"/>
          <w:lang w:val="sr-Cyrl-CS"/>
        </w:rPr>
        <w:t xml:space="preserve"> Министарство заштите животне средине обавља послове државне управе који се, између осталог, односе на: управљање отпадом, укључујући опасан отпад, осим радиоактивног отпада; одобравање прекограничног промета отпада, као и друге послове одређене законом. Министарство</w:t>
      </w:r>
      <w:r w:rsidR="00140C44" w:rsidRPr="00E84C93">
        <w:rPr>
          <w:lang w:val="sr-Cyrl-CS"/>
        </w:rPr>
        <w:t xml:space="preserve"> </w:t>
      </w:r>
      <w:r w:rsidR="00140C44" w:rsidRPr="00E84C93">
        <w:rPr>
          <w:rFonts w:cs="Times New Roman"/>
          <w:szCs w:val="24"/>
          <w:lang w:val="sr-Cyrl-CS"/>
        </w:rPr>
        <w:t>заштите животне средине</w:t>
      </w:r>
      <w:r w:rsidR="005C2504" w:rsidRPr="00E84C93">
        <w:rPr>
          <w:rFonts w:cs="Times New Roman"/>
          <w:szCs w:val="24"/>
          <w:lang w:val="sr-Cyrl-CS"/>
        </w:rPr>
        <w:t xml:space="preserve"> предлаже Влади стратегију и националне планове управљања отпадом; координира и врши послове управљања отпадом од значаја за Републику</w:t>
      </w:r>
      <w:r w:rsidR="00FF1410" w:rsidRPr="00E84C93">
        <w:rPr>
          <w:rFonts w:cs="Times New Roman"/>
          <w:szCs w:val="24"/>
          <w:lang w:val="sr-Cyrl-CS"/>
        </w:rPr>
        <w:t xml:space="preserve"> Србију</w:t>
      </w:r>
      <w:r w:rsidR="005C2504" w:rsidRPr="00E84C93">
        <w:rPr>
          <w:rFonts w:cs="Times New Roman"/>
          <w:szCs w:val="24"/>
          <w:lang w:val="sr-Cyrl-CS"/>
        </w:rPr>
        <w:t xml:space="preserve">; даје сагласност на регионалне планове управљања отпадом, осим за планове на територији аутономне покрајине; издаје дозволе прописане законом; врши </w:t>
      </w:r>
      <w:r w:rsidR="005C2504" w:rsidRPr="00E84C93">
        <w:rPr>
          <w:rFonts w:cs="Times New Roman"/>
          <w:szCs w:val="24"/>
          <w:lang w:val="sr-Cyrl-CS"/>
        </w:rPr>
        <w:lastRenderedPageBreak/>
        <w:t xml:space="preserve">надзор и контролу примене мера поступања са отпадом и предузима друге мере и активности, у складу са међународним уговорима и споразумима. </w:t>
      </w:r>
    </w:p>
    <w:p w14:paraId="5057A962" w14:textId="56DCC903" w:rsidR="00D17BF6" w:rsidRPr="00E84C93" w:rsidRDefault="00346FE3" w:rsidP="00346FE3">
      <w:pPr>
        <w:shd w:val="clear" w:color="auto" w:fill="FFFFFF" w:themeFill="background1"/>
        <w:spacing w:after="0"/>
        <w:ind w:firstLine="720"/>
        <w:jc w:val="both"/>
        <w:rPr>
          <w:rFonts w:cs="Times New Roman"/>
          <w:szCs w:val="24"/>
          <w:lang w:val="sr-Cyrl-CS"/>
        </w:rPr>
      </w:pPr>
      <w:r w:rsidRPr="00E84C93">
        <w:rPr>
          <w:rFonts w:cs="Times New Roman"/>
          <w:szCs w:val="24"/>
          <w:lang w:val="sr-Cyrl-CS"/>
        </w:rPr>
        <w:t xml:space="preserve">У оквиру Сектора за управљање отпадом и отпадним водама, </w:t>
      </w:r>
      <w:r w:rsidR="005C2504" w:rsidRPr="00E84C93">
        <w:rPr>
          <w:rFonts w:cs="Times New Roman"/>
          <w:szCs w:val="24"/>
          <w:lang w:val="sr-Cyrl-CS"/>
        </w:rPr>
        <w:t xml:space="preserve">Одељење за управљање отпадом је одговорно за издавање дозвола за управљање отпадом, дозвола за системске оператере у области управљања </w:t>
      </w:r>
      <w:r w:rsidR="008319B2" w:rsidRPr="00E84C93">
        <w:rPr>
          <w:rFonts w:cs="Times New Roman"/>
          <w:szCs w:val="24"/>
          <w:lang w:val="sr-Cyrl-CS"/>
        </w:rPr>
        <w:t>амбалажним</w:t>
      </w:r>
      <w:r w:rsidR="005C2504" w:rsidRPr="00E84C93">
        <w:rPr>
          <w:rFonts w:cs="Times New Roman"/>
          <w:szCs w:val="24"/>
          <w:lang w:val="sr-Cyrl-CS"/>
        </w:rPr>
        <w:t xml:space="preserve"> отпад</w:t>
      </w:r>
      <w:r w:rsidRPr="00E84C93">
        <w:rPr>
          <w:rFonts w:cs="Times New Roman"/>
          <w:szCs w:val="24"/>
          <w:lang w:val="sr-Cyrl-CS"/>
        </w:rPr>
        <w:t>ом</w:t>
      </w:r>
      <w:r w:rsidR="005C2504" w:rsidRPr="00E84C93">
        <w:rPr>
          <w:rFonts w:cs="Times New Roman"/>
          <w:szCs w:val="24"/>
          <w:lang w:val="sr-Cyrl-CS"/>
        </w:rPr>
        <w:t xml:space="preserve"> и дозвола за прекогранично </w:t>
      </w:r>
      <w:r w:rsidR="008319B2" w:rsidRPr="00E84C93">
        <w:rPr>
          <w:rFonts w:cs="Times New Roman"/>
          <w:szCs w:val="24"/>
          <w:lang w:val="sr-Cyrl-CS"/>
        </w:rPr>
        <w:t>кретање</w:t>
      </w:r>
      <w:r w:rsidR="005C2504" w:rsidRPr="00E84C93">
        <w:rPr>
          <w:rFonts w:cs="Times New Roman"/>
          <w:szCs w:val="24"/>
          <w:lang w:val="sr-Cyrl-CS"/>
        </w:rPr>
        <w:t xml:space="preserve"> отпада</w:t>
      </w:r>
      <w:r w:rsidRPr="00E84C93">
        <w:rPr>
          <w:rFonts w:cs="Times New Roman"/>
          <w:szCs w:val="24"/>
          <w:lang w:val="sr-Cyrl-CS"/>
        </w:rPr>
        <w:t>, док је</w:t>
      </w:r>
      <w:r w:rsidR="005C2504" w:rsidRPr="00E84C93">
        <w:rPr>
          <w:rFonts w:cs="Times New Roman"/>
          <w:szCs w:val="24"/>
          <w:lang w:val="sr-Cyrl-CS"/>
        </w:rPr>
        <w:t xml:space="preserve"> </w:t>
      </w:r>
      <w:r w:rsidR="00D17BF6" w:rsidRPr="00E84C93">
        <w:rPr>
          <w:rFonts w:cs="Times New Roman"/>
          <w:szCs w:val="24"/>
          <w:lang w:val="sr-Cyrl-CS"/>
        </w:rPr>
        <w:t>Одељење за отпадн</w:t>
      </w:r>
      <w:r w:rsidR="008B6857" w:rsidRPr="00E84C93">
        <w:rPr>
          <w:rFonts w:cs="Times New Roman"/>
          <w:szCs w:val="24"/>
          <w:lang w:val="sr-Cyrl-CS"/>
        </w:rPr>
        <w:t>е</w:t>
      </w:r>
      <w:r w:rsidR="00D17BF6" w:rsidRPr="00E84C93">
        <w:rPr>
          <w:rFonts w:cs="Times New Roman"/>
          <w:szCs w:val="24"/>
          <w:lang w:val="sr-Cyrl-CS"/>
        </w:rPr>
        <w:t xml:space="preserve"> вод</w:t>
      </w:r>
      <w:r w:rsidR="008B6857" w:rsidRPr="00E84C93">
        <w:rPr>
          <w:rFonts w:cs="Times New Roman"/>
          <w:szCs w:val="24"/>
          <w:lang w:val="sr-Cyrl-CS"/>
        </w:rPr>
        <w:t>е</w:t>
      </w:r>
      <w:r w:rsidR="00D17BF6" w:rsidRPr="00E84C93">
        <w:rPr>
          <w:rFonts w:cs="Times New Roman"/>
          <w:szCs w:val="24"/>
          <w:lang w:val="sr-Cyrl-CS"/>
        </w:rPr>
        <w:t xml:space="preserve"> надлежно</w:t>
      </w:r>
      <w:r w:rsidRPr="00E84C93">
        <w:rPr>
          <w:rFonts w:cs="Times New Roman"/>
          <w:szCs w:val="24"/>
          <w:lang w:val="sr-Cyrl-CS"/>
        </w:rPr>
        <w:t xml:space="preserve"> за контролу уношења и испуштања у површинске воде, подземне воде и јавну канализацију отпадних вода, успостављање мерења количина и испитивање квалитета отпадних вода пре и после њиховог пречишћавања.</w:t>
      </w:r>
      <w:r w:rsidR="00A61448" w:rsidRPr="00E84C93">
        <w:rPr>
          <w:rFonts w:cs="Times New Roman"/>
          <w:szCs w:val="24"/>
          <w:lang w:val="sr-Cyrl-CS"/>
        </w:rPr>
        <w:t xml:space="preserve"> </w:t>
      </w:r>
    </w:p>
    <w:p w14:paraId="4373AE7E" w14:textId="4F2C946D" w:rsidR="005F7E03" w:rsidRPr="00E84C93" w:rsidRDefault="005C2504" w:rsidP="005C2504">
      <w:pPr>
        <w:spacing w:after="0"/>
        <w:ind w:firstLine="720"/>
        <w:jc w:val="both"/>
        <w:rPr>
          <w:rFonts w:cs="Times New Roman"/>
          <w:szCs w:val="24"/>
          <w:lang w:val="sr-Cyrl-CS"/>
        </w:rPr>
      </w:pPr>
      <w:r w:rsidRPr="00E84C93">
        <w:rPr>
          <w:rFonts w:cs="Times New Roman"/>
          <w:szCs w:val="24"/>
          <w:lang w:val="sr-Cyrl-CS"/>
        </w:rPr>
        <w:t>Према Закону о интегрисан</w:t>
      </w:r>
      <w:r w:rsidR="00FF1410" w:rsidRPr="00E84C93">
        <w:rPr>
          <w:rFonts w:cs="Times New Roman"/>
          <w:szCs w:val="24"/>
          <w:lang w:val="sr-Cyrl-CS"/>
        </w:rPr>
        <w:t>ом спречавању и</w:t>
      </w:r>
      <w:r w:rsidRPr="00E84C93">
        <w:rPr>
          <w:rFonts w:cs="Times New Roman"/>
          <w:szCs w:val="24"/>
          <w:lang w:val="sr-Cyrl-CS"/>
        </w:rPr>
        <w:t xml:space="preserve"> контроли загађивања</w:t>
      </w:r>
      <w:r w:rsidR="00FF1410" w:rsidRPr="00E84C93">
        <w:rPr>
          <w:rFonts w:cs="Times New Roman"/>
          <w:szCs w:val="24"/>
          <w:lang w:val="sr-Cyrl-CS"/>
        </w:rPr>
        <w:t xml:space="preserve"> животне средине</w:t>
      </w:r>
      <w:r w:rsidRPr="00E84C93">
        <w:rPr>
          <w:rFonts w:cs="Times New Roman"/>
          <w:szCs w:val="24"/>
          <w:lang w:val="sr-Cyrl-CS"/>
        </w:rPr>
        <w:t xml:space="preserve">, Министарство заштите животне средине је одговорно за постројења наведена у </w:t>
      </w:r>
      <w:r w:rsidR="00AC33D3" w:rsidRPr="00E84C93">
        <w:rPr>
          <w:rFonts w:cs="Times New Roman"/>
          <w:szCs w:val="24"/>
          <w:lang w:val="sr-Cyrl-CS"/>
        </w:rPr>
        <w:t>чл</w:t>
      </w:r>
      <w:r w:rsidR="00FF1410" w:rsidRPr="00E84C93">
        <w:rPr>
          <w:rFonts w:cs="Times New Roman"/>
          <w:szCs w:val="24"/>
          <w:lang w:val="sr-Cyrl-CS"/>
        </w:rPr>
        <w:t>ану</w:t>
      </w:r>
      <w:r w:rsidRPr="00E84C93">
        <w:rPr>
          <w:rFonts w:cs="Times New Roman"/>
          <w:szCs w:val="24"/>
          <w:lang w:val="sr-Cyrl-CS"/>
        </w:rPr>
        <w:t xml:space="preserve"> 133. Закона о планирању и изградњи и/или надзор и саветодавну функцију за постројења за која је одговорна локална самоуправа.</w:t>
      </w:r>
    </w:p>
    <w:p w14:paraId="4CD4A8AF" w14:textId="6F185958" w:rsidR="005D1F52" w:rsidRPr="00E84C93" w:rsidRDefault="005D1F52" w:rsidP="005D1F52">
      <w:pPr>
        <w:spacing w:after="0"/>
        <w:ind w:firstLine="720"/>
        <w:jc w:val="both"/>
        <w:rPr>
          <w:rFonts w:cs="Times New Roman"/>
          <w:szCs w:val="24"/>
          <w:lang w:val="sr-Cyrl-CS"/>
        </w:rPr>
      </w:pPr>
      <w:r w:rsidRPr="00E84C93">
        <w:rPr>
          <w:rFonts w:cs="Times New Roman"/>
          <w:b/>
          <w:bCs/>
          <w:szCs w:val="24"/>
          <w:lang w:val="sr-Cyrl-CS"/>
        </w:rPr>
        <w:t>Министарство пољопривреде, шумарства и водопривред</w:t>
      </w:r>
      <w:r w:rsidR="001C69C8" w:rsidRPr="00E84C93">
        <w:rPr>
          <w:rFonts w:cs="Times New Roman"/>
          <w:b/>
          <w:bCs/>
          <w:szCs w:val="24"/>
          <w:lang w:val="sr-Cyrl-CS"/>
        </w:rPr>
        <w:t>е</w:t>
      </w:r>
      <w:r w:rsidRPr="00E84C93">
        <w:rPr>
          <w:rFonts w:cs="Times New Roman"/>
          <w:b/>
          <w:bCs/>
          <w:szCs w:val="24"/>
          <w:lang w:val="sr-Cyrl-CS"/>
        </w:rPr>
        <w:t xml:space="preserve">, </w:t>
      </w:r>
      <w:r w:rsidR="005F006D" w:rsidRPr="00E84C93">
        <w:rPr>
          <w:rFonts w:cs="Times New Roman"/>
          <w:b/>
          <w:bCs/>
          <w:szCs w:val="24"/>
          <w:lang w:val="sr-Cyrl-CS"/>
        </w:rPr>
        <w:t>односно</w:t>
      </w:r>
      <w:r w:rsidRPr="00E84C93">
        <w:rPr>
          <w:rFonts w:cs="Times New Roman"/>
          <w:b/>
          <w:bCs/>
          <w:szCs w:val="24"/>
          <w:lang w:val="sr-Cyrl-CS"/>
        </w:rPr>
        <w:t xml:space="preserve"> Републичк</w:t>
      </w:r>
      <w:r w:rsidR="005F006D" w:rsidRPr="00E84C93">
        <w:rPr>
          <w:rFonts w:cs="Times New Roman"/>
          <w:b/>
          <w:bCs/>
          <w:szCs w:val="24"/>
          <w:lang w:val="sr-Cyrl-CS"/>
        </w:rPr>
        <w:t>а</w:t>
      </w:r>
      <w:r w:rsidRPr="00E84C93">
        <w:rPr>
          <w:rFonts w:cs="Times New Roman"/>
          <w:b/>
          <w:bCs/>
          <w:szCs w:val="24"/>
          <w:lang w:val="sr-Cyrl-CS"/>
        </w:rPr>
        <w:t xml:space="preserve"> дирек</w:t>
      </w:r>
      <w:r w:rsidR="005F006D" w:rsidRPr="00E84C93">
        <w:rPr>
          <w:rFonts w:cs="Times New Roman"/>
          <w:b/>
          <w:bCs/>
          <w:szCs w:val="24"/>
          <w:lang w:val="sr-Cyrl-CS"/>
        </w:rPr>
        <w:t>ција</w:t>
      </w:r>
      <w:r w:rsidRPr="00E84C93">
        <w:rPr>
          <w:rFonts w:cs="Times New Roman"/>
          <w:b/>
          <w:bCs/>
          <w:szCs w:val="24"/>
          <w:lang w:val="sr-Cyrl-CS"/>
        </w:rPr>
        <w:t xml:space="preserve"> за вод</w:t>
      </w:r>
      <w:r w:rsidR="005F006D" w:rsidRPr="00E84C93">
        <w:rPr>
          <w:rFonts w:cs="Times New Roman"/>
          <w:b/>
          <w:bCs/>
          <w:szCs w:val="24"/>
          <w:lang w:val="sr-Cyrl-CS"/>
        </w:rPr>
        <w:t>е</w:t>
      </w:r>
      <w:r w:rsidRPr="00E84C93">
        <w:rPr>
          <w:rFonts w:cs="Times New Roman"/>
          <w:b/>
          <w:bCs/>
          <w:szCs w:val="24"/>
          <w:lang w:val="sr-Cyrl-CS"/>
        </w:rPr>
        <w:t>, и Министарство заштите животне средине</w:t>
      </w:r>
      <w:r w:rsidRPr="00E84C93">
        <w:rPr>
          <w:rFonts w:cs="Times New Roman"/>
          <w:szCs w:val="24"/>
          <w:lang w:val="sr-Cyrl-CS"/>
        </w:rPr>
        <w:t xml:space="preserve"> </w:t>
      </w:r>
      <w:r w:rsidR="0045768B" w:rsidRPr="00E84C93">
        <w:rPr>
          <w:rFonts w:cs="Times New Roman"/>
          <w:szCs w:val="24"/>
          <w:lang w:val="sr-Cyrl-CS"/>
        </w:rPr>
        <w:t xml:space="preserve">су </w:t>
      </w:r>
      <w:r w:rsidRPr="00E84C93">
        <w:rPr>
          <w:rFonts w:cs="Times New Roman"/>
          <w:szCs w:val="24"/>
          <w:lang w:val="sr-Cyrl-CS"/>
        </w:rPr>
        <w:t>надлежни</w:t>
      </w:r>
      <w:r w:rsidR="00A61448" w:rsidRPr="00E84C93">
        <w:rPr>
          <w:rFonts w:cs="Times New Roman"/>
          <w:szCs w:val="24"/>
          <w:lang w:val="sr-Cyrl-CS"/>
        </w:rPr>
        <w:t xml:space="preserve"> </w:t>
      </w:r>
      <w:r w:rsidRPr="00E84C93">
        <w:rPr>
          <w:rFonts w:cs="Times New Roman"/>
          <w:szCs w:val="24"/>
          <w:lang w:val="sr-Cyrl-CS"/>
        </w:rPr>
        <w:t xml:space="preserve">органи </w:t>
      </w:r>
      <w:r w:rsidR="0045768B" w:rsidRPr="00E84C93">
        <w:rPr>
          <w:rFonts w:cs="Times New Roman"/>
          <w:szCs w:val="24"/>
          <w:lang w:val="sr-Cyrl-CS"/>
        </w:rPr>
        <w:t>државн</w:t>
      </w:r>
      <w:r w:rsidR="0056510A" w:rsidRPr="00E84C93">
        <w:rPr>
          <w:rFonts w:cs="Times New Roman"/>
          <w:szCs w:val="24"/>
          <w:lang w:val="sr-Cyrl-CS"/>
        </w:rPr>
        <w:t>е</w:t>
      </w:r>
      <w:r w:rsidR="0045768B" w:rsidRPr="00E84C93">
        <w:rPr>
          <w:rFonts w:cs="Times New Roman"/>
          <w:szCs w:val="24"/>
          <w:lang w:val="sr-Cyrl-CS"/>
        </w:rPr>
        <w:t xml:space="preserve"> управе</w:t>
      </w:r>
      <w:r w:rsidRPr="00E84C93">
        <w:rPr>
          <w:rFonts w:cs="Times New Roman"/>
          <w:szCs w:val="24"/>
          <w:lang w:val="sr-Cyrl-CS"/>
        </w:rPr>
        <w:t xml:space="preserve"> задужени за управљање вод</w:t>
      </w:r>
      <w:r w:rsidR="005F006D" w:rsidRPr="00E84C93">
        <w:rPr>
          <w:rFonts w:cs="Times New Roman"/>
          <w:szCs w:val="24"/>
          <w:lang w:val="sr-Cyrl-CS"/>
        </w:rPr>
        <w:t>а</w:t>
      </w:r>
      <w:r w:rsidRPr="00E84C93">
        <w:rPr>
          <w:rFonts w:cs="Times New Roman"/>
          <w:szCs w:val="24"/>
          <w:lang w:val="sr-Cyrl-CS"/>
        </w:rPr>
        <w:t>м</w:t>
      </w:r>
      <w:r w:rsidR="005F006D" w:rsidRPr="00E84C93">
        <w:rPr>
          <w:rFonts w:cs="Times New Roman"/>
          <w:szCs w:val="24"/>
          <w:lang w:val="sr-Cyrl-CS"/>
        </w:rPr>
        <w:t>а</w:t>
      </w:r>
      <w:r w:rsidRPr="00E84C93">
        <w:rPr>
          <w:rFonts w:cs="Times New Roman"/>
          <w:szCs w:val="24"/>
          <w:lang w:val="sr-Cyrl-CS"/>
        </w:rPr>
        <w:t xml:space="preserve"> и систем управљања вод</w:t>
      </w:r>
      <w:r w:rsidR="005F006D" w:rsidRPr="00E84C93">
        <w:rPr>
          <w:rFonts w:cs="Times New Roman"/>
          <w:szCs w:val="24"/>
          <w:lang w:val="sr-Cyrl-CS"/>
        </w:rPr>
        <w:t>ама</w:t>
      </w:r>
      <w:r w:rsidRPr="00E84C93">
        <w:rPr>
          <w:rFonts w:cs="Times New Roman"/>
          <w:szCs w:val="24"/>
          <w:lang w:val="sr-Cyrl-CS"/>
        </w:rPr>
        <w:t>, те су стога одговорни за имплементацију захтева наведених у Директиви</w:t>
      </w:r>
      <w:r w:rsidR="007E11BB" w:rsidRPr="00E84C93">
        <w:rPr>
          <w:rFonts w:cs="Times New Roman"/>
          <w:szCs w:val="24"/>
          <w:lang w:val="sr-Cyrl-CS"/>
        </w:rPr>
        <w:t xml:space="preserve"> ЕУ</w:t>
      </w:r>
      <w:r w:rsidRPr="00E84C93">
        <w:rPr>
          <w:rFonts w:cs="Times New Roman"/>
          <w:szCs w:val="24"/>
          <w:lang w:val="sr-Cyrl-CS"/>
        </w:rPr>
        <w:t xml:space="preserve"> о </w:t>
      </w:r>
      <w:r w:rsidR="001C69C8" w:rsidRPr="00E84C93">
        <w:rPr>
          <w:rFonts w:cs="Times New Roman"/>
          <w:szCs w:val="24"/>
          <w:lang w:val="sr-Cyrl-CS"/>
        </w:rPr>
        <w:t>пречишћавању</w:t>
      </w:r>
      <w:r w:rsidRPr="00E84C93">
        <w:rPr>
          <w:rFonts w:cs="Times New Roman"/>
          <w:szCs w:val="24"/>
          <w:lang w:val="sr-Cyrl-CS"/>
        </w:rPr>
        <w:t xml:space="preserve"> </w:t>
      </w:r>
      <w:r w:rsidR="005F006D" w:rsidRPr="00E84C93">
        <w:rPr>
          <w:rFonts w:cs="Times New Roman"/>
          <w:szCs w:val="24"/>
          <w:lang w:val="sr-Cyrl-CS"/>
        </w:rPr>
        <w:t>комуналних</w:t>
      </w:r>
      <w:r w:rsidRPr="00E84C93">
        <w:rPr>
          <w:rFonts w:cs="Times New Roman"/>
          <w:szCs w:val="24"/>
          <w:lang w:val="sr-Cyrl-CS"/>
        </w:rPr>
        <w:t xml:space="preserve"> отпадних вода, укључујући и интегрисање међународних обавеза и обавеза </w:t>
      </w:r>
      <w:r w:rsidR="005F006D" w:rsidRPr="00E84C93">
        <w:rPr>
          <w:rFonts w:cs="Times New Roman"/>
          <w:szCs w:val="24"/>
          <w:lang w:val="sr-Cyrl-CS"/>
        </w:rPr>
        <w:t>из директива</w:t>
      </w:r>
      <w:r w:rsidRPr="00E84C93">
        <w:rPr>
          <w:rFonts w:cs="Times New Roman"/>
          <w:szCs w:val="24"/>
          <w:lang w:val="sr-Cyrl-CS"/>
        </w:rPr>
        <w:t xml:space="preserve"> ЕУ.</w:t>
      </w:r>
    </w:p>
    <w:p w14:paraId="710F1871" w14:textId="7758A931" w:rsidR="005D1F52" w:rsidRPr="00E84C93" w:rsidRDefault="005D1F52" w:rsidP="005D1F52">
      <w:pPr>
        <w:spacing w:after="0"/>
        <w:ind w:firstLine="720"/>
        <w:jc w:val="both"/>
        <w:rPr>
          <w:rFonts w:cs="Times New Roman"/>
          <w:szCs w:val="24"/>
          <w:lang w:val="sr-Cyrl-CS"/>
        </w:rPr>
      </w:pPr>
      <w:r w:rsidRPr="00E84C93">
        <w:rPr>
          <w:rFonts w:cs="Times New Roman"/>
          <w:b/>
          <w:bCs/>
          <w:szCs w:val="24"/>
          <w:lang w:val="sr-Cyrl-CS"/>
        </w:rPr>
        <w:t>Републичк</w:t>
      </w:r>
      <w:r w:rsidR="000C2D47" w:rsidRPr="00E84C93">
        <w:rPr>
          <w:rFonts w:cs="Times New Roman"/>
          <w:b/>
          <w:bCs/>
          <w:szCs w:val="24"/>
          <w:lang w:val="sr-Cyrl-CS"/>
        </w:rPr>
        <w:t xml:space="preserve">а дирекција </w:t>
      </w:r>
      <w:r w:rsidRPr="00E84C93">
        <w:rPr>
          <w:rFonts w:cs="Times New Roman"/>
          <w:b/>
          <w:bCs/>
          <w:szCs w:val="24"/>
          <w:lang w:val="sr-Cyrl-CS"/>
        </w:rPr>
        <w:t>за вод</w:t>
      </w:r>
      <w:r w:rsidR="000C2D47" w:rsidRPr="00E84C93">
        <w:rPr>
          <w:rFonts w:cs="Times New Roman"/>
          <w:b/>
          <w:bCs/>
          <w:szCs w:val="24"/>
          <w:lang w:val="sr-Cyrl-CS"/>
        </w:rPr>
        <w:t>е</w:t>
      </w:r>
      <w:r w:rsidRPr="00E84C93">
        <w:rPr>
          <w:rFonts w:cs="Times New Roman"/>
          <w:szCs w:val="24"/>
          <w:lang w:val="sr-Cyrl-CS"/>
        </w:rPr>
        <w:t>, као</w:t>
      </w:r>
      <w:r w:rsidR="00A61448" w:rsidRPr="00E84C93">
        <w:rPr>
          <w:rFonts w:cs="Times New Roman"/>
          <w:szCs w:val="24"/>
          <w:lang w:val="sr-Cyrl-CS"/>
        </w:rPr>
        <w:t xml:space="preserve"> </w:t>
      </w:r>
      <w:r w:rsidR="00F279DE" w:rsidRPr="00E84C93">
        <w:rPr>
          <w:rFonts w:cs="Times New Roman"/>
          <w:szCs w:val="24"/>
          <w:lang w:val="sr-Cyrl-CS"/>
        </w:rPr>
        <w:t xml:space="preserve">орган </w:t>
      </w:r>
      <w:r w:rsidR="002A1F2A" w:rsidRPr="00E84C93">
        <w:rPr>
          <w:rFonts w:cs="Times New Roman"/>
          <w:szCs w:val="24"/>
          <w:lang w:val="sr-Cyrl-CS"/>
        </w:rPr>
        <w:t xml:space="preserve">управе </w:t>
      </w:r>
      <w:r w:rsidR="00F279DE" w:rsidRPr="00E84C93">
        <w:rPr>
          <w:rFonts w:cs="Times New Roman"/>
          <w:szCs w:val="24"/>
          <w:lang w:val="sr-Cyrl-CS"/>
        </w:rPr>
        <w:t>у саставу</w:t>
      </w:r>
      <w:r w:rsidRPr="00E84C93">
        <w:rPr>
          <w:rFonts w:cs="Times New Roman"/>
          <w:szCs w:val="24"/>
          <w:lang w:val="sr-Cyrl-CS"/>
        </w:rPr>
        <w:t xml:space="preserve"> </w:t>
      </w:r>
      <w:r w:rsidR="001C69C8" w:rsidRPr="00E84C93">
        <w:rPr>
          <w:rFonts w:cs="Times New Roman"/>
          <w:szCs w:val="24"/>
          <w:lang w:val="sr-Cyrl-CS"/>
        </w:rPr>
        <w:t>Министарства пољопривреде, шумарства и водопривреде</w:t>
      </w:r>
      <w:r w:rsidRPr="00E84C93">
        <w:rPr>
          <w:rFonts w:cs="Times New Roman"/>
          <w:szCs w:val="24"/>
          <w:lang w:val="sr-Cyrl-CS"/>
        </w:rPr>
        <w:t xml:space="preserve">, обавља задатке државне </w:t>
      </w:r>
      <w:r w:rsidR="00F279DE" w:rsidRPr="00E84C93">
        <w:rPr>
          <w:rFonts w:cs="Times New Roman"/>
          <w:szCs w:val="24"/>
          <w:lang w:val="sr-Cyrl-CS"/>
        </w:rPr>
        <w:t>управе</w:t>
      </w:r>
      <w:r w:rsidR="00A61448" w:rsidRPr="00E84C93">
        <w:rPr>
          <w:rFonts w:cs="Times New Roman"/>
          <w:szCs w:val="24"/>
          <w:lang w:val="sr-Cyrl-CS"/>
        </w:rPr>
        <w:t xml:space="preserve"> </w:t>
      </w:r>
      <w:r w:rsidRPr="00E84C93">
        <w:rPr>
          <w:rFonts w:cs="Times New Roman"/>
          <w:szCs w:val="24"/>
          <w:lang w:val="sr-Cyrl-CS"/>
        </w:rPr>
        <w:t>везане за: политику управљања водом; вишенаменску употребу воде; водоснабдевање, изузев дистрибуције воде; заштиту воде; имплементацију мера за заштиту воде и планирану рационализацију потрошње воде; регулацију режима воде; надзор и одржавање режима воде који чини и прелази границу Републике Србије; инспекцијски надзор у домену управљања водом, као и за друге послове предвиђене законом.</w:t>
      </w:r>
    </w:p>
    <w:p w14:paraId="1095F9E5" w14:textId="7A8105CE" w:rsidR="000C2D47" w:rsidRPr="00E84C93" w:rsidRDefault="000C2D47" w:rsidP="000C2D47">
      <w:pPr>
        <w:spacing w:after="0"/>
        <w:ind w:firstLine="720"/>
        <w:jc w:val="both"/>
        <w:rPr>
          <w:rFonts w:cs="Times New Roman"/>
          <w:szCs w:val="24"/>
          <w:lang w:val="sr-Cyrl-CS"/>
        </w:rPr>
      </w:pPr>
      <w:r w:rsidRPr="00E84C93">
        <w:rPr>
          <w:rFonts w:cs="Times New Roman"/>
          <w:szCs w:val="24"/>
          <w:lang w:val="sr-Cyrl-CS"/>
        </w:rPr>
        <w:t xml:space="preserve">Републичка дирекција за воде у оквиру </w:t>
      </w:r>
      <w:r w:rsidR="001C69C8" w:rsidRPr="00E84C93">
        <w:rPr>
          <w:rFonts w:cs="Times New Roman"/>
          <w:szCs w:val="24"/>
          <w:lang w:val="sr-Cyrl-CS"/>
        </w:rPr>
        <w:t xml:space="preserve">Министарства пољопривреде, шумарства и водопривреде </w:t>
      </w:r>
      <w:r w:rsidRPr="00E84C93">
        <w:rPr>
          <w:rFonts w:cs="Times New Roman"/>
          <w:szCs w:val="24"/>
          <w:lang w:val="sr-Cyrl-CS"/>
        </w:rPr>
        <w:t>одговор</w:t>
      </w:r>
      <w:r w:rsidR="00F279DE" w:rsidRPr="00E84C93">
        <w:rPr>
          <w:rFonts w:cs="Times New Roman"/>
          <w:szCs w:val="24"/>
          <w:lang w:val="sr-Cyrl-CS"/>
        </w:rPr>
        <w:t>а</w:t>
      </w:r>
      <w:r w:rsidRPr="00E84C93">
        <w:rPr>
          <w:rFonts w:cs="Times New Roman"/>
          <w:szCs w:val="24"/>
          <w:lang w:val="sr-Cyrl-CS"/>
        </w:rPr>
        <w:t>н је за питања везана за формулисање стратегије и политике деловања у домену управљања вод</w:t>
      </w:r>
      <w:r w:rsidR="00F279DE" w:rsidRPr="00E84C93">
        <w:rPr>
          <w:rFonts w:cs="Times New Roman"/>
          <w:szCs w:val="24"/>
          <w:lang w:val="sr-Cyrl-CS"/>
        </w:rPr>
        <w:t>ама</w:t>
      </w:r>
      <w:r w:rsidRPr="00E84C93">
        <w:rPr>
          <w:rFonts w:cs="Times New Roman"/>
          <w:szCs w:val="24"/>
          <w:lang w:val="sr-Cyrl-CS"/>
        </w:rPr>
        <w:t xml:space="preserve"> на националном нивоу, укључујући ту водоснабдевање и заштиту од загађења, као и надзор над имплементацијом управљања вод</w:t>
      </w:r>
      <w:r w:rsidR="002A1F2A" w:rsidRPr="00E84C93">
        <w:rPr>
          <w:rFonts w:cs="Times New Roman"/>
          <w:szCs w:val="24"/>
          <w:lang w:val="sr-Cyrl-CS"/>
        </w:rPr>
        <w:t>а</w:t>
      </w:r>
      <w:r w:rsidRPr="00E84C93">
        <w:rPr>
          <w:rFonts w:cs="Times New Roman"/>
          <w:szCs w:val="24"/>
          <w:lang w:val="sr-Cyrl-CS"/>
        </w:rPr>
        <w:t>м</w:t>
      </w:r>
      <w:r w:rsidR="002A1F2A" w:rsidRPr="00E84C93">
        <w:rPr>
          <w:rFonts w:cs="Times New Roman"/>
          <w:szCs w:val="24"/>
          <w:lang w:val="sr-Cyrl-CS"/>
        </w:rPr>
        <w:t>а</w:t>
      </w:r>
      <w:r w:rsidRPr="00E84C93">
        <w:rPr>
          <w:rFonts w:cs="Times New Roman"/>
          <w:szCs w:val="24"/>
          <w:lang w:val="sr-Cyrl-CS"/>
        </w:rPr>
        <w:t xml:space="preserve"> и политиком заштите вод</w:t>
      </w:r>
      <w:r w:rsidR="002A1F2A" w:rsidRPr="00E84C93">
        <w:rPr>
          <w:rFonts w:cs="Times New Roman"/>
          <w:szCs w:val="24"/>
          <w:lang w:val="sr-Cyrl-CS"/>
        </w:rPr>
        <w:t>а</w:t>
      </w:r>
      <w:r w:rsidRPr="00E84C93">
        <w:rPr>
          <w:rFonts w:cs="Times New Roman"/>
          <w:szCs w:val="24"/>
          <w:lang w:val="sr-Cyrl-CS"/>
        </w:rPr>
        <w:t>.</w:t>
      </w:r>
    </w:p>
    <w:p w14:paraId="64A0777E" w14:textId="7AB02B94" w:rsidR="000C2D47" w:rsidRPr="00E84C93" w:rsidRDefault="00170D3B" w:rsidP="000C2D47">
      <w:pPr>
        <w:spacing w:after="0"/>
        <w:ind w:firstLine="720"/>
        <w:jc w:val="both"/>
        <w:rPr>
          <w:rFonts w:cs="Times New Roman"/>
          <w:szCs w:val="24"/>
          <w:lang w:val="sr-Cyrl-CS"/>
        </w:rPr>
      </w:pPr>
      <w:r w:rsidRPr="00E84C93">
        <w:rPr>
          <w:rFonts w:cs="Times New Roman"/>
          <w:b/>
          <w:bCs/>
          <w:szCs w:val="24"/>
          <w:lang w:val="sr-Cyrl-CS"/>
        </w:rPr>
        <w:t xml:space="preserve">Управа </w:t>
      </w:r>
      <w:r w:rsidR="000C2D47" w:rsidRPr="00E84C93">
        <w:rPr>
          <w:rFonts w:cs="Times New Roman"/>
          <w:b/>
          <w:bCs/>
          <w:szCs w:val="24"/>
          <w:lang w:val="sr-Cyrl-CS"/>
        </w:rPr>
        <w:t>за пољопривредно земљиште</w:t>
      </w:r>
      <w:r w:rsidR="000C2D47" w:rsidRPr="00E84C93">
        <w:rPr>
          <w:rFonts w:cs="Times New Roman"/>
          <w:szCs w:val="24"/>
          <w:lang w:val="sr-Cyrl-CS"/>
        </w:rPr>
        <w:t xml:space="preserve"> је </w:t>
      </w:r>
      <w:r w:rsidR="00F279DE" w:rsidRPr="00E84C93">
        <w:rPr>
          <w:rFonts w:cs="Times New Roman"/>
          <w:szCs w:val="24"/>
          <w:lang w:val="sr-Cyrl-CS"/>
        </w:rPr>
        <w:t>орган</w:t>
      </w:r>
      <w:r w:rsidR="00827CA7" w:rsidRPr="00E84C93">
        <w:rPr>
          <w:rFonts w:cs="Times New Roman"/>
          <w:szCs w:val="24"/>
          <w:lang w:val="sr-Cyrl-CS"/>
        </w:rPr>
        <w:t xml:space="preserve"> управе</w:t>
      </w:r>
      <w:r w:rsidR="00F279DE" w:rsidRPr="00E84C93">
        <w:rPr>
          <w:rFonts w:cs="Times New Roman"/>
          <w:szCs w:val="24"/>
          <w:lang w:val="sr-Cyrl-CS"/>
        </w:rPr>
        <w:t xml:space="preserve"> </w:t>
      </w:r>
      <w:r w:rsidR="00827CA7" w:rsidRPr="00E84C93">
        <w:rPr>
          <w:rFonts w:cs="Times New Roman"/>
          <w:szCs w:val="24"/>
          <w:lang w:val="sr-Cyrl-CS"/>
        </w:rPr>
        <w:t xml:space="preserve">у саставу Министарства пољопривреде, шумарства и водопривреде </w:t>
      </w:r>
      <w:r w:rsidR="00F279DE" w:rsidRPr="00E84C93">
        <w:rPr>
          <w:rFonts w:cs="Times New Roman"/>
          <w:szCs w:val="24"/>
          <w:lang w:val="sr-Cyrl-CS"/>
        </w:rPr>
        <w:t>надлеж</w:t>
      </w:r>
      <w:r w:rsidR="00827CA7" w:rsidRPr="00E84C93">
        <w:rPr>
          <w:rFonts w:cs="Times New Roman"/>
          <w:szCs w:val="24"/>
          <w:lang w:val="sr-Cyrl-CS"/>
        </w:rPr>
        <w:t>на</w:t>
      </w:r>
      <w:r w:rsidR="00F279DE" w:rsidRPr="00E84C93">
        <w:rPr>
          <w:rFonts w:cs="Times New Roman"/>
          <w:szCs w:val="24"/>
          <w:lang w:val="sr-Cyrl-CS"/>
        </w:rPr>
        <w:t xml:space="preserve"> </w:t>
      </w:r>
      <w:r w:rsidR="000C2D47" w:rsidRPr="00E84C93">
        <w:rPr>
          <w:rFonts w:cs="Times New Roman"/>
          <w:szCs w:val="24"/>
          <w:lang w:val="sr-Cyrl-CS"/>
        </w:rPr>
        <w:t xml:space="preserve">за имплементацију </w:t>
      </w:r>
      <w:r w:rsidR="00A078B4" w:rsidRPr="00E84C93">
        <w:rPr>
          <w:rFonts w:cs="Times New Roman"/>
          <w:szCs w:val="24"/>
          <w:lang w:val="sr-Cyrl-CS"/>
        </w:rPr>
        <w:t>Директиве о заштити животне средине, а посебно земљишта, при коришћењу муља из постројења за пречишћавање отпадних вода у пољопривреди (</w:t>
      </w:r>
      <w:r w:rsidR="001C69C8" w:rsidRPr="00E84C93">
        <w:rPr>
          <w:rFonts w:cs="Times New Roman"/>
          <w:szCs w:val="24"/>
          <w:lang w:val="sr-Cyrl-CS"/>
        </w:rPr>
        <w:t>Директиве о муљу</w:t>
      </w:r>
      <w:r w:rsidR="00A078B4" w:rsidRPr="00E84C93">
        <w:rPr>
          <w:rFonts w:cs="Times New Roman"/>
          <w:szCs w:val="24"/>
          <w:lang w:val="sr-Cyrl-CS"/>
        </w:rPr>
        <w:t>)</w:t>
      </w:r>
      <w:r w:rsidR="002A1F2A" w:rsidRPr="00E84C93">
        <w:rPr>
          <w:rFonts w:cs="Times New Roman"/>
          <w:szCs w:val="24"/>
          <w:lang w:val="sr-Cyrl-CS"/>
        </w:rPr>
        <w:t xml:space="preserve"> у национално законодавство</w:t>
      </w:r>
      <w:r w:rsidR="000C2D47" w:rsidRPr="00E84C93">
        <w:rPr>
          <w:rFonts w:cs="Times New Roman"/>
          <w:szCs w:val="24"/>
          <w:lang w:val="sr-Cyrl-CS"/>
        </w:rPr>
        <w:t>.</w:t>
      </w:r>
    </w:p>
    <w:p w14:paraId="25E205DF" w14:textId="5E40870C" w:rsidR="005D1F52" w:rsidRPr="00E84C93" w:rsidRDefault="001C69C8" w:rsidP="005D1F52">
      <w:pPr>
        <w:spacing w:after="0"/>
        <w:ind w:firstLine="720"/>
        <w:jc w:val="both"/>
        <w:rPr>
          <w:rFonts w:cs="Times New Roman"/>
          <w:szCs w:val="24"/>
          <w:lang w:val="sr-Cyrl-CS"/>
        </w:rPr>
      </w:pPr>
      <w:r w:rsidRPr="00E84C93">
        <w:rPr>
          <w:rFonts w:cs="Times New Roman"/>
          <w:szCs w:val="24"/>
          <w:lang w:val="sr-Cyrl-CS"/>
        </w:rPr>
        <w:t>Министарство пољопривреде, шумарства и водопривреде</w:t>
      </w:r>
      <w:r w:rsidR="00827CA7" w:rsidRPr="00E84C93">
        <w:rPr>
          <w:rFonts w:cs="Times New Roman"/>
          <w:szCs w:val="24"/>
          <w:lang w:val="sr-Cyrl-CS"/>
        </w:rPr>
        <w:t>,</w:t>
      </w:r>
      <w:r w:rsidRPr="00E84C93">
        <w:rPr>
          <w:rFonts w:cs="Times New Roman"/>
          <w:szCs w:val="24"/>
          <w:lang w:val="sr-Cyrl-CS"/>
        </w:rPr>
        <w:t xml:space="preserve"> </w:t>
      </w:r>
      <w:r w:rsidR="005D1F52" w:rsidRPr="00E84C93">
        <w:rPr>
          <w:rFonts w:cs="Times New Roman"/>
          <w:szCs w:val="24"/>
          <w:lang w:val="sr-Cyrl-CS"/>
        </w:rPr>
        <w:t>такође</w:t>
      </w:r>
      <w:r w:rsidR="00827CA7" w:rsidRPr="00E84C93">
        <w:rPr>
          <w:rFonts w:cs="Times New Roman"/>
          <w:szCs w:val="24"/>
          <w:lang w:val="sr-Cyrl-CS"/>
        </w:rPr>
        <w:t>,</w:t>
      </w:r>
      <w:r w:rsidR="005D1F52" w:rsidRPr="00E84C93">
        <w:rPr>
          <w:rFonts w:cs="Times New Roman"/>
          <w:szCs w:val="24"/>
          <w:lang w:val="sr-Cyrl-CS"/>
        </w:rPr>
        <w:t xml:space="preserve"> обавља послове државне </w:t>
      </w:r>
      <w:r w:rsidR="00F279DE" w:rsidRPr="00E84C93">
        <w:rPr>
          <w:rFonts w:cs="Times New Roman"/>
          <w:szCs w:val="24"/>
          <w:lang w:val="sr-Cyrl-CS"/>
        </w:rPr>
        <w:t>управе</w:t>
      </w:r>
      <w:r w:rsidR="005D1F52" w:rsidRPr="00E84C93">
        <w:rPr>
          <w:rFonts w:cs="Times New Roman"/>
          <w:szCs w:val="24"/>
          <w:lang w:val="sr-Cyrl-CS"/>
        </w:rPr>
        <w:t xml:space="preserve"> везане за: управљање пољопривредним земљиштем у државном власништву; успостављање и одржавање информационог система о пољопривредном земљишту у Републици Србији; доделу финансијских средстава за обављање послова и надзирање имплементације годишњег програма за заштиту, уређивање и коришћење пољопривредног земљишта у Републици Србији; као за друге послове предвиђене законом.</w:t>
      </w:r>
      <w:r w:rsidR="00FC6BAA" w:rsidRPr="00E84C93">
        <w:rPr>
          <w:rFonts w:cs="Times New Roman"/>
          <w:szCs w:val="24"/>
          <w:lang w:val="sr-Cyrl-CS"/>
        </w:rPr>
        <w:t xml:space="preserve"> </w:t>
      </w:r>
    </w:p>
    <w:p w14:paraId="589D27B9" w14:textId="476CDC5B" w:rsidR="005D1F52" w:rsidRPr="00E84C93" w:rsidRDefault="00FC6BAA" w:rsidP="005D1F52">
      <w:pPr>
        <w:spacing w:after="0"/>
        <w:ind w:firstLine="720"/>
        <w:jc w:val="both"/>
        <w:rPr>
          <w:rFonts w:cs="Times New Roman"/>
          <w:szCs w:val="24"/>
          <w:lang w:val="sr-Cyrl-CS"/>
        </w:rPr>
      </w:pPr>
      <w:r w:rsidRPr="00E84C93">
        <w:rPr>
          <w:rFonts w:cs="Times New Roman"/>
          <w:b/>
          <w:szCs w:val="24"/>
          <w:lang w:val="sr-Cyrl-CS"/>
        </w:rPr>
        <w:t xml:space="preserve">Агенција </w:t>
      </w:r>
      <w:bookmarkStart w:id="8" w:name="_Hlk145927364"/>
      <w:r w:rsidRPr="00E84C93">
        <w:rPr>
          <w:rFonts w:cs="Times New Roman"/>
          <w:b/>
          <w:szCs w:val="24"/>
          <w:lang w:val="sr-Cyrl-CS"/>
        </w:rPr>
        <w:t>за заштиту животне средине</w:t>
      </w:r>
      <w:bookmarkEnd w:id="8"/>
      <w:r w:rsidRPr="00E84C93">
        <w:rPr>
          <w:rFonts w:cs="Times New Roman"/>
          <w:szCs w:val="24"/>
          <w:lang w:val="sr-Cyrl-CS"/>
        </w:rPr>
        <w:t>, као орган</w:t>
      </w:r>
      <w:r w:rsidR="00827CA7" w:rsidRPr="00E84C93">
        <w:rPr>
          <w:rFonts w:cs="Times New Roman"/>
          <w:szCs w:val="24"/>
          <w:lang w:val="sr-Cyrl-CS"/>
        </w:rPr>
        <w:t xml:space="preserve"> управе</w:t>
      </w:r>
      <w:r w:rsidR="00A61448" w:rsidRPr="00E84C93">
        <w:rPr>
          <w:rFonts w:cs="Times New Roman"/>
          <w:szCs w:val="24"/>
          <w:lang w:val="sr-Cyrl-CS"/>
        </w:rPr>
        <w:t xml:space="preserve"> </w:t>
      </w:r>
      <w:r w:rsidRPr="00E84C93">
        <w:rPr>
          <w:rFonts w:cs="Times New Roman"/>
          <w:szCs w:val="24"/>
          <w:lang w:val="sr-Cyrl-CS"/>
        </w:rPr>
        <w:t>у саставу Министарства</w:t>
      </w:r>
      <w:r w:rsidR="005D1F52" w:rsidRPr="00E84C93">
        <w:rPr>
          <w:rFonts w:cs="Times New Roman"/>
          <w:szCs w:val="24"/>
          <w:lang w:val="sr-Cyrl-CS"/>
        </w:rPr>
        <w:t xml:space="preserve"> заштите животне средине</w:t>
      </w:r>
      <w:r w:rsidRPr="00E84C93">
        <w:rPr>
          <w:rFonts w:cs="Times New Roman"/>
          <w:szCs w:val="24"/>
          <w:lang w:val="sr-Cyrl-CS"/>
        </w:rPr>
        <w:t xml:space="preserve"> са својством правног лица, </w:t>
      </w:r>
      <w:r w:rsidR="005D1F52" w:rsidRPr="00E84C93">
        <w:rPr>
          <w:rFonts w:cs="Times New Roman"/>
          <w:szCs w:val="24"/>
          <w:lang w:val="sr-Cyrl-CS"/>
        </w:rPr>
        <w:t xml:space="preserve">између осталог је одговорна за успостављање и функционисање националног информационог система за животну средину (за праћење стања животне средине, укључујући и регистре у области управљања водом). </w:t>
      </w:r>
      <w:r w:rsidR="005D1F52" w:rsidRPr="00E84C93">
        <w:rPr>
          <w:rFonts w:cs="Times New Roman"/>
          <w:szCs w:val="24"/>
          <w:lang w:val="sr-Cyrl-CS"/>
        </w:rPr>
        <w:lastRenderedPageBreak/>
        <w:t>Податке добијене од оператера и других укључених страна, конкретно, о токовима отпада и секундарним сировинама, Агенција</w:t>
      </w:r>
      <w:r w:rsidR="00E32A2E" w:rsidRPr="00E84C93">
        <w:rPr>
          <w:lang w:val="sr-Cyrl-CS"/>
        </w:rPr>
        <w:t xml:space="preserve"> </w:t>
      </w:r>
      <w:r w:rsidR="00E32A2E" w:rsidRPr="00E84C93">
        <w:rPr>
          <w:rFonts w:cs="Times New Roman"/>
          <w:szCs w:val="24"/>
          <w:lang w:val="sr-Cyrl-CS"/>
        </w:rPr>
        <w:t>за заштиту животне средине</w:t>
      </w:r>
      <w:r w:rsidR="005D1F52" w:rsidRPr="00E84C93">
        <w:rPr>
          <w:rFonts w:cs="Times New Roman"/>
          <w:szCs w:val="24"/>
          <w:lang w:val="sr-Cyrl-CS"/>
        </w:rPr>
        <w:t xml:space="preserve"> анализира и процењује, а потом их ставља на располагање и чини доступним Министарству</w:t>
      </w:r>
      <w:r w:rsidR="00E32A2E" w:rsidRPr="00E84C93">
        <w:rPr>
          <w:lang w:val="sr-Cyrl-CS"/>
        </w:rPr>
        <w:t xml:space="preserve"> </w:t>
      </w:r>
      <w:r w:rsidR="00E32A2E" w:rsidRPr="00E84C93">
        <w:rPr>
          <w:rFonts w:cs="Times New Roman"/>
          <w:szCs w:val="24"/>
          <w:lang w:val="sr-Cyrl-CS"/>
        </w:rPr>
        <w:t>заштите животне средине</w:t>
      </w:r>
      <w:r w:rsidR="005D1F52" w:rsidRPr="00E84C93">
        <w:rPr>
          <w:rFonts w:cs="Times New Roman"/>
          <w:szCs w:val="24"/>
          <w:lang w:val="sr-Cyrl-CS"/>
        </w:rPr>
        <w:t xml:space="preserve"> у електронском формату као основу за даље национално извештавање или политичке одлуке. Поред тога, Агенција</w:t>
      </w:r>
      <w:r w:rsidR="00E32A2E" w:rsidRPr="00E84C93">
        <w:rPr>
          <w:lang w:val="sr-Cyrl-CS"/>
        </w:rPr>
        <w:t xml:space="preserve"> </w:t>
      </w:r>
      <w:r w:rsidR="00E32A2E" w:rsidRPr="00E84C93">
        <w:rPr>
          <w:rFonts w:cs="Times New Roman"/>
          <w:szCs w:val="24"/>
          <w:lang w:val="sr-Cyrl-CS"/>
        </w:rPr>
        <w:t>за заштиту животне средине</w:t>
      </w:r>
      <w:r w:rsidR="005D1F52" w:rsidRPr="00E84C93">
        <w:rPr>
          <w:rFonts w:cs="Times New Roman"/>
          <w:szCs w:val="24"/>
          <w:lang w:val="sr-Cyrl-CS"/>
        </w:rPr>
        <w:t xml:space="preserve"> се стара о информацијама о најбољим расположивим техникама и праксама, те о њиховој примени у области заштите животне средине. Агенција </w:t>
      </w:r>
      <w:r w:rsidR="00E32A2E" w:rsidRPr="00E84C93">
        <w:rPr>
          <w:rFonts w:cs="Times New Roman"/>
          <w:szCs w:val="24"/>
          <w:lang w:val="sr-Cyrl-CS"/>
        </w:rPr>
        <w:t xml:space="preserve">за заштиту животне средине </w:t>
      </w:r>
      <w:r w:rsidR="005D1F52" w:rsidRPr="00E84C93">
        <w:rPr>
          <w:rFonts w:cs="Times New Roman"/>
          <w:szCs w:val="24"/>
          <w:lang w:val="sr-Cyrl-CS"/>
        </w:rPr>
        <w:t>је одговорна</w:t>
      </w:r>
      <w:r w:rsidR="00A61448" w:rsidRPr="00E84C93">
        <w:rPr>
          <w:rFonts w:cs="Times New Roman"/>
          <w:szCs w:val="24"/>
          <w:lang w:val="sr-Cyrl-CS"/>
        </w:rPr>
        <w:t xml:space="preserve"> </w:t>
      </w:r>
      <w:r w:rsidR="00F279DE" w:rsidRPr="00E84C93">
        <w:rPr>
          <w:rFonts w:cs="Times New Roman"/>
          <w:szCs w:val="24"/>
          <w:lang w:val="sr-Cyrl-CS"/>
        </w:rPr>
        <w:t>за испу</w:t>
      </w:r>
      <w:r w:rsidR="008C3BC9" w:rsidRPr="00E84C93">
        <w:rPr>
          <w:rFonts w:cs="Times New Roman"/>
          <w:szCs w:val="24"/>
          <w:lang w:val="sr-Cyrl-CS"/>
        </w:rPr>
        <w:t>њ</w:t>
      </w:r>
      <w:r w:rsidR="00F279DE" w:rsidRPr="00E84C93">
        <w:rPr>
          <w:rFonts w:cs="Times New Roman"/>
          <w:szCs w:val="24"/>
          <w:lang w:val="sr-Cyrl-CS"/>
        </w:rPr>
        <w:t>авање</w:t>
      </w:r>
      <w:r w:rsidR="005D1F52" w:rsidRPr="00E84C93">
        <w:rPr>
          <w:rFonts w:cs="Times New Roman"/>
          <w:szCs w:val="24"/>
          <w:lang w:val="sr-Cyrl-CS"/>
        </w:rPr>
        <w:t xml:space="preserve"> европски</w:t>
      </w:r>
      <w:r w:rsidR="00F279DE" w:rsidRPr="00E84C93">
        <w:rPr>
          <w:rFonts w:cs="Times New Roman"/>
          <w:szCs w:val="24"/>
          <w:lang w:val="sr-Cyrl-CS"/>
        </w:rPr>
        <w:t>х</w:t>
      </w:r>
      <w:r w:rsidR="005D1F52" w:rsidRPr="00E84C93">
        <w:rPr>
          <w:rFonts w:cs="Times New Roman"/>
          <w:szCs w:val="24"/>
          <w:lang w:val="sr-Cyrl-CS"/>
        </w:rPr>
        <w:t xml:space="preserve"> и међународни</w:t>
      </w:r>
      <w:r w:rsidR="00F279DE" w:rsidRPr="00E84C93">
        <w:rPr>
          <w:rFonts w:cs="Times New Roman"/>
          <w:szCs w:val="24"/>
          <w:lang w:val="sr-Cyrl-CS"/>
        </w:rPr>
        <w:t>х</w:t>
      </w:r>
      <w:r w:rsidR="005D1F52" w:rsidRPr="00E84C93">
        <w:rPr>
          <w:rFonts w:cs="Times New Roman"/>
          <w:szCs w:val="24"/>
          <w:lang w:val="sr-Cyrl-CS"/>
        </w:rPr>
        <w:t xml:space="preserve"> обавеза у погледу извештавања о сектору управљања отпадом, а такође сарађује са Европском агенцијом за животну средину и са Европском мрежом за информисање и посматрање (ЕИОНЕТ).</w:t>
      </w:r>
    </w:p>
    <w:p w14:paraId="053519EE" w14:textId="07B3A0E5" w:rsidR="005D1F52" w:rsidRPr="00E84C93" w:rsidRDefault="005D1F52" w:rsidP="005D1F52">
      <w:pPr>
        <w:spacing w:after="0"/>
        <w:ind w:firstLine="720"/>
        <w:jc w:val="both"/>
        <w:rPr>
          <w:rFonts w:cs="Times New Roman"/>
          <w:szCs w:val="24"/>
          <w:lang w:val="sr-Cyrl-CS"/>
        </w:rPr>
      </w:pPr>
      <w:r w:rsidRPr="00E84C93">
        <w:rPr>
          <w:rFonts w:cs="Times New Roman"/>
          <w:b/>
          <w:bCs/>
          <w:szCs w:val="24"/>
          <w:lang w:val="sr-Cyrl-CS"/>
        </w:rPr>
        <w:t>Министарство грађевинарства, саобраћаја и инфраструктуре</w:t>
      </w:r>
      <w:r w:rsidRPr="00E84C93">
        <w:rPr>
          <w:rFonts w:cs="Times New Roman"/>
          <w:szCs w:val="24"/>
          <w:lang w:val="sr-Cyrl-CS"/>
        </w:rPr>
        <w:t xml:space="preserve"> је надлежни орган </w:t>
      </w:r>
      <w:r w:rsidR="00BA3A91" w:rsidRPr="00E84C93">
        <w:rPr>
          <w:rFonts w:cs="Times New Roman"/>
          <w:szCs w:val="24"/>
          <w:lang w:val="sr-Cyrl-CS"/>
        </w:rPr>
        <w:t>државне управе</w:t>
      </w:r>
      <w:r w:rsidRPr="00E84C93">
        <w:rPr>
          <w:rFonts w:cs="Times New Roman"/>
          <w:szCs w:val="24"/>
          <w:lang w:val="sr-Cyrl-CS"/>
        </w:rPr>
        <w:t xml:space="preserve"> за управљање планирањем и грађевинарством у сврху издавања грађевинских дозвола за изградњу објеката прописаних </w:t>
      </w:r>
      <w:r w:rsidR="00BA3A91" w:rsidRPr="00E84C93">
        <w:rPr>
          <w:rFonts w:cs="Times New Roman"/>
          <w:szCs w:val="24"/>
          <w:lang w:val="sr-Cyrl-CS"/>
        </w:rPr>
        <w:t>ч</w:t>
      </w:r>
      <w:r w:rsidRPr="00E84C93">
        <w:rPr>
          <w:rFonts w:cs="Times New Roman"/>
          <w:szCs w:val="24"/>
          <w:lang w:val="sr-Cyrl-CS"/>
        </w:rPr>
        <w:t xml:space="preserve">ланом 133. </w:t>
      </w:r>
      <w:r w:rsidR="00BA3A91" w:rsidRPr="00E84C93">
        <w:rPr>
          <w:rFonts w:cs="Times New Roman"/>
          <w:szCs w:val="24"/>
          <w:lang w:val="sr-Cyrl-CS"/>
        </w:rPr>
        <w:t xml:space="preserve">Закона о планирању и изградњи за </w:t>
      </w:r>
      <w:r w:rsidRPr="00E84C93">
        <w:rPr>
          <w:rFonts w:cs="Times New Roman"/>
          <w:szCs w:val="24"/>
          <w:lang w:val="sr-Cyrl-CS"/>
        </w:rPr>
        <w:t xml:space="preserve">постројења која се могу користити за управљање муљем и која спадају у домен одговорности </w:t>
      </w:r>
      <w:r w:rsidR="001C69C8" w:rsidRPr="00E84C93">
        <w:rPr>
          <w:rFonts w:cs="Times New Roman"/>
          <w:szCs w:val="24"/>
          <w:lang w:val="sr-Cyrl-CS"/>
        </w:rPr>
        <w:t>Министарства грађевинарства, саобраћаја и инфраструктуре</w:t>
      </w:r>
      <w:r w:rsidR="005D34D6" w:rsidRPr="00E84C93">
        <w:rPr>
          <w:rFonts w:cs="Times New Roman"/>
          <w:szCs w:val="24"/>
          <w:lang w:val="sr-Cyrl-CS"/>
        </w:rPr>
        <w:t>. Наведено се</w:t>
      </w:r>
      <w:r w:rsidRPr="00E84C93">
        <w:rPr>
          <w:rFonts w:cs="Times New Roman"/>
          <w:szCs w:val="24"/>
          <w:lang w:val="sr-Cyrl-CS"/>
        </w:rPr>
        <w:t xml:space="preserve"> односи на следеће објекте: </w:t>
      </w:r>
    </w:p>
    <w:p w14:paraId="61306AC5" w14:textId="0F974A4C" w:rsidR="005D1F52" w:rsidRPr="00E84C93" w:rsidRDefault="000D7403" w:rsidP="005D1F52">
      <w:pPr>
        <w:spacing w:after="0"/>
        <w:ind w:firstLine="720"/>
        <w:jc w:val="both"/>
        <w:rPr>
          <w:rFonts w:cs="Times New Roman"/>
          <w:szCs w:val="24"/>
          <w:lang w:val="sr-Cyrl-CS"/>
        </w:rPr>
      </w:pPr>
      <w:r w:rsidRPr="00E84C93">
        <w:rPr>
          <w:rFonts w:cs="Times New Roman"/>
          <w:szCs w:val="24"/>
          <w:lang w:val="sr-Cyrl-CS"/>
        </w:rPr>
        <w:t>1</w:t>
      </w:r>
      <w:r w:rsidR="005D1F52" w:rsidRPr="00E84C93">
        <w:rPr>
          <w:rFonts w:cs="Times New Roman"/>
          <w:szCs w:val="24"/>
          <w:lang w:val="sr-Cyrl-CS"/>
        </w:rPr>
        <w:t>) термоелектране снаге 10 МW и више, термоелектране-топлане снаге 10 МW и више, као и друга постројења снаге 10МW и више, те електрични водови и трансформатори волтаже 110 km и више</w:t>
      </w:r>
      <w:r w:rsidRPr="00E84C93">
        <w:rPr>
          <w:rFonts w:cs="Times New Roman"/>
          <w:szCs w:val="24"/>
          <w:lang w:val="sr-Cyrl-CS"/>
        </w:rPr>
        <w:t xml:space="preserve"> (члан 133. став 2. тачка 6)</w:t>
      </w:r>
      <w:r w:rsidR="00A639E9" w:rsidRPr="00E84C93">
        <w:rPr>
          <w:rFonts w:cs="Times New Roman"/>
          <w:szCs w:val="24"/>
          <w:lang w:val="sr-Cyrl-CS"/>
        </w:rPr>
        <w:t>;</w:t>
      </w:r>
    </w:p>
    <w:p w14:paraId="197CE0F5" w14:textId="5967D177" w:rsidR="005D1F52" w:rsidRPr="00E84C93" w:rsidRDefault="000D7403" w:rsidP="005D1F52">
      <w:pPr>
        <w:spacing w:after="0"/>
        <w:ind w:firstLine="720"/>
        <w:jc w:val="both"/>
        <w:rPr>
          <w:rFonts w:cs="Times New Roman"/>
          <w:szCs w:val="24"/>
          <w:lang w:val="sr-Cyrl-CS"/>
        </w:rPr>
      </w:pPr>
      <w:r w:rsidRPr="00E84C93">
        <w:rPr>
          <w:rFonts w:cs="Times New Roman"/>
          <w:szCs w:val="24"/>
          <w:lang w:val="sr-Cyrl-CS"/>
        </w:rPr>
        <w:t>2</w:t>
      </w:r>
      <w:r w:rsidR="005D1F52" w:rsidRPr="00E84C93">
        <w:rPr>
          <w:rFonts w:cs="Times New Roman"/>
          <w:szCs w:val="24"/>
          <w:lang w:val="sr-Cyrl-CS"/>
        </w:rPr>
        <w:t xml:space="preserve">) постројења за међурегионално и регионално водоснабдевање и канализацију, постројења за припрему пијаће воде капацитета већег од 200 </w:t>
      </w:r>
      <w:r w:rsidR="00357684" w:rsidRPr="00E84C93">
        <w:rPr>
          <w:rFonts w:cs="Times New Roman"/>
          <w:szCs w:val="24"/>
          <w:lang w:val="sr-Cyrl-CS"/>
        </w:rPr>
        <w:t xml:space="preserve">l/s </w:t>
      </w:r>
      <w:r w:rsidR="005D1F52" w:rsidRPr="00E84C93">
        <w:rPr>
          <w:rFonts w:cs="Times New Roman"/>
          <w:szCs w:val="24"/>
          <w:lang w:val="sr-Cyrl-CS"/>
        </w:rPr>
        <w:t xml:space="preserve">и постројења </w:t>
      </w:r>
      <w:r w:rsidR="0016531B" w:rsidRPr="00E84C93">
        <w:rPr>
          <w:rFonts w:cs="Times New Roman"/>
          <w:szCs w:val="24"/>
          <w:lang w:val="sr-Cyrl-CS"/>
        </w:rPr>
        <w:t>за пречишћавање отпадних вода</w:t>
      </w:r>
      <w:r w:rsidR="005D1F52" w:rsidRPr="00E84C93">
        <w:rPr>
          <w:rFonts w:cs="Times New Roman"/>
          <w:szCs w:val="24"/>
          <w:lang w:val="sr-Cyrl-CS"/>
        </w:rPr>
        <w:t xml:space="preserve"> капацитета већег од 200 l/s</w:t>
      </w:r>
      <w:r w:rsidRPr="00E84C93">
        <w:rPr>
          <w:rFonts w:cs="Times New Roman"/>
          <w:szCs w:val="24"/>
          <w:lang w:val="sr-Cyrl-CS"/>
        </w:rPr>
        <w:t xml:space="preserve"> (члан 133. став 2. тачка 7)</w:t>
      </w:r>
      <w:r w:rsidR="00A639E9" w:rsidRPr="00E84C93">
        <w:rPr>
          <w:rFonts w:cs="Times New Roman"/>
          <w:szCs w:val="24"/>
          <w:lang w:val="sr-Cyrl-CS"/>
        </w:rPr>
        <w:t>;</w:t>
      </w:r>
    </w:p>
    <w:p w14:paraId="66CEE53A" w14:textId="75885BF4" w:rsidR="005D1F52" w:rsidRPr="00E84C93" w:rsidRDefault="000D7403" w:rsidP="005D1F52">
      <w:pPr>
        <w:spacing w:after="0"/>
        <w:ind w:firstLine="720"/>
        <w:jc w:val="both"/>
        <w:rPr>
          <w:rFonts w:cs="Times New Roman"/>
          <w:szCs w:val="24"/>
          <w:lang w:val="sr-Cyrl-CS"/>
        </w:rPr>
      </w:pPr>
      <w:r w:rsidRPr="00E84C93">
        <w:rPr>
          <w:rFonts w:cs="Times New Roman"/>
          <w:szCs w:val="24"/>
          <w:lang w:val="sr-Cyrl-CS"/>
        </w:rPr>
        <w:t>3</w:t>
      </w:r>
      <w:r w:rsidR="005D1F52" w:rsidRPr="00E84C93">
        <w:rPr>
          <w:rFonts w:cs="Times New Roman"/>
          <w:szCs w:val="24"/>
          <w:lang w:val="sr-Cyrl-CS"/>
        </w:rPr>
        <w:t>) постројења за</w:t>
      </w:r>
      <w:r w:rsidR="00396006" w:rsidRPr="00E84C93">
        <w:rPr>
          <w:rFonts w:cs="Times New Roman"/>
          <w:szCs w:val="24"/>
          <w:lang w:val="sr-Cyrl-CS"/>
        </w:rPr>
        <w:t xml:space="preserve"> </w:t>
      </w:r>
      <w:r w:rsidR="005D1F52" w:rsidRPr="00E84C93">
        <w:rPr>
          <w:rFonts w:cs="Times New Roman"/>
          <w:szCs w:val="24"/>
          <w:lang w:val="sr-Cyrl-CS"/>
        </w:rPr>
        <w:t xml:space="preserve">третман </w:t>
      </w:r>
      <w:r w:rsidRPr="00E84C93">
        <w:rPr>
          <w:rFonts w:cs="Times New Roman"/>
          <w:szCs w:val="24"/>
          <w:lang w:val="sr-Cyrl-CS"/>
        </w:rPr>
        <w:t xml:space="preserve">неопасног </w:t>
      </w:r>
      <w:r w:rsidR="005D1F52" w:rsidRPr="00E84C93">
        <w:rPr>
          <w:rFonts w:cs="Times New Roman"/>
          <w:szCs w:val="24"/>
          <w:lang w:val="sr-Cyrl-CS"/>
        </w:rPr>
        <w:t>отпада спаљивањем</w:t>
      </w:r>
      <w:r w:rsidRPr="00E84C93">
        <w:rPr>
          <w:rFonts w:cs="Times New Roman"/>
          <w:szCs w:val="24"/>
          <w:lang w:val="sr-Cyrl-CS"/>
        </w:rPr>
        <w:t xml:space="preserve">, </w:t>
      </w:r>
      <w:r w:rsidR="005D1F52" w:rsidRPr="00E84C93">
        <w:rPr>
          <w:rFonts w:cs="Times New Roman"/>
          <w:szCs w:val="24"/>
          <w:lang w:val="sr-Cyrl-CS"/>
        </w:rPr>
        <w:t xml:space="preserve"> или хемијским п</w:t>
      </w:r>
      <w:r w:rsidRPr="00E84C93">
        <w:rPr>
          <w:rFonts w:cs="Times New Roman"/>
          <w:szCs w:val="24"/>
          <w:lang w:val="sr-Cyrl-CS"/>
        </w:rPr>
        <w:t>оступцима</w:t>
      </w:r>
      <w:r w:rsidR="005D1F52" w:rsidRPr="00E84C93">
        <w:rPr>
          <w:rFonts w:cs="Times New Roman"/>
          <w:szCs w:val="24"/>
          <w:lang w:val="sr-Cyrl-CS"/>
        </w:rPr>
        <w:t xml:space="preserve"> капацитета в</w:t>
      </w:r>
      <w:r w:rsidRPr="00E84C93">
        <w:rPr>
          <w:rFonts w:cs="Times New Roman"/>
          <w:szCs w:val="24"/>
          <w:lang w:val="sr-Cyrl-CS"/>
        </w:rPr>
        <w:t xml:space="preserve">ише </w:t>
      </w:r>
      <w:r w:rsidR="005D1F52" w:rsidRPr="00E84C93">
        <w:rPr>
          <w:rFonts w:cs="Times New Roman"/>
          <w:szCs w:val="24"/>
          <w:lang w:val="sr-Cyrl-CS"/>
        </w:rPr>
        <w:t xml:space="preserve">од 70 </w:t>
      </w:r>
      <w:r w:rsidR="00357684" w:rsidRPr="00E84C93">
        <w:rPr>
          <w:rFonts w:cs="Times New Roman"/>
          <w:szCs w:val="24"/>
          <w:lang w:val="sr-Cyrl-CS"/>
        </w:rPr>
        <w:t>t</w:t>
      </w:r>
      <w:r w:rsidR="005D1F52" w:rsidRPr="00E84C93">
        <w:rPr>
          <w:rFonts w:cs="Times New Roman"/>
          <w:szCs w:val="24"/>
          <w:lang w:val="sr-Cyrl-CS"/>
        </w:rPr>
        <w:t xml:space="preserve"> </w:t>
      </w:r>
      <w:r w:rsidRPr="00E84C93">
        <w:rPr>
          <w:rFonts w:cs="Times New Roman"/>
          <w:szCs w:val="24"/>
          <w:lang w:val="sr-Cyrl-CS"/>
        </w:rPr>
        <w:t>дневно (члан 133. став 2.</w:t>
      </w:r>
      <w:r w:rsidR="00A639E9" w:rsidRPr="00E84C93">
        <w:rPr>
          <w:rFonts w:cs="Times New Roman"/>
          <w:szCs w:val="24"/>
          <w:lang w:val="sr-Cyrl-CS"/>
        </w:rPr>
        <w:t xml:space="preserve"> тачка 10</w:t>
      </w:r>
      <w:r w:rsidRPr="00E84C93">
        <w:rPr>
          <w:rFonts w:cs="Times New Roman"/>
          <w:szCs w:val="24"/>
          <w:lang w:val="sr-Cyrl-CS"/>
        </w:rPr>
        <w:t>)</w:t>
      </w:r>
      <w:r w:rsidR="00A639E9" w:rsidRPr="00E84C93">
        <w:rPr>
          <w:rFonts w:cs="Times New Roman"/>
          <w:szCs w:val="24"/>
          <w:lang w:val="sr-Cyrl-CS"/>
        </w:rPr>
        <w:t>;</w:t>
      </w:r>
    </w:p>
    <w:p w14:paraId="2A3CD430" w14:textId="31F73403" w:rsidR="005D1F52" w:rsidRPr="00E84C93" w:rsidRDefault="000D7403" w:rsidP="005D1F52">
      <w:pPr>
        <w:spacing w:after="0"/>
        <w:ind w:firstLine="720"/>
        <w:jc w:val="both"/>
        <w:rPr>
          <w:rFonts w:cs="Times New Roman"/>
          <w:szCs w:val="24"/>
          <w:lang w:val="sr-Cyrl-CS"/>
        </w:rPr>
      </w:pPr>
      <w:r w:rsidRPr="00E84C93">
        <w:rPr>
          <w:rFonts w:cs="Times New Roman"/>
          <w:szCs w:val="24"/>
          <w:lang w:val="sr-Cyrl-CS"/>
        </w:rPr>
        <w:t>4</w:t>
      </w:r>
      <w:r w:rsidR="005D1F52" w:rsidRPr="00E84C93">
        <w:rPr>
          <w:rFonts w:cs="Times New Roman"/>
          <w:szCs w:val="24"/>
          <w:lang w:val="sr-Cyrl-CS"/>
        </w:rPr>
        <w:t xml:space="preserve">) постројења за третман опасног отпада спаљивањем </w:t>
      </w:r>
      <w:r w:rsidRPr="00E84C93">
        <w:rPr>
          <w:rFonts w:cs="Times New Roman"/>
          <w:szCs w:val="24"/>
          <w:lang w:val="sr-Cyrl-CS"/>
        </w:rPr>
        <w:t xml:space="preserve">термичким </w:t>
      </w:r>
      <w:r w:rsidR="005D1F52" w:rsidRPr="00E84C93">
        <w:rPr>
          <w:rFonts w:cs="Times New Roman"/>
          <w:szCs w:val="24"/>
          <w:lang w:val="sr-Cyrl-CS"/>
        </w:rPr>
        <w:t>и/или физичким, физичко-хемијским и хемијским п</w:t>
      </w:r>
      <w:r w:rsidRPr="00E84C93">
        <w:rPr>
          <w:rFonts w:cs="Times New Roman"/>
          <w:szCs w:val="24"/>
          <w:lang w:val="sr-Cyrl-CS"/>
        </w:rPr>
        <w:t>оступцима</w:t>
      </w:r>
      <w:r w:rsidR="005D1F52" w:rsidRPr="00E84C93">
        <w:rPr>
          <w:rFonts w:cs="Times New Roman"/>
          <w:szCs w:val="24"/>
          <w:lang w:val="sr-Cyrl-CS"/>
        </w:rPr>
        <w:t xml:space="preserve">, као и </w:t>
      </w:r>
      <w:r w:rsidRPr="00E84C93">
        <w:rPr>
          <w:rFonts w:cs="Times New Roman"/>
          <w:szCs w:val="24"/>
          <w:lang w:val="sr-Cyrl-CS"/>
        </w:rPr>
        <w:t xml:space="preserve">складишта опасног отпада </w:t>
      </w:r>
      <w:r w:rsidR="005D1F52" w:rsidRPr="00E84C93">
        <w:rPr>
          <w:rFonts w:cs="Times New Roman"/>
          <w:szCs w:val="24"/>
          <w:lang w:val="sr-Cyrl-CS"/>
        </w:rPr>
        <w:t>и/или депоније за складиштење опасног отпада</w:t>
      </w:r>
      <w:r w:rsidRPr="00E84C93">
        <w:rPr>
          <w:rFonts w:cs="Times New Roman"/>
          <w:szCs w:val="24"/>
          <w:lang w:val="sr-Cyrl-CS"/>
        </w:rPr>
        <w:t xml:space="preserve"> (члан 133. став 2. тачка 11)</w:t>
      </w:r>
      <w:r w:rsidR="00A639E9" w:rsidRPr="00E84C93">
        <w:rPr>
          <w:rFonts w:cs="Times New Roman"/>
          <w:szCs w:val="24"/>
          <w:lang w:val="sr-Cyrl-CS"/>
        </w:rPr>
        <w:t>;</w:t>
      </w:r>
    </w:p>
    <w:p w14:paraId="7AA50169" w14:textId="31B424CE" w:rsidR="005D1F52" w:rsidRPr="00E84C93" w:rsidRDefault="000D7403" w:rsidP="005D1F52">
      <w:pPr>
        <w:spacing w:after="0"/>
        <w:ind w:firstLine="720"/>
        <w:jc w:val="both"/>
        <w:rPr>
          <w:rFonts w:cs="Times New Roman"/>
          <w:szCs w:val="24"/>
          <w:lang w:val="sr-Cyrl-CS"/>
        </w:rPr>
      </w:pPr>
      <w:r w:rsidRPr="00E84C93">
        <w:rPr>
          <w:rFonts w:cs="Times New Roman"/>
          <w:szCs w:val="24"/>
          <w:lang w:val="sr-Cyrl-CS"/>
        </w:rPr>
        <w:t>5</w:t>
      </w:r>
      <w:r w:rsidR="005D1F52" w:rsidRPr="00E84C93">
        <w:rPr>
          <w:rFonts w:cs="Times New Roman"/>
          <w:szCs w:val="24"/>
          <w:lang w:val="sr-Cyrl-CS"/>
        </w:rPr>
        <w:t xml:space="preserve">) регионалне депоније, односно депоније за </w:t>
      </w:r>
      <w:r w:rsidRPr="00E84C93">
        <w:rPr>
          <w:rFonts w:cs="Times New Roman"/>
          <w:szCs w:val="24"/>
          <w:lang w:val="sr-Cyrl-CS"/>
        </w:rPr>
        <w:t>одлагање неопасног</w:t>
      </w:r>
      <w:r w:rsidR="005D1F52" w:rsidRPr="00E84C93">
        <w:rPr>
          <w:rFonts w:cs="Times New Roman"/>
          <w:szCs w:val="24"/>
          <w:lang w:val="sr-Cyrl-CS"/>
        </w:rPr>
        <w:t xml:space="preserve"> отпада за </w:t>
      </w:r>
      <w:r w:rsidRPr="00E84C93">
        <w:rPr>
          <w:rFonts w:cs="Times New Roman"/>
          <w:szCs w:val="24"/>
          <w:lang w:val="sr-Cyrl-CS"/>
        </w:rPr>
        <w:t>подручје настањено са преко</w:t>
      </w:r>
      <w:r w:rsidR="005D1F52" w:rsidRPr="00E84C93">
        <w:rPr>
          <w:rFonts w:cs="Times New Roman"/>
          <w:szCs w:val="24"/>
          <w:lang w:val="sr-Cyrl-CS"/>
        </w:rPr>
        <w:t xml:space="preserve"> 200.000 становника</w:t>
      </w:r>
      <w:r w:rsidRPr="00E84C93">
        <w:rPr>
          <w:rFonts w:cs="Times New Roman"/>
          <w:szCs w:val="24"/>
          <w:lang w:val="sr-Cyrl-CS"/>
        </w:rPr>
        <w:t xml:space="preserve"> (члан 133. став 2. тачка 19).</w:t>
      </w:r>
    </w:p>
    <w:p w14:paraId="27342064" w14:textId="14419910" w:rsidR="005D1F52" w:rsidRPr="00E84C93" w:rsidRDefault="005D1F52" w:rsidP="005D1F52">
      <w:pPr>
        <w:spacing w:after="0"/>
        <w:ind w:firstLine="720"/>
        <w:jc w:val="both"/>
        <w:rPr>
          <w:rFonts w:cs="Times New Roman"/>
          <w:szCs w:val="24"/>
          <w:lang w:val="sr-Cyrl-CS"/>
        </w:rPr>
      </w:pPr>
      <w:r w:rsidRPr="00E84C93">
        <w:rPr>
          <w:rFonts w:cs="Times New Roman"/>
          <w:b/>
          <w:bCs/>
          <w:szCs w:val="24"/>
          <w:lang w:val="sr-Cyrl-CS"/>
        </w:rPr>
        <w:t>Министарство државне управе и локалне самоуправе</w:t>
      </w:r>
      <w:r w:rsidR="00675A3D" w:rsidRPr="00E84C93">
        <w:rPr>
          <w:rFonts w:cs="Times New Roman"/>
          <w:szCs w:val="24"/>
          <w:lang w:val="sr-Cyrl-CS"/>
        </w:rPr>
        <w:t xml:space="preserve"> </w:t>
      </w:r>
      <w:r w:rsidRPr="00E84C93">
        <w:rPr>
          <w:rFonts w:cs="Times New Roman"/>
          <w:szCs w:val="24"/>
          <w:lang w:val="sr-Cyrl-CS"/>
        </w:rPr>
        <w:t xml:space="preserve">спроводи надзор над јединицама локалне самоуправе које управљају јавним комуналним предузећима за водоснабдевање. </w:t>
      </w:r>
    </w:p>
    <w:p w14:paraId="604F26AC" w14:textId="359CA540" w:rsidR="005D1F52" w:rsidRPr="00E84C93" w:rsidRDefault="005D1F52" w:rsidP="005D1F52">
      <w:pPr>
        <w:spacing w:after="0"/>
        <w:ind w:firstLine="720"/>
        <w:jc w:val="both"/>
        <w:rPr>
          <w:rFonts w:cs="Times New Roman"/>
          <w:szCs w:val="24"/>
          <w:lang w:val="sr-Cyrl-CS"/>
        </w:rPr>
      </w:pPr>
      <w:r w:rsidRPr="00E84C93">
        <w:rPr>
          <w:rFonts w:cs="Times New Roman"/>
          <w:b/>
          <w:bCs/>
          <w:szCs w:val="24"/>
          <w:lang w:val="sr-Cyrl-CS"/>
        </w:rPr>
        <w:t>Министарство финансија</w:t>
      </w:r>
      <w:r w:rsidRPr="00E84C93">
        <w:rPr>
          <w:rFonts w:cs="Times New Roman"/>
          <w:szCs w:val="24"/>
          <w:lang w:val="sr-Cyrl-CS"/>
        </w:rPr>
        <w:t xml:space="preserve"> одговорно је за завршну контролу </w:t>
      </w:r>
      <w:r w:rsidR="00F42CB1" w:rsidRPr="00E84C93">
        <w:rPr>
          <w:rFonts w:cs="Times New Roman"/>
          <w:szCs w:val="24"/>
          <w:lang w:val="sr-Cyrl-CS"/>
        </w:rPr>
        <w:t>ревизије цена услуга</w:t>
      </w:r>
      <w:r w:rsidRPr="00E84C93">
        <w:rPr>
          <w:rFonts w:cs="Times New Roman"/>
          <w:szCs w:val="24"/>
          <w:lang w:val="sr-Cyrl-CS"/>
        </w:rPr>
        <w:t>, коју предлажу јавна комунална предузећа за водоснабдевање а одобравају јединице локалне самоуправе, у складу са општом политиком цена.</w:t>
      </w:r>
    </w:p>
    <w:p w14:paraId="5B122869" w14:textId="517EB9E3" w:rsidR="00FC6BAA" w:rsidRPr="00E84C93" w:rsidRDefault="00FC6BAA" w:rsidP="005D1F52">
      <w:pPr>
        <w:spacing w:after="0"/>
        <w:ind w:firstLine="720"/>
        <w:jc w:val="both"/>
        <w:rPr>
          <w:rFonts w:cs="Times New Roman"/>
          <w:szCs w:val="24"/>
          <w:lang w:val="sr-Cyrl-CS"/>
        </w:rPr>
      </w:pPr>
      <w:r w:rsidRPr="00E84C93">
        <w:rPr>
          <w:rFonts w:cs="Times New Roman"/>
          <w:szCs w:val="24"/>
          <w:lang w:val="sr-Cyrl-CS"/>
        </w:rPr>
        <w:t>На покрајинском нивоу, кључну одговорност у области заштите животне средине има</w:t>
      </w:r>
      <w:r w:rsidR="005D1F52" w:rsidRPr="00E84C93">
        <w:rPr>
          <w:rFonts w:cs="Times New Roman"/>
          <w:szCs w:val="24"/>
          <w:lang w:val="sr-Cyrl-CS"/>
        </w:rPr>
        <w:t xml:space="preserve">ју </w:t>
      </w:r>
      <w:r w:rsidR="005D1F52" w:rsidRPr="00E84C93">
        <w:rPr>
          <w:rFonts w:cs="Times New Roman"/>
          <w:b/>
          <w:bCs/>
          <w:szCs w:val="24"/>
          <w:lang w:val="sr-Cyrl-CS"/>
        </w:rPr>
        <w:t>Покрајински секретаријат за пољопривреду, водопривреду и шумарство и</w:t>
      </w:r>
      <w:r w:rsidRPr="00E84C93">
        <w:rPr>
          <w:rFonts w:cs="Times New Roman"/>
          <w:b/>
          <w:bCs/>
          <w:szCs w:val="24"/>
          <w:lang w:val="sr-Cyrl-CS"/>
        </w:rPr>
        <w:t xml:space="preserve"> Покрајински секретаријат за урбанизам и заштиту животне средине</w:t>
      </w:r>
      <w:r w:rsidRPr="00E84C93">
        <w:rPr>
          <w:rFonts w:cs="Times New Roman"/>
          <w:szCs w:val="24"/>
          <w:lang w:val="sr-Cyrl-CS"/>
        </w:rPr>
        <w:t>, на основу надлежности које су пренете на АП Војводину Законом о утврђивању надлежности АП Војводине.</w:t>
      </w:r>
    </w:p>
    <w:p w14:paraId="05AE1EC6" w14:textId="15DEBE3D" w:rsidR="000C2D47" w:rsidRPr="00E84C93" w:rsidRDefault="000C2D47" w:rsidP="005D1F52">
      <w:pPr>
        <w:spacing w:after="0"/>
        <w:ind w:firstLine="720"/>
        <w:jc w:val="both"/>
        <w:rPr>
          <w:rFonts w:cs="Times New Roman"/>
          <w:szCs w:val="24"/>
          <w:lang w:val="sr-Cyrl-CS"/>
        </w:rPr>
      </w:pPr>
      <w:r w:rsidRPr="00E84C93">
        <w:rPr>
          <w:rFonts w:cs="Times New Roman"/>
          <w:b/>
          <w:bCs/>
          <w:szCs w:val="24"/>
          <w:lang w:val="sr-Cyrl-CS"/>
        </w:rPr>
        <w:t>Јавна водопривредна предузећа „Србијаводе</w:t>
      </w:r>
      <w:r w:rsidR="005E0508" w:rsidRPr="00E84C93">
        <w:rPr>
          <w:rFonts w:cs="Times New Roman"/>
          <w:b/>
          <w:bCs/>
          <w:szCs w:val="24"/>
          <w:lang w:val="sr-Cyrl-CS"/>
        </w:rPr>
        <w:t>”</w:t>
      </w:r>
      <w:r w:rsidRPr="00E84C93">
        <w:rPr>
          <w:rFonts w:cs="Times New Roman"/>
          <w:b/>
          <w:bCs/>
          <w:szCs w:val="24"/>
          <w:lang w:val="sr-Cyrl-CS"/>
        </w:rPr>
        <w:t xml:space="preserve"> и „Воде Војводине</w:t>
      </w:r>
      <w:r w:rsidR="005E0508" w:rsidRPr="00E84C93">
        <w:rPr>
          <w:rFonts w:cs="Times New Roman"/>
          <w:b/>
          <w:bCs/>
          <w:szCs w:val="24"/>
          <w:lang w:val="sr-Cyrl-CS"/>
        </w:rPr>
        <w:t>”</w:t>
      </w:r>
      <w:r w:rsidRPr="00E84C93">
        <w:rPr>
          <w:rFonts w:cs="Times New Roman"/>
          <w:szCs w:val="24"/>
          <w:lang w:val="sr-Cyrl-CS"/>
        </w:rPr>
        <w:t xml:space="preserve"> су </w:t>
      </w:r>
      <w:r w:rsidR="000B3585" w:rsidRPr="00E84C93">
        <w:rPr>
          <w:rFonts w:cs="Times New Roman"/>
          <w:szCs w:val="24"/>
          <w:lang w:val="sr-Cyrl-CS"/>
        </w:rPr>
        <w:t>извршна тела, задужена за обављање водне делатности на територији којом управљају</w:t>
      </w:r>
      <w:r w:rsidRPr="00E84C93">
        <w:rPr>
          <w:rFonts w:cs="Times New Roman"/>
          <w:szCs w:val="24"/>
          <w:lang w:val="sr-Cyrl-CS"/>
        </w:rPr>
        <w:t xml:space="preserve">. </w:t>
      </w:r>
    </w:p>
    <w:p w14:paraId="14463152" w14:textId="074AE40F" w:rsidR="000C2D47" w:rsidRPr="00E84C93" w:rsidRDefault="00FC6BAA" w:rsidP="00FC6BAA">
      <w:pPr>
        <w:spacing w:after="0"/>
        <w:ind w:firstLine="720"/>
        <w:jc w:val="both"/>
        <w:rPr>
          <w:rFonts w:cs="Times New Roman"/>
          <w:szCs w:val="24"/>
          <w:lang w:val="sr-Cyrl-CS"/>
        </w:rPr>
      </w:pPr>
      <w:r w:rsidRPr="00E84C93">
        <w:rPr>
          <w:rFonts w:cs="Times New Roman"/>
          <w:b/>
          <w:szCs w:val="24"/>
          <w:lang w:val="sr-Cyrl-CS"/>
        </w:rPr>
        <w:t>Јединице локалне самоуправе</w:t>
      </w:r>
      <w:r w:rsidRPr="00E84C93">
        <w:rPr>
          <w:rFonts w:cs="Times New Roman"/>
          <w:szCs w:val="24"/>
          <w:lang w:val="sr-Cyrl-CS"/>
        </w:rPr>
        <w:t xml:space="preserve"> </w:t>
      </w:r>
      <w:r w:rsidR="005D34D6" w:rsidRPr="00E84C93">
        <w:rPr>
          <w:rFonts w:cs="Times New Roman"/>
          <w:szCs w:val="24"/>
          <w:lang w:val="sr-Cyrl-CS"/>
        </w:rPr>
        <w:t xml:space="preserve">(градови/општине) </w:t>
      </w:r>
      <w:r w:rsidRPr="00E84C93">
        <w:rPr>
          <w:rFonts w:cs="Times New Roman"/>
          <w:szCs w:val="24"/>
          <w:lang w:val="sr-Cyrl-CS"/>
        </w:rPr>
        <w:t xml:space="preserve">имају надлежности у области комуналних делатности и одговорни су за стратешку процену планова и програма, процену утицаја пројеката на животну средину и издавање интегрисаних дозвола из своје надлежности. </w:t>
      </w:r>
      <w:r w:rsidR="005D34D6" w:rsidRPr="00E84C93">
        <w:rPr>
          <w:rFonts w:cs="Times New Roman"/>
          <w:szCs w:val="24"/>
          <w:lang w:val="sr-Cyrl-CS"/>
        </w:rPr>
        <w:t>Такође, у њиховој надлежности је ј</w:t>
      </w:r>
      <w:r w:rsidR="000C2D47" w:rsidRPr="00E84C93">
        <w:rPr>
          <w:rFonts w:cs="Times New Roman"/>
          <w:szCs w:val="24"/>
          <w:lang w:val="sr-Cyrl-CS"/>
        </w:rPr>
        <w:t xml:space="preserve">авно водоснабдевање и прикупљање и </w:t>
      </w:r>
      <w:r w:rsidR="000C2D47" w:rsidRPr="00E84C93">
        <w:rPr>
          <w:rFonts w:cs="Times New Roman"/>
          <w:szCs w:val="24"/>
          <w:lang w:val="sr-Cyrl-CS"/>
        </w:rPr>
        <w:lastRenderedPageBreak/>
        <w:t>третман отпадних вода</w:t>
      </w:r>
      <w:r w:rsidR="00F42CB1" w:rsidRPr="00E84C93">
        <w:rPr>
          <w:rFonts w:cs="Times New Roman"/>
          <w:szCs w:val="24"/>
          <w:lang w:val="sr-Cyrl-CS"/>
        </w:rPr>
        <w:t>, које укључује и регулисање услова пружања услуга и одређивања цена за коришћење воде</w:t>
      </w:r>
      <w:r w:rsidR="005D34D6" w:rsidRPr="00E84C93">
        <w:rPr>
          <w:rFonts w:cs="Times New Roman"/>
          <w:szCs w:val="24"/>
          <w:lang w:val="sr-Cyrl-CS"/>
        </w:rPr>
        <w:t>.</w:t>
      </w:r>
      <w:r w:rsidR="000C2D47" w:rsidRPr="00E84C93">
        <w:rPr>
          <w:rFonts w:cs="Times New Roman"/>
          <w:szCs w:val="24"/>
          <w:lang w:val="sr-Cyrl-CS"/>
        </w:rPr>
        <w:t xml:space="preserve"> Активности у вези са водоснабдевањем и </w:t>
      </w:r>
      <w:r w:rsidR="008C3BC9" w:rsidRPr="00E84C93">
        <w:rPr>
          <w:rFonts w:cs="Times New Roman"/>
          <w:szCs w:val="24"/>
          <w:lang w:val="sr-Cyrl-CS"/>
        </w:rPr>
        <w:t xml:space="preserve">пречишћавањем </w:t>
      </w:r>
      <w:r w:rsidR="000C2D47" w:rsidRPr="00E84C93">
        <w:rPr>
          <w:rFonts w:cs="Times New Roman"/>
          <w:szCs w:val="24"/>
          <w:lang w:val="sr-Cyrl-CS"/>
        </w:rPr>
        <w:t>отпадних вода спроводе комунална предузећа.</w:t>
      </w:r>
    </w:p>
    <w:p w14:paraId="62A533C9" w14:textId="334CE1C2" w:rsidR="00FC6BAA" w:rsidRPr="00E84C93" w:rsidRDefault="000C2D47" w:rsidP="006F55C9">
      <w:pPr>
        <w:spacing w:after="0"/>
        <w:ind w:firstLine="720"/>
        <w:jc w:val="both"/>
        <w:rPr>
          <w:rFonts w:cs="Times New Roman"/>
          <w:szCs w:val="24"/>
          <w:lang w:val="sr-Cyrl-CS"/>
        </w:rPr>
      </w:pPr>
      <w:r w:rsidRPr="00E84C93">
        <w:rPr>
          <w:rFonts w:cs="Times New Roman"/>
          <w:b/>
          <w:bCs/>
          <w:szCs w:val="24"/>
          <w:lang w:val="sr-Cyrl-CS"/>
        </w:rPr>
        <w:t>Јавна комунална предузећа</w:t>
      </w:r>
      <w:r w:rsidRPr="00E84C93">
        <w:rPr>
          <w:rFonts w:cs="Times New Roman"/>
          <w:szCs w:val="24"/>
          <w:lang w:val="sr-Cyrl-CS"/>
        </w:rPr>
        <w:t xml:space="preserve"> </w:t>
      </w:r>
      <w:r w:rsidR="00F420FE" w:rsidRPr="00E84C93">
        <w:rPr>
          <w:rFonts w:cs="Times New Roman"/>
          <w:szCs w:val="24"/>
          <w:lang w:val="sr-Cyrl-CS"/>
        </w:rPr>
        <w:t xml:space="preserve">су одговорна за </w:t>
      </w:r>
      <w:r w:rsidRPr="00E84C93">
        <w:rPr>
          <w:rFonts w:cs="Times New Roman"/>
          <w:szCs w:val="24"/>
          <w:lang w:val="sr-Cyrl-CS"/>
        </w:rPr>
        <w:t xml:space="preserve">управљање прикупљањем и </w:t>
      </w:r>
      <w:r w:rsidR="005F006D" w:rsidRPr="00E84C93">
        <w:rPr>
          <w:rFonts w:cs="Times New Roman"/>
          <w:szCs w:val="24"/>
          <w:lang w:val="sr-Cyrl-CS"/>
        </w:rPr>
        <w:t>пречишћавањем комуналних</w:t>
      </w:r>
      <w:r w:rsidRPr="00E84C93">
        <w:rPr>
          <w:rFonts w:cs="Times New Roman"/>
          <w:szCs w:val="24"/>
          <w:lang w:val="sr-Cyrl-CS"/>
        </w:rPr>
        <w:t xml:space="preserve"> отпадних вода и одговарајућим третманом муља</w:t>
      </w:r>
      <w:r w:rsidR="00F420FE" w:rsidRPr="00E84C93">
        <w:rPr>
          <w:rFonts w:cs="Times New Roman"/>
          <w:szCs w:val="24"/>
          <w:lang w:val="sr-Cyrl-CS"/>
        </w:rPr>
        <w:t>, што</w:t>
      </w:r>
      <w:r w:rsidRPr="00E84C93">
        <w:rPr>
          <w:rFonts w:cs="Times New Roman"/>
          <w:szCs w:val="24"/>
          <w:lang w:val="sr-Cyrl-CS"/>
        </w:rPr>
        <w:t xml:space="preserve"> спада у</w:t>
      </w:r>
      <w:r w:rsidR="00A61448" w:rsidRPr="00E84C93">
        <w:rPr>
          <w:rFonts w:cs="Times New Roman"/>
          <w:szCs w:val="24"/>
          <w:lang w:val="sr-Cyrl-CS"/>
        </w:rPr>
        <w:t xml:space="preserve"> </w:t>
      </w:r>
      <w:r w:rsidR="00F420FE" w:rsidRPr="00E84C93">
        <w:rPr>
          <w:rFonts w:cs="Times New Roman"/>
          <w:szCs w:val="24"/>
          <w:lang w:val="sr-Cyrl-CS"/>
        </w:rPr>
        <w:t xml:space="preserve">надлежност </w:t>
      </w:r>
      <w:r w:rsidR="005F006D" w:rsidRPr="00E84C93">
        <w:rPr>
          <w:rFonts w:cs="Times New Roman"/>
          <w:szCs w:val="24"/>
          <w:lang w:val="sr-Cyrl-CS"/>
        </w:rPr>
        <w:t xml:space="preserve">јединица </w:t>
      </w:r>
      <w:r w:rsidRPr="00E84C93">
        <w:rPr>
          <w:rFonts w:cs="Times New Roman"/>
          <w:szCs w:val="24"/>
          <w:lang w:val="sr-Cyrl-CS"/>
        </w:rPr>
        <w:t xml:space="preserve">локалних </w:t>
      </w:r>
      <w:r w:rsidR="005F006D" w:rsidRPr="00E84C93">
        <w:rPr>
          <w:rFonts w:cs="Times New Roman"/>
          <w:szCs w:val="24"/>
          <w:lang w:val="sr-Cyrl-CS"/>
        </w:rPr>
        <w:t>само</w:t>
      </w:r>
      <w:r w:rsidRPr="00E84C93">
        <w:rPr>
          <w:rFonts w:cs="Times New Roman"/>
          <w:szCs w:val="24"/>
          <w:lang w:val="sr-Cyrl-CS"/>
        </w:rPr>
        <w:t>управа. У складу са одредбама Закона о јавним предузећима</w:t>
      </w:r>
      <w:r w:rsidR="005D32B1" w:rsidRPr="00E84C93">
        <w:rPr>
          <w:rFonts w:cs="Times New Roman"/>
          <w:szCs w:val="24"/>
          <w:lang w:val="sr-Cyrl-CS"/>
        </w:rPr>
        <w:t>,</w:t>
      </w:r>
      <w:r w:rsidRPr="00E84C93">
        <w:rPr>
          <w:rFonts w:cs="Times New Roman"/>
          <w:szCs w:val="24"/>
          <w:lang w:val="sr-Cyrl-CS"/>
        </w:rPr>
        <w:t xml:space="preserve"> јединице локалне самоуправе успоставиле су јавна предузећа за организацију јавних комуналних услуга водоснабдевања и прикупљања и третмана отпадних вода (тренутно постоји око 150 јавних комуналних предузећа). Поред услуга водоснабдевања и поступања са отпадним водама, јавна комунална предузећа углавном пружају друге комуналне услуге (н</w:t>
      </w:r>
      <w:r w:rsidR="00190B54" w:rsidRPr="00E84C93">
        <w:rPr>
          <w:rFonts w:cs="Times New Roman"/>
          <w:szCs w:val="24"/>
          <w:lang w:val="sr-Cyrl-CS"/>
        </w:rPr>
        <w:t>пр.</w:t>
      </w:r>
      <w:r w:rsidRPr="00E84C93">
        <w:rPr>
          <w:rFonts w:cs="Times New Roman"/>
          <w:szCs w:val="24"/>
          <w:lang w:val="sr-Cyrl-CS"/>
        </w:rPr>
        <w:t xml:space="preserve"> снабдевање гасом, одлагање општинског отпада, малопродајно тржиште итд.), као и услуге које не спадају у комуналн</w:t>
      </w:r>
      <w:r w:rsidR="00190B54" w:rsidRPr="00E84C93">
        <w:rPr>
          <w:rFonts w:cs="Times New Roman"/>
          <w:szCs w:val="24"/>
          <w:lang w:val="sr-Cyrl-CS"/>
        </w:rPr>
        <w:t>у делатност</w:t>
      </w:r>
      <w:r w:rsidRPr="00E84C93">
        <w:rPr>
          <w:rFonts w:cs="Times New Roman"/>
          <w:szCs w:val="24"/>
          <w:lang w:val="sr-Cyrl-CS"/>
        </w:rPr>
        <w:t>. Јавна комунална предузећа су правна лица, која делују или као мултисекторски оператер или као оператер који се бави само водо</w:t>
      </w:r>
      <w:r w:rsidR="00190B54" w:rsidRPr="00E84C93">
        <w:rPr>
          <w:rFonts w:cs="Times New Roman"/>
          <w:szCs w:val="24"/>
          <w:lang w:val="sr-Cyrl-CS"/>
        </w:rPr>
        <w:t>снабдевањем</w:t>
      </w:r>
      <w:r w:rsidRPr="00E84C93">
        <w:rPr>
          <w:rFonts w:cs="Times New Roman"/>
          <w:szCs w:val="24"/>
          <w:lang w:val="sr-Cyrl-CS"/>
        </w:rPr>
        <w:t>. Њима управљају и</w:t>
      </w:r>
      <w:r w:rsidR="00190B54" w:rsidRPr="00E84C93">
        <w:rPr>
          <w:rFonts w:cs="Times New Roman"/>
          <w:szCs w:val="24"/>
          <w:lang w:val="sr-Cyrl-CS"/>
        </w:rPr>
        <w:t xml:space="preserve"> врше</w:t>
      </w:r>
      <w:r w:rsidRPr="00E84C93">
        <w:rPr>
          <w:rFonts w:cs="Times New Roman"/>
          <w:szCs w:val="24"/>
          <w:lang w:val="sr-Cyrl-CS"/>
        </w:rPr>
        <w:t xml:space="preserve"> надз</w:t>
      </w:r>
      <w:r w:rsidR="00190B54" w:rsidRPr="00E84C93">
        <w:rPr>
          <w:rFonts w:cs="Times New Roman"/>
          <w:szCs w:val="24"/>
          <w:lang w:val="sr-Cyrl-CS"/>
        </w:rPr>
        <w:t>ор</w:t>
      </w:r>
      <w:r w:rsidRPr="00E84C93">
        <w:rPr>
          <w:rFonts w:cs="Times New Roman"/>
          <w:szCs w:val="24"/>
          <w:lang w:val="sr-Cyrl-CS"/>
        </w:rPr>
        <w:t xml:space="preserve"> </w:t>
      </w:r>
      <w:r w:rsidR="00190B54" w:rsidRPr="00E84C93">
        <w:rPr>
          <w:rFonts w:cs="Times New Roman"/>
          <w:szCs w:val="24"/>
          <w:lang w:val="sr-Cyrl-CS"/>
        </w:rPr>
        <w:t>јединице локалне самоуправе</w:t>
      </w:r>
      <w:r w:rsidRPr="00E84C93">
        <w:rPr>
          <w:rFonts w:cs="Times New Roman"/>
          <w:szCs w:val="24"/>
          <w:lang w:val="sr-Cyrl-CS"/>
        </w:rPr>
        <w:t xml:space="preserve">, али </w:t>
      </w:r>
      <w:r w:rsidR="00190B54" w:rsidRPr="00E84C93">
        <w:rPr>
          <w:rFonts w:cs="Times New Roman"/>
          <w:szCs w:val="24"/>
          <w:lang w:val="sr-Cyrl-CS"/>
        </w:rPr>
        <w:t xml:space="preserve">је имовина у већини у државном </w:t>
      </w:r>
      <w:r w:rsidRPr="00E84C93">
        <w:rPr>
          <w:rFonts w:cs="Times New Roman"/>
          <w:szCs w:val="24"/>
          <w:lang w:val="sr-Cyrl-CS"/>
        </w:rPr>
        <w:t>власништв</w:t>
      </w:r>
      <w:r w:rsidR="00190B54" w:rsidRPr="00E84C93">
        <w:rPr>
          <w:rFonts w:cs="Times New Roman"/>
          <w:szCs w:val="24"/>
          <w:lang w:val="sr-Cyrl-CS"/>
        </w:rPr>
        <w:t>у</w:t>
      </w:r>
      <w:r w:rsidRPr="00E84C93">
        <w:rPr>
          <w:rFonts w:cs="Times New Roman"/>
          <w:szCs w:val="24"/>
          <w:lang w:val="sr-Cyrl-CS"/>
        </w:rPr>
        <w:t xml:space="preserve">. Устав Републике Србије из 2006. године пренео је право власништва на </w:t>
      </w:r>
      <w:r w:rsidR="00190B54" w:rsidRPr="00E84C93">
        <w:rPr>
          <w:rFonts w:cs="Times New Roman"/>
          <w:szCs w:val="24"/>
          <w:lang w:val="sr-Cyrl-CS"/>
        </w:rPr>
        <w:t>јединице локалне самоуправе</w:t>
      </w:r>
      <w:r w:rsidRPr="00E84C93">
        <w:rPr>
          <w:rFonts w:cs="Times New Roman"/>
          <w:szCs w:val="24"/>
          <w:lang w:val="sr-Cyrl-CS"/>
        </w:rPr>
        <w:t>, али пренос права власништва и даље је у току</w:t>
      </w:r>
      <w:r w:rsidR="00AC33D3" w:rsidRPr="00E84C93">
        <w:rPr>
          <w:rFonts w:cs="Times New Roman"/>
          <w:szCs w:val="24"/>
          <w:lang w:val="sr-Cyrl-CS"/>
        </w:rPr>
        <w:t>.</w:t>
      </w:r>
    </w:p>
    <w:p w14:paraId="0946DC88" w14:textId="61F79BF8" w:rsidR="00FC6BAA" w:rsidRPr="00E84C93" w:rsidRDefault="00FC6BAA" w:rsidP="00FC6BAA">
      <w:pPr>
        <w:spacing w:after="0"/>
        <w:ind w:firstLine="720"/>
        <w:jc w:val="both"/>
        <w:rPr>
          <w:rFonts w:cs="Times New Roman"/>
          <w:szCs w:val="24"/>
          <w:lang w:val="sr-Cyrl-CS"/>
        </w:rPr>
      </w:pPr>
      <w:r w:rsidRPr="00E84C93">
        <w:rPr>
          <w:rFonts w:cs="Times New Roman"/>
          <w:bCs/>
          <w:szCs w:val="24"/>
          <w:lang w:val="sr-Cyrl-CS"/>
        </w:rPr>
        <w:t>Остали учесници</w:t>
      </w:r>
      <w:r w:rsidRPr="00E84C93">
        <w:rPr>
          <w:rFonts w:cs="Times New Roman"/>
          <w:szCs w:val="24"/>
          <w:lang w:val="sr-Cyrl-CS"/>
        </w:rPr>
        <w:t xml:space="preserve"> са одређеном улогом у </w:t>
      </w:r>
      <w:r w:rsidR="000C2D47" w:rsidRPr="00E84C93">
        <w:rPr>
          <w:rFonts w:cs="Times New Roman"/>
          <w:szCs w:val="24"/>
          <w:lang w:val="sr-Cyrl-CS"/>
        </w:rPr>
        <w:t>овој области су загађивачи, индустријски корисници воде и</w:t>
      </w:r>
      <w:r w:rsidR="00396006" w:rsidRPr="00E84C93">
        <w:rPr>
          <w:rFonts w:cs="Times New Roman"/>
          <w:szCs w:val="24"/>
          <w:lang w:val="sr-Cyrl-CS"/>
        </w:rPr>
        <w:t xml:space="preserve"> </w:t>
      </w:r>
      <w:r w:rsidRPr="00E84C93">
        <w:rPr>
          <w:rFonts w:cs="Times New Roman"/>
          <w:szCs w:val="24"/>
          <w:lang w:val="sr-Cyrl-CS"/>
        </w:rPr>
        <w:t xml:space="preserve">удружења (организације цивилног друштва) регистрована у складу са Законом о удружењима </w:t>
      </w:r>
      <w:r w:rsidRPr="00E84C93">
        <w:rPr>
          <w:rFonts w:cs="Times New Roman"/>
          <w:bCs/>
          <w:iCs/>
          <w:szCs w:val="24"/>
          <w:lang w:val="sr-Cyrl-CS"/>
        </w:rPr>
        <w:t>(„Службени гласник РС”, бр. 51/09, 99/11 - др. закони и 44/18 - др. закон)</w:t>
      </w:r>
      <w:r w:rsidRPr="00E84C93">
        <w:rPr>
          <w:rFonts w:cs="Times New Roman"/>
          <w:szCs w:val="24"/>
          <w:lang w:val="sr-Cyrl-CS"/>
        </w:rPr>
        <w:t xml:space="preserve"> која се баве питањима заштите животне средине.</w:t>
      </w:r>
    </w:p>
    <w:p w14:paraId="7E86FDCE" w14:textId="6E472222" w:rsidR="00FC6BAA" w:rsidRPr="00E84C93" w:rsidRDefault="00FC6BAA" w:rsidP="00FC6BAA">
      <w:pPr>
        <w:pStyle w:val="Default"/>
        <w:rPr>
          <w:rFonts w:ascii="Times New Roman" w:hAnsi="Times New Roman" w:cs="Times New Roman"/>
          <w:lang w:val="sr-Cyrl-CS"/>
        </w:rPr>
      </w:pPr>
    </w:p>
    <w:p w14:paraId="5C8696D4" w14:textId="6D10D72C" w:rsidR="00BF3637" w:rsidRPr="00E84C93" w:rsidRDefault="00BF3637" w:rsidP="00DF360D">
      <w:pPr>
        <w:pStyle w:val="Heading1"/>
        <w:numPr>
          <w:ilvl w:val="0"/>
          <w:numId w:val="8"/>
        </w:numPr>
        <w:rPr>
          <w:noProof/>
          <w:lang w:val="sr-Cyrl-CS"/>
        </w:rPr>
      </w:pPr>
      <w:bookmarkStart w:id="9" w:name="_Toc99920889"/>
      <w:r w:rsidRPr="00E84C93">
        <w:rPr>
          <w:noProof/>
          <w:lang w:val="sr-Cyrl-CS"/>
        </w:rPr>
        <w:t>ОПИС ПОСТОЈЕЋЕГ СТАЊА У ОБЛАСТИ ПРЕЧИШЋАВАЊА ОТПАДНИХ ВОДА И ПРОИЗВОДЊЕ МУЉА</w:t>
      </w:r>
      <w:bookmarkEnd w:id="9"/>
    </w:p>
    <w:p w14:paraId="3A1B99B6" w14:textId="77777777" w:rsidR="00357684" w:rsidRPr="00E84C93" w:rsidRDefault="00357684" w:rsidP="00357684">
      <w:pPr>
        <w:rPr>
          <w:lang w:val="sr-Cyrl-CS"/>
        </w:rPr>
      </w:pPr>
    </w:p>
    <w:p w14:paraId="76368560" w14:textId="079159E5" w:rsidR="004269CA" w:rsidRPr="00E84C93" w:rsidRDefault="004269CA" w:rsidP="00DF360D">
      <w:pPr>
        <w:pStyle w:val="Heading2"/>
        <w:numPr>
          <w:ilvl w:val="1"/>
          <w:numId w:val="8"/>
        </w:numPr>
        <w:ind w:hanging="720"/>
        <w:rPr>
          <w:noProof/>
          <w:lang w:val="sr-Cyrl-CS"/>
        </w:rPr>
      </w:pPr>
      <w:bookmarkStart w:id="10" w:name="_Toc99920890"/>
      <w:r w:rsidRPr="00E84C93">
        <w:rPr>
          <w:noProof/>
          <w:lang w:val="sr-Cyrl-CS"/>
        </w:rPr>
        <w:t>Стање у области управљања муљем у земљама ЕУ</w:t>
      </w:r>
      <w:bookmarkEnd w:id="10"/>
    </w:p>
    <w:p w14:paraId="6E325D90" w14:textId="1D3C4012" w:rsidR="004269CA" w:rsidRPr="00E84C93" w:rsidRDefault="004269CA" w:rsidP="004269CA">
      <w:pPr>
        <w:rPr>
          <w:lang w:val="sr-Cyrl-CS"/>
        </w:rPr>
      </w:pPr>
    </w:p>
    <w:p w14:paraId="7277BDAF" w14:textId="15348D12" w:rsidR="0097382D" w:rsidRPr="00E84C93" w:rsidRDefault="0097382D" w:rsidP="0097382D">
      <w:pPr>
        <w:spacing w:after="0"/>
        <w:ind w:firstLine="714"/>
        <w:contextualSpacing/>
        <w:jc w:val="both"/>
        <w:rPr>
          <w:lang w:val="sr-Cyrl-CS"/>
        </w:rPr>
      </w:pPr>
      <w:r w:rsidRPr="00E84C93">
        <w:rPr>
          <w:lang w:val="sr-Cyrl-CS"/>
        </w:rPr>
        <w:t>Према недавно завршеној студији (EUREAU, 2021</w:t>
      </w:r>
      <w:r w:rsidR="00032C1A" w:rsidRPr="00E84C93">
        <w:rPr>
          <w:lang w:val="sr-Cyrl-CS"/>
        </w:rPr>
        <w:t>.</w:t>
      </w:r>
      <w:r w:rsidRPr="00E84C93">
        <w:rPr>
          <w:lang w:val="sr-Cyrl-CS"/>
        </w:rPr>
        <w:t xml:space="preserve">) земље чланице ЕУ производе муљ у количини од 8,7 милиона t </w:t>
      </w:r>
      <w:r w:rsidR="005C2504" w:rsidRPr="00E84C93">
        <w:rPr>
          <w:lang w:val="sr-Cyrl-CS"/>
        </w:rPr>
        <w:t>С</w:t>
      </w:r>
      <w:r w:rsidRPr="00E84C93">
        <w:rPr>
          <w:lang w:val="sr-Cyrl-CS"/>
        </w:rPr>
        <w:t xml:space="preserve">M годишње. Студија показује да је поновна употреба муља у пољопривреди и даље </w:t>
      </w:r>
      <w:r w:rsidR="00552706" w:rsidRPr="00E84C93">
        <w:rPr>
          <w:lang w:val="sr-Cyrl-CS"/>
        </w:rPr>
        <w:t>пожељна</w:t>
      </w:r>
      <w:r w:rsidRPr="00E84C93">
        <w:rPr>
          <w:lang w:val="sr-Cyrl-CS"/>
        </w:rPr>
        <w:t xml:space="preserve"> опција за многе земље чланице ЕУ, како у погледу примењене количине (47% укупне произведене количине), тако још увек и броја земаља чланица ЕУ које примењују ову опцију искоришћења муља. </w:t>
      </w:r>
      <w:r w:rsidR="005C2504" w:rsidRPr="00E84C93">
        <w:rPr>
          <w:lang w:val="sr-Cyrl-CS"/>
        </w:rPr>
        <w:t>У ЕУ п</w:t>
      </w:r>
      <w:r w:rsidRPr="00E84C93">
        <w:rPr>
          <w:lang w:val="sr-Cyrl-CS"/>
        </w:rPr>
        <w:t xml:space="preserve">римењују се следеће опције </w:t>
      </w:r>
      <w:r w:rsidR="00896CA5" w:rsidRPr="00E84C93">
        <w:rPr>
          <w:lang w:val="sr-Cyrl-CS"/>
        </w:rPr>
        <w:t>управљања</w:t>
      </w:r>
      <w:r w:rsidRPr="00E84C93">
        <w:rPr>
          <w:lang w:val="sr-Cyrl-CS"/>
        </w:rPr>
        <w:t xml:space="preserve"> муљем након третмана:</w:t>
      </w:r>
    </w:p>
    <w:p w14:paraId="76B4CB65" w14:textId="34CD4300" w:rsidR="0097382D" w:rsidRPr="00E84C93" w:rsidRDefault="0097382D" w:rsidP="00D75873">
      <w:pPr>
        <w:pStyle w:val="ListParagraph"/>
        <w:numPr>
          <w:ilvl w:val="0"/>
          <w:numId w:val="26"/>
        </w:numPr>
        <w:spacing w:after="0"/>
        <w:rPr>
          <w:lang w:val="sr-Cyrl-CS"/>
        </w:rPr>
      </w:pPr>
      <w:r w:rsidRPr="00E84C93">
        <w:rPr>
          <w:lang w:val="sr-Cyrl-CS"/>
        </w:rPr>
        <w:t>употреба у пољопривред</w:t>
      </w:r>
      <w:r w:rsidR="005C2504" w:rsidRPr="00E84C93">
        <w:rPr>
          <w:lang w:val="sr-Cyrl-CS"/>
        </w:rPr>
        <w:t>и</w:t>
      </w:r>
      <w:r w:rsidRPr="00E84C93">
        <w:rPr>
          <w:lang w:val="sr-Cyrl-CS"/>
        </w:rPr>
        <w:t>: 4,1 милион t СМ/год</w:t>
      </w:r>
      <w:r w:rsidR="00A639E9" w:rsidRPr="00E84C93">
        <w:rPr>
          <w:lang w:val="sr-Cyrl-CS"/>
        </w:rPr>
        <w:t>;</w:t>
      </w:r>
    </w:p>
    <w:p w14:paraId="10EBE665" w14:textId="0E25CDE5" w:rsidR="0097382D" w:rsidRPr="00E84C93" w:rsidRDefault="0097382D" w:rsidP="00D75873">
      <w:pPr>
        <w:pStyle w:val="ListParagraph"/>
        <w:numPr>
          <w:ilvl w:val="0"/>
          <w:numId w:val="26"/>
        </w:numPr>
        <w:spacing w:after="0"/>
        <w:rPr>
          <w:lang w:val="sr-Cyrl-CS"/>
        </w:rPr>
      </w:pPr>
      <w:r w:rsidRPr="00E84C93">
        <w:rPr>
          <w:lang w:val="sr-Cyrl-CS"/>
        </w:rPr>
        <w:t>спаљивање: 2,4 милиона t СМ/год</w:t>
      </w:r>
      <w:r w:rsidR="00A639E9" w:rsidRPr="00E84C93">
        <w:rPr>
          <w:lang w:val="sr-Cyrl-CS"/>
        </w:rPr>
        <w:t>;</w:t>
      </w:r>
    </w:p>
    <w:p w14:paraId="44F2582E" w14:textId="4AD2A349" w:rsidR="0097382D" w:rsidRPr="00E84C93" w:rsidRDefault="0097382D" w:rsidP="00D75873">
      <w:pPr>
        <w:pStyle w:val="ListParagraph"/>
        <w:numPr>
          <w:ilvl w:val="0"/>
          <w:numId w:val="26"/>
        </w:numPr>
        <w:spacing w:after="0"/>
        <w:rPr>
          <w:lang w:val="sr-Cyrl-CS"/>
        </w:rPr>
      </w:pPr>
      <w:r w:rsidRPr="00E84C93">
        <w:rPr>
          <w:lang w:val="sr-Cyrl-CS"/>
        </w:rPr>
        <w:t>рекултивација: 0,7 милиона t СМ/год</w:t>
      </w:r>
      <w:r w:rsidR="00A639E9" w:rsidRPr="00E84C93">
        <w:rPr>
          <w:lang w:val="sr-Cyrl-CS"/>
        </w:rPr>
        <w:t>;</w:t>
      </w:r>
    </w:p>
    <w:p w14:paraId="202DABFD" w14:textId="5C0B80E7" w:rsidR="0097382D" w:rsidRPr="00E84C93" w:rsidRDefault="0097382D" w:rsidP="00D75873">
      <w:pPr>
        <w:pStyle w:val="ListParagraph"/>
        <w:numPr>
          <w:ilvl w:val="0"/>
          <w:numId w:val="26"/>
        </w:numPr>
        <w:spacing w:after="0"/>
        <w:rPr>
          <w:lang w:val="sr-Cyrl-CS"/>
        </w:rPr>
      </w:pPr>
      <w:r w:rsidRPr="00E84C93">
        <w:rPr>
          <w:lang w:val="sr-Cyrl-CS"/>
        </w:rPr>
        <w:t>одлагање на депоније: 0,5 милиона t СМ/год</w:t>
      </w:r>
      <w:r w:rsidR="00A639E9" w:rsidRPr="00E84C93">
        <w:rPr>
          <w:lang w:val="sr-Cyrl-CS"/>
        </w:rPr>
        <w:t>;</w:t>
      </w:r>
    </w:p>
    <w:p w14:paraId="132BC322" w14:textId="1CE59E87" w:rsidR="0097382D" w:rsidRPr="00E84C93" w:rsidRDefault="0097382D" w:rsidP="00D75873">
      <w:pPr>
        <w:pStyle w:val="ListParagraph"/>
        <w:numPr>
          <w:ilvl w:val="0"/>
          <w:numId w:val="26"/>
        </w:numPr>
        <w:spacing w:after="0"/>
        <w:rPr>
          <w:lang w:val="sr-Cyrl-CS"/>
        </w:rPr>
      </w:pPr>
      <w:r w:rsidRPr="00E84C93">
        <w:rPr>
          <w:lang w:val="sr-Cyrl-CS"/>
        </w:rPr>
        <w:t>остале опције: 1 милион t СМ/год.</w:t>
      </w:r>
    </w:p>
    <w:p w14:paraId="10E9A800" w14:textId="6F34B5A5" w:rsidR="0097382D" w:rsidRPr="00E84C93" w:rsidRDefault="0097382D" w:rsidP="0097382D">
      <w:pPr>
        <w:spacing w:after="0"/>
        <w:ind w:firstLine="714"/>
        <w:contextualSpacing/>
        <w:rPr>
          <w:lang w:val="sr-Cyrl-CS"/>
        </w:rPr>
      </w:pPr>
      <w:r w:rsidRPr="00E84C93">
        <w:rPr>
          <w:lang w:val="sr-Cyrl-CS"/>
        </w:rPr>
        <w:t xml:space="preserve">На нивоу </w:t>
      </w:r>
      <w:r w:rsidR="005C2504" w:rsidRPr="00E84C93">
        <w:rPr>
          <w:lang w:val="sr-Cyrl-CS"/>
        </w:rPr>
        <w:t xml:space="preserve">земаља чланица ЕУ </w:t>
      </w:r>
      <w:r w:rsidRPr="00E84C93">
        <w:rPr>
          <w:lang w:val="sr-Cyrl-CS"/>
        </w:rPr>
        <w:t xml:space="preserve">у примени су следеће опције </w:t>
      </w:r>
      <w:r w:rsidR="00896CA5" w:rsidRPr="00E84C93">
        <w:rPr>
          <w:lang w:val="sr-Cyrl-CS"/>
        </w:rPr>
        <w:t>управљања</w:t>
      </w:r>
      <w:r w:rsidRPr="00E84C93">
        <w:rPr>
          <w:lang w:val="sr-Cyrl-CS"/>
        </w:rPr>
        <w:t xml:space="preserve"> муљ</w:t>
      </w:r>
      <w:r w:rsidR="00896CA5" w:rsidRPr="00E84C93">
        <w:rPr>
          <w:lang w:val="sr-Cyrl-CS"/>
        </w:rPr>
        <w:t>ем</w:t>
      </w:r>
      <w:r w:rsidRPr="00E84C93">
        <w:rPr>
          <w:lang w:val="sr-Cyrl-CS"/>
        </w:rPr>
        <w:t>:</w:t>
      </w:r>
    </w:p>
    <w:p w14:paraId="6EDEC7C3" w14:textId="7DE58BAC" w:rsidR="0097382D" w:rsidRPr="00E84C93" w:rsidRDefault="0097382D" w:rsidP="00A639E9">
      <w:pPr>
        <w:pStyle w:val="ListParagraph"/>
        <w:numPr>
          <w:ilvl w:val="0"/>
          <w:numId w:val="27"/>
        </w:numPr>
        <w:tabs>
          <w:tab w:val="left" w:pos="1134"/>
        </w:tabs>
        <w:spacing w:after="0"/>
        <w:ind w:left="0" w:firstLine="714"/>
        <w:jc w:val="both"/>
        <w:rPr>
          <w:lang w:val="sr-Cyrl-CS"/>
        </w:rPr>
      </w:pPr>
      <w:r w:rsidRPr="00E84C93">
        <w:rPr>
          <w:lang w:val="sr-Cyrl-CS"/>
        </w:rPr>
        <w:t>употреба у пољопривреди је главна опција на Кипру, у Данској, Француској, Ирској, Норвешкој, Португалу, Словачкој, Шпанији и Великој Британији</w:t>
      </w:r>
      <w:r w:rsidR="00D60A17" w:rsidRPr="00E84C93">
        <w:rPr>
          <w:lang w:val="sr-Cyrl-CS"/>
        </w:rPr>
        <w:t>;</w:t>
      </w:r>
    </w:p>
    <w:p w14:paraId="73A273C8" w14:textId="045F03B0" w:rsidR="0097382D" w:rsidRPr="00E84C93" w:rsidRDefault="005C2504" w:rsidP="00D75873">
      <w:pPr>
        <w:pStyle w:val="ListParagraph"/>
        <w:numPr>
          <w:ilvl w:val="0"/>
          <w:numId w:val="27"/>
        </w:numPr>
        <w:rPr>
          <w:lang w:val="sr-Cyrl-CS"/>
        </w:rPr>
      </w:pPr>
      <w:r w:rsidRPr="00E84C93">
        <w:rPr>
          <w:lang w:val="sr-Cyrl-CS"/>
        </w:rPr>
        <w:t>с</w:t>
      </w:r>
      <w:r w:rsidR="0097382D" w:rsidRPr="00E84C93">
        <w:rPr>
          <w:lang w:val="sr-Cyrl-CS"/>
        </w:rPr>
        <w:t>паљивање је једина опција у региону Фландрије и Холандије</w:t>
      </w:r>
      <w:r w:rsidR="00346FE3" w:rsidRPr="00E84C93">
        <w:rPr>
          <w:lang w:val="sr-Cyrl-CS"/>
        </w:rPr>
        <w:t>;</w:t>
      </w:r>
    </w:p>
    <w:p w14:paraId="3A40A7E2" w14:textId="48400B61" w:rsidR="0097382D" w:rsidRPr="00E84C93" w:rsidRDefault="00041A44" w:rsidP="00D75873">
      <w:pPr>
        <w:pStyle w:val="ListParagraph"/>
        <w:numPr>
          <w:ilvl w:val="0"/>
          <w:numId w:val="27"/>
        </w:numPr>
        <w:rPr>
          <w:lang w:val="sr-Cyrl-CS"/>
        </w:rPr>
      </w:pPr>
      <w:r w:rsidRPr="00E84C93">
        <w:rPr>
          <w:lang w:val="sr-Cyrl-CS"/>
        </w:rPr>
        <w:t>рекултивација</w:t>
      </w:r>
      <w:r w:rsidR="0097382D" w:rsidRPr="00E84C93">
        <w:rPr>
          <w:lang w:val="sr-Cyrl-CS"/>
        </w:rPr>
        <w:t xml:space="preserve"> је веома важно решење у Финској и Шведској</w:t>
      </w:r>
      <w:r w:rsidR="00346FE3" w:rsidRPr="00E84C93">
        <w:rPr>
          <w:lang w:val="sr-Cyrl-CS"/>
        </w:rPr>
        <w:t>;</w:t>
      </w:r>
    </w:p>
    <w:p w14:paraId="5D75560D" w14:textId="35FB4915" w:rsidR="0097382D" w:rsidRPr="00E84C93" w:rsidRDefault="00A639E9" w:rsidP="00A639E9">
      <w:pPr>
        <w:pStyle w:val="ListParagraph"/>
        <w:numPr>
          <w:ilvl w:val="0"/>
          <w:numId w:val="27"/>
        </w:numPr>
        <w:tabs>
          <w:tab w:val="left" w:pos="851"/>
          <w:tab w:val="left" w:pos="993"/>
        </w:tabs>
        <w:ind w:left="0" w:firstLine="714"/>
        <w:rPr>
          <w:lang w:val="sr-Cyrl-CS"/>
        </w:rPr>
      </w:pPr>
      <w:r w:rsidRPr="00E84C93">
        <w:rPr>
          <w:lang w:val="sr-Cyrl-CS"/>
        </w:rPr>
        <w:lastRenderedPageBreak/>
        <w:t xml:space="preserve"> </w:t>
      </w:r>
      <w:r w:rsidR="0097382D" w:rsidRPr="00E84C93">
        <w:rPr>
          <w:lang w:val="sr-Cyrl-CS"/>
        </w:rPr>
        <w:t>Немачка, регион Валоније, Чешка</w:t>
      </w:r>
      <w:r w:rsidR="00896CA5" w:rsidRPr="00E84C93">
        <w:rPr>
          <w:lang w:val="sr-Cyrl-CS"/>
        </w:rPr>
        <w:t xml:space="preserve"> и</w:t>
      </w:r>
      <w:r w:rsidR="0097382D" w:rsidRPr="00E84C93">
        <w:rPr>
          <w:lang w:val="sr-Cyrl-CS"/>
        </w:rPr>
        <w:t xml:space="preserve"> Пољска </w:t>
      </w:r>
      <w:r w:rsidR="00896CA5" w:rsidRPr="00E84C93">
        <w:rPr>
          <w:lang w:val="sr-Cyrl-CS"/>
        </w:rPr>
        <w:t>примењују</w:t>
      </w:r>
      <w:r w:rsidR="0097382D" w:rsidRPr="00E84C93">
        <w:rPr>
          <w:lang w:val="sr-Cyrl-CS"/>
        </w:rPr>
        <w:t xml:space="preserve"> </w:t>
      </w:r>
      <w:r w:rsidR="00896CA5" w:rsidRPr="00E84C93">
        <w:rPr>
          <w:lang w:val="sr-Cyrl-CS"/>
        </w:rPr>
        <w:t>комбинацију</w:t>
      </w:r>
      <w:r w:rsidR="0097382D" w:rsidRPr="00E84C93">
        <w:rPr>
          <w:lang w:val="sr-Cyrl-CS"/>
        </w:rPr>
        <w:t xml:space="preserve"> </w:t>
      </w:r>
      <w:r w:rsidR="00896CA5" w:rsidRPr="00E84C93">
        <w:rPr>
          <w:lang w:val="sr-Cyrl-CS"/>
        </w:rPr>
        <w:t xml:space="preserve">више </w:t>
      </w:r>
      <w:r w:rsidR="0097382D" w:rsidRPr="00E84C93">
        <w:rPr>
          <w:lang w:val="sr-Cyrl-CS"/>
        </w:rPr>
        <w:t>опција</w:t>
      </w:r>
      <w:r w:rsidR="00346FE3" w:rsidRPr="00E84C93">
        <w:rPr>
          <w:lang w:val="sr-Cyrl-CS"/>
        </w:rPr>
        <w:t>;</w:t>
      </w:r>
    </w:p>
    <w:p w14:paraId="79731F77" w14:textId="11B6572E" w:rsidR="0097382D" w:rsidRPr="00E84C93" w:rsidRDefault="005C2504" w:rsidP="00D75873">
      <w:pPr>
        <w:pStyle w:val="ListParagraph"/>
        <w:numPr>
          <w:ilvl w:val="0"/>
          <w:numId w:val="27"/>
        </w:numPr>
        <w:rPr>
          <w:lang w:val="sr-Cyrl-CS"/>
        </w:rPr>
      </w:pPr>
      <w:r w:rsidRPr="00E84C93">
        <w:rPr>
          <w:lang w:val="sr-Cyrl-CS"/>
        </w:rPr>
        <w:t>о</w:t>
      </w:r>
      <w:r w:rsidR="0097382D" w:rsidRPr="00E84C93">
        <w:rPr>
          <w:lang w:val="sr-Cyrl-CS"/>
        </w:rPr>
        <w:t xml:space="preserve">длагање </w:t>
      </w:r>
      <w:r w:rsidR="00896CA5" w:rsidRPr="00E84C93">
        <w:rPr>
          <w:lang w:val="sr-Cyrl-CS"/>
        </w:rPr>
        <w:t>муља на депоније</w:t>
      </w:r>
      <w:r w:rsidR="0097382D" w:rsidRPr="00E84C93">
        <w:rPr>
          <w:lang w:val="sr-Cyrl-CS"/>
        </w:rPr>
        <w:t xml:space="preserve"> остаје главна опција на Малти и у Румунији.</w:t>
      </w:r>
    </w:p>
    <w:p w14:paraId="2EBDE71D" w14:textId="22EE2D10" w:rsidR="0097382D" w:rsidRPr="00E84C93" w:rsidRDefault="0097382D" w:rsidP="00896CA5">
      <w:pPr>
        <w:ind w:firstLine="714"/>
        <w:jc w:val="both"/>
        <w:rPr>
          <w:lang w:val="sr-Cyrl-CS"/>
        </w:rPr>
      </w:pPr>
      <w:r w:rsidRPr="00E84C93">
        <w:rPr>
          <w:lang w:val="sr-Cyrl-CS"/>
        </w:rPr>
        <w:t>Слике</w:t>
      </w:r>
      <w:r w:rsidR="00896CA5" w:rsidRPr="00E84C93">
        <w:rPr>
          <w:lang w:val="sr-Cyrl-CS"/>
        </w:rPr>
        <w:t xml:space="preserve"> 3.1. и 3.2. </w:t>
      </w:r>
      <w:r w:rsidRPr="00E84C93">
        <w:rPr>
          <w:lang w:val="sr-Cyrl-CS"/>
        </w:rPr>
        <w:t xml:space="preserve">илуструју управљање муљем у земљама чланицама ЕУ и удео примењених </w:t>
      </w:r>
      <w:r w:rsidR="00896CA5" w:rsidRPr="00E84C93">
        <w:rPr>
          <w:lang w:val="sr-Cyrl-CS"/>
        </w:rPr>
        <w:t>опција управљања</w:t>
      </w:r>
      <w:r w:rsidRPr="00E84C93">
        <w:rPr>
          <w:lang w:val="sr-Cyrl-CS"/>
        </w:rPr>
        <w:t xml:space="preserve"> муљ</w:t>
      </w:r>
      <w:r w:rsidR="00896CA5" w:rsidRPr="00E84C93">
        <w:rPr>
          <w:lang w:val="sr-Cyrl-CS"/>
        </w:rPr>
        <w:t>ем</w:t>
      </w:r>
      <w:r w:rsidRPr="00E84C93">
        <w:rPr>
          <w:lang w:val="sr-Cyrl-CS"/>
        </w:rPr>
        <w:t>.</w:t>
      </w:r>
    </w:p>
    <w:p w14:paraId="2643749D" w14:textId="77777777" w:rsidR="00896CA5" w:rsidRPr="00E84C93" w:rsidRDefault="00896CA5" w:rsidP="00896CA5">
      <w:pPr>
        <w:ind w:firstLine="714"/>
        <w:jc w:val="both"/>
        <w:rPr>
          <w:lang w:val="sr-Cyrl-CS"/>
        </w:rPr>
      </w:pPr>
    </w:p>
    <w:p w14:paraId="19A72522" w14:textId="71FE924D" w:rsidR="004269CA" w:rsidRPr="00E84C93" w:rsidRDefault="00280669" w:rsidP="004269CA">
      <w:pPr>
        <w:rPr>
          <w:lang w:val="sr-Cyrl-CS"/>
        </w:rPr>
      </w:pPr>
      <w:r w:rsidRPr="00E84C93">
        <w:rPr>
          <w:noProof/>
        </w:rPr>
        <w:drawing>
          <wp:inline distT="0" distB="0" distL="0" distR="0" wp14:anchorId="4E0291B8" wp14:editId="31667E82">
            <wp:extent cx="4371975" cy="22860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1975" cy="2286000"/>
                    </a:xfrm>
                    <a:prstGeom prst="rect">
                      <a:avLst/>
                    </a:prstGeom>
                    <a:noFill/>
                    <a:ln>
                      <a:noFill/>
                    </a:ln>
                  </pic:spPr>
                </pic:pic>
              </a:graphicData>
            </a:graphic>
          </wp:inline>
        </w:drawing>
      </w:r>
    </w:p>
    <w:p w14:paraId="3C483868" w14:textId="1B5C222E" w:rsidR="004269CA" w:rsidRPr="00E84C93" w:rsidRDefault="008C7EDF" w:rsidP="00280669">
      <w:pPr>
        <w:pStyle w:val="Caption"/>
        <w:rPr>
          <w:lang w:val="sr-Cyrl-CS" w:eastAsia="x-none"/>
        </w:rPr>
      </w:pPr>
      <w:bookmarkStart w:id="11" w:name="_Ref86218763"/>
      <w:bookmarkStart w:id="12" w:name="_Toc86992701"/>
      <w:bookmarkStart w:id="13" w:name="_Toc92359033"/>
      <w:r w:rsidRPr="00E84C93">
        <w:rPr>
          <w:b/>
          <w:lang w:val="sr-Cyrl-CS"/>
        </w:rPr>
        <w:t>Слика 3.1.</w:t>
      </w:r>
      <w:r w:rsidRPr="00E84C93">
        <w:rPr>
          <w:lang w:val="sr-Cyrl-CS"/>
        </w:rPr>
        <w:t xml:space="preserve"> Управљање муљем из постројења за пречишћавање отпадних вода у ЕУ</w:t>
      </w:r>
      <w:bookmarkEnd w:id="11"/>
      <w:r w:rsidR="004269CA" w:rsidRPr="00E84C93">
        <w:rPr>
          <w:lang w:val="sr-Cyrl-CS"/>
        </w:rPr>
        <w:t xml:space="preserve"> (%)</w:t>
      </w:r>
      <w:bookmarkEnd w:id="12"/>
      <w:bookmarkEnd w:id="13"/>
    </w:p>
    <w:p w14:paraId="1DA4D3B2" w14:textId="006D3428" w:rsidR="008C7EDF" w:rsidRPr="00E84C93" w:rsidRDefault="008C7EDF" w:rsidP="00280669">
      <w:pPr>
        <w:pStyle w:val="Caption"/>
        <w:rPr>
          <w:lang w:val="sr-Cyrl-CS"/>
        </w:rPr>
      </w:pPr>
      <w:bookmarkStart w:id="14" w:name="_Ref86218772"/>
      <w:bookmarkStart w:id="15" w:name="_Toc86992702"/>
      <w:bookmarkStart w:id="16" w:name="_Toc92359034"/>
    </w:p>
    <w:bookmarkEnd w:id="14"/>
    <w:bookmarkEnd w:id="15"/>
    <w:bookmarkEnd w:id="16"/>
    <w:p w14:paraId="13FA183F" w14:textId="42CD4311" w:rsidR="00280669" w:rsidRPr="00E84C93" w:rsidRDefault="00280669" w:rsidP="00280669">
      <w:pPr>
        <w:pStyle w:val="Caption"/>
        <w:rPr>
          <w:lang w:val="sr-Cyrl-CS"/>
        </w:rPr>
      </w:pPr>
      <w:r w:rsidRPr="00E84C93">
        <w:rPr>
          <w:noProof/>
          <w:lang w:val="en-US" w:eastAsia="en-US"/>
        </w:rPr>
        <w:drawing>
          <wp:inline distT="0" distB="0" distL="0" distR="0" wp14:anchorId="3BF49DE3" wp14:editId="0215CA15">
            <wp:extent cx="5724525" cy="306705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067050"/>
                    </a:xfrm>
                    <a:prstGeom prst="rect">
                      <a:avLst/>
                    </a:prstGeom>
                    <a:noFill/>
                    <a:ln>
                      <a:noFill/>
                    </a:ln>
                  </pic:spPr>
                </pic:pic>
              </a:graphicData>
            </a:graphic>
          </wp:inline>
        </w:drawing>
      </w:r>
      <w:r w:rsidRPr="00E84C93">
        <w:rPr>
          <w:lang w:val="sr-Cyrl-CS"/>
        </w:rPr>
        <w:br/>
      </w:r>
    </w:p>
    <w:p w14:paraId="75DFC5E7" w14:textId="77777777" w:rsidR="00280669" w:rsidRPr="00E84C93" w:rsidRDefault="00280669" w:rsidP="00280669">
      <w:pPr>
        <w:pStyle w:val="Caption"/>
        <w:rPr>
          <w:color w:val="000000" w:themeColor="text1"/>
          <w:lang w:val="sr-Cyrl-CS" w:eastAsia="x-none"/>
        </w:rPr>
      </w:pPr>
      <w:r w:rsidRPr="00E84C93">
        <w:rPr>
          <w:b/>
          <w:color w:val="000000" w:themeColor="text1"/>
          <w:lang w:val="sr-Cyrl-CS"/>
        </w:rPr>
        <w:t>Слика 3.2.</w:t>
      </w:r>
      <w:r w:rsidRPr="00E84C93">
        <w:rPr>
          <w:color w:val="000000" w:themeColor="text1"/>
          <w:lang w:val="sr-Cyrl-CS"/>
        </w:rPr>
        <w:t xml:space="preserve"> Управљање муљем из постројења за пречишћавање отпадних вода у земљама чланицама ЕУ (%)</w:t>
      </w:r>
    </w:p>
    <w:p w14:paraId="24B832DE" w14:textId="77777777" w:rsidR="00280669" w:rsidRPr="00E84C93" w:rsidRDefault="00280669" w:rsidP="00280669">
      <w:pPr>
        <w:pStyle w:val="Caption"/>
        <w:rPr>
          <w:lang w:val="sr-Cyrl-CS"/>
        </w:rPr>
      </w:pPr>
    </w:p>
    <w:p w14:paraId="3BF126F7" w14:textId="77777777" w:rsidR="00280669" w:rsidRPr="00E84C93" w:rsidRDefault="00280669" w:rsidP="00280669">
      <w:pPr>
        <w:rPr>
          <w:lang w:val="sr-Cyrl-CS" w:eastAsia="de-AT"/>
        </w:rPr>
      </w:pPr>
    </w:p>
    <w:p w14:paraId="2E2F065F" w14:textId="713EB860" w:rsidR="00C7465A" w:rsidRPr="00E84C93" w:rsidRDefault="00EC4CE0" w:rsidP="00DF360D">
      <w:pPr>
        <w:pStyle w:val="Heading2"/>
        <w:numPr>
          <w:ilvl w:val="1"/>
          <w:numId w:val="8"/>
        </w:numPr>
        <w:ind w:hanging="720"/>
        <w:rPr>
          <w:noProof/>
          <w:lang w:val="sr-Cyrl-CS"/>
        </w:rPr>
      </w:pPr>
      <w:bookmarkStart w:id="17" w:name="_Toc99920891"/>
      <w:r w:rsidRPr="00E84C93">
        <w:rPr>
          <w:noProof/>
          <w:lang w:val="sr-Cyrl-CS"/>
        </w:rPr>
        <w:lastRenderedPageBreak/>
        <w:t>Инфраструктура за сакупљање отпадних вода</w:t>
      </w:r>
      <w:r w:rsidR="004269CA" w:rsidRPr="00E84C93">
        <w:rPr>
          <w:noProof/>
          <w:lang w:val="sr-Cyrl-CS"/>
        </w:rPr>
        <w:t xml:space="preserve"> у Републици Србији</w:t>
      </w:r>
      <w:bookmarkEnd w:id="17"/>
    </w:p>
    <w:p w14:paraId="6B645254" w14:textId="77777777" w:rsidR="00C7465A" w:rsidRPr="00E84C93" w:rsidRDefault="00C7465A" w:rsidP="00C7465A">
      <w:pPr>
        <w:pStyle w:val="Heading2"/>
        <w:ind w:left="540"/>
        <w:rPr>
          <w:noProof/>
          <w:lang w:val="sr-Cyrl-CS"/>
        </w:rPr>
      </w:pPr>
    </w:p>
    <w:p w14:paraId="494F789D" w14:textId="65E8FFDE" w:rsidR="00DB371A" w:rsidRPr="00E84C93" w:rsidRDefault="00DB371A" w:rsidP="00C7465A">
      <w:pPr>
        <w:spacing w:after="0"/>
        <w:ind w:firstLine="720"/>
        <w:jc w:val="both"/>
        <w:rPr>
          <w:lang w:val="sr-Cyrl-CS"/>
        </w:rPr>
      </w:pPr>
      <w:r w:rsidRPr="00E84C93">
        <w:rPr>
          <w:lang w:val="sr-Cyrl-CS"/>
        </w:rPr>
        <w:t>Скоро 75% становништва Републике</w:t>
      </w:r>
      <w:r w:rsidR="00C427F1" w:rsidRPr="00E84C93">
        <w:rPr>
          <w:lang w:val="sr-Cyrl-CS"/>
        </w:rPr>
        <w:t xml:space="preserve"> Србије</w:t>
      </w:r>
      <w:r w:rsidRPr="00E84C93">
        <w:rPr>
          <w:lang w:val="sr-Cyrl-CS"/>
        </w:rPr>
        <w:t xml:space="preserve"> живи у насељима већим од 2.000 становника, у којима је просечна прикљученост на јавне канализационе системе око 72%, а на индивидуалне (септичке јаме) око 27%. </w:t>
      </w:r>
      <w:r w:rsidR="004306D8" w:rsidRPr="00E84C93">
        <w:rPr>
          <w:lang w:val="sr-Cyrl-CS"/>
        </w:rPr>
        <w:t>У насељима са мање од 2.000 становника, стопа прикључења на канализациони систем у просеку је мања од 5%.</w:t>
      </w:r>
    </w:p>
    <w:p w14:paraId="5C9A4711" w14:textId="35E1EF2E" w:rsidR="00D01E04" w:rsidRPr="00E84C93" w:rsidRDefault="00DB371A" w:rsidP="00C7465A">
      <w:pPr>
        <w:spacing w:after="0"/>
        <w:ind w:firstLine="720"/>
        <w:jc w:val="both"/>
        <w:rPr>
          <w:lang w:val="sr-Cyrl-CS"/>
        </w:rPr>
      </w:pPr>
      <w:r w:rsidRPr="00E84C93">
        <w:rPr>
          <w:lang w:val="sr-Cyrl-CS"/>
        </w:rPr>
        <w:t xml:space="preserve">Стање изграђености система за прикупљање и евакуацију (примарна и секундарна канализациона мрежа и главни канализациони колектори) и пречишћавање отпадних вода насеља је на ниском нивоу у односу на европске стандарде. Ово се нарочито односи на стање изграђености </w:t>
      </w:r>
      <w:r w:rsidR="0016531B" w:rsidRPr="00E84C93">
        <w:rPr>
          <w:rFonts w:cs="Times New Roman"/>
          <w:lang w:val="sr-Cyrl-CS"/>
        </w:rPr>
        <w:t>постројења за пречишћавање отпадних вода</w:t>
      </w:r>
      <w:r w:rsidRPr="00E84C93">
        <w:rPr>
          <w:lang w:val="sr-Cyrl-CS"/>
        </w:rPr>
        <w:t xml:space="preserve">, па се већина отпадних вода насеља без </w:t>
      </w:r>
      <w:r w:rsidR="00C427F1" w:rsidRPr="00E84C93">
        <w:rPr>
          <w:lang w:val="sr-Cyrl-CS"/>
        </w:rPr>
        <w:t>претходног</w:t>
      </w:r>
      <w:r w:rsidRPr="00E84C93">
        <w:rPr>
          <w:lang w:val="sr-Cyrl-CS"/>
        </w:rPr>
        <w:t xml:space="preserve"> пречишћавања упушта у реципијенте. </w:t>
      </w:r>
    </w:p>
    <w:p w14:paraId="4823CAB2" w14:textId="4FAEF2E7" w:rsidR="00C7465A" w:rsidRPr="00E84C93" w:rsidRDefault="00DB371A" w:rsidP="00C7465A">
      <w:pPr>
        <w:spacing w:after="0"/>
        <w:ind w:firstLine="720"/>
        <w:jc w:val="both"/>
        <w:rPr>
          <w:lang w:val="sr-Cyrl-CS"/>
        </w:rPr>
      </w:pPr>
      <w:r w:rsidRPr="00E84C93">
        <w:rPr>
          <w:lang w:val="sr-Cyrl-CS"/>
        </w:rPr>
        <w:t>У односу на укуп</w:t>
      </w:r>
      <w:r w:rsidR="00C427F1" w:rsidRPr="00E84C93">
        <w:rPr>
          <w:lang w:val="sr-Cyrl-CS"/>
        </w:rPr>
        <w:t>ан</w:t>
      </w:r>
      <w:r w:rsidRPr="00E84C93">
        <w:rPr>
          <w:lang w:val="sr-Cyrl-CS"/>
        </w:rPr>
        <w:t xml:space="preserve"> број становника у Републици Србији прикљученост на јавне канализационе системе износи око 5</w:t>
      </w:r>
      <w:r w:rsidR="001B3C15" w:rsidRPr="00E84C93">
        <w:rPr>
          <w:lang w:val="sr-Cyrl-CS"/>
        </w:rPr>
        <w:t>5</w:t>
      </w:r>
      <w:r w:rsidRPr="00E84C93">
        <w:rPr>
          <w:lang w:val="sr-Cyrl-CS"/>
        </w:rPr>
        <w:t xml:space="preserve"> %</w:t>
      </w:r>
      <w:r w:rsidR="00D01E04" w:rsidRPr="00E84C93">
        <w:rPr>
          <w:lang w:val="sr-Cyrl-CS"/>
        </w:rPr>
        <w:t xml:space="preserve"> (60% домаћинстава)</w:t>
      </w:r>
      <w:r w:rsidR="004306D8" w:rsidRPr="00E84C93">
        <w:rPr>
          <w:lang w:val="sr-Cyrl-CS"/>
        </w:rPr>
        <w:t>.</w:t>
      </w:r>
      <w:r w:rsidR="00D01E04" w:rsidRPr="00E84C93">
        <w:rPr>
          <w:rFonts w:cs="Times New Roman"/>
          <w:szCs w:val="24"/>
          <w:lang w:val="sr-Cyrl-CS"/>
        </w:rPr>
        <w:t xml:space="preserve"> </w:t>
      </w:r>
      <w:r w:rsidR="004306D8" w:rsidRPr="00E84C93">
        <w:rPr>
          <w:rFonts w:cs="Times New Roman"/>
          <w:szCs w:val="24"/>
          <w:lang w:val="sr-Cyrl-CS"/>
        </w:rPr>
        <w:t xml:space="preserve">Само </w:t>
      </w:r>
      <w:r w:rsidR="00C427F1" w:rsidRPr="00E84C93">
        <w:rPr>
          <w:lang w:val="sr-Cyrl-CS"/>
        </w:rPr>
        <w:t>с</w:t>
      </w:r>
      <w:r w:rsidR="004306D8" w:rsidRPr="00E84C93">
        <w:rPr>
          <w:lang w:val="sr-Cyrl-CS"/>
        </w:rPr>
        <w:t>е 15% прикупљених отпадних вода третира (</w:t>
      </w:r>
      <w:r w:rsidR="004306D8" w:rsidRPr="00E84C93">
        <w:rPr>
          <w:rFonts w:cs="Times New Roman"/>
          <w:szCs w:val="24"/>
          <w:lang w:val="sr-Cyrl-CS"/>
        </w:rPr>
        <w:t>Статистички годишњак Републике Србије 2021)</w:t>
      </w:r>
      <w:r w:rsidR="00C7465A" w:rsidRPr="00E84C93">
        <w:rPr>
          <w:lang w:val="sr-Cyrl-CS"/>
        </w:rPr>
        <w:t>.</w:t>
      </w:r>
    </w:p>
    <w:p w14:paraId="4D0F66BB" w14:textId="77777777" w:rsidR="00C7465A" w:rsidRPr="00E84C93" w:rsidRDefault="00C7465A" w:rsidP="00C7465A">
      <w:pPr>
        <w:pStyle w:val="Heading2"/>
        <w:rPr>
          <w:noProof/>
          <w:lang w:val="sr-Cyrl-CS"/>
        </w:rPr>
      </w:pPr>
    </w:p>
    <w:p w14:paraId="2A43D3E2" w14:textId="10BA7694" w:rsidR="00BF3637" w:rsidRPr="00E84C93" w:rsidRDefault="000D592A" w:rsidP="00DF360D">
      <w:pPr>
        <w:pStyle w:val="Heading2"/>
        <w:numPr>
          <w:ilvl w:val="1"/>
          <w:numId w:val="8"/>
        </w:numPr>
        <w:ind w:hanging="720"/>
        <w:rPr>
          <w:noProof/>
          <w:lang w:val="sr-Cyrl-CS"/>
        </w:rPr>
      </w:pPr>
      <w:bookmarkStart w:id="18" w:name="_Toc99920892"/>
      <w:r w:rsidRPr="00E84C93">
        <w:rPr>
          <w:noProof/>
          <w:lang w:val="sr-Cyrl-CS"/>
        </w:rPr>
        <w:t>П</w:t>
      </w:r>
      <w:r w:rsidR="00BF3637" w:rsidRPr="00E84C93">
        <w:rPr>
          <w:noProof/>
          <w:lang w:val="sr-Cyrl-CS"/>
        </w:rPr>
        <w:t>остројења за пречишћавање отпадних вода</w:t>
      </w:r>
      <w:r w:rsidR="004269CA" w:rsidRPr="00E84C93">
        <w:rPr>
          <w:noProof/>
          <w:lang w:val="sr-Cyrl-CS"/>
        </w:rPr>
        <w:t xml:space="preserve"> у Републици Србији</w:t>
      </w:r>
      <w:bookmarkEnd w:id="18"/>
    </w:p>
    <w:p w14:paraId="32553CC6" w14:textId="4B5D0642" w:rsidR="00BF3637" w:rsidRPr="00E84C93" w:rsidRDefault="00BF3637" w:rsidP="008033D0">
      <w:pPr>
        <w:pStyle w:val="TOC2"/>
        <w:rPr>
          <w:noProof/>
          <w:webHidden/>
          <w:lang w:val="sr-Cyrl-CS"/>
        </w:rPr>
      </w:pPr>
      <w:r w:rsidRPr="00E84C93">
        <w:rPr>
          <w:noProof/>
          <w:webHidden/>
          <w:lang w:val="sr-Cyrl-CS"/>
        </w:rPr>
        <w:tab/>
      </w:r>
    </w:p>
    <w:p w14:paraId="79DFFAFF" w14:textId="4EFB0B38" w:rsidR="008044D4" w:rsidRPr="00E84C93" w:rsidRDefault="00396006" w:rsidP="008044D4">
      <w:pPr>
        <w:spacing w:after="0"/>
        <w:ind w:firstLine="720"/>
        <w:jc w:val="both"/>
        <w:rPr>
          <w:szCs w:val="24"/>
          <w:lang w:val="sr-Cyrl-CS"/>
        </w:rPr>
      </w:pPr>
      <w:r w:rsidRPr="00E84C93">
        <w:rPr>
          <w:szCs w:val="24"/>
          <w:lang w:val="sr-Cyrl-CS"/>
        </w:rPr>
        <w:t>У</w:t>
      </w:r>
      <w:r w:rsidR="0016531B" w:rsidRPr="00E84C93">
        <w:rPr>
          <w:szCs w:val="24"/>
          <w:lang w:val="sr-Cyrl-CS"/>
        </w:rPr>
        <w:t xml:space="preserve"> Републици</w:t>
      </w:r>
      <w:r w:rsidRPr="00E84C93">
        <w:rPr>
          <w:szCs w:val="24"/>
          <w:lang w:val="sr-Cyrl-CS"/>
        </w:rPr>
        <w:t xml:space="preserve"> Србији постоји </w:t>
      </w:r>
      <w:r w:rsidR="00F15D1E" w:rsidRPr="00E84C93">
        <w:rPr>
          <w:szCs w:val="24"/>
          <w:lang w:val="sr-Cyrl-CS"/>
        </w:rPr>
        <w:t>37</w:t>
      </w:r>
      <w:r w:rsidRPr="00E84C93">
        <w:rPr>
          <w:szCs w:val="24"/>
          <w:lang w:val="sr-Cyrl-CS"/>
        </w:rPr>
        <w:t xml:space="preserve"> </w:t>
      </w:r>
      <w:r w:rsidR="0016531B" w:rsidRPr="00E84C93">
        <w:rPr>
          <w:rFonts w:cs="Times New Roman"/>
          <w:szCs w:val="24"/>
          <w:lang w:val="sr-Cyrl-CS"/>
        </w:rPr>
        <w:t>постројења за пречишћавање отпадних вода</w:t>
      </w:r>
      <w:r w:rsidRPr="00E84C93">
        <w:rPr>
          <w:szCs w:val="24"/>
          <w:lang w:val="sr-Cyrl-CS"/>
        </w:rPr>
        <w:t xml:space="preserve">, од којих </w:t>
      </w:r>
      <w:r w:rsidR="00553C09" w:rsidRPr="00E84C93">
        <w:rPr>
          <w:szCs w:val="24"/>
          <w:lang w:val="sr-Cyrl-CS"/>
        </w:rPr>
        <w:t>нека нису у функцији, а нека не</w:t>
      </w:r>
      <w:r w:rsidRPr="00E84C93">
        <w:rPr>
          <w:szCs w:val="24"/>
          <w:lang w:val="sr-Cyrl-CS"/>
        </w:rPr>
        <w:t xml:space="preserve"> раде пуним капацитетом, </w:t>
      </w:r>
      <w:r w:rsidR="00553C09" w:rsidRPr="00E84C93">
        <w:rPr>
          <w:szCs w:val="24"/>
          <w:lang w:val="sr-Cyrl-CS"/>
        </w:rPr>
        <w:t>док</w:t>
      </w:r>
      <w:r w:rsidRPr="00E84C93">
        <w:rPr>
          <w:szCs w:val="24"/>
          <w:lang w:val="sr-Cyrl-CS"/>
        </w:rPr>
        <w:t xml:space="preserve"> је известан број њих преоптерећен. </w:t>
      </w:r>
      <w:r w:rsidR="00C427F1" w:rsidRPr="00E84C93">
        <w:rPr>
          <w:szCs w:val="24"/>
          <w:lang w:val="sr-Cyrl-CS"/>
        </w:rPr>
        <w:t>О</w:t>
      </w:r>
      <w:r w:rsidRPr="00E84C93">
        <w:rPr>
          <w:szCs w:val="24"/>
          <w:lang w:val="sr-Cyrl-CS"/>
        </w:rPr>
        <w:t>перативни</w:t>
      </w:r>
      <w:r w:rsidR="00553C09" w:rsidRPr="00E84C93">
        <w:rPr>
          <w:szCs w:val="24"/>
          <w:lang w:val="sr-Cyrl-CS"/>
        </w:rPr>
        <w:t>, пројектовани,</w:t>
      </w:r>
      <w:r w:rsidRPr="00E84C93">
        <w:rPr>
          <w:szCs w:val="24"/>
          <w:lang w:val="sr-Cyrl-CS"/>
        </w:rPr>
        <w:t xml:space="preserve"> капацитет </w:t>
      </w:r>
      <w:r w:rsidR="00553C09" w:rsidRPr="00E84C93">
        <w:rPr>
          <w:szCs w:val="24"/>
          <w:lang w:val="sr-Cyrl-CS"/>
        </w:rPr>
        <w:t xml:space="preserve">ових </w:t>
      </w:r>
      <w:r w:rsidR="0016531B" w:rsidRPr="00E84C93">
        <w:rPr>
          <w:rFonts w:cs="Times New Roman"/>
          <w:szCs w:val="24"/>
          <w:lang w:val="sr-Cyrl-CS"/>
        </w:rPr>
        <w:t>постројења за пречишћавање отпадних вода</w:t>
      </w:r>
      <w:r w:rsidRPr="00E84C93">
        <w:rPr>
          <w:szCs w:val="24"/>
          <w:lang w:val="sr-Cyrl-CS"/>
        </w:rPr>
        <w:t xml:space="preserve"> је приближно 1,3 милиона</w:t>
      </w:r>
      <w:r w:rsidR="00064A97" w:rsidRPr="00E84C93">
        <w:rPr>
          <w:szCs w:val="24"/>
          <w:lang w:val="sr-Cyrl-CS"/>
        </w:rPr>
        <w:t xml:space="preserve"> </w:t>
      </w:r>
      <w:r w:rsidR="008C7EDF" w:rsidRPr="00E84C93">
        <w:rPr>
          <w:szCs w:val="24"/>
          <w:lang w:val="sr-Cyrl-CS"/>
        </w:rPr>
        <w:t>ЕС</w:t>
      </w:r>
      <w:r w:rsidRPr="00E84C93">
        <w:rPr>
          <w:szCs w:val="24"/>
          <w:lang w:val="sr-Cyrl-CS"/>
        </w:rPr>
        <w:t>, али сматра се да је стварна стопа оптерећења нешто нижа и да износи око 0,9 милиона</w:t>
      </w:r>
      <w:r w:rsidR="00064A97" w:rsidRPr="00E84C93">
        <w:rPr>
          <w:szCs w:val="24"/>
          <w:lang w:val="sr-Cyrl-CS"/>
        </w:rPr>
        <w:t xml:space="preserve"> </w:t>
      </w:r>
      <w:r w:rsidR="008C7EDF" w:rsidRPr="00E84C93">
        <w:rPr>
          <w:szCs w:val="24"/>
          <w:lang w:val="sr-Cyrl-CS"/>
        </w:rPr>
        <w:t>ЕС</w:t>
      </w:r>
      <w:r w:rsidRPr="00E84C93">
        <w:rPr>
          <w:szCs w:val="24"/>
          <w:lang w:val="sr-Cyrl-CS"/>
        </w:rPr>
        <w:t>.</w:t>
      </w:r>
      <w:r w:rsidR="00553C09" w:rsidRPr="00E84C93">
        <w:rPr>
          <w:szCs w:val="24"/>
          <w:lang w:val="sr-Cyrl-CS"/>
        </w:rPr>
        <w:t xml:space="preserve"> Нека од ових </w:t>
      </w:r>
      <w:r w:rsidR="00553C09" w:rsidRPr="00E84C93">
        <w:rPr>
          <w:rFonts w:cs="Times New Roman"/>
          <w:szCs w:val="24"/>
          <w:lang w:val="sr-Cyrl-CS"/>
        </w:rPr>
        <w:t>постројења су</w:t>
      </w:r>
      <w:r w:rsidR="00553C09" w:rsidRPr="00E84C93">
        <w:rPr>
          <w:szCs w:val="24"/>
          <w:lang w:val="sr-Cyrl-CS"/>
        </w:rPr>
        <w:t xml:space="preserve"> у процесу санације или реконструкције.</w:t>
      </w:r>
      <w:r w:rsidR="008044D4" w:rsidRPr="00E84C93">
        <w:rPr>
          <w:szCs w:val="24"/>
          <w:lang w:val="sr-Cyrl-CS"/>
        </w:rPr>
        <w:t xml:space="preserve"> </w:t>
      </w:r>
      <w:bookmarkStart w:id="19" w:name="_Toc95128163"/>
      <w:r w:rsidR="008044D4" w:rsidRPr="00E84C93">
        <w:rPr>
          <w:szCs w:val="24"/>
          <w:lang w:val="sr-Cyrl-CS"/>
        </w:rPr>
        <w:t>Постојећа постројења за пречишћавање отпадних вода у Републици Србији</w:t>
      </w:r>
      <w:bookmarkEnd w:id="19"/>
      <w:r w:rsidR="008044D4" w:rsidRPr="00E84C93">
        <w:rPr>
          <w:szCs w:val="24"/>
          <w:lang w:val="sr-Cyrl-CS"/>
        </w:rPr>
        <w:t xml:space="preserve"> се налазе на следећим локацијама: Суботица, Бачка Топола, Бачка Топола (Стара Моравица), Кикинда, Ада, Кањижа, Сента, Алибунар, Вршац, Ковачица, Пландиште, Сомбор, Сремска Митровица, Пећинци, Бач, Бачки Петровац, Бачки</w:t>
      </w:r>
      <w:r w:rsidR="00B831F7" w:rsidRPr="00E84C93">
        <w:rPr>
          <w:szCs w:val="24"/>
          <w:lang w:val="sr-Cyrl-CS"/>
        </w:rPr>
        <w:t xml:space="preserve"> </w:t>
      </w:r>
      <w:r w:rsidR="008044D4" w:rsidRPr="00E84C93">
        <w:rPr>
          <w:szCs w:val="24"/>
          <w:lang w:val="sr-Cyrl-CS"/>
        </w:rPr>
        <w:t xml:space="preserve">Петровац (Маглић), Шабац, Мали Зворник, Ваљево, Лајковац, Велика Плана, Крагујевац, Аранђеловац (село Бања), Аранђеловац (село Даросава), Топола, Јагодина, Бор, Бољевац,  Горњи Милановац, Крушевац, Лесковац, Рашка, Црна Трава, Сурдулица, Трговиште, Врбас-Кула (30% капацитета). Наведена постројења у локалним самоуправама: Горњи Милановац, Ковачица, Мали Зворник, Сурдулица, Трговиште и Црна Трава имају само примарно пречишћавање отпадних вода. Пројектовани капацитет већи од 150.000 ЕC имају постројења у три јединице локалне самоуправе: Крагујевац (250.000 ЕC), Сомбор (180.000 ЕC) и Суботица (150.000 ЕC). </w:t>
      </w:r>
    </w:p>
    <w:p w14:paraId="4AC5F6C1" w14:textId="5200A8E3" w:rsidR="00396006" w:rsidRPr="00E84C93" w:rsidRDefault="00396006" w:rsidP="00396006">
      <w:pPr>
        <w:spacing w:after="0"/>
        <w:ind w:firstLine="720"/>
        <w:jc w:val="both"/>
        <w:rPr>
          <w:szCs w:val="24"/>
          <w:lang w:val="sr-Cyrl-CS"/>
        </w:rPr>
      </w:pPr>
      <w:r w:rsidRPr="00E84C93">
        <w:rPr>
          <w:szCs w:val="24"/>
          <w:lang w:val="sr-Cyrl-CS"/>
        </w:rPr>
        <w:t xml:space="preserve">Одржавање </w:t>
      </w:r>
      <w:r w:rsidR="0016531B" w:rsidRPr="00E84C93">
        <w:rPr>
          <w:rFonts w:cs="Times New Roman"/>
          <w:szCs w:val="24"/>
          <w:lang w:val="sr-Cyrl-CS"/>
        </w:rPr>
        <w:t>постројења за пречишћавање отпадних вода</w:t>
      </w:r>
      <w:r w:rsidR="0016531B" w:rsidRPr="00E84C93">
        <w:rPr>
          <w:szCs w:val="24"/>
          <w:lang w:val="sr-Cyrl-CS"/>
        </w:rPr>
        <w:t xml:space="preserve"> </w:t>
      </w:r>
      <w:r w:rsidRPr="00E84C93">
        <w:rPr>
          <w:szCs w:val="24"/>
          <w:lang w:val="sr-Cyrl-CS"/>
        </w:rPr>
        <w:t xml:space="preserve">је често неадекватно, што доводи до тога да постројења бивају запуштена и напуштена, </w:t>
      </w:r>
      <w:r w:rsidR="00553C09" w:rsidRPr="00E84C93">
        <w:rPr>
          <w:szCs w:val="24"/>
          <w:lang w:val="sr-Cyrl-CS"/>
        </w:rPr>
        <w:t xml:space="preserve">пре свега због трошкова рада и одржавања који су превисоки за јединице локалне самоуправе и недостатка особља, </w:t>
      </w:r>
      <w:r w:rsidRPr="00E84C93">
        <w:rPr>
          <w:szCs w:val="24"/>
          <w:lang w:val="sr-Cyrl-CS"/>
        </w:rPr>
        <w:t>упркос чињеници да је првобитно знатан износ јавних средстава потрошен на њихову изградњу.</w:t>
      </w:r>
      <w:r w:rsidR="00777439" w:rsidRPr="00E84C93">
        <w:rPr>
          <w:szCs w:val="24"/>
          <w:lang w:val="sr-Cyrl-CS"/>
        </w:rPr>
        <w:t xml:space="preserve"> Процењује се да око </w:t>
      </w:r>
      <w:r w:rsidR="00F15D1E" w:rsidRPr="00E84C93">
        <w:rPr>
          <w:szCs w:val="24"/>
          <w:lang w:val="sr-Cyrl-CS"/>
        </w:rPr>
        <w:t>7-8</w:t>
      </w:r>
      <w:r w:rsidR="00777439" w:rsidRPr="00E84C93">
        <w:rPr>
          <w:szCs w:val="24"/>
          <w:lang w:val="sr-Cyrl-CS"/>
        </w:rPr>
        <w:t>% отпадних вода које се пречишћавају подлеже функционалном терцијарном третману (биолошко пречишћавање и уклањање нутријената).</w:t>
      </w:r>
    </w:p>
    <w:p w14:paraId="1EDD8BDB" w14:textId="57DFD167" w:rsidR="000D592A" w:rsidRPr="00E84C93" w:rsidRDefault="004F60F9" w:rsidP="00605512">
      <w:pPr>
        <w:spacing w:after="0"/>
        <w:ind w:firstLine="720"/>
        <w:jc w:val="both"/>
        <w:rPr>
          <w:rFonts w:cs="Times New Roman"/>
          <w:szCs w:val="24"/>
          <w:lang w:val="sr-Cyrl-CS"/>
        </w:rPr>
      </w:pPr>
      <w:r w:rsidRPr="00E84C93">
        <w:rPr>
          <w:rFonts w:cs="Times New Roman"/>
          <w:szCs w:val="24"/>
          <w:lang w:val="sr-Cyrl-CS"/>
        </w:rPr>
        <w:t>У Т</w:t>
      </w:r>
      <w:r w:rsidR="00ED6255" w:rsidRPr="00E84C93">
        <w:rPr>
          <w:rFonts w:cs="Times New Roman"/>
          <w:szCs w:val="24"/>
          <w:lang w:val="sr-Cyrl-CS"/>
        </w:rPr>
        <w:t>абели 3.2. приказан је преглед постројења за пречишћавање отпадних вода која су изграђена последњих година. Укупно је идентификовано шест постројења за пречишћавање отпадних вода и за њих су дате информације о технологији третмана муља која се у њима примењује</w:t>
      </w:r>
      <w:r w:rsidR="000D592A" w:rsidRPr="00E84C93">
        <w:rPr>
          <w:rFonts w:cs="Times New Roman"/>
          <w:szCs w:val="24"/>
          <w:lang w:val="sr-Cyrl-CS"/>
        </w:rPr>
        <w:t>.</w:t>
      </w:r>
      <w:r w:rsidR="00C427F1" w:rsidRPr="00E84C93">
        <w:rPr>
          <w:rFonts w:cs="Times New Roman"/>
          <w:szCs w:val="24"/>
          <w:lang w:val="sr-Cyrl-CS"/>
        </w:rPr>
        <w:t xml:space="preserve"> </w:t>
      </w:r>
    </w:p>
    <w:p w14:paraId="0FA890AB" w14:textId="77777777" w:rsidR="005D517F" w:rsidRPr="00E84C93" w:rsidRDefault="005D517F" w:rsidP="00280669">
      <w:pPr>
        <w:pStyle w:val="Caption"/>
        <w:rPr>
          <w:lang w:val="sr-Cyrl-CS"/>
        </w:rPr>
        <w:sectPr w:rsidR="005D517F" w:rsidRPr="00E84C93" w:rsidSect="005F2016">
          <w:footerReference w:type="default" r:id="rId11"/>
          <w:pgSz w:w="12240" w:h="15840"/>
          <w:pgMar w:top="1440" w:right="1440" w:bottom="1440" w:left="1440" w:header="720" w:footer="720" w:gutter="0"/>
          <w:cols w:space="720"/>
          <w:titlePg/>
          <w:docGrid w:linePitch="360"/>
        </w:sectPr>
      </w:pPr>
      <w:bookmarkStart w:id="20" w:name="_Ref91661895"/>
      <w:bookmarkStart w:id="21" w:name="_Toc87616712"/>
      <w:bookmarkStart w:id="22" w:name="_Toc95128167"/>
    </w:p>
    <w:p w14:paraId="3D1E1711" w14:textId="1ECC6EF4" w:rsidR="00396006" w:rsidRPr="00E84C93" w:rsidRDefault="00396006" w:rsidP="00280669">
      <w:pPr>
        <w:pStyle w:val="Caption"/>
        <w:rPr>
          <w:lang w:val="sr-Cyrl-CS"/>
        </w:rPr>
      </w:pPr>
      <w:r w:rsidRPr="00E84C93">
        <w:rPr>
          <w:b/>
          <w:lang w:val="sr-Cyrl-CS"/>
        </w:rPr>
        <w:lastRenderedPageBreak/>
        <w:t xml:space="preserve">Табела </w:t>
      </w:r>
      <w:bookmarkEnd w:id="20"/>
      <w:bookmarkEnd w:id="21"/>
      <w:r w:rsidR="00E50711" w:rsidRPr="00E84C93">
        <w:rPr>
          <w:b/>
          <w:lang w:val="sr-Cyrl-CS"/>
        </w:rPr>
        <w:t>3.</w:t>
      </w:r>
      <w:r w:rsidR="003E691A" w:rsidRPr="00E84C93">
        <w:rPr>
          <w:b/>
          <w:lang w:val="sr-Cyrl-CS"/>
        </w:rPr>
        <w:t>2</w:t>
      </w:r>
      <w:r w:rsidR="00E50711" w:rsidRPr="00E84C93">
        <w:rPr>
          <w:b/>
          <w:lang w:val="sr-Cyrl-CS"/>
        </w:rPr>
        <w:t>.</w:t>
      </w:r>
      <w:r w:rsidR="00E50711" w:rsidRPr="00E84C93">
        <w:rPr>
          <w:lang w:val="sr-Cyrl-CS"/>
        </w:rPr>
        <w:t xml:space="preserve"> </w:t>
      </w:r>
      <w:r w:rsidRPr="00E84C93">
        <w:rPr>
          <w:lang w:val="sr-Cyrl-CS"/>
        </w:rPr>
        <w:t xml:space="preserve">Постројења </w:t>
      </w:r>
      <w:r w:rsidR="0016531B" w:rsidRPr="00E84C93">
        <w:rPr>
          <w:lang w:val="sr-Cyrl-CS"/>
        </w:rPr>
        <w:t>за пречишћавање отпадних вода</w:t>
      </w:r>
      <w:r w:rsidRPr="00E84C93">
        <w:rPr>
          <w:lang w:val="sr-Cyrl-CS"/>
        </w:rPr>
        <w:t xml:space="preserve"> која </w:t>
      </w:r>
      <w:bookmarkEnd w:id="22"/>
      <w:r w:rsidR="00572172" w:rsidRPr="00E84C93">
        <w:rPr>
          <w:lang w:val="sr-Cyrl-CS"/>
        </w:rPr>
        <w:t xml:space="preserve">су </w:t>
      </w:r>
      <w:r w:rsidR="00115BA0" w:rsidRPr="00E84C93">
        <w:rPr>
          <w:lang w:val="sr-Cyrl-CS"/>
        </w:rPr>
        <w:t>изграђена последњих година</w:t>
      </w:r>
    </w:p>
    <w:tbl>
      <w:tblPr>
        <w:tblW w:w="1260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33"/>
        <w:gridCol w:w="1195"/>
        <w:gridCol w:w="960"/>
        <w:gridCol w:w="772"/>
        <w:gridCol w:w="749"/>
        <w:gridCol w:w="1175"/>
        <w:gridCol w:w="1329"/>
        <w:gridCol w:w="1247"/>
        <w:gridCol w:w="1317"/>
        <w:gridCol w:w="835"/>
        <w:gridCol w:w="1697"/>
      </w:tblGrid>
      <w:tr w:rsidR="00336CA5" w:rsidRPr="00E84C93" w14:paraId="6D45B5AC" w14:textId="77777777" w:rsidTr="00336CA5">
        <w:trPr>
          <w:trHeight w:val="677"/>
        </w:trPr>
        <w:tc>
          <w:tcPr>
            <w:tcW w:w="1333" w:type="dxa"/>
            <w:vMerge w:val="restart"/>
            <w:shd w:val="clear" w:color="auto" w:fill="BDD6EE" w:themeFill="accent1" w:themeFillTint="66"/>
            <w:noWrap/>
            <w:vAlign w:val="center"/>
            <w:hideMark/>
          </w:tcPr>
          <w:p w14:paraId="4667AE95" w14:textId="158C7E7D" w:rsidR="00336CA5" w:rsidRPr="00E84C93" w:rsidRDefault="00336CA5" w:rsidP="006E7EA4">
            <w:pPr>
              <w:spacing w:after="0"/>
              <w:rPr>
                <w:rFonts w:cs="Times New Roman"/>
                <w:b/>
                <w:sz w:val="16"/>
                <w:szCs w:val="16"/>
                <w:lang w:val="sr-Cyrl-CS" w:eastAsia="de-DE"/>
              </w:rPr>
            </w:pPr>
            <w:r w:rsidRPr="00E84C93">
              <w:rPr>
                <w:rFonts w:cs="Times New Roman"/>
                <w:b/>
                <w:sz w:val="16"/>
                <w:szCs w:val="16"/>
                <w:lang w:val="sr-Cyrl-CS" w:eastAsia="de-DE"/>
              </w:rPr>
              <w:t>Општина/Град</w:t>
            </w:r>
          </w:p>
        </w:tc>
        <w:tc>
          <w:tcPr>
            <w:tcW w:w="1195" w:type="dxa"/>
            <w:vMerge w:val="restart"/>
            <w:shd w:val="clear" w:color="auto" w:fill="BDD6EE" w:themeFill="accent1" w:themeFillTint="66"/>
            <w:vAlign w:val="center"/>
            <w:hideMark/>
          </w:tcPr>
          <w:p w14:paraId="12A167F1" w14:textId="094D4CF0"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Планирани капацитет ППОВ</w:t>
            </w:r>
            <w:r w:rsidRPr="00E84C93">
              <w:rPr>
                <w:rFonts w:cs="Times New Roman"/>
                <w:b/>
                <w:sz w:val="16"/>
                <w:szCs w:val="16"/>
                <w:lang w:val="sr-Cyrl-CS" w:eastAsia="de-DE"/>
              </w:rPr>
              <w:br/>
              <w:t>(ЕС)</w:t>
            </w:r>
          </w:p>
        </w:tc>
        <w:tc>
          <w:tcPr>
            <w:tcW w:w="960" w:type="dxa"/>
            <w:vMerge w:val="restart"/>
            <w:shd w:val="clear" w:color="auto" w:fill="BDD6EE" w:themeFill="accent1" w:themeFillTint="66"/>
            <w:vAlign w:val="center"/>
          </w:tcPr>
          <w:p w14:paraId="551D4BE9"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Година пуштања у рад</w:t>
            </w:r>
          </w:p>
        </w:tc>
        <w:tc>
          <w:tcPr>
            <w:tcW w:w="1521" w:type="dxa"/>
            <w:gridSpan w:val="2"/>
            <w:shd w:val="clear" w:color="auto" w:fill="BDD6EE" w:themeFill="accent1" w:themeFillTint="66"/>
            <w:vAlign w:val="center"/>
          </w:tcPr>
          <w:p w14:paraId="5FF60ECC" w14:textId="77777777" w:rsidR="00336CA5" w:rsidRPr="00E84C93" w:rsidRDefault="00336CA5" w:rsidP="006E7EA4">
            <w:pPr>
              <w:spacing w:after="0"/>
              <w:jc w:val="center"/>
              <w:rPr>
                <w:rFonts w:cs="Times New Roman"/>
                <w:b/>
                <w:sz w:val="16"/>
                <w:szCs w:val="16"/>
                <w:lang w:val="sr-Cyrl-CS"/>
              </w:rPr>
            </w:pPr>
            <w:r w:rsidRPr="00E84C93">
              <w:rPr>
                <w:rFonts w:cs="Times New Roman"/>
                <w:b/>
                <w:sz w:val="16"/>
                <w:szCs w:val="16"/>
                <w:lang w:val="sr-Cyrl-CS"/>
              </w:rPr>
              <w:t>Процена производње муља</w:t>
            </w:r>
          </w:p>
          <w:p w14:paraId="7DA28A30" w14:textId="74F3CADA"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(t СМ/год.)</w:t>
            </w:r>
          </w:p>
        </w:tc>
        <w:tc>
          <w:tcPr>
            <w:tcW w:w="5903" w:type="dxa"/>
            <w:gridSpan w:val="5"/>
            <w:shd w:val="clear" w:color="auto" w:fill="BDD6EE" w:themeFill="accent1" w:themeFillTint="66"/>
            <w:noWrap/>
            <w:vAlign w:val="center"/>
            <w:hideMark/>
          </w:tcPr>
          <w:p w14:paraId="5F9C4AB9" w14:textId="48E4649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Третман муља у оквиру ППОВ</w:t>
            </w:r>
          </w:p>
        </w:tc>
        <w:tc>
          <w:tcPr>
            <w:tcW w:w="1697" w:type="dxa"/>
            <w:shd w:val="clear" w:color="auto" w:fill="BDD6EE" w:themeFill="accent1" w:themeFillTint="66"/>
            <w:vAlign w:val="center"/>
          </w:tcPr>
          <w:p w14:paraId="09EB7BA5"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Количина</w:t>
            </w:r>
          </w:p>
        </w:tc>
      </w:tr>
      <w:tr w:rsidR="00336CA5" w:rsidRPr="00E84C93" w14:paraId="39871CE5" w14:textId="77777777" w:rsidTr="00A758A2">
        <w:trPr>
          <w:trHeight w:val="462"/>
        </w:trPr>
        <w:tc>
          <w:tcPr>
            <w:tcW w:w="1333" w:type="dxa"/>
            <w:vMerge/>
            <w:shd w:val="clear" w:color="auto" w:fill="BDD6EE" w:themeFill="accent1" w:themeFillTint="66"/>
            <w:vAlign w:val="center"/>
            <w:hideMark/>
          </w:tcPr>
          <w:p w14:paraId="265776AE" w14:textId="77777777" w:rsidR="00336CA5" w:rsidRPr="00E84C93" w:rsidRDefault="00336CA5" w:rsidP="006E7EA4">
            <w:pPr>
              <w:spacing w:after="0"/>
              <w:jc w:val="center"/>
              <w:rPr>
                <w:rFonts w:cs="Times New Roman"/>
                <w:b/>
                <w:sz w:val="16"/>
                <w:szCs w:val="16"/>
                <w:lang w:val="sr-Cyrl-CS" w:eastAsia="de-DE"/>
              </w:rPr>
            </w:pPr>
          </w:p>
        </w:tc>
        <w:tc>
          <w:tcPr>
            <w:tcW w:w="1195" w:type="dxa"/>
            <w:vMerge/>
            <w:shd w:val="clear" w:color="auto" w:fill="BDD6EE" w:themeFill="accent1" w:themeFillTint="66"/>
            <w:vAlign w:val="center"/>
            <w:hideMark/>
          </w:tcPr>
          <w:p w14:paraId="0470B9F8" w14:textId="77777777" w:rsidR="00336CA5" w:rsidRPr="00E84C93" w:rsidRDefault="00336CA5" w:rsidP="006E7EA4">
            <w:pPr>
              <w:spacing w:after="0"/>
              <w:jc w:val="center"/>
              <w:rPr>
                <w:rFonts w:cs="Times New Roman"/>
                <w:b/>
                <w:sz w:val="16"/>
                <w:szCs w:val="16"/>
                <w:lang w:val="sr-Cyrl-CS" w:eastAsia="de-DE"/>
              </w:rPr>
            </w:pPr>
          </w:p>
        </w:tc>
        <w:tc>
          <w:tcPr>
            <w:tcW w:w="960" w:type="dxa"/>
            <w:vMerge/>
            <w:shd w:val="clear" w:color="auto" w:fill="BDD6EE" w:themeFill="accent1" w:themeFillTint="66"/>
          </w:tcPr>
          <w:p w14:paraId="739B20E1" w14:textId="77777777" w:rsidR="00336CA5" w:rsidRPr="00E84C93" w:rsidRDefault="00336CA5" w:rsidP="006E7EA4">
            <w:pPr>
              <w:spacing w:after="0"/>
              <w:jc w:val="center"/>
              <w:rPr>
                <w:rFonts w:cs="Times New Roman"/>
                <w:b/>
                <w:sz w:val="16"/>
                <w:szCs w:val="16"/>
                <w:lang w:val="sr-Cyrl-CS" w:eastAsia="de-DE"/>
              </w:rPr>
            </w:pPr>
          </w:p>
        </w:tc>
        <w:tc>
          <w:tcPr>
            <w:tcW w:w="772" w:type="dxa"/>
            <w:shd w:val="clear" w:color="auto" w:fill="BDD6EE" w:themeFill="accent1" w:themeFillTint="66"/>
            <w:vAlign w:val="center"/>
          </w:tcPr>
          <w:p w14:paraId="21494403"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85%</w:t>
            </w:r>
          </w:p>
        </w:tc>
        <w:tc>
          <w:tcPr>
            <w:tcW w:w="749" w:type="dxa"/>
            <w:shd w:val="clear" w:color="auto" w:fill="BDD6EE" w:themeFill="accent1" w:themeFillTint="66"/>
            <w:vAlign w:val="center"/>
          </w:tcPr>
          <w:p w14:paraId="12C2ECB4"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50%</w:t>
            </w:r>
          </w:p>
        </w:tc>
        <w:tc>
          <w:tcPr>
            <w:tcW w:w="1175" w:type="dxa"/>
            <w:shd w:val="clear" w:color="auto" w:fill="BDD6EE" w:themeFill="accent1" w:themeFillTint="66"/>
            <w:vAlign w:val="center"/>
            <w:hideMark/>
          </w:tcPr>
          <w:p w14:paraId="5AFF5F0D"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Згушњавање</w:t>
            </w:r>
          </w:p>
        </w:tc>
        <w:tc>
          <w:tcPr>
            <w:tcW w:w="1329" w:type="dxa"/>
            <w:shd w:val="clear" w:color="auto" w:fill="BDD6EE" w:themeFill="accent1" w:themeFillTint="66"/>
            <w:vAlign w:val="center"/>
            <w:hideMark/>
          </w:tcPr>
          <w:p w14:paraId="11EE4F44"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Анаеробна стабилизација</w:t>
            </w:r>
          </w:p>
        </w:tc>
        <w:tc>
          <w:tcPr>
            <w:tcW w:w="1247" w:type="dxa"/>
            <w:shd w:val="clear" w:color="auto" w:fill="BDD6EE" w:themeFill="accent1" w:themeFillTint="66"/>
            <w:vAlign w:val="center"/>
            <w:hideMark/>
          </w:tcPr>
          <w:p w14:paraId="7E639980"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Аеробна стабилизација</w:t>
            </w:r>
          </w:p>
        </w:tc>
        <w:tc>
          <w:tcPr>
            <w:tcW w:w="1317" w:type="dxa"/>
            <w:shd w:val="clear" w:color="auto" w:fill="BDD6EE" w:themeFill="accent1" w:themeFillTint="66"/>
            <w:vAlign w:val="center"/>
            <w:hideMark/>
          </w:tcPr>
          <w:p w14:paraId="4E04AD60" w14:textId="1BDCE4FA" w:rsidR="00336CA5" w:rsidRPr="00E84C93" w:rsidRDefault="00336CA5" w:rsidP="00A758A2">
            <w:pPr>
              <w:spacing w:after="0"/>
              <w:ind w:right="-102"/>
              <w:jc w:val="center"/>
              <w:rPr>
                <w:rFonts w:cs="Times New Roman"/>
                <w:b/>
                <w:sz w:val="16"/>
                <w:szCs w:val="16"/>
                <w:lang w:val="sr-Cyrl-CS" w:eastAsia="de-DE"/>
              </w:rPr>
            </w:pPr>
            <w:r w:rsidRPr="00E84C93">
              <w:rPr>
                <w:rFonts w:cs="Times New Roman"/>
                <w:b/>
                <w:sz w:val="16"/>
                <w:szCs w:val="16"/>
                <w:lang w:val="sr-Cyrl-CS" w:eastAsia="de-DE"/>
              </w:rPr>
              <w:t>Механичко обездводњавање</w:t>
            </w:r>
          </w:p>
        </w:tc>
        <w:tc>
          <w:tcPr>
            <w:tcW w:w="835" w:type="dxa"/>
            <w:shd w:val="clear" w:color="auto" w:fill="BDD6EE" w:themeFill="accent1" w:themeFillTint="66"/>
            <w:vAlign w:val="center"/>
            <w:hideMark/>
          </w:tcPr>
          <w:p w14:paraId="247C08AE"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Соларно сушење</w:t>
            </w:r>
          </w:p>
        </w:tc>
        <w:tc>
          <w:tcPr>
            <w:tcW w:w="1697" w:type="dxa"/>
            <w:shd w:val="clear" w:color="auto" w:fill="BDD6EE" w:themeFill="accent1" w:themeFillTint="66"/>
          </w:tcPr>
          <w:p w14:paraId="4565B5A8" w14:textId="77777777" w:rsidR="00336CA5" w:rsidRPr="00E84C93" w:rsidRDefault="00336CA5" w:rsidP="006E7EA4">
            <w:pPr>
              <w:spacing w:after="0"/>
              <w:jc w:val="center"/>
              <w:rPr>
                <w:rFonts w:cs="Times New Roman"/>
                <w:b/>
                <w:sz w:val="16"/>
                <w:szCs w:val="16"/>
                <w:lang w:val="sr-Cyrl-CS" w:eastAsia="de-DE"/>
              </w:rPr>
            </w:pPr>
          </w:p>
        </w:tc>
      </w:tr>
      <w:tr w:rsidR="00336CA5" w:rsidRPr="00E84C93" w14:paraId="7ADDA449" w14:textId="77777777" w:rsidTr="00A758A2">
        <w:trPr>
          <w:trHeight w:val="542"/>
        </w:trPr>
        <w:tc>
          <w:tcPr>
            <w:tcW w:w="1333" w:type="dxa"/>
            <w:shd w:val="clear" w:color="auto" w:fill="auto"/>
            <w:noWrap/>
            <w:vAlign w:val="center"/>
            <w:hideMark/>
          </w:tcPr>
          <w:p w14:paraId="0F6C47E6" w14:textId="3072E6FC" w:rsidR="00336CA5" w:rsidRPr="00E84C93" w:rsidRDefault="00336CA5" w:rsidP="006E7EA4">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Лесковац</w:t>
            </w:r>
          </w:p>
        </w:tc>
        <w:tc>
          <w:tcPr>
            <w:tcW w:w="1195" w:type="dxa"/>
            <w:shd w:val="clear" w:color="auto" w:fill="auto"/>
            <w:noWrap/>
            <w:vAlign w:val="center"/>
            <w:hideMark/>
          </w:tcPr>
          <w:p w14:paraId="480EF9B4"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86.000</w:t>
            </w:r>
          </w:p>
        </w:tc>
        <w:tc>
          <w:tcPr>
            <w:tcW w:w="960" w:type="dxa"/>
            <w:vAlign w:val="center"/>
          </w:tcPr>
          <w:p w14:paraId="018E3C3F" w14:textId="1986421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2021.</w:t>
            </w:r>
          </w:p>
        </w:tc>
        <w:tc>
          <w:tcPr>
            <w:tcW w:w="772" w:type="dxa"/>
            <w:vAlign w:val="center"/>
          </w:tcPr>
          <w:p w14:paraId="48A9E5CC"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1.600</w:t>
            </w:r>
          </w:p>
        </w:tc>
        <w:tc>
          <w:tcPr>
            <w:tcW w:w="749" w:type="dxa"/>
            <w:vAlign w:val="center"/>
          </w:tcPr>
          <w:p w14:paraId="38E1A3B2"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1.400</w:t>
            </w:r>
          </w:p>
        </w:tc>
        <w:tc>
          <w:tcPr>
            <w:tcW w:w="1175" w:type="dxa"/>
            <w:shd w:val="clear" w:color="auto" w:fill="auto"/>
            <w:noWrap/>
            <w:vAlign w:val="center"/>
          </w:tcPr>
          <w:p w14:paraId="4351A7C6"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2E9E350A"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247" w:type="dxa"/>
            <w:shd w:val="clear" w:color="auto" w:fill="auto"/>
            <w:noWrap/>
            <w:vAlign w:val="center"/>
          </w:tcPr>
          <w:p w14:paraId="06659FDF" w14:textId="1D901701" w:rsidR="00336CA5" w:rsidRPr="00E84C93" w:rsidRDefault="00336CA5" w:rsidP="006E7EA4">
            <w:pPr>
              <w:spacing w:after="0"/>
              <w:jc w:val="center"/>
              <w:rPr>
                <w:rFonts w:cs="Times New Roman"/>
                <w:bCs/>
                <w:color w:val="000000"/>
                <w:sz w:val="20"/>
                <w:szCs w:val="20"/>
                <w:lang w:val="sr-Cyrl-CS" w:eastAsia="de-DE"/>
              </w:rPr>
            </w:pPr>
          </w:p>
        </w:tc>
        <w:tc>
          <w:tcPr>
            <w:tcW w:w="1317" w:type="dxa"/>
            <w:shd w:val="clear" w:color="auto" w:fill="auto"/>
            <w:noWrap/>
            <w:vAlign w:val="center"/>
          </w:tcPr>
          <w:p w14:paraId="03B2DC52"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7FBAF300" w14:textId="77777777" w:rsidR="00336CA5" w:rsidRPr="00E84C93" w:rsidRDefault="00336CA5" w:rsidP="006E7EA4">
            <w:pPr>
              <w:spacing w:after="0"/>
              <w:jc w:val="center"/>
              <w:rPr>
                <w:rFonts w:cs="Times New Roman"/>
                <w:bCs/>
                <w:color w:val="000000"/>
                <w:sz w:val="20"/>
                <w:szCs w:val="20"/>
                <w:lang w:val="sr-Cyrl-CS" w:eastAsia="de-DE"/>
              </w:rPr>
            </w:pPr>
          </w:p>
        </w:tc>
        <w:tc>
          <w:tcPr>
            <w:tcW w:w="1697" w:type="dxa"/>
            <w:vAlign w:val="center"/>
          </w:tcPr>
          <w:p w14:paraId="42095690" w14:textId="4E6C0302"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23,4 m³/дан са 22% СМ</w:t>
            </w:r>
          </w:p>
        </w:tc>
      </w:tr>
      <w:tr w:rsidR="00336CA5" w:rsidRPr="00E84C93" w14:paraId="2655D674" w14:textId="77777777" w:rsidTr="00A758A2">
        <w:trPr>
          <w:trHeight w:val="542"/>
        </w:trPr>
        <w:tc>
          <w:tcPr>
            <w:tcW w:w="1333" w:type="dxa"/>
            <w:shd w:val="clear" w:color="auto" w:fill="auto"/>
            <w:noWrap/>
            <w:vAlign w:val="center"/>
          </w:tcPr>
          <w:p w14:paraId="23F47956" w14:textId="43141642" w:rsidR="00336CA5" w:rsidRPr="00E84C93" w:rsidRDefault="00336CA5" w:rsidP="006E7EA4">
            <w:pPr>
              <w:spacing w:after="0"/>
              <w:rPr>
                <w:rFonts w:cs="Times New Roman"/>
                <w:bCs/>
                <w:color w:val="000000"/>
                <w:sz w:val="20"/>
                <w:szCs w:val="20"/>
                <w:lang w:val="sr-Cyrl-CS" w:eastAsia="de-DE"/>
              </w:rPr>
            </w:pPr>
            <w:r w:rsidRPr="00E84C93">
              <w:rPr>
                <w:rFonts w:cs="Times New Roman"/>
                <w:sz w:val="20"/>
                <w:szCs w:val="20"/>
                <w:lang w:val="sr-Cyrl-CS"/>
              </w:rPr>
              <w:t>Врбас</w:t>
            </w:r>
          </w:p>
        </w:tc>
        <w:tc>
          <w:tcPr>
            <w:tcW w:w="1195" w:type="dxa"/>
            <w:shd w:val="clear" w:color="auto" w:fill="auto"/>
            <w:noWrap/>
            <w:vAlign w:val="center"/>
          </w:tcPr>
          <w:p w14:paraId="74DF929C"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sz w:val="20"/>
                <w:szCs w:val="20"/>
                <w:lang w:val="sr-Cyrl-CS"/>
              </w:rPr>
              <w:t>120.000</w:t>
            </w:r>
          </w:p>
        </w:tc>
        <w:tc>
          <w:tcPr>
            <w:tcW w:w="960" w:type="dxa"/>
            <w:vAlign w:val="center"/>
          </w:tcPr>
          <w:p w14:paraId="4008579E" w14:textId="4EA225FA"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2020.</w:t>
            </w:r>
          </w:p>
        </w:tc>
        <w:tc>
          <w:tcPr>
            <w:tcW w:w="772" w:type="dxa"/>
            <w:vAlign w:val="center"/>
          </w:tcPr>
          <w:p w14:paraId="1B162670"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2.300</w:t>
            </w:r>
          </w:p>
        </w:tc>
        <w:tc>
          <w:tcPr>
            <w:tcW w:w="749" w:type="dxa"/>
            <w:vAlign w:val="center"/>
          </w:tcPr>
          <w:p w14:paraId="3BCD4897"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2.000</w:t>
            </w:r>
          </w:p>
        </w:tc>
        <w:tc>
          <w:tcPr>
            <w:tcW w:w="1175" w:type="dxa"/>
            <w:shd w:val="clear" w:color="auto" w:fill="auto"/>
            <w:noWrap/>
            <w:vAlign w:val="center"/>
          </w:tcPr>
          <w:p w14:paraId="4D66A1A5"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75541A25"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247" w:type="dxa"/>
            <w:shd w:val="clear" w:color="auto" w:fill="auto"/>
            <w:noWrap/>
            <w:vAlign w:val="center"/>
          </w:tcPr>
          <w:p w14:paraId="367BEA2A" w14:textId="77777777" w:rsidR="00336CA5" w:rsidRPr="00E84C93" w:rsidRDefault="00336CA5" w:rsidP="006E7EA4">
            <w:pPr>
              <w:spacing w:after="0"/>
              <w:jc w:val="center"/>
              <w:rPr>
                <w:rFonts w:cs="Times New Roman"/>
                <w:bCs/>
                <w:color w:val="000000"/>
                <w:sz w:val="20"/>
                <w:szCs w:val="20"/>
                <w:lang w:val="sr-Cyrl-CS" w:eastAsia="de-DE"/>
              </w:rPr>
            </w:pPr>
          </w:p>
        </w:tc>
        <w:tc>
          <w:tcPr>
            <w:tcW w:w="1317" w:type="dxa"/>
            <w:shd w:val="clear" w:color="auto" w:fill="auto"/>
            <w:noWrap/>
            <w:vAlign w:val="center"/>
          </w:tcPr>
          <w:p w14:paraId="4AD31650"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1F0BD8BA" w14:textId="77777777" w:rsidR="00336CA5" w:rsidRPr="00E84C93" w:rsidRDefault="00336CA5" w:rsidP="006E7EA4">
            <w:pPr>
              <w:spacing w:after="0"/>
              <w:jc w:val="center"/>
              <w:rPr>
                <w:rFonts w:cs="Times New Roman"/>
                <w:bCs/>
                <w:color w:val="000000"/>
                <w:sz w:val="20"/>
                <w:szCs w:val="20"/>
                <w:lang w:val="sr-Cyrl-CS" w:eastAsia="de-DE"/>
              </w:rPr>
            </w:pPr>
          </w:p>
        </w:tc>
        <w:tc>
          <w:tcPr>
            <w:tcW w:w="1697" w:type="dxa"/>
            <w:vAlign w:val="center"/>
          </w:tcPr>
          <w:p w14:paraId="24860CFF" w14:textId="0F9DA10F"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2.832,84 t/год. са 25% СМ</w:t>
            </w:r>
          </w:p>
        </w:tc>
      </w:tr>
      <w:tr w:rsidR="00336CA5" w:rsidRPr="00E84C93" w14:paraId="52A34E2A" w14:textId="77777777" w:rsidTr="00A758A2">
        <w:trPr>
          <w:trHeight w:val="542"/>
        </w:trPr>
        <w:tc>
          <w:tcPr>
            <w:tcW w:w="1333" w:type="dxa"/>
            <w:shd w:val="clear" w:color="auto" w:fill="auto"/>
            <w:noWrap/>
            <w:vAlign w:val="center"/>
          </w:tcPr>
          <w:p w14:paraId="4610F81B" w14:textId="74A6AB1B" w:rsidR="00336CA5" w:rsidRPr="00E84C93" w:rsidRDefault="00336CA5" w:rsidP="006E7EA4">
            <w:pPr>
              <w:spacing w:after="0"/>
              <w:rPr>
                <w:rFonts w:cs="Times New Roman"/>
                <w:bCs/>
                <w:color w:val="000000"/>
                <w:sz w:val="20"/>
                <w:szCs w:val="20"/>
                <w:lang w:val="sr-Cyrl-CS" w:eastAsia="de-DE"/>
              </w:rPr>
            </w:pPr>
            <w:r w:rsidRPr="00E84C93">
              <w:rPr>
                <w:rFonts w:cs="Times New Roman"/>
                <w:sz w:val="20"/>
                <w:szCs w:val="20"/>
                <w:lang w:val="sr-Cyrl-CS"/>
              </w:rPr>
              <w:t>Рашка</w:t>
            </w:r>
          </w:p>
        </w:tc>
        <w:tc>
          <w:tcPr>
            <w:tcW w:w="1195" w:type="dxa"/>
            <w:shd w:val="clear" w:color="auto" w:fill="auto"/>
            <w:noWrap/>
            <w:vAlign w:val="center"/>
          </w:tcPr>
          <w:p w14:paraId="140B0717"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sz w:val="20"/>
                <w:szCs w:val="20"/>
                <w:lang w:val="sr-Cyrl-CS"/>
              </w:rPr>
              <w:t>16.000</w:t>
            </w:r>
          </w:p>
        </w:tc>
        <w:tc>
          <w:tcPr>
            <w:tcW w:w="960" w:type="dxa"/>
            <w:vAlign w:val="center"/>
          </w:tcPr>
          <w:p w14:paraId="061BCAAF" w14:textId="3D97B572"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2021.</w:t>
            </w:r>
          </w:p>
        </w:tc>
        <w:tc>
          <w:tcPr>
            <w:tcW w:w="772" w:type="dxa"/>
            <w:vAlign w:val="center"/>
          </w:tcPr>
          <w:p w14:paraId="733B606E"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300</w:t>
            </w:r>
          </w:p>
        </w:tc>
        <w:tc>
          <w:tcPr>
            <w:tcW w:w="749" w:type="dxa"/>
            <w:vAlign w:val="center"/>
          </w:tcPr>
          <w:p w14:paraId="47EF5964"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300</w:t>
            </w:r>
          </w:p>
        </w:tc>
        <w:tc>
          <w:tcPr>
            <w:tcW w:w="1175" w:type="dxa"/>
            <w:shd w:val="clear" w:color="auto" w:fill="auto"/>
            <w:noWrap/>
            <w:vAlign w:val="center"/>
          </w:tcPr>
          <w:p w14:paraId="44452DDD"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2CFD5DA4" w14:textId="77777777" w:rsidR="00336CA5" w:rsidRPr="00E84C93" w:rsidRDefault="00336CA5" w:rsidP="006E7EA4">
            <w:pPr>
              <w:spacing w:after="0"/>
              <w:jc w:val="center"/>
              <w:rPr>
                <w:rFonts w:cs="Times New Roman"/>
                <w:bCs/>
                <w:color w:val="000000"/>
                <w:sz w:val="20"/>
                <w:szCs w:val="20"/>
                <w:lang w:val="sr-Cyrl-CS" w:eastAsia="de-DE"/>
              </w:rPr>
            </w:pPr>
          </w:p>
        </w:tc>
        <w:tc>
          <w:tcPr>
            <w:tcW w:w="1247" w:type="dxa"/>
            <w:shd w:val="clear" w:color="auto" w:fill="auto"/>
            <w:noWrap/>
            <w:vAlign w:val="center"/>
          </w:tcPr>
          <w:p w14:paraId="0EFE14B4"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17" w:type="dxa"/>
            <w:shd w:val="clear" w:color="auto" w:fill="auto"/>
            <w:noWrap/>
            <w:vAlign w:val="center"/>
          </w:tcPr>
          <w:p w14:paraId="446CF2BD"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22A92317" w14:textId="77777777" w:rsidR="00336CA5" w:rsidRPr="00E84C93" w:rsidRDefault="00336CA5" w:rsidP="006E7EA4">
            <w:pPr>
              <w:spacing w:after="0"/>
              <w:jc w:val="center"/>
              <w:rPr>
                <w:rFonts w:cs="Times New Roman"/>
                <w:bCs/>
                <w:color w:val="000000"/>
                <w:sz w:val="20"/>
                <w:szCs w:val="20"/>
                <w:lang w:val="sr-Cyrl-CS" w:eastAsia="de-DE"/>
              </w:rPr>
            </w:pPr>
          </w:p>
        </w:tc>
        <w:tc>
          <w:tcPr>
            <w:tcW w:w="1697" w:type="dxa"/>
            <w:vAlign w:val="center"/>
          </w:tcPr>
          <w:p w14:paraId="4DB3E872" w14:textId="5E83E82C"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1.200 m³/год.</w:t>
            </w:r>
          </w:p>
        </w:tc>
      </w:tr>
      <w:tr w:rsidR="00336CA5" w:rsidRPr="00E84C93" w14:paraId="6A5E69D6" w14:textId="77777777" w:rsidTr="00A758A2">
        <w:trPr>
          <w:trHeight w:val="542"/>
        </w:trPr>
        <w:tc>
          <w:tcPr>
            <w:tcW w:w="1333" w:type="dxa"/>
            <w:shd w:val="clear" w:color="auto" w:fill="auto"/>
            <w:noWrap/>
            <w:vAlign w:val="center"/>
          </w:tcPr>
          <w:p w14:paraId="5DFA8330" w14:textId="38FF0F70" w:rsidR="00336CA5" w:rsidRPr="00E84C93" w:rsidRDefault="00336CA5" w:rsidP="006E7EA4">
            <w:pPr>
              <w:spacing w:after="0"/>
              <w:rPr>
                <w:rFonts w:cs="Times New Roman"/>
                <w:sz w:val="20"/>
                <w:szCs w:val="20"/>
                <w:lang w:val="sr-Cyrl-CS"/>
              </w:rPr>
            </w:pPr>
            <w:r w:rsidRPr="00E84C93">
              <w:rPr>
                <w:rFonts w:cs="Times New Roman"/>
                <w:sz w:val="20"/>
                <w:szCs w:val="20"/>
                <w:lang w:val="sr-Cyrl-CS"/>
              </w:rPr>
              <w:t>Шабац</w:t>
            </w:r>
          </w:p>
        </w:tc>
        <w:tc>
          <w:tcPr>
            <w:tcW w:w="1195" w:type="dxa"/>
            <w:shd w:val="clear" w:color="auto" w:fill="auto"/>
            <w:noWrap/>
            <w:vAlign w:val="center"/>
          </w:tcPr>
          <w:p w14:paraId="6E87B1C9" w14:textId="77777777" w:rsidR="00336CA5" w:rsidRPr="00E84C93" w:rsidRDefault="00336CA5" w:rsidP="006E7EA4">
            <w:pPr>
              <w:spacing w:after="0"/>
              <w:jc w:val="center"/>
              <w:rPr>
                <w:rFonts w:cs="Times New Roman"/>
                <w:sz w:val="20"/>
                <w:szCs w:val="20"/>
                <w:lang w:val="sr-Cyrl-CS"/>
              </w:rPr>
            </w:pPr>
            <w:r w:rsidRPr="00E84C93">
              <w:rPr>
                <w:rFonts w:cs="Times New Roman"/>
                <w:sz w:val="20"/>
                <w:szCs w:val="20"/>
                <w:lang w:val="sr-Cyrl-CS"/>
              </w:rPr>
              <w:t>84.000</w:t>
            </w:r>
          </w:p>
        </w:tc>
        <w:tc>
          <w:tcPr>
            <w:tcW w:w="960" w:type="dxa"/>
            <w:vAlign w:val="center"/>
          </w:tcPr>
          <w:p w14:paraId="66BC54B1" w14:textId="0018B72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2017.</w:t>
            </w:r>
          </w:p>
        </w:tc>
        <w:tc>
          <w:tcPr>
            <w:tcW w:w="772" w:type="dxa"/>
            <w:vAlign w:val="center"/>
          </w:tcPr>
          <w:p w14:paraId="620A010F"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2.600</w:t>
            </w:r>
          </w:p>
        </w:tc>
        <w:tc>
          <w:tcPr>
            <w:tcW w:w="749" w:type="dxa"/>
            <w:vAlign w:val="center"/>
          </w:tcPr>
          <w:p w14:paraId="34D798D5"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1.900</w:t>
            </w:r>
          </w:p>
        </w:tc>
        <w:tc>
          <w:tcPr>
            <w:tcW w:w="1175" w:type="dxa"/>
            <w:shd w:val="clear" w:color="auto" w:fill="auto"/>
            <w:noWrap/>
            <w:vAlign w:val="center"/>
          </w:tcPr>
          <w:p w14:paraId="4E0EEAEF"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2D57BE93" w14:textId="77777777" w:rsidR="00336CA5" w:rsidRPr="00E84C93" w:rsidRDefault="00336CA5" w:rsidP="006E7EA4">
            <w:pPr>
              <w:spacing w:after="0"/>
              <w:jc w:val="center"/>
              <w:rPr>
                <w:rFonts w:cs="Times New Roman"/>
                <w:bCs/>
                <w:color w:val="000000"/>
                <w:sz w:val="20"/>
                <w:szCs w:val="20"/>
                <w:lang w:val="sr-Cyrl-CS" w:eastAsia="de-DE"/>
              </w:rPr>
            </w:pPr>
          </w:p>
        </w:tc>
        <w:tc>
          <w:tcPr>
            <w:tcW w:w="1247" w:type="dxa"/>
            <w:shd w:val="clear" w:color="auto" w:fill="auto"/>
            <w:noWrap/>
            <w:vAlign w:val="center"/>
          </w:tcPr>
          <w:p w14:paraId="1A36C886" w14:textId="77777777" w:rsidR="00336CA5" w:rsidRPr="00E84C93" w:rsidRDefault="00336CA5" w:rsidP="006E7EA4">
            <w:pPr>
              <w:spacing w:after="0"/>
              <w:jc w:val="center"/>
              <w:rPr>
                <w:rFonts w:cs="Times New Roman"/>
                <w:bCs/>
                <w:color w:val="000000"/>
                <w:sz w:val="20"/>
                <w:szCs w:val="20"/>
                <w:lang w:val="sr-Cyrl-CS" w:eastAsia="de-DE"/>
              </w:rPr>
            </w:pPr>
          </w:p>
        </w:tc>
        <w:tc>
          <w:tcPr>
            <w:tcW w:w="1317" w:type="dxa"/>
            <w:shd w:val="clear" w:color="auto" w:fill="auto"/>
            <w:noWrap/>
            <w:vAlign w:val="center"/>
          </w:tcPr>
          <w:p w14:paraId="42B77C38"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14254B62" w14:textId="77777777" w:rsidR="00336CA5" w:rsidRPr="00E84C93" w:rsidRDefault="00336CA5" w:rsidP="006E7EA4">
            <w:pPr>
              <w:spacing w:after="0"/>
              <w:jc w:val="center"/>
              <w:rPr>
                <w:rFonts w:cs="Times New Roman"/>
                <w:bCs/>
                <w:color w:val="000000"/>
                <w:sz w:val="20"/>
                <w:szCs w:val="20"/>
                <w:lang w:val="sr-Cyrl-CS" w:eastAsia="de-DE"/>
              </w:rPr>
            </w:pPr>
          </w:p>
        </w:tc>
        <w:tc>
          <w:tcPr>
            <w:tcW w:w="1697" w:type="dxa"/>
            <w:vAlign w:val="center"/>
          </w:tcPr>
          <w:p w14:paraId="75C9BCAD" w14:textId="501545EC"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4.500 t/год. са 26% СМ</w:t>
            </w:r>
          </w:p>
        </w:tc>
      </w:tr>
      <w:tr w:rsidR="00336CA5" w:rsidRPr="00E84C93" w14:paraId="6C37D060" w14:textId="77777777" w:rsidTr="00A758A2">
        <w:trPr>
          <w:trHeight w:val="542"/>
        </w:trPr>
        <w:tc>
          <w:tcPr>
            <w:tcW w:w="1333" w:type="dxa"/>
            <w:shd w:val="clear" w:color="auto" w:fill="auto"/>
            <w:noWrap/>
            <w:vAlign w:val="center"/>
          </w:tcPr>
          <w:p w14:paraId="430F1DD8" w14:textId="2C00136E" w:rsidR="00336CA5" w:rsidRPr="00E84C93" w:rsidRDefault="00336CA5" w:rsidP="006E7EA4">
            <w:pPr>
              <w:spacing w:after="0"/>
              <w:rPr>
                <w:rFonts w:cs="Times New Roman"/>
                <w:bCs/>
                <w:color w:val="000000"/>
                <w:sz w:val="20"/>
                <w:szCs w:val="20"/>
                <w:lang w:val="sr-Cyrl-CS" w:eastAsia="de-DE"/>
              </w:rPr>
            </w:pPr>
            <w:r w:rsidRPr="00E84C93">
              <w:rPr>
                <w:rFonts w:cs="Times New Roman"/>
                <w:sz w:val="20"/>
                <w:szCs w:val="20"/>
                <w:lang w:val="sr-Cyrl-CS"/>
              </w:rPr>
              <w:t>Крушевац</w:t>
            </w:r>
          </w:p>
        </w:tc>
        <w:tc>
          <w:tcPr>
            <w:tcW w:w="1195" w:type="dxa"/>
            <w:shd w:val="clear" w:color="auto" w:fill="auto"/>
            <w:noWrap/>
            <w:vAlign w:val="center"/>
          </w:tcPr>
          <w:p w14:paraId="35F8BEE9"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sz w:val="20"/>
                <w:szCs w:val="20"/>
                <w:lang w:val="sr-Cyrl-CS"/>
              </w:rPr>
              <w:t>90.000</w:t>
            </w:r>
          </w:p>
        </w:tc>
        <w:tc>
          <w:tcPr>
            <w:tcW w:w="960" w:type="dxa"/>
            <w:vAlign w:val="center"/>
          </w:tcPr>
          <w:p w14:paraId="22C0C983" w14:textId="215B552A"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2021.</w:t>
            </w:r>
          </w:p>
        </w:tc>
        <w:tc>
          <w:tcPr>
            <w:tcW w:w="772" w:type="dxa"/>
            <w:vAlign w:val="center"/>
          </w:tcPr>
          <w:p w14:paraId="58FF6A66"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1.700</w:t>
            </w:r>
          </w:p>
        </w:tc>
        <w:tc>
          <w:tcPr>
            <w:tcW w:w="749" w:type="dxa"/>
            <w:vAlign w:val="center"/>
          </w:tcPr>
          <w:p w14:paraId="59A1B3A7"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1.500</w:t>
            </w:r>
          </w:p>
        </w:tc>
        <w:tc>
          <w:tcPr>
            <w:tcW w:w="1175" w:type="dxa"/>
            <w:shd w:val="clear" w:color="auto" w:fill="auto"/>
            <w:noWrap/>
            <w:vAlign w:val="center"/>
          </w:tcPr>
          <w:p w14:paraId="2B75FD63"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68869222"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247" w:type="dxa"/>
            <w:shd w:val="clear" w:color="auto" w:fill="auto"/>
            <w:noWrap/>
            <w:vAlign w:val="center"/>
          </w:tcPr>
          <w:p w14:paraId="0DA11405" w14:textId="77777777" w:rsidR="00336CA5" w:rsidRPr="00E84C93" w:rsidRDefault="00336CA5" w:rsidP="006E7EA4">
            <w:pPr>
              <w:spacing w:after="0"/>
              <w:jc w:val="center"/>
              <w:rPr>
                <w:rFonts w:cs="Times New Roman"/>
                <w:bCs/>
                <w:color w:val="000000"/>
                <w:sz w:val="20"/>
                <w:szCs w:val="20"/>
                <w:lang w:val="sr-Cyrl-CS" w:eastAsia="de-DE"/>
              </w:rPr>
            </w:pPr>
          </w:p>
        </w:tc>
        <w:tc>
          <w:tcPr>
            <w:tcW w:w="1317" w:type="dxa"/>
            <w:shd w:val="clear" w:color="auto" w:fill="auto"/>
            <w:noWrap/>
            <w:vAlign w:val="center"/>
          </w:tcPr>
          <w:p w14:paraId="7789CC58"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7C714593"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697" w:type="dxa"/>
            <w:vAlign w:val="center"/>
          </w:tcPr>
          <w:p w14:paraId="2087111D" w14:textId="32C888D6"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2.600 t/год. са 60% СМ</w:t>
            </w:r>
          </w:p>
        </w:tc>
      </w:tr>
      <w:tr w:rsidR="00336CA5" w:rsidRPr="00E84C93" w14:paraId="2BCFE352" w14:textId="77777777" w:rsidTr="00A758A2">
        <w:trPr>
          <w:trHeight w:val="542"/>
        </w:trPr>
        <w:tc>
          <w:tcPr>
            <w:tcW w:w="1333" w:type="dxa"/>
            <w:shd w:val="clear" w:color="auto" w:fill="auto"/>
            <w:noWrap/>
            <w:vAlign w:val="center"/>
          </w:tcPr>
          <w:p w14:paraId="3441E464" w14:textId="19F63157" w:rsidR="00336CA5" w:rsidRPr="00E84C93" w:rsidRDefault="00336CA5" w:rsidP="006E7EA4">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Суботица</w:t>
            </w:r>
          </w:p>
        </w:tc>
        <w:tc>
          <w:tcPr>
            <w:tcW w:w="1195" w:type="dxa"/>
            <w:shd w:val="clear" w:color="auto" w:fill="auto"/>
            <w:noWrap/>
            <w:vAlign w:val="center"/>
          </w:tcPr>
          <w:p w14:paraId="5EE3B15C"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150.000</w:t>
            </w:r>
          </w:p>
        </w:tc>
        <w:tc>
          <w:tcPr>
            <w:tcW w:w="960" w:type="dxa"/>
            <w:vAlign w:val="center"/>
          </w:tcPr>
          <w:p w14:paraId="6017F8E0" w14:textId="47DEE92D"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2000.</w:t>
            </w:r>
          </w:p>
        </w:tc>
        <w:tc>
          <w:tcPr>
            <w:tcW w:w="772" w:type="dxa"/>
            <w:vAlign w:val="center"/>
          </w:tcPr>
          <w:p w14:paraId="12B39D24" w14:textId="798E1C5A"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2.800</w:t>
            </w:r>
          </w:p>
        </w:tc>
        <w:tc>
          <w:tcPr>
            <w:tcW w:w="749" w:type="dxa"/>
            <w:vAlign w:val="center"/>
          </w:tcPr>
          <w:p w14:paraId="0FA039E9" w14:textId="2A47BFA6"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2.200</w:t>
            </w:r>
          </w:p>
        </w:tc>
        <w:tc>
          <w:tcPr>
            <w:tcW w:w="1175" w:type="dxa"/>
            <w:shd w:val="clear" w:color="auto" w:fill="auto"/>
            <w:noWrap/>
            <w:vAlign w:val="center"/>
          </w:tcPr>
          <w:p w14:paraId="10DA4C3B"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329" w:type="dxa"/>
            <w:shd w:val="clear" w:color="auto" w:fill="auto"/>
            <w:noWrap/>
            <w:vAlign w:val="center"/>
          </w:tcPr>
          <w:p w14:paraId="21AB29D5"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1247" w:type="dxa"/>
            <w:shd w:val="clear" w:color="auto" w:fill="auto"/>
            <w:noWrap/>
            <w:vAlign w:val="center"/>
          </w:tcPr>
          <w:p w14:paraId="3E70A546" w14:textId="77777777" w:rsidR="00336CA5" w:rsidRPr="00E84C93" w:rsidRDefault="00336CA5" w:rsidP="006E7EA4">
            <w:pPr>
              <w:spacing w:after="0"/>
              <w:jc w:val="center"/>
              <w:rPr>
                <w:rFonts w:cs="Times New Roman"/>
                <w:bCs/>
                <w:color w:val="000000"/>
                <w:sz w:val="20"/>
                <w:szCs w:val="20"/>
                <w:lang w:val="sr-Cyrl-CS" w:eastAsia="de-DE"/>
              </w:rPr>
            </w:pPr>
          </w:p>
        </w:tc>
        <w:tc>
          <w:tcPr>
            <w:tcW w:w="1317" w:type="dxa"/>
            <w:shd w:val="clear" w:color="auto" w:fill="auto"/>
            <w:noWrap/>
            <w:vAlign w:val="center"/>
          </w:tcPr>
          <w:p w14:paraId="0281408E" w14:textId="77777777" w:rsidR="00336CA5" w:rsidRPr="00E84C93" w:rsidRDefault="00336CA5" w:rsidP="006E7EA4">
            <w:pPr>
              <w:spacing w:after="0"/>
              <w:jc w:val="center"/>
              <w:rPr>
                <w:rFonts w:cs="Times New Roman"/>
                <w:bCs/>
                <w:color w:val="000000"/>
                <w:sz w:val="20"/>
                <w:szCs w:val="20"/>
                <w:lang w:val="sr-Cyrl-CS" w:eastAsia="de-DE"/>
              </w:rPr>
            </w:pPr>
            <w:r w:rsidRPr="00E84C93">
              <w:rPr>
                <w:rFonts w:cs="Times New Roman"/>
                <w:bCs/>
                <w:color w:val="000000"/>
                <w:sz w:val="20"/>
                <w:szCs w:val="20"/>
                <w:lang w:val="sr-Cyrl-CS" w:eastAsia="de-DE"/>
              </w:rPr>
              <w:t>X</w:t>
            </w:r>
          </w:p>
        </w:tc>
        <w:tc>
          <w:tcPr>
            <w:tcW w:w="835" w:type="dxa"/>
            <w:shd w:val="clear" w:color="auto" w:fill="auto"/>
            <w:noWrap/>
            <w:vAlign w:val="center"/>
          </w:tcPr>
          <w:p w14:paraId="33963E0F" w14:textId="77777777" w:rsidR="00336CA5" w:rsidRPr="00E84C93" w:rsidRDefault="00336CA5" w:rsidP="006E7EA4">
            <w:pPr>
              <w:spacing w:after="0"/>
              <w:jc w:val="center"/>
              <w:rPr>
                <w:rFonts w:cs="Times New Roman"/>
                <w:bCs/>
                <w:color w:val="000000"/>
                <w:sz w:val="20"/>
                <w:szCs w:val="20"/>
                <w:lang w:val="sr-Cyrl-CS" w:eastAsia="de-DE"/>
              </w:rPr>
            </w:pPr>
          </w:p>
        </w:tc>
        <w:tc>
          <w:tcPr>
            <w:tcW w:w="1697" w:type="dxa"/>
            <w:vAlign w:val="center"/>
          </w:tcPr>
          <w:p w14:paraId="25D7A151" w14:textId="05EFB24F"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13.000 t/год. са 20% СМ</w:t>
            </w:r>
          </w:p>
        </w:tc>
      </w:tr>
    </w:tbl>
    <w:p w14:paraId="78EB598E" w14:textId="77777777" w:rsidR="002A518D" w:rsidRPr="00E84C93" w:rsidRDefault="002A518D" w:rsidP="002A518D">
      <w:pPr>
        <w:spacing w:after="0"/>
        <w:ind w:firstLine="720"/>
        <w:jc w:val="both"/>
        <w:rPr>
          <w:rFonts w:cs="Times New Roman"/>
          <w:lang w:val="sr-Cyrl-CS"/>
        </w:rPr>
      </w:pPr>
    </w:p>
    <w:p w14:paraId="4FE29F91" w14:textId="77777777" w:rsidR="005D517F" w:rsidRPr="00E84C93" w:rsidRDefault="005D517F" w:rsidP="002A518D">
      <w:pPr>
        <w:spacing w:after="0" w:line="259" w:lineRule="auto"/>
        <w:rPr>
          <w:highlight w:val="cyan"/>
          <w:lang w:val="sr-Cyrl-CS"/>
        </w:rPr>
      </w:pPr>
    </w:p>
    <w:p w14:paraId="106C9C11" w14:textId="649530E8" w:rsidR="00396006" w:rsidRPr="00E84C93" w:rsidRDefault="00396006" w:rsidP="00280669">
      <w:pPr>
        <w:pStyle w:val="Caption"/>
        <w:rPr>
          <w:lang w:val="sr-Cyrl-CS"/>
        </w:rPr>
      </w:pPr>
      <w:bookmarkStart w:id="23" w:name="_Ref93650179"/>
      <w:bookmarkStart w:id="24" w:name="_Toc87616713"/>
      <w:bookmarkStart w:id="25" w:name="_Toc95128168"/>
      <w:r w:rsidRPr="00E84C93">
        <w:rPr>
          <w:b/>
          <w:lang w:val="sr-Cyrl-CS"/>
        </w:rPr>
        <w:t xml:space="preserve">Табела </w:t>
      </w:r>
      <w:bookmarkEnd w:id="23"/>
      <w:r w:rsidR="00E50711" w:rsidRPr="00E84C93">
        <w:rPr>
          <w:b/>
          <w:lang w:val="sr-Cyrl-CS"/>
        </w:rPr>
        <w:t>3.</w:t>
      </w:r>
      <w:r w:rsidR="003E691A" w:rsidRPr="00E84C93">
        <w:rPr>
          <w:b/>
          <w:lang w:val="sr-Cyrl-CS"/>
        </w:rPr>
        <w:t>3</w:t>
      </w:r>
      <w:r w:rsidR="00E50711" w:rsidRPr="00E84C93">
        <w:rPr>
          <w:b/>
          <w:lang w:val="sr-Cyrl-CS"/>
        </w:rPr>
        <w:t>.</w:t>
      </w:r>
      <w:r w:rsidRPr="00E84C93">
        <w:rPr>
          <w:lang w:val="sr-Cyrl-CS"/>
        </w:rPr>
        <w:t xml:space="preserve"> </w:t>
      </w:r>
      <w:bookmarkEnd w:id="24"/>
      <w:r w:rsidRPr="00E84C93">
        <w:rPr>
          <w:lang w:val="sr-Cyrl-CS"/>
        </w:rPr>
        <w:t xml:space="preserve">Постројења </w:t>
      </w:r>
      <w:r w:rsidR="0016531B" w:rsidRPr="00E84C93">
        <w:rPr>
          <w:lang w:val="sr-Cyrl-CS"/>
        </w:rPr>
        <w:t>за пречишћавање отпадних вода</w:t>
      </w:r>
      <w:r w:rsidRPr="00E84C93">
        <w:rPr>
          <w:lang w:val="sr-Cyrl-CS"/>
        </w:rPr>
        <w:t xml:space="preserve"> у изградњи</w:t>
      </w:r>
      <w:bookmarkEnd w:id="25"/>
    </w:p>
    <w:tbl>
      <w:tblPr>
        <w:tblW w:w="125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3"/>
        <w:gridCol w:w="1103"/>
        <w:gridCol w:w="1053"/>
        <w:gridCol w:w="741"/>
        <w:gridCol w:w="720"/>
        <w:gridCol w:w="1170"/>
        <w:gridCol w:w="1350"/>
        <w:gridCol w:w="1260"/>
        <w:gridCol w:w="1350"/>
        <w:gridCol w:w="810"/>
        <w:gridCol w:w="1641"/>
      </w:tblGrid>
      <w:tr w:rsidR="00336CA5" w:rsidRPr="00E84C93" w14:paraId="2B88A4CA" w14:textId="77777777" w:rsidTr="00336CA5">
        <w:trPr>
          <w:trHeight w:val="537"/>
        </w:trPr>
        <w:tc>
          <w:tcPr>
            <w:tcW w:w="1363" w:type="dxa"/>
            <w:vMerge w:val="restart"/>
            <w:shd w:val="clear" w:color="auto" w:fill="BDD6EE" w:themeFill="accent1" w:themeFillTint="66"/>
            <w:noWrap/>
            <w:vAlign w:val="center"/>
            <w:hideMark/>
          </w:tcPr>
          <w:p w14:paraId="31ABFB3D" w14:textId="7ADC3371" w:rsidR="00336CA5" w:rsidRPr="00E84C93" w:rsidRDefault="00336CA5" w:rsidP="006E7EA4">
            <w:pPr>
              <w:spacing w:after="0"/>
              <w:rPr>
                <w:rFonts w:cs="Times New Roman"/>
                <w:b/>
                <w:sz w:val="16"/>
                <w:szCs w:val="16"/>
                <w:lang w:val="sr-Cyrl-CS" w:eastAsia="de-DE"/>
              </w:rPr>
            </w:pPr>
            <w:r w:rsidRPr="00E84C93">
              <w:rPr>
                <w:rFonts w:cs="Times New Roman"/>
                <w:b/>
                <w:sz w:val="16"/>
                <w:szCs w:val="16"/>
                <w:lang w:val="sr-Cyrl-CS" w:eastAsia="de-DE"/>
              </w:rPr>
              <w:t>Општина/Град</w:t>
            </w:r>
          </w:p>
        </w:tc>
        <w:tc>
          <w:tcPr>
            <w:tcW w:w="1103" w:type="dxa"/>
            <w:vMerge w:val="restart"/>
            <w:shd w:val="clear" w:color="auto" w:fill="BDD6EE" w:themeFill="accent1" w:themeFillTint="66"/>
            <w:vAlign w:val="center"/>
            <w:hideMark/>
          </w:tcPr>
          <w:p w14:paraId="2DD21C71" w14:textId="3E3EC2D6"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Планирани капацитет ППОВ</w:t>
            </w:r>
            <w:r w:rsidRPr="00E84C93">
              <w:rPr>
                <w:rFonts w:cs="Times New Roman"/>
                <w:b/>
                <w:sz w:val="16"/>
                <w:szCs w:val="16"/>
                <w:lang w:val="sr-Cyrl-CS" w:eastAsia="de-DE"/>
              </w:rPr>
              <w:br/>
              <w:t>(ЕС)</w:t>
            </w:r>
          </w:p>
        </w:tc>
        <w:tc>
          <w:tcPr>
            <w:tcW w:w="1053" w:type="dxa"/>
            <w:vMerge w:val="restart"/>
            <w:shd w:val="clear" w:color="auto" w:fill="BDD6EE" w:themeFill="accent1" w:themeFillTint="66"/>
            <w:vAlign w:val="center"/>
          </w:tcPr>
          <w:p w14:paraId="7099E740"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Година пуштања у рад</w:t>
            </w:r>
          </w:p>
        </w:tc>
        <w:tc>
          <w:tcPr>
            <w:tcW w:w="1461" w:type="dxa"/>
            <w:gridSpan w:val="2"/>
            <w:shd w:val="clear" w:color="auto" w:fill="BDD6EE" w:themeFill="accent1" w:themeFillTint="66"/>
            <w:vAlign w:val="center"/>
          </w:tcPr>
          <w:p w14:paraId="5B497809" w14:textId="77777777" w:rsidR="00336CA5" w:rsidRPr="00E84C93" w:rsidRDefault="00336CA5" w:rsidP="006E7EA4">
            <w:pPr>
              <w:spacing w:after="0"/>
              <w:jc w:val="center"/>
              <w:rPr>
                <w:rFonts w:cs="Times New Roman"/>
                <w:b/>
                <w:sz w:val="16"/>
                <w:szCs w:val="16"/>
                <w:lang w:val="sr-Cyrl-CS"/>
              </w:rPr>
            </w:pPr>
            <w:r w:rsidRPr="00E84C93">
              <w:rPr>
                <w:rFonts w:cs="Times New Roman"/>
                <w:b/>
                <w:sz w:val="16"/>
                <w:szCs w:val="16"/>
                <w:lang w:val="sr-Cyrl-CS"/>
              </w:rPr>
              <w:t>Процена производње муља</w:t>
            </w:r>
          </w:p>
          <w:p w14:paraId="2C8EDFCA" w14:textId="0E9F729F"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(t СМ/год.)</w:t>
            </w:r>
          </w:p>
        </w:tc>
        <w:tc>
          <w:tcPr>
            <w:tcW w:w="5940" w:type="dxa"/>
            <w:gridSpan w:val="5"/>
            <w:shd w:val="clear" w:color="auto" w:fill="BDD6EE" w:themeFill="accent1" w:themeFillTint="66"/>
            <w:noWrap/>
            <w:vAlign w:val="center"/>
            <w:hideMark/>
          </w:tcPr>
          <w:p w14:paraId="002C1F27" w14:textId="2AAFE999"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Третман муља у оквиру ППОВ</w:t>
            </w:r>
          </w:p>
        </w:tc>
        <w:tc>
          <w:tcPr>
            <w:tcW w:w="1641" w:type="dxa"/>
            <w:vMerge w:val="restart"/>
            <w:shd w:val="clear" w:color="auto" w:fill="BDD6EE" w:themeFill="accent1" w:themeFillTint="66"/>
            <w:vAlign w:val="center"/>
          </w:tcPr>
          <w:p w14:paraId="37B3DBAF"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Количина</w:t>
            </w:r>
          </w:p>
        </w:tc>
      </w:tr>
      <w:tr w:rsidR="00336CA5" w:rsidRPr="00E84C93" w14:paraId="73132C29" w14:textId="77777777" w:rsidTr="00336CA5">
        <w:trPr>
          <w:trHeight w:val="412"/>
        </w:trPr>
        <w:tc>
          <w:tcPr>
            <w:tcW w:w="1363" w:type="dxa"/>
            <w:vMerge/>
            <w:shd w:val="clear" w:color="auto" w:fill="002060"/>
            <w:vAlign w:val="center"/>
            <w:hideMark/>
          </w:tcPr>
          <w:p w14:paraId="34269746" w14:textId="77777777" w:rsidR="00336CA5" w:rsidRPr="00E84C93" w:rsidRDefault="00336CA5" w:rsidP="006E7EA4">
            <w:pPr>
              <w:spacing w:after="0"/>
              <w:jc w:val="center"/>
              <w:rPr>
                <w:rFonts w:cs="Times New Roman"/>
                <w:b/>
                <w:sz w:val="16"/>
                <w:szCs w:val="16"/>
                <w:lang w:val="sr-Cyrl-CS" w:eastAsia="de-DE"/>
              </w:rPr>
            </w:pPr>
          </w:p>
        </w:tc>
        <w:tc>
          <w:tcPr>
            <w:tcW w:w="1103" w:type="dxa"/>
            <w:vMerge/>
            <w:shd w:val="clear" w:color="auto" w:fill="002060"/>
            <w:vAlign w:val="center"/>
            <w:hideMark/>
          </w:tcPr>
          <w:p w14:paraId="4786339E" w14:textId="77777777" w:rsidR="00336CA5" w:rsidRPr="00E84C93" w:rsidRDefault="00336CA5" w:rsidP="006E7EA4">
            <w:pPr>
              <w:spacing w:after="0"/>
              <w:jc w:val="center"/>
              <w:rPr>
                <w:rFonts w:cs="Times New Roman"/>
                <w:b/>
                <w:sz w:val="16"/>
                <w:szCs w:val="16"/>
                <w:lang w:val="sr-Cyrl-CS" w:eastAsia="de-DE"/>
              </w:rPr>
            </w:pPr>
          </w:p>
        </w:tc>
        <w:tc>
          <w:tcPr>
            <w:tcW w:w="1053" w:type="dxa"/>
            <w:vMerge/>
            <w:shd w:val="clear" w:color="auto" w:fill="002060"/>
          </w:tcPr>
          <w:p w14:paraId="0277106A" w14:textId="77777777" w:rsidR="00336CA5" w:rsidRPr="00E84C93" w:rsidRDefault="00336CA5" w:rsidP="006E7EA4">
            <w:pPr>
              <w:spacing w:after="0"/>
              <w:jc w:val="center"/>
              <w:rPr>
                <w:rFonts w:cs="Times New Roman"/>
                <w:b/>
                <w:sz w:val="16"/>
                <w:szCs w:val="16"/>
                <w:lang w:val="sr-Cyrl-CS" w:eastAsia="de-DE"/>
              </w:rPr>
            </w:pPr>
          </w:p>
        </w:tc>
        <w:tc>
          <w:tcPr>
            <w:tcW w:w="741" w:type="dxa"/>
            <w:shd w:val="clear" w:color="auto" w:fill="BDD6EE" w:themeFill="accent1" w:themeFillTint="66"/>
            <w:vAlign w:val="center"/>
          </w:tcPr>
          <w:p w14:paraId="2CBD6815"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85%</w:t>
            </w:r>
          </w:p>
        </w:tc>
        <w:tc>
          <w:tcPr>
            <w:tcW w:w="720" w:type="dxa"/>
            <w:shd w:val="clear" w:color="auto" w:fill="BDD6EE" w:themeFill="accent1" w:themeFillTint="66"/>
            <w:vAlign w:val="center"/>
          </w:tcPr>
          <w:p w14:paraId="794EC299"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rPr>
              <w:t>50%</w:t>
            </w:r>
          </w:p>
        </w:tc>
        <w:tc>
          <w:tcPr>
            <w:tcW w:w="1170" w:type="dxa"/>
            <w:shd w:val="clear" w:color="auto" w:fill="BDD6EE" w:themeFill="accent1" w:themeFillTint="66"/>
            <w:vAlign w:val="center"/>
            <w:hideMark/>
          </w:tcPr>
          <w:p w14:paraId="5D8C57AC"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Згушњавање</w:t>
            </w:r>
          </w:p>
        </w:tc>
        <w:tc>
          <w:tcPr>
            <w:tcW w:w="1350" w:type="dxa"/>
            <w:shd w:val="clear" w:color="auto" w:fill="BDD6EE" w:themeFill="accent1" w:themeFillTint="66"/>
            <w:vAlign w:val="center"/>
            <w:hideMark/>
          </w:tcPr>
          <w:p w14:paraId="6C0C577E"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Анаеробна стабилизација</w:t>
            </w:r>
          </w:p>
        </w:tc>
        <w:tc>
          <w:tcPr>
            <w:tcW w:w="1260" w:type="dxa"/>
            <w:shd w:val="clear" w:color="auto" w:fill="BDD6EE" w:themeFill="accent1" w:themeFillTint="66"/>
            <w:vAlign w:val="center"/>
            <w:hideMark/>
          </w:tcPr>
          <w:p w14:paraId="30858033"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Аеробна стабилизација</w:t>
            </w:r>
          </w:p>
        </w:tc>
        <w:tc>
          <w:tcPr>
            <w:tcW w:w="1350" w:type="dxa"/>
            <w:shd w:val="clear" w:color="auto" w:fill="BDD6EE" w:themeFill="accent1" w:themeFillTint="66"/>
            <w:vAlign w:val="center"/>
            <w:hideMark/>
          </w:tcPr>
          <w:p w14:paraId="0C93EF16" w14:textId="668E2196"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Механичко обездводњавање</w:t>
            </w:r>
          </w:p>
        </w:tc>
        <w:tc>
          <w:tcPr>
            <w:tcW w:w="810" w:type="dxa"/>
            <w:shd w:val="clear" w:color="auto" w:fill="BDD6EE" w:themeFill="accent1" w:themeFillTint="66"/>
            <w:vAlign w:val="center"/>
            <w:hideMark/>
          </w:tcPr>
          <w:p w14:paraId="2247C834" w14:textId="77777777" w:rsidR="00336CA5" w:rsidRPr="00E84C93" w:rsidRDefault="00336CA5" w:rsidP="006E7EA4">
            <w:pPr>
              <w:spacing w:after="0"/>
              <w:jc w:val="center"/>
              <w:rPr>
                <w:rFonts w:cs="Times New Roman"/>
                <w:b/>
                <w:sz w:val="16"/>
                <w:szCs w:val="16"/>
                <w:lang w:val="sr-Cyrl-CS" w:eastAsia="de-DE"/>
              </w:rPr>
            </w:pPr>
            <w:r w:rsidRPr="00E84C93">
              <w:rPr>
                <w:rFonts w:cs="Times New Roman"/>
                <w:b/>
                <w:sz w:val="16"/>
                <w:szCs w:val="16"/>
                <w:lang w:val="sr-Cyrl-CS" w:eastAsia="de-DE"/>
              </w:rPr>
              <w:t>Соларно сушење</w:t>
            </w:r>
          </w:p>
        </w:tc>
        <w:tc>
          <w:tcPr>
            <w:tcW w:w="1641" w:type="dxa"/>
            <w:vMerge/>
            <w:shd w:val="clear" w:color="auto" w:fill="BDD6EE" w:themeFill="accent1" w:themeFillTint="66"/>
          </w:tcPr>
          <w:p w14:paraId="36D848FC" w14:textId="77777777" w:rsidR="00336CA5" w:rsidRPr="00E84C93" w:rsidRDefault="00336CA5" w:rsidP="006E7EA4">
            <w:pPr>
              <w:spacing w:after="0"/>
              <w:jc w:val="center"/>
              <w:rPr>
                <w:rFonts w:cs="Times New Roman"/>
                <w:b/>
                <w:sz w:val="16"/>
                <w:szCs w:val="16"/>
                <w:lang w:val="sr-Cyrl-CS" w:eastAsia="de-DE"/>
              </w:rPr>
            </w:pPr>
          </w:p>
        </w:tc>
      </w:tr>
      <w:tr w:rsidR="00336CA5" w:rsidRPr="00E84C93" w14:paraId="3C96BFC0" w14:textId="77777777" w:rsidTr="00336CA5">
        <w:trPr>
          <w:trHeight w:val="429"/>
        </w:trPr>
        <w:tc>
          <w:tcPr>
            <w:tcW w:w="1363" w:type="dxa"/>
            <w:shd w:val="clear" w:color="auto" w:fill="auto"/>
            <w:noWrap/>
            <w:vAlign w:val="center"/>
          </w:tcPr>
          <w:p w14:paraId="4192291D" w14:textId="15ABA75D"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Врање</w:t>
            </w:r>
          </w:p>
        </w:tc>
        <w:tc>
          <w:tcPr>
            <w:tcW w:w="1103" w:type="dxa"/>
            <w:shd w:val="clear" w:color="auto" w:fill="auto"/>
            <w:noWrap/>
            <w:vAlign w:val="center"/>
          </w:tcPr>
          <w:p w14:paraId="1F402011"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70.000</w:t>
            </w:r>
          </w:p>
        </w:tc>
        <w:tc>
          <w:tcPr>
            <w:tcW w:w="1053" w:type="dxa"/>
            <w:vAlign w:val="center"/>
          </w:tcPr>
          <w:p w14:paraId="7A1B008B" w14:textId="3E7F1B8E"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2022.</w:t>
            </w:r>
          </w:p>
        </w:tc>
        <w:tc>
          <w:tcPr>
            <w:tcW w:w="741" w:type="dxa"/>
            <w:vAlign w:val="center"/>
          </w:tcPr>
          <w:p w14:paraId="78F0C290"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1.200</w:t>
            </w:r>
          </w:p>
        </w:tc>
        <w:tc>
          <w:tcPr>
            <w:tcW w:w="720" w:type="dxa"/>
            <w:vAlign w:val="center"/>
          </w:tcPr>
          <w:p w14:paraId="47650812"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900</w:t>
            </w:r>
          </w:p>
        </w:tc>
        <w:tc>
          <w:tcPr>
            <w:tcW w:w="1170" w:type="dxa"/>
            <w:shd w:val="clear" w:color="auto" w:fill="auto"/>
            <w:noWrap/>
            <w:vAlign w:val="center"/>
          </w:tcPr>
          <w:p w14:paraId="09F37AD3"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X</w:t>
            </w:r>
          </w:p>
        </w:tc>
        <w:tc>
          <w:tcPr>
            <w:tcW w:w="1350" w:type="dxa"/>
            <w:shd w:val="clear" w:color="auto" w:fill="auto"/>
            <w:noWrap/>
            <w:vAlign w:val="center"/>
          </w:tcPr>
          <w:p w14:paraId="5CBBB3C9"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X</w:t>
            </w:r>
          </w:p>
        </w:tc>
        <w:tc>
          <w:tcPr>
            <w:tcW w:w="1260" w:type="dxa"/>
            <w:shd w:val="clear" w:color="auto" w:fill="auto"/>
            <w:noWrap/>
            <w:vAlign w:val="center"/>
          </w:tcPr>
          <w:p w14:paraId="27ED1CA2" w14:textId="77777777" w:rsidR="00336CA5" w:rsidRPr="00E84C93" w:rsidRDefault="00336CA5" w:rsidP="006E7EA4">
            <w:pPr>
              <w:spacing w:after="0"/>
              <w:jc w:val="center"/>
              <w:rPr>
                <w:rFonts w:cs="Times New Roman"/>
                <w:bCs/>
                <w:sz w:val="20"/>
                <w:szCs w:val="20"/>
                <w:lang w:val="sr-Cyrl-CS" w:eastAsia="de-DE"/>
              </w:rPr>
            </w:pPr>
          </w:p>
        </w:tc>
        <w:tc>
          <w:tcPr>
            <w:tcW w:w="1350" w:type="dxa"/>
            <w:shd w:val="clear" w:color="auto" w:fill="auto"/>
            <w:noWrap/>
            <w:vAlign w:val="center"/>
          </w:tcPr>
          <w:p w14:paraId="4E703AEF" w14:textId="77777777" w:rsidR="00336CA5" w:rsidRPr="00E84C93" w:rsidRDefault="00336CA5" w:rsidP="006E7EA4">
            <w:pPr>
              <w:spacing w:after="0"/>
              <w:jc w:val="center"/>
              <w:rPr>
                <w:rFonts w:cs="Times New Roman"/>
                <w:bCs/>
                <w:sz w:val="20"/>
                <w:szCs w:val="20"/>
                <w:lang w:val="sr-Cyrl-CS" w:eastAsia="de-DE"/>
              </w:rPr>
            </w:pPr>
            <w:r w:rsidRPr="00E84C93">
              <w:rPr>
                <w:rFonts w:cs="Times New Roman"/>
                <w:bCs/>
                <w:sz w:val="20"/>
                <w:szCs w:val="20"/>
                <w:lang w:val="sr-Cyrl-CS" w:eastAsia="de-DE"/>
              </w:rPr>
              <w:t>X</w:t>
            </w:r>
          </w:p>
        </w:tc>
        <w:tc>
          <w:tcPr>
            <w:tcW w:w="810" w:type="dxa"/>
            <w:shd w:val="clear" w:color="auto" w:fill="auto"/>
            <w:noWrap/>
            <w:vAlign w:val="center"/>
          </w:tcPr>
          <w:p w14:paraId="4291B29F" w14:textId="77777777" w:rsidR="00336CA5" w:rsidRPr="00E84C93" w:rsidRDefault="00336CA5" w:rsidP="006E7EA4">
            <w:pPr>
              <w:spacing w:after="0"/>
              <w:jc w:val="center"/>
              <w:rPr>
                <w:rFonts w:cs="Times New Roman"/>
                <w:bCs/>
                <w:sz w:val="20"/>
                <w:szCs w:val="20"/>
                <w:lang w:val="sr-Cyrl-CS" w:eastAsia="de-DE"/>
              </w:rPr>
            </w:pPr>
          </w:p>
        </w:tc>
        <w:tc>
          <w:tcPr>
            <w:tcW w:w="1641" w:type="dxa"/>
            <w:vAlign w:val="center"/>
          </w:tcPr>
          <w:p w14:paraId="6A7E68C2" w14:textId="27B323E9" w:rsidR="00336CA5" w:rsidRPr="00E84C93" w:rsidRDefault="00336CA5" w:rsidP="006E7EA4">
            <w:pPr>
              <w:spacing w:after="0"/>
              <w:rPr>
                <w:rFonts w:cs="Times New Roman"/>
                <w:bCs/>
                <w:sz w:val="20"/>
                <w:szCs w:val="20"/>
                <w:lang w:val="sr-Cyrl-CS" w:eastAsia="de-DE"/>
              </w:rPr>
            </w:pPr>
            <w:r w:rsidRPr="00E84C93">
              <w:rPr>
                <w:rFonts w:cs="Times New Roman"/>
                <w:bCs/>
                <w:sz w:val="20"/>
                <w:szCs w:val="20"/>
                <w:lang w:val="sr-Cyrl-CS" w:eastAsia="de-DE"/>
              </w:rPr>
              <w:t>1.800 t/год. са 28% СМ</w:t>
            </w:r>
          </w:p>
        </w:tc>
      </w:tr>
      <w:tr w:rsidR="000B3585" w:rsidRPr="00E84C93" w14:paraId="5CCF0932" w14:textId="77777777" w:rsidTr="00336CA5">
        <w:trPr>
          <w:trHeight w:val="429"/>
        </w:trPr>
        <w:tc>
          <w:tcPr>
            <w:tcW w:w="1363" w:type="dxa"/>
            <w:shd w:val="clear" w:color="auto" w:fill="auto"/>
            <w:noWrap/>
            <w:vAlign w:val="center"/>
          </w:tcPr>
          <w:p w14:paraId="51C809D8" w14:textId="6BBD3DD7" w:rsidR="000B3585" w:rsidRPr="00E84C93" w:rsidRDefault="00A311C0" w:rsidP="006E7EA4">
            <w:pPr>
              <w:spacing w:after="0"/>
              <w:rPr>
                <w:rFonts w:cs="Times New Roman"/>
                <w:bCs/>
                <w:sz w:val="20"/>
                <w:szCs w:val="20"/>
                <w:lang w:val="sr-Cyrl-CS" w:eastAsia="de-DE"/>
              </w:rPr>
            </w:pPr>
            <w:r w:rsidRPr="00E84C93">
              <w:rPr>
                <w:rFonts w:cs="Times New Roman"/>
                <w:bCs/>
                <w:sz w:val="20"/>
                <w:szCs w:val="20"/>
                <w:lang w:val="sr-Cyrl-CS" w:eastAsia="de-DE"/>
              </w:rPr>
              <w:t>Брус и Блаце</w:t>
            </w:r>
          </w:p>
        </w:tc>
        <w:tc>
          <w:tcPr>
            <w:tcW w:w="1103" w:type="dxa"/>
            <w:shd w:val="clear" w:color="auto" w:fill="auto"/>
            <w:noWrap/>
            <w:vAlign w:val="center"/>
          </w:tcPr>
          <w:p w14:paraId="022E8435" w14:textId="12392CBC" w:rsidR="000B3585" w:rsidRPr="00E84C93" w:rsidRDefault="00A311C0" w:rsidP="006E7EA4">
            <w:pPr>
              <w:spacing w:after="0"/>
              <w:jc w:val="center"/>
              <w:rPr>
                <w:rFonts w:cs="Times New Roman"/>
                <w:bCs/>
                <w:sz w:val="20"/>
                <w:szCs w:val="20"/>
                <w:lang w:val="sr-Cyrl-CS" w:eastAsia="de-DE"/>
              </w:rPr>
            </w:pPr>
            <w:r w:rsidRPr="00E84C93">
              <w:rPr>
                <w:rFonts w:cs="Times New Roman"/>
                <w:bCs/>
                <w:sz w:val="20"/>
                <w:szCs w:val="20"/>
                <w:lang w:val="sr-Cyrl-CS" w:eastAsia="de-DE"/>
              </w:rPr>
              <w:t>два ППОВ од по 10.500 ЕС</w:t>
            </w:r>
          </w:p>
        </w:tc>
        <w:tc>
          <w:tcPr>
            <w:tcW w:w="1053" w:type="dxa"/>
            <w:vAlign w:val="center"/>
          </w:tcPr>
          <w:p w14:paraId="4D928579" w14:textId="0C1A3AFB" w:rsidR="000B3585" w:rsidRPr="00E84C93" w:rsidRDefault="00A311C0" w:rsidP="006E7EA4">
            <w:pPr>
              <w:spacing w:after="0"/>
              <w:jc w:val="center"/>
              <w:rPr>
                <w:rFonts w:cs="Times New Roman"/>
                <w:bCs/>
                <w:sz w:val="20"/>
                <w:szCs w:val="20"/>
                <w:lang w:val="sr-Cyrl-CS" w:eastAsia="de-DE"/>
              </w:rPr>
            </w:pPr>
            <w:r w:rsidRPr="00E84C93">
              <w:rPr>
                <w:rFonts w:cs="Times New Roman"/>
                <w:bCs/>
                <w:sz w:val="20"/>
                <w:szCs w:val="20"/>
                <w:lang w:val="sr-Cyrl-CS" w:eastAsia="de-DE"/>
              </w:rPr>
              <w:t>2025</w:t>
            </w:r>
          </w:p>
        </w:tc>
        <w:tc>
          <w:tcPr>
            <w:tcW w:w="741" w:type="dxa"/>
            <w:vAlign w:val="center"/>
          </w:tcPr>
          <w:p w14:paraId="3E51A817" w14:textId="77777777" w:rsidR="000B3585" w:rsidRPr="00E84C93" w:rsidRDefault="00FE1699" w:rsidP="006E7EA4">
            <w:pPr>
              <w:spacing w:after="0"/>
              <w:jc w:val="center"/>
              <w:rPr>
                <w:rFonts w:cs="Times New Roman"/>
                <w:bCs/>
                <w:sz w:val="20"/>
                <w:szCs w:val="20"/>
                <w:lang w:val="sr-Cyrl-CS" w:eastAsia="de-DE"/>
              </w:rPr>
            </w:pPr>
            <w:r w:rsidRPr="00E84C93">
              <w:rPr>
                <w:rFonts w:cs="Times New Roman"/>
                <w:bCs/>
                <w:sz w:val="20"/>
                <w:szCs w:val="20"/>
                <w:lang w:val="sr-Cyrl-CS" w:eastAsia="de-DE"/>
              </w:rPr>
              <w:t>411,87</w:t>
            </w:r>
          </w:p>
          <w:p w14:paraId="091750D9" w14:textId="3EAD5115" w:rsidR="00FE1699" w:rsidRPr="00E84C93" w:rsidRDefault="00FE1699" w:rsidP="006E7EA4">
            <w:pPr>
              <w:spacing w:after="0"/>
              <w:jc w:val="center"/>
              <w:rPr>
                <w:rFonts w:cs="Times New Roman"/>
                <w:bCs/>
                <w:sz w:val="20"/>
                <w:szCs w:val="20"/>
                <w:lang w:val="sr-Cyrl-CS" w:eastAsia="de-DE"/>
              </w:rPr>
            </w:pPr>
          </w:p>
        </w:tc>
        <w:tc>
          <w:tcPr>
            <w:tcW w:w="720" w:type="dxa"/>
            <w:vAlign w:val="center"/>
          </w:tcPr>
          <w:p w14:paraId="37F95A32" w14:textId="77777777" w:rsidR="000B3585" w:rsidRPr="00E84C93" w:rsidRDefault="00FE1699" w:rsidP="006E7EA4">
            <w:pPr>
              <w:spacing w:after="0"/>
              <w:jc w:val="center"/>
              <w:rPr>
                <w:rFonts w:cs="Times New Roman"/>
                <w:bCs/>
                <w:sz w:val="20"/>
                <w:szCs w:val="20"/>
                <w:lang w:val="sr-Cyrl-CS" w:eastAsia="de-DE"/>
              </w:rPr>
            </w:pPr>
            <w:r w:rsidRPr="00E84C93">
              <w:rPr>
                <w:rFonts w:cs="Times New Roman"/>
                <w:bCs/>
                <w:sz w:val="20"/>
                <w:szCs w:val="20"/>
                <w:lang w:val="sr-Cyrl-CS" w:eastAsia="de-DE"/>
              </w:rPr>
              <w:t>242,28</w:t>
            </w:r>
          </w:p>
          <w:p w14:paraId="5E854FCD" w14:textId="354D4CA6" w:rsidR="00FE1699" w:rsidRPr="00E84C93" w:rsidRDefault="00FE1699" w:rsidP="006E7EA4">
            <w:pPr>
              <w:spacing w:after="0"/>
              <w:jc w:val="center"/>
              <w:rPr>
                <w:rFonts w:cs="Times New Roman"/>
                <w:bCs/>
                <w:sz w:val="20"/>
                <w:szCs w:val="20"/>
                <w:lang w:val="sr-Cyrl-CS" w:eastAsia="de-DE"/>
              </w:rPr>
            </w:pPr>
          </w:p>
        </w:tc>
        <w:tc>
          <w:tcPr>
            <w:tcW w:w="1170" w:type="dxa"/>
            <w:shd w:val="clear" w:color="auto" w:fill="auto"/>
            <w:noWrap/>
            <w:vAlign w:val="center"/>
          </w:tcPr>
          <w:p w14:paraId="3B534370" w14:textId="67C9523A" w:rsidR="000B3585" w:rsidRPr="00E84C93" w:rsidRDefault="00FE1699" w:rsidP="006E7EA4">
            <w:pPr>
              <w:spacing w:after="0"/>
              <w:jc w:val="center"/>
              <w:rPr>
                <w:rFonts w:cs="Times New Roman"/>
                <w:bCs/>
                <w:sz w:val="20"/>
                <w:szCs w:val="20"/>
                <w:lang w:val="sr-Cyrl-CS" w:eastAsia="de-DE"/>
              </w:rPr>
            </w:pPr>
            <w:r w:rsidRPr="00E84C93">
              <w:rPr>
                <w:rFonts w:cs="Times New Roman"/>
                <w:bCs/>
                <w:sz w:val="20"/>
                <w:szCs w:val="20"/>
                <w:lang w:val="sr-Cyrl-CS" w:eastAsia="de-DE"/>
              </w:rPr>
              <w:t>Х</w:t>
            </w:r>
          </w:p>
        </w:tc>
        <w:tc>
          <w:tcPr>
            <w:tcW w:w="1350" w:type="dxa"/>
            <w:shd w:val="clear" w:color="auto" w:fill="auto"/>
            <w:noWrap/>
            <w:vAlign w:val="center"/>
          </w:tcPr>
          <w:p w14:paraId="044F02F9" w14:textId="6F3C716D" w:rsidR="000B3585" w:rsidRPr="00E84C93" w:rsidRDefault="000B3585" w:rsidP="006E7EA4">
            <w:pPr>
              <w:spacing w:after="0"/>
              <w:jc w:val="center"/>
              <w:rPr>
                <w:rFonts w:cs="Times New Roman"/>
                <w:bCs/>
                <w:sz w:val="20"/>
                <w:szCs w:val="20"/>
                <w:lang w:val="sr-Cyrl-CS" w:eastAsia="de-DE"/>
              </w:rPr>
            </w:pPr>
          </w:p>
        </w:tc>
        <w:tc>
          <w:tcPr>
            <w:tcW w:w="1260" w:type="dxa"/>
            <w:shd w:val="clear" w:color="auto" w:fill="auto"/>
            <w:noWrap/>
            <w:vAlign w:val="center"/>
          </w:tcPr>
          <w:p w14:paraId="6631B16B" w14:textId="31645DD4" w:rsidR="000B3585" w:rsidRPr="00E84C93" w:rsidRDefault="00FE1699" w:rsidP="006E7EA4">
            <w:pPr>
              <w:spacing w:after="0"/>
              <w:jc w:val="center"/>
              <w:rPr>
                <w:rFonts w:cs="Times New Roman"/>
                <w:bCs/>
                <w:sz w:val="20"/>
                <w:szCs w:val="20"/>
                <w:lang w:val="sr-Cyrl-CS" w:eastAsia="de-DE"/>
              </w:rPr>
            </w:pPr>
            <w:r w:rsidRPr="00E84C93">
              <w:rPr>
                <w:rFonts w:cs="Times New Roman"/>
                <w:bCs/>
                <w:sz w:val="20"/>
                <w:szCs w:val="20"/>
                <w:lang w:val="sr-Cyrl-CS" w:eastAsia="de-DE"/>
              </w:rPr>
              <w:t>Х</w:t>
            </w:r>
          </w:p>
        </w:tc>
        <w:tc>
          <w:tcPr>
            <w:tcW w:w="1350" w:type="dxa"/>
            <w:shd w:val="clear" w:color="auto" w:fill="auto"/>
            <w:noWrap/>
            <w:vAlign w:val="center"/>
          </w:tcPr>
          <w:p w14:paraId="1B704119" w14:textId="727050ED" w:rsidR="000B3585" w:rsidRPr="00E84C93" w:rsidRDefault="00FE1699" w:rsidP="006E7EA4">
            <w:pPr>
              <w:spacing w:after="0"/>
              <w:jc w:val="center"/>
              <w:rPr>
                <w:rFonts w:cs="Times New Roman"/>
                <w:bCs/>
                <w:sz w:val="20"/>
                <w:szCs w:val="20"/>
                <w:lang w:val="sr-Cyrl-CS" w:eastAsia="de-DE"/>
              </w:rPr>
            </w:pPr>
            <w:r w:rsidRPr="00E84C93">
              <w:rPr>
                <w:rFonts w:cs="Times New Roman"/>
                <w:bCs/>
                <w:sz w:val="20"/>
                <w:szCs w:val="20"/>
                <w:lang w:val="sr-Cyrl-CS" w:eastAsia="de-DE"/>
              </w:rPr>
              <w:t>Х</w:t>
            </w:r>
          </w:p>
        </w:tc>
        <w:tc>
          <w:tcPr>
            <w:tcW w:w="810" w:type="dxa"/>
            <w:shd w:val="clear" w:color="auto" w:fill="auto"/>
            <w:noWrap/>
            <w:vAlign w:val="center"/>
          </w:tcPr>
          <w:p w14:paraId="3C7E0CC9" w14:textId="7CD84739" w:rsidR="000B3585" w:rsidRPr="00E84C93" w:rsidRDefault="000B3585" w:rsidP="006E7EA4">
            <w:pPr>
              <w:spacing w:after="0"/>
              <w:jc w:val="center"/>
              <w:rPr>
                <w:rFonts w:cs="Times New Roman"/>
                <w:bCs/>
                <w:sz w:val="20"/>
                <w:szCs w:val="20"/>
                <w:lang w:val="sr-Cyrl-CS" w:eastAsia="de-DE"/>
              </w:rPr>
            </w:pPr>
          </w:p>
        </w:tc>
        <w:tc>
          <w:tcPr>
            <w:tcW w:w="1641" w:type="dxa"/>
            <w:vAlign w:val="center"/>
          </w:tcPr>
          <w:p w14:paraId="4ABD5768" w14:textId="402CC49F" w:rsidR="000B3585" w:rsidRPr="00E84C93" w:rsidRDefault="00E73B38" w:rsidP="006E7EA4">
            <w:pPr>
              <w:spacing w:after="0"/>
              <w:rPr>
                <w:rFonts w:cs="Times New Roman"/>
                <w:bCs/>
                <w:sz w:val="20"/>
                <w:szCs w:val="20"/>
                <w:lang w:val="sr-Cyrl-CS" w:eastAsia="de-DE"/>
              </w:rPr>
            </w:pPr>
            <w:r w:rsidRPr="00E84C93">
              <w:rPr>
                <w:color w:val="000000" w:themeColor="text1"/>
                <w:sz w:val="20"/>
                <w:szCs w:val="20"/>
                <w:lang w:val="sr-Cyrl-CS"/>
              </w:rPr>
              <w:t>2200m</w:t>
            </w:r>
            <w:r w:rsidRPr="00E84C93">
              <w:rPr>
                <w:color w:val="000000" w:themeColor="text1"/>
                <w:sz w:val="20"/>
                <w:szCs w:val="20"/>
                <w:vertAlign w:val="superscript"/>
                <w:lang w:val="sr-Cyrl-CS"/>
              </w:rPr>
              <w:t>3</w:t>
            </w:r>
            <w:r w:rsidRPr="00E84C93">
              <w:rPr>
                <w:color w:val="000000" w:themeColor="text1"/>
                <w:sz w:val="20"/>
                <w:szCs w:val="20"/>
                <w:lang w:val="sr-Cyrl-CS"/>
              </w:rPr>
              <w:t>/год. са 22% СМ</w:t>
            </w:r>
          </w:p>
        </w:tc>
      </w:tr>
    </w:tbl>
    <w:p w14:paraId="5697CFEA" w14:textId="740611F1" w:rsidR="005D517F" w:rsidRPr="00E84C93" w:rsidRDefault="005D517F" w:rsidP="002A518D">
      <w:pPr>
        <w:rPr>
          <w:sz w:val="18"/>
          <w:szCs w:val="18"/>
          <w:highlight w:val="lightGray"/>
          <w:lang w:val="sr-Cyrl-CS"/>
        </w:rPr>
        <w:sectPr w:rsidR="005D517F" w:rsidRPr="00E84C93" w:rsidSect="001B734A">
          <w:pgSz w:w="15840" w:h="12240" w:orient="landscape"/>
          <w:pgMar w:top="1440" w:right="1440" w:bottom="1440" w:left="1440" w:header="720" w:footer="720" w:gutter="0"/>
          <w:cols w:space="720"/>
          <w:docGrid w:linePitch="360"/>
        </w:sectPr>
      </w:pPr>
    </w:p>
    <w:p w14:paraId="3FF8A726" w14:textId="45E32ABA" w:rsidR="002A518D" w:rsidRPr="00E84C93" w:rsidRDefault="005F3922" w:rsidP="001D65C6">
      <w:pPr>
        <w:spacing w:after="0"/>
        <w:ind w:firstLine="720"/>
        <w:jc w:val="both"/>
        <w:rPr>
          <w:lang w:val="sr-Cyrl-CS" w:eastAsia="de-AT"/>
        </w:rPr>
      </w:pPr>
      <w:bookmarkStart w:id="26" w:name="_Toc87616714"/>
      <w:bookmarkStart w:id="27" w:name="_Toc95128169"/>
      <w:r w:rsidRPr="00E84C93">
        <w:rPr>
          <w:rFonts w:cs="Times New Roman"/>
          <w:lang w:val="sr-Cyrl-CS"/>
        </w:rPr>
        <w:lastRenderedPageBreak/>
        <w:t>Постројење за пречишћавање отпадних вода у Врбасу након пуштања у функцију ради са приближно трећином планираног капацитета. У постројењу за пречишћавање отпадних вода</w:t>
      </w:r>
      <w:r w:rsidRPr="00E84C93">
        <w:rPr>
          <w:lang w:val="sr-Cyrl-CS"/>
        </w:rPr>
        <w:t xml:space="preserve"> у Шапцу, линија муља још увек није завршена (анаеробни дигестори још увек нису изграђени; као привремена мера примењује се обезводњавање муља и стабилизација кречом). </w:t>
      </w:r>
      <w:r w:rsidRPr="00E84C93">
        <w:rPr>
          <w:rFonts w:cs="Times New Roman"/>
          <w:lang w:val="sr-Cyrl-CS"/>
        </w:rPr>
        <w:t>Постројење за пречишћавање отпадних вода</w:t>
      </w:r>
      <w:r w:rsidRPr="00E84C93">
        <w:rPr>
          <w:lang w:val="sr-Cyrl-CS"/>
        </w:rPr>
        <w:t xml:space="preserve"> у Лесковцу са линијом муља, које је изграђено, током 2022. године треба да буде стављено у функцију</w:t>
      </w:r>
      <w:r w:rsidR="00ED6255" w:rsidRPr="00E84C93">
        <w:rPr>
          <w:lang w:val="sr-Cyrl-CS"/>
        </w:rPr>
        <w:t>.</w:t>
      </w:r>
    </w:p>
    <w:p w14:paraId="603BA8A6" w14:textId="5B4CCC83" w:rsidR="005919FB" w:rsidRPr="00E84C93" w:rsidRDefault="00ED6255" w:rsidP="00ED6255">
      <w:pPr>
        <w:spacing w:after="0"/>
        <w:ind w:firstLine="720"/>
        <w:jc w:val="both"/>
        <w:rPr>
          <w:lang w:val="sr-Cyrl-CS"/>
        </w:rPr>
      </w:pPr>
      <w:r w:rsidRPr="00E84C93">
        <w:rPr>
          <w:lang w:val="sr-Cyrl-CS"/>
        </w:rPr>
        <w:t>У изградњи је постројење за пречишћавање отпадних вода у Врању</w:t>
      </w:r>
      <w:r w:rsidR="009B2926" w:rsidRPr="00E84C93">
        <w:rPr>
          <w:lang w:val="sr-Cyrl-CS"/>
        </w:rPr>
        <w:t>,</w:t>
      </w:r>
      <w:r w:rsidR="000B3585" w:rsidRPr="00E84C93">
        <w:rPr>
          <w:lang w:val="sr-Cyrl-CS"/>
        </w:rPr>
        <w:t xml:space="preserve"> Брусу и Блацу</w:t>
      </w:r>
      <w:r w:rsidRPr="00E84C93">
        <w:rPr>
          <w:lang w:val="sr-Cyrl-CS"/>
        </w:rPr>
        <w:t>,</w:t>
      </w:r>
      <w:r w:rsidR="007A5ECF" w:rsidRPr="00E84C93">
        <w:rPr>
          <w:lang w:val="sr-Cyrl-CS"/>
        </w:rPr>
        <w:t xml:space="preserve"> за које су подаци приказани у Т</w:t>
      </w:r>
      <w:r w:rsidRPr="00E84C93">
        <w:rPr>
          <w:lang w:val="sr-Cyrl-CS"/>
        </w:rPr>
        <w:t xml:space="preserve">абели 3.3. </w:t>
      </w:r>
    </w:p>
    <w:p w14:paraId="46E965E5" w14:textId="0C6B6C94" w:rsidR="00ED6255" w:rsidRPr="00E84C93" w:rsidRDefault="00ED6255" w:rsidP="00ED6255">
      <w:pPr>
        <w:spacing w:after="0"/>
        <w:ind w:firstLine="720"/>
        <w:jc w:val="both"/>
        <w:rPr>
          <w:lang w:val="sr-Cyrl-CS" w:eastAsia="de-AT"/>
        </w:rPr>
      </w:pPr>
      <w:r w:rsidRPr="00E84C93">
        <w:rPr>
          <w:lang w:val="sr-Cyrl-CS" w:eastAsia="de-AT"/>
        </w:rPr>
        <w:t>Кроз подршку ИПА фондова ЕУ, у току је припрема за изградњу постројења за пречишћавање отпадних вода у Краљеву</w:t>
      </w:r>
      <w:r w:rsidR="001E5A50" w:rsidRPr="00E84C93">
        <w:rPr>
          <w:lang w:val="sr-Cyrl-CS" w:eastAsia="de-AT"/>
        </w:rPr>
        <w:t xml:space="preserve">, Нишу, </w:t>
      </w:r>
      <w:r w:rsidR="00C66DC9" w:rsidRPr="00E84C93">
        <w:rPr>
          <w:lang w:val="sr-Cyrl-CS" w:eastAsia="de-AT"/>
        </w:rPr>
        <w:t xml:space="preserve">Чачку, </w:t>
      </w:r>
      <w:r w:rsidR="001E5A50" w:rsidRPr="00E84C93">
        <w:rPr>
          <w:lang w:val="sr-Cyrl-CS" w:eastAsia="de-AT"/>
        </w:rPr>
        <w:t>Лозници и Соко</w:t>
      </w:r>
      <w:r w:rsidR="00EA4423" w:rsidRPr="00E84C93">
        <w:rPr>
          <w:lang w:val="sr-Cyrl-CS" w:eastAsia="de-AT"/>
        </w:rPr>
        <w:t>б</w:t>
      </w:r>
      <w:r w:rsidR="001E5A50" w:rsidRPr="00E84C93">
        <w:rPr>
          <w:lang w:val="sr-Cyrl-CS" w:eastAsia="de-AT"/>
        </w:rPr>
        <w:t>ањи</w:t>
      </w:r>
      <w:r w:rsidRPr="00E84C93">
        <w:rPr>
          <w:lang w:val="sr-Cyrl-CS" w:eastAsia="de-AT"/>
        </w:rPr>
        <w:t>.</w:t>
      </w:r>
    </w:p>
    <w:p w14:paraId="0DE4F89C" w14:textId="10B546E3" w:rsidR="00E97DD0" w:rsidRPr="00E84C93" w:rsidRDefault="00E97DD0" w:rsidP="00E97DD0">
      <w:pPr>
        <w:spacing w:after="0"/>
        <w:ind w:firstLine="720"/>
        <w:jc w:val="both"/>
        <w:rPr>
          <w:lang w:val="sr-Cyrl-CS" w:eastAsia="de-AT"/>
        </w:rPr>
      </w:pPr>
      <w:r w:rsidRPr="00E84C93">
        <w:rPr>
          <w:lang w:val="sr-Cyrl-CS" w:eastAsia="de-AT"/>
        </w:rPr>
        <w:t xml:space="preserve">У наредним годинама предвиђена су значајна улагања у водоснабдевање, пречишћавање отпадних вода и у сектор управљања отпадом у Републици Србији. Планиране инфраструктурне инвестиције биће финансиране из различитих извора. </w:t>
      </w:r>
    </w:p>
    <w:p w14:paraId="10052BCA" w14:textId="60CA89B6" w:rsidR="004310FB" w:rsidRPr="00E84C93" w:rsidRDefault="004310FB" w:rsidP="00115BA0">
      <w:pPr>
        <w:spacing w:after="0"/>
        <w:ind w:firstLine="720"/>
        <w:jc w:val="both"/>
        <w:rPr>
          <w:sz w:val="22"/>
          <w:lang w:val="sr-Cyrl-CS"/>
        </w:rPr>
      </w:pPr>
      <w:r w:rsidRPr="00E84C93">
        <w:rPr>
          <w:lang w:val="sr-Cyrl-CS"/>
        </w:rPr>
        <w:t>У надлежности Министарства заштите животне средине је реализација пројекта изградње постројења за пречишћавање отпадних вода и канализационе мреже који се финансира из зајма Банке за развој Савета Европе (</w:t>
      </w:r>
      <w:r w:rsidRPr="00E84C93">
        <w:rPr>
          <w:i/>
          <w:iCs/>
          <w:lang w:val="sr-Cyrl-CS"/>
        </w:rPr>
        <w:t>CEB</w:t>
      </w:r>
      <w:r w:rsidRPr="00E84C93">
        <w:rPr>
          <w:lang w:val="sr-Cyrl-CS"/>
        </w:rPr>
        <w:t>)</w:t>
      </w:r>
      <w:r w:rsidR="00115BA0" w:rsidRPr="00E84C93">
        <w:rPr>
          <w:lang w:val="sr-Cyrl-CS"/>
        </w:rPr>
        <w:t xml:space="preserve"> и</w:t>
      </w:r>
      <w:r w:rsidRPr="00E84C93">
        <w:rPr>
          <w:lang w:val="sr-Cyrl-CS"/>
        </w:rPr>
        <w:t xml:space="preserve"> који ће се спроводити на 26 локација: Бачка Паланка, Бечеј, Велико Градиште, Прибој, Бабушница, Бела Паланка, Пећинци, Лапово, Темерин, Петровац на Млави, Неготин, Бољевац, Димитровград, Рума, Нови Кнежевац, Ражањ, Рашка Копаоник, Осечина, Бач, Горњи Милановац, Нова Варош, Књажевац, Бајина Башта –Тара, Апатин, Дивчибаре, Србобран.</w:t>
      </w:r>
    </w:p>
    <w:p w14:paraId="6B288AF2" w14:textId="02EC96A6" w:rsidR="00055B1C" w:rsidRPr="00E84C93" w:rsidRDefault="00E97DD0" w:rsidP="004310FB">
      <w:pPr>
        <w:spacing w:after="0"/>
        <w:ind w:firstLine="720"/>
        <w:jc w:val="both"/>
        <w:rPr>
          <w:rFonts w:cs="Times New Roman"/>
          <w:bCs/>
          <w:color w:val="000000"/>
          <w:szCs w:val="24"/>
          <w:lang w:val="sr-Cyrl-CS" w:eastAsia="de-DE"/>
        </w:rPr>
      </w:pPr>
      <w:r w:rsidRPr="00E84C93">
        <w:rPr>
          <w:rFonts w:cs="Times New Roman"/>
          <w:lang w:val="sr-Cyrl-CS" w:bidi="en-US"/>
        </w:rPr>
        <w:t xml:space="preserve">У оквиру инвестиционог програма који се финансира </w:t>
      </w:r>
      <w:r w:rsidR="00CE5E08" w:rsidRPr="00E84C93">
        <w:rPr>
          <w:rFonts w:cs="Times New Roman"/>
          <w:lang w:val="sr-Cyrl-CS" w:bidi="en-US"/>
        </w:rPr>
        <w:t>на основу међудржавног споразума са</w:t>
      </w:r>
      <w:r w:rsidRPr="00E84C93">
        <w:rPr>
          <w:rFonts w:cs="Times New Roman"/>
          <w:lang w:val="sr-Cyrl-CS" w:bidi="en-US"/>
        </w:rPr>
        <w:t xml:space="preserve"> Народн</w:t>
      </w:r>
      <w:r w:rsidR="00CE5E08" w:rsidRPr="00E84C93">
        <w:rPr>
          <w:rFonts w:cs="Times New Roman"/>
          <w:lang w:val="sr-Cyrl-CS" w:bidi="en-US"/>
        </w:rPr>
        <w:t xml:space="preserve">ом </w:t>
      </w:r>
      <w:r w:rsidRPr="00E84C93">
        <w:rPr>
          <w:rFonts w:cs="Times New Roman"/>
          <w:lang w:val="sr-Cyrl-CS" w:bidi="en-US"/>
        </w:rPr>
        <w:t>Републик</w:t>
      </w:r>
      <w:r w:rsidR="00CE5E08" w:rsidRPr="00E84C93">
        <w:rPr>
          <w:rFonts w:cs="Times New Roman"/>
          <w:lang w:val="sr-Cyrl-CS" w:bidi="en-US"/>
        </w:rPr>
        <w:t>ом</w:t>
      </w:r>
      <w:r w:rsidRPr="00E84C93">
        <w:rPr>
          <w:rFonts w:cs="Times New Roman"/>
          <w:lang w:val="sr-Cyrl-CS" w:bidi="en-US"/>
        </w:rPr>
        <w:t xml:space="preserve"> Кин</w:t>
      </w:r>
      <w:r w:rsidR="00CE5E08" w:rsidRPr="00E84C93">
        <w:rPr>
          <w:rFonts w:cs="Times New Roman"/>
          <w:lang w:val="sr-Cyrl-CS" w:bidi="en-US"/>
        </w:rPr>
        <w:t>ом</w:t>
      </w:r>
      <w:r w:rsidRPr="00E84C93">
        <w:rPr>
          <w:rFonts w:cs="Times New Roman"/>
          <w:lang w:val="sr-Cyrl-CS" w:bidi="en-US"/>
        </w:rPr>
        <w:t xml:space="preserve">, планирана је изградња постројења </w:t>
      </w:r>
      <w:r w:rsidRPr="00E84C93">
        <w:rPr>
          <w:rFonts w:cs="Times New Roman"/>
          <w:szCs w:val="24"/>
          <w:lang w:val="sr-Cyrl-CS" w:bidi="en-US"/>
        </w:rPr>
        <w:t xml:space="preserve">за пречишћавање отпадних вода </w:t>
      </w:r>
      <w:r w:rsidRPr="00E84C93">
        <w:rPr>
          <w:rFonts w:cs="Times New Roman"/>
          <w:lang w:val="sr-Cyrl-CS" w:bidi="en-US"/>
        </w:rPr>
        <w:t xml:space="preserve">укупног </w:t>
      </w:r>
      <w:r w:rsidRPr="00E84C93">
        <w:rPr>
          <w:rFonts w:cs="Times New Roman"/>
          <w:szCs w:val="24"/>
          <w:lang w:val="sr-Cyrl-CS" w:bidi="en-US"/>
        </w:rPr>
        <w:t xml:space="preserve">капацитета од око 2.326.000 </w:t>
      </w:r>
      <w:r w:rsidR="008A2276" w:rsidRPr="00E84C93">
        <w:rPr>
          <w:rFonts w:cs="Times New Roman"/>
          <w:szCs w:val="24"/>
          <w:lang w:val="sr-Cyrl-CS" w:bidi="en-US"/>
        </w:rPr>
        <w:t>ЕС</w:t>
      </w:r>
      <w:r w:rsidRPr="00E84C93">
        <w:rPr>
          <w:rFonts w:cs="Times New Roman"/>
          <w:szCs w:val="24"/>
          <w:lang w:val="sr-Cyrl-CS" w:bidi="en-US"/>
        </w:rPr>
        <w:t xml:space="preserve">. </w:t>
      </w:r>
      <w:r w:rsidR="00170D3B" w:rsidRPr="00E84C93">
        <w:rPr>
          <w:rFonts w:cs="Times New Roman"/>
          <w:szCs w:val="24"/>
          <w:lang w:val="sr-Cyrl-CS" w:bidi="en-US"/>
        </w:rPr>
        <w:t>Локације</w:t>
      </w:r>
      <w:r w:rsidR="00A61448" w:rsidRPr="00E84C93">
        <w:rPr>
          <w:rFonts w:cs="Times New Roman"/>
          <w:szCs w:val="24"/>
          <w:lang w:val="sr-Cyrl-CS" w:bidi="en-US"/>
        </w:rPr>
        <w:t xml:space="preserve"> </w:t>
      </w:r>
      <w:r w:rsidRPr="00E84C93">
        <w:rPr>
          <w:rFonts w:cs="Times New Roman"/>
          <w:szCs w:val="24"/>
          <w:lang w:val="sr-Cyrl-CS" w:bidi="en-US"/>
        </w:rPr>
        <w:t>које су укључене у тај инвестициони програм су следеће</w:t>
      </w:r>
      <w:r w:rsidR="00055B1C" w:rsidRPr="00E84C93">
        <w:rPr>
          <w:rFonts w:cs="Times New Roman"/>
          <w:szCs w:val="24"/>
          <w:lang w:val="sr-Cyrl-CS" w:bidi="en-US"/>
        </w:rPr>
        <w:t xml:space="preserve">: Нови Сад, Крагујевац, </w:t>
      </w:r>
      <w:r w:rsidR="00055B1C" w:rsidRPr="00E84C93">
        <w:rPr>
          <w:rFonts w:cs="Times New Roman"/>
          <w:bCs/>
          <w:color w:val="000000"/>
          <w:szCs w:val="24"/>
          <w:lang w:val="sr-Cyrl-CS" w:eastAsia="de-DE"/>
        </w:rPr>
        <w:t>Параћин, Ћуприја, Владичин Хан, Ћићевац-Сталаћ, Лучани, Варварин, Алексинац, Прокупље, Нови Пазар, Кнић, Велика Плана, Стајковци, Власотинце, Бујановац/Деспотовац, Сурдулица, Сјеница, Руђинци, Бања Врујци, Врњачка Бања, Мионица-Бања Врујци, Љубовија, Мали Зворник, Смедеревска Паланка, Тутин, Свилајнац, Александровац, Аранђеловац, Крупањ, Пријепоље, Владимирци, Лајковац, Љиг, Уб, Мало Црниће, Мерошина, Мионица, Рековац, Жабари, Кучево, Богатић, Куршумлија, Дољевац, Гаџин Хан, Коцељева, Житорађа, Сврљиг, Ваљево, Зајечар, Бор, Кладово, Сопот, Шабац, Лазаревац, Велики Црљени, Обреновац, Међуречје, Остружница, Стара Пазова-Инђија, Жагубица, Суботица, Сомбор, Нови Бечеј, Младеновац, Лесковац, Голубац-Винци, Ада, Мајданпек, Бојник, Сремска Митровица.</w:t>
      </w:r>
    </w:p>
    <w:p w14:paraId="4B344CCD" w14:textId="7818B013" w:rsidR="00406414" w:rsidRPr="00E84C93" w:rsidRDefault="00611AD5" w:rsidP="0016531B">
      <w:pPr>
        <w:spacing w:after="0"/>
        <w:ind w:firstLine="720"/>
        <w:jc w:val="both"/>
        <w:rPr>
          <w:rFonts w:cs="Times New Roman"/>
          <w:lang w:val="sr-Cyrl-CS" w:bidi="en-US"/>
        </w:rPr>
      </w:pPr>
      <w:bookmarkStart w:id="28" w:name="_Hlk94967242"/>
      <w:r w:rsidRPr="00E84C93">
        <w:rPr>
          <w:rFonts w:cs="Times New Roman"/>
          <w:lang w:val="sr-Cyrl-CS" w:bidi="en-US"/>
        </w:rPr>
        <w:t xml:space="preserve">У плану је и изградња </w:t>
      </w:r>
      <w:r w:rsidR="00406414" w:rsidRPr="00E84C93">
        <w:rPr>
          <w:rFonts w:cs="Times New Roman"/>
          <w:lang w:val="sr-Cyrl-CS" w:bidi="en-US"/>
        </w:rPr>
        <w:t xml:space="preserve">постројења </w:t>
      </w:r>
      <w:r w:rsidR="0016531B" w:rsidRPr="00E84C93">
        <w:rPr>
          <w:rFonts w:cs="Times New Roman"/>
          <w:lang w:val="sr-Cyrl-CS" w:bidi="en-US"/>
        </w:rPr>
        <w:t>за пречишћавање отпадних вода</w:t>
      </w:r>
      <w:r w:rsidR="00406414" w:rsidRPr="00E84C93">
        <w:rPr>
          <w:rFonts w:cs="Times New Roman"/>
          <w:lang w:val="sr-Cyrl-CS" w:bidi="en-US"/>
        </w:rPr>
        <w:t xml:space="preserve"> и канализационих мрежа уз подршку Мађарске</w:t>
      </w:r>
      <w:r w:rsidR="008D7121" w:rsidRPr="00E84C93">
        <w:rPr>
          <w:rFonts w:cs="Times New Roman"/>
          <w:lang w:val="sr-Cyrl-CS" w:bidi="en-US"/>
        </w:rPr>
        <w:t xml:space="preserve"> </w:t>
      </w:r>
      <w:r w:rsidR="00D17BF6" w:rsidRPr="00E84C93">
        <w:rPr>
          <w:rFonts w:cs="Times New Roman"/>
          <w:lang w:val="sr-Cyrl-CS" w:bidi="en-US"/>
        </w:rPr>
        <w:t>у</w:t>
      </w:r>
      <w:r w:rsidR="008D7121" w:rsidRPr="00E84C93">
        <w:rPr>
          <w:rFonts w:cs="Times New Roman"/>
          <w:lang w:val="sr-Cyrl-CS" w:bidi="en-US"/>
        </w:rPr>
        <w:t xml:space="preserve"> следећим </w:t>
      </w:r>
      <w:r w:rsidR="00D17BF6" w:rsidRPr="00E84C93">
        <w:rPr>
          <w:rFonts w:cs="Times New Roman"/>
          <w:lang w:val="sr-Cyrl-CS" w:bidi="en-US"/>
        </w:rPr>
        <w:t>местима</w:t>
      </w:r>
      <w:r w:rsidR="008D7121" w:rsidRPr="00E84C93">
        <w:rPr>
          <w:rFonts w:cs="Times New Roman"/>
          <w:lang w:val="sr-Cyrl-CS" w:bidi="en-US"/>
        </w:rPr>
        <w:t xml:space="preserve">: </w:t>
      </w:r>
      <w:r w:rsidR="008D7121" w:rsidRPr="00E84C93">
        <w:rPr>
          <w:rFonts w:cs="Times New Roman"/>
          <w:bCs/>
          <w:color w:val="000000"/>
          <w:lang w:val="sr-Cyrl-CS" w:eastAsia="de-DE"/>
        </w:rPr>
        <w:t xml:space="preserve">Лебане, Беочин, Кањижа, Дебељача, Шид и Чока. </w:t>
      </w:r>
      <w:r w:rsidR="008D7121" w:rsidRPr="00E84C93">
        <w:rPr>
          <w:rFonts w:cs="Times New Roman"/>
          <w:lang w:val="sr-Cyrl-CS" w:bidi="en-US"/>
        </w:rPr>
        <w:t xml:space="preserve">Укупан </w:t>
      </w:r>
      <w:r w:rsidR="008D7121" w:rsidRPr="00E84C93">
        <w:rPr>
          <w:rFonts w:cs="Times New Roman"/>
          <w:szCs w:val="24"/>
          <w:lang w:val="sr-Cyrl-CS" w:bidi="en-US"/>
        </w:rPr>
        <w:t>капацитет планираних постројења за пречишћавање отпадн</w:t>
      </w:r>
      <w:r w:rsidR="005F6F86" w:rsidRPr="00E84C93">
        <w:rPr>
          <w:rFonts w:cs="Times New Roman"/>
          <w:szCs w:val="24"/>
          <w:lang w:val="sr-Cyrl-CS" w:bidi="en-US"/>
        </w:rPr>
        <w:t>и</w:t>
      </w:r>
      <w:r w:rsidR="008D7121" w:rsidRPr="00E84C93">
        <w:rPr>
          <w:rFonts w:cs="Times New Roman"/>
          <w:szCs w:val="24"/>
          <w:lang w:val="sr-Cyrl-CS" w:bidi="en-US"/>
        </w:rPr>
        <w:t>х</w:t>
      </w:r>
      <w:r w:rsidR="005F6F86" w:rsidRPr="00E84C93">
        <w:rPr>
          <w:rFonts w:cs="Times New Roman"/>
          <w:szCs w:val="24"/>
          <w:lang w:val="sr-Cyrl-CS" w:bidi="en-US"/>
        </w:rPr>
        <w:t xml:space="preserve"> </w:t>
      </w:r>
      <w:r w:rsidR="008D7121" w:rsidRPr="00E84C93">
        <w:rPr>
          <w:rFonts w:cs="Times New Roman"/>
          <w:szCs w:val="24"/>
          <w:lang w:val="sr-Cyrl-CS" w:bidi="en-US"/>
        </w:rPr>
        <w:t xml:space="preserve">вода је око 74.500 </w:t>
      </w:r>
      <w:r w:rsidR="008A2276" w:rsidRPr="00E84C93">
        <w:rPr>
          <w:rFonts w:cs="Times New Roman"/>
          <w:szCs w:val="24"/>
          <w:lang w:val="sr-Cyrl-CS" w:bidi="en-US"/>
        </w:rPr>
        <w:t>ЕС</w:t>
      </w:r>
      <w:r w:rsidR="008D7121" w:rsidRPr="00E84C93">
        <w:rPr>
          <w:rFonts w:cs="Times New Roman"/>
          <w:szCs w:val="24"/>
          <w:lang w:val="sr-Cyrl-CS" w:bidi="en-US"/>
        </w:rPr>
        <w:t>.</w:t>
      </w:r>
    </w:p>
    <w:p w14:paraId="2C49B137" w14:textId="68E283F6" w:rsidR="004F7BF5" w:rsidRPr="00E84C93" w:rsidRDefault="00406414" w:rsidP="0002705B">
      <w:pPr>
        <w:spacing w:after="0"/>
        <w:ind w:firstLine="720"/>
        <w:jc w:val="both"/>
        <w:rPr>
          <w:rFonts w:cs="Times New Roman"/>
          <w:szCs w:val="24"/>
          <w:lang w:val="sr-Cyrl-CS" w:bidi="en-US"/>
        </w:rPr>
      </w:pPr>
      <w:bookmarkStart w:id="29" w:name="_Hlk94965888"/>
      <w:bookmarkEnd w:id="28"/>
      <w:r w:rsidRPr="00E84C93">
        <w:rPr>
          <w:rFonts w:cs="Times New Roman"/>
          <w:lang w:val="sr-Cyrl-CS" w:bidi="en-US"/>
        </w:rPr>
        <w:t xml:space="preserve">У оквиру </w:t>
      </w:r>
      <w:r w:rsidRPr="00E84C93">
        <w:rPr>
          <w:rFonts w:cs="Times New Roman"/>
          <w:lang w:val="sr-Cyrl-CS"/>
        </w:rPr>
        <w:t>Програма који суфинансира К</w:t>
      </w:r>
      <w:r w:rsidR="006438BC" w:rsidRPr="00E84C93">
        <w:rPr>
          <w:rFonts w:cs="Times New Roman"/>
          <w:lang w:val="sr-Cyrl-CS"/>
        </w:rPr>
        <w:t>f</w:t>
      </w:r>
      <w:r w:rsidRPr="00E84C93">
        <w:rPr>
          <w:rFonts w:cs="Times New Roman"/>
          <w:lang w:val="sr-Cyrl-CS"/>
        </w:rPr>
        <w:t xml:space="preserve">W, </w:t>
      </w:r>
      <w:bookmarkStart w:id="30" w:name="_Hlk94965925"/>
      <w:r w:rsidRPr="00E84C93">
        <w:rPr>
          <w:rFonts w:cs="Times New Roman"/>
          <w:lang w:val="sr-Cyrl-CS"/>
        </w:rPr>
        <w:t xml:space="preserve">у току је процес планирања капацитета </w:t>
      </w:r>
      <w:r w:rsidR="0016531B" w:rsidRPr="00E84C93">
        <w:rPr>
          <w:rFonts w:cs="Times New Roman"/>
          <w:lang w:val="sr-Cyrl-CS"/>
        </w:rPr>
        <w:t>за пречишћавање отпадних вода</w:t>
      </w:r>
      <w:r w:rsidRPr="00E84C93">
        <w:rPr>
          <w:rFonts w:cs="Times New Roman"/>
          <w:lang w:val="sr-Cyrl-CS"/>
        </w:rPr>
        <w:t xml:space="preserve"> и </w:t>
      </w:r>
      <w:r w:rsidR="00611AD5" w:rsidRPr="00E84C93">
        <w:rPr>
          <w:rFonts w:cs="Times New Roman"/>
          <w:lang w:val="sr-Cyrl-CS"/>
        </w:rPr>
        <w:t xml:space="preserve">третман </w:t>
      </w:r>
      <w:r w:rsidRPr="00E84C93">
        <w:rPr>
          <w:rFonts w:cs="Times New Roman"/>
          <w:lang w:val="sr-Cyrl-CS"/>
        </w:rPr>
        <w:t>муља у следећим</w:t>
      </w:r>
      <w:r w:rsidR="00DE6FDE" w:rsidRPr="00E84C93">
        <w:rPr>
          <w:rFonts w:cs="Times New Roman"/>
          <w:lang w:val="sr-Cyrl-CS"/>
        </w:rPr>
        <w:t xml:space="preserve"> јединицама</w:t>
      </w:r>
      <w:r w:rsidRPr="00E84C93">
        <w:rPr>
          <w:rFonts w:cs="Times New Roman"/>
          <w:lang w:val="sr-Cyrl-CS"/>
        </w:rPr>
        <w:t xml:space="preserve"> </w:t>
      </w:r>
      <w:r w:rsidR="00170D3B" w:rsidRPr="00E84C93">
        <w:rPr>
          <w:rFonts w:cs="Times New Roman"/>
          <w:lang w:val="sr-Cyrl-CS"/>
        </w:rPr>
        <w:t>локалн</w:t>
      </w:r>
      <w:r w:rsidR="00DE6FDE" w:rsidRPr="00E84C93">
        <w:rPr>
          <w:rFonts w:cs="Times New Roman"/>
          <w:lang w:val="sr-Cyrl-CS"/>
        </w:rPr>
        <w:t>е</w:t>
      </w:r>
      <w:r w:rsidR="00170D3B" w:rsidRPr="00E84C93">
        <w:rPr>
          <w:rFonts w:cs="Times New Roman"/>
          <w:lang w:val="sr-Cyrl-CS"/>
        </w:rPr>
        <w:t xml:space="preserve"> самоуправ</w:t>
      </w:r>
      <w:r w:rsidR="00DE6FDE" w:rsidRPr="00E84C93">
        <w:rPr>
          <w:rFonts w:cs="Times New Roman"/>
          <w:lang w:val="sr-Cyrl-CS"/>
        </w:rPr>
        <w:t>е</w:t>
      </w:r>
      <w:r w:rsidR="000911B2" w:rsidRPr="00E84C93">
        <w:rPr>
          <w:rFonts w:cs="Times New Roman"/>
          <w:lang w:val="sr-Cyrl-CS"/>
        </w:rPr>
        <w:t>:</w:t>
      </w:r>
      <w:r w:rsidRPr="00E84C93">
        <w:rPr>
          <w:rFonts w:cs="Times New Roman"/>
          <w:lang w:val="sr-Cyrl-CS" w:bidi="en-US"/>
        </w:rPr>
        <w:t xml:space="preserve"> Кикинда, Пирот, Јагодина, Панчево, Смедерево, Пожаревац и Трстеник</w:t>
      </w:r>
      <w:bookmarkEnd w:id="29"/>
      <w:bookmarkEnd w:id="30"/>
      <w:r w:rsidRPr="00E84C93">
        <w:rPr>
          <w:rFonts w:cs="Times New Roman"/>
          <w:lang w:val="sr-Cyrl-CS" w:bidi="en-US"/>
        </w:rPr>
        <w:t>.</w:t>
      </w:r>
      <w:r w:rsidR="008D7121" w:rsidRPr="00E84C93">
        <w:rPr>
          <w:rFonts w:cs="Times New Roman"/>
          <w:lang w:val="sr-Cyrl-CS" w:bidi="en-US"/>
        </w:rPr>
        <w:t xml:space="preserve"> </w:t>
      </w:r>
      <w:r w:rsidRPr="00E84C93">
        <w:rPr>
          <w:rFonts w:cs="Times New Roman"/>
          <w:lang w:val="sr-Cyrl-CS" w:bidi="en-US"/>
        </w:rPr>
        <w:t xml:space="preserve">План реализације пројекта предвиђа </w:t>
      </w:r>
      <w:r w:rsidR="00E97DD0" w:rsidRPr="00E84C93">
        <w:rPr>
          <w:rFonts w:cs="Times New Roman"/>
          <w:lang w:val="sr-Cyrl-CS" w:bidi="en-US"/>
        </w:rPr>
        <w:t>завршетак</w:t>
      </w:r>
      <w:r w:rsidRPr="00E84C93">
        <w:rPr>
          <w:rFonts w:cs="Times New Roman"/>
          <w:lang w:val="sr-Cyrl-CS" w:bidi="en-US"/>
        </w:rPr>
        <w:t xml:space="preserve"> свих </w:t>
      </w:r>
      <w:r w:rsidR="0016531B" w:rsidRPr="00E84C93">
        <w:rPr>
          <w:rFonts w:cs="Times New Roman"/>
          <w:lang w:val="sr-Cyrl-CS" w:bidi="en-US"/>
        </w:rPr>
        <w:t xml:space="preserve">постројења за пречишћавање отпадних вода </w:t>
      </w:r>
      <w:r w:rsidRPr="00E84C93">
        <w:rPr>
          <w:rFonts w:cs="Times New Roman"/>
          <w:lang w:val="sr-Cyrl-CS" w:bidi="en-US"/>
        </w:rPr>
        <w:t xml:space="preserve">до 2025. </w:t>
      </w:r>
      <w:r w:rsidR="00DF67D0" w:rsidRPr="00E84C93">
        <w:rPr>
          <w:rFonts w:cs="Times New Roman"/>
          <w:lang w:val="sr-Cyrl-CS" w:bidi="en-US"/>
        </w:rPr>
        <w:t>г</w:t>
      </w:r>
      <w:r w:rsidRPr="00E84C93">
        <w:rPr>
          <w:rFonts w:cs="Times New Roman"/>
          <w:lang w:val="sr-Cyrl-CS" w:bidi="en-US"/>
        </w:rPr>
        <w:t>одине.</w:t>
      </w:r>
      <w:r w:rsidR="008D7121" w:rsidRPr="00E84C93">
        <w:rPr>
          <w:rFonts w:cs="Times New Roman"/>
          <w:lang w:val="sr-Cyrl-CS" w:bidi="en-US"/>
        </w:rPr>
        <w:t xml:space="preserve"> Укупан </w:t>
      </w:r>
      <w:r w:rsidR="008D7121" w:rsidRPr="00E84C93">
        <w:rPr>
          <w:rFonts w:cs="Times New Roman"/>
          <w:szCs w:val="24"/>
          <w:lang w:val="sr-Cyrl-CS" w:bidi="en-US"/>
        </w:rPr>
        <w:t>капацитет планираних постројења за пречишћавање отпадн</w:t>
      </w:r>
      <w:r w:rsidR="00EA4423" w:rsidRPr="00E84C93">
        <w:rPr>
          <w:rFonts w:cs="Times New Roman"/>
          <w:szCs w:val="24"/>
          <w:lang w:val="sr-Cyrl-CS" w:bidi="en-US"/>
        </w:rPr>
        <w:t>и</w:t>
      </w:r>
      <w:r w:rsidR="008D7121" w:rsidRPr="00E84C93">
        <w:rPr>
          <w:rFonts w:cs="Times New Roman"/>
          <w:szCs w:val="24"/>
          <w:lang w:val="sr-Cyrl-CS" w:bidi="en-US"/>
        </w:rPr>
        <w:t xml:space="preserve">х вода је око 455.000 </w:t>
      </w:r>
      <w:r w:rsidR="008A2276" w:rsidRPr="00E84C93">
        <w:rPr>
          <w:rFonts w:cs="Times New Roman"/>
          <w:szCs w:val="24"/>
          <w:lang w:val="sr-Cyrl-CS" w:bidi="en-US"/>
        </w:rPr>
        <w:t>ЕС</w:t>
      </w:r>
      <w:r w:rsidR="008D7121" w:rsidRPr="00E84C93">
        <w:rPr>
          <w:rFonts w:cs="Times New Roman"/>
          <w:szCs w:val="24"/>
          <w:lang w:val="sr-Cyrl-CS" w:bidi="en-US"/>
        </w:rPr>
        <w:t>.</w:t>
      </w:r>
    </w:p>
    <w:p w14:paraId="54ED50CA" w14:textId="4232568E" w:rsidR="0002705B" w:rsidRPr="00E84C93" w:rsidRDefault="0002705B" w:rsidP="0002705B">
      <w:pPr>
        <w:spacing w:after="0"/>
        <w:ind w:firstLine="720"/>
        <w:jc w:val="both"/>
        <w:rPr>
          <w:rFonts w:cs="Times New Roman"/>
          <w:szCs w:val="24"/>
          <w:lang w:val="sr-Cyrl-CS" w:bidi="en-US"/>
        </w:rPr>
      </w:pPr>
    </w:p>
    <w:p w14:paraId="202F675F" w14:textId="76B90CFF" w:rsidR="0002705B" w:rsidRPr="00E84C93" w:rsidRDefault="0002705B" w:rsidP="0002705B">
      <w:pPr>
        <w:spacing w:after="0"/>
        <w:ind w:firstLine="720"/>
        <w:jc w:val="both"/>
        <w:rPr>
          <w:rFonts w:cs="Times New Roman"/>
          <w:szCs w:val="24"/>
          <w:lang w:val="sr-Cyrl-CS" w:bidi="en-US"/>
        </w:rPr>
      </w:pPr>
    </w:p>
    <w:p w14:paraId="34347A43" w14:textId="1B5BBFA4" w:rsidR="0002705B" w:rsidRPr="00E84C93" w:rsidRDefault="0002705B" w:rsidP="0002705B">
      <w:pPr>
        <w:spacing w:after="0"/>
        <w:ind w:firstLine="720"/>
        <w:jc w:val="both"/>
        <w:rPr>
          <w:rFonts w:cs="Times New Roman"/>
          <w:szCs w:val="24"/>
          <w:lang w:val="sr-Cyrl-CS" w:bidi="en-US"/>
        </w:rPr>
      </w:pPr>
    </w:p>
    <w:p w14:paraId="29D3AAF4" w14:textId="77777777" w:rsidR="0002705B" w:rsidRPr="00E84C93" w:rsidRDefault="0002705B" w:rsidP="0002705B">
      <w:pPr>
        <w:spacing w:after="0"/>
        <w:ind w:firstLine="720"/>
        <w:jc w:val="both"/>
        <w:rPr>
          <w:rFonts w:cs="Times New Roman"/>
          <w:szCs w:val="24"/>
          <w:lang w:val="sr-Cyrl-CS" w:bidi="en-US"/>
        </w:rPr>
      </w:pPr>
    </w:p>
    <w:p w14:paraId="2AD62B96" w14:textId="3DFDF1E4" w:rsidR="00495937" w:rsidRPr="00E84C93" w:rsidRDefault="008C12C4" w:rsidP="00495937">
      <w:pPr>
        <w:pStyle w:val="Heading3"/>
        <w:numPr>
          <w:ilvl w:val="1"/>
          <w:numId w:val="8"/>
        </w:numPr>
        <w:rPr>
          <w:noProof/>
          <w:sz w:val="26"/>
          <w:szCs w:val="26"/>
          <w:lang w:val="sr-Cyrl-CS"/>
        </w:rPr>
      </w:pPr>
      <w:bookmarkStart w:id="31" w:name="_Toc99920893"/>
      <w:bookmarkEnd w:id="26"/>
      <w:bookmarkEnd w:id="27"/>
      <w:r w:rsidRPr="00E84C93">
        <w:rPr>
          <w:noProof/>
          <w:sz w:val="26"/>
          <w:szCs w:val="26"/>
          <w:lang w:val="sr-Cyrl-CS"/>
        </w:rPr>
        <w:lastRenderedPageBreak/>
        <w:t>Количине</w:t>
      </w:r>
      <w:r w:rsidR="00495937" w:rsidRPr="00E84C93">
        <w:rPr>
          <w:noProof/>
          <w:sz w:val="26"/>
          <w:szCs w:val="26"/>
          <w:lang w:val="sr-Cyrl-CS"/>
        </w:rPr>
        <w:t xml:space="preserve"> муља</w:t>
      </w:r>
      <w:r w:rsidR="009E132D" w:rsidRPr="00E84C93">
        <w:rPr>
          <w:noProof/>
          <w:sz w:val="26"/>
          <w:szCs w:val="26"/>
          <w:lang w:val="sr-Cyrl-CS"/>
        </w:rPr>
        <w:t xml:space="preserve"> у </w:t>
      </w:r>
      <w:r w:rsidRPr="00E84C93">
        <w:rPr>
          <w:noProof/>
          <w:sz w:val="26"/>
          <w:szCs w:val="26"/>
          <w:lang w:val="sr-Cyrl-CS"/>
        </w:rPr>
        <w:t xml:space="preserve">постојећим </w:t>
      </w:r>
      <w:r w:rsidR="009E132D" w:rsidRPr="00E84C93">
        <w:rPr>
          <w:noProof/>
          <w:sz w:val="26"/>
          <w:szCs w:val="26"/>
          <w:lang w:val="sr-Cyrl-CS"/>
        </w:rPr>
        <w:t>постројењима за пречишћавање отпадних вода</w:t>
      </w:r>
      <w:r w:rsidR="004269CA" w:rsidRPr="00E84C93">
        <w:rPr>
          <w:noProof/>
          <w:sz w:val="26"/>
          <w:szCs w:val="26"/>
          <w:lang w:val="sr-Cyrl-CS"/>
        </w:rPr>
        <w:t xml:space="preserve"> у Републици Србији</w:t>
      </w:r>
      <w:bookmarkEnd w:id="31"/>
    </w:p>
    <w:p w14:paraId="501F9B5C" w14:textId="77777777" w:rsidR="009E132D" w:rsidRPr="00E84C93" w:rsidRDefault="009E132D" w:rsidP="009E132D">
      <w:pPr>
        <w:pStyle w:val="ANormal"/>
        <w:spacing w:before="0" w:line="240" w:lineRule="auto"/>
        <w:rPr>
          <w:rFonts w:ascii="Times New Roman" w:hAnsi="Times New Roman" w:cs="Times New Roman"/>
          <w:noProof/>
          <w:sz w:val="24"/>
          <w:szCs w:val="24"/>
          <w:lang w:val="sr-Cyrl-CS"/>
        </w:rPr>
      </w:pPr>
    </w:p>
    <w:p w14:paraId="23AB37D5" w14:textId="1D626763" w:rsidR="009E132D" w:rsidRPr="00E84C93" w:rsidRDefault="009E132D" w:rsidP="009E132D">
      <w:pPr>
        <w:pStyle w:val="ANormal"/>
        <w:spacing w:before="0" w:line="240" w:lineRule="auto"/>
        <w:ind w:firstLine="720"/>
        <w:rPr>
          <w:rFonts w:ascii="Times New Roman" w:hAnsi="Times New Roman" w:cs="Times New Roman"/>
          <w:noProof/>
          <w:sz w:val="24"/>
          <w:szCs w:val="24"/>
          <w:lang w:val="sr-Cyrl-CS"/>
        </w:rPr>
      </w:pPr>
      <w:r w:rsidRPr="00E84C93">
        <w:rPr>
          <w:rFonts w:ascii="Times New Roman" w:hAnsi="Times New Roman" w:cs="Times New Roman"/>
          <w:noProof/>
          <w:sz w:val="24"/>
          <w:szCs w:val="24"/>
          <w:lang w:val="sr-Cyrl-CS"/>
        </w:rPr>
        <w:t>Постојеће стање производње муља у директној је вези с</w:t>
      </w:r>
      <w:r w:rsidR="00B87DA7" w:rsidRPr="00E84C93">
        <w:rPr>
          <w:rFonts w:ascii="Times New Roman" w:hAnsi="Times New Roman" w:cs="Times New Roman"/>
          <w:noProof/>
          <w:sz w:val="24"/>
          <w:szCs w:val="24"/>
          <w:lang w:val="sr-Cyrl-CS"/>
        </w:rPr>
        <w:t>а</w:t>
      </w:r>
      <w:r w:rsidRPr="00E84C93">
        <w:rPr>
          <w:rFonts w:ascii="Times New Roman" w:hAnsi="Times New Roman" w:cs="Times New Roman"/>
          <w:noProof/>
          <w:sz w:val="24"/>
          <w:szCs w:val="24"/>
          <w:lang w:val="sr-Cyrl-CS"/>
        </w:rPr>
        <w:t xml:space="preserve"> изграђеним системом сакупљања и одвођења</w:t>
      </w:r>
      <w:r w:rsidR="00B87DA7" w:rsidRPr="00E84C93">
        <w:rPr>
          <w:rFonts w:ascii="Times New Roman" w:hAnsi="Times New Roman" w:cs="Times New Roman"/>
          <w:noProof/>
          <w:sz w:val="24"/>
          <w:szCs w:val="24"/>
          <w:lang w:val="sr-Cyrl-CS"/>
        </w:rPr>
        <w:t xml:space="preserve"> отпадних вода</w:t>
      </w:r>
      <w:r w:rsidRPr="00E84C93">
        <w:rPr>
          <w:rFonts w:ascii="Times New Roman" w:hAnsi="Times New Roman" w:cs="Times New Roman"/>
          <w:noProof/>
          <w:sz w:val="24"/>
          <w:szCs w:val="24"/>
          <w:lang w:val="sr-Cyrl-CS"/>
        </w:rPr>
        <w:t xml:space="preserve"> и постројењима за пречишћавање отпадних вода, а пројекције производње муља самим тим морају у обзир узети и планирана постројења.</w:t>
      </w:r>
    </w:p>
    <w:p w14:paraId="12662F3C" w14:textId="2B34FC8E" w:rsidR="00E97DD0" w:rsidRPr="00E84C93" w:rsidRDefault="00E97DD0" w:rsidP="00E97DD0">
      <w:pPr>
        <w:pStyle w:val="ANormal"/>
        <w:spacing w:before="0" w:line="240" w:lineRule="auto"/>
        <w:ind w:firstLine="720"/>
        <w:rPr>
          <w:rFonts w:ascii="Times New Roman" w:hAnsi="Times New Roman" w:cs="Times New Roman"/>
          <w:noProof/>
          <w:sz w:val="24"/>
          <w:szCs w:val="24"/>
          <w:lang w:val="sr-Cyrl-CS"/>
        </w:rPr>
      </w:pPr>
      <w:r w:rsidRPr="00E84C93">
        <w:rPr>
          <w:rFonts w:ascii="Times New Roman" w:hAnsi="Times New Roman" w:cs="Times New Roman"/>
          <w:noProof/>
          <w:sz w:val="24"/>
          <w:szCs w:val="24"/>
          <w:lang w:val="sr-Cyrl-CS"/>
        </w:rPr>
        <w:t>Имајући наведено у виду, евидентно је да се постојећа производња муља у Републици Србији мења на годишњем нивоу. За процену количина произв</w:t>
      </w:r>
      <w:r w:rsidR="00A13789" w:rsidRPr="00E84C93">
        <w:rPr>
          <w:rFonts w:ascii="Times New Roman" w:hAnsi="Times New Roman" w:cs="Times New Roman"/>
          <w:noProof/>
          <w:sz w:val="24"/>
          <w:szCs w:val="24"/>
          <w:lang w:val="sr-Cyrl-CS"/>
        </w:rPr>
        <w:t>е</w:t>
      </w:r>
      <w:r w:rsidRPr="00E84C93">
        <w:rPr>
          <w:rFonts w:ascii="Times New Roman" w:hAnsi="Times New Roman" w:cs="Times New Roman"/>
          <w:noProof/>
          <w:sz w:val="24"/>
          <w:szCs w:val="24"/>
          <w:lang w:val="sr-Cyrl-CS"/>
        </w:rPr>
        <w:t>деног муља потребно је одредити низ улазних претпоставки, које су касније подложне променама када постројења буду стављена у функцију, односно када започну производњу муља.</w:t>
      </w:r>
    </w:p>
    <w:p w14:paraId="59B8F035" w14:textId="3589502C" w:rsidR="00BF4D66" w:rsidRPr="00E84C93" w:rsidRDefault="00E97DD0" w:rsidP="00E97DD0">
      <w:pPr>
        <w:spacing w:after="0"/>
        <w:ind w:firstLine="720"/>
        <w:jc w:val="both"/>
        <w:rPr>
          <w:lang w:val="sr-Cyrl-CS"/>
        </w:rPr>
      </w:pPr>
      <w:r w:rsidRPr="00E84C93">
        <w:rPr>
          <w:rFonts w:cs="Times New Roman"/>
          <w:szCs w:val="24"/>
          <w:lang w:val="sr-Cyrl-CS"/>
        </w:rPr>
        <w:t xml:space="preserve">Процењује се да је укупна производња муља из постојећих постројења за пречишћавање отпадних вода од 11.000 </w:t>
      </w:r>
      <w:r w:rsidR="00524E01" w:rsidRPr="00E84C93">
        <w:rPr>
          <w:rFonts w:ascii="Courier New" w:hAnsi="Courier New" w:cs="Courier New"/>
          <w:szCs w:val="24"/>
          <w:lang w:val="sr-Cyrl-CS"/>
        </w:rPr>
        <w:t>–</w:t>
      </w:r>
      <w:r w:rsidRPr="00E84C93">
        <w:rPr>
          <w:rFonts w:cs="Times New Roman"/>
          <w:szCs w:val="24"/>
          <w:lang w:val="sr-Cyrl-CS"/>
        </w:rPr>
        <w:t xml:space="preserve"> 15.000 t СМ/год, према Специфичном плану имплементације Директиве 91/271/ЕЕС о пречишћавању комуналних отпадних вода. Постројењима за </w:t>
      </w:r>
      <w:r w:rsidR="00402261" w:rsidRPr="00E84C93">
        <w:rPr>
          <w:rFonts w:cs="Times New Roman"/>
          <w:szCs w:val="24"/>
          <w:lang w:val="sr-Cyrl-CS"/>
        </w:rPr>
        <w:t xml:space="preserve">пречишћавање отпадних вода у Републици Србији </w:t>
      </w:r>
      <w:r w:rsidRPr="00E84C93">
        <w:rPr>
          <w:rFonts w:cs="Times New Roman"/>
          <w:szCs w:val="24"/>
          <w:lang w:val="sr-Cyrl-CS"/>
        </w:rPr>
        <w:t>управљају локална (</w:t>
      </w:r>
      <w:r w:rsidR="00C66DC9" w:rsidRPr="00E84C93">
        <w:rPr>
          <w:rFonts w:cs="Times New Roman"/>
          <w:szCs w:val="24"/>
          <w:lang w:val="sr-Cyrl-CS"/>
        </w:rPr>
        <w:t>градска/</w:t>
      </w:r>
      <w:r w:rsidRPr="00E84C93">
        <w:rPr>
          <w:rFonts w:cs="Times New Roman"/>
          <w:szCs w:val="24"/>
          <w:lang w:val="sr-Cyrl-CS"/>
        </w:rPr>
        <w:t>општинска) комунална предузећа и она су одговорна и за управљање муљем</w:t>
      </w:r>
      <w:r w:rsidR="00BF4D66" w:rsidRPr="00E84C93">
        <w:rPr>
          <w:lang w:val="sr-Cyrl-CS"/>
        </w:rPr>
        <w:t xml:space="preserve">, у складу са </w:t>
      </w:r>
      <w:r w:rsidR="007502BB" w:rsidRPr="00E84C93">
        <w:rPr>
          <w:lang w:val="sr-Cyrl-CS"/>
        </w:rPr>
        <w:t xml:space="preserve">постојећим прописима и </w:t>
      </w:r>
      <w:r w:rsidR="00B87DA7" w:rsidRPr="00E84C93">
        <w:rPr>
          <w:lang w:val="sr-Cyrl-CS"/>
        </w:rPr>
        <w:t>својим</w:t>
      </w:r>
      <w:r w:rsidR="00BF4D66" w:rsidRPr="00E84C93">
        <w:rPr>
          <w:lang w:val="sr-Cyrl-CS"/>
        </w:rPr>
        <w:t xml:space="preserve"> локалним </w:t>
      </w:r>
      <w:r w:rsidR="003079DA" w:rsidRPr="00E84C93">
        <w:rPr>
          <w:lang w:val="sr-Cyrl-CS"/>
        </w:rPr>
        <w:t xml:space="preserve">просторним </w:t>
      </w:r>
      <w:r w:rsidR="00BF4D66" w:rsidRPr="00E84C93">
        <w:rPr>
          <w:lang w:val="sr-Cyrl-CS"/>
        </w:rPr>
        <w:t xml:space="preserve">и финансијским условима. Резултат је да се пракса </w:t>
      </w:r>
      <w:r w:rsidR="00821631" w:rsidRPr="00E84C93">
        <w:rPr>
          <w:lang w:val="sr-Cyrl-CS"/>
        </w:rPr>
        <w:t xml:space="preserve">третмана муља </w:t>
      </w:r>
      <w:r w:rsidR="00BF4D66" w:rsidRPr="00E84C93">
        <w:rPr>
          <w:lang w:val="sr-Cyrl-CS"/>
        </w:rPr>
        <w:t>своди искључиво на</w:t>
      </w:r>
      <w:r w:rsidR="00821631" w:rsidRPr="00E84C93">
        <w:rPr>
          <w:lang w:val="sr-Cyrl-CS"/>
        </w:rPr>
        <w:t xml:space="preserve"> о</w:t>
      </w:r>
      <w:r w:rsidR="003672FC" w:rsidRPr="00E84C93">
        <w:rPr>
          <w:lang w:val="sr-Cyrl-CS"/>
        </w:rPr>
        <w:t>без</w:t>
      </w:r>
      <w:r w:rsidR="00821631" w:rsidRPr="00E84C93">
        <w:rPr>
          <w:lang w:val="sr-Cyrl-CS"/>
        </w:rPr>
        <w:t>дводњавање и</w:t>
      </w:r>
      <w:r w:rsidR="00BF4D66" w:rsidRPr="00E84C93">
        <w:rPr>
          <w:lang w:val="sr-Cyrl-CS"/>
        </w:rPr>
        <w:t xml:space="preserve"> одлагање</w:t>
      </w:r>
      <w:r w:rsidR="00B87DA7" w:rsidRPr="00E84C93">
        <w:rPr>
          <w:lang w:val="sr-Cyrl-CS"/>
        </w:rPr>
        <w:t xml:space="preserve"> муља</w:t>
      </w:r>
      <w:r w:rsidR="00BF4D66" w:rsidRPr="00E84C93">
        <w:rPr>
          <w:lang w:val="sr-Cyrl-CS"/>
        </w:rPr>
        <w:t xml:space="preserve"> на општинске</w:t>
      </w:r>
      <w:r w:rsidR="00821631" w:rsidRPr="00E84C93">
        <w:rPr>
          <w:lang w:val="sr-Cyrl-CS"/>
        </w:rPr>
        <w:t>, несанитарне,</w:t>
      </w:r>
      <w:r w:rsidR="00BF4D66" w:rsidRPr="00E84C93">
        <w:rPr>
          <w:lang w:val="sr-Cyrl-CS"/>
        </w:rPr>
        <w:t xml:space="preserve"> или регионалне санитарне депоније, или у оквиру простора </w:t>
      </w:r>
      <w:r w:rsidR="0016531B" w:rsidRPr="00E84C93">
        <w:rPr>
          <w:lang w:val="sr-Cyrl-CS"/>
        </w:rPr>
        <w:t>постројења за пречишћавање отпадних вода</w:t>
      </w:r>
      <w:r w:rsidR="00BF4D66" w:rsidRPr="00E84C93">
        <w:rPr>
          <w:lang w:val="sr-Cyrl-CS"/>
        </w:rPr>
        <w:t>, уз неадекватне мере заштите животне средине.</w:t>
      </w:r>
    </w:p>
    <w:p w14:paraId="29337B3B" w14:textId="6B01214E" w:rsidR="00E97DD0" w:rsidRPr="00E84C93" w:rsidRDefault="00E97DD0" w:rsidP="00E97DD0">
      <w:pPr>
        <w:spacing w:after="0"/>
        <w:ind w:firstLine="720"/>
        <w:jc w:val="both"/>
        <w:rPr>
          <w:lang w:val="sr-Cyrl-CS"/>
        </w:rPr>
      </w:pPr>
      <w:r w:rsidRPr="00E84C93">
        <w:rPr>
          <w:lang w:val="sr-Cyrl-CS"/>
        </w:rPr>
        <w:t>Даљи</w:t>
      </w:r>
      <w:r w:rsidR="00821631" w:rsidRPr="00E84C93">
        <w:rPr>
          <w:lang w:val="sr-Cyrl-CS"/>
        </w:rPr>
        <w:t xml:space="preserve"> развој система канализационих колектора у градовима и другим урбаним подручјима и повећање ефикасности третмана отпадних вода резултира повећањем стварања муља из отпадних вода.</w:t>
      </w:r>
    </w:p>
    <w:p w14:paraId="3F7C3816" w14:textId="140D5B26" w:rsidR="004C7BC4" w:rsidRPr="00E84C93" w:rsidRDefault="004C7BC4" w:rsidP="00BF4D66">
      <w:pPr>
        <w:spacing w:after="0"/>
        <w:ind w:firstLine="720"/>
        <w:jc w:val="both"/>
        <w:rPr>
          <w:lang w:val="sr-Cyrl-CS"/>
        </w:rPr>
      </w:pPr>
    </w:p>
    <w:p w14:paraId="339F4B99" w14:textId="44C65881" w:rsidR="00BF3637" w:rsidRPr="00E84C93" w:rsidRDefault="00495937" w:rsidP="00495937">
      <w:pPr>
        <w:pStyle w:val="Heading3"/>
        <w:numPr>
          <w:ilvl w:val="1"/>
          <w:numId w:val="8"/>
        </w:numPr>
        <w:rPr>
          <w:noProof/>
          <w:sz w:val="26"/>
          <w:szCs w:val="26"/>
          <w:lang w:val="sr-Cyrl-CS"/>
        </w:rPr>
      </w:pPr>
      <w:bookmarkStart w:id="32" w:name="_Toc99920894"/>
      <w:r w:rsidRPr="00E84C93">
        <w:rPr>
          <w:rFonts w:eastAsiaTheme="minorEastAsia"/>
          <w:noProof/>
          <w:sz w:val="26"/>
          <w:szCs w:val="26"/>
          <w:lang w:val="sr-Cyrl-CS"/>
        </w:rPr>
        <w:t>П</w:t>
      </w:r>
      <w:r w:rsidR="00C7465A" w:rsidRPr="00E84C93">
        <w:rPr>
          <w:rFonts w:eastAsiaTheme="minorEastAsia"/>
          <w:noProof/>
          <w:sz w:val="26"/>
          <w:szCs w:val="26"/>
          <w:lang w:val="sr-Cyrl-CS"/>
        </w:rPr>
        <w:t>ројек</w:t>
      </w:r>
      <w:r w:rsidR="008C12C4" w:rsidRPr="00E84C93">
        <w:rPr>
          <w:rFonts w:eastAsiaTheme="minorEastAsia"/>
          <w:noProof/>
          <w:sz w:val="26"/>
          <w:szCs w:val="26"/>
          <w:lang w:val="sr-Cyrl-CS"/>
        </w:rPr>
        <w:t>ција</w:t>
      </w:r>
      <w:r w:rsidR="00C7465A" w:rsidRPr="00E84C93">
        <w:rPr>
          <w:rFonts w:eastAsiaTheme="minorEastAsia"/>
          <w:noProof/>
          <w:sz w:val="26"/>
          <w:szCs w:val="26"/>
          <w:lang w:val="sr-Cyrl-CS"/>
        </w:rPr>
        <w:t xml:space="preserve"> количин</w:t>
      </w:r>
      <w:r w:rsidR="00804C77" w:rsidRPr="00E84C93">
        <w:rPr>
          <w:rFonts w:eastAsiaTheme="minorEastAsia"/>
          <w:noProof/>
          <w:sz w:val="26"/>
          <w:szCs w:val="26"/>
          <w:lang w:val="sr-Cyrl-CS"/>
        </w:rPr>
        <w:t>е</w:t>
      </w:r>
      <w:r w:rsidRPr="00E84C93">
        <w:rPr>
          <w:rFonts w:eastAsiaTheme="minorEastAsia"/>
          <w:noProof/>
          <w:sz w:val="26"/>
          <w:szCs w:val="26"/>
          <w:lang w:val="sr-Cyrl-CS"/>
        </w:rPr>
        <w:t xml:space="preserve"> муља</w:t>
      </w:r>
      <w:r w:rsidR="008C12C4" w:rsidRPr="00E84C93">
        <w:rPr>
          <w:rFonts w:eastAsiaTheme="minorEastAsia"/>
          <w:noProof/>
          <w:sz w:val="26"/>
          <w:szCs w:val="26"/>
          <w:lang w:val="sr-Cyrl-CS"/>
        </w:rPr>
        <w:t xml:space="preserve"> у наредном периоду</w:t>
      </w:r>
      <w:r w:rsidR="008F59CA" w:rsidRPr="00E84C93">
        <w:rPr>
          <w:rFonts w:eastAsiaTheme="minorEastAsia"/>
          <w:noProof/>
          <w:sz w:val="26"/>
          <w:szCs w:val="26"/>
          <w:lang w:val="sr-Cyrl-CS"/>
        </w:rPr>
        <w:t xml:space="preserve"> у Републици Србији</w:t>
      </w:r>
      <w:bookmarkEnd w:id="32"/>
    </w:p>
    <w:p w14:paraId="3BCB7695" w14:textId="77777777" w:rsidR="001530A4" w:rsidRPr="00E84C93" w:rsidRDefault="001530A4" w:rsidP="00C7465A">
      <w:pPr>
        <w:spacing w:after="0"/>
        <w:ind w:firstLine="720"/>
        <w:jc w:val="both"/>
        <w:rPr>
          <w:lang w:val="sr-Cyrl-CS"/>
        </w:rPr>
      </w:pPr>
    </w:p>
    <w:p w14:paraId="44258157" w14:textId="52F3C0B0" w:rsidR="00F63335" w:rsidRPr="00E84C93" w:rsidRDefault="000D53BC" w:rsidP="00C7465A">
      <w:pPr>
        <w:spacing w:after="0"/>
        <w:ind w:firstLine="720"/>
        <w:jc w:val="both"/>
        <w:rPr>
          <w:lang w:val="sr-Cyrl-CS"/>
        </w:rPr>
      </w:pPr>
      <w:bookmarkStart w:id="33" w:name="_Hlk98678243"/>
      <w:r w:rsidRPr="00E84C93">
        <w:rPr>
          <w:lang w:val="sr-Cyrl-CS"/>
        </w:rPr>
        <w:t>Процена укупне количине муља генерисаног на постројењима за пречишћавање отпадних вода у Републици Србији односи се на укупни капацитет постројења у крајњој фази имплементације у оквиру планског периода од 2022. до 2041. године. Актуелни прираст муља у оквиру посматраног планског периода ће зависити од динамике изградње постројења за пречишћавање отпадних вода и њиховог ангажованог капацитета</w:t>
      </w:r>
      <w:r w:rsidR="00A23559" w:rsidRPr="00E84C93">
        <w:rPr>
          <w:lang w:val="sr-Cyrl-CS"/>
        </w:rPr>
        <w:t>,</w:t>
      </w:r>
      <w:r w:rsidRPr="00E84C93">
        <w:rPr>
          <w:lang w:val="sr-Cyrl-CS"/>
        </w:rPr>
        <w:t xml:space="preserve"> односно степена прикључења на канализациони систем</w:t>
      </w:r>
      <w:bookmarkEnd w:id="33"/>
      <w:r w:rsidR="0016531B" w:rsidRPr="00E84C93">
        <w:rPr>
          <w:lang w:val="sr-Cyrl-CS"/>
        </w:rPr>
        <w:t>.</w:t>
      </w:r>
    </w:p>
    <w:p w14:paraId="2C6209E6" w14:textId="77777777" w:rsidR="00F63335" w:rsidRPr="00E84C93" w:rsidRDefault="00F63335" w:rsidP="00C7465A">
      <w:pPr>
        <w:spacing w:after="0"/>
        <w:jc w:val="both"/>
        <w:rPr>
          <w:rFonts w:cs="Times New Roman"/>
          <w:lang w:val="sr-Cyrl-CS" w:bidi="en-US"/>
        </w:rPr>
      </w:pPr>
    </w:p>
    <w:p w14:paraId="48229917" w14:textId="0A4255A0" w:rsidR="00F63335" w:rsidRPr="00E84C93" w:rsidRDefault="00F63335" w:rsidP="00693F42">
      <w:pPr>
        <w:pStyle w:val="Heading4"/>
        <w:spacing w:before="0"/>
        <w:ind w:firstLine="720"/>
        <w:jc w:val="both"/>
        <w:rPr>
          <w:rFonts w:ascii="Times New Roman" w:hAnsi="Times New Roman" w:cs="Times New Roman"/>
          <w:b/>
          <w:bCs/>
          <w:i w:val="0"/>
          <w:iCs w:val="0"/>
          <w:lang w:val="sr-Cyrl-CS"/>
        </w:rPr>
      </w:pPr>
      <w:bookmarkStart w:id="34" w:name="_Toc87616623"/>
      <w:bookmarkStart w:id="35" w:name="_Toc95129079"/>
      <w:r w:rsidRPr="00E84C93">
        <w:rPr>
          <w:rFonts w:ascii="Times New Roman" w:hAnsi="Times New Roman" w:cs="Times New Roman"/>
          <w:b/>
          <w:bCs/>
          <w:i w:val="0"/>
          <w:iCs w:val="0"/>
          <w:lang w:val="sr-Cyrl-CS"/>
        </w:rPr>
        <w:t xml:space="preserve">Мала </w:t>
      </w:r>
      <w:r w:rsidR="0016531B" w:rsidRPr="00E84C93">
        <w:rPr>
          <w:rFonts w:ascii="Times New Roman" w:hAnsi="Times New Roman" w:cs="Times New Roman"/>
          <w:b/>
          <w:bCs/>
          <w:i w:val="0"/>
          <w:iCs w:val="0"/>
          <w:lang w:val="sr-Cyrl-CS"/>
        </w:rPr>
        <w:t>постројења за пречишћавање отпадних вода</w:t>
      </w:r>
      <w:bookmarkEnd w:id="34"/>
      <w:bookmarkEnd w:id="35"/>
    </w:p>
    <w:p w14:paraId="7257EDB4" w14:textId="5A1D7C63" w:rsidR="00F63335" w:rsidRPr="00E84C93" w:rsidRDefault="00F63335" w:rsidP="008B2B07">
      <w:pPr>
        <w:tabs>
          <w:tab w:val="left" w:pos="7920"/>
        </w:tabs>
        <w:spacing w:after="0"/>
        <w:ind w:firstLine="720"/>
        <w:jc w:val="both"/>
        <w:rPr>
          <w:rFonts w:cs="Times New Roman"/>
          <w:lang w:val="sr-Cyrl-CS" w:bidi="en-US"/>
        </w:rPr>
      </w:pPr>
      <w:bookmarkStart w:id="36" w:name="_Hlk93712996"/>
      <w:r w:rsidRPr="00E84C93">
        <w:rPr>
          <w:rFonts w:cs="Times New Roman"/>
          <w:lang w:val="sr-Cyrl-CS"/>
        </w:rPr>
        <w:t xml:space="preserve">Према </w:t>
      </w:r>
      <w:r w:rsidR="00B87DA7" w:rsidRPr="00E84C93">
        <w:rPr>
          <w:lang w:val="sr-Cyrl-CS"/>
        </w:rPr>
        <w:t>Специфичном плану имплементације Директиве 91/271/ЕС о пречишћавању комуналних отпадних вода</w:t>
      </w:r>
      <w:r w:rsidRPr="00E84C93">
        <w:rPr>
          <w:rFonts w:cs="Times New Roman"/>
          <w:lang w:val="sr-Cyrl-CS" w:bidi="en-US"/>
        </w:rPr>
        <w:t xml:space="preserve">, 274 од </w:t>
      </w:r>
      <w:r w:rsidR="00B87DA7" w:rsidRPr="00E84C93">
        <w:rPr>
          <w:rFonts w:cs="Times New Roman"/>
          <w:lang w:val="sr-Cyrl-CS" w:bidi="en-US"/>
        </w:rPr>
        <w:t xml:space="preserve">укупно </w:t>
      </w:r>
      <w:r w:rsidRPr="00E84C93">
        <w:rPr>
          <w:rFonts w:cs="Times New Roman"/>
          <w:lang w:val="sr-Cyrl-CS" w:bidi="en-US"/>
        </w:rPr>
        <w:t xml:space="preserve">359 </w:t>
      </w:r>
      <w:r w:rsidR="0016531B" w:rsidRPr="00E84C93">
        <w:rPr>
          <w:rFonts w:cs="Times New Roman"/>
          <w:lang w:val="sr-Cyrl-CS"/>
        </w:rPr>
        <w:t>постројења за пречишћавање отпадних вода</w:t>
      </w:r>
      <w:r w:rsidR="0016531B" w:rsidRPr="00E84C93">
        <w:rPr>
          <w:rFonts w:cs="Times New Roman"/>
          <w:lang w:val="sr-Cyrl-CS" w:bidi="en-US"/>
        </w:rPr>
        <w:t xml:space="preserve"> </w:t>
      </w:r>
      <w:r w:rsidRPr="00E84C93">
        <w:rPr>
          <w:rFonts w:cs="Times New Roman"/>
          <w:lang w:val="sr-Cyrl-CS" w:bidi="en-US"/>
        </w:rPr>
        <w:t>у</w:t>
      </w:r>
      <w:r w:rsidR="008B2B07" w:rsidRPr="00E84C93">
        <w:rPr>
          <w:rFonts w:cs="Times New Roman"/>
          <w:lang w:val="sr-Cyrl-CS" w:bidi="en-US"/>
        </w:rPr>
        <w:t xml:space="preserve"> </w:t>
      </w:r>
      <w:r w:rsidR="008B2B07" w:rsidRPr="00E84C93">
        <w:rPr>
          <w:lang w:val="sr-Cyrl-CS"/>
        </w:rPr>
        <w:t>Републици</w:t>
      </w:r>
      <w:r w:rsidRPr="00E84C93">
        <w:rPr>
          <w:rFonts w:cs="Times New Roman"/>
          <w:lang w:val="sr-Cyrl-CS" w:bidi="en-US"/>
        </w:rPr>
        <w:t xml:space="preserve"> Србији </w:t>
      </w:r>
      <w:r w:rsidR="004C730D" w:rsidRPr="00E84C93">
        <w:rPr>
          <w:rFonts w:cs="Times New Roman"/>
          <w:lang w:val="sr-Cyrl-CS" w:bidi="en-US"/>
        </w:rPr>
        <w:t>je</w:t>
      </w:r>
      <w:r w:rsidRPr="00E84C93">
        <w:rPr>
          <w:rFonts w:cs="Times New Roman"/>
          <w:lang w:val="sr-Cyrl-CS" w:bidi="en-US"/>
        </w:rPr>
        <w:t xml:space="preserve"> сврстано у категорију 1 (мал</w:t>
      </w:r>
      <w:r w:rsidR="00B87DA7" w:rsidRPr="00E84C93">
        <w:rPr>
          <w:rFonts w:cs="Times New Roman"/>
          <w:lang w:val="sr-Cyrl-CS" w:bidi="en-US"/>
        </w:rPr>
        <w:t>а</w:t>
      </w:r>
      <w:r w:rsidRPr="00E84C93">
        <w:rPr>
          <w:rFonts w:cs="Times New Roman"/>
          <w:lang w:val="sr-Cyrl-CS" w:bidi="en-US"/>
        </w:rPr>
        <w:t xml:space="preserve"> постројења) са пројектованим капацитетима између 2.000 и 10.000 </w:t>
      </w:r>
      <w:r w:rsidR="008C7EDF" w:rsidRPr="00E84C93">
        <w:rPr>
          <w:rFonts w:cs="Times New Roman"/>
          <w:lang w:val="sr-Cyrl-CS" w:bidi="en-US"/>
        </w:rPr>
        <w:t>Е</w:t>
      </w:r>
      <w:r w:rsidR="005F6F86" w:rsidRPr="00E84C93">
        <w:rPr>
          <w:rFonts w:cs="Times New Roman"/>
          <w:lang w:val="sr-Cyrl-CS" w:bidi="en-US"/>
        </w:rPr>
        <w:t>С</w:t>
      </w:r>
      <w:r w:rsidR="00285BCC" w:rsidRPr="00E84C93">
        <w:rPr>
          <w:rFonts w:cs="Times New Roman"/>
          <w:lang w:val="sr-Cyrl-CS" w:bidi="en-US"/>
        </w:rPr>
        <w:t>,</w:t>
      </w:r>
      <w:r w:rsidRPr="00E84C93">
        <w:rPr>
          <w:rFonts w:cs="Times New Roman"/>
          <w:lang w:val="sr-Cyrl-CS" w:bidi="en-US"/>
        </w:rPr>
        <w:t xml:space="preserve"> која ће бити пројектована за секундарн</w:t>
      </w:r>
      <w:r w:rsidR="00D97FA7" w:rsidRPr="00E84C93">
        <w:rPr>
          <w:rFonts w:cs="Times New Roman"/>
          <w:lang w:val="sr-Cyrl-CS" w:bidi="en-US"/>
        </w:rPr>
        <w:t>и</w:t>
      </w:r>
      <w:r w:rsidRPr="00E84C93">
        <w:rPr>
          <w:rFonts w:cs="Times New Roman"/>
          <w:lang w:val="sr-Cyrl-CS" w:bidi="en-US"/>
        </w:rPr>
        <w:t xml:space="preserve"> и евентуално терција</w:t>
      </w:r>
      <w:r w:rsidR="00AB04B8" w:rsidRPr="00E84C93">
        <w:rPr>
          <w:rFonts w:cs="Times New Roman"/>
          <w:lang w:val="sr-Cyrl-CS" w:bidi="en-US"/>
        </w:rPr>
        <w:t>р</w:t>
      </w:r>
      <w:r w:rsidRPr="00E84C93">
        <w:rPr>
          <w:rFonts w:cs="Times New Roman"/>
          <w:lang w:val="sr-Cyrl-CS" w:bidi="en-US"/>
        </w:rPr>
        <w:t>н</w:t>
      </w:r>
      <w:r w:rsidR="00D97FA7" w:rsidRPr="00E84C93">
        <w:rPr>
          <w:rFonts w:cs="Times New Roman"/>
          <w:lang w:val="sr-Cyrl-CS" w:bidi="en-US"/>
        </w:rPr>
        <w:t xml:space="preserve">и третман </w:t>
      </w:r>
      <w:r w:rsidRPr="00E84C93">
        <w:rPr>
          <w:rFonts w:cs="Times New Roman"/>
          <w:lang w:val="sr-Cyrl-CS" w:bidi="en-US"/>
        </w:rPr>
        <w:t xml:space="preserve">отпадних вода. </w:t>
      </w:r>
    </w:p>
    <w:bookmarkEnd w:id="36"/>
    <w:p w14:paraId="658594A9" w14:textId="35F6A868" w:rsidR="005F3922" w:rsidRPr="00E84C93" w:rsidRDefault="005F3922" w:rsidP="005F3922">
      <w:pPr>
        <w:spacing w:after="0"/>
        <w:ind w:firstLine="720"/>
        <w:jc w:val="both"/>
        <w:rPr>
          <w:rFonts w:cs="Times New Roman"/>
          <w:b/>
          <w:lang w:val="sr-Cyrl-CS" w:bidi="en-US"/>
        </w:rPr>
      </w:pPr>
      <w:r w:rsidRPr="00E84C93">
        <w:rPr>
          <w:rFonts w:cs="Times New Roman"/>
          <w:lang w:val="sr-Cyrl-CS" w:bidi="en-US"/>
        </w:rPr>
        <w:t xml:space="preserve">За </w:t>
      </w:r>
      <w:r w:rsidRPr="00E84C93">
        <w:rPr>
          <w:rFonts w:cs="Times New Roman"/>
          <w:lang w:val="sr-Cyrl-CS"/>
        </w:rPr>
        <w:t>постројења за пречишћавање отпадних вода</w:t>
      </w:r>
      <w:r w:rsidRPr="00E84C93">
        <w:rPr>
          <w:rFonts w:cs="Times New Roman"/>
          <w:lang w:val="sr-Cyrl-CS" w:bidi="en-US"/>
        </w:rPr>
        <w:t xml:space="preserve"> капацитета између </w:t>
      </w:r>
      <w:r w:rsidRPr="00E84C93">
        <w:rPr>
          <w:lang w:val="sr-Cyrl-CS"/>
        </w:rPr>
        <w:t xml:space="preserve">2.000 и </w:t>
      </w:r>
      <w:r w:rsidR="00A078B4" w:rsidRPr="00E84C93">
        <w:rPr>
          <w:lang w:val="sr-Cyrl-CS"/>
        </w:rPr>
        <w:t>10</w:t>
      </w:r>
      <w:r w:rsidRPr="00E84C93">
        <w:rPr>
          <w:lang w:val="sr-Cyrl-CS"/>
        </w:rPr>
        <w:t>.000 ЕС</w:t>
      </w:r>
      <w:r w:rsidRPr="00E84C93">
        <w:rPr>
          <w:rFonts w:cs="Times New Roman"/>
          <w:lang w:val="sr-Cyrl-CS" w:bidi="en-US"/>
        </w:rPr>
        <w:t xml:space="preserve"> примењиваће се технологије које обезбеђују </w:t>
      </w:r>
      <w:r w:rsidRPr="00E84C93">
        <w:rPr>
          <w:lang w:val="sr-Cyrl-CS"/>
        </w:rPr>
        <w:t>секундарни</w:t>
      </w:r>
      <w:r w:rsidRPr="00E84C93">
        <w:rPr>
          <w:rStyle w:val="FootnoteReference"/>
          <w:lang w:val="sr-Cyrl-CS"/>
        </w:rPr>
        <w:footnoteReference w:id="2"/>
      </w:r>
      <w:r w:rsidRPr="00E84C93">
        <w:rPr>
          <w:lang w:val="sr-Cyrl-CS"/>
        </w:rPr>
        <w:t xml:space="preserve"> третман отпадних вода</w:t>
      </w:r>
      <w:r w:rsidRPr="00E84C93">
        <w:rPr>
          <w:rFonts w:cs="Times New Roman"/>
          <w:lang w:val="sr-Cyrl-CS" w:bidi="en-US"/>
        </w:rPr>
        <w:t xml:space="preserve">, као што је </w:t>
      </w:r>
      <w:r w:rsidRPr="00E84C93">
        <w:rPr>
          <w:rFonts w:cs="Times New Roman"/>
          <w:bCs/>
          <w:lang w:val="sr-Cyrl-CS" w:bidi="en-US"/>
        </w:rPr>
        <w:t>конвенционални поступак продужене аерације,</w:t>
      </w:r>
      <w:r w:rsidRPr="00E84C93">
        <w:rPr>
          <w:rFonts w:cs="Times New Roman"/>
          <w:lang w:val="sr-Cyrl-CS" w:bidi="en-US"/>
        </w:rPr>
        <w:t xml:space="preserve"> секвенцијални шаржни реактор </w:t>
      </w:r>
      <w:r w:rsidRPr="00E84C93">
        <w:rPr>
          <w:rFonts w:cs="Times New Roman"/>
          <w:lang w:val="sr-Cyrl-CS" w:bidi="en-US"/>
        </w:rPr>
        <w:lastRenderedPageBreak/>
        <w:t xml:space="preserve">(СБР) са продуженом аерацијом, или биодиск са примарним таложником и одвојеном анаеробном дигестијом у психрофилним условима (12-15°C). </w:t>
      </w:r>
    </w:p>
    <w:p w14:paraId="4DC2AB0C" w14:textId="64204CF3" w:rsidR="000C2D68" w:rsidRPr="00E84C93" w:rsidRDefault="005F3922" w:rsidP="005F3922">
      <w:pPr>
        <w:spacing w:after="0"/>
        <w:ind w:firstLine="720"/>
        <w:jc w:val="both"/>
        <w:rPr>
          <w:rFonts w:cs="Times New Roman"/>
          <w:lang w:val="sr-Cyrl-CS" w:bidi="en-US"/>
        </w:rPr>
      </w:pPr>
      <w:r w:rsidRPr="00E84C93">
        <w:rPr>
          <w:rFonts w:cs="Times New Roman"/>
          <w:lang w:val="sr-Cyrl-CS" w:bidi="en-US"/>
        </w:rPr>
        <w:t xml:space="preserve">Процена количине муља са малих </w:t>
      </w:r>
      <w:r w:rsidRPr="00E84C93">
        <w:rPr>
          <w:rFonts w:cs="Times New Roman"/>
          <w:lang w:val="sr-Cyrl-CS"/>
        </w:rPr>
        <w:t>постројења за пречишћавање отпадних вода</w:t>
      </w:r>
      <w:r w:rsidRPr="00E84C93">
        <w:rPr>
          <w:rFonts w:cs="Times New Roman"/>
          <w:lang w:val="sr-Cyrl-CS" w:bidi="en-US"/>
        </w:rPr>
        <w:t xml:space="preserve"> базирана је на специфичној производњи (аеробно или анаеробно стабилизованог) муља у опсегу од 50 g СМ/(EС дан)</w:t>
      </w:r>
      <w:r w:rsidRPr="00E84C93">
        <w:rPr>
          <w:rStyle w:val="FootnoteReference"/>
          <w:rFonts w:cs="Times New Roman"/>
          <w:lang w:val="sr-Cyrl-CS" w:bidi="en-US"/>
        </w:rPr>
        <w:footnoteReference w:id="3"/>
      </w:r>
      <w:r w:rsidRPr="00E84C93">
        <w:rPr>
          <w:rFonts w:cs="Times New Roman"/>
          <w:lang w:val="sr-Cyrl-CS" w:bidi="en-US"/>
        </w:rPr>
        <w:t xml:space="preserve"> за 50. перцентил</w:t>
      </w:r>
      <w:r w:rsidRPr="00E84C93">
        <w:rPr>
          <w:rStyle w:val="FootnoteReference"/>
          <w:rFonts w:cs="Times New Roman"/>
          <w:lang w:val="sr-Cyrl-CS" w:bidi="en-US"/>
        </w:rPr>
        <w:footnoteReference w:id="4"/>
      </w:r>
      <w:r w:rsidRPr="00E84C93">
        <w:rPr>
          <w:rFonts w:cs="Times New Roman"/>
          <w:lang w:val="sr-Cyrl-CS" w:bidi="en-US"/>
        </w:rPr>
        <w:t xml:space="preserve"> средњег дневног оптерећења отпадних вода регистрованих у току године (до 60 g СМ/(EС дан) за 85. перцентил</w:t>
      </w:r>
      <w:r w:rsidRPr="00E84C93">
        <w:rPr>
          <w:rStyle w:val="FootnoteReference"/>
          <w:rFonts w:cs="Times New Roman"/>
          <w:lang w:val="sr-Cyrl-CS" w:bidi="en-US"/>
        </w:rPr>
        <w:footnoteReference w:id="5"/>
      </w:r>
      <w:r w:rsidRPr="00E84C93">
        <w:rPr>
          <w:rFonts w:cs="Times New Roman"/>
          <w:lang w:val="sr-Cyrl-CS" w:bidi="en-US"/>
        </w:rPr>
        <w:t xml:space="preserve"> дневног оптерећења отпадних вода измерених у периоду од једне године</w:t>
      </w:r>
      <w:r w:rsidR="000C2D68" w:rsidRPr="00E84C93">
        <w:rPr>
          <w:rFonts w:cs="Times New Roman"/>
          <w:lang w:val="sr-Cyrl-CS" w:bidi="en-US"/>
        </w:rPr>
        <w:t xml:space="preserve">. </w:t>
      </w:r>
    </w:p>
    <w:p w14:paraId="4028BD2E" w14:textId="77777777" w:rsidR="000C2D68" w:rsidRPr="00E84C93" w:rsidRDefault="000C2D68" w:rsidP="000C2D68">
      <w:pPr>
        <w:spacing w:after="0"/>
        <w:jc w:val="both"/>
        <w:rPr>
          <w:rFonts w:cs="Times New Roman"/>
          <w:lang w:val="sr-Cyrl-CS" w:bidi="en-US"/>
        </w:rPr>
      </w:pPr>
    </w:p>
    <w:p w14:paraId="42161DDF" w14:textId="0B579CDB" w:rsidR="00F63335" w:rsidRPr="00E84C93" w:rsidRDefault="0016531B" w:rsidP="00693F42">
      <w:pPr>
        <w:pStyle w:val="Heading4"/>
        <w:spacing w:before="0"/>
        <w:ind w:firstLine="720"/>
        <w:jc w:val="both"/>
        <w:rPr>
          <w:rFonts w:ascii="Times New Roman" w:hAnsi="Times New Roman" w:cs="Times New Roman"/>
          <w:b/>
          <w:bCs/>
          <w:i w:val="0"/>
          <w:iCs w:val="0"/>
          <w:lang w:val="sr-Cyrl-CS"/>
        </w:rPr>
      </w:pPr>
      <w:bookmarkStart w:id="37" w:name="_Toc95129080"/>
      <w:r w:rsidRPr="00E84C93">
        <w:rPr>
          <w:rFonts w:ascii="Times New Roman" w:hAnsi="Times New Roman" w:cs="Times New Roman"/>
          <w:b/>
          <w:bCs/>
          <w:i w:val="0"/>
          <w:iCs w:val="0"/>
          <w:lang w:val="sr-Cyrl-CS"/>
        </w:rPr>
        <w:t>Постројења за пречишћавање отпадних вода</w:t>
      </w:r>
      <w:r w:rsidRPr="00E84C93">
        <w:rPr>
          <w:lang w:val="sr-Cyrl-CS"/>
        </w:rPr>
        <w:t xml:space="preserve"> </w:t>
      </w:r>
      <w:r w:rsidR="00F63335" w:rsidRPr="00E84C93">
        <w:rPr>
          <w:rFonts w:ascii="Times New Roman" w:hAnsi="Times New Roman" w:cs="Times New Roman"/>
          <w:b/>
          <w:bCs/>
          <w:i w:val="0"/>
          <w:iCs w:val="0"/>
          <w:lang w:val="sr-Cyrl-CS"/>
        </w:rPr>
        <w:t>средње величине</w:t>
      </w:r>
      <w:bookmarkEnd w:id="37"/>
    </w:p>
    <w:p w14:paraId="4D6F8066" w14:textId="0B9B7267" w:rsidR="004C730D" w:rsidRPr="00E84C93" w:rsidRDefault="004C730D" w:rsidP="004C730D">
      <w:pPr>
        <w:spacing w:after="0"/>
        <w:ind w:firstLine="720"/>
        <w:jc w:val="both"/>
        <w:rPr>
          <w:rFonts w:cs="Times New Roman"/>
          <w:lang w:val="sr-Cyrl-CS" w:bidi="en-US"/>
        </w:rPr>
      </w:pPr>
      <w:r w:rsidRPr="00E84C93">
        <w:rPr>
          <w:rFonts w:cs="Times New Roman"/>
          <w:lang w:val="sr-Cyrl-CS" w:bidi="en-US"/>
        </w:rPr>
        <w:t xml:space="preserve">У категорију 2 (постројења средње величине) сврстано је 74 </w:t>
      </w:r>
      <w:r w:rsidRPr="00E84C93">
        <w:rPr>
          <w:rFonts w:cs="Times New Roman"/>
          <w:lang w:val="sr-Cyrl-CS"/>
        </w:rPr>
        <w:t>постројења за пречишћавање отпадних вода</w:t>
      </w:r>
      <w:r w:rsidRPr="00E84C93">
        <w:rPr>
          <w:rFonts w:cs="Times New Roman"/>
          <w:lang w:val="sr-Cyrl-CS" w:bidi="en-US"/>
        </w:rPr>
        <w:t>, са пројектованим капацитетима између 10.000 – 100.000 ЕС. Процес пречишћавања на овим постројењима ће се заснивати на процесу активног муља са биолошким уклањањем нутријената и у зависности од капацитета аеробном или анаеробном стабилизацијом муља.</w:t>
      </w:r>
    </w:p>
    <w:p w14:paraId="6DACED2B" w14:textId="6130CD2E" w:rsidR="005F3922" w:rsidRPr="00E84C93" w:rsidRDefault="005F3922" w:rsidP="005F3922">
      <w:pPr>
        <w:spacing w:after="0"/>
        <w:ind w:firstLine="720"/>
        <w:jc w:val="both"/>
        <w:rPr>
          <w:rFonts w:cs="Times New Roman"/>
          <w:color w:val="0070C0"/>
          <w:lang w:val="sr-Cyrl-CS" w:bidi="en-US"/>
        </w:rPr>
      </w:pPr>
      <w:r w:rsidRPr="00E84C93">
        <w:rPr>
          <w:rFonts w:cs="Times New Roman"/>
          <w:lang w:val="sr-Cyrl-CS" w:bidi="en-US"/>
        </w:rPr>
        <w:t>Процена количине муља генерисаног на овим постројењима базирана је на специфичној производњи (аеробно или анаеробно) дигестираног муља у опсегу од 42,5 g СМ/(EС дан) за средње дневно оптерећење отпадних вода на годишњем нивоу (50. перцентил) до 52,5 g СМ/(EС дан) з</w:t>
      </w:r>
      <w:r w:rsidRPr="00E84C93">
        <w:rPr>
          <w:lang w:val="sr-Cyrl-CS"/>
        </w:rPr>
        <w:t xml:space="preserve">а </w:t>
      </w:r>
      <w:r w:rsidRPr="00E84C93">
        <w:rPr>
          <w:rFonts w:cs="Times New Roman"/>
          <w:lang w:val="sr-Cyrl-CS" w:bidi="en-US"/>
        </w:rPr>
        <w:t xml:space="preserve">85. перцентил вредности оптерећења. </w:t>
      </w:r>
    </w:p>
    <w:p w14:paraId="1E138847" w14:textId="77777777" w:rsidR="005F3922" w:rsidRPr="00E84C93" w:rsidRDefault="005F3922" w:rsidP="005F3922">
      <w:pPr>
        <w:spacing w:after="0"/>
        <w:jc w:val="both"/>
        <w:rPr>
          <w:rFonts w:cs="Times New Roman"/>
          <w:lang w:val="sr-Cyrl-CS" w:bidi="en-US"/>
        </w:rPr>
      </w:pPr>
    </w:p>
    <w:p w14:paraId="14D50A69" w14:textId="257CCBFE" w:rsidR="00F63335" w:rsidRPr="00E84C93" w:rsidRDefault="004C730D" w:rsidP="00693F42">
      <w:pPr>
        <w:pStyle w:val="Heading4"/>
        <w:spacing w:before="0"/>
        <w:ind w:firstLine="720"/>
        <w:jc w:val="both"/>
        <w:rPr>
          <w:rFonts w:ascii="Times New Roman" w:hAnsi="Times New Roman" w:cs="Times New Roman"/>
          <w:b/>
          <w:bCs/>
          <w:i w:val="0"/>
          <w:iCs w:val="0"/>
          <w:lang w:val="sr-Cyrl-CS"/>
        </w:rPr>
      </w:pPr>
      <w:r w:rsidRPr="00E84C93">
        <w:rPr>
          <w:rFonts w:ascii="Times New Roman" w:hAnsi="Times New Roman" w:cs="Times New Roman"/>
          <w:b/>
          <w:bCs/>
          <w:i w:val="0"/>
          <w:iCs w:val="0"/>
          <w:lang w:val="sr-Cyrl-CS"/>
        </w:rPr>
        <w:t>Постројења за пречишћавање отпадних вода капацитета изнад 100.000 ЕС</w:t>
      </w:r>
    </w:p>
    <w:p w14:paraId="3754A52C" w14:textId="2D0F1025" w:rsidR="004C730D" w:rsidRPr="00E84C93" w:rsidRDefault="004C730D" w:rsidP="004C730D">
      <w:pPr>
        <w:tabs>
          <w:tab w:val="left" w:pos="720"/>
        </w:tabs>
        <w:spacing w:after="0"/>
        <w:ind w:firstLine="720"/>
        <w:jc w:val="both"/>
        <w:rPr>
          <w:rFonts w:cs="Times New Roman"/>
          <w:lang w:val="sr-Cyrl-CS" w:bidi="en-US"/>
        </w:rPr>
      </w:pPr>
      <w:r w:rsidRPr="00E84C93">
        <w:rPr>
          <w:rFonts w:cs="Times New Roman"/>
          <w:lang w:val="sr-Cyrl-CS" w:bidi="en-US"/>
        </w:rPr>
        <w:t xml:space="preserve">Овој категорији припада 11 (од укупно 359) </w:t>
      </w:r>
      <w:r w:rsidRPr="00E84C93">
        <w:rPr>
          <w:rFonts w:cs="Times New Roman"/>
          <w:lang w:val="sr-Cyrl-CS"/>
        </w:rPr>
        <w:t>постројења за пречишћавање отпадних вода</w:t>
      </w:r>
      <w:r w:rsidRPr="00E84C93">
        <w:rPr>
          <w:rFonts w:cs="Times New Roman"/>
          <w:lang w:val="sr-Cyrl-CS" w:bidi="en-US"/>
        </w:rPr>
        <w:t>. Поступак пречишћавања на овим постројењима ће се заснивати на конвенционалном процесу активног муља са биолошким уклањањем нутријената и</w:t>
      </w:r>
      <w:r w:rsidR="00D010D1" w:rsidRPr="00E84C93">
        <w:rPr>
          <w:rFonts w:cs="Times New Roman"/>
          <w:lang w:val="sr-Cyrl-CS" w:bidi="en-US"/>
        </w:rPr>
        <w:t xml:space="preserve"> </w:t>
      </w:r>
      <w:r w:rsidRPr="00E84C93">
        <w:rPr>
          <w:rFonts w:cs="Times New Roman"/>
          <w:lang w:val="sr-Cyrl-CS" w:bidi="en-US"/>
        </w:rPr>
        <w:t>анаеробном дигестијом муља.</w:t>
      </w:r>
    </w:p>
    <w:p w14:paraId="45516C57" w14:textId="02750C2E" w:rsidR="004C730D" w:rsidRPr="00E84C93" w:rsidRDefault="004C730D" w:rsidP="004C730D">
      <w:pPr>
        <w:spacing w:after="0"/>
        <w:ind w:firstLine="720"/>
        <w:jc w:val="both"/>
        <w:rPr>
          <w:rFonts w:cs="Times New Roman"/>
          <w:lang w:val="sr-Cyrl-CS" w:bidi="en-US"/>
        </w:rPr>
      </w:pPr>
      <w:r w:rsidRPr="00E84C93">
        <w:rPr>
          <w:rFonts w:cs="Times New Roman"/>
          <w:lang w:val="sr-Cyrl-CS" w:bidi="en-US"/>
        </w:rPr>
        <w:t>Процена количине муља генерисаног на овим постројењима базирана је на специфичној производњи анаеробно</w:t>
      </w:r>
      <w:r w:rsidRPr="00E84C93" w:rsidDel="003E2780">
        <w:rPr>
          <w:rFonts w:cs="Times New Roman"/>
          <w:lang w:val="sr-Cyrl-CS" w:bidi="en-US"/>
        </w:rPr>
        <w:t xml:space="preserve"> </w:t>
      </w:r>
      <w:r w:rsidRPr="00E84C93">
        <w:rPr>
          <w:rFonts w:cs="Times New Roman"/>
          <w:lang w:val="sr-Cyrl-CS" w:bidi="en-US"/>
        </w:rPr>
        <w:t xml:space="preserve">дигестираног муља у опсегу од 40-45 g СМ/(EС дан) за дневно оптерећење отпадних вода на годишњем нивоу (50. перцентил) до максималних 50 g СМ/(EС дан) за 85. перцентил </w:t>
      </w:r>
      <w:r w:rsidR="00990BBE" w:rsidRPr="00E84C93">
        <w:rPr>
          <w:rFonts w:cs="Times New Roman"/>
          <w:lang w:val="sr-Cyrl-CS" w:bidi="en-US"/>
        </w:rPr>
        <w:t xml:space="preserve">вредности </w:t>
      </w:r>
      <w:r w:rsidRPr="00E84C93">
        <w:rPr>
          <w:rFonts w:cs="Times New Roman"/>
          <w:lang w:val="sr-Cyrl-CS" w:bidi="en-US"/>
        </w:rPr>
        <w:t>дневног оптерећења отпадних вода у периоду од једне године.</w:t>
      </w:r>
    </w:p>
    <w:p w14:paraId="62C0C0A5" w14:textId="77777777" w:rsidR="006B0489" w:rsidRPr="00E84C93" w:rsidRDefault="004C730D" w:rsidP="004C730D">
      <w:pPr>
        <w:spacing w:after="0"/>
        <w:ind w:firstLine="720"/>
        <w:jc w:val="both"/>
        <w:rPr>
          <w:rFonts w:cs="Times New Roman"/>
          <w:lang w:val="sr-Cyrl-CS" w:bidi="en-US"/>
        </w:rPr>
      </w:pPr>
      <w:r w:rsidRPr="00E84C93">
        <w:rPr>
          <w:rFonts w:cs="Times New Roman"/>
          <w:lang w:val="sr-Cyrl-CS" w:bidi="en-US"/>
        </w:rPr>
        <w:t xml:space="preserve"> У групи ових постројења</w:t>
      </w:r>
      <w:r w:rsidR="00D010D1" w:rsidRPr="00E84C93">
        <w:rPr>
          <w:rFonts w:cs="Times New Roman"/>
          <w:lang w:val="sr-Cyrl-CS" w:bidi="en-US"/>
        </w:rPr>
        <w:t xml:space="preserve"> </w:t>
      </w:r>
      <w:r w:rsidRPr="00E84C93">
        <w:rPr>
          <w:rFonts w:cs="Times New Roman"/>
          <w:lang w:val="sr-Cyrl-CS" w:bidi="en-US"/>
        </w:rPr>
        <w:t xml:space="preserve">предвиђена је изградња два </w:t>
      </w:r>
      <w:r w:rsidRPr="00E84C93">
        <w:rPr>
          <w:rFonts w:cs="Times New Roman"/>
          <w:lang w:val="sr-Cyrl-CS"/>
        </w:rPr>
        <w:t>постројења за пречишћавање отпадних вода</w:t>
      </w:r>
      <w:r w:rsidRPr="00E84C93">
        <w:rPr>
          <w:rFonts w:cs="Times New Roman"/>
          <w:lang w:val="sr-Cyrl-CS" w:bidi="en-US"/>
        </w:rPr>
        <w:t xml:space="preserve"> чији је крајњи капацитет изнад 250.000 ЕС (Крагујевац и Нови Сад)</w:t>
      </w:r>
      <w:r w:rsidR="006B0489" w:rsidRPr="00E84C93">
        <w:rPr>
          <w:rFonts w:cs="Times New Roman"/>
          <w:lang w:val="sr-Cyrl-CS" w:bidi="en-US"/>
        </w:rPr>
        <w:t xml:space="preserve">. </w:t>
      </w:r>
    </w:p>
    <w:p w14:paraId="00F29C42" w14:textId="737DDB4C" w:rsidR="006B0489" w:rsidRPr="00E84C93" w:rsidRDefault="006B0489" w:rsidP="004C730D">
      <w:pPr>
        <w:spacing w:after="0"/>
        <w:ind w:firstLine="720"/>
        <w:jc w:val="both"/>
        <w:rPr>
          <w:rFonts w:cs="Times New Roman"/>
          <w:lang w:val="sr-Cyrl-CS" w:bidi="en-US"/>
        </w:rPr>
      </w:pPr>
      <w:r w:rsidRPr="00E84C93">
        <w:rPr>
          <w:rFonts w:cs="Times New Roman"/>
          <w:lang w:val="sr-Cyrl-CS" w:bidi="en-US"/>
        </w:rPr>
        <w:t>П</w:t>
      </w:r>
      <w:r w:rsidR="004C730D" w:rsidRPr="00E84C93">
        <w:rPr>
          <w:rFonts w:cs="Times New Roman"/>
          <w:lang w:val="sr-Cyrl-CS" w:bidi="en-US"/>
        </w:rPr>
        <w:t>остројењ</w:t>
      </w:r>
      <w:r w:rsidRPr="00E84C93">
        <w:rPr>
          <w:rFonts w:cs="Times New Roman"/>
          <w:lang w:val="sr-Cyrl-CS" w:bidi="en-US"/>
        </w:rPr>
        <w:t>е</w:t>
      </w:r>
      <w:r w:rsidR="004C730D" w:rsidRPr="00E84C93">
        <w:rPr>
          <w:rFonts w:cs="Times New Roman"/>
          <w:lang w:val="sr-Cyrl-CS" w:bidi="en-US"/>
        </w:rPr>
        <w:t xml:space="preserve"> за пречишћавање отпадних вода </w:t>
      </w:r>
      <w:r w:rsidRPr="00E84C93">
        <w:rPr>
          <w:rFonts w:cs="Times New Roman"/>
          <w:lang w:val="sr-Cyrl-CS" w:bidi="en-US"/>
        </w:rPr>
        <w:t xml:space="preserve">Централног канализационог система </w:t>
      </w:r>
      <w:r w:rsidR="004C730D" w:rsidRPr="00E84C93">
        <w:rPr>
          <w:rFonts w:cs="Times New Roman"/>
          <w:lang w:val="sr-Cyrl-CS" w:bidi="en-US"/>
        </w:rPr>
        <w:t xml:space="preserve">града Београда </w:t>
      </w:r>
      <w:r w:rsidRPr="00E84C93">
        <w:rPr>
          <w:rFonts w:cs="Times New Roman"/>
          <w:lang w:val="sr-Cyrl-CS" w:bidi="en-US"/>
        </w:rPr>
        <w:t>- ППОВ „</w:t>
      </w:r>
      <w:r w:rsidR="004C730D" w:rsidRPr="00E84C93">
        <w:rPr>
          <w:rFonts w:cs="Times New Roman"/>
          <w:lang w:val="sr-Cyrl-CS" w:bidi="en-US"/>
        </w:rPr>
        <w:t xml:space="preserve">Велико </w:t>
      </w:r>
      <w:r w:rsidRPr="00E84C93">
        <w:rPr>
          <w:rFonts w:cs="Times New Roman"/>
          <w:lang w:val="sr-Cyrl-CS" w:bidi="en-US"/>
        </w:rPr>
        <w:t xml:space="preserve">Село“ је </w:t>
      </w:r>
      <w:r w:rsidR="004C730D" w:rsidRPr="00E84C93">
        <w:rPr>
          <w:rFonts w:cs="Times New Roman"/>
          <w:lang w:val="sr-Cyrl-CS" w:bidi="en-US"/>
        </w:rPr>
        <w:t>пројектовано</w:t>
      </w:r>
      <w:r w:rsidRPr="00E84C93">
        <w:rPr>
          <w:rFonts w:cs="Times New Roman"/>
          <w:lang w:val="sr-Cyrl-CS" w:bidi="en-US"/>
        </w:rPr>
        <w:t xml:space="preserve"> за</w:t>
      </w:r>
      <w:r w:rsidR="004C730D" w:rsidRPr="00E84C93">
        <w:rPr>
          <w:rFonts w:cs="Times New Roman"/>
          <w:lang w:val="sr-Cyrl-CS" w:bidi="en-US"/>
        </w:rPr>
        <w:t xml:space="preserve"> капацитет</w:t>
      </w:r>
      <w:r w:rsidRPr="00E84C93">
        <w:rPr>
          <w:rFonts w:cs="Times New Roman"/>
          <w:lang w:val="sr-Cyrl-CS" w:bidi="en-US"/>
        </w:rPr>
        <w:t xml:space="preserve"> од</w:t>
      </w:r>
      <w:r w:rsidR="004C730D" w:rsidRPr="00E84C93">
        <w:rPr>
          <w:rFonts w:cs="Times New Roman"/>
          <w:lang w:val="sr-Cyrl-CS" w:bidi="en-US"/>
        </w:rPr>
        <w:t xml:space="preserve"> 1.500.000 ЕС</w:t>
      </w:r>
      <w:r w:rsidRPr="00E84C93">
        <w:rPr>
          <w:rFonts w:cs="Times New Roman"/>
          <w:lang w:val="sr-Cyrl-CS" w:bidi="en-US"/>
        </w:rPr>
        <w:t xml:space="preserve"> у првој фази изградње (2041. година), са могућношћу даљег проширења, у складу са потребама града</w:t>
      </w:r>
      <w:r w:rsidR="004C730D" w:rsidRPr="00E84C93">
        <w:rPr>
          <w:rFonts w:cs="Times New Roman"/>
          <w:lang w:val="sr-Cyrl-CS" w:bidi="en-US"/>
        </w:rPr>
        <w:t xml:space="preserve">. </w:t>
      </w:r>
      <w:r w:rsidRPr="00E84C93">
        <w:rPr>
          <w:rFonts w:cs="Times New Roman"/>
          <w:lang w:val="sr-Cyrl-CS" w:bidi="en-US"/>
        </w:rPr>
        <w:t>За третман муља је Студијом о ППОВ „Велико Село</w:t>
      </w:r>
      <w:r w:rsidR="00CE68F9" w:rsidRPr="00E84C93">
        <w:rPr>
          <w:rFonts w:cs="Times New Roman"/>
          <w:lang w:val="sr-Cyrl-CS" w:bidi="en-US"/>
        </w:rPr>
        <w:t>ˮ</w:t>
      </w:r>
      <w:r w:rsidRPr="00E84C93">
        <w:rPr>
          <w:rFonts w:cs="Times New Roman"/>
          <w:lang w:val="sr-Cyrl-CS" w:bidi="en-US"/>
        </w:rPr>
        <w:t xml:space="preserve"> предложено технолошки савремено решење, базирано на принципима оптимизације производње биогаса и његове максималне валоризације (кроз добијање енергије или пласман у мрежу – гасовод), уз минимизирање специфичне производње муља. Са циљем оптимизације производње биогаса и минимизирања специфичне производње муља је на линији третмана муља, поред мезофилне анаеробне дигестије угушћеног муља (гравитационо угушћеног примарног и механички угушћеног вишка активног муља), предвиђен и процес хидротермалне кар</w:t>
      </w:r>
      <w:r w:rsidR="00033702" w:rsidRPr="00E84C93">
        <w:rPr>
          <w:rFonts w:cs="Times New Roman"/>
          <w:lang w:val="sr-Cyrl-CS" w:bidi="en-US"/>
        </w:rPr>
        <w:t>б</w:t>
      </w:r>
      <w:r w:rsidRPr="00E84C93">
        <w:rPr>
          <w:rFonts w:cs="Times New Roman"/>
          <w:lang w:val="sr-Cyrl-CS" w:bidi="en-US"/>
        </w:rPr>
        <w:t xml:space="preserve">онизације, који поспешује термичку разградњу органске материје. Захваљујући наведеним процесима, очекује се ниска специфична </w:t>
      </w:r>
      <w:r w:rsidRPr="00E84C93">
        <w:rPr>
          <w:rFonts w:cs="Times New Roman"/>
          <w:lang w:val="sr-Cyrl-CS" w:bidi="en-US"/>
        </w:rPr>
        <w:lastRenderedPageBreak/>
        <w:t>продукција муља, која за просечно оптерећење ППОВ износи око 32 g СМ/(ЕС/дан). За финално поступање са продуктима третмана муља предвиђена је инсинерација са одлагањем пепела на локацији ППОВ „Велико Село</w:t>
      </w:r>
      <w:r w:rsidR="004302D2" w:rsidRPr="00E84C93">
        <w:rPr>
          <w:rFonts w:cs="Times New Roman"/>
          <w:lang w:val="sr-Cyrl-CS" w:bidi="en-US"/>
        </w:rPr>
        <w:t>ˮ</w:t>
      </w:r>
      <w:r w:rsidRPr="00E84C93">
        <w:rPr>
          <w:rFonts w:cs="Times New Roman"/>
          <w:lang w:val="sr-Cyrl-CS" w:bidi="en-US"/>
        </w:rPr>
        <w:t>, што постројење чини аутономном целином. У циљу веће флексибилности вођења процеса инсинерације, предложена је изградња два инсинератора на локацији ППОВ „Велико Село</w:t>
      </w:r>
      <w:r w:rsidR="004302D2" w:rsidRPr="00E84C93">
        <w:rPr>
          <w:rFonts w:cs="Times New Roman"/>
          <w:lang w:val="sr-Cyrl-CS" w:bidi="en-US"/>
        </w:rPr>
        <w:t>ˮ</w:t>
      </w:r>
      <w:r w:rsidRPr="00E84C93">
        <w:rPr>
          <w:rFonts w:cs="Times New Roman"/>
          <w:lang w:val="sr-Cyrl-CS" w:bidi="en-US"/>
        </w:rPr>
        <w:t xml:space="preserve">, са могућношћу оптимизације њихових капацитета, као и динамике изградње у складу са накнадним захтевима. </w:t>
      </w:r>
    </w:p>
    <w:p w14:paraId="48C3450D" w14:textId="77777777" w:rsidR="00F63335" w:rsidRPr="00E84C93" w:rsidRDefault="00F63335" w:rsidP="009D696D">
      <w:pPr>
        <w:spacing w:after="0"/>
        <w:ind w:firstLine="720"/>
        <w:jc w:val="both"/>
        <w:rPr>
          <w:rFonts w:cs="Times New Roman"/>
          <w:lang w:val="sr-Cyrl-CS" w:bidi="en-US"/>
        </w:rPr>
      </w:pPr>
    </w:p>
    <w:p w14:paraId="063CEC1A" w14:textId="38DB09BF" w:rsidR="00F63335" w:rsidRPr="00E84C93" w:rsidRDefault="00CD21FD" w:rsidP="006D3091">
      <w:pPr>
        <w:pStyle w:val="ANormal"/>
        <w:spacing w:before="0" w:line="240" w:lineRule="auto"/>
        <w:ind w:firstLine="720"/>
        <w:rPr>
          <w:rFonts w:ascii="Times New Roman" w:hAnsi="Times New Roman" w:cs="Times New Roman"/>
          <w:b/>
          <w:bCs w:val="0"/>
          <w:color w:val="2E74B5" w:themeColor="accent1" w:themeShade="BF"/>
          <w:sz w:val="24"/>
          <w:szCs w:val="24"/>
          <w:lang w:val="sr-Cyrl-CS"/>
        </w:rPr>
      </w:pPr>
      <w:bookmarkStart w:id="38" w:name="_Toc95129082"/>
      <w:bookmarkStart w:id="39" w:name="_Toc99662026"/>
      <w:r w:rsidRPr="00E84C93">
        <w:rPr>
          <w:rFonts w:ascii="Times New Roman" w:hAnsi="Times New Roman" w:cs="Times New Roman"/>
          <w:b/>
          <w:bCs w:val="0"/>
          <w:color w:val="2E74B5" w:themeColor="accent1" w:themeShade="BF"/>
          <w:sz w:val="24"/>
          <w:szCs w:val="24"/>
          <w:lang w:val="sr-Cyrl-CS"/>
        </w:rPr>
        <w:t>С</w:t>
      </w:r>
      <w:r w:rsidR="00F63335" w:rsidRPr="00E84C93">
        <w:rPr>
          <w:rFonts w:ascii="Times New Roman" w:hAnsi="Times New Roman" w:cs="Times New Roman"/>
          <w:b/>
          <w:bCs w:val="0"/>
          <w:color w:val="2E74B5" w:themeColor="accent1" w:themeShade="BF"/>
          <w:sz w:val="24"/>
          <w:szCs w:val="24"/>
          <w:lang w:val="sr-Cyrl-CS"/>
        </w:rPr>
        <w:t>пецифична производња муља</w:t>
      </w:r>
      <w:bookmarkStart w:id="40" w:name="_Toc87616626"/>
      <w:bookmarkEnd w:id="38"/>
      <w:bookmarkEnd w:id="39"/>
      <w:r w:rsidR="00F63335" w:rsidRPr="00E84C93">
        <w:rPr>
          <w:rFonts w:ascii="Times New Roman" w:hAnsi="Times New Roman" w:cs="Times New Roman"/>
          <w:b/>
          <w:bCs w:val="0"/>
          <w:color w:val="2E74B5" w:themeColor="accent1" w:themeShade="BF"/>
          <w:sz w:val="24"/>
          <w:szCs w:val="24"/>
          <w:lang w:val="sr-Cyrl-CS"/>
        </w:rPr>
        <w:t xml:space="preserve"> </w:t>
      </w:r>
      <w:bookmarkEnd w:id="40"/>
    </w:p>
    <w:p w14:paraId="5AFE11B9" w14:textId="6E09CEB3" w:rsidR="00F63335" w:rsidRPr="00E84C93" w:rsidRDefault="004C730D" w:rsidP="005A60DE">
      <w:pPr>
        <w:spacing w:after="0"/>
        <w:ind w:firstLine="720"/>
        <w:jc w:val="both"/>
        <w:rPr>
          <w:rFonts w:cs="Times New Roman"/>
          <w:lang w:val="sr-Cyrl-CS"/>
        </w:rPr>
      </w:pPr>
      <w:r w:rsidRPr="00E84C93">
        <w:rPr>
          <w:rFonts w:cs="Times New Roman"/>
          <w:lang w:val="sr-Cyrl-CS"/>
        </w:rPr>
        <w:t>Усвојене вредности за специфичну продукцију муља у зависности од примењеног процеса пречишћавања и статистичке анализе према методологији представљеној у претходним поглављима п</w:t>
      </w:r>
      <w:r w:rsidR="005836EA" w:rsidRPr="00E84C93">
        <w:rPr>
          <w:rFonts w:cs="Times New Roman"/>
          <w:lang w:val="sr-Cyrl-CS"/>
        </w:rPr>
        <w:t>риказане су у Т</w:t>
      </w:r>
      <w:r w:rsidRPr="00E84C93">
        <w:rPr>
          <w:rFonts w:cs="Times New Roman"/>
          <w:lang w:val="sr-Cyrl-CS"/>
        </w:rPr>
        <w:t xml:space="preserve">абели 3.4. За потребе Програма, за прорачун укупне количине генерисаног муља усвојена је просечна вредност специфичне продукције стабилизованог муља од 45 g </w:t>
      </w:r>
      <w:r w:rsidRPr="00E84C93">
        <w:rPr>
          <w:rFonts w:cs="Times New Roman"/>
          <w:lang w:val="sr-Cyrl-CS" w:bidi="en-US"/>
        </w:rPr>
        <w:t xml:space="preserve">СМ/(EС дан) </w:t>
      </w:r>
      <w:r w:rsidRPr="00E84C93">
        <w:rPr>
          <w:rFonts w:cs="Times New Roman"/>
          <w:lang w:val="sr-Cyrl-CS"/>
        </w:rPr>
        <w:t xml:space="preserve">за сценарио </w:t>
      </w:r>
      <w:r w:rsidR="000D53BC" w:rsidRPr="00E84C93">
        <w:rPr>
          <w:rFonts w:cs="Times New Roman"/>
          <w:lang w:val="sr-Cyrl-CS"/>
        </w:rPr>
        <w:t xml:space="preserve">50. перцентил </w:t>
      </w:r>
      <w:r w:rsidRPr="00E84C93">
        <w:rPr>
          <w:rFonts w:cs="Times New Roman"/>
          <w:lang w:val="sr-Cyrl-CS"/>
        </w:rPr>
        <w:t>оптерећења</w:t>
      </w:r>
      <w:r w:rsidR="00F63335" w:rsidRPr="00E84C93">
        <w:rPr>
          <w:rFonts w:cs="Times New Roman"/>
          <w:lang w:val="sr-Cyrl-CS"/>
        </w:rPr>
        <w:t>.</w:t>
      </w:r>
    </w:p>
    <w:p w14:paraId="5FFAD6BF" w14:textId="77777777" w:rsidR="00F63335" w:rsidRPr="00E84C93" w:rsidRDefault="00F63335" w:rsidP="00F63335">
      <w:pPr>
        <w:rPr>
          <w:lang w:val="sr-Cyrl-CS"/>
        </w:rPr>
      </w:pPr>
    </w:p>
    <w:p w14:paraId="350D56D9" w14:textId="051BFCFD" w:rsidR="00F63335" w:rsidRPr="00E84C93" w:rsidRDefault="00F63335" w:rsidP="00C92E27">
      <w:pPr>
        <w:keepNext/>
        <w:tabs>
          <w:tab w:val="left" w:pos="992"/>
          <w:tab w:val="left" w:pos="3119"/>
        </w:tabs>
        <w:spacing w:after="60"/>
        <w:jc w:val="both"/>
        <w:rPr>
          <w:rFonts w:cs="Times New Roman"/>
          <w:iCs/>
          <w:color w:val="002060"/>
          <w:szCs w:val="24"/>
          <w:lang w:val="sr-Cyrl-CS"/>
        </w:rPr>
      </w:pPr>
      <w:bookmarkStart w:id="41" w:name="_Toc95128180"/>
      <w:r w:rsidRPr="00E84C93">
        <w:rPr>
          <w:rFonts w:cs="Times New Roman"/>
          <w:b/>
          <w:bCs/>
          <w:iCs/>
          <w:color w:val="002060"/>
          <w:szCs w:val="24"/>
          <w:lang w:val="sr-Cyrl-CS"/>
        </w:rPr>
        <w:t>Табела</w:t>
      </w:r>
      <w:r w:rsidR="00453FF8" w:rsidRPr="00E84C93">
        <w:rPr>
          <w:rFonts w:cs="Times New Roman"/>
          <w:b/>
          <w:bCs/>
          <w:iCs/>
          <w:color w:val="002060"/>
          <w:szCs w:val="24"/>
          <w:lang w:val="sr-Cyrl-CS"/>
        </w:rPr>
        <w:t xml:space="preserve"> 3.</w:t>
      </w:r>
      <w:r w:rsidR="003E691A" w:rsidRPr="00E84C93">
        <w:rPr>
          <w:rFonts w:cs="Times New Roman"/>
          <w:b/>
          <w:bCs/>
          <w:iCs/>
          <w:color w:val="002060"/>
          <w:szCs w:val="24"/>
          <w:lang w:val="sr-Cyrl-CS"/>
        </w:rPr>
        <w:t>4</w:t>
      </w:r>
      <w:r w:rsidR="00453FF8" w:rsidRPr="00E84C93">
        <w:rPr>
          <w:rFonts w:cs="Times New Roman"/>
          <w:b/>
          <w:bCs/>
          <w:iCs/>
          <w:color w:val="002060"/>
          <w:szCs w:val="24"/>
          <w:lang w:val="sr-Cyrl-CS"/>
        </w:rPr>
        <w:t>.</w:t>
      </w:r>
      <w:r w:rsidRPr="00E84C93">
        <w:rPr>
          <w:rFonts w:cs="Times New Roman"/>
          <w:iCs/>
          <w:color w:val="002060"/>
          <w:szCs w:val="24"/>
          <w:lang w:val="sr-Cyrl-CS"/>
        </w:rPr>
        <w:t xml:space="preserve"> </w:t>
      </w:r>
      <w:bookmarkEnd w:id="41"/>
      <w:r w:rsidR="004C730D" w:rsidRPr="00E84C93">
        <w:rPr>
          <w:rFonts w:cs="Times New Roman"/>
          <w:iCs/>
          <w:szCs w:val="24"/>
          <w:lang w:val="sr-Cyrl-CS"/>
        </w:rPr>
        <w:t>Усвојене вредности специфичне продукције (стабилизованог) муља</w:t>
      </w:r>
      <w:r w:rsidR="004C730D" w:rsidRPr="00E84C93">
        <w:rPr>
          <w:rFonts w:eastAsia="Calibri" w:cs="Times New Roman"/>
          <w:b/>
          <w:szCs w:val="24"/>
          <w:lang w:val="sr-Cyrl-CS"/>
        </w:rPr>
        <w:t xml:space="preserve"> </w:t>
      </w:r>
      <w:r w:rsidR="004C730D" w:rsidRPr="00E84C93">
        <w:rPr>
          <w:rFonts w:eastAsia="Calibri" w:cs="Times New Roman"/>
          <w:bCs/>
          <w:szCs w:val="24"/>
          <w:lang w:val="sr-Cyrl-CS"/>
        </w:rPr>
        <w:t xml:space="preserve">по категоријама </w:t>
      </w:r>
      <w:r w:rsidR="004C730D" w:rsidRPr="00E84C93">
        <w:rPr>
          <w:rFonts w:cs="Times New Roman"/>
          <w:bCs/>
          <w:lang w:val="sr-Cyrl-CS"/>
        </w:rPr>
        <w:t>постројења за пречишћавање отпадних вода</w:t>
      </w:r>
    </w:p>
    <w:tbl>
      <w:tblPr>
        <w:tblStyle w:val="TableNormal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3780"/>
        <w:gridCol w:w="1710"/>
        <w:gridCol w:w="1686"/>
        <w:gridCol w:w="1734"/>
      </w:tblGrid>
      <w:tr w:rsidR="00453FF8" w:rsidRPr="00E84C93" w14:paraId="4B24F838" w14:textId="77777777" w:rsidTr="00A078B4">
        <w:trPr>
          <w:trHeight w:val="437"/>
          <w:tblHeader/>
        </w:trPr>
        <w:tc>
          <w:tcPr>
            <w:tcW w:w="535" w:type="dxa"/>
            <w:vMerge w:val="restart"/>
            <w:shd w:val="clear" w:color="auto" w:fill="BDD6EE" w:themeFill="accent1" w:themeFillTint="66"/>
            <w:vAlign w:val="center"/>
          </w:tcPr>
          <w:p w14:paraId="5BC9872A" w14:textId="0DB374F1" w:rsidR="00453FF8" w:rsidRPr="00E84C93" w:rsidRDefault="00453FF8" w:rsidP="006E7EA4">
            <w:pPr>
              <w:jc w:val="center"/>
              <w:rPr>
                <w:rFonts w:eastAsia="Calibri" w:cs="Times New Roman"/>
                <w:b/>
                <w:szCs w:val="24"/>
                <w:lang w:val="sr-Cyrl-CS"/>
              </w:rPr>
            </w:pPr>
            <w:r w:rsidRPr="00E84C93">
              <w:rPr>
                <w:rFonts w:eastAsia="Calibri" w:cs="Times New Roman"/>
                <w:b/>
                <w:szCs w:val="24"/>
                <w:lang w:val="sr-Cyrl-CS"/>
              </w:rPr>
              <w:t>Бр.</w:t>
            </w:r>
          </w:p>
        </w:tc>
        <w:tc>
          <w:tcPr>
            <w:tcW w:w="5490" w:type="dxa"/>
            <w:gridSpan w:val="2"/>
            <w:vMerge w:val="restart"/>
            <w:shd w:val="clear" w:color="auto" w:fill="BDD6EE" w:themeFill="accent1" w:themeFillTint="66"/>
            <w:vAlign w:val="center"/>
          </w:tcPr>
          <w:p w14:paraId="5D534945" w14:textId="547F0C86" w:rsidR="00453FF8" w:rsidRPr="00E84C93" w:rsidRDefault="00453FF8" w:rsidP="006E7EA4">
            <w:pPr>
              <w:jc w:val="center"/>
              <w:rPr>
                <w:rFonts w:eastAsia="Calibri" w:cs="Times New Roman"/>
                <w:b/>
                <w:szCs w:val="24"/>
                <w:lang w:val="sr-Cyrl-CS"/>
              </w:rPr>
            </w:pPr>
            <w:r w:rsidRPr="00E84C93">
              <w:rPr>
                <w:rFonts w:eastAsia="Calibri" w:cs="Times New Roman"/>
                <w:b/>
                <w:w w:val="95"/>
                <w:szCs w:val="24"/>
                <w:lang w:val="sr-Cyrl-CS"/>
              </w:rPr>
              <w:t>Пројектовани капацитет (</w:t>
            </w:r>
            <w:r w:rsidR="008C7EDF" w:rsidRPr="00E84C93">
              <w:rPr>
                <w:rFonts w:eastAsia="Calibri" w:cs="Times New Roman"/>
                <w:b/>
                <w:w w:val="95"/>
                <w:szCs w:val="24"/>
                <w:lang w:val="sr-Cyrl-CS"/>
              </w:rPr>
              <w:t>ЕС</w:t>
            </w:r>
            <w:r w:rsidRPr="00E84C93">
              <w:rPr>
                <w:rFonts w:eastAsia="Calibri" w:cs="Times New Roman"/>
                <w:b/>
                <w:w w:val="95"/>
                <w:szCs w:val="24"/>
                <w:lang w:val="sr-Cyrl-CS"/>
              </w:rPr>
              <w:t>)</w:t>
            </w:r>
          </w:p>
        </w:tc>
        <w:tc>
          <w:tcPr>
            <w:tcW w:w="3420" w:type="dxa"/>
            <w:gridSpan w:val="2"/>
            <w:shd w:val="clear" w:color="auto" w:fill="BDD6EE" w:themeFill="accent1" w:themeFillTint="66"/>
            <w:vAlign w:val="center"/>
          </w:tcPr>
          <w:p w14:paraId="5F2ED54C" w14:textId="77777777" w:rsidR="00453FF8" w:rsidRPr="00E84C93" w:rsidRDefault="00453FF8" w:rsidP="00453FF8">
            <w:pPr>
              <w:spacing w:after="0"/>
              <w:jc w:val="center"/>
              <w:rPr>
                <w:rFonts w:eastAsia="Calibri" w:cs="Times New Roman"/>
                <w:b/>
                <w:szCs w:val="24"/>
                <w:lang w:val="sr-Cyrl-CS"/>
              </w:rPr>
            </w:pPr>
            <w:r w:rsidRPr="00E84C93">
              <w:rPr>
                <w:rFonts w:eastAsia="Calibri" w:cs="Times New Roman"/>
                <w:b/>
                <w:szCs w:val="24"/>
                <w:lang w:val="sr-Cyrl-CS"/>
              </w:rPr>
              <w:t>Дигестиран муљ</w:t>
            </w:r>
          </w:p>
          <w:p w14:paraId="22B9C0C5" w14:textId="67A0C4F8" w:rsidR="00453FF8" w:rsidRPr="00E84C93" w:rsidRDefault="00453FF8" w:rsidP="00453FF8">
            <w:pPr>
              <w:spacing w:after="0"/>
              <w:jc w:val="center"/>
              <w:rPr>
                <w:rFonts w:eastAsia="Calibri" w:cs="Times New Roman"/>
                <w:b/>
                <w:szCs w:val="24"/>
                <w:lang w:val="sr-Cyrl-CS"/>
              </w:rPr>
            </w:pPr>
            <w:r w:rsidRPr="00E84C93">
              <w:rPr>
                <w:rFonts w:eastAsia="Calibri" w:cs="Times New Roman"/>
                <w:b/>
                <w:szCs w:val="24"/>
                <w:lang w:val="sr-Cyrl-CS"/>
              </w:rPr>
              <w:t>(g/</w:t>
            </w:r>
            <w:r w:rsidR="00EA1F83" w:rsidRPr="00E84C93">
              <w:rPr>
                <w:rFonts w:eastAsia="Calibri" w:cs="Times New Roman"/>
                <w:b/>
                <w:szCs w:val="24"/>
                <w:lang w:val="sr-Cyrl-CS"/>
              </w:rPr>
              <w:t>(Е</w:t>
            </w:r>
            <w:r w:rsidR="008C7EDF" w:rsidRPr="00E84C93">
              <w:rPr>
                <w:rFonts w:eastAsia="Calibri" w:cs="Times New Roman"/>
                <w:b/>
                <w:szCs w:val="24"/>
                <w:lang w:val="sr-Cyrl-CS"/>
              </w:rPr>
              <w:t>С дан</w:t>
            </w:r>
            <w:r w:rsidR="00EA1F83" w:rsidRPr="00E84C93">
              <w:rPr>
                <w:rFonts w:eastAsia="Calibri" w:cs="Times New Roman"/>
                <w:b/>
                <w:szCs w:val="24"/>
                <w:lang w:val="sr-Cyrl-CS"/>
              </w:rPr>
              <w:t>)</w:t>
            </w:r>
            <w:r w:rsidRPr="00E84C93">
              <w:rPr>
                <w:rFonts w:eastAsia="Calibri" w:cs="Times New Roman"/>
                <w:b/>
                <w:szCs w:val="24"/>
                <w:lang w:val="sr-Cyrl-CS"/>
              </w:rPr>
              <w:t>)</w:t>
            </w:r>
          </w:p>
        </w:tc>
      </w:tr>
      <w:tr w:rsidR="00453FF8" w:rsidRPr="00E84C93" w14:paraId="57E17283" w14:textId="77777777" w:rsidTr="00A078B4">
        <w:trPr>
          <w:trHeight w:val="437"/>
          <w:tblHeader/>
        </w:trPr>
        <w:tc>
          <w:tcPr>
            <w:tcW w:w="535" w:type="dxa"/>
            <w:vMerge/>
            <w:shd w:val="clear" w:color="auto" w:fill="BDD6EE" w:themeFill="accent1" w:themeFillTint="66"/>
            <w:vAlign w:val="center"/>
          </w:tcPr>
          <w:p w14:paraId="64534E17" w14:textId="77777777" w:rsidR="00453FF8" w:rsidRPr="00E84C93" w:rsidRDefault="00453FF8" w:rsidP="006E7EA4">
            <w:pPr>
              <w:jc w:val="center"/>
              <w:rPr>
                <w:rFonts w:eastAsia="Calibri" w:cs="Times New Roman"/>
                <w:b/>
                <w:szCs w:val="24"/>
                <w:lang w:val="sr-Cyrl-CS"/>
              </w:rPr>
            </w:pPr>
          </w:p>
        </w:tc>
        <w:tc>
          <w:tcPr>
            <w:tcW w:w="5490" w:type="dxa"/>
            <w:gridSpan w:val="2"/>
            <w:vMerge/>
            <w:shd w:val="clear" w:color="auto" w:fill="BDD6EE" w:themeFill="accent1" w:themeFillTint="66"/>
            <w:vAlign w:val="center"/>
          </w:tcPr>
          <w:p w14:paraId="54403E95" w14:textId="6531E452" w:rsidR="00453FF8" w:rsidRPr="00E84C93" w:rsidRDefault="00453FF8" w:rsidP="006E7EA4">
            <w:pPr>
              <w:jc w:val="center"/>
              <w:rPr>
                <w:rFonts w:eastAsia="Calibri" w:cs="Times New Roman"/>
                <w:b/>
                <w:w w:val="95"/>
                <w:szCs w:val="24"/>
                <w:lang w:val="sr-Cyrl-CS"/>
              </w:rPr>
            </w:pPr>
          </w:p>
        </w:tc>
        <w:tc>
          <w:tcPr>
            <w:tcW w:w="1686" w:type="dxa"/>
            <w:shd w:val="clear" w:color="auto" w:fill="BDD6EE" w:themeFill="accent1" w:themeFillTint="66"/>
            <w:vAlign w:val="center"/>
          </w:tcPr>
          <w:p w14:paraId="3FADCCB2" w14:textId="00A4268B" w:rsidR="00453FF8" w:rsidRPr="00E84C93" w:rsidRDefault="00453FF8" w:rsidP="006E7EA4">
            <w:pPr>
              <w:jc w:val="center"/>
              <w:rPr>
                <w:rFonts w:eastAsia="Calibri" w:cs="Times New Roman"/>
                <w:b/>
                <w:w w:val="95"/>
                <w:szCs w:val="24"/>
                <w:lang w:val="sr-Cyrl-CS"/>
              </w:rPr>
            </w:pPr>
            <w:r w:rsidRPr="00E84C93">
              <w:rPr>
                <w:rFonts w:eastAsia="Calibri" w:cs="Times New Roman"/>
                <w:b/>
                <w:w w:val="95"/>
                <w:szCs w:val="24"/>
                <w:lang w:val="sr-Cyrl-CS"/>
              </w:rPr>
              <w:t>85</w:t>
            </w:r>
            <w:r w:rsidR="000E1218" w:rsidRPr="00E84C93">
              <w:rPr>
                <w:rFonts w:eastAsia="Calibri" w:cs="Times New Roman"/>
                <w:b/>
                <w:w w:val="95"/>
                <w:szCs w:val="24"/>
                <w:lang w:val="sr-Cyrl-CS"/>
              </w:rPr>
              <w:t>. перцентил</w:t>
            </w:r>
          </w:p>
        </w:tc>
        <w:tc>
          <w:tcPr>
            <w:tcW w:w="1734" w:type="dxa"/>
            <w:shd w:val="clear" w:color="auto" w:fill="BDD6EE" w:themeFill="accent1" w:themeFillTint="66"/>
            <w:vAlign w:val="center"/>
          </w:tcPr>
          <w:p w14:paraId="09929817" w14:textId="60467A7E" w:rsidR="00453FF8" w:rsidRPr="00E84C93" w:rsidRDefault="00453FF8" w:rsidP="006E7EA4">
            <w:pPr>
              <w:jc w:val="center"/>
              <w:rPr>
                <w:rFonts w:eastAsia="Calibri" w:cs="Times New Roman"/>
                <w:b/>
                <w:w w:val="95"/>
                <w:szCs w:val="24"/>
                <w:lang w:val="sr-Cyrl-CS"/>
              </w:rPr>
            </w:pPr>
            <w:r w:rsidRPr="00E84C93">
              <w:rPr>
                <w:rFonts w:eastAsia="Calibri" w:cs="Times New Roman"/>
                <w:b/>
                <w:w w:val="95"/>
                <w:szCs w:val="24"/>
                <w:lang w:val="sr-Cyrl-CS"/>
              </w:rPr>
              <w:t>50</w:t>
            </w:r>
            <w:r w:rsidR="000E1218" w:rsidRPr="00E84C93">
              <w:rPr>
                <w:rFonts w:eastAsia="Calibri" w:cs="Times New Roman"/>
                <w:b/>
                <w:w w:val="95"/>
                <w:szCs w:val="24"/>
                <w:lang w:val="sr-Cyrl-CS"/>
              </w:rPr>
              <w:t>. перцентил</w:t>
            </w:r>
          </w:p>
        </w:tc>
      </w:tr>
      <w:tr w:rsidR="00F63335" w:rsidRPr="00E84C93" w14:paraId="0E66BCE2" w14:textId="77777777" w:rsidTr="00A078B4">
        <w:trPr>
          <w:trHeight w:val="397"/>
        </w:trPr>
        <w:tc>
          <w:tcPr>
            <w:tcW w:w="535" w:type="dxa"/>
            <w:shd w:val="clear" w:color="auto" w:fill="auto"/>
            <w:vAlign w:val="center"/>
          </w:tcPr>
          <w:p w14:paraId="7EF2E25A" w14:textId="61301586"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1</w:t>
            </w:r>
            <w:r w:rsidR="0016531B" w:rsidRPr="00E84C93">
              <w:rPr>
                <w:rFonts w:eastAsia="Calibri" w:cs="Times New Roman"/>
                <w:bCs/>
                <w:szCs w:val="24"/>
                <w:lang w:val="sr-Cyrl-CS"/>
              </w:rPr>
              <w:t>.</w:t>
            </w:r>
          </w:p>
        </w:tc>
        <w:tc>
          <w:tcPr>
            <w:tcW w:w="3780" w:type="dxa"/>
            <w:shd w:val="clear" w:color="auto" w:fill="auto"/>
            <w:vAlign w:val="center"/>
          </w:tcPr>
          <w:p w14:paraId="46E2A3EF" w14:textId="095CCF12" w:rsidR="00F63335" w:rsidRPr="00E84C93" w:rsidRDefault="00F63335" w:rsidP="0016531B">
            <w:pPr>
              <w:spacing w:after="0"/>
              <w:ind w:left="120"/>
              <w:rPr>
                <w:rFonts w:eastAsia="Calibri" w:cs="Times New Roman"/>
                <w:bCs/>
                <w:szCs w:val="24"/>
                <w:lang w:val="sr-Cyrl-CS"/>
              </w:rPr>
            </w:pPr>
            <w:r w:rsidRPr="00E84C93">
              <w:rPr>
                <w:rFonts w:eastAsia="Calibri" w:cs="Times New Roman"/>
                <w:bCs/>
                <w:szCs w:val="24"/>
                <w:lang w:val="sr-Cyrl-CS"/>
              </w:rPr>
              <w:t xml:space="preserve">Мала </w:t>
            </w:r>
            <w:r w:rsidR="0016531B" w:rsidRPr="00E84C93">
              <w:rPr>
                <w:rFonts w:cs="Times New Roman"/>
                <w:lang w:val="sr-Cyrl-CS"/>
              </w:rPr>
              <w:t>постројења за пречишћавање отпадних вода</w:t>
            </w:r>
          </w:p>
        </w:tc>
        <w:tc>
          <w:tcPr>
            <w:tcW w:w="1710" w:type="dxa"/>
            <w:shd w:val="clear" w:color="auto" w:fill="auto"/>
            <w:vAlign w:val="center"/>
          </w:tcPr>
          <w:p w14:paraId="7FB7F0CC" w14:textId="77777777" w:rsidR="00F63335" w:rsidRPr="00E84C93" w:rsidRDefault="00F63335" w:rsidP="006E7EA4">
            <w:pPr>
              <w:spacing w:after="0"/>
              <w:jc w:val="center"/>
              <w:rPr>
                <w:rFonts w:eastAsia="Calibri" w:cs="Times New Roman"/>
                <w:bCs/>
                <w:w w:val="90"/>
                <w:szCs w:val="24"/>
                <w:lang w:val="sr-Cyrl-CS"/>
              </w:rPr>
            </w:pPr>
            <w:r w:rsidRPr="00E84C93">
              <w:rPr>
                <w:rFonts w:eastAsia="Calibri" w:cs="Times New Roman"/>
                <w:bCs/>
                <w:w w:val="90"/>
                <w:szCs w:val="24"/>
                <w:lang w:val="sr-Cyrl-CS"/>
              </w:rPr>
              <w:t>2.000-10.000</w:t>
            </w:r>
          </w:p>
        </w:tc>
        <w:tc>
          <w:tcPr>
            <w:tcW w:w="1686" w:type="dxa"/>
            <w:shd w:val="clear" w:color="auto" w:fill="auto"/>
            <w:vAlign w:val="center"/>
          </w:tcPr>
          <w:p w14:paraId="4E9DAE4E"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55</w:t>
            </w:r>
          </w:p>
        </w:tc>
        <w:tc>
          <w:tcPr>
            <w:tcW w:w="1734" w:type="dxa"/>
            <w:shd w:val="clear" w:color="auto" w:fill="auto"/>
            <w:vAlign w:val="center"/>
          </w:tcPr>
          <w:p w14:paraId="1234CB44"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45</w:t>
            </w:r>
          </w:p>
        </w:tc>
      </w:tr>
      <w:tr w:rsidR="00F63335" w:rsidRPr="00E84C93" w14:paraId="5021CCB7" w14:textId="77777777" w:rsidTr="00A078B4">
        <w:trPr>
          <w:trHeight w:val="397"/>
        </w:trPr>
        <w:tc>
          <w:tcPr>
            <w:tcW w:w="535" w:type="dxa"/>
            <w:tcBorders>
              <w:bottom w:val="single" w:sz="4" w:space="0" w:color="auto"/>
            </w:tcBorders>
            <w:shd w:val="clear" w:color="auto" w:fill="auto"/>
            <w:vAlign w:val="center"/>
          </w:tcPr>
          <w:p w14:paraId="1668E107" w14:textId="0CB6A181"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2</w:t>
            </w:r>
            <w:r w:rsidR="0016531B" w:rsidRPr="00E84C93">
              <w:rPr>
                <w:rFonts w:eastAsia="Calibri" w:cs="Times New Roman"/>
                <w:bCs/>
                <w:szCs w:val="24"/>
                <w:lang w:val="sr-Cyrl-CS"/>
              </w:rPr>
              <w:t>.</w:t>
            </w:r>
          </w:p>
        </w:tc>
        <w:tc>
          <w:tcPr>
            <w:tcW w:w="3780" w:type="dxa"/>
            <w:tcBorders>
              <w:bottom w:val="single" w:sz="4" w:space="0" w:color="auto"/>
            </w:tcBorders>
            <w:shd w:val="clear" w:color="auto" w:fill="auto"/>
            <w:vAlign w:val="center"/>
          </w:tcPr>
          <w:p w14:paraId="508D827D" w14:textId="26992FC1" w:rsidR="00F63335" w:rsidRPr="00E84C93" w:rsidRDefault="0016531B" w:rsidP="0016531B">
            <w:pPr>
              <w:spacing w:after="0"/>
              <w:ind w:left="120"/>
              <w:rPr>
                <w:rFonts w:eastAsia="Calibri" w:cs="Times New Roman"/>
                <w:bCs/>
                <w:szCs w:val="24"/>
                <w:lang w:val="sr-Cyrl-CS"/>
              </w:rPr>
            </w:pPr>
            <w:r w:rsidRPr="00E84C93">
              <w:rPr>
                <w:rFonts w:cs="Times New Roman"/>
                <w:lang w:val="sr-Cyrl-CS"/>
              </w:rPr>
              <w:t>Постројења за пречишћавање отпадних вода</w:t>
            </w:r>
            <w:r w:rsidRPr="00E84C93">
              <w:rPr>
                <w:rFonts w:eastAsia="Calibri" w:cs="Times New Roman"/>
                <w:bCs/>
                <w:szCs w:val="24"/>
                <w:lang w:val="sr-Cyrl-CS"/>
              </w:rPr>
              <w:t xml:space="preserve"> </w:t>
            </w:r>
            <w:r w:rsidR="00F63335" w:rsidRPr="00E84C93">
              <w:rPr>
                <w:rFonts w:eastAsia="Calibri" w:cs="Times New Roman"/>
                <w:bCs/>
                <w:szCs w:val="24"/>
                <w:lang w:val="sr-Cyrl-CS"/>
              </w:rPr>
              <w:t>средње величине</w:t>
            </w:r>
          </w:p>
        </w:tc>
        <w:tc>
          <w:tcPr>
            <w:tcW w:w="1710" w:type="dxa"/>
            <w:tcBorders>
              <w:bottom w:val="single" w:sz="4" w:space="0" w:color="auto"/>
            </w:tcBorders>
            <w:shd w:val="clear" w:color="auto" w:fill="auto"/>
            <w:vAlign w:val="center"/>
          </w:tcPr>
          <w:p w14:paraId="5FD3D10C" w14:textId="77777777"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10.000-100.000</w:t>
            </w:r>
          </w:p>
        </w:tc>
        <w:tc>
          <w:tcPr>
            <w:tcW w:w="1686" w:type="dxa"/>
            <w:tcBorders>
              <w:bottom w:val="single" w:sz="4" w:space="0" w:color="auto"/>
            </w:tcBorders>
            <w:shd w:val="clear" w:color="auto" w:fill="auto"/>
            <w:vAlign w:val="center"/>
          </w:tcPr>
          <w:p w14:paraId="5C0798D1"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52,5</w:t>
            </w:r>
          </w:p>
        </w:tc>
        <w:tc>
          <w:tcPr>
            <w:tcW w:w="1734" w:type="dxa"/>
            <w:tcBorders>
              <w:bottom w:val="single" w:sz="4" w:space="0" w:color="auto"/>
            </w:tcBorders>
            <w:shd w:val="clear" w:color="auto" w:fill="auto"/>
            <w:vAlign w:val="center"/>
          </w:tcPr>
          <w:p w14:paraId="2A7E7380"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42,5</w:t>
            </w:r>
          </w:p>
        </w:tc>
      </w:tr>
      <w:tr w:rsidR="00F63335" w:rsidRPr="00E84C93" w14:paraId="2FF3B269" w14:textId="77777777" w:rsidTr="00A078B4">
        <w:trPr>
          <w:trHeight w:val="397"/>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3BB772CE" w14:textId="555E93F3"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3</w:t>
            </w:r>
            <w:r w:rsidR="0016531B" w:rsidRPr="00E84C93">
              <w:rPr>
                <w:rFonts w:eastAsia="Calibri" w:cs="Times New Roman"/>
                <w:bCs/>
                <w:szCs w:val="24"/>
                <w:lang w:val="sr-Cyrl-CS"/>
              </w:rPr>
              <w:t>.</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07BC1903" w14:textId="16798DF0" w:rsidR="00F63335" w:rsidRPr="00E84C93" w:rsidRDefault="000E1218" w:rsidP="0016531B">
            <w:pPr>
              <w:spacing w:after="0"/>
              <w:ind w:left="120"/>
              <w:rPr>
                <w:rFonts w:eastAsia="Calibri" w:cs="Times New Roman"/>
                <w:bCs/>
                <w:szCs w:val="24"/>
                <w:lang w:val="sr-Cyrl-CS"/>
              </w:rPr>
            </w:pPr>
            <w:r w:rsidRPr="00E84C93">
              <w:rPr>
                <w:rFonts w:eastAsia="Calibri" w:cs="Times New Roman"/>
                <w:bCs/>
                <w:szCs w:val="24"/>
                <w:lang w:val="sr-Cyrl-CS"/>
              </w:rPr>
              <w:t>П</w:t>
            </w:r>
            <w:r w:rsidRPr="00E84C93">
              <w:rPr>
                <w:rFonts w:cs="Times New Roman"/>
                <w:lang w:val="sr-Cyrl-CS"/>
              </w:rPr>
              <w:t>остројења за пречишћавање отпадних вода капацитета изнад 100.000 ЕС</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6184934" w14:textId="77777777"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 100.000</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14:paraId="7CBD23CF"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45</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7F13A6D2"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40</w:t>
            </w:r>
          </w:p>
        </w:tc>
      </w:tr>
      <w:tr w:rsidR="00F63335" w:rsidRPr="00E84C93" w14:paraId="6B060C18" w14:textId="77777777" w:rsidTr="00A078B4">
        <w:trPr>
          <w:trHeight w:val="397"/>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3310442E" w14:textId="285EB30F" w:rsidR="00F63335" w:rsidRPr="00E84C93" w:rsidRDefault="00F63335" w:rsidP="006E7EA4">
            <w:pPr>
              <w:spacing w:after="0"/>
              <w:jc w:val="center"/>
              <w:rPr>
                <w:rFonts w:eastAsia="Calibri" w:cs="Times New Roman"/>
                <w:bCs/>
                <w:szCs w:val="24"/>
                <w:lang w:val="sr-Cyrl-CS"/>
              </w:rPr>
            </w:pPr>
            <w:r w:rsidRPr="00E84C93">
              <w:rPr>
                <w:rFonts w:eastAsia="Calibri" w:cs="Times New Roman"/>
                <w:bCs/>
                <w:szCs w:val="24"/>
                <w:lang w:val="sr-Cyrl-CS"/>
              </w:rPr>
              <w:t>4</w:t>
            </w:r>
            <w:r w:rsidR="0016531B" w:rsidRPr="00E84C93">
              <w:rPr>
                <w:rFonts w:eastAsia="Calibri" w:cs="Times New Roman"/>
                <w:bCs/>
                <w:szCs w:val="24"/>
                <w:lang w:val="sr-Cyrl-CS"/>
              </w:rPr>
              <w:t>.</w:t>
            </w:r>
          </w:p>
        </w:tc>
        <w:tc>
          <w:tcPr>
            <w:tcW w:w="5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470FB" w14:textId="33EF0804" w:rsidR="00F63335" w:rsidRPr="00E84C93" w:rsidRDefault="00F63335" w:rsidP="0016531B">
            <w:pPr>
              <w:spacing w:after="0"/>
              <w:ind w:left="120"/>
              <w:rPr>
                <w:rFonts w:eastAsia="Calibri" w:cs="Times New Roman"/>
                <w:bCs/>
                <w:szCs w:val="24"/>
                <w:lang w:val="sr-Cyrl-CS"/>
              </w:rPr>
            </w:pPr>
            <w:r w:rsidRPr="00E84C93">
              <w:rPr>
                <w:rFonts w:eastAsia="Calibri" w:cs="Times New Roman"/>
                <w:bCs/>
                <w:szCs w:val="24"/>
                <w:lang w:val="sr-Cyrl-CS"/>
              </w:rPr>
              <w:t xml:space="preserve">Средња </w:t>
            </w:r>
            <w:r w:rsidR="000D53BC" w:rsidRPr="00E84C93">
              <w:rPr>
                <w:rFonts w:eastAsia="Calibri" w:cs="Times New Roman"/>
                <w:bCs/>
                <w:szCs w:val="24"/>
                <w:lang w:val="sr-Cyrl-CS"/>
              </w:rPr>
              <w:t>вредност</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14:paraId="353EFF9C"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51</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4CE0E6E0" w14:textId="77777777" w:rsidR="00F63335" w:rsidRPr="00E84C93" w:rsidRDefault="00F63335" w:rsidP="006E7EA4">
            <w:pPr>
              <w:spacing w:after="0"/>
              <w:jc w:val="center"/>
              <w:rPr>
                <w:rFonts w:eastAsia="Calibri" w:cs="Times New Roman"/>
                <w:szCs w:val="24"/>
                <w:lang w:val="sr-Cyrl-CS"/>
              </w:rPr>
            </w:pPr>
            <w:r w:rsidRPr="00E84C93">
              <w:rPr>
                <w:rFonts w:eastAsia="Calibri" w:cs="Times New Roman"/>
                <w:szCs w:val="24"/>
                <w:lang w:val="sr-Cyrl-CS"/>
              </w:rPr>
              <w:t>42,5</w:t>
            </w:r>
          </w:p>
        </w:tc>
      </w:tr>
      <w:tr w:rsidR="00F63335" w:rsidRPr="00E84C93" w14:paraId="7A8C8DBF" w14:textId="77777777" w:rsidTr="00A078B4">
        <w:trPr>
          <w:trHeight w:val="397"/>
        </w:trPr>
        <w:tc>
          <w:tcPr>
            <w:tcW w:w="535" w:type="dxa"/>
            <w:tcBorders>
              <w:top w:val="single" w:sz="4" w:space="0" w:color="auto"/>
            </w:tcBorders>
            <w:shd w:val="clear" w:color="auto" w:fill="auto"/>
            <w:vAlign w:val="center"/>
          </w:tcPr>
          <w:p w14:paraId="620AE40F" w14:textId="540821DC" w:rsidR="00F63335" w:rsidRPr="00E84C93" w:rsidRDefault="00F63335" w:rsidP="0016531B">
            <w:pPr>
              <w:spacing w:after="0"/>
              <w:jc w:val="center"/>
              <w:rPr>
                <w:rFonts w:eastAsia="Calibri" w:cs="Times New Roman"/>
                <w:bCs/>
                <w:szCs w:val="24"/>
                <w:lang w:val="sr-Cyrl-CS"/>
              </w:rPr>
            </w:pPr>
            <w:r w:rsidRPr="00E84C93">
              <w:rPr>
                <w:rFonts w:eastAsia="Calibri" w:cs="Times New Roman"/>
                <w:bCs/>
                <w:szCs w:val="24"/>
                <w:lang w:val="sr-Cyrl-CS"/>
              </w:rPr>
              <w:t>5</w:t>
            </w:r>
            <w:r w:rsidR="0016531B" w:rsidRPr="00E84C93">
              <w:rPr>
                <w:rFonts w:eastAsia="Calibri" w:cs="Times New Roman"/>
                <w:bCs/>
                <w:szCs w:val="24"/>
                <w:lang w:val="sr-Cyrl-CS"/>
              </w:rPr>
              <w:t>.</w:t>
            </w:r>
          </w:p>
        </w:tc>
        <w:tc>
          <w:tcPr>
            <w:tcW w:w="5490" w:type="dxa"/>
            <w:gridSpan w:val="2"/>
            <w:tcBorders>
              <w:top w:val="single" w:sz="4" w:space="0" w:color="auto"/>
            </w:tcBorders>
            <w:shd w:val="clear" w:color="auto" w:fill="auto"/>
            <w:vAlign w:val="center"/>
          </w:tcPr>
          <w:p w14:paraId="56DC10A7" w14:textId="7AA113D3" w:rsidR="00F63335" w:rsidRPr="00E84C93" w:rsidRDefault="00F63335" w:rsidP="00C92E27">
            <w:pPr>
              <w:spacing w:after="0"/>
              <w:ind w:left="120"/>
              <w:rPr>
                <w:rFonts w:eastAsia="Calibri" w:cs="Times New Roman"/>
                <w:bCs/>
                <w:szCs w:val="24"/>
                <w:lang w:val="sr-Cyrl-CS"/>
              </w:rPr>
            </w:pPr>
            <w:r w:rsidRPr="00E84C93">
              <w:rPr>
                <w:rFonts w:eastAsia="Calibri" w:cs="Times New Roman"/>
                <w:bCs/>
                <w:szCs w:val="24"/>
                <w:lang w:val="sr-Cyrl-CS"/>
              </w:rPr>
              <w:t xml:space="preserve">Усвојена </w:t>
            </w:r>
            <w:r w:rsidR="004641B3" w:rsidRPr="00E84C93">
              <w:rPr>
                <w:rFonts w:eastAsia="Calibri" w:cs="Times New Roman"/>
                <w:bCs/>
                <w:szCs w:val="24"/>
                <w:lang w:val="sr-Cyrl-CS"/>
              </w:rPr>
              <w:t>просечна вредност за специфичну производњу дигестираног муља</w:t>
            </w:r>
          </w:p>
        </w:tc>
        <w:tc>
          <w:tcPr>
            <w:tcW w:w="1686" w:type="dxa"/>
            <w:tcBorders>
              <w:top w:val="single" w:sz="4" w:space="0" w:color="auto"/>
            </w:tcBorders>
            <w:shd w:val="clear" w:color="auto" w:fill="auto"/>
            <w:vAlign w:val="center"/>
          </w:tcPr>
          <w:p w14:paraId="5377C483" w14:textId="77777777" w:rsidR="00F63335" w:rsidRPr="00E84C93" w:rsidRDefault="00F63335" w:rsidP="0016531B">
            <w:pPr>
              <w:spacing w:after="0"/>
              <w:jc w:val="center"/>
              <w:rPr>
                <w:rFonts w:eastAsia="Calibri" w:cs="Times New Roman"/>
                <w:szCs w:val="24"/>
                <w:lang w:val="sr-Cyrl-CS"/>
              </w:rPr>
            </w:pPr>
            <w:r w:rsidRPr="00E84C93">
              <w:rPr>
                <w:rFonts w:eastAsia="Calibri" w:cs="Times New Roman"/>
                <w:szCs w:val="24"/>
                <w:lang w:val="sr-Cyrl-CS"/>
              </w:rPr>
              <w:t>55</w:t>
            </w:r>
          </w:p>
        </w:tc>
        <w:tc>
          <w:tcPr>
            <w:tcW w:w="1734" w:type="dxa"/>
            <w:tcBorders>
              <w:top w:val="single" w:sz="4" w:space="0" w:color="auto"/>
            </w:tcBorders>
            <w:shd w:val="clear" w:color="auto" w:fill="auto"/>
            <w:vAlign w:val="center"/>
          </w:tcPr>
          <w:p w14:paraId="34BABA5F" w14:textId="77777777" w:rsidR="00F63335" w:rsidRPr="00E84C93" w:rsidRDefault="00F63335" w:rsidP="0016531B">
            <w:pPr>
              <w:spacing w:after="0"/>
              <w:jc w:val="center"/>
              <w:rPr>
                <w:rFonts w:eastAsia="Calibri" w:cs="Times New Roman"/>
                <w:szCs w:val="24"/>
                <w:lang w:val="sr-Cyrl-CS"/>
              </w:rPr>
            </w:pPr>
            <w:r w:rsidRPr="00E84C93">
              <w:rPr>
                <w:rFonts w:eastAsia="Calibri" w:cs="Times New Roman"/>
                <w:szCs w:val="24"/>
                <w:lang w:val="sr-Cyrl-CS"/>
              </w:rPr>
              <w:t>45</w:t>
            </w:r>
          </w:p>
        </w:tc>
      </w:tr>
    </w:tbl>
    <w:p w14:paraId="7D26E446" w14:textId="77777777" w:rsidR="00F63335" w:rsidRPr="00E84C93" w:rsidRDefault="00F63335" w:rsidP="00C7465A">
      <w:pPr>
        <w:keepNext/>
        <w:tabs>
          <w:tab w:val="left" w:pos="992"/>
          <w:tab w:val="left" w:pos="3119"/>
        </w:tabs>
        <w:spacing w:after="60"/>
        <w:jc w:val="both"/>
        <w:rPr>
          <w:rFonts w:cs="Times New Roman"/>
          <w:iCs/>
          <w:color w:val="002060"/>
          <w:sz w:val="20"/>
          <w:szCs w:val="16"/>
          <w:u w:val="single"/>
          <w:lang w:val="sr-Cyrl-CS"/>
        </w:rPr>
      </w:pPr>
    </w:p>
    <w:p w14:paraId="5810566D" w14:textId="0FCA8111" w:rsidR="00F63335" w:rsidRPr="00E84C93" w:rsidRDefault="000E1218" w:rsidP="00693F42">
      <w:pPr>
        <w:spacing w:after="0"/>
        <w:ind w:firstLine="720"/>
        <w:jc w:val="both"/>
        <w:rPr>
          <w:rFonts w:cs="Times New Roman"/>
          <w:lang w:val="sr-Cyrl-CS"/>
        </w:rPr>
      </w:pPr>
      <w:r w:rsidRPr="00E84C93">
        <w:rPr>
          <w:rFonts w:cs="Times New Roman"/>
          <w:lang w:val="sr-Cyrl-CS"/>
        </w:rPr>
        <w:t>Овакав сценарио изабран је са циљем да се избегне прецењивање укупне количине муља генерисаног на постројењима за пречишћавање отпадних вода што би</w:t>
      </w:r>
      <w:r w:rsidR="00D010D1" w:rsidRPr="00E84C93">
        <w:rPr>
          <w:rFonts w:cs="Times New Roman"/>
          <w:lang w:val="sr-Cyrl-CS"/>
        </w:rPr>
        <w:t xml:space="preserve"> </w:t>
      </w:r>
      <w:r w:rsidRPr="00E84C93">
        <w:rPr>
          <w:rFonts w:cs="Times New Roman"/>
          <w:lang w:val="sr-Cyrl-CS"/>
        </w:rPr>
        <w:t>и последично довело до изградње предимензионисаних капацитета скупих постројења за додатни третман муља која би остала неискоришћена.</w:t>
      </w:r>
      <w:r w:rsidR="00A078B4" w:rsidRPr="00E84C93">
        <w:rPr>
          <w:rFonts w:cs="Times New Roman"/>
          <w:lang w:val="sr-Cyrl-CS"/>
        </w:rPr>
        <w:t xml:space="preserve"> </w:t>
      </w:r>
      <w:r w:rsidRPr="00E84C93">
        <w:rPr>
          <w:rFonts w:cs="Times New Roman"/>
          <w:lang w:val="sr-Cyrl-CS"/>
        </w:rPr>
        <w:t>У складу с тим, димензионисање постројења за сушење и спаљивање муља, као и за процену количине муља за одлагање базирано је на усвојеној вредности за 50. перцентил оптерећења, док се за димензионисање уређаја и објеката за третман муља на постројењима за пречишћавање отпадних вода примењује 85. перцентил</w:t>
      </w:r>
      <w:r w:rsidR="00F63335" w:rsidRPr="00E84C93">
        <w:rPr>
          <w:rFonts w:cs="Times New Roman"/>
          <w:lang w:val="sr-Cyrl-CS"/>
        </w:rPr>
        <w:t xml:space="preserve">. </w:t>
      </w:r>
    </w:p>
    <w:p w14:paraId="66C627D0" w14:textId="77777777" w:rsidR="001B734A" w:rsidRPr="00E84C93" w:rsidRDefault="001B734A" w:rsidP="00693F42">
      <w:pPr>
        <w:spacing w:after="0"/>
        <w:ind w:firstLine="720"/>
        <w:jc w:val="both"/>
        <w:rPr>
          <w:rFonts w:cs="Times New Roman"/>
          <w:lang w:val="sr-Cyrl-CS"/>
        </w:rPr>
      </w:pPr>
    </w:p>
    <w:p w14:paraId="2A6497F2" w14:textId="34680A52" w:rsidR="00F63335" w:rsidRPr="00E84C93" w:rsidRDefault="000E1218" w:rsidP="00495937">
      <w:pPr>
        <w:pStyle w:val="Heading3"/>
        <w:numPr>
          <w:ilvl w:val="2"/>
          <w:numId w:val="8"/>
        </w:numPr>
        <w:rPr>
          <w:lang w:val="sr-Cyrl-CS"/>
        </w:rPr>
      </w:pPr>
      <w:bookmarkStart w:id="42" w:name="_Toc95129083"/>
      <w:bookmarkStart w:id="43" w:name="_Toc99920895"/>
      <w:r w:rsidRPr="00E84C93">
        <w:rPr>
          <w:lang w:val="sr-Cyrl-CS"/>
        </w:rPr>
        <w:t xml:space="preserve">Процењене количине генерисаног </w:t>
      </w:r>
      <w:r w:rsidR="00F63335" w:rsidRPr="00E84C93">
        <w:rPr>
          <w:lang w:val="sr-Cyrl-CS"/>
        </w:rPr>
        <w:t>муља по регионима</w:t>
      </w:r>
      <w:bookmarkEnd w:id="42"/>
      <w:r w:rsidR="00406414" w:rsidRPr="00E84C93">
        <w:rPr>
          <w:lang w:val="sr-Cyrl-CS"/>
        </w:rPr>
        <w:t xml:space="preserve"> и управним окрузима</w:t>
      </w:r>
      <w:bookmarkEnd w:id="43"/>
    </w:p>
    <w:p w14:paraId="7025DAA1" w14:textId="70B2EC90" w:rsidR="00F63335" w:rsidRPr="00E84C93" w:rsidRDefault="002D244A" w:rsidP="00693F42">
      <w:pPr>
        <w:spacing w:after="0"/>
        <w:ind w:firstLine="720"/>
        <w:jc w:val="both"/>
        <w:rPr>
          <w:rFonts w:cs="Times New Roman"/>
          <w:lang w:val="sr-Cyrl-CS"/>
        </w:rPr>
      </w:pPr>
      <w:r w:rsidRPr="00E84C93">
        <w:rPr>
          <w:rFonts w:cs="Times New Roman"/>
          <w:lang w:val="sr-Cyrl-CS"/>
        </w:rPr>
        <w:t xml:space="preserve">За процену количине муља коришћен је регионални приступ управљању муљем, који подразумева </w:t>
      </w:r>
      <w:r w:rsidR="000E1218" w:rsidRPr="00E84C93">
        <w:rPr>
          <w:rFonts w:cs="Times New Roman"/>
          <w:lang w:val="sr-Cyrl-CS"/>
        </w:rPr>
        <w:t>сарадњу комуналних предузећа на међуопштинском нивоу. У циљу идентификације центара за управљање муљем</w:t>
      </w:r>
      <w:r w:rsidR="00D010D1" w:rsidRPr="00E84C93">
        <w:rPr>
          <w:rFonts w:cs="Times New Roman"/>
          <w:lang w:val="sr-Cyrl-CS"/>
        </w:rPr>
        <w:t xml:space="preserve"> </w:t>
      </w:r>
      <w:r w:rsidR="000E1218" w:rsidRPr="00E84C93">
        <w:rPr>
          <w:rFonts w:cs="Times New Roman"/>
          <w:lang w:val="sr-Cyrl-CS"/>
        </w:rPr>
        <w:t xml:space="preserve">обрачун годишње производње муља </w:t>
      </w:r>
      <w:r w:rsidR="000E1218" w:rsidRPr="00E84C93">
        <w:rPr>
          <w:rFonts w:cs="Times New Roman"/>
          <w:lang w:val="sr-Cyrl-CS"/>
        </w:rPr>
        <w:lastRenderedPageBreak/>
        <w:t xml:space="preserve">урађен је на нивоу округа. Процена количина муља извршена је за </w:t>
      </w:r>
      <w:r w:rsidR="0004197E" w:rsidRPr="00E84C93">
        <w:rPr>
          <w:rFonts w:cs="Times New Roman"/>
          <w:lang w:val="sr-Cyrl-CS"/>
        </w:rPr>
        <w:t>четири (</w:t>
      </w:r>
      <w:r w:rsidR="000E1218" w:rsidRPr="00E84C93">
        <w:rPr>
          <w:rFonts w:cs="Times New Roman"/>
          <w:lang w:val="sr-Cyrl-CS"/>
        </w:rPr>
        <w:t>4</w:t>
      </w:r>
      <w:r w:rsidR="0004197E" w:rsidRPr="00E84C93">
        <w:rPr>
          <w:rFonts w:cs="Times New Roman"/>
          <w:lang w:val="sr-Cyrl-CS"/>
        </w:rPr>
        <w:t>)</w:t>
      </w:r>
      <w:r w:rsidR="000E1218" w:rsidRPr="00E84C93">
        <w:rPr>
          <w:rFonts w:cs="Times New Roman"/>
          <w:lang w:val="sr-Cyrl-CS"/>
        </w:rPr>
        <w:t xml:space="preserve"> региона са 24 округа и регион града Београда</w:t>
      </w:r>
      <w:r w:rsidR="00F63335" w:rsidRPr="00E84C93">
        <w:rPr>
          <w:rFonts w:cs="Times New Roman"/>
          <w:lang w:val="sr-Cyrl-CS"/>
        </w:rPr>
        <w:t xml:space="preserve">. </w:t>
      </w:r>
    </w:p>
    <w:p w14:paraId="774149C5" w14:textId="77777777" w:rsidR="00F63335" w:rsidRPr="00E84C93" w:rsidRDefault="00F63335" w:rsidP="00C7465A">
      <w:pPr>
        <w:spacing w:after="0"/>
        <w:jc w:val="both"/>
        <w:rPr>
          <w:rFonts w:cs="Times New Roman"/>
          <w:lang w:val="sr-Cyrl-CS"/>
        </w:rPr>
      </w:pPr>
    </w:p>
    <w:p w14:paraId="1EB8115D" w14:textId="036B6F5C" w:rsidR="00F63335" w:rsidRPr="00E84C93" w:rsidRDefault="000E1218" w:rsidP="00C82A6B">
      <w:pPr>
        <w:pStyle w:val="Heading4"/>
        <w:spacing w:before="0"/>
        <w:ind w:firstLine="720"/>
        <w:rPr>
          <w:rFonts w:ascii="Times New Roman" w:hAnsi="Times New Roman" w:cs="Times New Roman"/>
          <w:b/>
          <w:bCs/>
          <w:i w:val="0"/>
          <w:iCs w:val="0"/>
          <w:lang w:val="sr-Cyrl-CS"/>
        </w:rPr>
      </w:pPr>
      <w:bookmarkStart w:id="44" w:name="_Toc95129084"/>
      <w:bookmarkStart w:id="45" w:name="_Toc87616628"/>
      <w:r w:rsidRPr="00E84C93">
        <w:rPr>
          <w:rFonts w:ascii="Times New Roman" w:hAnsi="Times New Roman" w:cs="Times New Roman"/>
          <w:b/>
          <w:bCs/>
          <w:i w:val="0"/>
          <w:iCs w:val="0"/>
          <w:lang w:val="sr-Cyrl-CS"/>
        </w:rPr>
        <w:t>Пројекције</w:t>
      </w:r>
      <w:r w:rsidR="00156AE7" w:rsidRPr="00E84C93">
        <w:rPr>
          <w:rFonts w:ascii="Times New Roman" w:hAnsi="Times New Roman" w:cs="Times New Roman"/>
          <w:b/>
          <w:bCs/>
          <w:i w:val="0"/>
          <w:iCs w:val="0"/>
          <w:lang w:val="sr-Cyrl-CS"/>
        </w:rPr>
        <w:t xml:space="preserve"> становништва</w:t>
      </w:r>
      <w:bookmarkEnd w:id="44"/>
      <w:r w:rsidR="00D010D1" w:rsidRPr="00E84C93">
        <w:rPr>
          <w:rFonts w:ascii="Times New Roman" w:hAnsi="Times New Roman" w:cs="Times New Roman"/>
          <w:b/>
          <w:bCs/>
          <w:i w:val="0"/>
          <w:iCs w:val="0"/>
          <w:lang w:val="sr-Cyrl-CS"/>
        </w:rPr>
        <w:t xml:space="preserve"> </w:t>
      </w:r>
      <w:bookmarkEnd w:id="45"/>
    </w:p>
    <w:p w14:paraId="167EEDEF" w14:textId="6AF48171" w:rsidR="00F63335" w:rsidRPr="00E84C93" w:rsidRDefault="00F63335" w:rsidP="00693F42">
      <w:pPr>
        <w:spacing w:after="0"/>
        <w:ind w:firstLine="720"/>
        <w:jc w:val="both"/>
        <w:rPr>
          <w:rFonts w:cs="Times New Roman"/>
          <w:lang w:val="sr-Cyrl-CS" w:bidi="en-US"/>
        </w:rPr>
      </w:pPr>
      <w:r w:rsidRPr="00E84C93">
        <w:rPr>
          <w:rFonts w:cs="Times New Roman"/>
          <w:lang w:val="sr-Cyrl-CS" w:bidi="en-US"/>
        </w:rPr>
        <w:t>Демографски развој у Републици Србији карактеришу унутрашње миграције и емиграционе тенденције, као и старење становништва уз ниску стопу наталитета. Број становника у урбаним срединама опада из економских разлога, а број становника у метрополским подручјима расте. Претпоставка је да ће се овај тренд наставити и у наредним годинама, што ће на крају довести до значајне депопулације сеоских подручја и концентрације становништва у неколико конурбација.</w:t>
      </w:r>
    </w:p>
    <w:p w14:paraId="57DE0A24" w14:textId="6520FFBA" w:rsidR="002D244A" w:rsidRPr="00E84C93" w:rsidRDefault="00F63335" w:rsidP="002D244A">
      <w:pPr>
        <w:spacing w:after="0"/>
        <w:ind w:firstLine="720"/>
        <w:jc w:val="both"/>
        <w:rPr>
          <w:rFonts w:cs="Times New Roman"/>
          <w:lang w:val="sr-Cyrl-CS"/>
        </w:rPr>
      </w:pPr>
      <w:r w:rsidRPr="00E84C93">
        <w:rPr>
          <w:rFonts w:cs="Times New Roman"/>
          <w:lang w:val="sr-Cyrl-CS" w:bidi="en-US"/>
        </w:rPr>
        <w:t>Прогноза број</w:t>
      </w:r>
      <w:r w:rsidR="005F006D" w:rsidRPr="00E84C93">
        <w:rPr>
          <w:rFonts w:cs="Times New Roman"/>
          <w:lang w:val="sr-Cyrl-CS" w:bidi="en-US"/>
        </w:rPr>
        <w:t>а</w:t>
      </w:r>
      <w:r w:rsidRPr="00E84C93">
        <w:rPr>
          <w:rFonts w:cs="Times New Roman"/>
          <w:lang w:val="sr-Cyrl-CS" w:bidi="en-US"/>
        </w:rPr>
        <w:t xml:space="preserve"> становника разрађена </w:t>
      </w:r>
      <w:r w:rsidR="005F006D" w:rsidRPr="00E84C93">
        <w:rPr>
          <w:rFonts w:cs="Times New Roman"/>
          <w:lang w:val="sr-Cyrl-CS" w:bidi="en-US"/>
        </w:rPr>
        <w:t xml:space="preserve">је </w:t>
      </w:r>
      <w:r w:rsidRPr="00E84C93">
        <w:rPr>
          <w:rFonts w:cs="Times New Roman"/>
          <w:lang w:val="sr-Cyrl-CS" w:bidi="en-US"/>
        </w:rPr>
        <w:t xml:space="preserve">на основу </w:t>
      </w:r>
      <w:r w:rsidR="005F006D" w:rsidRPr="00E84C93">
        <w:rPr>
          <w:rFonts w:cs="Times New Roman"/>
          <w:lang w:val="sr-Cyrl-CS" w:bidi="en-US"/>
        </w:rPr>
        <w:t xml:space="preserve">података </w:t>
      </w:r>
      <w:r w:rsidRPr="00E84C93">
        <w:rPr>
          <w:rFonts w:cs="Times New Roman"/>
          <w:lang w:val="sr-Cyrl-CS" w:bidi="en-US"/>
        </w:rPr>
        <w:t>Републичк</w:t>
      </w:r>
      <w:r w:rsidR="005F006D" w:rsidRPr="00E84C93">
        <w:rPr>
          <w:rFonts w:cs="Times New Roman"/>
          <w:lang w:val="sr-Cyrl-CS" w:bidi="en-US"/>
        </w:rPr>
        <w:t>ог</w:t>
      </w:r>
      <w:r w:rsidRPr="00E84C93">
        <w:rPr>
          <w:rFonts w:cs="Times New Roman"/>
          <w:lang w:val="sr-Cyrl-CS" w:bidi="en-US"/>
        </w:rPr>
        <w:t xml:space="preserve"> завод</w:t>
      </w:r>
      <w:r w:rsidR="005F006D" w:rsidRPr="00E84C93">
        <w:rPr>
          <w:rFonts w:cs="Times New Roman"/>
          <w:lang w:val="sr-Cyrl-CS" w:bidi="en-US"/>
        </w:rPr>
        <w:t>а</w:t>
      </w:r>
      <w:r w:rsidRPr="00E84C93">
        <w:rPr>
          <w:rFonts w:cs="Times New Roman"/>
          <w:lang w:val="sr-Cyrl-CS" w:bidi="en-US"/>
        </w:rPr>
        <w:t xml:space="preserve"> за статистику. За модел прорачуна </w:t>
      </w:r>
      <w:r w:rsidR="002D244A" w:rsidRPr="00E84C93">
        <w:rPr>
          <w:rFonts w:cs="Times New Roman"/>
          <w:lang w:val="sr-Cyrl-CS" w:bidi="en-US"/>
        </w:rPr>
        <w:t>коришћене</w:t>
      </w:r>
      <w:r w:rsidRPr="00E84C93">
        <w:rPr>
          <w:rFonts w:cs="Times New Roman"/>
          <w:lang w:val="sr-Cyrl-CS" w:bidi="en-US"/>
        </w:rPr>
        <w:t xml:space="preserve"> су умерене стопе раста у зависности од величине и категорије општина које су евентуално кориговане у одређеним случајевима.</w:t>
      </w:r>
      <w:r w:rsidR="002A7F5F" w:rsidRPr="00E84C93">
        <w:rPr>
          <w:rFonts w:cs="Times New Roman"/>
          <w:lang w:val="sr-Cyrl-CS" w:bidi="en-US"/>
        </w:rPr>
        <w:t xml:space="preserve"> </w:t>
      </w:r>
      <w:r w:rsidRPr="00E84C93">
        <w:rPr>
          <w:rFonts w:cs="Times New Roman"/>
          <w:lang w:val="sr-Cyrl-CS" w:bidi="en-US"/>
        </w:rPr>
        <w:t xml:space="preserve">Пројектовани капацитети </w:t>
      </w:r>
      <w:r w:rsidR="0016531B" w:rsidRPr="00E84C93">
        <w:rPr>
          <w:rFonts w:cs="Times New Roman"/>
          <w:lang w:val="sr-Cyrl-CS"/>
        </w:rPr>
        <w:t>постројења за пречишћавање отпадних вода</w:t>
      </w:r>
      <w:r w:rsidR="0016531B" w:rsidRPr="00E84C93">
        <w:rPr>
          <w:rFonts w:cs="Times New Roman"/>
          <w:lang w:val="sr-Cyrl-CS" w:bidi="en-US"/>
        </w:rPr>
        <w:t xml:space="preserve"> </w:t>
      </w:r>
      <w:r w:rsidRPr="00E84C93">
        <w:rPr>
          <w:rFonts w:cs="Times New Roman"/>
          <w:lang w:val="sr-Cyrl-CS" w:bidi="en-US"/>
        </w:rPr>
        <w:t xml:space="preserve">су одређени на основу кретања становништва, процењених стопа прикључења становништва на јавну канализациону мрежу и уобичајено примењиваних процената за </w:t>
      </w:r>
      <w:r w:rsidR="00156AE7" w:rsidRPr="00E84C93">
        <w:rPr>
          <w:rFonts w:cs="Times New Roman"/>
          <w:lang w:val="sr-Cyrl-CS" w:bidi="en-US"/>
        </w:rPr>
        <w:t xml:space="preserve">кориснике </w:t>
      </w:r>
      <w:r w:rsidRPr="00E84C93">
        <w:rPr>
          <w:rFonts w:cs="Times New Roman"/>
          <w:lang w:val="sr-Cyrl-CS" w:bidi="en-US"/>
        </w:rPr>
        <w:t>(</w:t>
      </w:r>
      <w:r w:rsidR="00156AE7" w:rsidRPr="00E84C93">
        <w:rPr>
          <w:rFonts w:cs="Times New Roman"/>
          <w:lang w:val="sr-Cyrl-CS" w:bidi="en-US"/>
        </w:rPr>
        <w:t xml:space="preserve">комерцијални сектор, </w:t>
      </w:r>
      <w:r w:rsidRPr="00E84C93">
        <w:rPr>
          <w:rFonts w:cs="Times New Roman"/>
          <w:lang w:val="sr-Cyrl-CS" w:bidi="en-US"/>
        </w:rPr>
        <w:t>институци</w:t>
      </w:r>
      <w:r w:rsidR="00156AE7" w:rsidRPr="00E84C93">
        <w:rPr>
          <w:rFonts w:cs="Times New Roman"/>
          <w:lang w:val="sr-Cyrl-CS" w:bidi="en-US"/>
        </w:rPr>
        <w:t xml:space="preserve">је и </w:t>
      </w:r>
      <w:r w:rsidRPr="00E84C93">
        <w:rPr>
          <w:rFonts w:cs="Times New Roman"/>
          <w:lang w:val="sr-Cyrl-CS" w:bidi="en-US"/>
        </w:rPr>
        <w:t>индустриј</w:t>
      </w:r>
      <w:r w:rsidR="00156AE7" w:rsidRPr="00E84C93">
        <w:rPr>
          <w:rFonts w:cs="Times New Roman"/>
          <w:lang w:val="sr-Cyrl-CS" w:bidi="en-US"/>
        </w:rPr>
        <w:t>а</w:t>
      </w:r>
      <w:r w:rsidRPr="00E84C93">
        <w:rPr>
          <w:rFonts w:cs="Times New Roman"/>
          <w:lang w:val="sr-Cyrl-CS" w:bidi="en-US"/>
        </w:rPr>
        <w:t xml:space="preserve">) </w:t>
      </w:r>
      <w:r w:rsidR="00156AE7" w:rsidRPr="00E84C93">
        <w:rPr>
          <w:rFonts w:cs="Times New Roman"/>
          <w:lang w:val="sr-Cyrl-CS" w:bidi="en-US"/>
        </w:rPr>
        <w:t xml:space="preserve">који </w:t>
      </w:r>
      <w:r w:rsidRPr="00E84C93">
        <w:rPr>
          <w:rFonts w:cs="Times New Roman"/>
          <w:lang w:val="sr-Cyrl-CS" w:bidi="en-US"/>
        </w:rPr>
        <w:t>индиректн</w:t>
      </w:r>
      <w:r w:rsidR="00156AE7" w:rsidRPr="00E84C93">
        <w:rPr>
          <w:rFonts w:cs="Times New Roman"/>
          <w:lang w:val="sr-Cyrl-CS" w:bidi="en-US"/>
        </w:rPr>
        <w:t>о</w:t>
      </w:r>
      <w:r w:rsidRPr="00E84C93">
        <w:rPr>
          <w:rFonts w:cs="Times New Roman"/>
          <w:lang w:val="sr-Cyrl-CS" w:bidi="en-US"/>
        </w:rPr>
        <w:t xml:space="preserve"> испушта</w:t>
      </w:r>
      <w:r w:rsidR="00156AE7" w:rsidRPr="00E84C93">
        <w:rPr>
          <w:rFonts w:cs="Times New Roman"/>
          <w:lang w:val="sr-Cyrl-CS" w:bidi="en-US"/>
        </w:rPr>
        <w:t>ју своје отпадне воде</w:t>
      </w:r>
      <w:r w:rsidRPr="00E84C93">
        <w:rPr>
          <w:rFonts w:cs="Times New Roman"/>
          <w:lang w:val="sr-Cyrl-CS" w:bidi="en-US"/>
        </w:rPr>
        <w:t>, узимајући у обзир одговарајуће резерве.</w:t>
      </w:r>
      <w:r w:rsidR="002D244A" w:rsidRPr="00E84C93">
        <w:rPr>
          <w:rFonts w:cs="Times New Roman"/>
          <w:lang w:val="sr-Cyrl-CS"/>
        </w:rPr>
        <w:t xml:space="preserve"> Треба напоменути да су у оквиру стопа за индиректне кориснике узете у обзир и промене које су последњих деценија обележиле индустријску производњу. До осамдесетих година прошлог века у индустријској производњи доминирала је тешка индустрија и производња полупроизвода и готових производа (производна индустрија) коју је често пратила прекомерна потрошња технолошке воде и ограничени предтретман изузетно контаминираних индустријских отпадних вода које су се испуштале у јавну канализацију. </w:t>
      </w:r>
    </w:p>
    <w:p w14:paraId="58274D6F" w14:textId="0D42130A" w:rsidR="00F63335" w:rsidRPr="00E84C93" w:rsidRDefault="00F63335" w:rsidP="002D244A">
      <w:pPr>
        <w:spacing w:after="0"/>
        <w:ind w:firstLine="720"/>
        <w:jc w:val="both"/>
        <w:rPr>
          <w:rFonts w:cs="Times New Roman"/>
          <w:lang w:val="sr-Cyrl-CS"/>
        </w:rPr>
      </w:pPr>
    </w:p>
    <w:p w14:paraId="35312E8A" w14:textId="3ED9F147" w:rsidR="00F63335" w:rsidRPr="00E84C93" w:rsidRDefault="00F63335" w:rsidP="00693F42">
      <w:pPr>
        <w:pStyle w:val="Heading4"/>
        <w:spacing w:before="0"/>
        <w:ind w:firstLine="720"/>
        <w:jc w:val="both"/>
        <w:rPr>
          <w:rFonts w:ascii="Times New Roman" w:hAnsi="Times New Roman" w:cs="Times New Roman"/>
          <w:b/>
          <w:bCs/>
          <w:i w:val="0"/>
          <w:iCs w:val="0"/>
          <w:lang w:val="sr-Cyrl-CS"/>
        </w:rPr>
      </w:pPr>
      <w:bookmarkStart w:id="46" w:name="_Toc95129085"/>
      <w:bookmarkStart w:id="47" w:name="_Toc87616629"/>
      <w:r w:rsidRPr="00E84C93">
        <w:rPr>
          <w:rFonts w:ascii="Times New Roman" w:hAnsi="Times New Roman" w:cs="Times New Roman"/>
          <w:b/>
          <w:bCs/>
          <w:i w:val="0"/>
          <w:iCs w:val="0"/>
          <w:lang w:val="sr-Cyrl-CS"/>
        </w:rPr>
        <w:t>П</w:t>
      </w:r>
      <w:r w:rsidR="002D244A" w:rsidRPr="00E84C93">
        <w:rPr>
          <w:rFonts w:ascii="Times New Roman" w:hAnsi="Times New Roman" w:cs="Times New Roman"/>
          <w:b/>
          <w:bCs/>
          <w:i w:val="0"/>
          <w:iCs w:val="0"/>
          <w:lang w:val="sr-Cyrl-CS"/>
        </w:rPr>
        <w:t>роцена п</w:t>
      </w:r>
      <w:r w:rsidRPr="00E84C93">
        <w:rPr>
          <w:rFonts w:ascii="Times New Roman" w:hAnsi="Times New Roman" w:cs="Times New Roman"/>
          <w:b/>
          <w:bCs/>
          <w:i w:val="0"/>
          <w:iCs w:val="0"/>
          <w:lang w:val="sr-Cyrl-CS"/>
        </w:rPr>
        <w:t>роизводњ</w:t>
      </w:r>
      <w:r w:rsidR="002D244A" w:rsidRPr="00E84C93">
        <w:rPr>
          <w:rFonts w:ascii="Times New Roman" w:hAnsi="Times New Roman" w:cs="Times New Roman"/>
          <w:b/>
          <w:bCs/>
          <w:i w:val="0"/>
          <w:iCs w:val="0"/>
          <w:lang w:val="sr-Cyrl-CS"/>
        </w:rPr>
        <w:t>е</w:t>
      </w:r>
      <w:r w:rsidRPr="00E84C93">
        <w:rPr>
          <w:rFonts w:ascii="Times New Roman" w:hAnsi="Times New Roman" w:cs="Times New Roman"/>
          <w:b/>
          <w:bCs/>
          <w:i w:val="0"/>
          <w:iCs w:val="0"/>
          <w:lang w:val="sr-Cyrl-CS"/>
        </w:rPr>
        <w:t xml:space="preserve"> муља по регион</w:t>
      </w:r>
      <w:r w:rsidR="00406414" w:rsidRPr="00E84C93">
        <w:rPr>
          <w:rFonts w:ascii="Times New Roman" w:hAnsi="Times New Roman" w:cs="Times New Roman"/>
          <w:b/>
          <w:bCs/>
          <w:i w:val="0"/>
          <w:iCs w:val="0"/>
          <w:lang w:val="sr-Cyrl-CS"/>
        </w:rPr>
        <w:t>има</w:t>
      </w:r>
      <w:bookmarkEnd w:id="46"/>
      <w:r w:rsidRPr="00E84C93">
        <w:rPr>
          <w:rFonts w:ascii="Times New Roman" w:hAnsi="Times New Roman" w:cs="Times New Roman"/>
          <w:b/>
          <w:bCs/>
          <w:i w:val="0"/>
          <w:iCs w:val="0"/>
          <w:lang w:val="sr-Cyrl-CS"/>
        </w:rPr>
        <w:t xml:space="preserve"> </w:t>
      </w:r>
      <w:bookmarkEnd w:id="47"/>
    </w:p>
    <w:p w14:paraId="3AD34551" w14:textId="09866CE0" w:rsidR="00F63335" w:rsidRPr="00E84C93" w:rsidRDefault="000D53BC" w:rsidP="00693F42">
      <w:pPr>
        <w:spacing w:after="0"/>
        <w:ind w:firstLine="720"/>
        <w:jc w:val="both"/>
        <w:rPr>
          <w:rFonts w:cs="Times New Roman"/>
          <w:lang w:val="sr-Cyrl-CS" w:bidi="en-US"/>
        </w:rPr>
      </w:pPr>
      <w:r w:rsidRPr="00E84C93">
        <w:rPr>
          <w:rFonts w:cs="Times New Roman"/>
          <w:lang w:val="sr-Cyrl-CS" w:bidi="en-US"/>
        </w:rPr>
        <w:t>Процењена укупна годишња производња муља у Републици Србији изражена у тони суве м</w:t>
      </w:r>
      <w:r w:rsidR="00AD4C04" w:rsidRPr="00E84C93">
        <w:rPr>
          <w:rFonts w:cs="Times New Roman"/>
          <w:lang w:val="sr-Cyrl-CS" w:bidi="en-US"/>
        </w:rPr>
        <w:t>атерије годишње приказана је у Т</w:t>
      </w:r>
      <w:r w:rsidRPr="00E84C93">
        <w:rPr>
          <w:rFonts w:cs="Times New Roman"/>
          <w:lang w:val="sr-Cyrl-CS" w:bidi="en-US"/>
        </w:rPr>
        <w:t>абели 3.5. За процену су коришћене вредности специфичног приноса дигестираног муља по еквивалентном становнику за 85. перцентил и 50. перцентил оптерећења на ППОВ</w:t>
      </w:r>
      <w:r w:rsidR="00F63335" w:rsidRPr="00E84C93">
        <w:rPr>
          <w:rFonts w:cs="Times New Roman"/>
          <w:lang w:val="sr-Cyrl-CS" w:bidi="en-US"/>
        </w:rPr>
        <w:t>.</w:t>
      </w:r>
    </w:p>
    <w:p w14:paraId="040B54BA" w14:textId="77777777" w:rsidR="00453FF8" w:rsidRPr="00E84C93" w:rsidRDefault="00453FF8" w:rsidP="00F63335">
      <w:pPr>
        <w:keepNext/>
        <w:tabs>
          <w:tab w:val="left" w:pos="992"/>
          <w:tab w:val="left" w:pos="3119"/>
        </w:tabs>
        <w:spacing w:after="60"/>
        <w:rPr>
          <w:rFonts w:cs="Times New Roman"/>
          <w:iCs/>
          <w:szCs w:val="24"/>
          <w:lang w:val="sr-Cyrl-CS"/>
        </w:rPr>
      </w:pPr>
      <w:bookmarkStart w:id="48" w:name="_Ref90018925"/>
      <w:bookmarkStart w:id="49" w:name="_Toc95128181"/>
    </w:p>
    <w:p w14:paraId="5616FE74" w14:textId="5B7077F1" w:rsidR="00F63335" w:rsidRPr="00E84C93" w:rsidRDefault="00F63335" w:rsidP="00F63335">
      <w:pPr>
        <w:keepNext/>
        <w:tabs>
          <w:tab w:val="left" w:pos="992"/>
          <w:tab w:val="left" w:pos="3119"/>
        </w:tabs>
        <w:spacing w:after="60"/>
        <w:rPr>
          <w:rFonts w:cs="Times New Roman"/>
          <w:iCs/>
          <w:szCs w:val="24"/>
          <w:lang w:val="sr-Cyrl-CS"/>
        </w:rPr>
      </w:pPr>
      <w:r w:rsidRPr="00E84C93">
        <w:rPr>
          <w:rFonts w:cs="Times New Roman"/>
          <w:b/>
          <w:bCs/>
          <w:iCs/>
          <w:szCs w:val="24"/>
          <w:lang w:val="sr-Cyrl-CS"/>
        </w:rPr>
        <w:t xml:space="preserve">Табела </w:t>
      </w:r>
      <w:bookmarkEnd w:id="48"/>
      <w:r w:rsidR="00453FF8" w:rsidRPr="00E84C93">
        <w:rPr>
          <w:rFonts w:cs="Times New Roman"/>
          <w:b/>
          <w:bCs/>
          <w:iCs/>
          <w:szCs w:val="24"/>
          <w:lang w:val="sr-Cyrl-CS"/>
        </w:rPr>
        <w:t>3.</w:t>
      </w:r>
      <w:r w:rsidR="003E691A" w:rsidRPr="00E84C93">
        <w:rPr>
          <w:rFonts w:cs="Times New Roman"/>
          <w:b/>
          <w:bCs/>
          <w:iCs/>
          <w:szCs w:val="24"/>
          <w:lang w:val="sr-Cyrl-CS"/>
        </w:rPr>
        <w:t>5</w:t>
      </w:r>
      <w:r w:rsidR="00453FF8" w:rsidRPr="00E84C93">
        <w:rPr>
          <w:rFonts w:cs="Times New Roman"/>
          <w:b/>
          <w:bCs/>
          <w:iCs/>
          <w:szCs w:val="24"/>
          <w:lang w:val="sr-Cyrl-CS"/>
        </w:rPr>
        <w:t>.</w:t>
      </w:r>
      <w:r w:rsidRPr="00E84C93">
        <w:rPr>
          <w:rFonts w:cs="Times New Roman"/>
          <w:iCs/>
          <w:szCs w:val="24"/>
          <w:lang w:val="sr-Cyrl-CS"/>
        </w:rPr>
        <w:t xml:space="preserve"> Укупна годишња производња муља по региону у 2041. </w:t>
      </w:r>
      <w:r w:rsidR="001530A4" w:rsidRPr="00E84C93">
        <w:rPr>
          <w:rFonts w:cs="Times New Roman"/>
          <w:iCs/>
          <w:szCs w:val="24"/>
          <w:lang w:val="sr-Cyrl-CS"/>
        </w:rPr>
        <w:t>г</w:t>
      </w:r>
      <w:r w:rsidRPr="00E84C93">
        <w:rPr>
          <w:rFonts w:cs="Times New Roman"/>
          <w:iCs/>
          <w:szCs w:val="24"/>
          <w:lang w:val="sr-Cyrl-CS"/>
        </w:rPr>
        <w:t>одини</w:t>
      </w:r>
      <w:bookmarkEnd w:id="49"/>
    </w:p>
    <w:tbl>
      <w:tblPr>
        <w:tblW w:w="9501" w:type="dxa"/>
        <w:tblLayout w:type="fixed"/>
        <w:tblCellMar>
          <w:left w:w="0" w:type="dxa"/>
          <w:right w:w="0" w:type="dxa"/>
        </w:tblCellMar>
        <w:tblLook w:val="04A0" w:firstRow="1" w:lastRow="0" w:firstColumn="1" w:lastColumn="0" w:noHBand="0" w:noVBand="1"/>
      </w:tblPr>
      <w:tblGrid>
        <w:gridCol w:w="4222"/>
        <w:gridCol w:w="1441"/>
        <w:gridCol w:w="1919"/>
        <w:gridCol w:w="1919"/>
      </w:tblGrid>
      <w:tr w:rsidR="003A5341" w:rsidRPr="00E84C93" w14:paraId="491CF4B3" w14:textId="77777777" w:rsidTr="00702870">
        <w:trPr>
          <w:trHeight w:hRule="exact" w:val="942"/>
          <w:tblHeader/>
        </w:trPr>
        <w:tc>
          <w:tcPr>
            <w:tcW w:w="4222"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vAlign w:val="center"/>
          </w:tcPr>
          <w:p w14:paraId="0829AD57" w14:textId="1BE59A10" w:rsidR="003A5341" w:rsidRPr="00E84C93" w:rsidRDefault="003A5341" w:rsidP="006E7EA4">
            <w:pPr>
              <w:widowControl w:val="0"/>
              <w:tabs>
                <w:tab w:val="left" w:pos="3019"/>
              </w:tabs>
              <w:spacing w:before="33" w:line="265" w:lineRule="auto"/>
              <w:ind w:left="3797" w:right="262" w:hanging="3751"/>
              <w:rPr>
                <w:rFonts w:cs="Times New Roman"/>
                <w:b/>
                <w:w w:val="101"/>
                <w:szCs w:val="24"/>
                <w:lang w:val="sr-Cyrl-CS"/>
              </w:rPr>
            </w:pPr>
            <w:r w:rsidRPr="00E84C93">
              <w:rPr>
                <w:rFonts w:eastAsia="Calibri" w:cs="Times New Roman"/>
                <w:b/>
                <w:w w:val="101"/>
                <w:szCs w:val="24"/>
                <w:lang w:val="sr-Cyrl-CS"/>
              </w:rPr>
              <w:t>Регион</w:t>
            </w:r>
            <w:r w:rsidR="00752626" w:rsidRPr="00E84C93">
              <w:rPr>
                <w:rFonts w:eastAsia="Calibri" w:cs="Times New Roman"/>
                <w:b/>
                <w:szCs w:val="24"/>
                <w:lang w:val="sr-Cyrl-CS"/>
              </w:rPr>
              <w:t xml:space="preserve"> </w:t>
            </w:r>
          </w:p>
        </w:tc>
        <w:tc>
          <w:tcPr>
            <w:tcW w:w="1441"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vAlign w:val="center"/>
          </w:tcPr>
          <w:p w14:paraId="7A41ED40" w14:textId="561B290A" w:rsidR="003A5341" w:rsidRPr="00E84C93" w:rsidRDefault="003A5341" w:rsidP="00702870">
            <w:pPr>
              <w:widowControl w:val="0"/>
              <w:spacing w:after="0"/>
              <w:ind w:left="130" w:right="43"/>
              <w:jc w:val="center"/>
              <w:rPr>
                <w:rFonts w:eastAsia="Calibri" w:cs="Times New Roman"/>
                <w:b/>
                <w:w w:val="101"/>
                <w:szCs w:val="24"/>
                <w:lang w:val="sr-Cyrl-CS"/>
              </w:rPr>
            </w:pPr>
            <w:r w:rsidRPr="00E84C93">
              <w:rPr>
                <w:rFonts w:eastAsia="Calibri" w:cs="Times New Roman"/>
                <w:b/>
                <w:szCs w:val="24"/>
                <w:lang w:val="sr-Cyrl-CS"/>
              </w:rPr>
              <w:t>К</w:t>
            </w:r>
            <w:r w:rsidRPr="00E84C93">
              <w:rPr>
                <w:rFonts w:eastAsia="Calibri" w:cs="Times New Roman"/>
                <w:b/>
                <w:w w:val="101"/>
                <w:szCs w:val="24"/>
                <w:lang w:val="sr-Cyrl-CS"/>
              </w:rPr>
              <w:t>апацитет</w:t>
            </w:r>
            <w:r w:rsidRPr="00E84C93">
              <w:rPr>
                <w:rFonts w:eastAsia="Calibri" w:cs="Times New Roman"/>
                <w:b/>
                <w:szCs w:val="24"/>
                <w:lang w:val="sr-Cyrl-CS"/>
              </w:rPr>
              <w:t xml:space="preserve"> </w:t>
            </w:r>
            <w:r w:rsidRPr="00E84C93">
              <w:rPr>
                <w:rFonts w:eastAsia="Calibri" w:cs="Times New Roman"/>
                <w:b/>
                <w:w w:val="101"/>
                <w:szCs w:val="24"/>
                <w:lang w:val="sr-Cyrl-CS"/>
              </w:rPr>
              <w:t>ППОВ</w:t>
            </w:r>
            <w:r w:rsidRPr="00E84C93">
              <w:rPr>
                <w:rFonts w:eastAsia="Calibri" w:cs="Times New Roman"/>
                <w:b/>
                <w:szCs w:val="24"/>
                <w:lang w:val="sr-Cyrl-CS"/>
              </w:rPr>
              <w:t xml:space="preserve"> </w:t>
            </w:r>
            <w:r w:rsidRPr="00E84C93">
              <w:rPr>
                <w:rFonts w:eastAsia="Calibri" w:cs="Times New Roman"/>
                <w:b/>
                <w:w w:val="101"/>
                <w:szCs w:val="24"/>
                <w:lang w:val="sr-Cyrl-CS"/>
              </w:rPr>
              <w:t>2041.</w:t>
            </w:r>
            <w:r w:rsidR="00C92E27" w:rsidRPr="00E84C93">
              <w:rPr>
                <w:rFonts w:eastAsia="Calibri" w:cs="Times New Roman"/>
                <w:b/>
                <w:w w:val="101"/>
                <w:szCs w:val="24"/>
                <w:lang w:val="sr-Cyrl-CS"/>
              </w:rPr>
              <w:t xml:space="preserve"> (ЕС)</w:t>
            </w:r>
          </w:p>
        </w:tc>
        <w:tc>
          <w:tcPr>
            <w:tcW w:w="1919"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vAlign w:val="center"/>
          </w:tcPr>
          <w:p w14:paraId="28F80260" w14:textId="46951362" w:rsidR="005F6F86" w:rsidRPr="00E84C93" w:rsidRDefault="003A5341" w:rsidP="00702870">
            <w:pPr>
              <w:widowControl w:val="0"/>
              <w:spacing w:after="0"/>
              <w:ind w:left="130" w:right="43"/>
              <w:jc w:val="center"/>
              <w:rPr>
                <w:rFonts w:eastAsia="Calibri" w:cs="Times New Roman"/>
                <w:b/>
                <w:szCs w:val="24"/>
                <w:lang w:val="sr-Cyrl-CS"/>
              </w:rPr>
            </w:pPr>
            <w:r w:rsidRPr="00E84C93">
              <w:rPr>
                <w:rFonts w:eastAsia="Calibri" w:cs="Times New Roman"/>
                <w:b/>
                <w:w w:val="101"/>
                <w:szCs w:val="24"/>
                <w:lang w:val="sr-Cyrl-CS"/>
              </w:rPr>
              <w:t>85</w:t>
            </w:r>
            <w:r w:rsidR="000E1218" w:rsidRPr="00E84C93">
              <w:rPr>
                <w:rFonts w:eastAsia="Calibri" w:cs="Times New Roman"/>
                <w:b/>
                <w:w w:val="101"/>
                <w:szCs w:val="24"/>
                <w:lang w:val="sr-Cyrl-CS"/>
              </w:rPr>
              <w:t>. перцентил</w:t>
            </w:r>
            <w:r w:rsidR="00285BCC" w:rsidRPr="00E84C93">
              <w:rPr>
                <w:rFonts w:eastAsia="Calibri" w:cs="Times New Roman"/>
                <w:b/>
                <w:szCs w:val="24"/>
                <w:lang w:val="sr-Cyrl-CS"/>
              </w:rPr>
              <w:t xml:space="preserve"> </w:t>
            </w:r>
          </w:p>
          <w:p w14:paraId="41EB8825" w14:textId="315BC742" w:rsidR="003A5341" w:rsidRPr="00E84C93" w:rsidRDefault="00702870" w:rsidP="00702870">
            <w:pPr>
              <w:widowControl w:val="0"/>
              <w:spacing w:after="0"/>
              <w:ind w:left="130" w:right="43"/>
              <w:jc w:val="center"/>
              <w:rPr>
                <w:rFonts w:cs="Times New Roman"/>
                <w:b/>
                <w:w w:val="102"/>
                <w:szCs w:val="24"/>
                <w:lang w:val="sr-Cyrl-CS"/>
              </w:rPr>
            </w:pPr>
            <w:r w:rsidRPr="00E84C93">
              <w:rPr>
                <w:rFonts w:eastAsia="Calibri" w:cs="Times New Roman"/>
                <w:b/>
                <w:w w:val="102"/>
                <w:szCs w:val="24"/>
                <w:lang w:val="sr-Cyrl-CS"/>
              </w:rPr>
              <w:t>(</w:t>
            </w:r>
            <w:r w:rsidR="008C7EDF" w:rsidRPr="00E84C93">
              <w:rPr>
                <w:rFonts w:eastAsia="Calibri" w:cs="Times New Roman"/>
                <w:b/>
                <w:w w:val="101"/>
                <w:szCs w:val="24"/>
                <w:lang w:val="sr-Cyrl-CS"/>
              </w:rPr>
              <w:t>t СМ</w:t>
            </w:r>
            <w:r w:rsidR="00C8611D" w:rsidRPr="00E84C93">
              <w:rPr>
                <w:rFonts w:eastAsia="Calibri" w:cs="Times New Roman"/>
                <w:b/>
                <w:w w:val="101"/>
                <w:szCs w:val="24"/>
                <w:lang w:val="sr-Cyrl-CS"/>
              </w:rPr>
              <w:t>/</w:t>
            </w:r>
            <w:r w:rsidRPr="00E84C93">
              <w:rPr>
                <w:rFonts w:eastAsia="Calibri" w:cs="Times New Roman"/>
                <w:b/>
                <w:w w:val="101"/>
                <w:szCs w:val="24"/>
                <w:lang w:val="sr-Cyrl-CS"/>
              </w:rPr>
              <w:t>год</w:t>
            </w:r>
            <w:r w:rsidRPr="00E84C93">
              <w:rPr>
                <w:rFonts w:eastAsia="Calibri" w:cs="Times New Roman"/>
                <w:b/>
                <w:w w:val="102"/>
                <w:szCs w:val="24"/>
                <w:lang w:val="sr-Cyrl-CS"/>
              </w:rPr>
              <w:t>.)</w:t>
            </w:r>
          </w:p>
        </w:tc>
        <w:tc>
          <w:tcPr>
            <w:tcW w:w="1919"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vAlign w:val="center"/>
          </w:tcPr>
          <w:p w14:paraId="68863A48" w14:textId="0694CB58" w:rsidR="00702870" w:rsidRPr="00E84C93" w:rsidRDefault="003A5341" w:rsidP="00702870">
            <w:pPr>
              <w:widowControl w:val="0"/>
              <w:spacing w:after="0"/>
              <w:ind w:left="130" w:right="43"/>
              <w:jc w:val="center"/>
              <w:rPr>
                <w:rFonts w:eastAsia="Calibri" w:cs="Times New Roman"/>
                <w:b/>
                <w:szCs w:val="24"/>
                <w:lang w:val="sr-Cyrl-CS"/>
              </w:rPr>
            </w:pPr>
            <w:r w:rsidRPr="00E84C93">
              <w:rPr>
                <w:rFonts w:eastAsia="Calibri" w:cs="Times New Roman"/>
                <w:b/>
                <w:w w:val="101"/>
                <w:szCs w:val="24"/>
                <w:lang w:val="sr-Cyrl-CS"/>
              </w:rPr>
              <w:t>50</w:t>
            </w:r>
            <w:r w:rsidR="000E1218" w:rsidRPr="00E84C93">
              <w:rPr>
                <w:rFonts w:eastAsia="Calibri" w:cs="Times New Roman"/>
                <w:b/>
                <w:szCs w:val="24"/>
                <w:lang w:val="sr-Cyrl-CS"/>
              </w:rPr>
              <w:t>. перцентил</w:t>
            </w:r>
          </w:p>
          <w:p w14:paraId="03D2CD5C" w14:textId="152083B3" w:rsidR="003A5341" w:rsidRPr="00E84C93" w:rsidRDefault="00702870" w:rsidP="00702870">
            <w:pPr>
              <w:widowControl w:val="0"/>
              <w:spacing w:after="0"/>
              <w:ind w:left="130" w:right="43"/>
              <w:jc w:val="center"/>
              <w:rPr>
                <w:rFonts w:cs="Times New Roman"/>
                <w:b/>
                <w:w w:val="102"/>
                <w:szCs w:val="24"/>
                <w:lang w:val="sr-Cyrl-CS"/>
              </w:rPr>
            </w:pPr>
            <w:r w:rsidRPr="00E84C93">
              <w:rPr>
                <w:rFonts w:eastAsia="Calibri" w:cs="Times New Roman"/>
                <w:b/>
                <w:w w:val="101"/>
                <w:szCs w:val="24"/>
                <w:lang w:val="sr-Cyrl-CS"/>
              </w:rPr>
              <w:t>(</w:t>
            </w:r>
            <w:r w:rsidR="008C7EDF" w:rsidRPr="00E84C93">
              <w:rPr>
                <w:rFonts w:eastAsia="Calibri" w:cs="Times New Roman"/>
                <w:b/>
                <w:szCs w:val="24"/>
                <w:lang w:val="sr-Cyrl-CS"/>
              </w:rPr>
              <w:t>t СМ</w:t>
            </w:r>
            <w:r w:rsidR="005B0835" w:rsidRPr="00E84C93">
              <w:rPr>
                <w:rFonts w:eastAsia="Calibri" w:cs="Times New Roman"/>
                <w:b/>
                <w:w w:val="101"/>
                <w:szCs w:val="24"/>
                <w:lang w:val="sr-Cyrl-CS"/>
              </w:rPr>
              <w:t>/</w:t>
            </w:r>
            <w:r w:rsidRPr="00E84C93">
              <w:rPr>
                <w:rFonts w:eastAsia="Calibri" w:cs="Times New Roman"/>
                <w:b/>
                <w:w w:val="101"/>
                <w:szCs w:val="24"/>
                <w:lang w:val="sr-Cyrl-CS"/>
              </w:rPr>
              <w:t>год.</w:t>
            </w:r>
            <w:r w:rsidRPr="00E84C93">
              <w:rPr>
                <w:rFonts w:eastAsia="Calibri" w:cs="Times New Roman"/>
                <w:b/>
                <w:w w:val="102"/>
                <w:szCs w:val="24"/>
                <w:lang w:val="sr-Cyrl-CS"/>
              </w:rPr>
              <w:t>)</w:t>
            </w:r>
          </w:p>
        </w:tc>
      </w:tr>
      <w:tr w:rsidR="003A5341" w:rsidRPr="00E84C93" w14:paraId="31F03970" w14:textId="77777777" w:rsidTr="00453FF8">
        <w:trPr>
          <w:cantSplit/>
          <w:trHeight w:hRule="exact" w:val="383"/>
        </w:trPr>
        <w:tc>
          <w:tcPr>
            <w:tcW w:w="4222" w:type="dxa"/>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6E44C4B" w14:textId="4A9EF4C1" w:rsidR="003A5341" w:rsidRPr="00E84C93" w:rsidRDefault="003A5341" w:rsidP="006E7EA4">
            <w:pPr>
              <w:widowControl w:val="0"/>
              <w:tabs>
                <w:tab w:val="left" w:pos="3095"/>
                <w:tab w:val="left" w:pos="3736"/>
              </w:tabs>
              <w:ind w:left="45" w:right="-20"/>
              <w:rPr>
                <w:rFonts w:cs="Times New Roman"/>
                <w:w w:val="101"/>
                <w:szCs w:val="24"/>
                <w:lang w:val="sr-Cyrl-CS"/>
              </w:rPr>
            </w:pPr>
            <w:r w:rsidRPr="00E84C93">
              <w:rPr>
                <w:rFonts w:cs="Times New Roman"/>
                <w:szCs w:val="24"/>
                <w:lang w:val="sr-Cyrl-CS"/>
              </w:rPr>
              <w:t>Градске општине града Београда</w:t>
            </w:r>
            <w:r w:rsidRPr="00E84C93">
              <w:rPr>
                <w:rFonts w:eastAsia="Calibri" w:cs="Times New Roman"/>
                <w:bCs/>
                <w:szCs w:val="24"/>
                <w:lang w:val="sr-Cyrl-CS"/>
              </w:rPr>
              <w:tab/>
            </w:r>
            <w:r w:rsidRPr="00E84C93">
              <w:rPr>
                <w:rFonts w:eastAsia="Calibri" w:cs="Times New Roman"/>
                <w:bCs/>
                <w:szCs w:val="24"/>
                <w:lang w:val="sr-Cyrl-CS"/>
              </w:rPr>
              <w:tab/>
            </w:r>
          </w:p>
        </w:tc>
        <w:tc>
          <w:tcPr>
            <w:tcW w:w="1441" w:type="dxa"/>
            <w:tcBorders>
              <w:top w:val="double" w:sz="2" w:space="0" w:color="000000"/>
              <w:left w:val="single" w:sz="6" w:space="0" w:color="000000"/>
              <w:bottom w:val="single" w:sz="6" w:space="0" w:color="000000"/>
              <w:right w:val="single" w:sz="6" w:space="0" w:color="000000"/>
            </w:tcBorders>
            <w:shd w:val="clear" w:color="auto" w:fill="auto"/>
          </w:tcPr>
          <w:p w14:paraId="483CF21D" w14:textId="2E6025D8" w:rsidR="003A5341" w:rsidRPr="00E84C93" w:rsidRDefault="003A5341" w:rsidP="00C92E27">
            <w:pPr>
              <w:widowControl w:val="0"/>
              <w:tabs>
                <w:tab w:val="left" w:pos="1428"/>
              </w:tabs>
              <w:spacing w:before="64"/>
              <w:ind w:left="84" w:right="-20"/>
              <w:jc w:val="center"/>
              <w:rPr>
                <w:rFonts w:eastAsia="Calibri" w:cs="Times New Roman"/>
                <w:bCs/>
                <w:w w:val="101"/>
                <w:szCs w:val="24"/>
                <w:lang w:val="sr-Cyrl-CS"/>
              </w:rPr>
            </w:pPr>
            <w:r w:rsidRPr="00E84C93">
              <w:rPr>
                <w:rFonts w:eastAsia="Calibri" w:cs="Times New Roman"/>
                <w:bCs/>
                <w:w w:val="101"/>
                <w:szCs w:val="24"/>
                <w:lang w:val="sr-Cyrl-CS"/>
              </w:rPr>
              <w:t>2.170.000</w:t>
            </w:r>
          </w:p>
        </w:tc>
        <w:tc>
          <w:tcPr>
            <w:tcW w:w="1919" w:type="dxa"/>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F4FCE36" w14:textId="4918BFA1" w:rsidR="003A5341" w:rsidRPr="00E84C93" w:rsidRDefault="003A5341" w:rsidP="00C92E27">
            <w:pPr>
              <w:widowControl w:val="0"/>
              <w:tabs>
                <w:tab w:val="left" w:pos="984"/>
              </w:tabs>
              <w:spacing w:before="64"/>
              <w:ind w:left="174" w:right="114"/>
              <w:jc w:val="center"/>
              <w:rPr>
                <w:rFonts w:eastAsia="Calibri" w:cs="Times New Roman"/>
                <w:bCs/>
                <w:w w:val="101"/>
                <w:szCs w:val="24"/>
                <w:lang w:val="sr-Cyrl-CS"/>
              </w:rPr>
            </w:pPr>
            <w:r w:rsidRPr="00E84C93">
              <w:rPr>
                <w:rFonts w:eastAsia="Calibri" w:cs="Times New Roman"/>
                <w:bCs/>
                <w:w w:val="101"/>
                <w:szCs w:val="24"/>
                <w:lang w:val="sr-Cyrl-CS"/>
              </w:rPr>
              <w:t>37.730</w:t>
            </w:r>
          </w:p>
          <w:p w14:paraId="23A6B5ED" w14:textId="77777777" w:rsidR="003A5341" w:rsidRPr="00E84C93" w:rsidRDefault="003A5341" w:rsidP="00C92E27">
            <w:pPr>
              <w:widowControl w:val="0"/>
              <w:tabs>
                <w:tab w:val="left" w:pos="984"/>
              </w:tabs>
              <w:ind w:left="174" w:right="114"/>
              <w:jc w:val="center"/>
              <w:rPr>
                <w:rFonts w:cs="Times New Roman"/>
                <w:w w:val="101"/>
                <w:szCs w:val="24"/>
                <w:lang w:val="sr-Cyrl-CS"/>
              </w:rPr>
            </w:pPr>
            <w:r w:rsidRPr="00E84C93">
              <w:rPr>
                <w:rFonts w:eastAsia="Calibri" w:cs="Times New Roman"/>
                <w:bCs/>
                <w:w w:val="101"/>
                <w:szCs w:val="24"/>
                <w:lang w:val="sr-Cyrl-CS"/>
              </w:rPr>
              <w:t>28%</w:t>
            </w:r>
            <w:r w:rsidRPr="00E84C93">
              <w:rPr>
                <w:rFonts w:eastAsia="Calibri" w:cs="Times New Roman"/>
                <w:bCs/>
                <w:szCs w:val="24"/>
                <w:lang w:val="sr-Cyrl-CS"/>
              </w:rPr>
              <w:tab/>
            </w:r>
            <w:r w:rsidRPr="00E84C93">
              <w:rPr>
                <w:rFonts w:eastAsia="Calibri" w:cs="Times New Roman"/>
                <w:bCs/>
                <w:w w:val="101"/>
                <w:szCs w:val="24"/>
                <w:lang w:val="sr-Cyrl-CS"/>
              </w:rPr>
              <w:t>37.300</w:t>
            </w:r>
          </w:p>
        </w:tc>
        <w:tc>
          <w:tcPr>
            <w:tcW w:w="1919" w:type="dxa"/>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D9E0370" w14:textId="7A5D2E4A" w:rsidR="003A5341" w:rsidRPr="00E84C93" w:rsidRDefault="003A5341" w:rsidP="00C92E27">
            <w:pPr>
              <w:widowControl w:val="0"/>
              <w:tabs>
                <w:tab w:val="left" w:pos="984"/>
              </w:tabs>
              <w:spacing w:before="64"/>
              <w:ind w:left="174" w:right="144"/>
              <w:jc w:val="center"/>
              <w:rPr>
                <w:rFonts w:eastAsia="Calibri" w:cs="Times New Roman"/>
                <w:bCs/>
                <w:w w:val="101"/>
                <w:szCs w:val="24"/>
                <w:lang w:val="sr-Cyrl-CS"/>
              </w:rPr>
            </w:pPr>
            <w:r w:rsidRPr="00E84C93">
              <w:rPr>
                <w:rFonts w:eastAsia="Calibri" w:cs="Times New Roman"/>
                <w:bCs/>
                <w:w w:val="101"/>
                <w:szCs w:val="24"/>
                <w:lang w:val="sr-Cyrl-CS"/>
              </w:rPr>
              <w:t>32.550</w:t>
            </w:r>
          </w:p>
          <w:p w14:paraId="41F6BE52" w14:textId="77777777" w:rsidR="003A5341" w:rsidRPr="00E84C93" w:rsidRDefault="003A5341" w:rsidP="00C92E27">
            <w:pPr>
              <w:widowControl w:val="0"/>
              <w:tabs>
                <w:tab w:val="left" w:pos="984"/>
              </w:tabs>
              <w:ind w:left="174" w:right="144"/>
              <w:jc w:val="center"/>
              <w:rPr>
                <w:rFonts w:cs="Times New Roman"/>
                <w:w w:val="101"/>
                <w:szCs w:val="24"/>
                <w:lang w:val="sr-Cyrl-CS"/>
              </w:rPr>
            </w:pPr>
            <w:r w:rsidRPr="00E84C93">
              <w:rPr>
                <w:rFonts w:eastAsia="Calibri" w:cs="Times New Roman"/>
                <w:bCs/>
                <w:w w:val="101"/>
                <w:szCs w:val="24"/>
                <w:lang w:val="sr-Cyrl-CS"/>
              </w:rPr>
              <w:t>28%</w:t>
            </w:r>
            <w:r w:rsidRPr="00E84C93">
              <w:rPr>
                <w:rFonts w:eastAsia="Calibri" w:cs="Times New Roman"/>
                <w:bCs/>
                <w:szCs w:val="24"/>
                <w:lang w:val="sr-Cyrl-CS"/>
              </w:rPr>
              <w:tab/>
            </w:r>
            <w:r w:rsidRPr="00E84C93">
              <w:rPr>
                <w:rFonts w:eastAsia="Calibri" w:cs="Times New Roman"/>
                <w:bCs/>
                <w:w w:val="101"/>
                <w:szCs w:val="24"/>
                <w:lang w:val="sr-Cyrl-CS"/>
              </w:rPr>
              <w:t>32.550</w:t>
            </w:r>
          </w:p>
        </w:tc>
      </w:tr>
      <w:tr w:rsidR="003A5341" w:rsidRPr="00E84C93" w14:paraId="19579513" w14:textId="77777777" w:rsidTr="00453FF8">
        <w:trPr>
          <w:cantSplit/>
          <w:trHeight w:hRule="exact" w:val="383"/>
        </w:trPr>
        <w:tc>
          <w:tcPr>
            <w:tcW w:w="422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7D85BDF" w14:textId="685F9503" w:rsidR="003A5341" w:rsidRPr="00E84C93" w:rsidRDefault="003A5341" w:rsidP="006E7EA4">
            <w:pPr>
              <w:widowControl w:val="0"/>
              <w:tabs>
                <w:tab w:val="left" w:pos="3095"/>
                <w:tab w:val="left" w:pos="3736"/>
              </w:tabs>
              <w:spacing w:before="64"/>
              <w:ind w:left="45" w:right="-20"/>
              <w:rPr>
                <w:rFonts w:cs="Times New Roman"/>
                <w:w w:val="101"/>
                <w:szCs w:val="24"/>
                <w:lang w:val="sr-Cyrl-CS"/>
              </w:rPr>
            </w:pPr>
            <w:r w:rsidRPr="00E84C93">
              <w:rPr>
                <w:rFonts w:eastAsia="Calibri" w:cs="Times New Roman"/>
                <w:bCs/>
                <w:w w:val="101"/>
                <w:szCs w:val="24"/>
                <w:lang w:val="sr-Cyrl-CS"/>
              </w:rPr>
              <w:t xml:space="preserve">Шумадија и </w:t>
            </w:r>
            <w:r w:rsidR="00702870" w:rsidRPr="00E84C93">
              <w:rPr>
                <w:rFonts w:eastAsia="Calibri" w:cs="Times New Roman"/>
                <w:bCs/>
                <w:w w:val="101"/>
                <w:szCs w:val="24"/>
                <w:lang w:val="sr-Cyrl-CS"/>
              </w:rPr>
              <w:t>З</w:t>
            </w:r>
            <w:r w:rsidRPr="00E84C93">
              <w:rPr>
                <w:rFonts w:eastAsia="Calibri" w:cs="Times New Roman"/>
                <w:bCs/>
                <w:w w:val="101"/>
                <w:szCs w:val="24"/>
                <w:lang w:val="sr-Cyrl-CS"/>
              </w:rPr>
              <w:t>ападна Србија</w:t>
            </w:r>
            <w:r w:rsidRPr="00E84C93">
              <w:rPr>
                <w:rFonts w:eastAsia="Calibri" w:cs="Times New Roman"/>
                <w:bCs/>
                <w:szCs w:val="24"/>
                <w:lang w:val="sr-Cyrl-CS"/>
              </w:rPr>
              <w:tab/>
            </w:r>
            <w:r w:rsidR="00285BCC" w:rsidRPr="00E84C93">
              <w:rPr>
                <w:rFonts w:eastAsia="Calibri" w:cs="Times New Roman"/>
                <w:bCs/>
                <w:szCs w:val="24"/>
                <w:lang w:val="sr-Cyrl-CS"/>
              </w:rPr>
              <w:t xml:space="preserve"> </w:t>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42364174" w14:textId="6F55A0CE" w:rsidR="003A5341" w:rsidRPr="00E84C93" w:rsidRDefault="003A5341" w:rsidP="00C92E27">
            <w:pPr>
              <w:widowControl w:val="0"/>
              <w:tabs>
                <w:tab w:val="left" w:pos="1428"/>
              </w:tabs>
              <w:spacing w:before="64"/>
              <w:ind w:left="84" w:right="-20"/>
              <w:jc w:val="center"/>
              <w:rPr>
                <w:rFonts w:eastAsia="Calibri" w:cs="Times New Roman"/>
                <w:bCs/>
                <w:w w:val="101"/>
                <w:szCs w:val="24"/>
                <w:lang w:val="sr-Cyrl-CS"/>
              </w:rPr>
            </w:pPr>
            <w:r w:rsidRPr="00E84C93">
              <w:rPr>
                <w:rFonts w:eastAsia="Calibri" w:cs="Times New Roman"/>
                <w:bCs/>
                <w:w w:val="101"/>
                <w:szCs w:val="24"/>
                <w:lang w:val="sr-Cyrl-CS"/>
              </w:rPr>
              <w:t>1.884.300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2496036" w14:textId="4F8FD7C6" w:rsidR="003A5341" w:rsidRPr="00E84C93" w:rsidRDefault="003A5341" w:rsidP="00C92E27">
            <w:pPr>
              <w:widowControl w:val="0"/>
              <w:tabs>
                <w:tab w:val="left" w:pos="984"/>
              </w:tabs>
              <w:spacing w:before="64"/>
              <w:ind w:left="174" w:right="114"/>
              <w:jc w:val="center"/>
              <w:rPr>
                <w:rFonts w:cs="Times New Roman"/>
                <w:w w:val="101"/>
                <w:szCs w:val="24"/>
                <w:lang w:val="sr-Cyrl-CS"/>
              </w:rPr>
            </w:pPr>
            <w:r w:rsidRPr="00E84C93">
              <w:rPr>
                <w:rFonts w:eastAsia="Calibri" w:cs="Times New Roman"/>
                <w:bCs/>
                <w:w w:val="101"/>
                <w:szCs w:val="24"/>
                <w:lang w:val="sr-Cyrl-CS"/>
              </w:rPr>
              <w:t>35.630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3FCEE88" w14:textId="775A66A0" w:rsidR="003A5341" w:rsidRPr="00E84C93" w:rsidRDefault="003A5341" w:rsidP="00C92E27">
            <w:pPr>
              <w:widowControl w:val="0"/>
              <w:tabs>
                <w:tab w:val="left" w:pos="984"/>
              </w:tabs>
              <w:spacing w:before="64"/>
              <w:ind w:left="174" w:right="144"/>
              <w:jc w:val="center"/>
              <w:rPr>
                <w:rFonts w:cs="Times New Roman"/>
                <w:w w:val="101"/>
                <w:szCs w:val="24"/>
                <w:lang w:val="sr-Cyrl-CS"/>
              </w:rPr>
            </w:pPr>
            <w:r w:rsidRPr="00E84C93">
              <w:rPr>
                <w:rFonts w:eastAsia="Calibri" w:cs="Times New Roman"/>
                <w:bCs/>
                <w:w w:val="101"/>
                <w:szCs w:val="24"/>
                <w:lang w:val="sr-Cyrl-CS"/>
              </w:rPr>
              <w:t>30.330</w:t>
            </w:r>
          </w:p>
        </w:tc>
      </w:tr>
      <w:tr w:rsidR="003A5341" w:rsidRPr="00E84C93" w14:paraId="0C600964" w14:textId="77777777" w:rsidTr="00453FF8">
        <w:trPr>
          <w:cantSplit/>
          <w:trHeight w:hRule="exact" w:val="383"/>
        </w:trPr>
        <w:tc>
          <w:tcPr>
            <w:tcW w:w="422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FFEC02F" w14:textId="1C8A1963" w:rsidR="003A5341" w:rsidRPr="00E84C93" w:rsidRDefault="003A5341" w:rsidP="006E7EA4">
            <w:pPr>
              <w:widowControl w:val="0"/>
              <w:tabs>
                <w:tab w:val="left" w:pos="3095"/>
                <w:tab w:val="left" w:pos="3736"/>
              </w:tabs>
              <w:spacing w:before="64"/>
              <w:ind w:left="45" w:right="-20"/>
              <w:rPr>
                <w:rFonts w:cs="Times New Roman"/>
                <w:w w:val="101"/>
                <w:szCs w:val="24"/>
                <w:lang w:val="sr-Cyrl-CS"/>
              </w:rPr>
            </w:pPr>
            <w:r w:rsidRPr="00E84C93">
              <w:rPr>
                <w:rFonts w:eastAsia="Calibri" w:cs="Times New Roman"/>
                <w:bCs/>
                <w:w w:val="101"/>
                <w:szCs w:val="24"/>
                <w:lang w:val="sr-Cyrl-CS"/>
              </w:rPr>
              <w:t xml:space="preserve">Јужна и </w:t>
            </w:r>
            <w:r w:rsidR="00702870" w:rsidRPr="00E84C93">
              <w:rPr>
                <w:rFonts w:eastAsia="Calibri" w:cs="Times New Roman"/>
                <w:bCs/>
                <w:w w:val="101"/>
                <w:szCs w:val="24"/>
                <w:lang w:val="sr-Cyrl-CS"/>
              </w:rPr>
              <w:t>И</w:t>
            </w:r>
            <w:r w:rsidRPr="00E84C93">
              <w:rPr>
                <w:rFonts w:eastAsia="Calibri" w:cs="Times New Roman"/>
                <w:bCs/>
                <w:w w:val="101"/>
                <w:szCs w:val="24"/>
                <w:lang w:val="sr-Cyrl-CS"/>
              </w:rPr>
              <w:t>сточна Србија</w:t>
            </w:r>
            <w:r w:rsidRPr="00E84C93">
              <w:rPr>
                <w:rFonts w:eastAsia="Calibri" w:cs="Times New Roman"/>
                <w:bCs/>
                <w:szCs w:val="24"/>
                <w:lang w:val="sr-Cyrl-CS"/>
              </w:rPr>
              <w:tab/>
              <w:t xml:space="preserve"> </w:t>
            </w:r>
            <w:r w:rsidRPr="00E84C93">
              <w:rPr>
                <w:rFonts w:eastAsia="Calibri" w:cs="Times New Roman"/>
                <w:bCs/>
                <w:szCs w:val="24"/>
                <w:lang w:val="sr-Cyrl-CS"/>
              </w:rPr>
              <w:tab/>
            </w:r>
            <w:r w:rsidR="00285BCC" w:rsidRPr="00E84C93">
              <w:rPr>
                <w:rFonts w:eastAsia="Calibri" w:cs="Times New Roman"/>
                <w:bCs/>
                <w:szCs w:val="24"/>
                <w:lang w:val="sr-Cyrl-CS"/>
              </w:rPr>
              <w:t xml:space="preserve"> </w:t>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7A07980D" w14:textId="702078EB" w:rsidR="003A5341" w:rsidRPr="00E84C93" w:rsidRDefault="003A5341" w:rsidP="00C92E27">
            <w:pPr>
              <w:widowControl w:val="0"/>
              <w:tabs>
                <w:tab w:val="left" w:pos="1428"/>
              </w:tabs>
              <w:spacing w:before="64"/>
              <w:ind w:left="84" w:right="-20"/>
              <w:jc w:val="center"/>
              <w:rPr>
                <w:rFonts w:eastAsia="Calibri" w:cs="Times New Roman"/>
                <w:bCs/>
                <w:w w:val="101"/>
                <w:szCs w:val="24"/>
                <w:lang w:val="sr-Cyrl-CS"/>
              </w:rPr>
            </w:pPr>
            <w:r w:rsidRPr="00E84C93">
              <w:rPr>
                <w:rFonts w:eastAsia="Calibri" w:cs="Times New Roman"/>
                <w:bCs/>
                <w:w w:val="101"/>
                <w:szCs w:val="24"/>
                <w:lang w:val="sr-Cyrl-CS"/>
              </w:rPr>
              <w:t>1.362.900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B1FB372" w14:textId="51018B30" w:rsidR="003A5341" w:rsidRPr="00E84C93" w:rsidRDefault="003A5341" w:rsidP="00C92E27">
            <w:pPr>
              <w:widowControl w:val="0"/>
              <w:tabs>
                <w:tab w:val="left" w:pos="984"/>
              </w:tabs>
              <w:spacing w:before="64"/>
              <w:ind w:left="174" w:right="114"/>
              <w:jc w:val="center"/>
              <w:rPr>
                <w:rFonts w:cs="Times New Roman"/>
                <w:w w:val="101"/>
                <w:szCs w:val="24"/>
                <w:lang w:val="sr-Cyrl-CS"/>
              </w:rPr>
            </w:pPr>
            <w:r w:rsidRPr="00E84C93">
              <w:rPr>
                <w:rFonts w:eastAsia="Calibri" w:cs="Times New Roman"/>
                <w:bCs/>
                <w:w w:val="101"/>
                <w:szCs w:val="24"/>
                <w:lang w:val="sr-Cyrl-CS"/>
              </w:rPr>
              <w:t>26.890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A341D98" w14:textId="3644C9CC" w:rsidR="003A5341" w:rsidRPr="00E84C93" w:rsidRDefault="003A5341" w:rsidP="00C92E27">
            <w:pPr>
              <w:widowControl w:val="0"/>
              <w:tabs>
                <w:tab w:val="left" w:pos="984"/>
              </w:tabs>
              <w:spacing w:before="64"/>
              <w:ind w:left="174" w:right="144"/>
              <w:jc w:val="center"/>
              <w:rPr>
                <w:rFonts w:cs="Times New Roman"/>
                <w:w w:val="101"/>
                <w:szCs w:val="24"/>
                <w:lang w:val="sr-Cyrl-CS"/>
              </w:rPr>
            </w:pPr>
            <w:r w:rsidRPr="00E84C93">
              <w:rPr>
                <w:rFonts w:eastAsia="Calibri" w:cs="Times New Roman"/>
                <w:bCs/>
                <w:w w:val="101"/>
                <w:szCs w:val="24"/>
                <w:lang w:val="sr-Cyrl-CS"/>
              </w:rPr>
              <w:t>22.370</w:t>
            </w:r>
          </w:p>
        </w:tc>
      </w:tr>
      <w:tr w:rsidR="003A5341" w:rsidRPr="00E84C93" w14:paraId="5333E110" w14:textId="77777777" w:rsidTr="00453FF8">
        <w:trPr>
          <w:cantSplit/>
          <w:trHeight w:hRule="exact" w:val="383"/>
        </w:trPr>
        <w:tc>
          <w:tcPr>
            <w:tcW w:w="422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B550B81" w14:textId="529050CA" w:rsidR="003A5341" w:rsidRPr="00E84C93" w:rsidRDefault="0002705B" w:rsidP="006E7EA4">
            <w:pPr>
              <w:widowControl w:val="0"/>
              <w:tabs>
                <w:tab w:val="left" w:pos="3095"/>
                <w:tab w:val="left" w:pos="3736"/>
              </w:tabs>
              <w:spacing w:before="64"/>
              <w:ind w:left="45" w:right="-20"/>
              <w:rPr>
                <w:rFonts w:cs="Times New Roman"/>
                <w:w w:val="101"/>
                <w:szCs w:val="24"/>
                <w:lang w:val="sr-Cyrl-CS"/>
              </w:rPr>
            </w:pPr>
            <w:r w:rsidRPr="00E84C93">
              <w:rPr>
                <w:rFonts w:eastAsia="Calibri" w:cs="Times New Roman"/>
                <w:bCs/>
                <w:w w:val="101"/>
                <w:szCs w:val="24"/>
                <w:lang w:val="sr-Cyrl-CS"/>
              </w:rPr>
              <w:t>АП</w:t>
            </w:r>
            <w:r w:rsidR="003A5341" w:rsidRPr="00E84C93">
              <w:rPr>
                <w:rFonts w:eastAsia="Calibri" w:cs="Times New Roman"/>
                <w:bCs/>
                <w:w w:val="101"/>
                <w:szCs w:val="24"/>
                <w:lang w:val="sr-Cyrl-CS"/>
              </w:rPr>
              <w:t xml:space="preserve"> Војводина</w:t>
            </w:r>
            <w:r w:rsidR="003A5341" w:rsidRPr="00E84C93">
              <w:rPr>
                <w:rFonts w:eastAsia="Calibri" w:cs="Times New Roman"/>
                <w:bCs/>
                <w:szCs w:val="24"/>
                <w:lang w:val="sr-Cyrl-CS"/>
              </w:rPr>
              <w:tab/>
            </w:r>
            <w:r w:rsidR="003A5341" w:rsidRPr="00E84C93">
              <w:rPr>
                <w:rFonts w:eastAsia="Calibri" w:cs="Times New Roman"/>
                <w:bCs/>
                <w:szCs w:val="24"/>
                <w:lang w:val="sr-Cyrl-CS"/>
              </w:rPr>
              <w:tab/>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7C4DE588" w14:textId="58BB6644" w:rsidR="003A5341" w:rsidRPr="00E84C93" w:rsidRDefault="003A5341" w:rsidP="00C92E27">
            <w:pPr>
              <w:widowControl w:val="0"/>
              <w:tabs>
                <w:tab w:val="left" w:pos="1428"/>
              </w:tabs>
              <w:spacing w:before="64"/>
              <w:ind w:left="84" w:right="-20"/>
              <w:jc w:val="center"/>
              <w:rPr>
                <w:rFonts w:eastAsia="Calibri" w:cs="Times New Roman"/>
                <w:bCs/>
                <w:w w:val="101"/>
                <w:szCs w:val="24"/>
                <w:lang w:val="sr-Cyrl-CS"/>
              </w:rPr>
            </w:pPr>
            <w:r w:rsidRPr="00E84C93">
              <w:rPr>
                <w:rFonts w:eastAsia="Calibri" w:cs="Times New Roman"/>
                <w:bCs/>
                <w:w w:val="101"/>
                <w:szCs w:val="24"/>
                <w:lang w:val="sr-Cyrl-CS"/>
              </w:rPr>
              <w:t>1.890.100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8A74D52" w14:textId="2E09D1C7" w:rsidR="003A5341" w:rsidRPr="00E84C93" w:rsidRDefault="003A5341" w:rsidP="00C92E27">
            <w:pPr>
              <w:widowControl w:val="0"/>
              <w:tabs>
                <w:tab w:val="left" w:pos="984"/>
              </w:tabs>
              <w:spacing w:before="64"/>
              <w:ind w:left="174" w:right="114"/>
              <w:jc w:val="center"/>
              <w:rPr>
                <w:rFonts w:cs="Times New Roman"/>
                <w:w w:val="101"/>
                <w:szCs w:val="24"/>
                <w:lang w:val="sr-Cyrl-CS"/>
              </w:rPr>
            </w:pPr>
            <w:r w:rsidRPr="00E84C93">
              <w:rPr>
                <w:rFonts w:eastAsia="Calibri" w:cs="Times New Roman"/>
                <w:bCs/>
                <w:w w:val="101"/>
                <w:szCs w:val="24"/>
                <w:lang w:val="sr-Cyrl-CS"/>
              </w:rPr>
              <w:t>35.370</w:t>
            </w:r>
          </w:p>
        </w:tc>
        <w:tc>
          <w:tcPr>
            <w:tcW w:w="19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54E2D7C" w14:textId="216F8166" w:rsidR="003A5341" w:rsidRPr="00E84C93" w:rsidRDefault="003A5341" w:rsidP="00C92E27">
            <w:pPr>
              <w:widowControl w:val="0"/>
              <w:tabs>
                <w:tab w:val="left" w:pos="984"/>
              </w:tabs>
              <w:spacing w:before="64"/>
              <w:ind w:left="174" w:right="144"/>
              <w:jc w:val="center"/>
              <w:rPr>
                <w:rFonts w:cs="Times New Roman"/>
                <w:w w:val="101"/>
                <w:szCs w:val="24"/>
                <w:lang w:val="sr-Cyrl-CS"/>
              </w:rPr>
            </w:pPr>
            <w:r w:rsidRPr="00E84C93">
              <w:rPr>
                <w:rFonts w:eastAsia="Calibri" w:cs="Times New Roman"/>
                <w:bCs/>
                <w:w w:val="101"/>
                <w:szCs w:val="24"/>
                <w:lang w:val="sr-Cyrl-CS"/>
              </w:rPr>
              <w:t>30.140</w:t>
            </w:r>
          </w:p>
        </w:tc>
      </w:tr>
      <w:tr w:rsidR="003A5341" w:rsidRPr="00E84C93" w14:paraId="4F4DD035" w14:textId="77777777" w:rsidTr="005F6F86">
        <w:trPr>
          <w:cantSplit/>
          <w:trHeight w:hRule="exact" w:val="721"/>
        </w:trPr>
        <w:tc>
          <w:tcPr>
            <w:tcW w:w="422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084DF5C3" w14:textId="6AAD38CB" w:rsidR="003A5341" w:rsidRPr="00E84C93" w:rsidRDefault="003A5341" w:rsidP="006E7EA4">
            <w:pPr>
              <w:widowControl w:val="0"/>
              <w:tabs>
                <w:tab w:val="left" w:pos="3721"/>
              </w:tabs>
              <w:spacing w:before="79"/>
              <w:ind w:left="45" w:right="-20"/>
              <w:rPr>
                <w:rFonts w:cs="Times New Roman"/>
                <w:b/>
                <w:bCs/>
                <w:w w:val="101"/>
                <w:szCs w:val="24"/>
                <w:lang w:val="sr-Cyrl-CS"/>
              </w:rPr>
            </w:pPr>
            <w:r w:rsidRPr="00E84C93">
              <w:rPr>
                <w:rFonts w:eastAsia="Calibri" w:cs="Times New Roman"/>
                <w:b/>
                <w:w w:val="101"/>
                <w:szCs w:val="24"/>
                <w:lang w:val="sr-Cyrl-CS"/>
              </w:rPr>
              <w:t>Укупан пројектовани капацитет и производња муља</w:t>
            </w:r>
            <w:r w:rsidRPr="00E84C93">
              <w:rPr>
                <w:rFonts w:eastAsia="Calibri" w:cs="Times New Roman"/>
                <w:bCs/>
                <w:szCs w:val="24"/>
                <w:lang w:val="sr-Cyrl-CS"/>
              </w:rPr>
              <w:tab/>
            </w:r>
          </w:p>
        </w:tc>
        <w:tc>
          <w:tcPr>
            <w:tcW w:w="144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FFB66F8" w14:textId="0893A23A" w:rsidR="003A5341" w:rsidRPr="00E84C93" w:rsidRDefault="003A5341" w:rsidP="00C92E27">
            <w:pPr>
              <w:widowControl w:val="0"/>
              <w:spacing w:before="79"/>
              <w:ind w:left="84" w:right="-20"/>
              <w:jc w:val="center"/>
              <w:rPr>
                <w:rFonts w:eastAsia="Calibri" w:cs="Times New Roman"/>
                <w:b/>
                <w:w w:val="101"/>
                <w:szCs w:val="24"/>
                <w:lang w:val="sr-Cyrl-CS"/>
              </w:rPr>
            </w:pPr>
            <w:r w:rsidRPr="00E84C93">
              <w:rPr>
                <w:rFonts w:eastAsia="Calibri" w:cs="Times New Roman"/>
                <w:b/>
                <w:w w:val="101"/>
                <w:szCs w:val="24"/>
                <w:lang w:val="sr-Cyrl-CS"/>
              </w:rPr>
              <w:t>7.307.300</w:t>
            </w:r>
          </w:p>
        </w:tc>
        <w:tc>
          <w:tcPr>
            <w:tcW w:w="191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31D9F03D" w14:textId="536B8C8A" w:rsidR="003A5341" w:rsidRPr="00E84C93" w:rsidRDefault="003A5341" w:rsidP="00C92E27">
            <w:pPr>
              <w:widowControl w:val="0"/>
              <w:spacing w:before="79"/>
              <w:ind w:left="174" w:right="114"/>
              <w:jc w:val="center"/>
              <w:rPr>
                <w:rFonts w:cs="Times New Roman"/>
                <w:b/>
                <w:bCs/>
                <w:w w:val="101"/>
                <w:szCs w:val="24"/>
                <w:lang w:val="sr-Cyrl-CS"/>
              </w:rPr>
            </w:pPr>
            <w:r w:rsidRPr="00E84C93">
              <w:rPr>
                <w:rFonts w:eastAsia="Calibri" w:cs="Times New Roman"/>
                <w:b/>
                <w:w w:val="101"/>
                <w:szCs w:val="24"/>
                <w:lang w:val="sr-Cyrl-CS"/>
              </w:rPr>
              <w:t>135.190</w:t>
            </w:r>
          </w:p>
        </w:tc>
        <w:tc>
          <w:tcPr>
            <w:tcW w:w="191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10E2290F" w14:textId="77777777" w:rsidR="003A5341" w:rsidRPr="00E84C93" w:rsidRDefault="003A5341" w:rsidP="00C92E27">
            <w:pPr>
              <w:widowControl w:val="0"/>
              <w:spacing w:before="79"/>
              <w:ind w:left="174" w:right="144"/>
              <w:jc w:val="center"/>
              <w:rPr>
                <w:rFonts w:cs="Times New Roman"/>
                <w:b/>
                <w:bCs/>
                <w:w w:val="101"/>
                <w:szCs w:val="24"/>
                <w:lang w:val="sr-Cyrl-CS"/>
              </w:rPr>
            </w:pPr>
            <w:r w:rsidRPr="00E84C93">
              <w:rPr>
                <w:rFonts w:eastAsia="Calibri" w:cs="Times New Roman"/>
                <w:b/>
                <w:w w:val="101"/>
                <w:szCs w:val="24"/>
                <w:lang w:val="sr-Cyrl-CS"/>
              </w:rPr>
              <w:t>115.390</w:t>
            </w:r>
          </w:p>
        </w:tc>
      </w:tr>
    </w:tbl>
    <w:p w14:paraId="77395E16" w14:textId="7B7DF112" w:rsidR="00F63335" w:rsidRPr="00E84C93" w:rsidRDefault="00F63335" w:rsidP="00F63335">
      <w:pPr>
        <w:keepNext/>
        <w:tabs>
          <w:tab w:val="left" w:pos="992"/>
          <w:tab w:val="left" w:pos="3119"/>
        </w:tabs>
        <w:spacing w:after="60"/>
        <w:rPr>
          <w:iCs/>
          <w:color w:val="002060"/>
          <w:sz w:val="20"/>
          <w:szCs w:val="16"/>
          <w:u w:val="single"/>
          <w:lang w:val="sr-Cyrl-CS"/>
        </w:rPr>
      </w:pPr>
    </w:p>
    <w:p w14:paraId="29963E05" w14:textId="77777777" w:rsidR="001B734A" w:rsidRPr="00E84C93" w:rsidRDefault="001B734A" w:rsidP="00F63335">
      <w:pPr>
        <w:keepNext/>
        <w:tabs>
          <w:tab w:val="left" w:pos="992"/>
          <w:tab w:val="left" w:pos="3119"/>
        </w:tabs>
        <w:spacing w:after="60"/>
        <w:rPr>
          <w:iCs/>
          <w:color w:val="002060"/>
          <w:sz w:val="20"/>
          <w:szCs w:val="16"/>
          <w:u w:val="single"/>
          <w:lang w:val="sr-Cyrl-CS"/>
        </w:rPr>
      </w:pPr>
    </w:p>
    <w:p w14:paraId="0A9E13CE" w14:textId="6A6BE6D1" w:rsidR="000D53BC" w:rsidRPr="00E84C93" w:rsidRDefault="000E1218" w:rsidP="000D53BC">
      <w:pPr>
        <w:spacing w:after="0"/>
        <w:ind w:firstLine="720"/>
        <w:jc w:val="both"/>
        <w:rPr>
          <w:rFonts w:cs="Times New Roman"/>
          <w:lang w:val="sr-Cyrl-CS" w:bidi="en-US"/>
        </w:rPr>
      </w:pPr>
      <w:r w:rsidRPr="00E84C93">
        <w:rPr>
          <w:rFonts w:cs="Times New Roman"/>
          <w:lang w:val="sr-Cyrl-CS" w:bidi="en-US"/>
        </w:rPr>
        <w:t xml:space="preserve">Подручје града Београда је најгушће насељено подручје у Републици Србији, док је регион </w:t>
      </w:r>
      <w:r w:rsidR="000D53BC" w:rsidRPr="00E84C93">
        <w:rPr>
          <w:rFonts w:cs="Times New Roman"/>
          <w:lang w:val="sr-Cyrl-CS" w:bidi="en-US"/>
        </w:rPr>
        <w:t xml:space="preserve">Јужне и </w:t>
      </w:r>
      <w:r w:rsidR="00FB2DC5" w:rsidRPr="00E84C93">
        <w:rPr>
          <w:rFonts w:cs="Times New Roman"/>
          <w:lang w:val="sr-Cyrl-CS" w:bidi="en-US"/>
        </w:rPr>
        <w:t>И</w:t>
      </w:r>
      <w:r w:rsidR="000D53BC" w:rsidRPr="00E84C93">
        <w:rPr>
          <w:rFonts w:cs="Times New Roman"/>
          <w:lang w:val="sr-Cyrl-CS" w:bidi="en-US"/>
        </w:rPr>
        <w:t>сточне Србије регион са најмањим бројем становника.</w:t>
      </w:r>
    </w:p>
    <w:p w14:paraId="6D6A733D" w14:textId="77777777" w:rsidR="000D53BC" w:rsidRPr="00E84C93" w:rsidRDefault="000D53BC" w:rsidP="000D53BC">
      <w:pPr>
        <w:spacing w:after="0"/>
        <w:ind w:firstLine="720"/>
        <w:jc w:val="both"/>
        <w:rPr>
          <w:rFonts w:cs="Times New Roman"/>
          <w:lang w:val="sr-Cyrl-CS" w:bidi="en-US"/>
        </w:rPr>
      </w:pPr>
      <w:r w:rsidRPr="00E84C93">
        <w:rPr>
          <w:rFonts w:cs="Times New Roman"/>
          <w:lang w:val="sr-Cyrl-CS" w:bidi="en-US"/>
        </w:rPr>
        <w:lastRenderedPageBreak/>
        <w:t>Постројења за третман и обезводњавање муља као и регионални центри за управљање муљем димензионисани су за специфичне вредности за 85. перцентил док се количине процењене на основу специфичних вредности за 50. перцентил примењују на опције управљања и одлагања муља.</w:t>
      </w:r>
    </w:p>
    <w:p w14:paraId="27D3EE36" w14:textId="5A0474BB" w:rsidR="000D53BC" w:rsidRPr="00E84C93" w:rsidRDefault="000D53BC" w:rsidP="000D53BC">
      <w:pPr>
        <w:spacing w:after="0"/>
        <w:ind w:firstLine="720"/>
        <w:jc w:val="both"/>
        <w:rPr>
          <w:rFonts w:cs="Times New Roman"/>
          <w:lang w:val="sr-Cyrl-CS" w:bidi="en-US"/>
        </w:rPr>
      </w:pPr>
      <w:r w:rsidRPr="00E84C93">
        <w:rPr>
          <w:rFonts w:cs="Times New Roman"/>
          <w:lang w:val="sr-Cyrl-CS" w:bidi="en-US"/>
        </w:rPr>
        <w:t xml:space="preserve">Укупна годишња производња муља </w:t>
      </w:r>
      <w:r w:rsidR="00AD4C04" w:rsidRPr="00E84C93">
        <w:rPr>
          <w:rFonts w:cs="Times New Roman"/>
          <w:lang w:val="sr-Cyrl-CS" w:bidi="en-US"/>
        </w:rPr>
        <w:t>у Т</w:t>
      </w:r>
      <w:r w:rsidRPr="00E84C93">
        <w:rPr>
          <w:rFonts w:cs="Times New Roman"/>
          <w:lang w:val="sr-Cyrl-CS" w:bidi="en-US"/>
        </w:rPr>
        <w:t>абели 3.6 изражена је у тонама суве материје (t СМ) након стабилизације муља.</w:t>
      </w:r>
    </w:p>
    <w:p w14:paraId="7505D103" w14:textId="562D87E4" w:rsidR="00F63335" w:rsidRPr="00E84C93" w:rsidRDefault="000D53BC" w:rsidP="000D53BC">
      <w:pPr>
        <w:spacing w:after="0"/>
        <w:ind w:firstLine="720"/>
        <w:jc w:val="both"/>
        <w:rPr>
          <w:rFonts w:cs="Times New Roman"/>
          <w:lang w:val="sr-Cyrl-CS" w:bidi="en-US"/>
        </w:rPr>
      </w:pPr>
      <w:r w:rsidRPr="00E84C93">
        <w:rPr>
          <w:rFonts w:cs="Times New Roman"/>
          <w:lang w:val="sr-Cyrl-CS" w:bidi="en-US"/>
        </w:rPr>
        <w:t xml:space="preserve">Количине предвиђене за транспорт и коначно одлагање зависе од коначног садржаја влаге и специфичне тежине готовог производа. Даља деградација остатка органске материје и редукција садржаја влаге услед термичке обраде (сушење муља и/или спаљивање) доприноси умањењу израчунате годишње количине муља за даље поступање. У </w:t>
      </w:r>
      <w:r w:rsidR="0005443B" w:rsidRPr="00E84C93">
        <w:rPr>
          <w:rFonts w:cs="Times New Roman"/>
          <w:lang w:val="sr-Cyrl-CS" w:bidi="en-US"/>
        </w:rPr>
        <w:t>Т</w:t>
      </w:r>
      <w:r w:rsidRPr="00E84C93">
        <w:rPr>
          <w:rFonts w:cs="Times New Roman"/>
          <w:lang w:val="sr-Cyrl-CS" w:bidi="en-US"/>
        </w:rPr>
        <w:t>абели 3.6. дат је преглед неопходних транспортних капацитета у односу на различите финалне производе третмана муља</w:t>
      </w:r>
      <w:r w:rsidR="00F63335" w:rsidRPr="00E84C93">
        <w:rPr>
          <w:rFonts w:cs="Times New Roman"/>
          <w:lang w:val="sr-Cyrl-CS" w:bidi="en-US"/>
        </w:rPr>
        <w:t xml:space="preserve">. </w:t>
      </w:r>
    </w:p>
    <w:p w14:paraId="7B305F51" w14:textId="77777777" w:rsidR="00F63335" w:rsidRPr="00E84C93" w:rsidRDefault="00F63335" w:rsidP="00F63335">
      <w:pPr>
        <w:rPr>
          <w:lang w:val="sr-Cyrl-CS" w:bidi="en-US"/>
        </w:rPr>
      </w:pPr>
    </w:p>
    <w:p w14:paraId="09C590C1" w14:textId="3DC51C80" w:rsidR="00F63335" w:rsidRPr="00E84C93" w:rsidRDefault="00F63335" w:rsidP="00F63335">
      <w:pPr>
        <w:keepNext/>
        <w:tabs>
          <w:tab w:val="left" w:pos="992"/>
          <w:tab w:val="left" w:pos="3119"/>
        </w:tabs>
        <w:spacing w:after="60"/>
        <w:rPr>
          <w:rFonts w:cs="Times New Roman"/>
          <w:iCs/>
          <w:szCs w:val="24"/>
          <w:lang w:val="sr-Cyrl-CS"/>
        </w:rPr>
      </w:pPr>
      <w:bookmarkStart w:id="50" w:name="_Ref90022562"/>
      <w:bookmarkStart w:id="51" w:name="_Toc95128182"/>
      <w:r w:rsidRPr="00E84C93">
        <w:rPr>
          <w:rFonts w:cs="Times New Roman"/>
          <w:b/>
          <w:bCs/>
          <w:iCs/>
          <w:szCs w:val="24"/>
          <w:lang w:val="sr-Cyrl-CS"/>
        </w:rPr>
        <w:t xml:space="preserve">Табела </w:t>
      </w:r>
      <w:bookmarkEnd w:id="50"/>
      <w:r w:rsidR="00453FF8" w:rsidRPr="00E84C93">
        <w:rPr>
          <w:rFonts w:cs="Times New Roman"/>
          <w:b/>
          <w:bCs/>
          <w:iCs/>
          <w:szCs w:val="24"/>
          <w:lang w:val="sr-Cyrl-CS"/>
        </w:rPr>
        <w:t>3.</w:t>
      </w:r>
      <w:r w:rsidR="003E691A" w:rsidRPr="00E84C93">
        <w:rPr>
          <w:rFonts w:cs="Times New Roman"/>
          <w:b/>
          <w:bCs/>
          <w:iCs/>
          <w:szCs w:val="24"/>
          <w:lang w:val="sr-Cyrl-CS"/>
        </w:rPr>
        <w:t>6</w:t>
      </w:r>
      <w:r w:rsidR="00453FF8" w:rsidRPr="00E84C93">
        <w:rPr>
          <w:rFonts w:cs="Times New Roman"/>
          <w:b/>
          <w:bCs/>
          <w:iCs/>
          <w:szCs w:val="24"/>
          <w:lang w:val="sr-Cyrl-CS"/>
        </w:rPr>
        <w:t>.</w:t>
      </w:r>
      <w:r w:rsidRPr="00E84C93">
        <w:rPr>
          <w:rFonts w:cs="Times New Roman"/>
          <w:iCs/>
          <w:szCs w:val="24"/>
          <w:lang w:val="sr-Cyrl-CS"/>
        </w:rPr>
        <w:t xml:space="preserve"> </w:t>
      </w:r>
      <w:bookmarkEnd w:id="51"/>
      <w:r w:rsidR="000E1218" w:rsidRPr="00E84C93">
        <w:rPr>
          <w:rFonts w:cs="Times New Roman"/>
          <w:iCs/>
          <w:szCs w:val="24"/>
          <w:lang w:val="sr-Cyrl-CS"/>
        </w:rPr>
        <w:t>Количина муља за транспорт на крају пројектног периода</w:t>
      </w:r>
    </w:p>
    <w:tbl>
      <w:tblPr>
        <w:tblW w:w="9352" w:type="dxa"/>
        <w:tblLayout w:type="fixed"/>
        <w:tblCellMar>
          <w:left w:w="0" w:type="dxa"/>
          <w:right w:w="0" w:type="dxa"/>
        </w:tblCellMar>
        <w:tblLook w:val="04A0" w:firstRow="1" w:lastRow="0" w:firstColumn="1" w:lastColumn="0" w:noHBand="0" w:noVBand="1"/>
      </w:tblPr>
      <w:tblGrid>
        <w:gridCol w:w="3410"/>
        <w:gridCol w:w="1802"/>
        <w:gridCol w:w="2070"/>
        <w:gridCol w:w="2070"/>
      </w:tblGrid>
      <w:tr w:rsidR="000E1218" w:rsidRPr="00E84C93" w14:paraId="51388756" w14:textId="77777777" w:rsidTr="00453FF8">
        <w:trPr>
          <w:trHeight w:hRule="exact" w:val="700"/>
          <w:tblHeader/>
        </w:trPr>
        <w:tc>
          <w:tcPr>
            <w:tcW w:w="5212" w:type="dxa"/>
            <w:gridSpan w:val="2"/>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tcPr>
          <w:p w14:paraId="7B4EE5FF" w14:textId="77702E7B" w:rsidR="000E1218" w:rsidRPr="00E84C93" w:rsidRDefault="000E1218" w:rsidP="000E1218">
            <w:pPr>
              <w:widowControl w:val="0"/>
              <w:spacing w:before="33" w:after="0" w:line="265" w:lineRule="auto"/>
              <w:ind w:left="770" w:right="40" w:hanging="472"/>
              <w:rPr>
                <w:rFonts w:eastAsia="Calibri" w:cs="Times New Roman"/>
                <w:b/>
                <w:w w:val="101"/>
                <w:lang w:val="sr-Cyrl-CS"/>
              </w:rPr>
            </w:pPr>
            <w:r w:rsidRPr="00E84C93">
              <w:rPr>
                <w:rFonts w:eastAsia="Calibri" w:cs="Times New Roman"/>
                <w:b/>
                <w:w w:val="101"/>
                <w:lang w:val="sr-Cyrl-CS"/>
              </w:rPr>
              <w:t>Количина муља и запремина за транспорт</w:t>
            </w:r>
          </w:p>
        </w:tc>
        <w:tc>
          <w:tcPr>
            <w:tcW w:w="2070"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tcPr>
          <w:p w14:paraId="1CDA5615" w14:textId="2B34703B" w:rsidR="000E1218" w:rsidRPr="00E84C93" w:rsidRDefault="000E1218" w:rsidP="000E1218">
            <w:pPr>
              <w:widowControl w:val="0"/>
              <w:spacing w:before="33" w:after="0" w:line="265" w:lineRule="auto"/>
              <w:ind w:left="126" w:right="40"/>
              <w:rPr>
                <w:rFonts w:cs="Times New Roman"/>
                <w:b/>
                <w:w w:val="102"/>
                <w:lang w:val="sr-Cyrl-CS"/>
              </w:rPr>
            </w:pPr>
            <w:r w:rsidRPr="00E84C93">
              <w:rPr>
                <w:rFonts w:eastAsia="Calibri" w:cs="Times New Roman"/>
                <w:b/>
                <w:w w:val="101"/>
                <w:lang w:val="sr-Cyrl-CS"/>
              </w:rPr>
              <w:t>85</w:t>
            </w:r>
            <w:r w:rsidRPr="00E84C93">
              <w:rPr>
                <w:rFonts w:eastAsia="Calibri" w:cs="Times New Roman"/>
                <w:b/>
                <w:lang w:val="sr-Cyrl-CS"/>
              </w:rPr>
              <w:t>. перцентил оптерећењ</w:t>
            </w:r>
            <w:r w:rsidR="000D53BC" w:rsidRPr="00E84C93">
              <w:rPr>
                <w:rFonts w:eastAsia="Calibri" w:cs="Times New Roman"/>
                <w:b/>
                <w:lang w:val="sr-Cyrl-CS"/>
              </w:rPr>
              <w:t>а</w:t>
            </w:r>
          </w:p>
        </w:tc>
        <w:tc>
          <w:tcPr>
            <w:tcW w:w="2070" w:type="dxa"/>
            <w:tcBorders>
              <w:top w:val="single" w:sz="6" w:space="0" w:color="000000"/>
              <w:left w:val="single" w:sz="6" w:space="0" w:color="000000"/>
              <w:bottom w:val="double" w:sz="2" w:space="0" w:color="000000"/>
              <w:right w:val="single" w:sz="6" w:space="0" w:color="000000"/>
            </w:tcBorders>
            <w:shd w:val="clear" w:color="auto" w:fill="BDD6EE" w:themeFill="accent1" w:themeFillTint="66"/>
            <w:tcMar>
              <w:top w:w="0" w:type="dxa"/>
              <w:left w:w="0" w:type="dxa"/>
              <w:bottom w:w="0" w:type="dxa"/>
              <w:right w:w="0" w:type="dxa"/>
            </w:tcMar>
          </w:tcPr>
          <w:p w14:paraId="1AE1FBD8" w14:textId="77777777" w:rsidR="001472E5" w:rsidRPr="00E84C93" w:rsidRDefault="000E1218" w:rsidP="000E1218">
            <w:pPr>
              <w:widowControl w:val="0"/>
              <w:spacing w:before="33" w:after="0" w:line="265" w:lineRule="auto"/>
              <w:ind w:left="126" w:right="43"/>
              <w:rPr>
                <w:rFonts w:eastAsia="Calibri" w:cs="Times New Roman"/>
                <w:b/>
                <w:w w:val="101"/>
                <w:lang w:val="sr-Cyrl-CS"/>
              </w:rPr>
            </w:pPr>
            <w:r w:rsidRPr="00E84C93">
              <w:rPr>
                <w:rFonts w:eastAsia="Calibri" w:cs="Times New Roman"/>
                <w:b/>
                <w:w w:val="101"/>
                <w:lang w:val="sr-Cyrl-CS"/>
              </w:rPr>
              <w:t>50. перцентил</w:t>
            </w:r>
          </w:p>
          <w:p w14:paraId="7F253393" w14:textId="5CE6CE6E" w:rsidR="000E1218" w:rsidRPr="00E84C93" w:rsidRDefault="000E1218" w:rsidP="000E1218">
            <w:pPr>
              <w:widowControl w:val="0"/>
              <w:spacing w:before="33" w:after="0" w:line="265" w:lineRule="auto"/>
              <w:ind w:left="126" w:right="43"/>
              <w:rPr>
                <w:rFonts w:cs="Times New Roman"/>
                <w:b/>
                <w:w w:val="102"/>
                <w:lang w:val="sr-Cyrl-CS"/>
              </w:rPr>
            </w:pPr>
            <w:r w:rsidRPr="00E84C93">
              <w:rPr>
                <w:rFonts w:eastAsia="Calibri" w:cs="Times New Roman"/>
                <w:b/>
                <w:lang w:val="sr-Cyrl-CS"/>
              </w:rPr>
              <w:t>о</w:t>
            </w:r>
            <w:r w:rsidR="001472E5" w:rsidRPr="00E84C93">
              <w:rPr>
                <w:rFonts w:eastAsia="Calibri" w:cs="Times New Roman"/>
                <w:b/>
                <w:lang w:val="sr-Cyrl-CS"/>
              </w:rPr>
              <w:t>птерећењ</w:t>
            </w:r>
            <w:r w:rsidR="000D53BC" w:rsidRPr="00E84C93">
              <w:rPr>
                <w:rFonts w:eastAsia="Calibri" w:cs="Times New Roman"/>
                <w:b/>
                <w:lang w:val="sr-Cyrl-CS"/>
              </w:rPr>
              <w:t>а</w:t>
            </w:r>
          </w:p>
        </w:tc>
      </w:tr>
      <w:tr w:rsidR="000E1218" w:rsidRPr="00E84C93" w14:paraId="5D68295A" w14:textId="77777777" w:rsidTr="00F15444">
        <w:trPr>
          <w:trHeight w:hRule="exact" w:val="654"/>
        </w:trPr>
        <w:tc>
          <w:tcPr>
            <w:tcW w:w="5212" w:type="dxa"/>
            <w:gridSpan w:val="2"/>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0ACCEAE" w14:textId="58E0EA13" w:rsidR="000E1218" w:rsidRPr="00E84C93" w:rsidRDefault="000E1218" w:rsidP="000E1218">
            <w:pPr>
              <w:widowControl w:val="0"/>
              <w:tabs>
                <w:tab w:val="left" w:pos="1166"/>
              </w:tabs>
              <w:spacing w:after="0"/>
              <w:ind w:right="-20"/>
              <w:rPr>
                <w:rFonts w:cs="Times New Roman"/>
                <w:w w:val="101"/>
                <w:lang w:val="sr-Cyrl-CS"/>
              </w:rPr>
            </w:pPr>
            <w:r w:rsidRPr="00E84C93">
              <w:rPr>
                <w:rFonts w:cs="Times New Roman"/>
                <w:color w:val="000000"/>
                <w:w w:val="101"/>
                <w:lang w:val="sr-Cyrl-CS"/>
              </w:rPr>
              <w:t>Укупна годишња продукција стабилизованог муља</w:t>
            </w:r>
          </w:p>
        </w:tc>
        <w:tc>
          <w:tcPr>
            <w:tcW w:w="2070" w:type="dxa"/>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03827F9" w14:textId="77777777" w:rsidR="000E1218" w:rsidRPr="00E84C93" w:rsidRDefault="000E1218" w:rsidP="000E1218">
            <w:pPr>
              <w:widowControl w:val="0"/>
              <w:tabs>
                <w:tab w:val="left" w:pos="1166"/>
              </w:tabs>
              <w:spacing w:after="0"/>
              <w:ind w:left="216" w:right="234"/>
              <w:jc w:val="center"/>
              <w:rPr>
                <w:rFonts w:cs="Times New Roman"/>
                <w:w w:val="101"/>
                <w:lang w:val="sr-Cyrl-CS"/>
              </w:rPr>
            </w:pPr>
            <w:r w:rsidRPr="00E84C93">
              <w:rPr>
                <w:rFonts w:cs="Times New Roman"/>
                <w:w w:val="101"/>
                <w:lang w:val="sr-Cyrl-CS"/>
              </w:rPr>
              <w:t xml:space="preserve">135.190 </w:t>
            </w:r>
          </w:p>
          <w:p w14:paraId="008193ED" w14:textId="75623E5D" w:rsidR="000E1218" w:rsidRPr="00E84C93" w:rsidRDefault="000E1218" w:rsidP="000E1218">
            <w:pPr>
              <w:widowControl w:val="0"/>
              <w:tabs>
                <w:tab w:val="left" w:pos="1166"/>
              </w:tabs>
              <w:spacing w:after="0"/>
              <w:ind w:left="216" w:right="234"/>
              <w:jc w:val="center"/>
              <w:rPr>
                <w:rFonts w:cs="Times New Roman"/>
                <w:w w:val="101"/>
                <w:lang w:val="sr-Cyrl-CS"/>
              </w:rPr>
            </w:pPr>
            <w:r w:rsidRPr="00E84C93">
              <w:rPr>
                <w:rFonts w:cs="Times New Roman"/>
                <w:w w:val="101"/>
                <w:lang w:val="sr-Cyrl-CS"/>
              </w:rPr>
              <w:t>t СМ/год.</w:t>
            </w:r>
          </w:p>
        </w:tc>
        <w:tc>
          <w:tcPr>
            <w:tcW w:w="2070" w:type="dxa"/>
            <w:tcBorders>
              <w:top w:val="double" w:sz="2"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88C0F00" w14:textId="77777777" w:rsidR="000E1218" w:rsidRPr="00E84C93" w:rsidRDefault="000E1218" w:rsidP="000E1218">
            <w:pPr>
              <w:widowControl w:val="0"/>
              <w:tabs>
                <w:tab w:val="left" w:pos="1656"/>
              </w:tabs>
              <w:spacing w:after="0"/>
              <w:ind w:left="126" w:right="-20"/>
              <w:jc w:val="center"/>
              <w:rPr>
                <w:rFonts w:cs="Times New Roman"/>
                <w:w w:val="101"/>
                <w:lang w:val="sr-Cyrl-CS"/>
              </w:rPr>
            </w:pPr>
            <w:r w:rsidRPr="00E84C93">
              <w:rPr>
                <w:rFonts w:cs="Times New Roman"/>
                <w:w w:val="101"/>
                <w:lang w:val="sr-Cyrl-CS"/>
              </w:rPr>
              <w:t xml:space="preserve">115.390 </w:t>
            </w:r>
          </w:p>
          <w:p w14:paraId="06148CBF" w14:textId="60286809" w:rsidR="000E1218" w:rsidRPr="00E84C93" w:rsidRDefault="000E1218" w:rsidP="000E1218">
            <w:pPr>
              <w:widowControl w:val="0"/>
              <w:tabs>
                <w:tab w:val="left" w:pos="1656"/>
              </w:tabs>
              <w:spacing w:after="0"/>
              <w:ind w:left="126" w:right="-20"/>
              <w:jc w:val="center"/>
              <w:rPr>
                <w:rFonts w:cs="Times New Roman"/>
                <w:w w:val="101"/>
                <w:lang w:val="sr-Cyrl-CS"/>
              </w:rPr>
            </w:pPr>
            <w:r w:rsidRPr="00E84C93">
              <w:rPr>
                <w:rFonts w:cs="Times New Roman"/>
                <w:w w:val="101"/>
                <w:lang w:val="sr-Cyrl-CS"/>
              </w:rPr>
              <w:t>t СМ/год.</w:t>
            </w:r>
          </w:p>
        </w:tc>
      </w:tr>
      <w:tr w:rsidR="000D53BC" w:rsidRPr="00E84C93" w14:paraId="7FCFD6B4" w14:textId="77777777" w:rsidTr="00F15444">
        <w:trPr>
          <w:trHeight w:hRule="exact" w:val="1266"/>
        </w:trPr>
        <w:tc>
          <w:tcPr>
            <w:tcW w:w="3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0074879" w14:textId="13696E0D" w:rsidR="000D53BC" w:rsidRPr="00E84C93" w:rsidRDefault="000D53BC" w:rsidP="000D53BC">
            <w:pPr>
              <w:widowControl w:val="0"/>
              <w:tabs>
                <w:tab w:val="left" w:pos="3095"/>
                <w:tab w:val="left" w:pos="3736"/>
              </w:tabs>
              <w:spacing w:after="0"/>
              <w:ind w:left="45" w:right="-20"/>
              <w:rPr>
                <w:rFonts w:cs="Times New Roman"/>
                <w:w w:val="101"/>
                <w:lang w:val="sr-Cyrl-CS"/>
              </w:rPr>
            </w:pPr>
            <w:r w:rsidRPr="00E84C93">
              <w:rPr>
                <w:rFonts w:cs="Times New Roman"/>
                <w:b/>
                <w:w w:val="101"/>
                <w:lang w:val="sr-Cyrl-CS"/>
              </w:rPr>
              <w:t>Обезводњени муљ</w:t>
            </w:r>
            <w:r w:rsidRPr="00E84C93">
              <w:rPr>
                <w:rFonts w:cs="Times New Roman"/>
                <w:w w:val="101"/>
                <w:lang w:val="sr-Cyrl-CS"/>
              </w:rPr>
              <w:t xml:space="preserve"> (просечни садржај суве материје и просечна специфична тежина обезводњеног муља)</w:t>
            </w:r>
          </w:p>
        </w:tc>
        <w:tc>
          <w:tcPr>
            <w:tcW w:w="18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59B4DC" w14:textId="77777777" w:rsidR="000D53BC" w:rsidRPr="00E84C93" w:rsidRDefault="000D53BC" w:rsidP="000D53BC">
            <w:pPr>
              <w:widowControl w:val="0"/>
              <w:tabs>
                <w:tab w:val="left" w:pos="1166"/>
              </w:tabs>
              <w:spacing w:after="0"/>
              <w:ind w:left="180" w:right="-20"/>
              <w:jc w:val="center"/>
              <w:rPr>
                <w:rFonts w:cs="Times New Roman"/>
                <w:w w:val="101"/>
                <w:lang w:val="sr-Cyrl-CS"/>
              </w:rPr>
            </w:pPr>
            <w:r w:rsidRPr="00E84C93">
              <w:rPr>
                <w:rFonts w:cs="Times New Roman"/>
                <w:w w:val="101"/>
                <w:lang w:val="sr-Cyrl-CS"/>
              </w:rPr>
              <w:t xml:space="preserve">25% СМ </w:t>
            </w:r>
          </w:p>
          <w:p w14:paraId="26E83BD6" w14:textId="31445B22" w:rsidR="000D53BC" w:rsidRPr="00E84C93" w:rsidRDefault="000D53BC" w:rsidP="000D53BC">
            <w:pPr>
              <w:widowControl w:val="0"/>
              <w:tabs>
                <w:tab w:val="left" w:pos="1166"/>
              </w:tabs>
              <w:spacing w:after="0"/>
              <w:ind w:left="180" w:right="-20"/>
              <w:jc w:val="center"/>
              <w:rPr>
                <w:rFonts w:cs="Times New Roman"/>
                <w:color w:val="FF0000"/>
                <w:w w:val="101"/>
                <w:lang w:val="sr-Cyrl-CS"/>
              </w:rPr>
            </w:pPr>
            <w:r w:rsidRPr="00E84C93">
              <w:rPr>
                <w:rFonts w:cs="Times New Roman"/>
                <w:w w:val="101"/>
                <w:lang w:val="sr-Cyrl-CS"/>
              </w:rPr>
              <w:t xml:space="preserve"> </w:t>
            </w: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CF7892F" w14:textId="7773618C" w:rsidR="000D53BC" w:rsidRPr="00E84C93" w:rsidRDefault="000D53BC" w:rsidP="000D53BC">
            <w:pPr>
              <w:widowControl w:val="0"/>
              <w:tabs>
                <w:tab w:val="left" w:pos="1166"/>
              </w:tabs>
              <w:spacing w:after="0"/>
              <w:ind w:left="270" w:right="-20"/>
              <w:jc w:val="center"/>
              <w:rPr>
                <w:rFonts w:cs="Times New Roman"/>
                <w:w w:val="101"/>
                <w:lang w:val="sr-Cyrl-CS"/>
              </w:rPr>
            </w:pPr>
            <w:r w:rsidRPr="00E84C93">
              <w:rPr>
                <w:rFonts w:cs="Times New Roman"/>
                <w:w w:val="101"/>
                <w:lang w:val="sr-Cyrl-CS"/>
              </w:rPr>
              <w:t>540</w:t>
            </w:r>
            <w:r w:rsidR="00465A5C" w:rsidRPr="00E84C93">
              <w:rPr>
                <w:rFonts w:cs="Times New Roman"/>
                <w:w w:val="101"/>
                <w:lang w:val="sr-Cyrl-CS"/>
              </w:rPr>
              <w:t>.</w:t>
            </w:r>
            <w:r w:rsidRPr="00E84C93">
              <w:rPr>
                <w:rFonts w:cs="Times New Roman"/>
                <w:w w:val="101"/>
                <w:lang w:val="sr-Cyrl-CS"/>
              </w:rPr>
              <w:t xml:space="preserve">800 </w:t>
            </w:r>
            <w:r w:rsidR="00DD06DC" w:rsidRPr="00E84C93">
              <w:rPr>
                <w:rFonts w:cs="Times New Roman"/>
                <w:w w:val="101"/>
                <w:lang w:val="sr-Cyrl-CS"/>
              </w:rPr>
              <w:t>t/год.</w:t>
            </w:r>
          </w:p>
          <w:p w14:paraId="26A6E10F" w14:textId="7E9FE125" w:rsidR="000D53BC" w:rsidRPr="00E84C93" w:rsidRDefault="000D53BC" w:rsidP="000D53BC">
            <w:pPr>
              <w:widowControl w:val="0"/>
              <w:tabs>
                <w:tab w:val="left" w:pos="1166"/>
              </w:tabs>
              <w:spacing w:after="0"/>
              <w:ind w:left="270" w:right="-20"/>
              <w:jc w:val="center"/>
              <w:rPr>
                <w:rFonts w:cs="Times New Roman"/>
                <w:color w:val="FF0000"/>
                <w:w w:val="101"/>
                <w:lang w:val="sr-Cyrl-CS"/>
              </w:rPr>
            </w:pP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A08107E" w14:textId="3D39A910" w:rsidR="000D53BC" w:rsidRPr="00E84C93" w:rsidRDefault="000D53BC" w:rsidP="000D53BC">
            <w:pPr>
              <w:widowControl w:val="0"/>
              <w:tabs>
                <w:tab w:val="left" w:pos="1166"/>
              </w:tabs>
              <w:spacing w:after="0"/>
              <w:ind w:left="126" w:right="-20"/>
              <w:jc w:val="center"/>
              <w:rPr>
                <w:rFonts w:cs="Times New Roman"/>
                <w:w w:val="101"/>
                <w:vertAlign w:val="superscript"/>
                <w:lang w:val="sr-Cyrl-CS"/>
              </w:rPr>
            </w:pPr>
            <w:r w:rsidRPr="00E84C93">
              <w:rPr>
                <w:rFonts w:cs="Times New Roman"/>
                <w:w w:val="101"/>
                <w:lang w:val="sr-Cyrl-CS"/>
              </w:rPr>
              <w:t xml:space="preserve">461.600 </w:t>
            </w:r>
            <w:r w:rsidR="00DD06DC" w:rsidRPr="00E84C93">
              <w:rPr>
                <w:rFonts w:cs="Times New Roman"/>
                <w:w w:val="101"/>
                <w:lang w:val="sr-Cyrl-CS"/>
              </w:rPr>
              <w:t>t/год.</w:t>
            </w:r>
          </w:p>
          <w:p w14:paraId="152677D5" w14:textId="445307C1" w:rsidR="000D53BC" w:rsidRPr="00E84C93" w:rsidRDefault="000D53BC" w:rsidP="000D53BC">
            <w:pPr>
              <w:widowControl w:val="0"/>
              <w:tabs>
                <w:tab w:val="left" w:pos="1166"/>
              </w:tabs>
              <w:spacing w:after="0"/>
              <w:ind w:left="126" w:right="-20"/>
              <w:jc w:val="center"/>
              <w:rPr>
                <w:rFonts w:cs="Times New Roman"/>
                <w:b/>
                <w:color w:val="FF0000"/>
                <w:w w:val="101"/>
                <w:lang w:val="sr-Cyrl-CS"/>
              </w:rPr>
            </w:pPr>
          </w:p>
        </w:tc>
      </w:tr>
      <w:tr w:rsidR="000D53BC" w:rsidRPr="00E84C93" w14:paraId="515027DA" w14:textId="77777777" w:rsidTr="00F15444">
        <w:trPr>
          <w:trHeight w:hRule="exact" w:val="1257"/>
        </w:trPr>
        <w:tc>
          <w:tcPr>
            <w:tcW w:w="3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36CBDA9" w14:textId="37ABB1CA" w:rsidR="000D53BC" w:rsidRPr="00E84C93" w:rsidRDefault="000D53BC" w:rsidP="000D53BC">
            <w:pPr>
              <w:widowControl w:val="0"/>
              <w:tabs>
                <w:tab w:val="left" w:pos="3095"/>
                <w:tab w:val="left" w:pos="3736"/>
              </w:tabs>
              <w:spacing w:after="0"/>
              <w:ind w:left="45" w:right="-20"/>
              <w:rPr>
                <w:rFonts w:cs="Times New Roman"/>
                <w:b/>
                <w:w w:val="101"/>
                <w:lang w:val="sr-Cyrl-CS"/>
              </w:rPr>
            </w:pPr>
            <w:r w:rsidRPr="00E84C93">
              <w:rPr>
                <w:rFonts w:cs="Times New Roman"/>
                <w:b/>
                <w:w w:val="101"/>
                <w:lang w:val="sr-Cyrl-CS"/>
              </w:rPr>
              <w:t>Осушени муљ (</w:t>
            </w:r>
            <w:r w:rsidRPr="00E84C93">
              <w:rPr>
                <w:rFonts w:cs="Times New Roman"/>
                <w:w w:val="101"/>
                <w:lang w:val="sr-Cyrl-CS"/>
              </w:rPr>
              <w:t>просечни садржај суве материје и просечна специфична тежина осушеног муља)</w:t>
            </w:r>
          </w:p>
        </w:tc>
        <w:tc>
          <w:tcPr>
            <w:tcW w:w="18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10E587" w14:textId="77777777" w:rsidR="000D53BC" w:rsidRPr="00E84C93" w:rsidRDefault="000D53BC" w:rsidP="000D53BC">
            <w:pPr>
              <w:widowControl w:val="0"/>
              <w:tabs>
                <w:tab w:val="left" w:pos="1166"/>
              </w:tabs>
              <w:spacing w:after="0"/>
              <w:ind w:left="180" w:right="-20"/>
              <w:jc w:val="center"/>
              <w:rPr>
                <w:rFonts w:cs="Times New Roman"/>
                <w:w w:val="101"/>
                <w:lang w:val="sr-Cyrl-CS"/>
              </w:rPr>
            </w:pPr>
            <w:r w:rsidRPr="00E84C93">
              <w:rPr>
                <w:rFonts w:cs="Times New Roman"/>
                <w:w w:val="101"/>
                <w:lang w:val="sr-Cyrl-CS"/>
              </w:rPr>
              <w:t xml:space="preserve">70% СМ </w:t>
            </w:r>
          </w:p>
          <w:p w14:paraId="3428F1FE" w14:textId="02C16540" w:rsidR="000D53BC" w:rsidRPr="00E84C93" w:rsidRDefault="000D53BC" w:rsidP="000D53BC">
            <w:pPr>
              <w:widowControl w:val="0"/>
              <w:tabs>
                <w:tab w:val="left" w:pos="1166"/>
              </w:tabs>
              <w:spacing w:after="0"/>
              <w:ind w:left="180" w:right="-20"/>
              <w:jc w:val="center"/>
              <w:rPr>
                <w:rFonts w:cs="Times New Roman"/>
                <w:w w:val="101"/>
                <w:lang w:val="sr-Cyrl-CS"/>
              </w:rPr>
            </w:pP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0DCAF29" w14:textId="2D6157B4" w:rsidR="000D53BC" w:rsidRPr="00E84C93" w:rsidRDefault="000D53BC" w:rsidP="00041A44">
            <w:pPr>
              <w:widowControl w:val="0"/>
              <w:tabs>
                <w:tab w:val="left" w:pos="2064"/>
              </w:tabs>
              <w:spacing w:after="0"/>
              <w:ind w:left="180" w:right="-20"/>
              <w:jc w:val="center"/>
              <w:rPr>
                <w:rFonts w:cs="Times New Roman"/>
                <w:w w:val="101"/>
                <w:lang w:val="sr-Cyrl-CS"/>
              </w:rPr>
            </w:pPr>
            <w:r w:rsidRPr="00E84C93">
              <w:rPr>
                <w:rFonts w:cs="Times New Roman"/>
                <w:w w:val="101"/>
                <w:lang w:val="sr-Cyrl-CS"/>
              </w:rPr>
              <w:t xml:space="preserve">112.884 t </w:t>
            </w:r>
            <w:r w:rsidR="00041A44" w:rsidRPr="00E84C93">
              <w:rPr>
                <w:rFonts w:cs="Times New Roman"/>
                <w:w w:val="101"/>
                <w:lang w:val="sr-Cyrl-CS"/>
              </w:rPr>
              <w:t>С</w:t>
            </w:r>
            <w:r w:rsidRPr="00E84C93">
              <w:rPr>
                <w:rFonts w:cs="Times New Roman"/>
                <w:w w:val="101"/>
                <w:lang w:val="sr-Cyrl-CS"/>
              </w:rPr>
              <w:t>М/год.</w:t>
            </w:r>
          </w:p>
          <w:p w14:paraId="7D3865D2" w14:textId="1230F4CF" w:rsidR="000D53BC" w:rsidRPr="00E84C93" w:rsidRDefault="000D53BC" w:rsidP="000D53BC">
            <w:pPr>
              <w:widowControl w:val="0"/>
              <w:tabs>
                <w:tab w:val="left" w:pos="1166"/>
              </w:tabs>
              <w:spacing w:after="0"/>
              <w:ind w:left="270" w:right="-20"/>
              <w:jc w:val="center"/>
              <w:rPr>
                <w:rFonts w:cs="Times New Roman"/>
                <w:w w:val="101"/>
                <w:lang w:val="sr-Cyrl-CS"/>
              </w:rPr>
            </w:pPr>
            <w:r w:rsidRPr="00E84C93">
              <w:rPr>
                <w:rFonts w:cs="Times New Roman"/>
                <w:w w:val="101"/>
                <w:lang w:val="sr-Cyrl-CS"/>
              </w:rPr>
              <w:t xml:space="preserve">161.300 </w:t>
            </w:r>
            <w:r w:rsidR="00DD06DC" w:rsidRPr="00E84C93">
              <w:rPr>
                <w:rFonts w:cs="Times New Roman"/>
                <w:w w:val="101"/>
                <w:lang w:val="sr-Cyrl-CS"/>
              </w:rPr>
              <w:t>t/год.</w:t>
            </w:r>
          </w:p>
          <w:p w14:paraId="2BDE7EC0" w14:textId="6AD2928E" w:rsidR="000D53BC" w:rsidRPr="00E84C93" w:rsidRDefault="000D53BC" w:rsidP="000D53BC">
            <w:pPr>
              <w:widowControl w:val="0"/>
              <w:tabs>
                <w:tab w:val="left" w:pos="1166"/>
              </w:tabs>
              <w:spacing w:after="0"/>
              <w:ind w:left="270" w:right="-20"/>
              <w:jc w:val="center"/>
              <w:rPr>
                <w:rFonts w:cs="Times New Roman"/>
                <w:w w:val="101"/>
                <w:lang w:val="sr-Cyrl-CS"/>
              </w:rPr>
            </w:pP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B675D86" w14:textId="6343D979" w:rsidR="000D53BC" w:rsidRPr="00E84C93" w:rsidRDefault="000D53BC" w:rsidP="000D53BC">
            <w:pPr>
              <w:widowControl w:val="0"/>
              <w:tabs>
                <w:tab w:val="left" w:pos="1166"/>
              </w:tabs>
              <w:spacing w:after="0"/>
              <w:ind w:left="126" w:right="-20"/>
              <w:jc w:val="center"/>
              <w:rPr>
                <w:rFonts w:cs="Times New Roman"/>
                <w:w w:val="101"/>
                <w:lang w:val="sr-Cyrl-CS"/>
              </w:rPr>
            </w:pPr>
            <w:r w:rsidRPr="00E84C93">
              <w:rPr>
                <w:rFonts w:cs="Times New Roman"/>
                <w:w w:val="101"/>
                <w:lang w:val="sr-Cyrl-CS"/>
              </w:rPr>
              <w:t>96</w:t>
            </w:r>
            <w:r w:rsidR="00465A5C" w:rsidRPr="00E84C93">
              <w:rPr>
                <w:rFonts w:cs="Times New Roman"/>
                <w:w w:val="101"/>
                <w:lang w:val="sr-Cyrl-CS"/>
              </w:rPr>
              <w:t>.</w:t>
            </w:r>
            <w:r w:rsidRPr="00E84C93">
              <w:rPr>
                <w:rFonts w:cs="Times New Roman"/>
                <w:w w:val="101"/>
                <w:lang w:val="sr-Cyrl-CS"/>
              </w:rPr>
              <w:t>351 t СМ/год.</w:t>
            </w:r>
          </w:p>
          <w:p w14:paraId="277BCED3" w14:textId="484D04D6" w:rsidR="000D53BC" w:rsidRPr="00E84C93" w:rsidRDefault="000D53BC" w:rsidP="000D53BC">
            <w:pPr>
              <w:widowControl w:val="0"/>
              <w:tabs>
                <w:tab w:val="left" w:pos="1166"/>
              </w:tabs>
              <w:spacing w:after="0"/>
              <w:ind w:left="126" w:right="-20"/>
              <w:jc w:val="center"/>
              <w:rPr>
                <w:rFonts w:cs="Times New Roman"/>
                <w:w w:val="101"/>
                <w:lang w:val="sr-Cyrl-CS"/>
              </w:rPr>
            </w:pPr>
            <w:r w:rsidRPr="00E84C93">
              <w:rPr>
                <w:rFonts w:cs="Times New Roman"/>
                <w:w w:val="101"/>
                <w:lang w:val="sr-Cyrl-CS"/>
              </w:rPr>
              <w:t xml:space="preserve">137.600 </w:t>
            </w:r>
            <w:r w:rsidR="00DD06DC" w:rsidRPr="00E84C93">
              <w:rPr>
                <w:rFonts w:cs="Times New Roman"/>
                <w:w w:val="101"/>
                <w:lang w:val="sr-Cyrl-CS"/>
              </w:rPr>
              <w:t>t/год.</w:t>
            </w:r>
          </w:p>
          <w:p w14:paraId="06BB0F8C" w14:textId="15C17615" w:rsidR="000D53BC" w:rsidRPr="00E84C93" w:rsidRDefault="000D53BC" w:rsidP="000D53BC">
            <w:pPr>
              <w:widowControl w:val="0"/>
              <w:tabs>
                <w:tab w:val="left" w:pos="1166"/>
              </w:tabs>
              <w:spacing w:after="0"/>
              <w:ind w:left="126" w:right="-20"/>
              <w:jc w:val="center"/>
              <w:rPr>
                <w:rFonts w:cs="Times New Roman"/>
                <w:b/>
                <w:w w:val="101"/>
                <w:lang w:val="sr-Cyrl-CS"/>
              </w:rPr>
            </w:pPr>
          </w:p>
        </w:tc>
      </w:tr>
      <w:tr w:rsidR="000D53BC" w:rsidRPr="00E84C93" w14:paraId="0E33889C" w14:textId="77777777" w:rsidTr="00C26351">
        <w:trPr>
          <w:trHeight w:hRule="exact" w:val="762"/>
        </w:trPr>
        <w:tc>
          <w:tcPr>
            <w:tcW w:w="3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763A2D0" w14:textId="77777777" w:rsidR="000D53BC" w:rsidRPr="00E84C93" w:rsidRDefault="000D53BC" w:rsidP="000D53BC">
            <w:pPr>
              <w:widowControl w:val="0"/>
              <w:tabs>
                <w:tab w:val="left" w:pos="3721"/>
              </w:tabs>
              <w:spacing w:after="0"/>
              <w:ind w:left="45" w:right="-20"/>
              <w:rPr>
                <w:rFonts w:cs="Times New Roman"/>
                <w:b/>
                <w:bCs/>
                <w:w w:val="101"/>
                <w:lang w:val="sr-Cyrl-CS"/>
              </w:rPr>
            </w:pPr>
            <w:r w:rsidRPr="00E84C93">
              <w:rPr>
                <w:rFonts w:cs="Times New Roman"/>
                <w:b/>
                <w:bCs/>
                <w:w w:val="101"/>
                <w:lang w:val="sr-Cyrl-CS"/>
              </w:rPr>
              <w:t>Пепео након спаљивања муља</w:t>
            </w:r>
          </w:p>
          <w:p w14:paraId="279A53EC" w14:textId="64AE586F" w:rsidR="000D53BC" w:rsidRPr="00E84C93" w:rsidRDefault="000D53BC" w:rsidP="00BE5F90">
            <w:pPr>
              <w:widowControl w:val="0"/>
              <w:tabs>
                <w:tab w:val="left" w:pos="3721"/>
              </w:tabs>
              <w:spacing w:after="0"/>
              <w:ind w:left="45" w:right="-20"/>
              <w:rPr>
                <w:rFonts w:cs="Times New Roman"/>
                <w:b/>
                <w:bCs/>
                <w:w w:val="101"/>
                <w:lang w:val="sr-Cyrl-CS"/>
              </w:rPr>
            </w:pPr>
            <w:r w:rsidRPr="00E84C93">
              <w:rPr>
                <w:rFonts w:cs="Times New Roman"/>
                <w:bCs/>
                <w:w w:val="101"/>
                <w:lang w:val="sr-Cyrl-CS"/>
              </w:rPr>
              <w:t>(моноинсинерација)</w:t>
            </w:r>
          </w:p>
        </w:tc>
        <w:tc>
          <w:tcPr>
            <w:tcW w:w="18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C2842" w14:textId="77777777" w:rsidR="000D53BC" w:rsidRPr="00E84C93" w:rsidRDefault="000D53BC" w:rsidP="000D53BC">
            <w:pPr>
              <w:widowControl w:val="0"/>
              <w:spacing w:after="0"/>
              <w:ind w:left="180" w:right="-20"/>
              <w:jc w:val="center"/>
              <w:rPr>
                <w:rFonts w:cs="Times New Roman"/>
                <w:bCs/>
                <w:w w:val="101"/>
                <w:lang w:val="sr-Cyrl-CS"/>
              </w:rPr>
            </w:pPr>
          </w:p>
          <w:p w14:paraId="5BB14909" w14:textId="77777777" w:rsidR="000D53BC" w:rsidRPr="00E84C93" w:rsidRDefault="000D53BC" w:rsidP="000D53BC">
            <w:pPr>
              <w:widowControl w:val="0"/>
              <w:spacing w:after="0"/>
              <w:ind w:left="180" w:right="-20"/>
              <w:jc w:val="center"/>
              <w:rPr>
                <w:rFonts w:cs="Times New Roman"/>
                <w:bCs/>
                <w:w w:val="101"/>
                <w:lang w:val="sr-Cyrl-CS"/>
              </w:rPr>
            </w:pPr>
            <w:r w:rsidRPr="00E84C93">
              <w:rPr>
                <w:rFonts w:cs="Times New Roman"/>
                <w:bCs/>
                <w:w w:val="101"/>
                <w:lang w:val="sr-Cyrl-CS"/>
              </w:rPr>
              <w:t xml:space="preserve">96% СМ </w:t>
            </w:r>
          </w:p>
          <w:p w14:paraId="65777714" w14:textId="00EE9F1E" w:rsidR="000D53BC" w:rsidRPr="00E84C93" w:rsidRDefault="000D53BC" w:rsidP="000D53BC">
            <w:pPr>
              <w:widowControl w:val="0"/>
              <w:spacing w:after="0"/>
              <w:ind w:left="180" w:right="-20"/>
              <w:jc w:val="center"/>
              <w:rPr>
                <w:rFonts w:cs="Times New Roman"/>
                <w:bCs/>
                <w:w w:val="101"/>
                <w:lang w:val="sr-Cyrl-CS"/>
              </w:rPr>
            </w:pP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4435968" w14:textId="77777777" w:rsidR="000D53BC" w:rsidRPr="00E84C93" w:rsidRDefault="000D53BC" w:rsidP="000D53BC">
            <w:pPr>
              <w:widowControl w:val="0"/>
              <w:spacing w:after="0"/>
              <w:ind w:left="270" w:right="-20"/>
              <w:jc w:val="center"/>
              <w:rPr>
                <w:rFonts w:cs="Times New Roman"/>
                <w:bCs/>
                <w:w w:val="101"/>
                <w:lang w:val="sr-Cyrl-CS"/>
              </w:rPr>
            </w:pPr>
            <w:r w:rsidRPr="00E84C93">
              <w:rPr>
                <w:rFonts w:cs="Times New Roman"/>
                <w:bCs/>
                <w:w w:val="101"/>
                <w:lang w:val="sr-Cyrl-CS"/>
              </w:rPr>
              <w:t>79.357 t СМ</w:t>
            </w:r>
            <w:r w:rsidRPr="00E84C93">
              <w:rPr>
                <w:rFonts w:cs="Times New Roman"/>
                <w:w w:val="101"/>
                <w:lang w:val="sr-Cyrl-CS"/>
              </w:rPr>
              <w:t>/год.</w:t>
            </w:r>
          </w:p>
          <w:p w14:paraId="26C99232" w14:textId="4CC37BE5" w:rsidR="000D53BC" w:rsidRPr="00E84C93" w:rsidRDefault="000D53BC" w:rsidP="000D53BC">
            <w:pPr>
              <w:widowControl w:val="0"/>
              <w:spacing w:after="0"/>
              <w:ind w:left="270" w:right="-20"/>
              <w:jc w:val="center"/>
              <w:rPr>
                <w:rFonts w:cs="Times New Roman"/>
                <w:bCs/>
                <w:w w:val="101"/>
                <w:lang w:val="sr-Cyrl-CS"/>
              </w:rPr>
            </w:pPr>
            <w:r w:rsidRPr="00E84C93">
              <w:rPr>
                <w:rFonts w:cs="Times New Roman"/>
                <w:bCs/>
                <w:w w:val="101"/>
                <w:lang w:val="sr-Cyrl-CS"/>
              </w:rPr>
              <w:t xml:space="preserve">82.700 </w:t>
            </w:r>
            <w:r w:rsidR="00DD06DC" w:rsidRPr="00E84C93">
              <w:rPr>
                <w:rFonts w:cs="Times New Roman"/>
                <w:w w:val="101"/>
                <w:lang w:val="sr-Cyrl-CS"/>
              </w:rPr>
              <w:t>t/год.</w:t>
            </w:r>
          </w:p>
          <w:p w14:paraId="3AEE2908" w14:textId="3624792E" w:rsidR="000D53BC" w:rsidRPr="00E84C93" w:rsidRDefault="000D53BC" w:rsidP="000D53BC">
            <w:pPr>
              <w:widowControl w:val="0"/>
              <w:spacing w:after="0"/>
              <w:ind w:left="270" w:right="-20"/>
              <w:jc w:val="center"/>
              <w:rPr>
                <w:rFonts w:cs="Times New Roman"/>
                <w:bCs/>
                <w:w w:val="101"/>
                <w:lang w:val="sr-Cyrl-CS"/>
              </w:rPr>
            </w:pPr>
          </w:p>
        </w:tc>
        <w:tc>
          <w:tcPr>
            <w:tcW w:w="20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128723F" w14:textId="77777777" w:rsidR="000D53BC" w:rsidRPr="00E84C93" w:rsidRDefault="000D53BC" w:rsidP="000D53BC">
            <w:pPr>
              <w:widowControl w:val="0"/>
              <w:spacing w:after="0"/>
              <w:ind w:left="126" w:right="-20"/>
              <w:jc w:val="center"/>
              <w:rPr>
                <w:rFonts w:cs="Times New Roman"/>
                <w:bCs/>
                <w:w w:val="101"/>
                <w:lang w:val="sr-Cyrl-CS"/>
              </w:rPr>
            </w:pPr>
            <w:r w:rsidRPr="00E84C93">
              <w:rPr>
                <w:rFonts w:cs="Times New Roman"/>
                <w:bCs/>
                <w:w w:val="101"/>
                <w:lang w:val="sr-Cyrl-CS"/>
              </w:rPr>
              <w:t>67.735 t СМ</w:t>
            </w:r>
            <w:r w:rsidRPr="00E84C93">
              <w:rPr>
                <w:rFonts w:cs="Times New Roman"/>
                <w:w w:val="101"/>
                <w:lang w:val="sr-Cyrl-CS"/>
              </w:rPr>
              <w:t>/год.</w:t>
            </w:r>
          </w:p>
          <w:p w14:paraId="57B39E2C" w14:textId="107DE24A" w:rsidR="000D53BC" w:rsidRPr="00E84C93" w:rsidRDefault="000D53BC" w:rsidP="000D53BC">
            <w:pPr>
              <w:widowControl w:val="0"/>
              <w:spacing w:after="0"/>
              <w:ind w:left="126" w:right="-20"/>
              <w:jc w:val="center"/>
              <w:rPr>
                <w:rFonts w:cs="Times New Roman"/>
                <w:bCs/>
                <w:w w:val="101"/>
                <w:lang w:val="sr-Cyrl-CS"/>
              </w:rPr>
            </w:pPr>
            <w:r w:rsidRPr="00E84C93">
              <w:rPr>
                <w:rFonts w:cs="Times New Roman"/>
                <w:bCs/>
                <w:w w:val="101"/>
                <w:lang w:val="sr-Cyrl-CS"/>
              </w:rPr>
              <w:t xml:space="preserve">70.600 </w:t>
            </w:r>
            <w:r w:rsidR="00DD06DC" w:rsidRPr="00E84C93">
              <w:rPr>
                <w:rFonts w:cs="Times New Roman"/>
                <w:w w:val="101"/>
                <w:lang w:val="sr-Cyrl-CS"/>
              </w:rPr>
              <w:t>t/год.</w:t>
            </w:r>
          </w:p>
          <w:p w14:paraId="5297375B" w14:textId="7957E0CE" w:rsidR="000D53BC" w:rsidRPr="00E84C93" w:rsidRDefault="000D53BC" w:rsidP="000D53BC">
            <w:pPr>
              <w:widowControl w:val="0"/>
              <w:spacing w:after="0"/>
              <w:ind w:left="126" w:right="-20"/>
              <w:jc w:val="center"/>
              <w:rPr>
                <w:rFonts w:cs="Times New Roman"/>
                <w:b/>
                <w:bCs/>
                <w:w w:val="101"/>
                <w:lang w:val="sr-Cyrl-CS"/>
              </w:rPr>
            </w:pPr>
          </w:p>
        </w:tc>
      </w:tr>
    </w:tbl>
    <w:p w14:paraId="6A0C8762" w14:textId="758A51D1" w:rsidR="00F63335" w:rsidRPr="00E84C93" w:rsidRDefault="00F63335" w:rsidP="00F63335">
      <w:pPr>
        <w:keepNext/>
        <w:tabs>
          <w:tab w:val="left" w:pos="992"/>
          <w:tab w:val="left" w:pos="3119"/>
        </w:tabs>
        <w:spacing w:after="60"/>
        <w:rPr>
          <w:rFonts w:asciiTheme="minorHAnsi" w:hAnsiTheme="minorHAnsi" w:cstheme="minorHAnsi"/>
          <w:iCs/>
          <w:color w:val="002060"/>
          <w:sz w:val="20"/>
          <w:szCs w:val="16"/>
          <w:u w:val="single"/>
          <w:lang w:val="sr-Cyrl-CS"/>
        </w:rPr>
      </w:pPr>
    </w:p>
    <w:p w14:paraId="5671C86B" w14:textId="77777777" w:rsidR="00C57A19" w:rsidRPr="00E84C93" w:rsidRDefault="00C57A19" w:rsidP="00F63335">
      <w:pPr>
        <w:keepNext/>
        <w:tabs>
          <w:tab w:val="left" w:pos="992"/>
          <w:tab w:val="left" w:pos="3119"/>
        </w:tabs>
        <w:spacing w:after="60"/>
        <w:rPr>
          <w:rFonts w:asciiTheme="minorHAnsi" w:hAnsiTheme="minorHAnsi" w:cstheme="minorHAnsi"/>
          <w:iCs/>
          <w:color w:val="002060"/>
          <w:sz w:val="20"/>
          <w:szCs w:val="16"/>
          <w:u w:val="single"/>
          <w:lang w:val="sr-Cyrl-CS"/>
        </w:rPr>
      </w:pPr>
    </w:p>
    <w:p w14:paraId="69B5BE96" w14:textId="19525A96" w:rsidR="000D53BC" w:rsidRPr="00E84C93" w:rsidRDefault="000D53BC" w:rsidP="000D53BC">
      <w:pPr>
        <w:spacing w:after="0"/>
        <w:ind w:firstLine="720"/>
        <w:jc w:val="both"/>
        <w:rPr>
          <w:lang w:val="sr-Cyrl-CS"/>
        </w:rPr>
      </w:pPr>
      <w:r w:rsidRPr="00E84C93">
        <w:rPr>
          <w:lang w:val="sr-Cyrl-CS"/>
        </w:rPr>
        <w:t>На крају планског периода 202</w:t>
      </w:r>
      <w:r w:rsidR="00F975B0" w:rsidRPr="00E84C93">
        <w:rPr>
          <w:lang w:val="sr-Cyrl-CS"/>
        </w:rPr>
        <w:t>3</w:t>
      </w:r>
      <w:r w:rsidRPr="00E84C93">
        <w:rPr>
          <w:lang w:val="sr-Cyrl-CS"/>
        </w:rPr>
        <w:t>-2041. године, очекивана количина муља у Републици Србији износиће око 0,5 – 0,6 милиона тона дигестираног и обезводњеног муља (са просечним садржајем суве материје од 25% и влаге 75%), у зависности од ангажованог капацитета појединачних постројења за пречишћавање отпадних вода. Накнадни третман (сушење, спаљивање), одлагање или поновна употреба су предмет управљања муљем.</w:t>
      </w:r>
    </w:p>
    <w:p w14:paraId="4CE6204F" w14:textId="0DA1BBB2" w:rsidR="00F63335" w:rsidRPr="00E84C93" w:rsidRDefault="000D53BC" w:rsidP="000D53BC">
      <w:pPr>
        <w:spacing w:after="0"/>
        <w:ind w:firstLine="720"/>
        <w:jc w:val="both"/>
        <w:rPr>
          <w:rFonts w:cs="Times New Roman"/>
          <w:lang w:val="sr-Cyrl-CS" w:bidi="en-US"/>
        </w:rPr>
      </w:pPr>
      <w:r w:rsidRPr="00E84C93">
        <w:rPr>
          <w:lang w:val="sr-Cyrl-CS"/>
        </w:rPr>
        <w:t xml:space="preserve">За транспорт процењене количине обезводњеног муља потребно је обезбедити око 35.000 </w:t>
      </w:r>
      <w:r w:rsidR="009D696D" w:rsidRPr="00E84C93">
        <w:rPr>
          <w:lang w:val="sr-Cyrl-CS"/>
        </w:rPr>
        <w:t xml:space="preserve">транспортa </w:t>
      </w:r>
      <w:r w:rsidRPr="00E84C93">
        <w:rPr>
          <w:lang w:val="sr-Cyrl-CS"/>
        </w:rPr>
        <w:t>камион</w:t>
      </w:r>
      <w:r w:rsidR="009D696D" w:rsidRPr="00E84C93">
        <w:rPr>
          <w:lang w:val="sr-Cyrl-CS"/>
        </w:rPr>
        <w:t>им</w:t>
      </w:r>
      <w:r w:rsidRPr="00E84C93">
        <w:rPr>
          <w:lang w:val="sr-Cyrl-CS"/>
        </w:rPr>
        <w:t>а носивости 15 t, док је за транспорт осушеног муља потребно приближно 15.000 транспорта</w:t>
      </w:r>
      <w:r w:rsidR="002473E3" w:rsidRPr="00E84C93">
        <w:rPr>
          <w:lang w:val="sr-Cyrl-CS"/>
        </w:rPr>
        <w:t>,</w:t>
      </w:r>
      <w:r w:rsidRPr="00E84C93">
        <w:rPr>
          <w:lang w:val="sr-Cyrl-CS"/>
        </w:rPr>
        <w:t xml:space="preserve"> а пепела мање од 10.000 транспорта. Ово указује да утицај транспорта муља на животну средину и карбонски отисак зависи од начина третмана и количине третираног муља</w:t>
      </w:r>
      <w:r w:rsidR="00F63335" w:rsidRPr="00E84C93">
        <w:rPr>
          <w:lang w:val="sr-Cyrl-CS"/>
        </w:rPr>
        <w:t>.</w:t>
      </w:r>
      <w:r w:rsidR="00F63335" w:rsidRPr="00E84C93">
        <w:rPr>
          <w:rFonts w:cs="Times New Roman"/>
          <w:lang w:val="sr-Cyrl-CS" w:bidi="en-US"/>
        </w:rPr>
        <w:t xml:space="preserve"> </w:t>
      </w:r>
    </w:p>
    <w:p w14:paraId="337256D5" w14:textId="77777777" w:rsidR="00F63335" w:rsidRPr="00E84C93" w:rsidRDefault="00F63335" w:rsidP="00C7465A">
      <w:pPr>
        <w:spacing w:after="0"/>
        <w:jc w:val="both"/>
        <w:rPr>
          <w:rFonts w:cs="Times New Roman"/>
          <w:lang w:val="sr-Cyrl-CS" w:bidi="en-US"/>
        </w:rPr>
      </w:pPr>
    </w:p>
    <w:p w14:paraId="447A04F1" w14:textId="1BF892DA" w:rsidR="00F63335" w:rsidRPr="00E84C93" w:rsidRDefault="00F63335" w:rsidP="00702870">
      <w:pPr>
        <w:pStyle w:val="Heading4"/>
        <w:spacing w:before="0"/>
        <w:ind w:firstLine="720"/>
        <w:jc w:val="both"/>
        <w:rPr>
          <w:rFonts w:ascii="Times New Roman" w:hAnsi="Times New Roman" w:cs="Times New Roman"/>
          <w:b/>
          <w:bCs/>
          <w:i w:val="0"/>
          <w:iCs w:val="0"/>
          <w:lang w:val="sr-Cyrl-CS"/>
        </w:rPr>
      </w:pPr>
      <w:bookmarkStart w:id="52" w:name="_Toc95129086"/>
      <w:r w:rsidRPr="00E84C93">
        <w:rPr>
          <w:rFonts w:ascii="Times New Roman" w:hAnsi="Times New Roman" w:cs="Times New Roman"/>
          <w:b/>
          <w:bCs/>
          <w:i w:val="0"/>
          <w:iCs w:val="0"/>
          <w:lang w:val="sr-Cyrl-CS"/>
        </w:rPr>
        <w:t>П</w:t>
      </w:r>
      <w:r w:rsidR="002D244A" w:rsidRPr="00E84C93">
        <w:rPr>
          <w:rFonts w:ascii="Times New Roman" w:hAnsi="Times New Roman" w:cs="Times New Roman"/>
          <w:b/>
          <w:bCs/>
          <w:i w:val="0"/>
          <w:iCs w:val="0"/>
          <w:lang w:val="sr-Cyrl-CS"/>
        </w:rPr>
        <w:t>ро</w:t>
      </w:r>
      <w:r w:rsidR="000E1218" w:rsidRPr="00E84C93">
        <w:rPr>
          <w:rFonts w:ascii="Times New Roman" w:hAnsi="Times New Roman" w:cs="Times New Roman"/>
          <w:b/>
          <w:bCs/>
          <w:i w:val="0"/>
          <w:iCs w:val="0"/>
          <w:lang w:val="sr-Cyrl-CS"/>
        </w:rPr>
        <w:t>јекција</w:t>
      </w:r>
      <w:r w:rsidR="002D244A" w:rsidRPr="00E84C93">
        <w:rPr>
          <w:rFonts w:ascii="Times New Roman" w:hAnsi="Times New Roman" w:cs="Times New Roman"/>
          <w:b/>
          <w:bCs/>
          <w:i w:val="0"/>
          <w:iCs w:val="0"/>
          <w:lang w:val="sr-Cyrl-CS"/>
        </w:rPr>
        <w:t xml:space="preserve"> п</w:t>
      </w:r>
      <w:r w:rsidRPr="00E84C93">
        <w:rPr>
          <w:rFonts w:ascii="Times New Roman" w:hAnsi="Times New Roman" w:cs="Times New Roman"/>
          <w:b/>
          <w:bCs/>
          <w:i w:val="0"/>
          <w:iCs w:val="0"/>
          <w:lang w:val="sr-Cyrl-CS"/>
        </w:rPr>
        <w:t>роизводњ</w:t>
      </w:r>
      <w:r w:rsidR="002D244A" w:rsidRPr="00E84C93">
        <w:rPr>
          <w:rFonts w:ascii="Times New Roman" w:hAnsi="Times New Roman" w:cs="Times New Roman"/>
          <w:b/>
          <w:bCs/>
          <w:i w:val="0"/>
          <w:iCs w:val="0"/>
          <w:lang w:val="sr-Cyrl-CS"/>
        </w:rPr>
        <w:t>е</w:t>
      </w:r>
      <w:r w:rsidRPr="00E84C93">
        <w:rPr>
          <w:rFonts w:ascii="Times New Roman" w:hAnsi="Times New Roman" w:cs="Times New Roman"/>
          <w:b/>
          <w:bCs/>
          <w:i w:val="0"/>
          <w:iCs w:val="0"/>
          <w:lang w:val="sr-Cyrl-CS"/>
        </w:rPr>
        <w:t xml:space="preserve"> муља по </w:t>
      </w:r>
      <w:r w:rsidR="00406414" w:rsidRPr="00E84C93">
        <w:rPr>
          <w:rFonts w:ascii="Times New Roman" w:hAnsi="Times New Roman" w:cs="Times New Roman"/>
          <w:b/>
          <w:bCs/>
          <w:i w:val="0"/>
          <w:iCs w:val="0"/>
          <w:lang w:val="sr-Cyrl-CS"/>
        </w:rPr>
        <w:t>управним окрузима</w:t>
      </w:r>
      <w:bookmarkEnd w:id="52"/>
    </w:p>
    <w:p w14:paraId="151CEF55" w14:textId="326EFF11" w:rsidR="00F63335" w:rsidRPr="00E84C93" w:rsidRDefault="000E1218" w:rsidP="00702870">
      <w:pPr>
        <w:spacing w:after="0"/>
        <w:ind w:firstLine="720"/>
        <w:jc w:val="both"/>
        <w:rPr>
          <w:rFonts w:cs="Times New Roman"/>
          <w:lang w:val="sr-Cyrl-CS" w:bidi="en-US"/>
        </w:rPr>
      </w:pPr>
      <w:r w:rsidRPr="00E84C93">
        <w:rPr>
          <w:rFonts w:cs="Times New Roman"/>
          <w:lang w:val="sr-Cyrl-CS" w:bidi="en-US"/>
        </w:rPr>
        <w:t>Пројекција производње муља за пројек</w:t>
      </w:r>
      <w:r w:rsidR="001A70B0" w:rsidRPr="00E84C93">
        <w:rPr>
          <w:rFonts w:cs="Times New Roman"/>
          <w:lang w:val="sr-Cyrl-CS" w:bidi="en-US"/>
        </w:rPr>
        <w:t>тн</w:t>
      </w:r>
      <w:r w:rsidRPr="00E84C93">
        <w:rPr>
          <w:rFonts w:cs="Times New Roman"/>
          <w:lang w:val="sr-Cyrl-CS" w:bidi="en-US"/>
        </w:rPr>
        <w:t>и период 202</w:t>
      </w:r>
      <w:r w:rsidR="00F975B0" w:rsidRPr="00E84C93">
        <w:rPr>
          <w:rFonts w:cs="Times New Roman"/>
          <w:lang w:val="sr-Cyrl-CS" w:bidi="en-US"/>
        </w:rPr>
        <w:t>3</w:t>
      </w:r>
      <w:r w:rsidRPr="00E84C93">
        <w:rPr>
          <w:rFonts w:cs="Times New Roman"/>
          <w:lang w:val="sr-Cyrl-CS" w:bidi="en-US"/>
        </w:rPr>
        <w:t xml:space="preserve"> - 2041. године на нивоу округа приказана је </w:t>
      </w:r>
      <w:r w:rsidR="001F6D46" w:rsidRPr="00E84C93">
        <w:rPr>
          <w:rFonts w:cs="Times New Roman"/>
          <w:lang w:val="sr-Cyrl-CS" w:bidi="en-US"/>
        </w:rPr>
        <w:t>у Т</w:t>
      </w:r>
      <w:r w:rsidRPr="00E84C93">
        <w:rPr>
          <w:rFonts w:cs="Times New Roman"/>
          <w:lang w:val="sr-Cyrl-CS" w:bidi="en-US"/>
        </w:rPr>
        <w:t xml:space="preserve">абели 3.7. проистиче из детаљне анализе генерисаног муља по </w:t>
      </w:r>
      <w:r w:rsidR="002473E3" w:rsidRPr="00E84C93">
        <w:rPr>
          <w:rFonts w:cs="Times New Roman"/>
          <w:lang w:val="sr-Cyrl-CS" w:bidi="en-US"/>
        </w:rPr>
        <w:t>локалним самоуправама</w:t>
      </w:r>
      <w:r w:rsidRPr="00E84C93">
        <w:rPr>
          <w:rFonts w:cs="Times New Roman"/>
          <w:lang w:val="sr-Cyrl-CS" w:bidi="en-US"/>
        </w:rPr>
        <w:t>.</w:t>
      </w:r>
    </w:p>
    <w:p w14:paraId="573B0F65" w14:textId="77777777" w:rsidR="001B734A" w:rsidRPr="00E84C93" w:rsidRDefault="001B734A" w:rsidP="00702870">
      <w:pPr>
        <w:spacing w:after="0"/>
        <w:ind w:firstLine="720"/>
        <w:jc w:val="both"/>
        <w:rPr>
          <w:rFonts w:cs="Times New Roman"/>
          <w:lang w:val="sr-Cyrl-CS" w:bidi="en-US"/>
        </w:rPr>
      </w:pPr>
    </w:p>
    <w:p w14:paraId="7AAFD0E6" w14:textId="705E26A3" w:rsidR="00F63335" w:rsidRPr="00E84C93" w:rsidRDefault="00F63335" w:rsidP="00F63335">
      <w:pPr>
        <w:keepNext/>
        <w:tabs>
          <w:tab w:val="left" w:pos="992"/>
          <w:tab w:val="left" w:pos="3119"/>
        </w:tabs>
        <w:spacing w:after="60"/>
        <w:rPr>
          <w:iCs/>
          <w:szCs w:val="24"/>
          <w:lang w:val="sr-Cyrl-CS"/>
        </w:rPr>
      </w:pPr>
      <w:bookmarkStart w:id="53" w:name="_Ref90024984"/>
      <w:bookmarkStart w:id="54" w:name="_Toc95128183"/>
      <w:r w:rsidRPr="00E84C93">
        <w:rPr>
          <w:b/>
          <w:bCs/>
          <w:iCs/>
          <w:szCs w:val="24"/>
          <w:lang w:val="sr-Cyrl-CS"/>
        </w:rPr>
        <w:t xml:space="preserve">Табела </w:t>
      </w:r>
      <w:bookmarkEnd w:id="53"/>
      <w:r w:rsidR="00453FF8" w:rsidRPr="00E84C93">
        <w:rPr>
          <w:b/>
          <w:bCs/>
          <w:iCs/>
          <w:szCs w:val="24"/>
          <w:lang w:val="sr-Cyrl-CS"/>
        </w:rPr>
        <w:t>3.</w:t>
      </w:r>
      <w:r w:rsidR="003E691A" w:rsidRPr="00E84C93">
        <w:rPr>
          <w:b/>
          <w:bCs/>
          <w:iCs/>
          <w:szCs w:val="24"/>
          <w:lang w:val="sr-Cyrl-CS"/>
        </w:rPr>
        <w:t>7</w:t>
      </w:r>
      <w:r w:rsidR="00453FF8" w:rsidRPr="00E84C93">
        <w:rPr>
          <w:b/>
          <w:bCs/>
          <w:iCs/>
          <w:szCs w:val="24"/>
          <w:lang w:val="sr-Cyrl-CS"/>
        </w:rPr>
        <w:t>.</w:t>
      </w:r>
      <w:r w:rsidRPr="00E84C93">
        <w:rPr>
          <w:iCs/>
          <w:szCs w:val="24"/>
          <w:lang w:val="sr-Cyrl-CS"/>
        </w:rPr>
        <w:t xml:space="preserve"> </w:t>
      </w:r>
      <w:bookmarkEnd w:id="54"/>
      <w:r w:rsidR="000E1218" w:rsidRPr="00E84C93">
        <w:rPr>
          <w:iCs/>
          <w:szCs w:val="24"/>
          <w:lang w:val="sr-Cyrl-CS"/>
        </w:rPr>
        <w:t>Годишња производња муља (изражена у тони суве материје годишње) по административном округу</w:t>
      </w:r>
    </w:p>
    <w:tbl>
      <w:tblPr>
        <w:tblStyle w:val="TableNormal1"/>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5"/>
        <w:gridCol w:w="3690"/>
        <w:gridCol w:w="1890"/>
        <w:gridCol w:w="1350"/>
        <w:gridCol w:w="1260"/>
      </w:tblGrid>
      <w:tr w:rsidR="005F006D" w:rsidRPr="00E84C93" w14:paraId="6EAE8D68" w14:textId="77777777" w:rsidTr="004F6436">
        <w:trPr>
          <w:trHeight w:val="624"/>
          <w:tblHeader/>
        </w:trPr>
        <w:tc>
          <w:tcPr>
            <w:tcW w:w="895" w:type="dxa"/>
            <w:vMerge w:val="restart"/>
            <w:shd w:val="clear" w:color="auto" w:fill="BDD6EE" w:themeFill="accent1" w:themeFillTint="66"/>
            <w:vAlign w:val="center"/>
          </w:tcPr>
          <w:p w14:paraId="45EE12B2" w14:textId="77777777" w:rsidR="005F006D" w:rsidRPr="00E84C93" w:rsidRDefault="005F006D" w:rsidP="003869E1">
            <w:pPr>
              <w:ind w:left="293"/>
              <w:jc w:val="center"/>
              <w:rPr>
                <w:rFonts w:eastAsia="Calibri" w:cs="Times New Roman"/>
                <w:b/>
                <w:bCs/>
                <w:sz w:val="22"/>
                <w:lang w:val="sr-Cyrl-CS"/>
              </w:rPr>
            </w:pPr>
            <w:r w:rsidRPr="00E84C93">
              <w:rPr>
                <w:rFonts w:eastAsia="Calibri" w:cs="Times New Roman"/>
                <w:b/>
                <w:bCs/>
                <w:sz w:val="22"/>
                <w:lang w:val="sr-Cyrl-CS"/>
              </w:rPr>
              <w:t>Бр.</w:t>
            </w:r>
          </w:p>
        </w:tc>
        <w:tc>
          <w:tcPr>
            <w:tcW w:w="3690" w:type="dxa"/>
            <w:vMerge w:val="restart"/>
            <w:shd w:val="clear" w:color="auto" w:fill="BDD6EE" w:themeFill="accent1" w:themeFillTint="66"/>
            <w:vAlign w:val="center"/>
          </w:tcPr>
          <w:p w14:paraId="715C2219" w14:textId="62C2ADDF" w:rsidR="005F006D" w:rsidRPr="00E84C93" w:rsidRDefault="005F006D" w:rsidP="00453FF8">
            <w:pPr>
              <w:spacing w:after="0"/>
              <w:ind w:left="90"/>
              <w:rPr>
                <w:rFonts w:eastAsia="Calibri" w:cs="Times New Roman"/>
                <w:b/>
                <w:bCs/>
                <w:sz w:val="22"/>
                <w:lang w:val="sr-Cyrl-CS"/>
              </w:rPr>
            </w:pPr>
            <w:r w:rsidRPr="00E84C93">
              <w:rPr>
                <w:rFonts w:eastAsia="Calibri" w:cs="Times New Roman"/>
                <w:b/>
                <w:bCs/>
                <w:sz w:val="22"/>
                <w:lang w:val="sr-Cyrl-CS"/>
              </w:rPr>
              <w:t>Регион</w:t>
            </w:r>
            <w:r w:rsidR="00453FF8" w:rsidRPr="00E84C93">
              <w:rPr>
                <w:rFonts w:eastAsia="Calibri" w:cs="Times New Roman"/>
                <w:b/>
                <w:bCs/>
                <w:sz w:val="22"/>
                <w:lang w:val="sr-Cyrl-CS"/>
              </w:rPr>
              <w:t>/Управни о</w:t>
            </w:r>
            <w:r w:rsidRPr="00E84C93">
              <w:rPr>
                <w:rFonts w:eastAsia="Calibri" w:cs="Times New Roman"/>
                <w:b/>
                <w:bCs/>
                <w:sz w:val="22"/>
                <w:lang w:val="sr-Cyrl-CS"/>
              </w:rPr>
              <w:t>круг</w:t>
            </w:r>
          </w:p>
        </w:tc>
        <w:tc>
          <w:tcPr>
            <w:tcW w:w="1890" w:type="dxa"/>
            <w:shd w:val="clear" w:color="auto" w:fill="BDD6EE" w:themeFill="accent1" w:themeFillTint="66"/>
            <w:vAlign w:val="center"/>
          </w:tcPr>
          <w:p w14:paraId="769519E1" w14:textId="3E411EBC" w:rsidR="005F006D" w:rsidRPr="00E84C93" w:rsidRDefault="005F006D" w:rsidP="003869E1">
            <w:pPr>
              <w:ind w:left="84" w:right="180"/>
              <w:jc w:val="center"/>
              <w:rPr>
                <w:rFonts w:eastAsia="Calibri" w:cs="Times New Roman"/>
                <w:b/>
                <w:bCs/>
                <w:sz w:val="22"/>
                <w:lang w:val="sr-Cyrl-CS"/>
              </w:rPr>
            </w:pPr>
            <w:r w:rsidRPr="00E84C93">
              <w:rPr>
                <w:rFonts w:eastAsia="Calibri" w:cs="Times New Roman"/>
                <w:b/>
                <w:bCs/>
                <w:sz w:val="22"/>
                <w:lang w:val="sr-Cyrl-CS"/>
              </w:rPr>
              <w:t>Пројектовани капацитет</w:t>
            </w:r>
          </w:p>
        </w:tc>
        <w:tc>
          <w:tcPr>
            <w:tcW w:w="1350" w:type="dxa"/>
            <w:shd w:val="clear" w:color="auto" w:fill="BDD6EE" w:themeFill="accent1" w:themeFillTint="66"/>
            <w:vAlign w:val="center"/>
          </w:tcPr>
          <w:p w14:paraId="510ED63B" w14:textId="3D9E5D4C" w:rsidR="005F006D" w:rsidRPr="00E84C93" w:rsidRDefault="005F006D" w:rsidP="004F6436">
            <w:pPr>
              <w:ind w:left="90"/>
              <w:jc w:val="center"/>
              <w:rPr>
                <w:rFonts w:eastAsia="Calibri" w:cs="Times New Roman"/>
                <w:b/>
                <w:bCs/>
                <w:sz w:val="22"/>
                <w:lang w:val="sr-Cyrl-CS"/>
              </w:rPr>
            </w:pPr>
            <w:r w:rsidRPr="00E84C93">
              <w:rPr>
                <w:rFonts w:eastAsia="Calibri" w:cs="Times New Roman"/>
                <w:b/>
                <w:bCs/>
                <w:sz w:val="22"/>
                <w:lang w:val="sr-Cyrl-CS"/>
              </w:rPr>
              <w:t>85</w:t>
            </w:r>
            <w:r w:rsidR="000E1218" w:rsidRPr="00E84C93">
              <w:rPr>
                <w:rFonts w:eastAsia="Calibri" w:cs="Times New Roman"/>
                <w:b/>
                <w:bCs/>
                <w:sz w:val="22"/>
                <w:lang w:val="sr-Cyrl-CS"/>
              </w:rPr>
              <w:t>. перцентил</w:t>
            </w:r>
          </w:p>
        </w:tc>
        <w:tc>
          <w:tcPr>
            <w:tcW w:w="1260" w:type="dxa"/>
            <w:shd w:val="clear" w:color="auto" w:fill="BDD6EE" w:themeFill="accent1" w:themeFillTint="66"/>
            <w:vAlign w:val="center"/>
          </w:tcPr>
          <w:p w14:paraId="413D7B43" w14:textId="1F89A388" w:rsidR="005F006D" w:rsidRPr="00E84C93" w:rsidRDefault="005F006D" w:rsidP="004F6436">
            <w:pPr>
              <w:ind w:left="84"/>
              <w:jc w:val="center"/>
              <w:rPr>
                <w:rFonts w:eastAsia="Calibri" w:cs="Times New Roman"/>
                <w:b/>
                <w:bCs/>
                <w:sz w:val="22"/>
                <w:lang w:val="sr-Cyrl-CS"/>
              </w:rPr>
            </w:pPr>
            <w:r w:rsidRPr="00E84C93">
              <w:rPr>
                <w:rFonts w:eastAsia="Calibri" w:cs="Times New Roman"/>
                <w:b/>
                <w:bCs/>
                <w:sz w:val="22"/>
                <w:lang w:val="sr-Cyrl-CS"/>
              </w:rPr>
              <w:t>50</w:t>
            </w:r>
            <w:r w:rsidR="000E1218" w:rsidRPr="00E84C93">
              <w:rPr>
                <w:rFonts w:eastAsia="Calibri" w:cs="Times New Roman"/>
                <w:b/>
                <w:bCs/>
                <w:sz w:val="22"/>
                <w:lang w:val="sr-Cyrl-CS"/>
              </w:rPr>
              <w:t>. пер</w:t>
            </w:r>
            <w:r w:rsidR="00BC2D3F" w:rsidRPr="00E84C93">
              <w:rPr>
                <w:rFonts w:eastAsia="Calibri" w:cs="Times New Roman"/>
                <w:b/>
                <w:bCs/>
                <w:sz w:val="22"/>
                <w:lang w:val="sr-Cyrl-CS"/>
              </w:rPr>
              <w:t>ц</w:t>
            </w:r>
            <w:r w:rsidR="000E1218" w:rsidRPr="00E84C93">
              <w:rPr>
                <w:rFonts w:eastAsia="Calibri" w:cs="Times New Roman"/>
                <w:b/>
                <w:bCs/>
                <w:sz w:val="22"/>
                <w:lang w:val="sr-Cyrl-CS"/>
              </w:rPr>
              <w:t>ентил</w:t>
            </w:r>
          </w:p>
        </w:tc>
      </w:tr>
      <w:tr w:rsidR="005F006D" w:rsidRPr="00E84C93" w14:paraId="7CDE2EFE" w14:textId="77777777" w:rsidTr="004F6436">
        <w:trPr>
          <w:trHeight w:val="215"/>
          <w:tblHeader/>
        </w:trPr>
        <w:tc>
          <w:tcPr>
            <w:tcW w:w="895" w:type="dxa"/>
            <w:vMerge/>
            <w:shd w:val="clear" w:color="auto" w:fill="BDD6EE" w:themeFill="accent1" w:themeFillTint="66"/>
            <w:vAlign w:val="center"/>
          </w:tcPr>
          <w:p w14:paraId="3973C757" w14:textId="77777777" w:rsidR="005F006D" w:rsidRPr="00E84C93" w:rsidRDefault="005F006D" w:rsidP="006E7EA4">
            <w:pPr>
              <w:jc w:val="center"/>
              <w:rPr>
                <w:rFonts w:eastAsia="Calibri" w:cs="Times New Roman"/>
                <w:bCs/>
                <w:sz w:val="22"/>
                <w:lang w:val="sr-Cyrl-CS"/>
              </w:rPr>
            </w:pPr>
          </w:p>
        </w:tc>
        <w:tc>
          <w:tcPr>
            <w:tcW w:w="3690" w:type="dxa"/>
            <w:vMerge/>
            <w:shd w:val="clear" w:color="auto" w:fill="BDD6EE" w:themeFill="accent1" w:themeFillTint="66"/>
            <w:vAlign w:val="center"/>
          </w:tcPr>
          <w:p w14:paraId="29B3387D" w14:textId="77777777" w:rsidR="005F006D" w:rsidRPr="00E84C93" w:rsidRDefault="005F006D" w:rsidP="006E7EA4">
            <w:pPr>
              <w:jc w:val="center"/>
              <w:rPr>
                <w:rFonts w:eastAsia="Calibri" w:cs="Times New Roman"/>
                <w:bCs/>
                <w:sz w:val="22"/>
                <w:lang w:val="sr-Cyrl-CS"/>
              </w:rPr>
            </w:pPr>
          </w:p>
        </w:tc>
        <w:tc>
          <w:tcPr>
            <w:tcW w:w="1890" w:type="dxa"/>
            <w:shd w:val="clear" w:color="auto" w:fill="BDD6EE" w:themeFill="accent1" w:themeFillTint="66"/>
            <w:vAlign w:val="center"/>
          </w:tcPr>
          <w:p w14:paraId="5B8ACBC1" w14:textId="5A4E6FD6" w:rsidR="005F006D" w:rsidRPr="00E84C93" w:rsidRDefault="005F006D" w:rsidP="00453FF8">
            <w:pPr>
              <w:spacing w:after="0"/>
              <w:jc w:val="center"/>
              <w:rPr>
                <w:rFonts w:eastAsia="Calibri" w:cs="Times New Roman"/>
                <w:b/>
                <w:bCs/>
                <w:w w:val="95"/>
                <w:sz w:val="22"/>
                <w:lang w:val="sr-Cyrl-CS"/>
              </w:rPr>
            </w:pPr>
            <w:r w:rsidRPr="00E84C93">
              <w:rPr>
                <w:rFonts w:eastAsia="Calibri" w:cs="Times New Roman"/>
                <w:b/>
                <w:bCs/>
                <w:sz w:val="22"/>
                <w:lang w:val="sr-Cyrl-CS"/>
              </w:rPr>
              <w:t>(</w:t>
            </w:r>
            <w:r w:rsidR="00B77B6D" w:rsidRPr="00E84C93">
              <w:rPr>
                <w:rFonts w:eastAsia="Calibri" w:cs="Times New Roman"/>
                <w:b/>
                <w:bCs/>
                <w:sz w:val="22"/>
                <w:lang w:val="sr-Cyrl-CS"/>
              </w:rPr>
              <w:t>E</w:t>
            </w:r>
            <w:r w:rsidR="008C7EDF" w:rsidRPr="00E84C93">
              <w:rPr>
                <w:rFonts w:eastAsia="Calibri" w:cs="Times New Roman"/>
                <w:b/>
                <w:bCs/>
                <w:sz w:val="22"/>
                <w:lang w:val="sr-Cyrl-CS"/>
              </w:rPr>
              <w:t>С</w:t>
            </w:r>
            <w:r w:rsidRPr="00E84C93">
              <w:rPr>
                <w:rFonts w:eastAsia="Calibri" w:cs="Times New Roman"/>
                <w:b/>
                <w:bCs/>
                <w:sz w:val="22"/>
                <w:lang w:val="sr-Cyrl-CS"/>
              </w:rPr>
              <w:t>)</w:t>
            </w:r>
          </w:p>
        </w:tc>
        <w:tc>
          <w:tcPr>
            <w:tcW w:w="2610" w:type="dxa"/>
            <w:gridSpan w:val="2"/>
            <w:shd w:val="clear" w:color="auto" w:fill="BDD6EE" w:themeFill="accent1" w:themeFillTint="66"/>
            <w:vAlign w:val="center"/>
          </w:tcPr>
          <w:p w14:paraId="76B79BBA" w14:textId="31E52F26" w:rsidR="005F006D" w:rsidRPr="00E84C93" w:rsidRDefault="00E81FD2" w:rsidP="00453FF8">
            <w:pPr>
              <w:spacing w:after="0"/>
              <w:jc w:val="center"/>
              <w:rPr>
                <w:rFonts w:eastAsia="Calibri" w:cs="Times New Roman"/>
                <w:b/>
                <w:bCs/>
                <w:w w:val="90"/>
                <w:sz w:val="22"/>
                <w:lang w:val="sr-Cyrl-CS"/>
              </w:rPr>
            </w:pPr>
            <w:r w:rsidRPr="00E84C93">
              <w:rPr>
                <w:rFonts w:eastAsia="Calibri" w:cs="Times New Roman"/>
                <w:b/>
                <w:bCs/>
                <w:sz w:val="22"/>
                <w:lang w:val="sr-Cyrl-CS"/>
              </w:rPr>
              <w:t>(</w:t>
            </w:r>
            <w:r w:rsidR="008C7EDF" w:rsidRPr="00E84C93">
              <w:rPr>
                <w:rFonts w:eastAsia="Calibri" w:cs="Times New Roman"/>
                <w:b/>
                <w:bCs/>
                <w:sz w:val="22"/>
                <w:lang w:val="sr-Cyrl-CS"/>
              </w:rPr>
              <w:t>t</w:t>
            </w:r>
            <w:r w:rsidR="005F006D" w:rsidRPr="00E84C93">
              <w:rPr>
                <w:rFonts w:eastAsia="Calibri" w:cs="Times New Roman"/>
                <w:b/>
                <w:bCs/>
                <w:sz w:val="22"/>
                <w:lang w:val="sr-Cyrl-CS"/>
              </w:rPr>
              <w:t xml:space="preserve"> </w:t>
            </w:r>
            <w:r w:rsidR="008C7EDF" w:rsidRPr="00E84C93">
              <w:rPr>
                <w:rFonts w:eastAsia="Calibri" w:cs="Times New Roman"/>
                <w:b/>
                <w:bCs/>
                <w:sz w:val="22"/>
                <w:lang w:val="sr-Cyrl-CS"/>
              </w:rPr>
              <w:t>СМ</w:t>
            </w:r>
            <w:r w:rsidR="005F006D" w:rsidRPr="00E84C93">
              <w:rPr>
                <w:rFonts w:eastAsia="Calibri" w:cs="Times New Roman"/>
                <w:b/>
                <w:bCs/>
                <w:sz w:val="22"/>
                <w:lang w:val="sr-Cyrl-CS"/>
              </w:rPr>
              <w:t>/год.</w:t>
            </w:r>
            <w:r w:rsidRPr="00E84C93">
              <w:rPr>
                <w:rFonts w:eastAsia="Calibri" w:cs="Times New Roman"/>
                <w:b/>
                <w:bCs/>
                <w:sz w:val="22"/>
                <w:lang w:val="sr-Cyrl-CS"/>
              </w:rPr>
              <w:t>)</w:t>
            </w:r>
          </w:p>
        </w:tc>
      </w:tr>
      <w:tr w:rsidR="00F63335" w:rsidRPr="00E84C93" w14:paraId="72A2D151" w14:textId="77777777" w:rsidTr="004F6436">
        <w:trPr>
          <w:trHeight w:val="340"/>
        </w:trPr>
        <w:tc>
          <w:tcPr>
            <w:tcW w:w="895" w:type="dxa"/>
            <w:shd w:val="clear" w:color="auto" w:fill="auto"/>
            <w:vAlign w:val="center"/>
          </w:tcPr>
          <w:p w14:paraId="72BDD35C"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0</w:t>
            </w:r>
          </w:p>
        </w:tc>
        <w:tc>
          <w:tcPr>
            <w:tcW w:w="3690" w:type="dxa"/>
            <w:shd w:val="clear" w:color="auto" w:fill="auto"/>
            <w:vAlign w:val="center"/>
          </w:tcPr>
          <w:p w14:paraId="776271D2" w14:textId="77777777" w:rsidR="00F63335" w:rsidRPr="00E84C93" w:rsidRDefault="00F63335" w:rsidP="006E7EA4">
            <w:pPr>
              <w:spacing w:after="0"/>
              <w:rPr>
                <w:rFonts w:eastAsia="Calibri" w:cs="Times New Roman"/>
                <w:b/>
                <w:bCs/>
                <w:sz w:val="22"/>
                <w:lang w:val="sr-Cyrl-CS"/>
              </w:rPr>
            </w:pPr>
            <w:r w:rsidRPr="00E84C93">
              <w:rPr>
                <w:rFonts w:cs="Times New Roman"/>
                <w:b/>
                <w:bCs/>
                <w:sz w:val="22"/>
                <w:lang w:val="sr-Cyrl-CS"/>
              </w:rPr>
              <w:t>Градске општине града Београда</w:t>
            </w:r>
          </w:p>
        </w:tc>
        <w:tc>
          <w:tcPr>
            <w:tcW w:w="1890" w:type="dxa"/>
            <w:shd w:val="clear" w:color="auto" w:fill="auto"/>
            <w:vAlign w:val="center"/>
          </w:tcPr>
          <w:p w14:paraId="16B579CE" w14:textId="77777777" w:rsidR="00F63335" w:rsidRPr="00E84C93" w:rsidRDefault="00F63335" w:rsidP="006E7EA4">
            <w:pPr>
              <w:spacing w:after="0"/>
              <w:jc w:val="center"/>
              <w:rPr>
                <w:rFonts w:eastAsia="Calibri" w:cs="Times New Roman"/>
                <w:bCs/>
                <w:w w:val="90"/>
                <w:sz w:val="22"/>
                <w:lang w:val="sr-Cyrl-CS"/>
              </w:rPr>
            </w:pPr>
            <w:r w:rsidRPr="00E84C93">
              <w:rPr>
                <w:rFonts w:eastAsia="Calibri" w:cs="Times New Roman"/>
                <w:bCs/>
                <w:w w:val="90"/>
                <w:sz w:val="22"/>
                <w:lang w:val="sr-Cyrl-CS"/>
              </w:rPr>
              <w:t>2.170.000</w:t>
            </w:r>
          </w:p>
        </w:tc>
        <w:tc>
          <w:tcPr>
            <w:tcW w:w="1350" w:type="dxa"/>
            <w:shd w:val="clear" w:color="auto" w:fill="auto"/>
            <w:vAlign w:val="center"/>
          </w:tcPr>
          <w:p w14:paraId="4B0E98B2"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37.300</w:t>
            </w:r>
          </w:p>
        </w:tc>
        <w:tc>
          <w:tcPr>
            <w:tcW w:w="1260" w:type="dxa"/>
            <w:shd w:val="clear" w:color="auto" w:fill="auto"/>
            <w:vAlign w:val="center"/>
          </w:tcPr>
          <w:p w14:paraId="0A04BBBC"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32.550</w:t>
            </w:r>
          </w:p>
        </w:tc>
      </w:tr>
      <w:tr w:rsidR="00F63335" w:rsidRPr="00E84C93" w14:paraId="36A5EF09" w14:textId="77777777" w:rsidTr="004F6436">
        <w:trPr>
          <w:trHeight w:val="340"/>
        </w:trPr>
        <w:tc>
          <w:tcPr>
            <w:tcW w:w="895" w:type="dxa"/>
            <w:shd w:val="clear" w:color="auto" w:fill="auto"/>
            <w:vAlign w:val="center"/>
          </w:tcPr>
          <w:p w14:paraId="6B450F34" w14:textId="77777777" w:rsidR="00F63335" w:rsidRPr="00E84C93" w:rsidRDefault="00F63335" w:rsidP="006E7EA4">
            <w:pPr>
              <w:spacing w:after="0"/>
              <w:jc w:val="center"/>
              <w:rPr>
                <w:rFonts w:eastAsia="Calibri" w:cs="Times New Roman"/>
                <w:bCs/>
                <w:sz w:val="22"/>
                <w:lang w:val="sr-Cyrl-CS"/>
              </w:rPr>
            </w:pPr>
          </w:p>
        </w:tc>
        <w:tc>
          <w:tcPr>
            <w:tcW w:w="3690" w:type="dxa"/>
            <w:shd w:val="clear" w:color="auto" w:fill="auto"/>
            <w:vAlign w:val="center"/>
          </w:tcPr>
          <w:p w14:paraId="5365249E" w14:textId="66E3E32B" w:rsidR="00F63335" w:rsidRPr="00E84C93" w:rsidRDefault="00F63335" w:rsidP="006E7EA4">
            <w:pPr>
              <w:spacing w:after="0"/>
              <w:rPr>
                <w:rFonts w:eastAsia="Calibri" w:cs="Times New Roman"/>
                <w:b/>
                <w:bCs/>
                <w:sz w:val="22"/>
                <w:lang w:val="sr-Cyrl-CS"/>
              </w:rPr>
            </w:pPr>
            <w:r w:rsidRPr="00E84C93">
              <w:rPr>
                <w:rFonts w:eastAsia="Calibri" w:cs="Times New Roman"/>
                <w:b/>
                <w:bCs/>
                <w:sz w:val="22"/>
                <w:lang w:val="sr-Cyrl-CS"/>
              </w:rPr>
              <w:t xml:space="preserve">Шумадија и </w:t>
            </w:r>
            <w:r w:rsidR="00654902" w:rsidRPr="00E84C93">
              <w:rPr>
                <w:rFonts w:eastAsia="Calibri" w:cs="Times New Roman"/>
                <w:b/>
                <w:bCs/>
                <w:sz w:val="22"/>
                <w:lang w:val="sr-Cyrl-CS"/>
              </w:rPr>
              <w:t>З</w:t>
            </w:r>
            <w:r w:rsidRPr="00E84C93">
              <w:rPr>
                <w:rFonts w:eastAsia="Calibri" w:cs="Times New Roman"/>
                <w:b/>
                <w:bCs/>
                <w:sz w:val="22"/>
                <w:lang w:val="sr-Cyrl-CS"/>
              </w:rPr>
              <w:t>ападна Србија</w:t>
            </w:r>
          </w:p>
        </w:tc>
        <w:tc>
          <w:tcPr>
            <w:tcW w:w="1890" w:type="dxa"/>
            <w:shd w:val="clear" w:color="auto" w:fill="auto"/>
            <w:vAlign w:val="center"/>
          </w:tcPr>
          <w:p w14:paraId="6A3A9C6F" w14:textId="77777777" w:rsidR="00F63335" w:rsidRPr="00E84C93" w:rsidRDefault="00F63335" w:rsidP="006E7EA4">
            <w:pPr>
              <w:spacing w:after="0"/>
              <w:jc w:val="center"/>
              <w:rPr>
                <w:rFonts w:eastAsia="Calibri" w:cs="Times New Roman"/>
                <w:bCs/>
                <w:sz w:val="22"/>
                <w:lang w:val="sr-Cyrl-CS"/>
              </w:rPr>
            </w:pPr>
          </w:p>
        </w:tc>
        <w:tc>
          <w:tcPr>
            <w:tcW w:w="1350" w:type="dxa"/>
            <w:shd w:val="clear" w:color="auto" w:fill="auto"/>
            <w:vAlign w:val="center"/>
          </w:tcPr>
          <w:p w14:paraId="659042C3" w14:textId="77777777" w:rsidR="00F63335" w:rsidRPr="00E84C93" w:rsidRDefault="00F63335" w:rsidP="006E7EA4">
            <w:pPr>
              <w:spacing w:after="0"/>
              <w:jc w:val="center"/>
              <w:rPr>
                <w:rFonts w:eastAsia="Calibri" w:cs="Times New Roman"/>
                <w:b/>
                <w:bCs/>
                <w:sz w:val="22"/>
                <w:lang w:val="sr-Cyrl-CS"/>
              </w:rPr>
            </w:pPr>
          </w:p>
        </w:tc>
        <w:tc>
          <w:tcPr>
            <w:tcW w:w="1260" w:type="dxa"/>
            <w:shd w:val="clear" w:color="auto" w:fill="auto"/>
            <w:vAlign w:val="center"/>
          </w:tcPr>
          <w:p w14:paraId="6A5E1704" w14:textId="77777777" w:rsidR="00F63335" w:rsidRPr="00E84C93" w:rsidRDefault="00F63335" w:rsidP="006E7EA4">
            <w:pPr>
              <w:spacing w:after="0"/>
              <w:jc w:val="center"/>
              <w:rPr>
                <w:rFonts w:eastAsia="Calibri" w:cs="Times New Roman"/>
                <w:b/>
                <w:bCs/>
                <w:sz w:val="22"/>
                <w:lang w:val="sr-Cyrl-CS"/>
              </w:rPr>
            </w:pPr>
          </w:p>
        </w:tc>
      </w:tr>
      <w:tr w:rsidR="00F63335" w:rsidRPr="00E84C93" w14:paraId="45042111" w14:textId="77777777" w:rsidTr="004F6436">
        <w:trPr>
          <w:trHeight w:val="340"/>
        </w:trPr>
        <w:tc>
          <w:tcPr>
            <w:tcW w:w="895" w:type="dxa"/>
            <w:shd w:val="clear" w:color="auto" w:fill="auto"/>
            <w:vAlign w:val="center"/>
          </w:tcPr>
          <w:p w14:paraId="16D00C68" w14:textId="3146CA82"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w:t>
            </w:r>
            <w:r w:rsidR="00545178" w:rsidRPr="00E84C93">
              <w:rPr>
                <w:rFonts w:eastAsia="Calibri" w:cs="Times New Roman"/>
                <w:bCs/>
                <w:sz w:val="22"/>
                <w:lang w:val="sr-Cyrl-CS"/>
              </w:rPr>
              <w:t>.</w:t>
            </w:r>
          </w:p>
        </w:tc>
        <w:tc>
          <w:tcPr>
            <w:tcW w:w="3690" w:type="dxa"/>
            <w:shd w:val="clear" w:color="auto" w:fill="auto"/>
            <w:vAlign w:val="center"/>
          </w:tcPr>
          <w:p w14:paraId="4678A6FB" w14:textId="77777777" w:rsidR="00F63335" w:rsidRPr="00E84C93" w:rsidRDefault="00F63335" w:rsidP="006E7EA4">
            <w:pPr>
              <w:spacing w:after="0"/>
              <w:rPr>
                <w:rFonts w:eastAsia="Calibri" w:cs="Times New Roman"/>
                <w:bCs/>
                <w:sz w:val="22"/>
                <w:lang w:val="sr-Cyrl-CS"/>
              </w:rPr>
            </w:pPr>
            <w:r w:rsidRPr="00E84C93">
              <w:rPr>
                <w:rFonts w:eastAsia="Calibri" w:cs="Times New Roman"/>
                <w:bCs/>
                <w:w w:val="103"/>
                <w:sz w:val="22"/>
                <w:lang w:val="sr-Cyrl-CS"/>
              </w:rPr>
              <w:t>Колубарски управни округ</w:t>
            </w:r>
          </w:p>
        </w:tc>
        <w:tc>
          <w:tcPr>
            <w:tcW w:w="1890" w:type="dxa"/>
            <w:shd w:val="clear" w:color="auto" w:fill="auto"/>
            <w:vAlign w:val="center"/>
          </w:tcPr>
          <w:p w14:paraId="1DAAC3A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144.200</w:t>
            </w:r>
          </w:p>
        </w:tc>
        <w:tc>
          <w:tcPr>
            <w:tcW w:w="1350" w:type="dxa"/>
            <w:shd w:val="clear" w:color="auto" w:fill="auto"/>
            <w:vAlign w:val="center"/>
          </w:tcPr>
          <w:p w14:paraId="3B218B2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2.840</w:t>
            </w:r>
          </w:p>
        </w:tc>
        <w:tc>
          <w:tcPr>
            <w:tcW w:w="1260" w:type="dxa"/>
            <w:shd w:val="clear" w:color="auto" w:fill="auto"/>
            <w:vAlign w:val="center"/>
          </w:tcPr>
          <w:p w14:paraId="10E53A8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2.320</w:t>
            </w:r>
          </w:p>
        </w:tc>
      </w:tr>
      <w:tr w:rsidR="00F63335" w:rsidRPr="00E84C93" w14:paraId="1BC9B80D" w14:textId="77777777" w:rsidTr="004F6436">
        <w:trPr>
          <w:trHeight w:val="340"/>
        </w:trPr>
        <w:tc>
          <w:tcPr>
            <w:tcW w:w="895" w:type="dxa"/>
            <w:shd w:val="clear" w:color="auto" w:fill="auto"/>
            <w:vAlign w:val="center"/>
          </w:tcPr>
          <w:p w14:paraId="4A756DF4" w14:textId="589CD986"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w:t>
            </w:r>
            <w:r w:rsidR="00545178" w:rsidRPr="00E84C93">
              <w:rPr>
                <w:rFonts w:eastAsia="Calibri" w:cs="Times New Roman"/>
                <w:bCs/>
                <w:sz w:val="22"/>
                <w:lang w:val="sr-Cyrl-CS"/>
              </w:rPr>
              <w:t>.</w:t>
            </w:r>
          </w:p>
        </w:tc>
        <w:tc>
          <w:tcPr>
            <w:tcW w:w="3690" w:type="dxa"/>
            <w:shd w:val="clear" w:color="auto" w:fill="auto"/>
            <w:vAlign w:val="center"/>
          </w:tcPr>
          <w:p w14:paraId="16080F3F"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Мачвански управни округ</w:t>
            </w:r>
          </w:p>
        </w:tc>
        <w:tc>
          <w:tcPr>
            <w:tcW w:w="1890" w:type="dxa"/>
            <w:shd w:val="clear" w:color="auto" w:fill="auto"/>
            <w:vAlign w:val="center"/>
          </w:tcPr>
          <w:p w14:paraId="4E3DA30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239.700</w:t>
            </w:r>
          </w:p>
        </w:tc>
        <w:tc>
          <w:tcPr>
            <w:tcW w:w="1350" w:type="dxa"/>
            <w:shd w:val="clear" w:color="auto" w:fill="auto"/>
            <w:vAlign w:val="center"/>
          </w:tcPr>
          <w:p w14:paraId="2DA50849"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4.600</w:t>
            </w:r>
          </w:p>
        </w:tc>
        <w:tc>
          <w:tcPr>
            <w:tcW w:w="1260" w:type="dxa"/>
            <w:shd w:val="clear" w:color="auto" w:fill="auto"/>
            <w:vAlign w:val="center"/>
          </w:tcPr>
          <w:p w14:paraId="2F3B94D7"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3.900</w:t>
            </w:r>
          </w:p>
        </w:tc>
      </w:tr>
      <w:tr w:rsidR="00F63335" w:rsidRPr="00E84C93" w14:paraId="09C00F41" w14:textId="77777777" w:rsidTr="004F6436">
        <w:trPr>
          <w:trHeight w:val="340"/>
        </w:trPr>
        <w:tc>
          <w:tcPr>
            <w:tcW w:w="895" w:type="dxa"/>
            <w:shd w:val="clear" w:color="auto" w:fill="auto"/>
            <w:vAlign w:val="center"/>
          </w:tcPr>
          <w:p w14:paraId="24A68A30" w14:textId="4E4D7688"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w:t>
            </w:r>
            <w:r w:rsidR="00545178" w:rsidRPr="00E84C93">
              <w:rPr>
                <w:rFonts w:eastAsia="Calibri" w:cs="Times New Roman"/>
                <w:bCs/>
                <w:sz w:val="22"/>
                <w:lang w:val="sr-Cyrl-CS"/>
              </w:rPr>
              <w:t>.</w:t>
            </w:r>
          </w:p>
        </w:tc>
        <w:tc>
          <w:tcPr>
            <w:tcW w:w="3690" w:type="dxa"/>
            <w:shd w:val="clear" w:color="auto" w:fill="auto"/>
            <w:vAlign w:val="center"/>
          </w:tcPr>
          <w:p w14:paraId="24102782"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Моравички управни округ</w:t>
            </w:r>
          </w:p>
        </w:tc>
        <w:tc>
          <w:tcPr>
            <w:tcW w:w="1890" w:type="dxa"/>
            <w:shd w:val="clear" w:color="auto" w:fill="auto"/>
            <w:vAlign w:val="center"/>
          </w:tcPr>
          <w:p w14:paraId="1AC8786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199.500</w:t>
            </w:r>
          </w:p>
        </w:tc>
        <w:tc>
          <w:tcPr>
            <w:tcW w:w="1350" w:type="dxa"/>
            <w:shd w:val="clear" w:color="auto" w:fill="auto"/>
            <w:vAlign w:val="center"/>
          </w:tcPr>
          <w:p w14:paraId="17C0AB0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3.780</w:t>
            </w:r>
          </w:p>
        </w:tc>
        <w:tc>
          <w:tcPr>
            <w:tcW w:w="1260" w:type="dxa"/>
            <w:shd w:val="clear" w:color="auto" w:fill="auto"/>
            <w:vAlign w:val="center"/>
          </w:tcPr>
          <w:p w14:paraId="556E765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3.270</w:t>
            </w:r>
          </w:p>
        </w:tc>
      </w:tr>
      <w:tr w:rsidR="00F63335" w:rsidRPr="00E84C93" w14:paraId="493CE660" w14:textId="77777777" w:rsidTr="004F6436">
        <w:trPr>
          <w:trHeight w:val="340"/>
        </w:trPr>
        <w:tc>
          <w:tcPr>
            <w:tcW w:w="895" w:type="dxa"/>
            <w:shd w:val="clear" w:color="auto" w:fill="auto"/>
            <w:vAlign w:val="center"/>
          </w:tcPr>
          <w:p w14:paraId="2815E3F1" w14:textId="2ABDEF24"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w:t>
            </w:r>
            <w:r w:rsidR="00545178" w:rsidRPr="00E84C93">
              <w:rPr>
                <w:rFonts w:eastAsia="Calibri" w:cs="Times New Roman"/>
                <w:bCs/>
                <w:sz w:val="22"/>
                <w:lang w:val="sr-Cyrl-CS"/>
              </w:rPr>
              <w:t>.</w:t>
            </w:r>
          </w:p>
        </w:tc>
        <w:tc>
          <w:tcPr>
            <w:tcW w:w="3690" w:type="dxa"/>
            <w:shd w:val="clear" w:color="auto" w:fill="auto"/>
            <w:vAlign w:val="center"/>
          </w:tcPr>
          <w:p w14:paraId="6AD65849"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Поморавски управни округ</w:t>
            </w:r>
          </w:p>
        </w:tc>
        <w:tc>
          <w:tcPr>
            <w:tcW w:w="1890" w:type="dxa"/>
            <w:shd w:val="clear" w:color="auto" w:fill="auto"/>
            <w:vAlign w:val="center"/>
          </w:tcPr>
          <w:p w14:paraId="3C05CA27"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176.500</w:t>
            </w:r>
          </w:p>
        </w:tc>
        <w:tc>
          <w:tcPr>
            <w:tcW w:w="1350" w:type="dxa"/>
            <w:shd w:val="clear" w:color="auto" w:fill="auto"/>
            <w:vAlign w:val="center"/>
          </w:tcPr>
          <w:p w14:paraId="452907B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3.500</w:t>
            </w:r>
          </w:p>
        </w:tc>
        <w:tc>
          <w:tcPr>
            <w:tcW w:w="1260" w:type="dxa"/>
            <w:shd w:val="clear" w:color="auto" w:fill="auto"/>
            <w:vAlign w:val="center"/>
          </w:tcPr>
          <w:p w14:paraId="5219F79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2.840</w:t>
            </w:r>
          </w:p>
        </w:tc>
      </w:tr>
      <w:tr w:rsidR="00F63335" w:rsidRPr="00E84C93" w14:paraId="2CF0D2D7" w14:textId="77777777" w:rsidTr="004F6436">
        <w:trPr>
          <w:trHeight w:val="340"/>
        </w:trPr>
        <w:tc>
          <w:tcPr>
            <w:tcW w:w="895" w:type="dxa"/>
            <w:shd w:val="clear" w:color="auto" w:fill="auto"/>
            <w:vAlign w:val="center"/>
          </w:tcPr>
          <w:p w14:paraId="405ECE63" w14:textId="20DA3A73"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w:t>
            </w:r>
            <w:r w:rsidR="00545178" w:rsidRPr="00E84C93">
              <w:rPr>
                <w:rFonts w:eastAsia="Calibri" w:cs="Times New Roman"/>
                <w:bCs/>
                <w:sz w:val="22"/>
                <w:lang w:val="sr-Cyrl-CS"/>
              </w:rPr>
              <w:t>.</w:t>
            </w:r>
          </w:p>
        </w:tc>
        <w:tc>
          <w:tcPr>
            <w:tcW w:w="3690" w:type="dxa"/>
            <w:shd w:val="clear" w:color="auto" w:fill="auto"/>
            <w:vAlign w:val="center"/>
          </w:tcPr>
          <w:p w14:paraId="102079D2"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Расински управни округ</w:t>
            </w:r>
          </w:p>
        </w:tc>
        <w:tc>
          <w:tcPr>
            <w:tcW w:w="1890" w:type="dxa"/>
            <w:shd w:val="clear" w:color="auto" w:fill="auto"/>
            <w:vAlign w:val="center"/>
          </w:tcPr>
          <w:p w14:paraId="48EE1633"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223.800</w:t>
            </w:r>
          </w:p>
        </w:tc>
        <w:tc>
          <w:tcPr>
            <w:tcW w:w="1350" w:type="dxa"/>
            <w:shd w:val="clear" w:color="auto" w:fill="auto"/>
            <w:vAlign w:val="center"/>
          </w:tcPr>
          <w:p w14:paraId="70D6831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4.240</w:t>
            </w:r>
          </w:p>
        </w:tc>
        <w:tc>
          <w:tcPr>
            <w:tcW w:w="1260" w:type="dxa"/>
            <w:shd w:val="clear" w:color="auto" w:fill="auto"/>
            <w:vAlign w:val="center"/>
          </w:tcPr>
          <w:p w14:paraId="7070A82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3.690</w:t>
            </w:r>
          </w:p>
        </w:tc>
      </w:tr>
      <w:tr w:rsidR="00F63335" w:rsidRPr="00E84C93" w14:paraId="43E1C225" w14:textId="77777777" w:rsidTr="004F6436">
        <w:trPr>
          <w:trHeight w:val="340"/>
        </w:trPr>
        <w:tc>
          <w:tcPr>
            <w:tcW w:w="895" w:type="dxa"/>
            <w:shd w:val="clear" w:color="auto" w:fill="auto"/>
            <w:vAlign w:val="center"/>
          </w:tcPr>
          <w:p w14:paraId="2DD54BC3" w14:textId="027BBA8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6</w:t>
            </w:r>
            <w:r w:rsidR="00545178" w:rsidRPr="00E84C93">
              <w:rPr>
                <w:rFonts w:eastAsia="Calibri" w:cs="Times New Roman"/>
                <w:bCs/>
                <w:sz w:val="22"/>
                <w:lang w:val="sr-Cyrl-CS"/>
              </w:rPr>
              <w:t>.</w:t>
            </w:r>
          </w:p>
        </w:tc>
        <w:tc>
          <w:tcPr>
            <w:tcW w:w="3690" w:type="dxa"/>
            <w:shd w:val="clear" w:color="auto" w:fill="auto"/>
            <w:vAlign w:val="center"/>
          </w:tcPr>
          <w:p w14:paraId="6AC84085"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Рашки управни округ</w:t>
            </w:r>
          </w:p>
        </w:tc>
        <w:tc>
          <w:tcPr>
            <w:tcW w:w="1890" w:type="dxa"/>
            <w:shd w:val="clear" w:color="auto" w:fill="auto"/>
            <w:vAlign w:val="center"/>
          </w:tcPr>
          <w:p w14:paraId="1F600F80"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314.000</w:t>
            </w:r>
          </w:p>
        </w:tc>
        <w:tc>
          <w:tcPr>
            <w:tcW w:w="1350" w:type="dxa"/>
            <w:shd w:val="clear" w:color="auto" w:fill="auto"/>
            <w:vAlign w:val="center"/>
          </w:tcPr>
          <w:p w14:paraId="433F6B9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5.860</w:t>
            </w:r>
          </w:p>
        </w:tc>
        <w:tc>
          <w:tcPr>
            <w:tcW w:w="1260" w:type="dxa"/>
            <w:shd w:val="clear" w:color="auto" w:fill="auto"/>
            <w:vAlign w:val="center"/>
          </w:tcPr>
          <w:p w14:paraId="730FE56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5.160</w:t>
            </w:r>
          </w:p>
        </w:tc>
      </w:tr>
      <w:tr w:rsidR="00F63335" w:rsidRPr="00E84C93" w14:paraId="7F797F7F" w14:textId="77777777" w:rsidTr="004F6436">
        <w:trPr>
          <w:trHeight w:val="340"/>
        </w:trPr>
        <w:tc>
          <w:tcPr>
            <w:tcW w:w="895" w:type="dxa"/>
            <w:shd w:val="clear" w:color="auto" w:fill="auto"/>
            <w:vAlign w:val="center"/>
          </w:tcPr>
          <w:p w14:paraId="46E1D1CB" w14:textId="593BB300"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7</w:t>
            </w:r>
            <w:r w:rsidR="00545178" w:rsidRPr="00E84C93">
              <w:rPr>
                <w:rFonts w:eastAsia="Calibri" w:cs="Times New Roman"/>
                <w:bCs/>
                <w:sz w:val="22"/>
                <w:lang w:val="sr-Cyrl-CS"/>
              </w:rPr>
              <w:t>.</w:t>
            </w:r>
          </w:p>
        </w:tc>
        <w:tc>
          <w:tcPr>
            <w:tcW w:w="3690" w:type="dxa"/>
            <w:shd w:val="clear" w:color="auto" w:fill="auto"/>
            <w:vAlign w:val="center"/>
          </w:tcPr>
          <w:p w14:paraId="603A361B"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Шумадијски управни округ</w:t>
            </w:r>
          </w:p>
        </w:tc>
        <w:tc>
          <w:tcPr>
            <w:tcW w:w="1890" w:type="dxa"/>
            <w:shd w:val="clear" w:color="auto" w:fill="auto"/>
            <w:vAlign w:val="center"/>
          </w:tcPr>
          <w:p w14:paraId="343A9016"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356.100</w:t>
            </w:r>
          </w:p>
        </w:tc>
        <w:tc>
          <w:tcPr>
            <w:tcW w:w="1350" w:type="dxa"/>
            <w:shd w:val="clear" w:color="auto" w:fill="auto"/>
            <w:vAlign w:val="center"/>
          </w:tcPr>
          <w:p w14:paraId="45B67382"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6.210</w:t>
            </w:r>
          </w:p>
        </w:tc>
        <w:tc>
          <w:tcPr>
            <w:tcW w:w="1260" w:type="dxa"/>
            <w:shd w:val="clear" w:color="auto" w:fill="auto"/>
            <w:vAlign w:val="center"/>
          </w:tcPr>
          <w:p w14:paraId="037A2210"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5.390</w:t>
            </w:r>
          </w:p>
        </w:tc>
      </w:tr>
      <w:tr w:rsidR="00F63335" w:rsidRPr="00E84C93" w14:paraId="11F0EB39" w14:textId="77777777" w:rsidTr="004F6436">
        <w:trPr>
          <w:trHeight w:val="340"/>
        </w:trPr>
        <w:tc>
          <w:tcPr>
            <w:tcW w:w="895" w:type="dxa"/>
            <w:shd w:val="clear" w:color="auto" w:fill="auto"/>
            <w:vAlign w:val="center"/>
          </w:tcPr>
          <w:p w14:paraId="731D3A79" w14:textId="5ACDE6B1"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8</w:t>
            </w:r>
            <w:r w:rsidR="00545178" w:rsidRPr="00E84C93">
              <w:rPr>
                <w:rFonts w:eastAsia="Calibri" w:cs="Times New Roman"/>
                <w:bCs/>
                <w:sz w:val="22"/>
                <w:lang w:val="sr-Cyrl-CS"/>
              </w:rPr>
              <w:t>.</w:t>
            </w:r>
          </w:p>
        </w:tc>
        <w:tc>
          <w:tcPr>
            <w:tcW w:w="3690" w:type="dxa"/>
            <w:shd w:val="clear" w:color="auto" w:fill="auto"/>
            <w:vAlign w:val="center"/>
          </w:tcPr>
          <w:p w14:paraId="4359203B"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Златиборски управни округ</w:t>
            </w:r>
          </w:p>
        </w:tc>
        <w:tc>
          <w:tcPr>
            <w:tcW w:w="1890" w:type="dxa"/>
            <w:shd w:val="clear" w:color="auto" w:fill="auto"/>
            <w:vAlign w:val="center"/>
          </w:tcPr>
          <w:p w14:paraId="4D363D0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230.500</w:t>
            </w:r>
          </w:p>
        </w:tc>
        <w:tc>
          <w:tcPr>
            <w:tcW w:w="1350" w:type="dxa"/>
            <w:shd w:val="clear" w:color="auto" w:fill="auto"/>
            <w:vAlign w:val="center"/>
          </w:tcPr>
          <w:p w14:paraId="34D09F05"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4.600</w:t>
            </w:r>
          </w:p>
        </w:tc>
        <w:tc>
          <w:tcPr>
            <w:tcW w:w="1260" w:type="dxa"/>
            <w:shd w:val="clear" w:color="auto" w:fill="auto"/>
            <w:vAlign w:val="center"/>
          </w:tcPr>
          <w:p w14:paraId="42715C5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3.760</w:t>
            </w:r>
          </w:p>
        </w:tc>
      </w:tr>
      <w:tr w:rsidR="00F63335" w:rsidRPr="00E84C93" w14:paraId="5895EB7E" w14:textId="77777777" w:rsidTr="004F6436">
        <w:trPr>
          <w:trHeight w:val="340"/>
        </w:trPr>
        <w:tc>
          <w:tcPr>
            <w:tcW w:w="895" w:type="dxa"/>
            <w:shd w:val="clear" w:color="auto" w:fill="auto"/>
            <w:vAlign w:val="center"/>
          </w:tcPr>
          <w:p w14:paraId="627CAD37" w14:textId="77777777" w:rsidR="00F63335" w:rsidRPr="00E84C93" w:rsidRDefault="00F63335" w:rsidP="006E7EA4">
            <w:pPr>
              <w:spacing w:after="0"/>
              <w:jc w:val="center"/>
              <w:rPr>
                <w:rFonts w:eastAsia="Calibri" w:cs="Times New Roman"/>
                <w:bCs/>
                <w:sz w:val="22"/>
                <w:lang w:val="sr-Cyrl-CS"/>
              </w:rPr>
            </w:pPr>
          </w:p>
        </w:tc>
        <w:tc>
          <w:tcPr>
            <w:tcW w:w="3690" w:type="dxa"/>
            <w:shd w:val="clear" w:color="auto" w:fill="auto"/>
            <w:vAlign w:val="center"/>
          </w:tcPr>
          <w:p w14:paraId="640E0A12" w14:textId="36AC6DAA" w:rsidR="00F63335" w:rsidRPr="00E84C93" w:rsidRDefault="00F63335" w:rsidP="006E7EA4">
            <w:pPr>
              <w:spacing w:after="0"/>
              <w:rPr>
                <w:rFonts w:eastAsia="Calibri" w:cs="Times New Roman"/>
                <w:b/>
                <w:bCs/>
                <w:sz w:val="22"/>
                <w:lang w:val="sr-Cyrl-CS"/>
              </w:rPr>
            </w:pPr>
            <w:r w:rsidRPr="00E84C93">
              <w:rPr>
                <w:rFonts w:eastAsia="Calibri" w:cs="Times New Roman"/>
                <w:b/>
                <w:bCs/>
                <w:sz w:val="22"/>
                <w:lang w:val="sr-Cyrl-CS"/>
              </w:rPr>
              <w:t xml:space="preserve">Јужна и </w:t>
            </w:r>
            <w:r w:rsidR="00654902" w:rsidRPr="00E84C93">
              <w:rPr>
                <w:rFonts w:eastAsia="Calibri" w:cs="Times New Roman"/>
                <w:b/>
                <w:bCs/>
                <w:sz w:val="22"/>
                <w:lang w:val="sr-Cyrl-CS"/>
              </w:rPr>
              <w:t>И</w:t>
            </w:r>
            <w:r w:rsidRPr="00E84C93">
              <w:rPr>
                <w:rFonts w:eastAsia="Calibri" w:cs="Times New Roman"/>
                <w:b/>
                <w:bCs/>
                <w:sz w:val="22"/>
                <w:lang w:val="sr-Cyrl-CS"/>
              </w:rPr>
              <w:t>сточна Србија</w:t>
            </w:r>
          </w:p>
        </w:tc>
        <w:tc>
          <w:tcPr>
            <w:tcW w:w="1890" w:type="dxa"/>
            <w:shd w:val="clear" w:color="auto" w:fill="auto"/>
            <w:vAlign w:val="center"/>
          </w:tcPr>
          <w:p w14:paraId="09A52E62" w14:textId="77777777" w:rsidR="00F63335" w:rsidRPr="00E84C93" w:rsidRDefault="00F63335" w:rsidP="006E7EA4">
            <w:pPr>
              <w:spacing w:after="0"/>
              <w:jc w:val="center"/>
              <w:rPr>
                <w:rFonts w:eastAsia="Calibri" w:cs="Times New Roman"/>
                <w:bCs/>
                <w:sz w:val="22"/>
                <w:lang w:val="sr-Cyrl-CS"/>
              </w:rPr>
            </w:pPr>
          </w:p>
        </w:tc>
        <w:tc>
          <w:tcPr>
            <w:tcW w:w="1350" w:type="dxa"/>
            <w:shd w:val="clear" w:color="auto" w:fill="auto"/>
            <w:vAlign w:val="center"/>
          </w:tcPr>
          <w:p w14:paraId="20F110EA" w14:textId="77777777" w:rsidR="00F63335" w:rsidRPr="00E84C93" w:rsidRDefault="00F63335" w:rsidP="006E7EA4">
            <w:pPr>
              <w:spacing w:after="0"/>
              <w:jc w:val="center"/>
              <w:rPr>
                <w:rFonts w:eastAsia="Calibri" w:cs="Times New Roman"/>
                <w:bCs/>
                <w:sz w:val="22"/>
                <w:lang w:val="sr-Cyrl-CS"/>
              </w:rPr>
            </w:pPr>
          </w:p>
        </w:tc>
        <w:tc>
          <w:tcPr>
            <w:tcW w:w="1260" w:type="dxa"/>
            <w:shd w:val="clear" w:color="auto" w:fill="auto"/>
            <w:vAlign w:val="center"/>
          </w:tcPr>
          <w:p w14:paraId="5B229408" w14:textId="77777777" w:rsidR="00F63335" w:rsidRPr="00E84C93" w:rsidRDefault="00F63335" w:rsidP="006E7EA4">
            <w:pPr>
              <w:spacing w:after="0"/>
              <w:jc w:val="center"/>
              <w:rPr>
                <w:rFonts w:eastAsia="Calibri" w:cs="Times New Roman"/>
                <w:bCs/>
                <w:sz w:val="22"/>
                <w:lang w:val="sr-Cyrl-CS"/>
              </w:rPr>
            </w:pPr>
          </w:p>
        </w:tc>
      </w:tr>
      <w:tr w:rsidR="00F63335" w:rsidRPr="00E84C93" w14:paraId="573A920A" w14:textId="77777777" w:rsidTr="004F6436">
        <w:trPr>
          <w:trHeight w:val="340"/>
        </w:trPr>
        <w:tc>
          <w:tcPr>
            <w:tcW w:w="895" w:type="dxa"/>
            <w:shd w:val="clear" w:color="auto" w:fill="auto"/>
            <w:vAlign w:val="center"/>
          </w:tcPr>
          <w:p w14:paraId="0A7832E5" w14:textId="1B69F50D"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9</w:t>
            </w:r>
            <w:r w:rsidR="00545178" w:rsidRPr="00E84C93">
              <w:rPr>
                <w:rFonts w:eastAsia="Calibri" w:cs="Times New Roman"/>
                <w:bCs/>
                <w:sz w:val="22"/>
                <w:lang w:val="sr-Cyrl-CS"/>
              </w:rPr>
              <w:t>.</w:t>
            </w:r>
          </w:p>
        </w:tc>
        <w:tc>
          <w:tcPr>
            <w:tcW w:w="3690" w:type="dxa"/>
            <w:shd w:val="clear" w:color="auto" w:fill="auto"/>
            <w:vAlign w:val="center"/>
          </w:tcPr>
          <w:p w14:paraId="404520CE"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Борски управни округ</w:t>
            </w:r>
          </w:p>
        </w:tc>
        <w:tc>
          <w:tcPr>
            <w:tcW w:w="1890" w:type="dxa"/>
            <w:shd w:val="clear" w:color="auto" w:fill="auto"/>
            <w:vAlign w:val="center"/>
          </w:tcPr>
          <w:p w14:paraId="37085FB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97.200</w:t>
            </w:r>
          </w:p>
        </w:tc>
        <w:tc>
          <w:tcPr>
            <w:tcW w:w="1350" w:type="dxa"/>
            <w:shd w:val="clear" w:color="auto" w:fill="auto"/>
            <w:vAlign w:val="center"/>
          </w:tcPr>
          <w:p w14:paraId="574CEA5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1.950</w:t>
            </w:r>
          </w:p>
        </w:tc>
        <w:tc>
          <w:tcPr>
            <w:tcW w:w="1260" w:type="dxa"/>
            <w:shd w:val="clear" w:color="auto" w:fill="auto"/>
            <w:vAlign w:val="center"/>
          </w:tcPr>
          <w:p w14:paraId="3CC7C76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1.590</w:t>
            </w:r>
          </w:p>
        </w:tc>
      </w:tr>
      <w:tr w:rsidR="00F63335" w:rsidRPr="00E84C93" w14:paraId="02C22D95" w14:textId="77777777" w:rsidTr="004F6436">
        <w:trPr>
          <w:trHeight w:val="340"/>
        </w:trPr>
        <w:tc>
          <w:tcPr>
            <w:tcW w:w="895" w:type="dxa"/>
            <w:shd w:val="clear" w:color="auto" w:fill="auto"/>
            <w:vAlign w:val="center"/>
          </w:tcPr>
          <w:p w14:paraId="7D01639E" w14:textId="27E1626F"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10</w:t>
            </w:r>
            <w:r w:rsidR="00545178" w:rsidRPr="00E84C93">
              <w:rPr>
                <w:rFonts w:eastAsia="Calibri" w:cs="Times New Roman"/>
                <w:bCs/>
                <w:sz w:val="22"/>
                <w:lang w:val="sr-Cyrl-CS"/>
              </w:rPr>
              <w:t>.</w:t>
            </w:r>
          </w:p>
        </w:tc>
        <w:tc>
          <w:tcPr>
            <w:tcW w:w="3690" w:type="dxa"/>
            <w:shd w:val="clear" w:color="auto" w:fill="auto"/>
            <w:vAlign w:val="center"/>
          </w:tcPr>
          <w:p w14:paraId="3957AA5F"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Браничевски управни округ</w:t>
            </w:r>
          </w:p>
        </w:tc>
        <w:tc>
          <w:tcPr>
            <w:tcW w:w="1890" w:type="dxa"/>
            <w:shd w:val="clear" w:color="auto" w:fill="auto"/>
            <w:vAlign w:val="center"/>
          </w:tcPr>
          <w:p w14:paraId="732FCFA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139.300</w:t>
            </w:r>
          </w:p>
        </w:tc>
        <w:tc>
          <w:tcPr>
            <w:tcW w:w="1350" w:type="dxa"/>
            <w:shd w:val="clear" w:color="auto" w:fill="auto"/>
            <w:vAlign w:val="center"/>
          </w:tcPr>
          <w:p w14:paraId="0C3E555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2.840</w:t>
            </w:r>
          </w:p>
        </w:tc>
        <w:tc>
          <w:tcPr>
            <w:tcW w:w="1260" w:type="dxa"/>
            <w:shd w:val="clear" w:color="auto" w:fill="auto"/>
            <w:vAlign w:val="center"/>
          </w:tcPr>
          <w:p w14:paraId="4E5DE25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2.360</w:t>
            </w:r>
          </w:p>
        </w:tc>
      </w:tr>
      <w:tr w:rsidR="00F63335" w:rsidRPr="00E84C93" w14:paraId="3CA599C6" w14:textId="77777777" w:rsidTr="004F6436">
        <w:trPr>
          <w:trHeight w:val="340"/>
        </w:trPr>
        <w:tc>
          <w:tcPr>
            <w:tcW w:w="895" w:type="dxa"/>
            <w:shd w:val="clear" w:color="auto" w:fill="auto"/>
            <w:vAlign w:val="center"/>
          </w:tcPr>
          <w:p w14:paraId="6E5B6326" w14:textId="7EEB3418"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11</w:t>
            </w:r>
            <w:r w:rsidR="00545178" w:rsidRPr="00E84C93">
              <w:rPr>
                <w:rFonts w:eastAsia="Calibri" w:cs="Times New Roman"/>
                <w:bCs/>
                <w:sz w:val="22"/>
                <w:lang w:val="sr-Cyrl-CS"/>
              </w:rPr>
              <w:t>.</w:t>
            </w:r>
          </w:p>
        </w:tc>
        <w:tc>
          <w:tcPr>
            <w:tcW w:w="3690" w:type="dxa"/>
            <w:shd w:val="clear" w:color="auto" w:fill="auto"/>
            <w:vAlign w:val="center"/>
          </w:tcPr>
          <w:p w14:paraId="42F7A796"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Јабланички управни округ</w:t>
            </w:r>
          </w:p>
        </w:tc>
        <w:tc>
          <w:tcPr>
            <w:tcW w:w="1890" w:type="dxa"/>
            <w:shd w:val="clear" w:color="auto" w:fill="auto"/>
            <w:vAlign w:val="center"/>
          </w:tcPr>
          <w:p w14:paraId="31E4FCE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205.300</w:t>
            </w:r>
          </w:p>
        </w:tc>
        <w:tc>
          <w:tcPr>
            <w:tcW w:w="1350" w:type="dxa"/>
            <w:shd w:val="clear" w:color="auto" w:fill="auto"/>
            <w:vAlign w:val="center"/>
          </w:tcPr>
          <w:p w14:paraId="38C835B1"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3.860</w:t>
            </w:r>
          </w:p>
        </w:tc>
        <w:tc>
          <w:tcPr>
            <w:tcW w:w="1260" w:type="dxa"/>
            <w:shd w:val="clear" w:color="auto" w:fill="auto"/>
            <w:vAlign w:val="center"/>
          </w:tcPr>
          <w:p w14:paraId="73C08B1C"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3.390</w:t>
            </w:r>
          </w:p>
        </w:tc>
      </w:tr>
      <w:tr w:rsidR="00F63335" w:rsidRPr="00E84C93" w14:paraId="6C76E9F7" w14:textId="77777777" w:rsidTr="004F6436">
        <w:trPr>
          <w:trHeight w:val="340"/>
        </w:trPr>
        <w:tc>
          <w:tcPr>
            <w:tcW w:w="895" w:type="dxa"/>
            <w:shd w:val="clear" w:color="auto" w:fill="auto"/>
            <w:vAlign w:val="center"/>
          </w:tcPr>
          <w:p w14:paraId="38090A49" w14:textId="28BCB90F"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12</w:t>
            </w:r>
            <w:r w:rsidR="00545178" w:rsidRPr="00E84C93">
              <w:rPr>
                <w:rFonts w:eastAsia="Calibri" w:cs="Times New Roman"/>
                <w:bCs/>
                <w:sz w:val="22"/>
                <w:lang w:val="sr-Cyrl-CS"/>
              </w:rPr>
              <w:t>.</w:t>
            </w:r>
          </w:p>
        </w:tc>
        <w:tc>
          <w:tcPr>
            <w:tcW w:w="3690" w:type="dxa"/>
            <w:shd w:val="clear" w:color="auto" w:fill="auto"/>
            <w:vAlign w:val="center"/>
          </w:tcPr>
          <w:p w14:paraId="4DDC65B0"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Нишавски управни округ</w:t>
            </w:r>
          </w:p>
        </w:tc>
        <w:tc>
          <w:tcPr>
            <w:tcW w:w="1890" w:type="dxa"/>
            <w:shd w:val="clear" w:color="auto" w:fill="auto"/>
            <w:vAlign w:val="center"/>
          </w:tcPr>
          <w:p w14:paraId="1B36029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316.100</w:t>
            </w:r>
          </w:p>
        </w:tc>
        <w:tc>
          <w:tcPr>
            <w:tcW w:w="1350" w:type="dxa"/>
            <w:shd w:val="clear" w:color="auto" w:fill="auto"/>
            <w:vAlign w:val="center"/>
          </w:tcPr>
          <w:p w14:paraId="020EBCD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6.240</w:t>
            </w:r>
          </w:p>
        </w:tc>
        <w:tc>
          <w:tcPr>
            <w:tcW w:w="1260" w:type="dxa"/>
            <w:shd w:val="clear" w:color="auto" w:fill="auto"/>
            <w:vAlign w:val="center"/>
          </w:tcPr>
          <w:p w14:paraId="0A6F575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5.060</w:t>
            </w:r>
          </w:p>
        </w:tc>
      </w:tr>
      <w:tr w:rsidR="00F63335" w:rsidRPr="00E84C93" w14:paraId="1507F0EA" w14:textId="77777777" w:rsidTr="004F6436">
        <w:trPr>
          <w:trHeight w:val="340"/>
        </w:trPr>
        <w:tc>
          <w:tcPr>
            <w:tcW w:w="895" w:type="dxa"/>
            <w:shd w:val="clear" w:color="auto" w:fill="auto"/>
            <w:vAlign w:val="center"/>
          </w:tcPr>
          <w:p w14:paraId="28FAAA80" w14:textId="4036BA8D"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13</w:t>
            </w:r>
            <w:r w:rsidR="00545178" w:rsidRPr="00E84C93">
              <w:rPr>
                <w:rFonts w:eastAsia="Calibri" w:cs="Times New Roman"/>
                <w:bCs/>
                <w:sz w:val="22"/>
                <w:lang w:val="sr-Cyrl-CS"/>
              </w:rPr>
              <w:t>.</w:t>
            </w:r>
          </w:p>
        </w:tc>
        <w:tc>
          <w:tcPr>
            <w:tcW w:w="3690" w:type="dxa"/>
            <w:shd w:val="clear" w:color="auto" w:fill="auto"/>
            <w:vAlign w:val="center"/>
          </w:tcPr>
          <w:p w14:paraId="336BABEB"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Пчињски управни округ</w:t>
            </w:r>
          </w:p>
        </w:tc>
        <w:tc>
          <w:tcPr>
            <w:tcW w:w="1890" w:type="dxa"/>
            <w:shd w:val="clear" w:color="auto" w:fill="auto"/>
            <w:vAlign w:val="center"/>
          </w:tcPr>
          <w:p w14:paraId="44AF31C9"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186.200</w:t>
            </w:r>
          </w:p>
        </w:tc>
        <w:tc>
          <w:tcPr>
            <w:tcW w:w="1350" w:type="dxa"/>
            <w:shd w:val="clear" w:color="auto" w:fill="auto"/>
            <w:vAlign w:val="center"/>
          </w:tcPr>
          <w:p w14:paraId="1015B694"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3.710</w:t>
            </w:r>
          </w:p>
        </w:tc>
        <w:tc>
          <w:tcPr>
            <w:tcW w:w="1260" w:type="dxa"/>
            <w:shd w:val="clear" w:color="auto" w:fill="auto"/>
            <w:vAlign w:val="center"/>
          </w:tcPr>
          <w:p w14:paraId="2C09F4FA"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3.020</w:t>
            </w:r>
          </w:p>
        </w:tc>
      </w:tr>
      <w:tr w:rsidR="00F63335" w:rsidRPr="00E84C93" w14:paraId="716F054D" w14:textId="77777777" w:rsidTr="004F6436">
        <w:trPr>
          <w:trHeight w:val="340"/>
        </w:trPr>
        <w:tc>
          <w:tcPr>
            <w:tcW w:w="895" w:type="dxa"/>
            <w:shd w:val="clear" w:color="auto" w:fill="auto"/>
            <w:vAlign w:val="center"/>
          </w:tcPr>
          <w:p w14:paraId="6CB20F88" w14:textId="02B5B379"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14</w:t>
            </w:r>
            <w:r w:rsidR="00545178" w:rsidRPr="00E84C93">
              <w:rPr>
                <w:rFonts w:eastAsia="Calibri" w:cs="Times New Roman"/>
                <w:bCs/>
                <w:sz w:val="22"/>
                <w:lang w:val="sr-Cyrl-CS"/>
              </w:rPr>
              <w:t>.</w:t>
            </w:r>
          </w:p>
        </w:tc>
        <w:tc>
          <w:tcPr>
            <w:tcW w:w="3690" w:type="dxa"/>
            <w:shd w:val="clear" w:color="auto" w:fill="auto"/>
            <w:vAlign w:val="center"/>
          </w:tcPr>
          <w:p w14:paraId="060ABC09"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Пиротски управни округ</w:t>
            </w:r>
          </w:p>
        </w:tc>
        <w:tc>
          <w:tcPr>
            <w:tcW w:w="1890" w:type="dxa"/>
            <w:shd w:val="clear" w:color="auto" w:fill="auto"/>
            <w:vAlign w:val="center"/>
          </w:tcPr>
          <w:p w14:paraId="64DC60D6"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68.900</w:t>
            </w:r>
          </w:p>
        </w:tc>
        <w:tc>
          <w:tcPr>
            <w:tcW w:w="1350" w:type="dxa"/>
            <w:shd w:val="clear" w:color="auto" w:fill="auto"/>
            <w:vAlign w:val="center"/>
          </w:tcPr>
          <w:p w14:paraId="757BDB17"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1.430</w:t>
            </w:r>
          </w:p>
        </w:tc>
        <w:tc>
          <w:tcPr>
            <w:tcW w:w="1260" w:type="dxa"/>
            <w:shd w:val="clear" w:color="auto" w:fill="auto"/>
            <w:vAlign w:val="center"/>
          </w:tcPr>
          <w:p w14:paraId="2B90EA0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1.180</w:t>
            </w:r>
          </w:p>
        </w:tc>
      </w:tr>
      <w:tr w:rsidR="00F63335" w:rsidRPr="00E84C93" w14:paraId="44AB1570" w14:textId="77777777" w:rsidTr="004F6436">
        <w:trPr>
          <w:trHeight w:val="340"/>
        </w:trPr>
        <w:tc>
          <w:tcPr>
            <w:tcW w:w="895" w:type="dxa"/>
            <w:shd w:val="clear" w:color="auto" w:fill="auto"/>
            <w:vAlign w:val="center"/>
          </w:tcPr>
          <w:p w14:paraId="4B2B575A" w14:textId="451C5994"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15</w:t>
            </w:r>
            <w:r w:rsidR="00347BAF" w:rsidRPr="00E84C93">
              <w:rPr>
                <w:rFonts w:eastAsia="Calibri" w:cs="Times New Roman"/>
                <w:bCs/>
                <w:sz w:val="22"/>
                <w:lang w:val="sr-Cyrl-CS"/>
              </w:rPr>
              <w:t>.</w:t>
            </w:r>
          </w:p>
        </w:tc>
        <w:tc>
          <w:tcPr>
            <w:tcW w:w="3690" w:type="dxa"/>
            <w:shd w:val="clear" w:color="auto" w:fill="auto"/>
            <w:vAlign w:val="center"/>
          </w:tcPr>
          <w:p w14:paraId="58C3059D"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Подунавски управни округ</w:t>
            </w:r>
          </w:p>
        </w:tc>
        <w:tc>
          <w:tcPr>
            <w:tcW w:w="1890" w:type="dxa"/>
            <w:shd w:val="clear" w:color="auto" w:fill="auto"/>
            <w:vAlign w:val="center"/>
          </w:tcPr>
          <w:p w14:paraId="4CBB43C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187.100</w:t>
            </w:r>
          </w:p>
        </w:tc>
        <w:tc>
          <w:tcPr>
            <w:tcW w:w="1350" w:type="dxa"/>
            <w:shd w:val="clear" w:color="auto" w:fill="auto"/>
            <w:vAlign w:val="center"/>
          </w:tcPr>
          <w:p w14:paraId="47243123"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3.550</w:t>
            </w:r>
          </w:p>
        </w:tc>
        <w:tc>
          <w:tcPr>
            <w:tcW w:w="1260" w:type="dxa"/>
            <w:shd w:val="clear" w:color="auto" w:fill="auto"/>
            <w:vAlign w:val="center"/>
          </w:tcPr>
          <w:p w14:paraId="527DF19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3.070</w:t>
            </w:r>
          </w:p>
        </w:tc>
      </w:tr>
      <w:tr w:rsidR="00F63335" w:rsidRPr="00E84C93" w14:paraId="3542E4E1" w14:textId="77777777" w:rsidTr="004F6436">
        <w:trPr>
          <w:trHeight w:val="340"/>
        </w:trPr>
        <w:tc>
          <w:tcPr>
            <w:tcW w:w="895" w:type="dxa"/>
            <w:shd w:val="clear" w:color="auto" w:fill="auto"/>
            <w:vAlign w:val="center"/>
          </w:tcPr>
          <w:p w14:paraId="726237C3" w14:textId="1FF2FBF4"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16</w:t>
            </w:r>
            <w:r w:rsidR="00347BAF" w:rsidRPr="00E84C93">
              <w:rPr>
                <w:rFonts w:eastAsia="Calibri" w:cs="Times New Roman"/>
                <w:bCs/>
                <w:sz w:val="22"/>
                <w:lang w:val="sr-Cyrl-CS"/>
              </w:rPr>
              <w:t>.</w:t>
            </w:r>
          </w:p>
        </w:tc>
        <w:tc>
          <w:tcPr>
            <w:tcW w:w="3690" w:type="dxa"/>
            <w:shd w:val="clear" w:color="auto" w:fill="auto"/>
            <w:vAlign w:val="center"/>
          </w:tcPr>
          <w:p w14:paraId="3D021805"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Топлички управни округ</w:t>
            </w:r>
          </w:p>
        </w:tc>
        <w:tc>
          <w:tcPr>
            <w:tcW w:w="1890" w:type="dxa"/>
            <w:shd w:val="clear" w:color="auto" w:fill="auto"/>
            <w:vAlign w:val="center"/>
          </w:tcPr>
          <w:p w14:paraId="14604C1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70.300</w:t>
            </w:r>
          </w:p>
        </w:tc>
        <w:tc>
          <w:tcPr>
            <w:tcW w:w="1350" w:type="dxa"/>
            <w:shd w:val="clear" w:color="auto" w:fill="auto"/>
            <w:vAlign w:val="center"/>
          </w:tcPr>
          <w:p w14:paraId="4D54B546"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1.430</w:t>
            </w:r>
          </w:p>
        </w:tc>
        <w:tc>
          <w:tcPr>
            <w:tcW w:w="1260" w:type="dxa"/>
            <w:shd w:val="clear" w:color="auto" w:fill="auto"/>
            <w:vAlign w:val="center"/>
          </w:tcPr>
          <w:p w14:paraId="45BB15D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1.170</w:t>
            </w:r>
          </w:p>
        </w:tc>
      </w:tr>
      <w:tr w:rsidR="00F63335" w:rsidRPr="00E84C93" w14:paraId="1C50D887" w14:textId="77777777" w:rsidTr="004F6436">
        <w:trPr>
          <w:trHeight w:val="340"/>
        </w:trPr>
        <w:tc>
          <w:tcPr>
            <w:tcW w:w="895" w:type="dxa"/>
            <w:shd w:val="clear" w:color="auto" w:fill="auto"/>
            <w:vAlign w:val="center"/>
          </w:tcPr>
          <w:p w14:paraId="62534F8C" w14:textId="3E7D668D"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17</w:t>
            </w:r>
            <w:r w:rsidR="00347BAF" w:rsidRPr="00E84C93">
              <w:rPr>
                <w:rFonts w:eastAsia="Calibri" w:cs="Times New Roman"/>
                <w:bCs/>
                <w:sz w:val="22"/>
                <w:lang w:val="sr-Cyrl-CS"/>
              </w:rPr>
              <w:t>.</w:t>
            </w:r>
          </w:p>
        </w:tc>
        <w:tc>
          <w:tcPr>
            <w:tcW w:w="3690" w:type="dxa"/>
            <w:shd w:val="clear" w:color="auto" w:fill="auto"/>
            <w:vAlign w:val="center"/>
          </w:tcPr>
          <w:p w14:paraId="311F9676"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Зајечарски управни округ</w:t>
            </w:r>
          </w:p>
        </w:tc>
        <w:tc>
          <w:tcPr>
            <w:tcW w:w="1890" w:type="dxa"/>
            <w:shd w:val="clear" w:color="auto" w:fill="auto"/>
            <w:vAlign w:val="center"/>
          </w:tcPr>
          <w:p w14:paraId="23DBF639"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92.500</w:t>
            </w:r>
          </w:p>
        </w:tc>
        <w:tc>
          <w:tcPr>
            <w:tcW w:w="1350" w:type="dxa"/>
            <w:shd w:val="clear" w:color="auto" w:fill="auto"/>
            <w:vAlign w:val="center"/>
          </w:tcPr>
          <w:p w14:paraId="4881BBE1"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1.880</w:t>
            </w:r>
          </w:p>
        </w:tc>
        <w:tc>
          <w:tcPr>
            <w:tcW w:w="1260" w:type="dxa"/>
            <w:shd w:val="clear" w:color="auto" w:fill="auto"/>
            <w:vAlign w:val="center"/>
          </w:tcPr>
          <w:p w14:paraId="3411720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1.530</w:t>
            </w:r>
          </w:p>
        </w:tc>
      </w:tr>
      <w:tr w:rsidR="00F63335" w:rsidRPr="00E84C93" w14:paraId="1072C45C" w14:textId="77777777" w:rsidTr="004F6436">
        <w:trPr>
          <w:trHeight w:val="340"/>
        </w:trPr>
        <w:tc>
          <w:tcPr>
            <w:tcW w:w="895" w:type="dxa"/>
            <w:shd w:val="clear" w:color="auto" w:fill="auto"/>
            <w:vAlign w:val="center"/>
          </w:tcPr>
          <w:p w14:paraId="648F8649" w14:textId="77777777" w:rsidR="00F63335" w:rsidRPr="00E84C93" w:rsidRDefault="00F63335" w:rsidP="006E7EA4">
            <w:pPr>
              <w:spacing w:after="0"/>
              <w:jc w:val="center"/>
              <w:rPr>
                <w:rFonts w:eastAsia="Calibri" w:cs="Times New Roman"/>
                <w:bCs/>
                <w:sz w:val="22"/>
                <w:lang w:val="sr-Cyrl-CS"/>
              </w:rPr>
            </w:pPr>
          </w:p>
        </w:tc>
        <w:tc>
          <w:tcPr>
            <w:tcW w:w="3690" w:type="dxa"/>
            <w:shd w:val="clear" w:color="auto" w:fill="auto"/>
            <w:vAlign w:val="center"/>
          </w:tcPr>
          <w:p w14:paraId="711F9727" w14:textId="6D719E93" w:rsidR="00F63335" w:rsidRPr="00E84C93" w:rsidRDefault="0002705B" w:rsidP="006E7EA4">
            <w:pPr>
              <w:spacing w:after="0"/>
              <w:rPr>
                <w:rFonts w:eastAsia="Calibri" w:cs="Times New Roman"/>
                <w:b/>
                <w:bCs/>
                <w:sz w:val="22"/>
                <w:lang w:val="sr-Cyrl-CS"/>
              </w:rPr>
            </w:pPr>
            <w:r w:rsidRPr="00E84C93">
              <w:rPr>
                <w:rFonts w:eastAsia="Calibri" w:cs="Times New Roman"/>
                <w:b/>
                <w:bCs/>
                <w:sz w:val="22"/>
                <w:lang w:val="sr-Cyrl-CS"/>
              </w:rPr>
              <w:t>АП</w:t>
            </w:r>
            <w:r w:rsidR="00F63335" w:rsidRPr="00E84C93">
              <w:rPr>
                <w:rFonts w:eastAsia="Calibri" w:cs="Times New Roman"/>
                <w:b/>
                <w:bCs/>
                <w:sz w:val="22"/>
                <w:lang w:val="sr-Cyrl-CS"/>
              </w:rPr>
              <w:t xml:space="preserve"> Војводина</w:t>
            </w:r>
          </w:p>
        </w:tc>
        <w:tc>
          <w:tcPr>
            <w:tcW w:w="1890" w:type="dxa"/>
            <w:shd w:val="clear" w:color="auto" w:fill="auto"/>
            <w:vAlign w:val="center"/>
          </w:tcPr>
          <w:p w14:paraId="63F69DF0" w14:textId="77777777" w:rsidR="00F63335" w:rsidRPr="00E84C93" w:rsidRDefault="00F63335" w:rsidP="006E7EA4">
            <w:pPr>
              <w:spacing w:after="0"/>
              <w:jc w:val="center"/>
              <w:rPr>
                <w:rFonts w:eastAsia="Calibri" w:cs="Times New Roman"/>
                <w:bCs/>
                <w:sz w:val="22"/>
                <w:lang w:val="sr-Cyrl-CS"/>
              </w:rPr>
            </w:pPr>
          </w:p>
        </w:tc>
        <w:tc>
          <w:tcPr>
            <w:tcW w:w="1350" w:type="dxa"/>
            <w:shd w:val="clear" w:color="auto" w:fill="auto"/>
            <w:vAlign w:val="center"/>
          </w:tcPr>
          <w:p w14:paraId="0715FA40" w14:textId="77777777" w:rsidR="00F63335" w:rsidRPr="00E84C93" w:rsidRDefault="00F63335" w:rsidP="006E7EA4">
            <w:pPr>
              <w:spacing w:after="0"/>
              <w:jc w:val="center"/>
              <w:rPr>
                <w:rFonts w:eastAsia="Calibri" w:cs="Times New Roman"/>
                <w:bCs/>
                <w:sz w:val="22"/>
                <w:lang w:val="sr-Cyrl-CS"/>
              </w:rPr>
            </w:pPr>
          </w:p>
        </w:tc>
        <w:tc>
          <w:tcPr>
            <w:tcW w:w="1260" w:type="dxa"/>
            <w:shd w:val="clear" w:color="auto" w:fill="auto"/>
            <w:vAlign w:val="center"/>
          </w:tcPr>
          <w:p w14:paraId="712E189A" w14:textId="77777777" w:rsidR="00F63335" w:rsidRPr="00E84C93" w:rsidRDefault="00F63335" w:rsidP="006E7EA4">
            <w:pPr>
              <w:spacing w:after="0"/>
              <w:jc w:val="center"/>
              <w:rPr>
                <w:rFonts w:eastAsia="Calibri" w:cs="Times New Roman"/>
                <w:bCs/>
                <w:sz w:val="22"/>
                <w:lang w:val="sr-Cyrl-CS"/>
              </w:rPr>
            </w:pPr>
          </w:p>
        </w:tc>
      </w:tr>
      <w:tr w:rsidR="00F63335" w:rsidRPr="00E84C93" w14:paraId="2C9E0ACD" w14:textId="77777777" w:rsidTr="004F6436">
        <w:trPr>
          <w:trHeight w:val="340"/>
        </w:trPr>
        <w:tc>
          <w:tcPr>
            <w:tcW w:w="895" w:type="dxa"/>
            <w:shd w:val="clear" w:color="auto" w:fill="auto"/>
            <w:vAlign w:val="center"/>
          </w:tcPr>
          <w:p w14:paraId="1DE3AD01" w14:textId="6093045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18</w:t>
            </w:r>
            <w:r w:rsidR="00347BAF" w:rsidRPr="00E84C93">
              <w:rPr>
                <w:rFonts w:eastAsia="Calibri" w:cs="Times New Roman"/>
                <w:bCs/>
                <w:sz w:val="22"/>
                <w:lang w:val="sr-Cyrl-CS"/>
              </w:rPr>
              <w:t>.</w:t>
            </w:r>
          </w:p>
        </w:tc>
        <w:tc>
          <w:tcPr>
            <w:tcW w:w="3690" w:type="dxa"/>
            <w:shd w:val="clear" w:color="auto" w:fill="auto"/>
            <w:vAlign w:val="center"/>
          </w:tcPr>
          <w:p w14:paraId="4270BFF4"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Средњобанатски управни округ</w:t>
            </w:r>
          </w:p>
        </w:tc>
        <w:tc>
          <w:tcPr>
            <w:tcW w:w="1890" w:type="dxa"/>
            <w:shd w:val="clear" w:color="auto" w:fill="auto"/>
            <w:vAlign w:val="center"/>
          </w:tcPr>
          <w:p w14:paraId="7A80BD24"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177.600</w:t>
            </w:r>
          </w:p>
        </w:tc>
        <w:tc>
          <w:tcPr>
            <w:tcW w:w="1350" w:type="dxa"/>
            <w:shd w:val="clear" w:color="auto" w:fill="auto"/>
            <w:vAlign w:val="center"/>
          </w:tcPr>
          <w:p w14:paraId="37E5158D"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3.350</w:t>
            </w:r>
          </w:p>
        </w:tc>
        <w:tc>
          <w:tcPr>
            <w:tcW w:w="1260" w:type="dxa"/>
            <w:shd w:val="clear" w:color="auto" w:fill="auto"/>
            <w:vAlign w:val="center"/>
          </w:tcPr>
          <w:p w14:paraId="6A78854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2.950</w:t>
            </w:r>
          </w:p>
        </w:tc>
      </w:tr>
      <w:tr w:rsidR="00F63335" w:rsidRPr="00E84C93" w14:paraId="43609218" w14:textId="77777777" w:rsidTr="004F6436">
        <w:trPr>
          <w:trHeight w:val="340"/>
        </w:trPr>
        <w:tc>
          <w:tcPr>
            <w:tcW w:w="895" w:type="dxa"/>
            <w:shd w:val="clear" w:color="auto" w:fill="auto"/>
            <w:vAlign w:val="center"/>
          </w:tcPr>
          <w:p w14:paraId="461126AD" w14:textId="000A1EA5"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19</w:t>
            </w:r>
            <w:r w:rsidR="00347BAF" w:rsidRPr="00E84C93">
              <w:rPr>
                <w:rFonts w:eastAsia="Calibri" w:cs="Times New Roman"/>
                <w:bCs/>
                <w:sz w:val="22"/>
                <w:lang w:val="sr-Cyrl-CS"/>
              </w:rPr>
              <w:t>.</w:t>
            </w:r>
          </w:p>
        </w:tc>
        <w:tc>
          <w:tcPr>
            <w:tcW w:w="3690" w:type="dxa"/>
            <w:shd w:val="clear" w:color="auto" w:fill="auto"/>
            <w:vAlign w:val="center"/>
          </w:tcPr>
          <w:p w14:paraId="1B058A46"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Севернобачки управни округ</w:t>
            </w:r>
          </w:p>
        </w:tc>
        <w:tc>
          <w:tcPr>
            <w:tcW w:w="1890" w:type="dxa"/>
            <w:shd w:val="clear" w:color="auto" w:fill="auto"/>
            <w:vAlign w:val="center"/>
          </w:tcPr>
          <w:p w14:paraId="3E966796"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186.500</w:t>
            </w:r>
          </w:p>
        </w:tc>
        <w:tc>
          <w:tcPr>
            <w:tcW w:w="1350" w:type="dxa"/>
            <w:shd w:val="clear" w:color="auto" w:fill="auto"/>
            <w:vAlign w:val="center"/>
          </w:tcPr>
          <w:p w14:paraId="2B10BC43"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3.490</w:t>
            </w:r>
          </w:p>
        </w:tc>
        <w:tc>
          <w:tcPr>
            <w:tcW w:w="1260" w:type="dxa"/>
            <w:shd w:val="clear" w:color="auto" w:fill="auto"/>
            <w:vAlign w:val="center"/>
          </w:tcPr>
          <w:p w14:paraId="3C1316D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3.080</w:t>
            </w:r>
          </w:p>
        </w:tc>
      </w:tr>
      <w:tr w:rsidR="00F63335" w:rsidRPr="00E84C93" w14:paraId="1447A394" w14:textId="77777777" w:rsidTr="004F6436">
        <w:trPr>
          <w:trHeight w:val="340"/>
        </w:trPr>
        <w:tc>
          <w:tcPr>
            <w:tcW w:w="895" w:type="dxa"/>
            <w:shd w:val="clear" w:color="auto" w:fill="auto"/>
            <w:vAlign w:val="center"/>
          </w:tcPr>
          <w:p w14:paraId="6AD187F2" w14:textId="0F5E7B23"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20</w:t>
            </w:r>
            <w:r w:rsidR="00347BAF" w:rsidRPr="00E84C93">
              <w:rPr>
                <w:rFonts w:eastAsia="Calibri" w:cs="Times New Roman"/>
                <w:bCs/>
                <w:sz w:val="22"/>
                <w:lang w:val="sr-Cyrl-CS"/>
              </w:rPr>
              <w:t>.</w:t>
            </w:r>
          </w:p>
        </w:tc>
        <w:tc>
          <w:tcPr>
            <w:tcW w:w="3690" w:type="dxa"/>
            <w:shd w:val="clear" w:color="auto" w:fill="auto"/>
            <w:vAlign w:val="center"/>
          </w:tcPr>
          <w:p w14:paraId="035937F8"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Севернобанатски управни округ</w:t>
            </w:r>
          </w:p>
        </w:tc>
        <w:tc>
          <w:tcPr>
            <w:tcW w:w="1890" w:type="dxa"/>
            <w:shd w:val="clear" w:color="auto" w:fill="auto"/>
            <w:vAlign w:val="center"/>
          </w:tcPr>
          <w:p w14:paraId="10C4CBA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114.800</w:t>
            </w:r>
          </w:p>
        </w:tc>
        <w:tc>
          <w:tcPr>
            <w:tcW w:w="1350" w:type="dxa"/>
            <w:shd w:val="clear" w:color="auto" w:fill="auto"/>
            <w:vAlign w:val="center"/>
          </w:tcPr>
          <w:p w14:paraId="68C6C0F4"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2.330</w:t>
            </w:r>
          </w:p>
        </w:tc>
        <w:tc>
          <w:tcPr>
            <w:tcW w:w="1260" w:type="dxa"/>
            <w:shd w:val="clear" w:color="auto" w:fill="auto"/>
            <w:vAlign w:val="center"/>
          </w:tcPr>
          <w:p w14:paraId="2BE53C50"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1.910</w:t>
            </w:r>
          </w:p>
        </w:tc>
      </w:tr>
      <w:tr w:rsidR="00F63335" w:rsidRPr="00E84C93" w14:paraId="64EB6231" w14:textId="77777777" w:rsidTr="004F6436">
        <w:trPr>
          <w:trHeight w:val="340"/>
        </w:trPr>
        <w:tc>
          <w:tcPr>
            <w:tcW w:w="895" w:type="dxa"/>
            <w:shd w:val="clear" w:color="auto" w:fill="auto"/>
            <w:vAlign w:val="center"/>
          </w:tcPr>
          <w:p w14:paraId="1B5B286E" w14:textId="6FA4399B"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21</w:t>
            </w:r>
            <w:r w:rsidR="00347BAF" w:rsidRPr="00E84C93">
              <w:rPr>
                <w:rFonts w:eastAsia="Calibri" w:cs="Times New Roman"/>
                <w:bCs/>
                <w:sz w:val="22"/>
                <w:lang w:val="sr-Cyrl-CS"/>
              </w:rPr>
              <w:t>.</w:t>
            </w:r>
          </w:p>
        </w:tc>
        <w:tc>
          <w:tcPr>
            <w:tcW w:w="3690" w:type="dxa"/>
            <w:shd w:val="clear" w:color="auto" w:fill="auto"/>
            <w:vAlign w:val="center"/>
          </w:tcPr>
          <w:p w14:paraId="132AB844"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Јужнобачки управни округ</w:t>
            </w:r>
          </w:p>
        </w:tc>
        <w:tc>
          <w:tcPr>
            <w:tcW w:w="1890" w:type="dxa"/>
            <w:shd w:val="clear" w:color="auto" w:fill="auto"/>
            <w:vAlign w:val="center"/>
          </w:tcPr>
          <w:p w14:paraId="68EBB3EF"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725.000</w:t>
            </w:r>
          </w:p>
        </w:tc>
        <w:tc>
          <w:tcPr>
            <w:tcW w:w="1350" w:type="dxa"/>
            <w:shd w:val="clear" w:color="auto" w:fill="auto"/>
            <w:vAlign w:val="center"/>
          </w:tcPr>
          <w:p w14:paraId="3562D09C"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12.820</w:t>
            </w:r>
          </w:p>
        </w:tc>
        <w:tc>
          <w:tcPr>
            <w:tcW w:w="1260" w:type="dxa"/>
            <w:shd w:val="clear" w:color="auto" w:fill="auto"/>
            <w:vAlign w:val="center"/>
          </w:tcPr>
          <w:p w14:paraId="2AE9C305"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11.070</w:t>
            </w:r>
          </w:p>
        </w:tc>
      </w:tr>
      <w:tr w:rsidR="00F63335" w:rsidRPr="00E84C93" w14:paraId="6F026A95" w14:textId="77777777" w:rsidTr="004F6436">
        <w:trPr>
          <w:trHeight w:val="340"/>
        </w:trPr>
        <w:tc>
          <w:tcPr>
            <w:tcW w:w="895" w:type="dxa"/>
            <w:shd w:val="clear" w:color="auto" w:fill="auto"/>
            <w:vAlign w:val="center"/>
          </w:tcPr>
          <w:p w14:paraId="3522E7AA" w14:textId="6D8192DB"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22</w:t>
            </w:r>
            <w:r w:rsidR="00347BAF" w:rsidRPr="00E84C93">
              <w:rPr>
                <w:rFonts w:eastAsia="Calibri" w:cs="Times New Roman"/>
                <w:bCs/>
                <w:sz w:val="22"/>
                <w:lang w:val="sr-Cyrl-CS"/>
              </w:rPr>
              <w:t>.</w:t>
            </w:r>
          </w:p>
        </w:tc>
        <w:tc>
          <w:tcPr>
            <w:tcW w:w="3690" w:type="dxa"/>
            <w:shd w:val="clear" w:color="auto" w:fill="auto"/>
            <w:vAlign w:val="center"/>
          </w:tcPr>
          <w:p w14:paraId="171E33E3"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Јужнобанатски управни округ</w:t>
            </w:r>
          </w:p>
        </w:tc>
        <w:tc>
          <w:tcPr>
            <w:tcW w:w="1890" w:type="dxa"/>
            <w:shd w:val="clear" w:color="auto" w:fill="auto"/>
            <w:vAlign w:val="center"/>
          </w:tcPr>
          <w:p w14:paraId="7CB937B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266.100</w:t>
            </w:r>
          </w:p>
        </w:tc>
        <w:tc>
          <w:tcPr>
            <w:tcW w:w="1350" w:type="dxa"/>
            <w:shd w:val="clear" w:color="auto" w:fill="auto"/>
            <w:vAlign w:val="center"/>
          </w:tcPr>
          <w:p w14:paraId="689C81A3"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5.110</w:t>
            </w:r>
          </w:p>
        </w:tc>
        <w:tc>
          <w:tcPr>
            <w:tcW w:w="1260" w:type="dxa"/>
            <w:shd w:val="clear" w:color="auto" w:fill="auto"/>
            <w:vAlign w:val="center"/>
          </w:tcPr>
          <w:p w14:paraId="57262FBE"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4.420</w:t>
            </w:r>
          </w:p>
        </w:tc>
      </w:tr>
      <w:tr w:rsidR="00F63335" w:rsidRPr="00E84C93" w14:paraId="4E5FC2EE" w14:textId="77777777" w:rsidTr="004F6436">
        <w:trPr>
          <w:trHeight w:val="340"/>
        </w:trPr>
        <w:tc>
          <w:tcPr>
            <w:tcW w:w="895" w:type="dxa"/>
            <w:shd w:val="clear" w:color="auto" w:fill="auto"/>
            <w:vAlign w:val="center"/>
          </w:tcPr>
          <w:p w14:paraId="4ABFB8CF" w14:textId="4635993B"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23</w:t>
            </w:r>
            <w:r w:rsidR="00347BAF" w:rsidRPr="00E84C93">
              <w:rPr>
                <w:rFonts w:eastAsia="Calibri" w:cs="Times New Roman"/>
                <w:bCs/>
                <w:sz w:val="22"/>
                <w:lang w:val="sr-Cyrl-CS"/>
              </w:rPr>
              <w:t>.</w:t>
            </w:r>
          </w:p>
        </w:tc>
        <w:tc>
          <w:tcPr>
            <w:tcW w:w="3690" w:type="dxa"/>
            <w:shd w:val="clear" w:color="auto" w:fill="auto"/>
            <w:vAlign w:val="center"/>
          </w:tcPr>
          <w:p w14:paraId="3821BF95"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Сремски управни округ</w:t>
            </w:r>
          </w:p>
        </w:tc>
        <w:tc>
          <w:tcPr>
            <w:tcW w:w="1890" w:type="dxa"/>
            <w:shd w:val="clear" w:color="auto" w:fill="auto"/>
            <w:vAlign w:val="center"/>
          </w:tcPr>
          <w:p w14:paraId="01BF7D91"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264.500</w:t>
            </w:r>
          </w:p>
        </w:tc>
        <w:tc>
          <w:tcPr>
            <w:tcW w:w="1350" w:type="dxa"/>
            <w:shd w:val="clear" w:color="auto" w:fill="auto"/>
            <w:vAlign w:val="center"/>
          </w:tcPr>
          <w:p w14:paraId="2A40CD43"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5.210</w:t>
            </w:r>
          </w:p>
        </w:tc>
        <w:tc>
          <w:tcPr>
            <w:tcW w:w="1260" w:type="dxa"/>
            <w:shd w:val="clear" w:color="auto" w:fill="auto"/>
            <w:vAlign w:val="center"/>
          </w:tcPr>
          <w:p w14:paraId="130F55EB"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4.230</w:t>
            </w:r>
          </w:p>
        </w:tc>
      </w:tr>
      <w:tr w:rsidR="00F63335" w:rsidRPr="00E84C93" w14:paraId="45E5EE0E" w14:textId="77777777" w:rsidTr="004F6436">
        <w:trPr>
          <w:trHeight w:val="340"/>
        </w:trPr>
        <w:tc>
          <w:tcPr>
            <w:tcW w:w="895" w:type="dxa"/>
            <w:shd w:val="clear" w:color="auto" w:fill="auto"/>
            <w:vAlign w:val="center"/>
          </w:tcPr>
          <w:p w14:paraId="4AC604E5" w14:textId="607D89E0"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24</w:t>
            </w:r>
            <w:r w:rsidR="00347BAF" w:rsidRPr="00E84C93">
              <w:rPr>
                <w:rFonts w:eastAsia="Calibri" w:cs="Times New Roman"/>
                <w:bCs/>
                <w:sz w:val="22"/>
                <w:lang w:val="sr-Cyrl-CS"/>
              </w:rPr>
              <w:t>.</w:t>
            </w:r>
          </w:p>
        </w:tc>
        <w:tc>
          <w:tcPr>
            <w:tcW w:w="3690" w:type="dxa"/>
            <w:shd w:val="clear" w:color="auto" w:fill="auto"/>
            <w:vAlign w:val="center"/>
          </w:tcPr>
          <w:p w14:paraId="29B69644" w14:textId="77777777" w:rsidR="00F63335" w:rsidRPr="00E84C93" w:rsidRDefault="00F63335" w:rsidP="006E7EA4">
            <w:pPr>
              <w:spacing w:after="0"/>
              <w:rPr>
                <w:rFonts w:eastAsia="Calibri" w:cs="Times New Roman"/>
                <w:bCs/>
                <w:sz w:val="22"/>
                <w:lang w:val="sr-Cyrl-CS"/>
              </w:rPr>
            </w:pPr>
            <w:r w:rsidRPr="00E84C93">
              <w:rPr>
                <w:rFonts w:eastAsia="Calibri" w:cs="Times New Roman"/>
                <w:bCs/>
                <w:sz w:val="22"/>
                <w:lang w:val="sr-Cyrl-CS"/>
              </w:rPr>
              <w:t>Западнобачки управни округ</w:t>
            </w:r>
          </w:p>
        </w:tc>
        <w:tc>
          <w:tcPr>
            <w:tcW w:w="1890" w:type="dxa"/>
            <w:shd w:val="clear" w:color="auto" w:fill="auto"/>
            <w:vAlign w:val="center"/>
          </w:tcPr>
          <w:p w14:paraId="5CAF76B5"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155.600</w:t>
            </w:r>
          </w:p>
        </w:tc>
        <w:tc>
          <w:tcPr>
            <w:tcW w:w="1350" w:type="dxa"/>
            <w:shd w:val="clear" w:color="auto" w:fill="auto"/>
            <w:vAlign w:val="center"/>
          </w:tcPr>
          <w:p w14:paraId="5269ECF2"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3.060</w:t>
            </w:r>
          </w:p>
        </w:tc>
        <w:tc>
          <w:tcPr>
            <w:tcW w:w="1260" w:type="dxa"/>
            <w:shd w:val="clear" w:color="auto" w:fill="auto"/>
            <w:vAlign w:val="center"/>
          </w:tcPr>
          <w:p w14:paraId="44B3EF08" w14:textId="77777777" w:rsidR="00F63335" w:rsidRPr="00E84C93" w:rsidRDefault="00F63335" w:rsidP="006E7EA4">
            <w:pPr>
              <w:spacing w:after="0"/>
              <w:jc w:val="center"/>
              <w:rPr>
                <w:rFonts w:eastAsia="Calibri" w:cs="Times New Roman"/>
                <w:bCs/>
                <w:sz w:val="22"/>
                <w:lang w:val="sr-Cyrl-CS"/>
              </w:rPr>
            </w:pPr>
            <w:r w:rsidRPr="00E84C93">
              <w:rPr>
                <w:rFonts w:eastAsia="Calibri" w:cs="Times New Roman"/>
                <w:bCs/>
                <w:sz w:val="22"/>
                <w:lang w:val="sr-Cyrl-CS"/>
              </w:rPr>
              <w:t>2.480</w:t>
            </w:r>
          </w:p>
        </w:tc>
      </w:tr>
      <w:tr w:rsidR="003869E1" w:rsidRPr="00E84C93" w14:paraId="0BC76F67" w14:textId="77777777" w:rsidTr="004F6436">
        <w:trPr>
          <w:trHeight w:val="340"/>
        </w:trPr>
        <w:tc>
          <w:tcPr>
            <w:tcW w:w="4585" w:type="dxa"/>
            <w:gridSpan w:val="2"/>
            <w:shd w:val="clear" w:color="auto" w:fill="D9D9D9" w:themeFill="background1" w:themeFillShade="D9"/>
            <w:vAlign w:val="center"/>
          </w:tcPr>
          <w:p w14:paraId="5E8B3DF4" w14:textId="77777777" w:rsidR="003869E1" w:rsidRPr="00E84C93" w:rsidRDefault="003869E1" w:rsidP="006E7EA4">
            <w:pPr>
              <w:spacing w:after="0"/>
              <w:rPr>
                <w:rFonts w:eastAsia="Calibri" w:cs="Times New Roman"/>
                <w:b/>
                <w:bCs/>
                <w:sz w:val="22"/>
                <w:lang w:val="sr-Cyrl-CS"/>
              </w:rPr>
            </w:pPr>
            <w:r w:rsidRPr="00E84C93">
              <w:rPr>
                <w:rFonts w:eastAsia="Calibri" w:cs="Times New Roman"/>
                <w:b/>
                <w:bCs/>
                <w:sz w:val="22"/>
                <w:lang w:val="sr-Cyrl-CS"/>
              </w:rPr>
              <w:t>Укупан пројектовани капацитет и производња муља</w:t>
            </w:r>
          </w:p>
        </w:tc>
        <w:tc>
          <w:tcPr>
            <w:tcW w:w="1890" w:type="dxa"/>
            <w:shd w:val="clear" w:color="auto" w:fill="D9D9D9" w:themeFill="background1" w:themeFillShade="D9"/>
            <w:vAlign w:val="center"/>
          </w:tcPr>
          <w:p w14:paraId="1ED4A910" w14:textId="77777777" w:rsidR="003869E1" w:rsidRPr="00E84C93" w:rsidRDefault="003869E1" w:rsidP="006E7EA4">
            <w:pPr>
              <w:spacing w:after="0"/>
              <w:jc w:val="center"/>
              <w:rPr>
                <w:rFonts w:eastAsia="Calibri" w:cs="Times New Roman"/>
                <w:b/>
                <w:bCs/>
                <w:sz w:val="22"/>
                <w:lang w:val="sr-Cyrl-CS"/>
              </w:rPr>
            </w:pPr>
            <w:r w:rsidRPr="00E84C93">
              <w:rPr>
                <w:rFonts w:eastAsia="Calibri" w:cs="Times New Roman"/>
                <w:b/>
                <w:bCs/>
                <w:sz w:val="22"/>
                <w:lang w:val="sr-Cyrl-CS"/>
              </w:rPr>
              <w:t>7.307.300</w:t>
            </w:r>
          </w:p>
        </w:tc>
        <w:tc>
          <w:tcPr>
            <w:tcW w:w="1350" w:type="dxa"/>
            <w:shd w:val="clear" w:color="auto" w:fill="D9D9D9" w:themeFill="background1" w:themeFillShade="D9"/>
            <w:vAlign w:val="center"/>
          </w:tcPr>
          <w:p w14:paraId="5F66821C" w14:textId="77777777" w:rsidR="003869E1" w:rsidRPr="00E84C93" w:rsidRDefault="003869E1" w:rsidP="006E7EA4">
            <w:pPr>
              <w:spacing w:after="0"/>
              <w:jc w:val="center"/>
              <w:rPr>
                <w:rFonts w:eastAsia="Calibri" w:cs="Times New Roman"/>
                <w:b/>
                <w:bCs/>
                <w:sz w:val="22"/>
                <w:lang w:val="sr-Cyrl-CS"/>
              </w:rPr>
            </w:pPr>
            <w:r w:rsidRPr="00E84C93">
              <w:rPr>
                <w:rFonts w:eastAsia="Calibri" w:cs="Times New Roman"/>
                <w:b/>
                <w:bCs/>
                <w:sz w:val="22"/>
                <w:lang w:val="sr-Cyrl-CS"/>
              </w:rPr>
              <w:t>135.190</w:t>
            </w:r>
          </w:p>
        </w:tc>
        <w:tc>
          <w:tcPr>
            <w:tcW w:w="1260" w:type="dxa"/>
            <w:shd w:val="clear" w:color="auto" w:fill="D9D9D9" w:themeFill="background1" w:themeFillShade="D9"/>
            <w:vAlign w:val="center"/>
          </w:tcPr>
          <w:p w14:paraId="7A9A47F5" w14:textId="77777777" w:rsidR="003869E1" w:rsidRPr="00E84C93" w:rsidRDefault="003869E1" w:rsidP="006E7EA4">
            <w:pPr>
              <w:spacing w:after="0"/>
              <w:jc w:val="center"/>
              <w:rPr>
                <w:rFonts w:eastAsia="Calibri" w:cs="Times New Roman"/>
                <w:b/>
                <w:bCs/>
                <w:sz w:val="22"/>
                <w:lang w:val="sr-Cyrl-CS"/>
              </w:rPr>
            </w:pPr>
            <w:r w:rsidRPr="00E84C93">
              <w:rPr>
                <w:rFonts w:eastAsia="Calibri" w:cs="Times New Roman"/>
                <w:b/>
                <w:bCs/>
                <w:sz w:val="22"/>
                <w:lang w:val="sr-Cyrl-CS"/>
              </w:rPr>
              <w:t>115.390</w:t>
            </w:r>
          </w:p>
        </w:tc>
      </w:tr>
    </w:tbl>
    <w:p w14:paraId="7D097D62" w14:textId="77777777" w:rsidR="00F63335" w:rsidRPr="00E84C93" w:rsidRDefault="00F63335" w:rsidP="00F63335">
      <w:pPr>
        <w:keepNext/>
        <w:tabs>
          <w:tab w:val="left" w:pos="992"/>
          <w:tab w:val="left" w:pos="3119"/>
        </w:tabs>
        <w:spacing w:after="60"/>
        <w:rPr>
          <w:iCs/>
          <w:color w:val="002060"/>
          <w:sz w:val="20"/>
          <w:szCs w:val="16"/>
          <w:u w:val="single"/>
          <w:lang w:val="sr-Cyrl-CS"/>
        </w:rPr>
      </w:pPr>
    </w:p>
    <w:p w14:paraId="4AF56A67" w14:textId="31A878CA" w:rsidR="00B93872" w:rsidRPr="00E84C93" w:rsidRDefault="00B93872" w:rsidP="00B93872">
      <w:pPr>
        <w:spacing w:after="0"/>
        <w:ind w:firstLine="720"/>
        <w:jc w:val="both"/>
        <w:rPr>
          <w:rFonts w:cs="Times New Roman"/>
          <w:lang w:val="sr-Cyrl-CS" w:bidi="en-US"/>
        </w:rPr>
      </w:pPr>
      <w:r w:rsidRPr="00E84C93">
        <w:rPr>
          <w:rFonts w:eastAsia="Calibri" w:cs="Times New Roman"/>
          <w:bCs/>
          <w:szCs w:val="24"/>
          <w:lang w:val="sr-Cyrl-CS"/>
        </w:rPr>
        <w:t xml:space="preserve">Јужнобачки управни округ </w:t>
      </w:r>
      <w:r w:rsidRPr="00E84C93">
        <w:rPr>
          <w:rFonts w:cs="Times New Roman"/>
          <w:szCs w:val="24"/>
          <w:lang w:val="sr-Cyrl-CS" w:bidi="en-US"/>
        </w:rPr>
        <w:t>и подручје града Београда захтева највеће капацитете за одлагање муља. Изузев Рашког, Шумадијског и Нишавског округа, чији су захтевани капацитети за одлагање муља већи од 6.000 t СM/год</w:t>
      </w:r>
      <w:r w:rsidR="001472E5" w:rsidRPr="00E84C93">
        <w:rPr>
          <w:rFonts w:cs="Times New Roman"/>
          <w:szCs w:val="24"/>
          <w:lang w:val="sr-Cyrl-CS" w:bidi="en-US"/>
        </w:rPr>
        <w:t>.</w:t>
      </w:r>
      <w:r w:rsidRPr="00E84C93">
        <w:rPr>
          <w:rFonts w:cs="Times New Roman"/>
          <w:szCs w:val="24"/>
          <w:lang w:val="sr-Cyrl-CS" w:bidi="en-US"/>
        </w:rPr>
        <w:t xml:space="preserve">, за </w:t>
      </w:r>
      <w:r w:rsidRPr="00E84C93">
        <w:rPr>
          <w:lang w:val="sr-Cyrl-CS"/>
        </w:rPr>
        <w:t>већину округа потребни капацитети се крећу од 2.000 – 4.000 t СM/год.</w:t>
      </w:r>
      <w:r w:rsidRPr="00E84C93">
        <w:rPr>
          <w:rFonts w:cs="Times New Roman"/>
          <w:lang w:val="sr-Cyrl-CS" w:bidi="en-US"/>
        </w:rPr>
        <w:t xml:space="preserve"> Четири округа, Борски, Пиротски, </w:t>
      </w:r>
      <w:r w:rsidRPr="00E84C93">
        <w:rPr>
          <w:rFonts w:cs="Times New Roman"/>
          <w:lang w:val="sr-Cyrl-CS" w:bidi="en-US"/>
        </w:rPr>
        <w:lastRenderedPageBreak/>
        <w:t>Топлички и Зајечарски, захтевају мање капацитете за одлагање муља, те се за њих може одабрати неки вид међуопштинске сарадње.</w:t>
      </w:r>
    </w:p>
    <w:p w14:paraId="2AB91B62" w14:textId="7B7951B9" w:rsidR="00C8611D" w:rsidRPr="00E84C93" w:rsidRDefault="00B93872" w:rsidP="00B93872">
      <w:pPr>
        <w:spacing w:after="0"/>
        <w:ind w:firstLine="720"/>
        <w:jc w:val="both"/>
        <w:rPr>
          <w:rFonts w:cs="Times New Roman"/>
          <w:lang w:val="sr-Cyrl-CS"/>
        </w:rPr>
      </w:pPr>
      <w:r w:rsidRPr="00E84C93">
        <w:rPr>
          <w:rFonts w:cs="Times New Roman"/>
          <w:lang w:val="sr-Cyrl-CS" w:bidi="en-US"/>
        </w:rPr>
        <w:t xml:space="preserve"> Треба напоменути да се наведене</w:t>
      </w:r>
      <w:r w:rsidR="00D010D1" w:rsidRPr="00E84C93">
        <w:rPr>
          <w:rFonts w:cs="Times New Roman"/>
          <w:lang w:val="sr-Cyrl-CS" w:bidi="en-US"/>
        </w:rPr>
        <w:t xml:space="preserve"> </w:t>
      </w:r>
      <w:r w:rsidRPr="00E84C93">
        <w:rPr>
          <w:rFonts w:cs="Times New Roman"/>
          <w:lang w:val="sr-Cyrl-CS" w:bidi="en-US"/>
        </w:rPr>
        <w:t xml:space="preserve">количине односе на стабилизовани комунални муљ који настаје у </w:t>
      </w:r>
      <w:r w:rsidRPr="00E84C93">
        <w:rPr>
          <w:rFonts w:cs="Times New Roman"/>
          <w:lang w:val="sr-Cyrl-CS"/>
        </w:rPr>
        <w:t>постројењима за пречишћавање отпадних вода</w:t>
      </w:r>
      <w:r w:rsidRPr="00E84C93">
        <w:rPr>
          <w:rFonts w:cs="Times New Roman"/>
          <w:lang w:val="sr-Cyrl-CS" w:bidi="en-US"/>
        </w:rPr>
        <w:t>. Додатном обрадом муља као што је компостирање, дуготрајно складиштење на тршчаним пољима, као и додатна термичка обрада, нпр. сушење или спаљивање муља, знатно се смањује садржај органске материје у финалном продукту, а тиме и количина муља за одлагање</w:t>
      </w:r>
      <w:r w:rsidR="00413F65" w:rsidRPr="00E84C93">
        <w:rPr>
          <w:rFonts w:cs="Times New Roman"/>
          <w:lang w:val="sr-Cyrl-CS" w:bidi="en-US"/>
        </w:rPr>
        <w:t>,</w:t>
      </w:r>
      <w:r w:rsidRPr="00E84C93">
        <w:rPr>
          <w:rFonts w:cs="Times New Roman"/>
          <w:lang w:val="sr-Cyrl-CS" w:bidi="en-US"/>
        </w:rPr>
        <w:t xml:space="preserve"> односно поновну употребу. </w:t>
      </w:r>
      <w:r w:rsidRPr="00E84C93">
        <w:rPr>
          <w:rFonts w:cs="Times New Roman"/>
          <w:lang w:val="sr-Cyrl-CS"/>
        </w:rPr>
        <w:t>Анализа производње муља по општинама је, такође, извршена за пројектовани временски период до 2041. године</w:t>
      </w:r>
      <w:r w:rsidR="00F63335" w:rsidRPr="00E84C93">
        <w:rPr>
          <w:rFonts w:cs="Times New Roman"/>
          <w:lang w:val="sr-Cyrl-CS"/>
        </w:rPr>
        <w:t>.</w:t>
      </w:r>
    </w:p>
    <w:p w14:paraId="6801A840" w14:textId="250A5408" w:rsidR="00F63335" w:rsidRPr="00E84C93" w:rsidRDefault="00F63335" w:rsidP="00BF3637">
      <w:pPr>
        <w:rPr>
          <w:lang w:val="sr-Cyrl-CS"/>
        </w:rPr>
      </w:pPr>
    </w:p>
    <w:p w14:paraId="1B9D07B0" w14:textId="296ADE4B" w:rsidR="00FD5857" w:rsidRPr="00E84C93" w:rsidRDefault="00FD5857" w:rsidP="007D6B19">
      <w:pPr>
        <w:pStyle w:val="Heading2"/>
        <w:numPr>
          <w:ilvl w:val="1"/>
          <w:numId w:val="8"/>
        </w:numPr>
        <w:rPr>
          <w:lang w:val="sr-Cyrl-CS"/>
        </w:rPr>
      </w:pPr>
      <w:bookmarkStart w:id="55" w:name="_Toc99920896"/>
      <w:r w:rsidRPr="00E84C93">
        <w:rPr>
          <w:lang w:val="sr-Cyrl-CS"/>
        </w:rPr>
        <w:t>П</w:t>
      </w:r>
      <w:r w:rsidR="00C0216A" w:rsidRPr="00E84C93">
        <w:rPr>
          <w:lang w:val="sr-Cyrl-CS"/>
        </w:rPr>
        <w:t>остојећи п</w:t>
      </w:r>
      <w:r w:rsidRPr="00E84C93">
        <w:rPr>
          <w:lang w:val="sr-Cyrl-CS"/>
        </w:rPr>
        <w:t>роблеми</w:t>
      </w:r>
      <w:bookmarkEnd w:id="55"/>
      <w:r w:rsidR="00C609F8" w:rsidRPr="00E84C93">
        <w:rPr>
          <w:lang w:val="sr-Cyrl-CS"/>
        </w:rPr>
        <w:t xml:space="preserve"> </w:t>
      </w:r>
    </w:p>
    <w:p w14:paraId="6B8D868F" w14:textId="77777777" w:rsidR="009829B5" w:rsidRPr="00E84C93" w:rsidRDefault="009829B5" w:rsidP="00337FE9">
      <w:pPr>
        <w:tabs>
          <w:tab w:val="left" w:pos="567"/>
        </w:tabs>
        <w:autoSpaceDE w:val="0"/>
        <w:autoSpaceDN w:val="0"/>
        <w:adjustRightInd w:val="0"/>
        <w:spacing w:after="0"/>
        <w:ind w:firstLine="720"/>
        <w:jc w:val="both"/>
        <w:rPr>
          <w:rFonts w:eastAsia="Times New Roman" w:cstheme="minorHAnsi"/>
          <w:szCs w:val="21"/>
          <w:lang w:val="sr-Cyrl-CS"/>
        </w:rPr>
      </w:pPr>
    </w:p>
    <w:p w14:paraId="134752CE" w14:textId="38F45DF6" w:rsidR="007B2F9C" w:rsidRPr="00E84C93" w:rsidRDefault="007B2F9C" w:rsidP="00337FE9">
      <w:pPr>
        <w:tabs>
          <w:tab w:val="left" w:pos="567"/>
        </w:tabs>
        <w:autoSpaceDE w:val="0"/>
        <w:autoSpaceDN w:val="0"/>
        <w:adjustRightInd w:val="0"/>
        <w:spacing w:after="0"/>
        <w:ind w:firstLine="720"/>
        <w:jc w:val="both"/>
        <w:rPr>
          <w:bCs/>
          <w:lang w:val="sr-Cyrl-CS"/>
        </w:rPr>
      </w:pPr>
      <w:r w:rsidRPr="00E84C93">
        <w:rPr>
          <w:rFonts w:eastAsia="Times New Roman" w:cstheme="minorHAnsi"/>
          <w:szCs w:val="21"/>
          <w:lang w:val="sr-Cyrl-CS"/>
        </w:rPr>
        <w:t>Управљање муљем из пречишћавања отпадних вода се сматра једним од највећих еколошких изазова у последњој деценији</w:t>
      </w:r>
      <w:r w:rsidR="00B52A18" w:rsidRPr="00E84C93">
        <w:rPr>
          <w:rFonts w:eastAsia="Times New Roman" w:cstheme="minorHAnsi"/>
          <w:szCs w:val="21"/>
          <w:lang w:val="sr-Cyrl-CS"/>
        </w:rPr>
        <w:t>.</w:t>
      </w:r>
      <w:r w:rsidRPr="00E84C93">
        <w:rPr>
          <w:rFonts w:eastAsia="Times New Roman" w:cstheme="minorHAnsi"/>
          <w:szCs w:val="21"/>
          <w:lang w:val="sr-Cyrl-CS"/>
        </w:rPr>
        <w:t xml:space="preserve"> Адекватно управљање муљем насталим из пречишћавања отпадних вода у постојећим и планираним постројењима представља веома важну компоненту укупног управљања отпадним водама</w:t>
      </w:r>
      <w:r w:rsidR="002D46A8" w:rsidRPr="00E84C93">
        <w:rPr>
          <w:rFonts w:eastAsia="Times New Roman" w:cstheme="minorHAnsi"/>
          <w:szCs w:val="21"/>
          <w:lang w:val="sr-Cyrl-CS"/>
        </w:rPr>
        <w:t xml:space="preserve">. </w:t>
      </w:r>
      <w:r w:rsidR="006B4EF0" w:rsidRPr="00E84C93">
        <w:rPr>
          <w:rFonts w:eastAsia="Times New Roman" w:cstheme="minorHAnsi"/>
          <w:szCs w:val="21"/>
          <w:lang w:val="sr-Cyrl-CS"/>
        </w:rPr>
        <w:t xml:space="preserve">У складу са </w:t>
      </w:r>
      <w:r w:rsidR="006B4EF0" w:rsidRPr="00E84C93">
        <w:rPr>
          <w:rFonts w:cs="Times New Roman"/>
          <w:bCs/>
          <w:szCs w:val="24"/>
          <w:lang w:val="sr-Cyrl-CS"/>
        </w:rPr>
        <w:t>политикама и директивама ЕУ, муљ</w:t>
      </w:r>
      <w:r w:rsidR="00413F65" w:rsidRPr="00E84C93">
        <w:rPr>
          <w:rFonts w:cs="Times New Roman"/>
          <w:bCs/>
          <w:szCs w:val="24"/>
          <w:lang w:val="sr-Cyrl-CS"/>
        </w:rPr>
        <w:t xml:space="preserve"> из</w:t>
      </w:r>
      <w:r w:rsidR="006B4EF0" w:rsidRPr="00E84C93">
        <w:rPr>
          <w:rFonts w:cs="Times New Roman"/>
          <w:bCs/>
          <w:szCs w:val="24"/>
          <w:lang w:val="sr-Cyrl-CS"/>
        </w:rPr>
        <w:t xml:space="preserve"> постројења за третман отпадних вода сматра</w:t>
      </w:r>
      <w:r w:rsidR="00413F65" w:rsidRPr="00E84C93">
        <w:rPr>
          <w:rFonts w:cs="Times New Roman"/>
          <w:bCs/>
          <w:szCs w:val="24"/>
          <w:lang w:val="sr-Cyrl-CS"/>
        </w:rPr>
        <w:t xml:space="preserve"> се</w:t>
      </w:r>
      <w:r w:rsidR="006B4EF0" w:rsidRPr="00E84C93">
        <w:rPr>
          <w:rFonts w:cs="Times New Roman"/>
          <w:bCs/>
          <w:szCs w:val="24"/>
          <w:lang w:val="sr-Cyrl-CS"/>
        </w:rPr>
        <w:t xml:space="preserve"> вредним ресурсом. </w:t>
      </w:r>
      <w:r w:rsidR="006B4EF0" w:rsidRPr="00E84C93">
        <w:rPr>
          <w:rFonts w:eastAsia="Times New Roman" w:cstheme="minorHAnsi"/>
          <w:szCs w:val="21"/>
          <w:lang w:val="sr-Cyrl-CS"/>
        </w:rPr>
        <w:t>Међутим, систем за управљање муљем још увек није успостављен. У Републици Србији управљање муљем</w:t>
      </w:r>
      <w:r w:rsidR="001A41F9" w:rsidRPr="00E84C93">
        <w:rPr>
          <w:rFonts w:eastAsia="Times New Roman" w:cstheme="minorHAnsi"/>
          <w:szCs w:val="21"/>
          <w:lang w:val="sr-Cyrl-CS"/>
        </w:rPr>
        <w:t xml:space="preserve"> је</w:t>
      </w:r>
      <w:r w:rsidR="006B4EF0" w:rsidRPr="00E84C93">
        <w:rPr>
          <w:rFonts w:eastAsia="Times New Roman" w:cstheme="minorHAnsi"/>
          <w:szCs w:val="21"/>
          <w:lang w:val="sr-Cyrl-CS"/>
        </w:rPr>
        <w:t xml:space="preserve"> </w:t>
      </w:r>
      <w:r w:rsidR="00413F65" w:rsidRPr="00E84C93">
        <w:rPr>
          <w:rFonts w:eastAsia="Times New Roman" w:cstheme="minorHAnsi"/>
          <w:szCs w:val="21"/>
          <w:lang w:val="sr-Cyrl-CS"/>
        </w:rPr>
        <w:t>уређено</w:t>
      </w:r>
      <w:r w:rsidR="00EF2C51" w:rsidRPr="00E84C93">
        <w:rPr>
          <w:rFonts w:eastAsia="Times New Roman" w:cstheme="minorHAnsi"/>
          <w:szCs w:val="21"/>
          <w:lang w:val="sr-Cyrl-CS"/>
        </w:rPr>
        <w:t xml:space="preserve"> Законом о управљању отпадом, </w:t>
      </w:r>
      <w:r w:rsidR="001A41F9" w:rsidRPr="00E84C93">
        <w:rPr>
          <w:rFonts w:eastAsia="Times New Roman" w:cstheme="minorHAnsi"/>
          <w:szCs w:val="21"/>
          <w:lang w:val="sr-Cyrl-CS"/>
        </w:rPr>
        <w:t>али област управљања муљем од пречишћавања отпадних вода</w:t>
      </w:r>
      <w:r w:rsidR="006B4EF0" w:rsidRPr="00E84C93">
        <w:rPr>
          <w:rFonts w:eastAsia="Times New Roman" w:cstheme="minorHAnsi"/>
          <w:szCs w:val="21"/>
          <w:lang w:val="sr-Cyrl-CS"/>
        </w:rPr>
        <w:t xml:space="preserve"> још увек није </w:t>
      </w:r>
      <w:r w:rsidR="001A41F9" w:rsidRPr="00E84C93">
        <w:rPr>
          <w:rFonts w:eastAsia="Times New Roman" w:cstheme="minorHAnsi"/>
          <w:szCs w:val="21"/>
          <w:lang w:val="sr-Cyrl-CS"/>
        </w:rPr>
        <w:t xml:space="preserve">усклађена </w:t>
      </w:r>
      <w:r w:rsidR="006B4EF0" w:rsidRPr="00E84C93">
        <w:rPr>
          <w:rFonts w:eastAsia="Times New Roman" w:cstheme="minorHAnsi"/>
          <w:szCs w:val="21"/>
          <w:lang w:val="sr-Cyrl-CS"/>
        </w:rPr>
        <w:t xml:space="preserve">са регулативом ЕУ. Због тога се муљ у Републици Србији још увек не искоришћава у складу са принципима циркуларне економије ради достизања одрживог развоја кроз </w:t>
      </w:r>
      <w:r w:rsidR="006B4EF0" w:rsidRPr="00E84C93">
        <w:rPr>
          <w:bCs/>
          <w:szCs w:val="24"/>
          <w:lang w:val="sr-Cyrl-CS"/>
        </w:rPr>
        <w:t>одвајање економског раста од коришћења природних ресурса, односно побољшање енергетске и ресурсне ефикасности.</w:t>
      </w:r>
      <w:r w:rsidR="006B4EF0" w:rsidRPr="00E84C93">
        <w:rPr>
          <w:rFonts w:eastAsia="Times New Roman" w:cstheme="minorHAnsi"/>
          <w:szCs w:val="21"/>
          <w:lang w:val="sr-Cyrl-CS"/>
        </w:rPr>
        <w:t xml:space="preserve"> Такође, не постоји изграђена адекватна инфраструктура, нити примери и одговарајућа решења, као ни јасно идентификовани начини за збрињавање, односно искоришћење муља из пост</w:t>
      </w:r>
      <w:r w:rsidR="007328FA" w:rsidRPr="00E84C93">
        <w:rPr>
          <w:rFonts w:eastAsia="Times New Roman" w:cstheme="minorHAnsi"/>
          <w:szCs w:val="21"/>
          <w:lang w:val="sr-Cyrl-CS"/>
        </w:rPr>
        <w:t>р</w:t>
      </w:r>
      <w:r w:rsidR="006B4EF0" w:rsidRPr="00E84C93">
        <w:rPr>
          <w:rFonts w:eastAsia="Times New Roman" w:cstheme="minorHAnsi"/>
          <w:szCs w:val="21"/>
          <w:lang w:val="sr-Cyrl-CS"/>
        </w:rPr>
        <w:t>ојења за пречишћавање отпадних вода која су већ у функцији. У самим постројењима за третман отпадних вода не постоје адекватни услови за допунски третман муља како би се обезбедило да коначно третирани муљ има квалитет који омогућава његово даље искоришћење, у складу са савременим технологијама и опредељењем ка циркуларној економији. За примену коришћење муља у пољопривреди, који је један од најч</w:t>
      </w:r>
      <w:r w:rsidR="006A02F0" w:rsidRPr="00E84C93">
        <w:rPr>
          <w:rFonts w:eastAsia="Times New Roman" w:cstheme="minorHAnsi"/>
          <w:szCs w:val="21"/>
          <w:lang w:val="sr-Cyrl-CS"/>
        </w:rPr>
        <w:t>е</w:t>
      </w:r>
      <w:r w:rsidR="006B4EF0" w:rsidRPr="00E84C93">
        <w:rPr>
          <w:rFonts w:eastAsia="Times New Roman" w:cstheme="minorHAnsi"/>
          <w:szCs w:val="21"/>
          <w:lang w:val="sr-Cyrl-CS"/>
        </w:rPr>
        <w:t xml:space="preserve">шће коришћених решења у ЕУ, до сада нису спроведене </w:t>
      </w:r>
      <w:r w:rsidR="006B4EF0" w:rsidRPr="00E84C93">
        <w:rPr>
          <w:rFonts w:cs="Times New Roman"/>
          <w:bCs/>
          <w:szCs w:val="24"/>
          <w:lang w:val="sr-Cyrl-CS"/>
        </w:rPr>
        <w:t>адекватне системске анализе, осим појединачних испитивања, док су стандарди квалитета</w:t>
      </w:r>
      <w:r w:rsidR="00391C0D" w:rsidRPr="00E84C93">
        <w:rPr>
          <w:rFonts w:cs="Times New Roman"/>
          <w:bCs/>
          <w:szCs w:val="24"/>
          <w:lang w:val="sr-Cyrl-CS"/>
        </w:rPr>
        <w:t>,</w:t>
      </w:r>
      <w:r w:rsidR="006B4EF0" w:rsidRPr="00E84C93">
        <w:rPr>
          <w:rFonts w:cs="Times New Roman"/>
          <w:bCs/>
          <w:szCs w:val="24"/>
          <w:lang w:val="sr-Cyrl-CS"/>
        </w:rPr>
        <w:t xml:space="preserve"> како за муљ тако и за </w:t>
      </w:r>
      <w:r w:rsidR="004364F1" w:rsidRPr="00E84C93">
        <w:rPr>
          <w:rFonts w:cs="Times New Roman"/>
          <w:bCs/>
          <w:szCs w:val="24"/>
          <w:lang w:val="sr-Cyrl-CS"/>
        </w:rPr>
        <w:t>земљиште</w:t>
      </w:r>
      <w:r w:rsidR="00391C0D" w:rsidRPr="00E84C93">
        <w:rPr>
          <w:rFonts w:cs="Times New Roman"/>
          <w:bCs/>
          <w:szCs w:val="24"/>
          <w:lang w:val="sr-Cyrl-CS"/>
        </w:rPr>
        <w:t>,</w:t>
      </w:r>
      <w:r w:rsidR="004364F1" w:rsidRPr="00E84C93">
        <w:rPr>
          <w:rFonts w:cs="Times New Roman"/>
          <w:bCs/>
          <w:szCs w:val="24"/>
          <w:lang w:val="sr-Cyrl-CS"/>
        </w:rPr>
        <w:t xml:space="preserve"> </w:t>
      </w:r>
      <w:r w:rsidR="006B4EF0" w:rsidRPr="00E84C93">
        <w:rPr>
          <w:rFonts w:cs="Times New Roman"/>
          <w:bCs/>
          <w:szCs w:val="24"/>
          <w:lang w:val="sr-Cyrl-CS"/>
        </w:rPr>
        <w:t>строжији од стандарда у ЕУ.</w:t>
      </w:r>
      <w:r w:rsidR="006B4EF0" w:rsidRPr="00E84C93">
        <w:rPr>
          <w:rFonts w:eastAsia="Times New Roman" w:cstheme="minorHAnsi"/>
          <w:szCs w:val="21"/>
          <w:lang w:val="sr-Cyrl-CS"/>
        </w:rPr>
        <w:t xml:space="preserve"> С обзиром да је Република Србија покренула велике инвестиције у изградњу постројења за пречишћавање отпадних вода, број и оперативни капацитети за пречишћавање отпадних вода се повећавају, због чега потреба за обезбеђивањем адекватног управљања муљем постаје све ургентнија и захтевнија. Адектавно решавање управљања муљем захтева </w:t>
      </w:r>
      <w:r w:rsidR="006B4EF0" w:rsidRPr="00E84C93">
        <w:rPr>
          <w:lang w:val="sr-Cyrl-CS"/>
        </w:rPr>
        <w:t xml:space="preserve">изградњу одговарајуће инфраструктуре </w:t>
      </w:r>
      <w:r w:rsidR="006B4EF0" w:rsidRPr="00E84C93">
        <w:rPr>
          <w:rFonts w:eastAsia="Times New Roman" w:cstheme="minorHAnsi"/>
          <w:szCs w:val="21"/>
          <w:lang w:val="sr-Cyrl-CS"/>
        </w:rPr>
        <w:t>за шта је потребан дужи временски период. Због тога су за новоизграђена постројења и постр</w:t>
      </w:r>
      <w:r w:rsidR="007328FA" w:rsidRPr="00E84C93">
        <w:rPr>
          <w:rFonts w:eastAsia="Times New Roman" w:cstheme="minorHAnsi"/>
          <w:szCs w:val="21"/>
          <w:lang w:val="sr-Cyrl-CS"/>
        </w:rPr>
        <w:t>о</w:t>
      </w:r>
      <w:r w:rsidR="006B4EF0" w:rsidRPr="00E84C93">
        <w:rPr>
          <w:rFonts w:eastAsia="Times New Roman" w:cstheme="minorHAnsi"/>
          <w:szCs w:val="21"/>
          <w:lang w:val="sr-Cyrl-CS"/>
        </w:rPr>
        <w:t xml:space="preserve">јења чија је изградња у току, потребна </w:t>
      </w:r>
      <w:r w:rsidR="006B4EF0" w:rsidRPr="00E84C93">
        <w:rPr>
          <w:lang w:val="sr-Cyrl-CS"/>
        </w:rPr>
        <w:t>хитна, решења,</w:t>
      </w:r>
      <w:r w:rsidR="006B4EF0" w:rsidRPr="00E84C93">
        <w:rPr>
          <w:rFonts w:eastAsia="Times New Roman" w:cstheme="minorHAnsi"/>
          <w:szCs w:val="21"/>
          <w:lang w:val="sr-Cyrl-CS"/>
        </w:rPr>
        <w:t xml:space="preserve"> која ће бити применљива и која ће у кратко</w:t>
      </w:r>
      <w:r w:rsidR="00413F65" w:rsidRPr="00E84C93">
        <w:rPr>
          <w:rFonts w:eastAsia="Times New Roman" w:cstheme="minorHAnsi"/>
          <w:szCs w:val="21"/>
          <w:lang w:val="sr-Cyrl-CS"/>
        </w:rPr>
        <w:t>м</w:t>
      </w:r>
      <w:r w:rsidR="006B4EF0" w:rsidRPr="00E84C93">
        <w:rPr>
          <w:rFonts w:eastAsia="Times New Roman" w:cstheme="minorHAnsi"/>
          <w:szCs w:val="21"/>
          <w:lang w:val="sr-Cyrl-CS"/>
        </w:rPr>
        <w:t xml:space="preserve"> року обезбедити збрињавање муља до</w:t>
      </w:r>
      <w:r w:rsidR="00A61448" w:rsidRPr="00E84C93">
        <w:rPr>
          <w:rFonts w:eastAsia="Times New Roman" w:cstheme="minorHAnsi"/>
          <w:szCs w:val="21"/>
          <w:lang w:val="sr-Cyrl-CS"/>
        </w:rPr>
        <w:t xml:space="preserve"> </w:t>
      </w:r>
      <w:r w:rsidR="006B4EF0" w:rsidRPr="00E84C93">
        <w:rPr>
          <w:rFonts w:eastAsia="Times New Roman" w:cstheme="minorHAnsi"/>
          <w:szCs w:val="21"/>
          <w:lang w:val="sr-Cyrl-CS"/>
        </w:rPr>
        <w:t xml:space="preserve">успостављања система за управљање муљем у дугорочном периоду. </w:t>
      </w:r>
      <w:r w:rsidR="006B4EF0" w:rsidRPr="00E84C93">
        <w:rPr>
          <w:lang w:val="sr-Cyrl-CS"/>
        </w:rPr>
        <w:t>До сада нису идентификована могућа применљива решења, нити су одређене локације за збрињавање, односно искоришћење муља у зависности од квалитета и количине муља насталог у постројењима за пречишћавање отпадних вода, а такође ни у односу на правне аспекте, локалне услове и трошкове улагања, као и рада и одржавања система</w:t>
      </w:r>
      <w:r w:rsidRPr="00E84C93">
        <w:rPr>
          <w:lang w:val="sr-Cyrl-CS"/>
        </w:rPr>
        <w:t>.</w:t>
      </w:r>
      <w:r w:rsidRPr="00E84C93">
        <w:rPr>
          <w:bCs/>
          <w:lang w:val="sr-Cyrl-CS"/>
        </w:rPr>
        <w:t xml:space="preserve"> </w:t>
      </w:r>
    </w:p>
    <w:p w14:paraId="11D88A1C" w14:textId="77777777" w:rsidR="009829B5" w:rsidRPr="00E84C93" w:rsidRDefault="009829B5" w:rsidP="00337FE9">
      <w:pPr>
        <w:tabs>
          <w:tab w:val="left" w:pos="567"/>
        </w:tabs>
        <w:autoSpaceDE w:val="0"/>
        <w:autoSpaceDN w:val="0"/>
        <w:adjustRightInd w:val="0"/>
        <w:spacing w:after="0"/>
        <w:ind w:firstLine="720"/>
        <w:jc w:val="both"/>
        <w:rPr>
          <w:bCs/>
          <w:lang w:val="sr-Cyrl-CS"/>
        </w:rPr>
      </w:pPr>
    </w:p>
    <w:p w14:paraId="05724CB6" w14:textId="057EA17F" w:rsidR="00BF3637" w:rsidRPr="00E84C93" w:rsidRDefault="00BF3637" w:rsidP="000C54C0">
      <w:pPr>
        <w:pStyle w:val="Heading1"/>
        <w:numPr>
          <w:ilvl w:val="0"/>
          <w:numId w:val="8"/>
        </w:numPr>
        <w:rPr>
          <w:noProof/>
          <w:lang w:val="sr-Cyrl-CS"/>
        </w:rPr>
      </w:pPr>
      <w:bookmarkStart w:id="56" w:name="_Toc99920897"/>
      <w:r w:rsidRPr="00E84C93">
        <w:rPr>
          <w:noProof/>
          <w:lang w:val="sr-Cyrl-CS"/>
        </w:rPr>
        <w:lastRenderedPageBreak/>
        <w:t>ВИЗИЈА</w:t>
      </w:r>
      <w:bookmarkEnd w:id="56"/>
    </w:p>
    <w:p w14:paraId="1BDC6C2F" w14:textId="46260401" w:rsidR="00BF3637" w:rsidRPr="00E84C93" w:rsidRDefault="00BF3637" w:rsidP="00BF3637">
      <w:pPr>
        <w:rPr>
          <w:webHidden/>
          <w:lang w:val="sr-Cyrl-CS"/>
        </w:rPr>
      </w:pPr>
    </w:p>
    <w:p w14:paraId="169D9B5C" w14:textId="0E547541" w:rsidR="00971EE6" w:rsidRPr="00E84C93" w:rsidRDefault="00971EE6" w:rsidP="00971EE6">
      <w:pPr>
        <w:pStyle w:val="BodyText"/>
        <w:spacing w:after="0" w:line="240" w:lineRule="auto"/>
        <w:ind w:firstLine="720"/>
        <w:rPr>
          <w:rFonts w:ascii="Times New Roman" w:hAnsi="Times New Roman"/>
          <w:sz w:val="24"/>
          <w:szCs w:val="24"/>
          <w:lang w:val="sr-Cyrl-CS"/>
        </w:rPr>
      </w:pPr>
      <w:r w:rsidRPr="00E84C93">
        <w:rPr>
          <w:rFonts w:ascii="Times New Roman" w:hAnsi="Times New Roman"/>
          <w:sz w:val="24"/>
          <w:szCs w:val="24"/>
          <w:lang w:val="sr-Cyrl-CS"/>
        </w:rPr>
        <w:t xml:space="preserve">Визија у области управљања муљем у Републици Србији је да се муљ у највећој мери искоришћава ради очувања ресурса применом савремених технолошких решења и да се с њим безбедно поступа тако да не представља ризик по животну средину и здравље људи. </w:t>
      </w:r>
    </w:p>
    <w:p w14:paraId="394AB8C2" w14:textId="6502B613" w:rsidR="006E7EA4" w:rsidRPr="00E84C93" w:rsidRDefault="006E7EA4" w:rsidP="006E7EA4">
      <w:pPr>
        <w:spacing w:after="0"/>
        <w:ind w:firstLine="720"/>
        <w:jc w:val="both"/>
        <w:rPr>
          <w:rFonts w:cs="Times New Roman"/>
          <w:szCs w:val="24"/>
          <w:lang w:val="sr-Cyrl-CS"/>
        </w:rPr>
      </w:pPr>
      <w:r w:rsidRPr="00E84C93">
        <w:rPr>
          <w:rFonts w:cs="Times New Roman"/>
          <w:szCs w:val="24"/>
          <w:lang w:val="sr-Cyrl-CS"/>
        </w:rPr>
        <w:t xml:space="preserve">Сагласно визији, утврђени су општи и посебни циљеви управљања </w:t>
      </w:r>
      <w:r w:rsidR="00F42D73" w:rsidRPr="00E84C93">
        <w:rPr>
          <w:rFonts w:cs="Times New Roman"/>
          <w:szCs w:val="24"/>
          <w:lang w:val="sr-Cyrl-CS"/>
        </w:rPr>
        <w:t xml:space="preserve">муљем </w:t>
      </w:r>
      <w:r w:rsidRPr="00E84C93">
        <w:rPr>
          <w:rFonts w:cs="Times New Roman"/>
          <w:szCs w:val="24"/>
          <w:lang w:val="sr-Cyrl-CS"/>
        </w:rPr>
        <w:t xml:space="preserve">и развијене мере и инструменти и активности </w:t>
      </w:r>
      <w:r w:rsidR="00F42D73" w:rsidRPr="00E84C93">
        <w:rPr>
          <w:rFonts w:cs="Times New Roman"/>
          <w:szCs w:val="24"/>
          <w:lang w:val="sr-Cyrl-CS"/>
        </w:rPr>
        <w:t xml:space="preserve">који </w:t>
      </w:r>
      <w:r w:rsidRPr="00E84C93">
        <w:rPr>
          <w:rFonts w:cs="Times New Roman"/>
          <w:szCs w:val="24"/>
          <w:lang w:val="sr-Cyrl-CS"/>
        </w:rPr>
        <w:t xml:space="preserve">су неопходни за њихово остварење. </w:t>
      </w:r>
    </w:p>
    <w:p w14:paraId="4981E416" w14:textId="1717FB1C" w:rsidR="0085058B" w:rsidRPr="00E84C93" w:rsidRDefault="0085058B" w:rsidP="00BF3637">
      <w:pPr>
        <w:rPr>
          <w:webHidden/>
          <w:lang w:val="sr-Cyrl-CS"/>
        </w:rPr>
      </w:pPr>
    </w:p>
    <w:p w14:paraId="2F8218AA" w14:textId="47DAAA9F" w:rsidR="00BF3637" w:rsidRPr="00E84C93" w:rsidRDefault="00BF3637" w:rsidP="000C54C0">
      <w:pPr>
        <w:pStyle w:val="Heading1"/>
        <w:numPr>
          <w:ilvl w:val="0"/>
          <w:numId w:val="8"/>
        </w:numPr>
        <w:rPr>
          <w:noProof/>
          <w:lang w:val="sr-Cyrl-CS"/>
        </w:rPr>
      </w:pPr>
      <w:bookmarkStart w:id="57" w:name="_Toc99920898"/>
      <w:r w:rsidRPr="00E84C93">
        <w:rPr>
          <w:noProof/>
          <w:lang w:val="sr-Cyrl-CS"/>
        </w:rPr>
        <w:t>ОПШТИ И ПОСЕБНИ ЦИЉЕВИ</w:t>
      </w:r>
      <w:bookmarkEnd w:id="57"/>
    </w:p>
    <w:p w14:paraId="439C50AE" w14:textId="77777777" w:rsidR="00BF3637" w:rsidRPr="00E84C93" w:rsidRDefault="00BF3637" w:rsidP="00BF3637">
      <w:pPr>
        <w:rPr>
          <w:lang w:val="sr-Cyrl-CS"/>
        </w:rPr>
      </w:pPr>
    </w:p>
    <w:p w14:paraId="62B3F481" w14:textId="46A1CDE6" w:rsidR="00BF3637" w:rsidRPr="00E84C93" w:rsidRDefault="00BF3637" w:rsidP="000C54C0">
      <w:pPr>
        <w:pStyle w:val="Heading2"/>
        <w:numPr>
          <w:ilvl w:val="1"/>
          <w:numId w:val="8"/>
        </w:numPr>
        <w:rPr>
          <w:noProof/>
          <w:lang w:val="sr-Cyrl-CS"/>
        </w:rPr>
      </w:pPr>
      <w:bookmarkStart w:id="58" w:name="_Toc99920899"/>
      <w:r w:rsidRPr="00E84C93">
        <w:rPr>
          <w:noProof/>
          <w:lang w:val="sr-Cyrl-CS"/>
        </w:rPr>
        <w:t>Општи циљ</w:t>
      </w:r>
      <w:bookmarkEnd w:id="58"/>
    </w:p>
    <w:p w14:paraId="6F5AC308" w14:textId="07F8F030" w:rsidR="0085058B" w:rsidRPr="00E84C93" w:rsidRDefault="0085058B" w:rsidP="0085058B">
      <w:pPr>
        <w:rPr>
          <w:webHidden/>
          <w:lang w:val="sr-Cyrl-CS"/>
        </w:rPr>
      </w:pPr>
    </w:p>
    <w:p w14:paraId="5B9490C6" w14:textId="77777777" w:rsidR="006B4EF0" w:rsidRPr="00E84C93" w:rsidRDefault="006E7EA4" w:rsidP="006B4EF0">
      <w:pPr>
        <w:pStyle w:val="Default"/>
        <w:ind w:firstLine="720"/>
        <w:jc w:val="both"/>
        <w:rPr>
          <w:rFonts w:ascii="Times New Roman" w:hAnsi="Times New Roman" w:cs="Times New Roman"/>
          <w:bCs/>
          <w:lang w:val="sr-Cyrl-CS"/>
        </w:rPr>
      </w:pPr>
      <w:r w:rsidRPr="00E84C93">
        <w:rPr>
          <w:rFonts w:ascii="Times New Roman" w:hAnsi="Times New Roman" w:cs="Times New Roman"/>
          <w:lang w:val="sr-Cyrl-CS"/>
        </w:rPr>
        <w:t>Општи циљ</w:t>
      </w:r>
      <w:r w:rsidRPr="00E84C93">
        <w:rPr>
          <w:rFonts w:ascii="Times New Roman" w:hAnsi="Times New Roman" w:cs="Times New Roman"/>
          <w:bCs/>
          <w:lang w:val="sr-Cyrl-CS"/>
        </w:rPr>
        <w:t xml:space="preserve"> је </w:t>
      </w:r>
      <w:r w:rsidR="00AD6373" w:rsidRPr="00E84C93">
        <w:rPr>
          <w:rFonts w:ascii="Times New Roman" w:hAnsi="Times New Roman" w:cs="Times New Roman"/>
          <w:bCs/>
          <w:lang w:val="sr-Cyrl-CS"/>
        </w:rPr>
        <w:t>успостављање</w:t>
      </w:r>
      <w:r w:rsidR="005F006D" w:rsidRPr="00E84C93">
        <w:rPr>
          <w:rFonts w:ascii="Times New Roman" w:hAnsi="Times New Roman" w:cs="Times New Roman"/>
          <w:bCs/>
          <w:lang w:val="sr-Cyrl-CS"/>
        </w:rPr>
        <w:t xml:space="preserve"> безбедног,</w:t>
      </w:r>
      <w:r w:rsidR="00AD6373" w:rsidRPr="00E84C93">
        <w:rPr>
          <w:rFonts w:ascii="Times New Roman" w:hAnsi="Times New Roman" w:cs="Times New Roman"/>
          <w:bCs/>
          <w:lang w:val="sr-Cyrl-CS"/>
        </w:rPr>
        <w:t xml:space="preserve"> </w:t>
      </w:r>
      <w:r w:rsidRPr="00E84C93">
        <w:rPr>
          <w:rFonts w:ascii="Times New Roman" w:hAnsi="Times New Roman" w:cs="Times New Roman"/>
          <w:bCs/>
          <w:lang w:val="sr-Cyrl-CS"/>
        </w:rPr>
        <w:t xml:space="preserve">одрживог </w:t>
      </w:r>
      <w:r w:rsidR="005F006D" w:rsidRPr="00E84C93">
        <w:rPr>
          <w:rFonts w:ascii="Times New Roman" w:hAnsi="Times New Roman" w:cs="Times New Roman"/>
          <w:bCs/>
          <w:lang w:val="sr-Cyrl-CS"/>
        </w:rPr>
        <w:t xml:space="preserve">и исплативог </w:t>
      </w:r>
      <w:r w:rsidRPr="00E84C93">
        <w:rPr>
          <w:rFonts w:ascii="Times New Roman" w:hAnsi="Times New Roman" w:cs="Times New Roman"/>
          <w:bCs/>
          <w:lang w:val="sr-Cyrl-CS"/>
        </w:rPr>
        <w:t xml:space="preserve">система управљања </w:t>
      </w:r>
      <w:r w:rsidR="00AD6373" w:rsidRPr="00E84C93">
        <w:rPr>
          <w:rFonts w:ascii="Times New Roman" w:hAnsi="Times New Roman" w:cs="Times New Roman"/>
          <w:bCs/>
          <w:lang w:val="sr-Cyrl-CS"/>
        </w:rPr>
        <w:t>муљем</w:t>
      </w:r>
      <w:r w:rsidRPr="00E84C93">
        <w:rPr>
          <w:rFonts w:ascii="Times New Roman" w:hAnsi="Times New Roman" w:cs="Times New Roman"/>
          <w:bCs/>
          <w:lang w:val="sr-Cyrl-CS"/>
        </w:rPr>
        <w:t xml:space="preserve"> </w:t>
      </w:r>
      <w:r w:rsidR="004771B5" w:rsidRPr="00E84C93">
        <w:rPr>
          <w:rFonts w:ascii="Times New Roman" w:hAnsi="Times New Roman" w:cs="Times New Roman"/>
          <w:bCs/>
          <w:lang w:val="sr-Cyrl-CS"/>
        </w:rPr>
        <w:t>из постројења за пречишћавање отпадних вода</w:t>
      </w:r>
      <w:r w:rsidR="007B3BE4" w:rsidRPr="00E84C93">
        <w:rPr>
          <w:rFonts w:ascii="Times New Roman" w:hAnsi="Times New Roman" w:cs="Times New Roman"/>
          <w:bCs/>
          <w:lang w:val="sr-Cyrl-CS"/>
        </w:rPr>
        <w:t xml:space="preserve"> </w:t>
      </w:r>
      <w:r w:rsidR="006B4EF0" w:rsidRPr="00E84C93">
        <w:rPr>
          <w:rFonts w:ascii="Times New Roman" w:hAnsi="Times New Roman" w:cs="Times New Roman"/>
          <w:bCs/>
          <w:lang w:val="sr-Cyrl-CS"/>
        </w:rPr>
        <w:t>у складу са принципима циркуларне економије.</w:t>
      </w:r>
    </w:p>
    <w:p w14:paraId="6D82ED4B" w14:textId="02B9B739" w:rsidR="006B4EF0" w:rsidRPr="00E84C93" w:rsidRDefault="006B4EF0" w:rsidP="006B4EF0">
      <w:pPr>
        <w:pStyle w:val="Default"/>
        <w:ind w:firstLine="720"/>
        <w:jc w:val="both"/>
        <w:rPr>
          <w:rFonts w:ascii="Times New Roman" w:hAnsi="Times New Roman" w:cs="Times New Roman"/>
          <w:bCs/>
          <w:lang w:val="sr-Cyrl-CS"/>
        </w:rPr>
      </w:pPr>
      <w:r w:rsidRPr="00E84C93">
        <w:rPr>
          <w:rFonts w:ascii="Times New Roman" w:hAnsi="Times New Roman" w:cs="Times New Roman"/>
          <w:bCs/>
          <w:lang w:val="sr-Cyrl-CS"/>
        </w:rPr>
        <w:t xml:space="preserve">То подразумева да се приступи решавању питања управљања муљем у складу са регулативом ЕУ, уважавајући неопходност краткорочног решавања постојећих проблема, као и потребу да се питање управљања муљем, односно његовог коришћења као ресурса реши у дужем временском периоду имајући у виду пројекције повећања његових количина на целој територији Републике Србије. </w:t>
      </w:r>
    </w:p>
    <w:p w14:paraId="143A472A" w14:textId="47F3A693" w:rsidR="00E97DD0" w:rsidRPr="00E84C93" w:rsidRDefault="006B4EF0" w:rsidP="006B4EF0">
      <w:pPr>
        <w:pStyle w:val="Default"/>
        <w:ind w:firstLine="720"/>
        <w:jc w:val="both"/>
        <w:rPr>
          <w:rFonts w:ascii="Times New Roman" w:hAnsi="Times New Roman" w:cs="Times New Roman"/>
          <w:bCs/>
          <w:lang w:val="sr-Cyrl-CS"/>
        </w:rPr>
      </w:pPr>
      <w:r w:rsidRPr="00E84C93">
        <w:rPr>
          <w:rFonts w:ascii="Times New Roman" w:hAnsi="Times New Roman" w:cs="Times New Roman"/>
          <w:bCs/>
          <w:lang w:val="sr-Cyrl-CS"/>
        </w:rPr>
        <w:t>Успостављање система управљања муљем на дужи временски период подразумева потпуно усклађивање са регулативом ЕУ у овој области, узимајући у обзир и измене те регулативе која се очекује током времена. Такође, примена те регулативе подразумева и</w:t>
      </w:r>
      <w:r w:rsidR="00A61448" w:rsidRPr="00E84C93">
        <w:rPr>
          <w:rFonts w:ascii="Times New Roman" w:hAnsi="Times New Roman" w:cs="Times New Roman"/>
          <w:bCs/>
          <w:lang w:val="sr-Cyrl-CS"/>
        </w:rPr>
        <w:t xml:space="preserve"> </w:t>
      </w:r>
      <w:r w:rsidRPr="00E84C93">
        <w:rPr>
          <w:rFonts w:ascii="Times New Roman" w:hAnsi="Times New Roman" w:cs="Times New Roman"/>
          <w:bCs/>
          <w:lang w:val="sr-Cyrl-CS"/>
        </w:rPr>
        <w:t>успостављање ефикасног</w:t>
      </w:r>
      <w:r w:rsidR="009114C7" w:rsidRPr="00E84C93">
        <w:rPr>
          <w:rFonts w:ascii="Times New Roman" w:hAnsi="Times New Roman" w:cs="Times New Roman"/>
          <w:bCs/>
          <w:lang w:val="sr-Cyrl-CS"/>
        </w:rPr>
        <w:t xml:space="preserve"> и дугорочно одрживог система и потре</w:t>
      </w:r>
      <w:r w:rsidR="005155A7" w:rsidRPr="00E84C93">
        <w:rPr>
          <w:rFonts w:ascii="Times New Roman" w:hAnsi="Times New Roman" w:cs="Times New Roman"/>
          <w:bCs/>
          <w:lang w:val="sr-Cyrl-CS"/>
        </w:rPr>
        <w:t>б</w:t>
      </w:r>
      <w:r w:rsidR="009114C7" w:rsidRPr="00E84C93">
        <w:rPr>
          <w:rFonts w:ascii="Times New Roman" w:hAnsi="Times New Roman" w:cs="Times New Roman"/>
          <w:bCs/>
          <w:lang w:val="sr-Cyrl-CS"/>
        </w:rPr>
        <w:t>не инфраструктуре за третман, коришћење и крајње збрињавање муља коришћењем најбољих доступних технологија и добре праксе. До успостављања таквог система неопходно је изнаћи еколошки и економски прихватљива решења за што хитније збрињавање постојећих количина муља који се производи у Републици Србији. Подизање нив</w:t>
      </w:r>
      <w:r w:rsidRPr="00E84C93">
        <w:rPr>
          <w:rFonts w:ascii="Times New Roman" w:hAnsi="Times New Roman" w:cs="Times New Roman"/>
          <w:bCs/>
          <w:lang w:val="sr-Cyrl-CS"/>
        </w:rPr>
        <w:t>о</w:t>
      </w:r>
      <w:r w:rsidR="009114C7" w:rsidRPr="00E84C93">
        <w:rPr>
          <w:rFonts w:ascii="Times New Roman" w:hAnsi="Times New Roman" w:cs="Times New Roman"/>
          <w:bCs/>
          <w:lang w:val="sr-Cyrl-CS"/>
        </w:rPr>
        <w:t xml:space="preserve">а знања за поступање са муљем свих </w:t>
      </w:r>
      <w:r w:rsidR="00F96420" w:rsidRPr="00E84C93">
        <w:rPr>
          <w:rFonts w:ascii="Times New Roman" w:hAnsi="Times New Roman" w:cs="Times New Roman"/>
          <w:bCs/>
          <w:lang w:val="sr-Cyrl-CS"/>
        </w:rPr>
        <w:t>субјеката</w:t>
      </w:r>
      <w:r w:rsidR="009114C7" w:rsidRPr="00E84C93">
        <w:rPr>
          <w:rFonts w:ascii="Times New Roman" w:hAnsi="Times New Roman" w:cs="Times New Roman"/>
          <w:bCs/>
          <w:lang w:val="sr-Cyrl-CS"/>
        </w:rPr>
        <w:t xml:space="preserve"> у систему управљања муљем, као и обезбеђивање потребних материјалних и људских ресурса је такође, неопходно за ост</w:t>
      </w:r>
      <w:r w:rsidR="00F96420" w:rsidRPr="00E84C93">
        <w:rPr>
          <w:rFonts w:ascii="Times New Roman" w:hAnsi="Times New Roman" w:cs="Times New Roman"/>
          <w:bCs/>
          <w:lang w:val="sr-Cyrl-CS"/>
        </w:rPr>
        <w:t>в</w:t>
      </w:r>
      <w:r w:rsidR="009114C7" w:rsidRPr="00E84C93">
        <w:rPr>
          <w:rFonts w:ascii="Times New Roman" w:hAnsi="Times New Roman" w:cs="Times New Roman"/>
          <w:bCs/>
          <w:lang w:val="sr-Cyrl-CS"/>
        </w:rPr>
        <w:t>аривање општег циља Програма</w:t>
      </w:r>
      <w:r w:rsidR="00E97DD0" w:rsidRPr="00E84C93">
        <w:rPr>
          <w:rFonts w:ascii="Times New Roman" w:hAnsi="Times New Roman" w:cs="Times New Roman"/>
          <w:lang w:val="sr-Cyrl-CS"/>
        </w:rPr>
        <w:t>.</w:t>
      </w:r>
    </w:p>
    <w:p w14:paraId="788D408E" w14:textId="7C82E5F1" w:rsidR="003517BF" w:rsidRPr="00E84C93" w:rsidRDefault="00A900D2" w:rsidP="00BF3B13">
      <w:pPr>
        <w:pStyle w:val="NormalWeb"/>
        <w:tabs>
          <w:tab w:val="left" w:pos="0"/>
        </w:tabs>
        <w:spacing w:before="0" w:beforeAutospacing="0" w:after="0" w:afterAutospacing="0"/>
        <w:ind w:right="26"/>
        <w:jc w:val="both"/>
        <w:rPr>
          <w:lang w:val="sr-Cyrl-CS"/>
        </w:rPr>
      </w:pPr>
      <w:r w:rsidRPr="00E84C93">
        <w:rPr>
          <w:bCs/>
          <w:lang w:val="sr-Cyrl-CS"/>
        </w:rPr>
        <w:tab/>
      </w:r>
      <w:r w:rsidR="006E7EA4" w:rsidRPr="00E84C93">
        <w:rPr>
          <w:lang w:val="sr-Cyrl-CS"/>
        </w:rPr>
        <w:t xml:space="preserve">Остварени напредак у погледу остваривања општег циља </w:t>
      </w:r>
      <w:r w:rsidR="00AD6373" w:rsidRPr="00E84C93">
        <w:rPr>
          <w:lang w:val="sr-Cyrl-CS"/>
        </w:rPr>
        <w:t>п</w:t>
      </w:r>
      <w:r w:rsidR="006E7EA4" w:rsidRPr="00E84C93">
        <w:rPr>
          <w:lang w:val="sr-Cyrl-CS"/>
        </w:rPr>
        <w:t>рограма пратиће се кроз следећ</w:t>
      </w:r>
      <w:r w:rsidR="00391C0D" w:rsidRPr="00E84C93">
        <w:rPr>
          <w:lang w:val="sr-Cyrl-CS"/>
        </w:rPr>
        <w:t>и</w:t>
      </w:r>
      <w:r w:rsidR="006E7EA4" w:rsidRPr="00E84C93">
        <w:rPr>
          <w:lang w:val="sr-Cyrl-CS"/>
        </w:rPr>
        <w:t xml:space="preserve"> показатељ</w:t>
      </w:r>
      <w:bookmarkStart w:id="59" w:name="_Hlk89357108"/>
      <w:r w:rsidR="00BF3B13" w:rsidRPr="00E84C93">
        <w:rPr>
          <w:lang w:val="sr-Cyrl-CS"/>
        </w:rPr>
        <w:t>-</w:t>
      </w:r>
      <w:r w:rsidR="003517BF" w:rsidRPr="00E84C93">
        <w:rPr>
          <w:lang w:val="sr-Cyrl-CS"/>
        </w:rPr>
        <w:t>с</w:t>
      </w:r>
      <w:r w:rsidR="006E7EA4" w:rsidRPr="00E84C93">
        <w:rPr>
          <w:lang w:val="sr-Cyrl-CS"/>
        </w:rPr>
        <w:t>тепен</w:t>
      </w:r>
      <w:r w:rsidR="00AB062F" w:rsidRPr="00E84C93">
        <w:rPr>
          <w:lang w:val="sr-Cyrl-CS"/>
        </w:rPr>
        <w:t xml:space="preserve"> </w:t>
      </w:r>
      <w:r w:rsidR="003517BF" w:rsidRPr="00E84C93">
        <w:rPr>
          <w:lang w:val="sr-Cyrl-CS"/>
        </w:rPr>
        <w:t>искоришћеног муља</w:t>
      </w:r>
      <w:r w:rsidR="003F7517" w:rsidRPr="00E84C93">
        <w:rPr>
          <w:lang w:val="sr-Cyrl-CS"/>
        </w:rPr>
        <w:t xml:space="preserve"> у односу на генерисани</w:t>
      </w:r>
      <w:r w:rsidR="007868F4" w:rsidRPr="00E84C93">
        <w:rPr>
          <w:lang w:val="sr-Cyrl-CS"/>
        </w:rPr>
        <w:t xml:space="preserve"> </w:t>
      </w:r>
      <w:r w:rsidR="006E7EA4" w:rsidRPr="00E84C93">
        <w:rPr>
          <w:lang w:val="sr-Cyrl-CS"/>
        </w:rPr>
        <w:t>(%)</w:t>
      </w:r>
      <w:bookmarkEnd w:id="59"/>
      <w:r w:rsidR="003517BF" w:rsidRPr="00E84C93">
        <w:rPr>
          <w:lang w:val="sr-Cyrl-CS"/>
        </w:rPr>
        <w:t>.</w:t>
      </w:r>
    </w:p>
    <w:p w14:paraId="0230C9BD" w14:textId="6CB48049" w:rsidR="009A6F55" w:rsidRPr="00E84C93" w:rsidRDefault="009A6F55" w:rsidP="009A6F55">
      <w:pPr>
        <w:pStyle w:val="Default"/>
        <w:tabs>
          <w:tab w:val="left" w:pos="993"/>
        </w:tabs>
        <w:jc w:val="both"/>
        <w:rPr>
          <w:rFonts w:ascii="Times New Roman" w:hAnsi="Times New Roman" w:cs="Times New Roman"/>
          <w:color w:val="auto"/>
          <w:lang w:val="sr-Cyrl-CS"/>
        </w:rPr>
      </w:pPr>
    </w:p>
    <w:p w14:paraId="63AA5E5D" w14:textId="6FDDC210" w:rsidR="009A6F55" w:rsidRPr="00E84C93" w:rsidRDefault="009A6F55" w:rsidP="000C54C0">
      <w:pPr>
        <w:pStyle w:val="Heading2"/>
        <w:numPr>
          <w:ilvl w:val="1"/>
          <w:numId w:val="8"/>
        </w:numPr>
        <w:rPr>
          <w:lang w:val="sr-Cyrl-CS"/>
        </w:rPr>
      </w:pPr>
      <w:bookmarkStart w:id="60" w:name="_Toc99920900"/>
      <w:r w:rsidRPr="00E84C93">
        <w:rPr>
          <w:lang w:val="sr-Cyrl-CS"/>
        </w:rPr>
        <w:t>Опције за остваривање општег циља</w:t>
      </w:r>
      <w:bookmarkEnd w:id="60"/>
    </w:p>
    <w:p w14:paraId="5386818E" w14:textId="16B0D319" w:rsidR="009A6F55" w:rsidRPr="00E84C93" w:rsidRDefault="009A6F55" w:rsidP="009A6F55">
      <w:pPr>
        <w:pStyle w:val="Default"/>
        <w:tabs>
          <w:tab w:val="left" w:pos="993"/>
        </w:tabs>
        <w:jc w:val="both"/>
        <w:rPr>
          <w:rFonts w:ascii="Times New Roman" w:hAnsi="Times New Roman" w:cs="Times New Roman"/>
          <w:color w:val="auto"/>
          <w:lang w:val="sr-Cyrl-CS"/>
        </w:rPr>
      </w:pPr>
    </w:p>
    <w:p w14:paraId="25B9A584" w14:textId="2BEEBCDF" w:rsidR="009A6F55" w:rsidRPr="00E84C93" w:rsidRDefault="009A6F55" w:rsidP="009A6F55">
      <w:pPr>
        <w:spacing w:after="0"/>
        <w:ind w:firstLine="720"/>
        <w:jc w:val="both"/>
        <w:rPr>
          <w:rFonts w:eastAsia="Times New Roman" w:cstheme="minorHAnsi"/>
          <w:szCs w:val="21"/>
          <w:lang w:val="sr-Cyrl-CS"/>
        </w:rPr>
      </w:pPr>
      <w:r w:rsidRPr="00E84C93">
        <w:rPr>
          <w:rFonts w:eastAsia="Times New Roman" w:cstheme="minorHAnsi"/>
          <w:szCs w:val="21"/>
          <w:lang w:val="sr-Cyrl-CS"/>
        </w:rPr>
        <w:t xml:space="preserve"> </w:t>
      </w:r>
      <w:r w:rsidR="007A70C7" w:rsidRPr="00E84C93">
        <w:rPr>
          <w:rFonts w:eastAsia="Times New Roman" w:cstheme="minorHAnsi"/>
          <w:szCs w:val="21"/>
          <w:lang w:val="sr-Cyrl-CS"/>
        </w:rPr>
        <w:t xml:space="preserve">Различите опције </w:t>
      </w:r>
      <w:r w:rsidRPr="00E84C93">
        <w:rPr>
          <w:rFonts w:eastAsia="Times New Roman" w:cstheme="minorHAnsi"/>
          <w:szCs w:val="21"/>
          <w:lang w:val="sr-Cyrl-CS"/>
        </w:rPr>
        <w:t>подразумева</w:t>
      </w:r>
      <w:r w:rsidR="007A70C7" w:rsidRPr="00E84C93">
        <w:rPr>
          <w:rFonts w:eastAsia="Times New Roman" w:cstheme="minorHAnsi"/>
          <w:szCs w:val="21"/>
          <w:lang w:val="sr-Cyrl-CS"/>
        </w:rPr>
        <w:t>ју различита решења за</w:t>
      </w:r>
      <w:r w:rsidRPr="00E84C93">
        <w:rPr>
          <w:rFonts w:eastAsia="Times New Roman" w:cstheme="minorHAnsi"/>
          <w:szCs w:val="21"/>
          <w:lang w:val="sr-Cyrl-CS"/>
        </w:rPr>
        <w:t xml:space="preserve"> потенцијалн</w:t>
      </w:r>
      <w:r w:rsidR="007A70C7" w:rsidRPr="00E84C93">
        <w:rPr>
          <w:rFonts w:eastAsia="Times New Roman" w:cstheme="minorHAnsi"/>
          <w:szCs w:val="21"/>
          <w:lang w:val="sr-Cyrl-CS"/>
        </w:rPr>
        <w:t>у</w:t>
      </w:r>
      <w:r w:rsidRPr="00E84C93">
        <w:rPr>
          <w:rFonts w:eastAsia="Times New Roman" w:cstheme="minorHAnsi"/>
          <w:szCs w:val="21"/>
          <w:lang w:val="sr-Cyrl-CS"/>
        </w:rPr>
        <w:t xml:space="preserve"> примен</w:t>
      </w:r>
      <w:r w:rsidR="007A70C7" w:rsidRPr="00E84C93">
        <w:rPr>
          <w:rFonts w:eastAsia="Times New Roman" w:cstheme="minorHAnsi"/>
          <w:szCs w:val="21"/>
          <w:lang w:val="sr-Cyrl-CS"/>
        </w:rPr>
        <w:t>у</w:t>
      </w:r>
      <w:r w:rsidRPr="00E84C93">
        <w:rPr>
          <w:rFonts w:eastAsia="Times New Roman" w:cstheme="minorHAnsi"/>
          <w:szCs w:val="21"/>
          <w:lang w:val="sr-Cyrl-CS"/>
        </w:rPr>
        <w:t xml:space="preserve"> третираног муља</w:t>
      </w:r>
      <w:r w:rsidR="00F50056" w:rsidRPr="00E84C93">
        <w:rPr>
          <w:rFonts w:eastAsia="Times New Roman" w:cstheme="minorHAnsi"/>
          <w:szCs w:val="21"/>
          <w:lang w:val="sr-Cyrl-CS"/>
        </w:rPr>
        <w:t>:</w:t>
      </w:r>
      <w:r w:rsidRPr="00E84C93">
        <w:rPr>
          <w:rFonts w:eastAsia="Times New Roman" w:cstheme="minorHAnsi"/>
          <w:szCs w:val="21"/>
          <w:lang w:val="sr-Cyrl-CS"/>
        </w:rPr>
        <w:t xml:space="preserve"> </w:t>
      </w:r>
      <w:r w:rsidR="00F50056" w:rsidRPr="00E84C93">
        <w:rPr>
          <w:rFonts w:eastAsia="Times New Roman" w:cstheme="minorHAnsi"/>
          <w:szCs w:val="21"/>
          <w:lang w:val="sr-Cyrl-CS"/>
        </w:rPr>
        <w:t xml:space="preserve">примена </w:t>
      </w:r>
      <w:r w:rsidRPr="00E84C93">
        <w:rPr>
          <w:rFonts w:eastAsia="Times New Roman" w:cstheme="minorHAnsi"/>
          <w:szCs w:val="21"/>
          <w:lang w:val="sr-Cyrl-CS"/>
        </w:rPr>
        <w:t>у пољопривреди</w:t>
      </w:r>
      <w:r w:rsidR="009C3B06" w:rsidRPr="00E84C93">
        <w:rPr>
          <w:rFonts w:eastAsia="Times New Roman" w:cstheme="minorHAnsi"/>
          <w:szCs w:val="21"/>
          <w:lang w:val="sr-Cyrl-CS"/>
        </w:rPr>
        <w:t>, уколико резултати претходних истраживања то потврде</w:t>
      </w:r>
      <w:r w:rsidRPr="00E84C93">
        <w:rPr>
          <w:rFonts w:eastAsia="Times New Roman" w:cstheme="minorHAnsi"/>
          <w:szCs w:val="21"/>
          <w:lang w:val="sr-Cyrl-CS"/>
        </w:rPr>
        <w:t xml:space="preserve">, </w:t>
      </w:r>
      <w:r w:rsidR="009C3B06" w:rsidRPr="00E84C93">
        <w:rPr>
          <w:rFonts w:eastAsia="Times New Roman" w:cstheme="minorHAnsi"/>
          <w:szCs w:val="21"/>
          <w:lang w:val="sr-Cyrl-CS"/>
        </w:rPr>
        <w:t xml:space="preserve">затим </w:t>
      </w:r>
      <w:r w:rsidRPr="00E84C93">
        <w:rPr>
          <w:rFonts w:eastAsia="Times New Roman" w:cstheme="minorHAnsi"/>
          <w:szCs w:val="21"/>
          <w:lang w:val="sr-Cyrl-CS"/>
        </w:rPr>
        <w:t>као материјал за прекривање депонија, искоришћење енергије кроз коинсинерацију у цементарама и термоелектранама</w:t>
      </w:r>
      <w:r w:rsidR="00210F2F" w:rsidRPr="00E84C93">
        <w:rPr>
          <w:rFonts w:eastAsia="Times New Roman" w:cstheme="minorHAnsi"/>
          <w:szCs w:val="21"/>
          <w:lang w:val="sr-Cyrl-CS"/>
        </w:rPr>
        <w:t>, производњу био-угља и огревног пелета процесом карбонизације</w:t>
      </w:r>
      <w:r w:rsidRPr="00E84C93">
        <w:rPr>
          <w:rFonts w:eastAsia="Times New Roman" w:cstheme="minorHAnsi"/>
          <w:szCs w:val="21"/>
          <w:lang w:val="sr-Cyrl-CS"/>
        </w:rPr>
        <w:t xml:space="preserve"> итд.</w:t>
      </w:r>
    </w:p>
    <w:p w14:paraId="5E0F7A4A" w14:textId="26DA638E" w:rsidR="009A6F55" w:rsidRPr="00E84C93" w:rsidRDefault="009A6F55" w:rsidP="009A6F55">
      <w:pPr>
        <w:spacing w:after="0"/>
        <w:ind w:firstLine="720"/>
        <w:jc w:val="both"/>
        <w:rPr>
          <w:rFonts w:eastAsia="Times New Roman" w:cstheme="minorHAnsi"/>
          <w:szCs w:val="21"/>
          <w:lang w:val="sr-Cyrl-CS"/>
        </w:rPr>
      </w:pPr>
      <w:r w:rsidRPr="00E84C93">
        <w:rPr>
          <w:rFonts w:eastAsia="Times New Roman" w:cstheme="minorHAnsi"/>
          <w:szCs w:val="21"/>
          <w:lang w:val="sr-Cyrl-CS"/>
        </w:rPr>
        <w:t xml:space="preserve">Третман муља ради </w:t>
      </w:r>
      <w:r w:rsidR="00F50056" w:rsidRPr="00E84C93">
        <w:rPr>
          <w:rFonts w:eastAsia="Times New Roman" w:cstheme="minorHAnsi"/>
          <w:szCs w:val="21"/>
          <w:lang w:val="sr-Cyrl-CS"/>
        </w:rPr>
        <w:t xml:space="preserve">дезинфекције </w:t>
      </w:r>
      <w:r w:rsidR="00B93872" w:rsidRPr="00E84C93">
        <w:rPr>
          <w:rFonts w:eastAsia="Times New Roman" w:cstheme="minorHAnsi"/>
          <w:szCs w:val="21"/>
          <w:lang w:val="sr-Cyrl-CS"/>
        </w:rPr>
        <w:t xml:space="preserve">и смањења </w:t>
      </w:r>
      <w:r w:rsidRPr="00E84C93">
        <w:rPr>
          <w:rFonts w:eastAsia="Times New Roman" w:cstheme="minorHAnsi"/>
          <w:szCs w:val="21"/>
          <w:lang w:val="sr-Cyrl-CS"/>
        </w:rPr>
        <w:t>садржаја влаге у муљу за даље искоришћење укључује:</w:t>
      </w:r>
    </w:p>
    <w:p w14:paraId="12D351B6" w14:textId="6B7349D1" w:rsidR="009A6F55" w:rsidRPr="00E84C93" w:rsidRDefault="009A6F55" w:rsidP="00D75873">
      <w:pPr>
        <w:pStyle w:val="ListParagraph"/>
        <w:numPr>
          <w:ilvl w:val="0"/>
          <w:numId w:val="23"/>
        </w:numPr>
        <w:spacing w:after="0"/>
        <w:jc w:val="both"/>
        <w:rPr>
          <w:rFonts w:eastAsia="Times New Roman" w:cstheme="minorHAnsi"/>
          <w:szCs w:val="21"/>
          <w:lang w:val="sr-Cyrl-CS"/>
        </w:rPr>
      </w:pPr>
      <w:r w:rsidRPr="00E84C93">
        <w:rPr>
          <w:rFonts w:eastAsia="Times New Roman" w:cstheme="minorHAnsi"/>
          <w:szCs w:val="21"/>
          <w:lang w:val="sr-Cyrl-CS"/>
        </w:rPr>
        <w:t>соларно сушење</w:t>
      </w:r>
      <w:r w:rsidR="006D04D2" w:rsidRPr="00E84C93">
        <w:rPr>
          <w:rFonts w:eastAsia="Times New Roman" w:cstheme="minorHAnsi"/>
          <w:szCs w:val="21"/>
          <w:lang w:val="sr-Cyrl-CS"/>
        </w:rPr>
        <w:t>;</w:t>
      </w:r>
    </w:p>
    <w:p w14:paraId="4FF26B03" w14:textId="77777777" w:rsidR="009A6F55" w:rsidRPr="00E84C93" w:rsidRDefault="009A6F55" w:rsidP="00D75873">
      <w:pPr>
        <w:pStyle w:val="ListParagraph"/>
        <w:numPr>
          <w:ilvl w:val="0"/>
          <w:numId w:val="23"/>
        </w:numPr>
        <w:spacing w:after="0"/>
        <w:jc w:val="both"/>
        <w:rPr>
          <w:rFonts w:eastAsia="Times New Roman" w:cstheme="minorHAnsi"/>
          <w:szCs w:val="21"/>
          <w:lang w:val="sr-Cyrl-CS"/>
        </w:rPr>
      </w:pPr>
      <w:r w:rsidRPr="00E84C93">
        <w:rPr>
          <w:rFonts w:eastAsia="Times New Roman" w:cstheme="minorHAnsi"/>
          <w:szCs w:val="21"/>
          <w:lang w:val="sr-Cyrl-CS"/>
        </w:rPr>
        <w:t xml:space="preserve">термичко сушење. </w:t>
      </w:r>
    </w:p>
    <w:p w14:paraId="6700DB12" w14:textId="480D1F34" w:rsidR="009A6F55" w:rsidRPr="00E84C93" w:rsidRDefault="009A6F55" w:rsidP="009A6F55">
      <w:pPr>
        <w:spacing w:after="0"/>
        <w:ind w:firstLine="720"/>
        <w:jc w:val="both"/>
        <w:rPr>
          <w:rFonts w:eastAsia="Times New Roman" w:cstheme="minorHAnsi"/>
          <w:szCs w:val="21"/>
          <w:lang w:val="sr-Cyrl-CS"/>
        </w:rPr>
      </w:pPr>
      <w:r w:rsidRPr="00E84C93">
        <w:rPr>
          <w:rFonts w:eastAsia="Times New Roman" w:cstheme="minorHAnsi"/>
          <w:szCs w:val="21"/>
          <w:lang w:val="sr-Cyrl-CS"/>
        </w:rPr>
        <w:lastRenderedPageBreak/>
        <w:t xml:space="preserve">Избор поступка сушења муља зависи од врсте муља и начина коришћења муља. Због високих инвестиционих и оперативних трошкова термичко сушење се предлаже само као предтретман муља за инсинерацију. Муљ осушен у </w:t>
      </w:r>
      <w:r w:rsidR="00C771AD" w:rsidRPr="00E84C93">
        <w:rPr>
          <w:rFonts w:eastAsia="Times New Roman" w:cstheme="minorHAnsi"/>
          <w:szCs w:val="21"/>
          <w:lang w:val="sr-Cyrl-CS"/>
        </w:rPr>
        <w:t>савременим</w:t>
      </w:r>
      <w:r w:rsidRPr="00E84C93">
        <w:rPr>
          <w:rFonts w:eastAsia="Times New Roman" w:cstheme="minorHAnsi"/>
          <w:szCs w:val="21"/>
          <w:lang w:val="sr-Cyrl-CS"/>
        </w:rPr>
        <w:t xml:space="preserve"> постројењима за сушење садржи </w:t>
      </w:r>
      <w:r w:rsidRPr="00E84C93">
        <w:rPr>
          <w:lang w:val="sr-Cyrl-CS"/>
        </w:rPr>
        <w:t xml:space="preserve">5-10% </w:t>
      </w:r>
      <w:r w:rsidR="00D010D1" w:rsidRPr="00E84C93">
        <w:rPr>
          <w:lang w:val="sr-Cyrl-CS"/>
        </w:rPr>
        <w:t>влаге</w:t>
      </w:r>
      <w:r w:rsidRPr="00E84C93">
        <w:rPr>
          <w:lang w:val="sr-Cyrl-CS"/>
        </w:rPr>
        <w:t xml:space="preserve"> и има облик гранула (1-4 mm).</w:t>
      </w:r>
    </w:p>
    <w:p w14:paraId="26E14018" w14:textId="41F29496" w:rsidR="009A6F55" w:rsidRPr="00E84C93" w:rsidRDefault="009A6F55" w:rsidP="009A6F55">
      <w:pPr>
        <w:spacing w:after="0"/>
        <w:jc w:val="both"/>
        <w:rPr>
          <w:rFonts w:eastAsia="Times New Roman" w:cstheme="minorHAnsi"/>
          <w:szCs w:val="21"/>
          <w:lang w:val="sr-Cyrl-CS"/>
        </w:rPr>
      </w:pPr>
      <w:r w:rsidRPr="00E84C93">
        <w:rPr>
          <w:rFonts w:eastAsia="Times New Roman" w:cstheme="minorHAnsi"/>
          <w:szCs w:val="21"/>
          <w:lang w:val="sr-Cyrl-CS"/>
        </w:rPr>
        <w:tab/>
        <w:t>Могућа краткорочна и дугорочна решења која су у складу са ЕУ прописима и која су разматрана, су:</w:t>
      </w:r>
      <w:r w:rsidR="00A61448" w:rsidRPr="00E84C93">
        <w:rPr>
          <w:rFonts w:eastAsia="Times New Roman" w:cstheme="minorHAnsi"/>
          <w:szCs w:val="21"/>
          <w:lang w:val="sr-Cyrl-CS"/>
        </w:rPr>
        <w:t xml:space="preserve"> </w:t>
      </w:r>
    </w:p>
    <w:p w14:paraId="72EF5775" w14:textId="35C93F4D" w:rsidR="009A6F55" w:rsidRPr="00E84C93" w:rsidRDefault="00F15D1E" w:rsidP="00203E08">
      <w:pPr>
        <w:pStyle w:val="ListParagraph"/>
        <w:numPr>
          <w:ilvl w:val="0"/>
          <w:numId w:val="24"/>
        </w:numPr>
        <w:ind w:left="0" w:firstLine="720"/>
        <w:jc w:val="both"/>
        <w:rPr>
          <w:rFonts w:eastAsia="Times New Roman" w:cstheme="minorHAnsi"/>
          <w:szCs w:val="21"/>
          <w:lang w:val="sr-Cyrl-CS"/>
        </w:rPr>
      </w:pPr>
      <w:r w:rsidRPr="00E84C93">
        <w:rPr>
          <w:lang w:val="sr-Cyrl-CS"/>
        </w:rPr>
        <w:t xml:space="preserve">одлагање муља на депоније комуналног отпада, због прихваћених принципа у управљању отпадом, није одржива могућност, и може бити прихватљива </w:t>
      </w:r>
      <w:r w:rsidR="005F34A9" w:rsidRPr="00E84C93">
        <w:rPr>
          <w:lang w:val="sr-Cyrl-CS"/>
        </w:rPr>
        <w:t xml:space="preserve">у краткорочном периоду </w:t>
      </w:r>
      <w:r w:rsidRPr="00E84C93">
        <w:rPr>
          <w:lang w:val="sr-Cyrl-CS"/>
        </w:rPr>
        <w:t xml:space="preserve">уколико се </w:t>
      </w:r>
      <w:r w:rsidR="005F34A9" w:rsidRPr="00E84C93">
        <w:rPr>
          <w:lang w:val="sr-Cyrl-CS"/>
        </w:rPr>
        <w:t xml:space="preserve">у посебној касети </w:t>
      </w:r>
      <w:r w:rsidRPr="00E84C93">
        <w:rPr>
          <w:lang w:val="sr-Cyrl-CS"/>
        </w:rPr>
        <w:t>одлаже муљ који је стабил</w:t>
      </w:r>
      <w:r w:rsidR="00237AA5" w:rsidRPr="00E84C93">
        <w:rPr>
          <w:lang w:val="sr-Cyrl-CS"/>
        </w:rPr>
        <w:t>и</w:t>
      </w:r>
      <w:r w:rsidRPr="00E84C93">
        <w:rPr>
          <w:lang w:val="sr-Cyrl-CS"/>
        </w:rPr>
        <w:t>зован; уколико је изводљиво, могуће је и привремено складиштење муља на простору постројења за пречишћавање отпадних вода, до тренутка када друге опције за искоришћење буду расположиве</w:t>
      </w:r>
      <w:r w:rsidR="009A6F55" w:rsidRPr="00E84C93">
        <w:rPr>
          <w:rFonts w:eastAsia="Times New Roman" w:cstheme="minorHAnsi"/>
          <w:szCs w:val="21"/>
          <w:lang w:val="sr-Cyrl-CS"/>
        </w:rPr>
        <w:t>;</w:t>
      </w:r>
    </w:p>
    <w:p w14:paraId="06A56F25" w14:textId="7D2788D2" w:rsidR="001E07B5" w:rsidRPr="00E84C93" w:rsidRDefault="001E07B5" w:rsidP="00203E08">
      <w:pPr>
        <w:pStyle w:val="ListParagraph"/>
        <w:numPr>
          <w:ilvl w:val="0"/>
          <w:numId w:val="24"/>
        </w:numPr>
        <w:ind w:left="0" w:firstLine="720"/>
        <w:jc w:val="both"/>
        <w:rPr>
          <w:rFonts w:eastAsia="Times New Roman" w:cstheme="minorHAnsi"/>
          <w:szCs w:val="21"/>
          <w:lang w:val="sr-Cyrl-CS"/>
        </w:rPr>
      </w:pPr>
      <w:r w:rsidRPr="00E84C93">
        <w:rPr>
          <w:lang w:val="sr-Cyrl-CS"/>
        </w:rPr>
        <w:t xml:space="preserve">одлагање муља на индустријске депоније, </w:t>
      </w:r>
      <w:r w:rsidR="00771A23" w:rsidRPr="00E84C93">
        <w:rPr>
          <w:lang w:val="sr-Cyrl-CS"/>
        </w:rPr>
        <w:t>депоније пепела</w:t>
      </w:r>
      <w:r w:rsidRPr="00E84C93">
        <w:rPr>
          <w:lang w:val="sr-Cyrl-CS"/>
        </w:rPr>
        <w:t>, јаловишта и напуштене рударске објекте</w:t>
      </w:r>
      <w:r w:rsidR="00A66922" w:rsidRPr="00E84C93">
        <w:rPr>
          <w:lang w:val="sr-Cyrl-CS"/>
        </w:rPr>
        <w:t xml:space="preserve"> </w:t>
      </w:r>
      <w:r w:rsidR="00524E01" w:rsidRPr="00E84C93">
        <w:rPr>
          <w:lang w:val="sr-Cyrl-CS"/>
        </w:rPr>
        <w:t>–</w:t>
      </w:r>
      <w:r w:rsidRPr="00E84C93">
        <w:rPr>
          <w:lang w:val="sr-Cyrl-CS"/>
        </w:rPr>
        <w:t xml:space="preserve"> копове је прихватљива опција у </w:t>
      </w:r>
      <w:r w:rsidR="00771A23" w:rsidRPr="00E84C93">
        <w:rPr>
          <w:lang w:val="sr-Cyrl-CS"/>
        </w:rPr>
        <w:t xml:space="preserve">краткорочном и </w:t>
      </w:r>
      <w:r w:rsidRPr="00E84C93">
        <w:rPr>
          <w:lang w:val="sr-Cyrl-CS"/>
        </w:rPr>
        <w:t>дугорочном периоду;</w:t>
      </w:r>
    </w:p>
    <w:p w14:paraId="62FB0FD9" w14:textId="417C4FA8" w:rsidR="009A6F55" w:rsidRPr="00E84C93" w:rsidRDefault="009A6F55" w:rsidP="00203E08">
      <w:pPr>
        <w:pStyle w:val="ListParagraph"/>
        <w:numPr>
          <w:ilvl w:val="0"/>
          <w:numId w:val="24"/>
        </w:numPr>
        <w:ind w:left="0" w:firstLine="720"/>
        <w:jc w:val="both"/>
        <w:rPr>
          <w:rFonts w:eastAsia="Times New Roman" w:cstheme="minorHAnsi"/>
          <w:szCs w:val="24"/>
          <w:lang w:val="sr-Cyrl-CS"/>
        </w:rPr>
      </w:pPr>
      <w:r w:rsidRPr="00E84C93">
        <w:rPr>
          <w:rFonts w:eastAsia="Times New Roman" w:cstheme="minorHAnsi"/>
          <w:szCs w:val="21"/>
          <w:lang w:val="sr-Cyrl-CS"/>
        </w:rPr>
        <w:t xml:space="preserve">коришћење муља у пољопривредне сврхе, уколико је претходно компостиран, дигестиран, односно стабилизован и уколико је садржај тешких метала и осталих опасних материја у </w:t>
      </w:r>
      <w:r w:rsidRPr="00E84C93">
        <w:rPr>
          <w:rFonts w:eastAsia="Times New Roman" w:cstheme="minorHAnsi"/>
          <w:szCs w:val="24"/>
          <w:lang w:val="sr-Cyrl-CS"/>
        </w:rPr>
        <w:t xml:space="preserve">складу са прописима; </w:t>
      </w:r>
      <w:r w:rsidR="00C771AD" w:rsidRPr="00E84C93">
        <w:rPr>
          <w:rFonts w:eastAsia="Times New Roman" w:cstheme="minorHAnsi"/>
          <w:szCs w:val="24"/>
          <w:lang w:val="sr-Cyrl-CS"/>
        </w:rPr>
        <w:t>захтеви су везани за граничне вредности</w:t>
      </w:r>
      <w:r w:rsidR="00654B3D" w:rsidRPr="00E84C93">
        <w:rPr>
          <w:rFonts w:eastAsia="Times New Roman" w:cstheme="minorHAnsi"/>
          <w:szCs w:val="24"/>
          <w:lang w:val="sr-Cyrl-CS"/>
        </w:rPr>
        <w:t xml:space="preserve"> за муљ, за земљиште, за унос тешких метала и за дозвољене количине муља</w:t>
      </w:r>
      <w:r w:rsidRPr="00E84C93">
        <w:rPr>
          <w:rFonts w:eastAsia="Times New Roman" w:cstheme="minorHAnsi"/>
          <w:szCs w:val="24"/>
          <w:lang w:val="sr-Cyrl-CS"/>
        </w:rPr>
        <w:t xml:space="preserve">; </w:t>
      </w:r>
      <w:r w:rsidR="00654B3D" w:rsidRPr="00E84C93">
        <w:rPr>
          <w:rFonts w:eastAsia="Times New Roman" w:cstheme="minorHAnsi"/>
          <w:szCs w:val="24"/>
          <w:lang w:val="sr-Cyrl-CS"/>
        </w:rPr>
        <w:t xml:space="preserve">ова опција ће бити даље анализирана и испитана; </w:t>
      </w:r>
      <w:r w:rsidRPr="00E84C93">
        <w:rPr>
          <w:rFonts w:cs="Times New Roman"/>
          <w:szCs w:val="24"/>
          <w:lang w:val="sr-Cyrl-CS"/>
        </w:rPr>
        <w:t>предност је поновно искоришћење фосфора и азота</w:t>
      </w:r>
      <w:r w:rsidR="007502BB" w:rsidRPr="00E84C93">
        <w:rPr>
          <w:rFonts w:cs="Times New Roman"/>
          <w:szCs w:val="24"/>
          <w:lang w:val="sr-Cyrl-CS"/>
        </w:rPr>
        <w:t>, као и искористивост садржаја органске материје у контролисаним условима</w:t>
      </w:r>
      <w:r w:rsidRPr="00E84C93">
        <w:rPr>
          <w:rFonts w:cs="Times New Roman"/>
          <w:szCs w:val="24"/>
          <w:lang w:val="sr-Cyrl-CS"/>
        </w:rPr>
        <w:t>;</w:t>
      </w:r>
      <w:r w:rsidR="00C771AD" w:rsidRPr="00E84C93">
        <w:rPr>
          <w:rFonts w:cs="Times New Roman"/>
          <w:szCs w:val="24"/>
          <w:lang w:val="sr-Cyrl-CS"/>
        </w:rPr>
        <w:t xml:space="preserve"> </w:t>
      </w:r>
      <w:r w:rsidR="00210F2F" w:rsidRPr="00E84C93">
        <w:rPr>
          <w:rFonts w:cs="Times New Roman"/>
          <w:szCs w:val="24"/>
          <w:lang w:val="sr-Cyrl-CS"/>
        </w:rPr>
        <w:t>производњ</w:t>
      </w:r>
      <w:r w:rsidR="001100AB" w:rsidRPr="00E84C93">
        <w:rPr>
          <w:rFonts w:cs="Times New Roman"/>
          <w:szCs w:val="24"/>
          <w:lang w:val="sr-Cyrl-CS"/>
        </w:rPr>
        <w:t>а</w:t>
      </w:r>
      <w:r w:rsidR="00210F2F" w:rsidRPr="00E84C93">
        <w:rPr>
          <w:rFonts w:cs="Times New Roman"/>
          <w:szCs w:val="24"/>
          <w:lang w:val="sr-Cyrl-CS"/>
        </w:rPr>
        <w:t xml:space="preserve"> биоугља произведеног карбонизацијом муља, са циљем производње био-ђубрива и пелета/брикета за грејање;</w:t>
      </w:r>
    </w:p>
    <w:p w14:paraId="7C8D59B3" w14:textId="7177832E" w:rsidR="009A6F55" w:rsidRPr="00E84C93" w:rsidRDefault="009A6F55" w:rsidP="00203E08">
      <w:pPr>
        <w:pStyle w:val="ListParagraph"/>
        <w:numPr>
          <w:ilvl w:val="0"/>
          <w:numId w:val="24"/>
        </w:numPr>
        <w:ind w:left="0" w:firstLine="720"/>
        <w:jc w:val="both"/>
        <w:rPr>
          <w:rFonts w:eastAsia="Times New Roman" w:cstheme="minorHAnsi"/>
          <w:szCs w:val="21"/>
          <w:lang w:val="sr-Cyrl-CS"/>
        </w:rPr>
      </w:pPr>
      <w:r w:rsidRPr="00E84C93">
        <w:rPr>
          <w:rFonts w:eastAsia="Times New Roman" w:cstheme="minorHAnsi"/>
          <w:szCs w:val="24"/>
          <w:lang w:val="sr-Cyrl-CS"/>
        </w:rPr>
        <w:t>коинсинерација са комуналним отпадом</w:t>
      </w:r>
      <w:r w:rsidR="00652BE8" w:rsidRPr="00E84C93">
        <w:rPr>
          <w:rFonts w:ascii="Courier New" w:eastAsia="Times New Roman" w:hAnsi="Courier New" w:cs="Courier New"/>
          <w:szCs w:val="24"/>
          <w:lang w:val="sr-Cyrl-CS"/>
        </w:rPr>
        <w:t>-</w:t>
      </w:r>
      <w:r w:rsidRPr="00E84C93">
        <w:rPr>
          <w:rFonts w:eastAsia="Times New Roman" w:cstheme="minorHAnsi"/>
          <w:szCs w:val="24"/>
          <w:lang w:val="sr-Cyrl-CS"/>
        </w:rPr>
        <w:t xml:space="preserve"> ова опција</w:t>
      </w:r>
      <w:r w:rsidRPr="00E84C93">
        <w:rPr>
          <w:rFonts w:eastAsia="Times New Roman" w:cstheme="minorHAnsi"/>
          <w:szCs w:val="21"/>
          <w:lang w:val="sr-Cyrl-CS"/>
        </w:rPr>
        <w:t xml:space="preserve"> за сада није разматрана, </w:t>
      </w:r>
      <w:r w:rsidR="00652BE8" w:rsidRPr="00E84C93">
        <w:rPr>
          <w:rFonts w:eastAsia="Times New Roman" w:cstheme="minorHAnsi"/>
          <w:szCs w:val="21"/>
          <w:lang w:val="sr-Cyrl-CS"/>
        </w:rPr>
        <w:t xml:space="preserve">али евентуално се може размотрити након </w:t>
      </w:r>
      <w:r w:rsidRPr="00E84C93">
        <w:rPr>
          <w:rFonts w:eastAsia="Times New Roman" w:cstheme="minorHAnsi"/>
          <w:szCs w:val="21"/>
          <w:lang w:val="sr-Cyrl-CS"/>
        </w:rPr>
        <w:t>изградњ</w:t>
      </w:r>
      <w:r w:rsidR="00652BE8" w:rsidRPr="00E84C93">
        <w:rPr>
          <w:rFonts w:eastAsia="Times New Roman" w:cstheme="minorHAnsi"/>
          <w:szCs w:val="21"/>
          <w:lang w:val="sr-Cyrl-CS"/>
        </w:rPr>
        <w:t>е</w:t>
      </w:r>
      <w:r w:rsidRPr="00E84C93">
        <w:rPr>
          <w:rFonts w:eastAsia="Times New Roman" w:cstheme="minorHAnsi"/>
          <w:szCs w:val="21"/>
          <w:lang w:val="sr-Cyrl-CS"/>
        </w:rPr>
        <w:t xml:space="preserve"> постројењ</w:t>
      </w:r>
      <w:r w:rsidR="00652BE8" w:rsidRPr="00E84C93">
        <w:rPr>
          <w:rFonts w:eastAsia="Times New Roman" w:cstheme="minorHAnsi"/>
          <w:szCs w:val="21"/>
          <w:lang w:val="sr-Cyrl-CS"/>
        </w:rPr>
        <w:t>а</w:t>
      </w:r>
      <w:r w:rsidRPr="00E84C93">
        <w:rPr>
          <w:rFonts w:eastAsia="Times New Roman" w:cstheme="minorHAnsi"/>
          <w:szCs w:val="21"/>
          <w:lang w:val="sr-Cyrl-CS"/>
        </w:rPr>
        <w:t xml:space="preserve"> за термички третман комуналног отпада у Београду;</w:t>
      </w:r>
    </w:p>
    <w:p w14:paraId="55B7242F" w14:textId="369B60C0" w:rsidR="009A6F55" w:rsidRPr="00E84C93" w:rsidRDefault="009A6F55" w:rsidP="00203E08">
      <w:pPr>
        <w:pStyle w:val="ListParagraph"/>
        <w:numPr>
          <w:ilvl w:val="0"/>
          <w:numId w:val="24"/>
        </w:numPr>
        <w:ind w:left="0" w:firstLine="720"/>
        <w:jc w:val="both"/>
        <w:rPr>
          <w:rFonts w:eastAsia="Times New Roman" w:cstheme="minorHAnsi"/>
          <w:szCs w:val="24"/>
          <w:lang w:val="sr-Cyrl-CS"/>
        </w:rPr>
      </w:pPr>
      <w:r w:rsidRPr="00E84C93">
        <w:rPr>
          <w:rFonts w:eastAsia="Times New Roman" w:cstheme="minorHAnsi"/>
          <w:szCs w:val="21"/>
          <w:lang w:val="sr-Cyrl-CS"/>
        </w:rPr>
        <w:t xml:space="preserve">коинсинерација у цементној индустрији је опција која се примењује у већем броју земаља чланица ЕУ; </w:t>
      </w:r>
      <w:r w:rsidR="000D53BC" w:rsidRPr="00E84C93">
        <w:rPr>
          <w:rFonts w:eastAsia="Times New Roman" w:cstheme="minorHAnsi"/>
          <w:szCs w:val="21"/>
          <w:lang w:val="sr-Cyrl-CS"/>
        </w:rPr>
        <w:t xml:space="preserve">ова опција је разматрана и постоји заинтересованост цементара у Републици Србији за енергетско искоришћење муља као </w:t>
      </w:r>
      <w:r w:rsidR="000D53BC" w:rsidRPr="00E84C93">
        <w:rPr>
          <w:rFonts w:eastAsia="Times New Roman" w:cstheme="minorHAnsi"/>
          <w:szCs w:val="24"/>
          <w:lang w:val="sr-Cyrl-CS"/>
        </w:rPr>
        <w:t>алтернативног горива; муљ у овом случају треба да прође поступак претходног сушења, а цементаре треба да исходују потребне дозволе</w:t>
      </w:r>
      <w:r w:rsidR="00237AA5" w:rsidRPr="00E84C93">
        <w:rPr>
          <w:rFonts w:eastAsia="Times New Roman" w:cstheme="minorHAnsi"/>
          <w:szCs w:val="24"/>
          <w:lang w:val="sr-Cyrl-CS"/>
        </w:rPr>
        <w:t>; такође је</w:t>
      </w:r>
      <w:r w:rsidR="000D53BC" w:rsidRPr="00E84C93">
        <w:rPr>
          <w:rFonts w:eastAsia="Times New Roman" w:cstheme="minorHAnsi"/>
          <w:szCs w:val="24"/>
          <w:lang w:val="sr-Cyrl-CS"/>
        </w:rPr>
        <w:t xml:space="preserve"> потребно обезбедити садржај суве материје у муљу </w:t>
      </w:r>
      <w:r w:rsidR="00237AA5" w:rsidRPr="00E84C93">
        <w:rPr>
          <w:rFonts w:eastAsia="Times New Roman" w:cstheme="minorHAnsi"/>
          <w:szCs w:val="24"/>
          <w:lang w:val="sr-Cyrl-CS"/>
        </w:rPr>
        <w:t>тако да</w:t>
      </w:r>
      <w:r w:rsidR="000D53BC" w:rsidRPr="00E84C93">
        <w:rPr>
          <w:rFonts w:eastAsia="Times New Roman" w:cstheme="minorHAnsi"/>
          <w:szCs w:val="24"/>
          <w:lang w:val="sr-Cyrl-CS"/>
        </w:rPr>
        <w:t xml:space="preserve"> калоријска моћ износи минимум</w:t>
      </w:r>
      <w:r w:rsidR="000D53BC" w:rsidRPr="00E84C93">
        <w:rPr>
          <w:rFonts w:cs="Times New Roman"/>
          <w:szCs w:val="24"/>
          <w:lang w:val="sr-Cyrl-CS" w:eastAsia="de-DE"/>
        </w:rPr>
        <w:t xml:space="preserve"> 8 MJ/kg (муљ са приближно 70% суве материје)</w:t>
      </w:r>
      <w:r w:rsidRPr="00E84C93">
        <w:rPr>
          <w:rFonts w:cs="Times New Roman"/>
          <w:szCs w:val="24"/>
          <w:lang w:val="sr-Cyrl-CS" w:eastAsia="de-DE"/>
        </w:rPr>
        <w:t>;</w:t>
      </w:r>
    </w:p>
    <w:p w14:paraId="6DF3F829" w14:textId="73591CDA" w:rsidR="009A6F55" w:rsidRPr="00E84C93" w:rsidRDefault="009A6F55" w:rsidP="00203E08">
      <w:pPr>
        <w:pStyle w:val="ListParagraph"/>
        <w:numPr>
          <w:ilvl w:val="0"/>
          <w:numId w:val="24"/>
        </w:numPr>
        <w:ind w:left="0" w:firstLine="720"/>
        <w:jc w:val="both"/>
        <w:rPr>
          <w:rFonts w:eastAsia="Times New Roman" w:cstheme="minorHAnsi"/>
          <w:szCs w:val="21"/>
          <w:lang w:val="sr-Cyrl-CS"/>
        </w:rPr>
      </w:pPr>
      <w:r w:rsidRPr="00E84C93">
        <w:rPr>
          <w:rFonts w:eastAsia="Times New Roman" w:cstheme="minorHAnsi"/>
          <w:szCs w:val="24"/>
          <w:lang w:val="sr-Cyrl-CS"/>
        </w:rPr>
        <w:t>коинсинерација у термоелектранама такође је прихватљива опција која се примењује у земљама ЕУ. Муљ се</w:t>
      </w:r>
      <w:r w:rsidRPr="00E84C93">
        <w:rPr>
          <w:rFonts w:eastAsia="Times New Roman" w:cstheme="minorHAnsi"/>
          <w:szCs w:val="21"/>
          <w:lang w:val="sr-Cyrl-CS"/>
        </w:rPr>
        <w:t xml:space="preserve"> може спаљивати уз претходно сушење</w:t>
      </w:r>
      <w:r w:rsidR="000D53BC" w:rsidRPr="00E84C93">
        <w:rPr>
          <w:rFonts w:eastAsia="Times New Roman" w:cstheme="minorHAnsi"/>
          <w:szCs w:val="21"/>
          <w:lang w:val="sr-Cyrl-CS"/>
        </w:rPr>
        <w:t>;</w:t>
      </w:r>
    </w:p>
    <w:p w14:paraId="43843BF9" w14:textId="525269AA" w:rsidR="009A6F55" w:rsidRPr="00E84C93" w:rsidRDefault="00D010D1" w:rsidP="00203E08">
      <w:pPr>
        <w:pStyle w:val="ListParagraph"/>
        <w:numPr>
          <w:ilvl w:val="0"/>
          <w:numId w:val="24"/>
        </w:numPr>
        <w:ind w:left="0" w:firstLine="720"/>
        <w:jc w:val="both"/>
        <w:rPr>
          <w:rFonts w:eastAsia="Times New Roman" w:cstheme="minorHAnsi"/>
          <w:szCs w:val="21"/>
          <w:lang w:val="sr-Cyrl-CS"/>
        </w:rPr>
      </w:pPr>
      <w:r w:rsidRPr="00E84C93">
        <w:rPr>
          <w:rFonts w:eastAsia="Times New Roman" w:cstheme="minorHAnsi"/>
          <w:szCs w:val="21"/>
          <w:lang w:val="sr-Cyrl-CS"/>
        </w:rPr>
        <w:t>моно</w:t>
      </w:r>
      <w:r w:rsidR="009A6F55" w:rsidRPr="00E84C93">
        <w:rPr>
          <w:rFonts w:eastAsia="Times New Roman" w:cstheme="minorHAnsi"/>
          <w:szCs w:val="21"/>
          <w:lang w:val="sr-Cyrl-CS"/>
        </w:rPr>
        <w:t>инсинерација и сличне технологије су разматране за примену ради енергетског искоришћења муља у дугорочном периоду и искоришћења фосфора.</w:t>
      </w:r>
    </w:p>
    <w:p w14:paraId="15F07155" w14:textId="2AA3F50D" w:rsidR="001B734A" w:rsidRPr="00E84C93" w:rsidRDefault="009A6F55" w:rsidP="006B27E3">
      <w:pPr>
        <w:pStyle w:val="Default"/>
        <w:tabs>
          <w:tab w:val="left" w:pos="720"/>
        </w:tabs>
        <w:jc w:val="both"/>
        <w:rPr>
          <w:rFonts w:ascii="Times New Roman" w:hAnsi="Times New Roman" w:cs="Times New Roman"/>
          <w:lang w:val="sr-Cyrl-CS"/>
        </w:rPr>
      </w:pPr>
      <w:r w:rsidRPr="00E84C93">
        <w:rPr>
          <w:rFonts w:ascii="Times New Roman" w:hAnsi="Times New Roman" w:cs="Times New Roman"/>
          <w:lang w:val="sr-Cyrl-CS"/>
        </w:rPr>
        <w:tab/>
      </w:r>
      <w:r w:rsidR="005D0AE4" w:rsidRPr="00E84C93">
        <w:rPr>
          <w:rFonts w:ascii="Times New Roman" w:hAnsi="Times New Roman" w:cs="Times New Roman"/>
          <w:lang w:val="sr-Cyrl-CS"/>
        </w:rPr>
        <w:t>Наведена решења нису међусобно искључива и могућа је њихова примена у складу са условима</w:t>
      </w:r>
      <w:r w:rsidR="00776986" w:rsidRPr="00E84C93">
        <w:rPr>
          <w:rFonts w:ascii="Times New Roman" w:hAnsi="Times New Roman" w:cs="Times New Roman"/>
          <w:lang w:val="sr-Cyrl-CS"/>
        </w:rPr>
        <w:t xml:space="preserve"> на терену</w:t>
      </w:r>
      <w:r w:rsidR="005D0AE4" w:rsidRPr="00E84C93">
        <w:rPr>
          <w:rFonts w:ascii="Times New Roman" w:hAnsi="Times New Roman" w:cs="Times New Roman"/>
          <w:lang w:val="sr-Cyrl-CS"/>
        </w:rPr>
        <w:t>, економској приме</w:t>
      </w:r>
      <w:r w:rsidR="00776986" w:rsidRPr="00E84C93">
        <w:rPr>
          <w:rFonts w:ascii="Times New Roman" w:hAnsi="Times New Roman" w:cs="Times New Roman"/>
          <w:lang w:val="sr-Cyrl-CS"/>
        </w:rPr>
        <w:t>н</w:t>
      </w:r>
      <w:r w:rsidR="005D0AE4" w:rsidRPr="00E84C93">
        <w:rPr>
          <w:rFonts w:ascii="Times New Roman" w:hAnsi="Times New Roman" w:cs="Times New Roman"/>
          <w:lang w:val="sr-Cyrl-CS"/>
        </w:rPr>
        <w:t xml:space="preserve">љивости и </w:t>
      </w:r>
      <w:r w:rsidR="00776986" w:rsidRPr="00E84C93">
        <w:rPr>
          <w:rFonts w:ascii="Times New Roman" w:hAnsi="Times New Roman" w:cs="Times New Roman"/>
          <w:lang w:val="sr-Cyrl-CS"/>
        </w:rPr>
        <w:t xml:space="preserve">усклађености </w:t>
      </w:r>
      <w:r w:rsidR="00237AA5" w:rsidRPr="00E84C93">
        <w:rPr>
          <w:rFonts w:ascii="Times New Roman" w:hAnsi="Times New Roman" w:cs="Times New Roman"/>
          <w:lang w:val="sr-Cyrl-CS"/>
        </w:rPr>
        <w:t xml:space="preserve">са </w:t>
      </w:r>
      <w:r w:rsidR="00776986" w:rsidRPr="00E84C93">
        <w:rPr>
          <w:rFonts w:ascii="Times New Roman" w:hAnsi="Times New Roman" w:cs="Times New Roman"/>
          <w:lang w:val="sr-Cyrl-CS"/>
        </w:rPr>
        <w:t>регулатив</w:t>
      </w:r>
      <w:r w:rsidR="00237AA5" w:rsidRPr="00E84C93">
        <w:rPr>
          <w:rFonts w:ascii="Times New Roman" w:hAnsi="Times New Roman" w:cs="Times New Roman"/>
          <w:lang w:val="sr-Cyrl-CS"/>
        </w:rPr>
        <w:t>ом</w:t>
      </w:r>
      <w:r w:rsidR="00776986" w:rsidRPr="00E84C93">
        <w:rPr>
          <w:rFonts w:ascii="Times New Roman" w:hAnsi="Times New Roman" w:cs="Times New Roman"/>
          <w:lang w:val="sr-Cyrl-CS"/>
        </w:rPr>
        <w:t xml:space="preserve">. </w:t>
      </w:r>
      <w:r w:rsidRPr="00E84C93">
        <w:rPr>
          <w:rFonts w:ascii="Times New Roman" w:hAnsi="Times New Roman" w:cs="Times New Roman"/>
          <w:lang w:val="sr-Cyrl-CS"/>
        </w:rPr>
        <w:t xml:space="preserve">Свако од </w:t>
      </w:r>
      <w:r w:rsidR="00776986" w:rsidRPr="00E84C93">
        <w:rPr>
          <w:rFonts w:ascii="Times New Roman" w:hAnsi="Times New Roman" w:cs="Times New Roman"/>
          <w:lang w:val="sr-Cyrl-CS"/>
        </w:rPr>
        <w:t xml:space="preserve">наведених </w:t>
      </w:r>
      <w:r w:rsidRPr="00E84C93">
        <w:rPr>
          <w:rFonts w:ascii="Times New Roman" w:hAnsi="Times New Roman" w:cs="Times New Roman"/>
          <w:lang w:val="sr-Cyrl-CS"/>
        </w:rPr>
        <w:t>могућих решења захтева измене и прилагођавање прописа</w:t>
      </w:r>
      <w:r w:rsidR="00776986" w:rsidRPr="00E84C93">
        <w:rPr>
          <w:rFonts w:ascii="Times New Roman" w:hAnsi="Times New Roman" w:cs="Times New Roman"/>
          <w:lang w:val="sr-Cyrl-CS"/>
        </w:rPr>
        <w:t>,</w:t>
      </w:r>
      <w:r w:rsidRPr="00E84C93">
        <w:rPr>
          <w:rFonts w:ascii="Times New Roman" w:hAnsi="Times New Roman" w:cs="Times New Roman"/>
          <w:lang w:val="sr-Cyrl-CS"/>
        </w:rPr>
        <w:t xml:space="preserve"> претходне анализе и третман/сушење муља.</w:t>
      </w:r>
      <w:r w:rsidR="006B27E3" w:rsidRPr="00E84C93">
        <w:rPr>
          <w:rFonts w:ascii="Times New Roman" w:hAnsi="Times New Roman" w:cs="Times New Roman"/>
          <w:lang w:val="sr-Cyrl-CS"/>
        </w:rPr>
        <w:t xml:space="preserve"> </w:t>
      </w:r>
    </w:p>
    <w:p w14:paraId="2CF8F6EB" w14:textId="16168231" w:rsidR="00BF3637" w:rsidRPr="00E84C93" w:rsidRDefault="00BF3637" w:rsidP="003517BF">
      <w:pPr>
        <w:pStyle w:val="Default"/>
        <w:tabs>
          <w:tab w:val="left" w:pos="993"/>
        </w:tabs>
        <w:ind w:left="720"/>
        <w:jc w:val="both"/>
        <w:rPr>
          <w:rFonts w:ascii="Times New Roman" w:hAnsi="Times New Roman" w:cs="Times New Roman"/>
          <w:color w:val="auto"/>
          <w:highlight w:val="yellow"/>
          <w:lang w:val="sr-Cyrl-CS"/>
        </w:rPr>
      </w:pPr>
      <w:r w:rsidRPr="00E84C93">
        <w:rPr>
          <w:rFonts w:cs="Times New Roman"/>
          <w:noProof/>
          <w:webHidden/>
          <w:lang w:val="sr-Cyrl-CS"/>
        </w:rPr>
        <w:tab/>
      </w:r>
    </w:p>
    <w:p w14:paraId="2374310E" w14:textId="166D0D85" w:rsidR="00BF3637" w:rsidRPr="00E84C93" w:rsidRDefault="00BF3637" w:rsidP="000C54C0">
      <w:pPr>
        <w:pStyle w:val="Heading2"/>
        <w:numPr>
          <w:ilvl w:val="1"/>
          <w:numId w:val="8"/>
        </w:numPr>
        <w:rPr>
          <w:noProof/>
          <w:lang w:val="sr-Cyrl-CS"/>
        </w:rPr>
      </w:pPr>
      <w:bookmarkStart w:id="61" w:name="_Toc99920901"/>
      <w:r w:rsidRPr="00E84C93">
        <w:rPr>
          <w:noProof/>
          <w:lang w:val="sr-Cyrl-CS"/>
        </w:rPr>
        <w:t>Посебни циљеви</w:t>
      </w:r>
      <w:bookmarkEnd w:id="61"/>
    </w:p>
    <w:p w14:paraId="1575ED95" w14:textId="682825FF" w:rsidR="0085058B" w:rsidRPr="00E84C93" w:rsidRDefault="0085058B" w:rsidP="0085058B">
      <w:pPr>
        <w:rPr>
          <w:lang w:val="sr-Cyrl-CS"/>
        </w:rPr>
      </w:pPr>
    </w:p>
    <w:p w14:paraId="024372BB" w14:textId="77777777" w:rsidR="006E7EA4" w:rsidRPr="00E84C93" w:rsidRDefault="006E7EA4" w:rsidP="006E7EA4">
      <w:pPr>
        <w:spacing w:after="0"/>
        <w:ind w:firstLine="720"/>
        <w:rPr>
          <w:lang w:val="sr-Cyrl-CS"/>
        </w:rPr>
      </w:pPr>
      <w:r w:rsidRPr="00E84C93">
        <w:rPr>
          <w:lang w:val="sr-Cyrl-CS"/>
        </w:rPr>
        <w:t>За остваривање општег циља Програма утврђују се следећи посебни циљеви:</w:t>
      </w:r>
    </w:p>
    <w:p w14:paraId="2CB51382" w14:textId="77777777" w:rsidR="00702870" w:rsidRPr="00E84C93" w:rsidRDefault="00702870" w:rsidP="00AF76C6">
      <w:pPr>
        <w:spacing w:after="0"/>
        <w:ind w:firstLine="720"/>
        <w:rPr>
          <w:b/>
          <w:color w:val="2E74B5" w:themeColor="accent1" w:themeShade="BF"/>
          <w:szCs w:val="24"/>
          <w:lang w:val="sr-Cyrl-CS"/>
        </w:rPr>
      </w:pPr>
    </w:p>
    <w:p w14:paraId="3B9F48CB" w14:textId="351A5B69" w:rsidR="00203BC0" w:rsidRPr="00E84C93" w:rsidRDefault="00D030F9" w:rsidP="00B36FD3">
      <w:pPr>
        <w:spacing w:after="0"/>
        <w:ind w:firstLine="720"/>
        <w:jc w:val="both"/>
        <w:rPr>
          <w:b/>
          <w:color w:val="2E74B5" w:themeColor="accent1" w:themeShade="BF"/>
          <w:szCs w:val="24"/>
          <w:lang w:val="sr-Cyrl-CS"/>
        </w:rPr>
      </w:pPr>
      <w:r w:rsidRPr="00E84C93">
        <w:rPr>
          <w:b/>
          <w:color w:val="2E74B5" w:themeColor="accent1" w:themeShade="BF"/>
          <w:szCs w:val="24"/>
          <w:lang w:val="sr-Cyrl-CS"/>
        </w:rPr>
        <w:t xml:space="preserve">Посебан циљ 1. </w:t>
      </w:r>
      <w:r w:rsidR="005353A4" w:rsidRPr="00E84C93">
        <w:rPr>
          <w:b/>
          <w:color w:val="2E74B5" w:themeColor="accent1" w:themeShade="BF"/>
          <w:szCs w:val="24"/>
          <w:lang w:val="sr-Cyrl-CS"/>
        </w:rPr>
        <w:t>Усклађена национална регулатива са прописима ЕУ у области управљања муљем из постројења за пречишћавање отпадних вода</w:t>
      </w:r>
      <w:r w:rsidR="00A365B2" w:rsidRPr="00E84C93">
        <w:rPr>
          <w:b/>
          <w:color w:val="2E74B5" w:themeColor="accent1" w:themeShade="BF"/>
          <w:szCs w:val="24"/>
          <w:lang w:val="sr-Cyrl-CS"/>
        </w:rPr>
        <w:t>.</w:t>
      </w:r>
    </w:p>
    <w:p w14:paraId="1C360E17" w14:textId="77777777" w:rsidR="00203BC0" w:rsidRPr="00E84C93" w:rsidRDefault="00203BC0" w:rsidP="00B36FD3">
      <w:pPr>
        <w:spacing w:after="0"/>
        <w:ind w:firstLine="720"/>
        <w:jc w:val="both"/>
        <w:rPr>
          <w:b/>
          <w:color w:val="2E74B5" w:themeColor="accent1" w:themeShade="BF"/>
          <w:szCs w:val="24"/>
          <w:lang w:val="sr-Cyrl-CS"/>
        </w:rPr>
      </w:pPr>
    </w:p>
    <w:p w14:paraId="485E6BB9" w14:textId="4F6AAC2F" w:rsidR="00BE348C" w:rsidRPr="00E84C93" w:rsidRDefault="00BE348C" w:rsidP="00BE348C">
      <w:pPr>
        <w:spacing w:after="0"/>
        <w:ind w:firstLine="720"/>
        <w:jc w:val="both"/>
        <w:rPr>
          <w:b/>
          <w:color w:val="2E74B5" w:themeColor="accent1" w:themeShade="BF"/>
          <w:szCs w:val="24"/>
          <w:lang w:val="sr-Cyrl-CS"/>
        </w:rPr>
      </w:pPr>
      <w:r w:rsidRPr="00E84C93">
        <w:rPr>
          <w:b/>
          <w:color w:val="2E74B5" w:themeColor="accent1" w:themeShade="BF"/>
          <w:szCs w:val="24"/>
          <w:lang w:val="sr-Cyrl-CS"/>
        </w:rPr>
        <w:lastRenderedPageBreak/>
        <w:t xml:space="preserve">Посебан циљ 2. Примењен привремени систем за третман и одлагање муља примарно кроз коинсинерацију у цементарама и </w:t>
      </w:r>
      <w:r w:rsidR="00F91B2A" w:rsidRPr="00E84C93">
        <w:rPr>
          <w:b/>
          <w:color w:val="2E74B5" w:themeColor="accent1" w:themeShade="BF"/>
          <w:szCs w:val="24"/>
          <w:lang w:val="sr-Cyrl-CS"/>
        </w:rPr>
        <w:t>искоришћење</w:t>
      </w:r>
      <w:r w:rsidRPr="00E84C93">
        <w:rPr>
          <w:b/>
          <w:color w:val="2E74B5" w:themeColor="accent1" w:themeShade="BF"/>
          <w:szCs w:val="24"/>
          <w:lang w:val="sr-Cyrl-CS"/>
        </w:rPr>
        <w:t xml:space="preserve"> муља за </w:t>
      </w:r>
      <w:r w:rsidR="00F91B2A" w:rsidRPr="00E84C93">
        <w:rPr>
          <w:b/>
          <w:color w:val="2E74B5" w:themeColor="accent1" w:themeShade="BF"/>
          <w:szCs w:val="24"/>
          <w:lang w:val="sr-Cyrl-CS"/>
        </w:rPr>
        <w:t xml:space="preserve">рекултивацију </w:t>
      </w:r>
      <w:r w:rsidR="005B1CFE" w:rsidRPr="00E84C93">
        <w:rPr>
          <w:b/>
          <w:color w:val="2E74B5" w:themeColor="accent1" w:themeShade="BF"/>
          <w:szCs w:val="24"/>
          <w:lang w:val="sr-Cyrl-CS"/>
        </w:rPr>
        <w:t>девастираних локација</w:t>
      </w:r>
      <w:r w:rsidR="00A365B2" w:rsidRPr="00E84C93">
        <w:rPr>
          <w:b/>
          <w:color w:val="2E74B5" w:themeColor="accent1" w:themeShade="BF"/>
          <w:szCs w:val="24"/>
          <w:lang w:val="sr-Cyrl-CS"/>
        </w:rPr>
        <w:t>.</w:t>
      </w:r>
    </w:p>
    <w:p w14:paraId="5AF2C5B4" w14:textId="77777777" w:rsidR="00BE348C" w:rsidRPr="00E84C93" w:rsidRDefault="00BE348C" w:rsidP="00BE348C">
      <w:pPr>
        <w:spacing w:after="0"/>
        <w:ind w:firstLine="720"/>
        <w:jc w:val="both"/>
        <w:rPr>
          <w:b/>
          <w:color w:val="2E74B5" w:themeColor="accent1" w:themeShade="BF"/>
          <w:szCs w:val="24"/>
          <w:lang w:val="sr-Cyrl-CS"/>
        </w:rPr>
      </w:pPr>
    </w:p>
    <w:p w14:paraId="4D253901" w14:textId="3C4BA379" w:rsidR="005353A4" w:rsidRPr="00E84C93" w:rsidRDefault="005353A4" w:rsidP="00B36FD3">
      <w:pPr>
        <w:spacing w:after="0"/>
        <w:ind w:firstLine="720"/>
        <w:jc w:val="both"/>
        <w:rPr>
          <w:b/>
          <w:color w:val="2E74B5" w:themeColor="accent1" w:themeShade="BF"/>
          <w:szCs w:val="24"/>
          <w:lang w:val="sr-Cyrl-CS"/>
        </w:rPr>
      </w:pPr>
      <w:r w:rsidRPr="00E84C93">
        <w:rPr>
          <w:rFonts w:cs="Times New Roman"/>
          <w:b/>
          <w:bCs/>
          <w:iCs/>
          <w:color w:val="2E74B5" w:themeColor="accent1" w:themeShade="BF"/>
          <w:szCs w:val="24"/>
          <w:lang w:val="sr-Cyrl-CS"/>
        </w:rPr>
        <w:t xml:space="preserve">Посебан циљ </w:t>
      </w:r>
      <w:r w:rsidR="00BE348C" w:rsidRPr="00E84C93">
        <w:rPr>
          <w:rFonts w:cs="Times New Roman"/>
          <w:b/>
          <w:bCs/>
          <w:iCs/>
          <w:color w:val="2E74B5" w:themeColor="accent1" w:themeShade="BF"/>
          <w:szCs w:val="24"/>
          <w:lang w:val="sr-Cyrl-CS"/>
        </w:rPr>
        <w:t>3</w:t>
      </w:r>
      <w:r w:rsidRPr="00E84C93">
        <w:rPr>
          <w:rFonts w:cs="Times New Roman"/>
          <w:b/>
          <w:bCs/>
          <w:iCs/>
          <w:color w:val="2E74B5" w:themeColor="accent1" w:themeShade="BF"/>
          <w:szCs w:val="24"/>
          <w:lang w:val="sr-Cyrl-CS"/>
        </w:rPr>
        <w:t>. Успостављене основе система за дугорочно управљање муљем и</w:t>
      </w:r>
      <w:r w:rsidRPr="00E84C93">
        <w:rPr>
          <w:b/>
          <w:color w:val="2E74B5" w:themeColor="accent1" w:themeShade="BF"/>
          <w:szCs w:val="24"/>
          <w:lang w:val="sr-Cyrl-CS"/>
        </w:rPr>
        <w:t>з постројења за пречишћавање отпадних вода</w:t>
      </w:r>
      <w:r w:rsidR="00A365B2" w:rsidRPr="00E84C93">
        <w:rPr>
          <w:b/>
          <w:color w:val="2E74B5" w:themeColor="accent1" w:themeShade="BF"/>
          <w:szCs w:val="24"/>
          <w:lang w:val="sr-Cyrl-CS"/>
        </w:rPr>
        <w:t>.</w:t>
      </w:r>
    </w:p>
    <w:p w14:paraId="3486E3FC" w14:textId="393CEE7C" w:rsidR="00F60A5F" w:rsidRPr="00E84C93" w:rsidRDefault="008915DE" w:rsidP="005353A4">
      <w:pPr>
        <w:spacing w:after="0"/>
        <w:jc w:val="both"/>
        <w:rPr>
          <w:b/>
          <w:color w:val="2E74B5" w:themeColor="accent1" w:themeShade="BF"/>
          <w:szCs w:val="24"/>
          <w:lang w:val="sr-Cyrl-CS"/>
        </w:rPr>
      </w:pPr>
      <w:r w:rsidRPr="00E84C93">
        <w:rPr>
          <w:rFonts w:cs="Times New Roman"/>
          <w:b/>
          <w:bCs/>
          <w:iCs/>
          <w:color w:val="2E74B5" w:themeColor="accent1" w:themeShade="BF"/>
          <w:szCs w:val="24"/>
          <w:lang w:val="sr-Cyrl-CS"/>
        </w:rPr>
        <w:tab/>
      </w:r>
    </w:p>
    <w:p w14:paraId="47DAAE84" w14:textId="198CFF19" w:rsidR="00D030F9" w:rsidRPr="00E84C93" w:rsidRDefault="00D030F9" w:rsidP="00AF76C6">
      <w:pPr>
        <w:spacing w:after="0"/>
        <w:ind w:firstLine="720"/>
        <w:rPr>
          <w:b/>
          <w:lang w:val="sr-Cyrl-CS"/>
        </w:rPr>
      </w:pPr>
      <w:r w:rsidRPr="00E84C93">
        <w:rPr>
          <w:b/>
          <w:color w:val="2E74B5" w:themeColor="accent1" w:themeShade="BF"/>
          <w:szCs w:val="24"/>
          <w:lang w:val="sr-Cyrl-CS"/>
        </w:rPr>
        <w:t xml:space="preserve">Посебан циљ </w:t>
      </w:r>
      <w:r w:rsidR="00F60A5F" w:rsidRPr="00E84C93">
        <w:rPr>
          <w:b/>
          <w:color w:val="2E74B5" w:themeColor="accent1" w:themeShade="BF"/>
          <w:szCs w:val="24"/>
          <w:lang w:val="sr-Cyrl-CS"/>
        </w:rPr>
        <w:t>4</w:t>
      </w:r>
      <w:r w:rsidRPr="00E84C93">
        <w:rPr>
          <w:b/>
          <w:color w:val="2E74B5" w:themeColor="accent1" w:themeShade="BF"/>
          <w:szCs w:val="24"/>
          <w:lang w:val="sr-Cyrl-CS"/>
        </w:rPr>
        <w:t xml:space="preserve">. </w:t>
      </w:r>
      <w:r w:rsidR="00AF76C6" w:rsidRPr="00E84C93">
        <w:rPr>
          <w:b/>
          <w:color w:val="2E74B5" w:themeColor="accent1" w:themeShade="BF"/>
          <w:szCs w:val="24"/>
          <w:lang w:val="sr-Cyrl-CS"/>
        </w:rPr>
        <w:t xml:space="preserve">Ојачан капацитет </w:t>
      </w:r>
      <w:r w:rsidR="0000703C" w:rsidRPr="00E84C93">
        <w:rPr>
          <w:b/>
          <w:color w:val="2E74B5" w:themeColor="accent1" w:themeShade="BF"/>
          <w:szCs w:val="24"/>
          <w:lang w:val="sr-Cyrl-CS"/>
        </w:rPr>
        <w:t>субјеката</w:t>
      </w:r>
      <w:r w:rsidR="00203BC0" w:rsidRPr="00E84C93">
        <w:rPr>
          <w:b/>
          <w:color w:val="2E74B5" w:themeColor="accent1" w:themeShade="BF"/>
          <w:szCs w:val="24"/>
          <w:lang w:val="sr-Cyrl-CS"/>
        </w:rPr>
        <w:t xml:space="preserve"> </w:t>
      </w:r>
      <w:r w:rsidR="00AF76C6" w:rsidRPr="00E84C93">
        <w:rPr>
          <w:b/>
          <w:color w:val="2E74B5" w:themeColor="accent1" w:themeShade="BF"/>
          <w:szCs w:val="24"/>
          <w:lang w:val="sr-Cyrl-CS"/>
        </w:rPr>
        <w:t>у области управљања муљем</w:t>
      </w:r>
      <w:r w:rsidR="00613FC1" w:rsidRPr="00E84C93">
        <w:rPr>
          <w:b/>
          <w:color w:val="2E74B5" w:themeColor="accent1" w:themeShade="BF"/>
          <w:szCs w:val="24"/>
          <w:lang w:val="sr-Cyrl-CS"/>
        </w:rPr>
        <w:t>.</w:t>
      </w:r>
      <w:r w:rsidR="00AF76C6" w:rsidRPr="00E84C93">
        <w:rPr>
          <w:b/>
          <w:color w:val="2E74B5" w:themeColor="accent1" w:themeShade="BF"/>
          <w:szCs w:val="24"/>
          <w:lang w:val="sr-Cyrl-CS"/>
        </w:rPr>
        <w:t xml:space="preserve"> </w:t>
      </w:r>
    </w:p>
    <w:p w14:paraId="71004FBE" w14:textId="77777777" w:rsidR="00BF3637" w:rsidRPr="00E84C93" w:rsidRDefault="00BF3637" w:rsidP="0042575E">
      <w:pPr>
        <w:pStyle w:val="TOC1"/>
        <w:rPr>
          <w:noProof/>
          <w:lang w:val="sr-Cyrl-CS"/>
        </w:rPr>
      </w:pPr>
    </w:p>
    <w:p w14:paraId="1AE79366" w14:textId="79B879B2" w:rsidR="00BF3637" w:rsidRPr="00E84C93" w:rsidRDefault="00BF3637" w:rsidP="000C54C0">
      <w:pPr>
        <w:pStyle w:val="Heading1"/>
        <w:numPr>
          <w:ilvl w:val="0"/>
          <w:numId w:val="8"/>
        </w:numPr>
        <w:rPr>
          <w:noProof/>
          <w:lang w:val="sr-Cyrl-CS"/>
        </w:rPr>
      </w:pPr>
      <w:bookmarkStart w:id="62" w:name="_Toc99920902"/>
      <w:r w:rsidRPr="00E84C93">
        <w:rPr>
          <w:noProof/>
          <w:lang w:val="sr-Cyrl-CS"/>
        </w:rPr>
        <w:t>КОНЦЕПЦИЈА ЗА ОСТВАРИВАЊЕ</w:t>
      </w:r>
      <w:r w:rsidR="006B27E3" w:rsidRPr="00E84C93">
        <w:rPr>
          <w:noProof/>
          <w:lang w:val="sr-Cyrl-CS"/>
        </w:rPr>
        <w:t xml:space="preserve"> </w:t>
      </w:r>
      <w:r w:rsidRPr="00E84C93">
        <w:rPr>
          <w:noProof/>
          <w:lang w:val="sr-Cyrl-CS"/>
        </w:rPr>
        <w:t>ЦИЉЕВА ПРОГРАМА</w:t>
      </w:r>
      <w:bookmarkEnd w:id="62"/>
    </w:p>
    <w:p w14:paraId="6A8A082E" w14:textId="4C68CA11" w:rsidR="0085058B" w:rsidRPr="00E84C93" w:rsidRDefault="0085058B" w:rsidP="0085058B">
      <w:pPr>
        <w:rPr>
          <w:lang w:val="sr-Cyrl-CS"/>
        </w:rPr>
      </w:pPr>
    </w:p>
    <w:p w14:paraId="5D2B7FD3" w14:textId="15294389" w:rsidR="00A95D21" w:rsidRPr="00E84C93" w:rsidRDefault="00A95D21" w:rsidP="006E3481">
      <w:pPr>
        <w:spacing w:after="0"/>
        <w:ind w:firstLine="720"/>
        <w:jc w:val="both"/>
        <w:rPr>
          <w:lang w:val="sr-Cyrl-CS"/>
        </w:rPr>
      </w:pPr>
      <w:r w:rsidRPr="00E84C93">
        <w:rPr>
          <w:lang w:val="sr-Cyrl-CS"/>
        </w:rPr>
        <w:t xml:space="preserve">Концепција је у складу са ЕУ прописима и прати смернице Програма управљања отпадом Републике Србије за период </w:t>
      </w:r>
      <w:r w:rsidR="002D073C" w:rsidRPr="00E84C93">
        <w:rPr>
          <w:lang w:val="sr-Cyrl-CS"/>
        </w:rPr>
        <w:t>202</w:t>
      </w:r>
      <w:r w:rsidR="00351DB4" w:rsidRPr="00E84C93">
        <w:rPr>
          <w:lang w:val="sr-Cyrl-CS"/>
        </w:rPr>
        <w:t>2</w:t>
      </w:r>
      <w:r w:rsidR="002D073C" w:rsidRPr="00E84C93">
        <w:rPr>
          <w:lang w:val="sr-Cyrl-CS"/>
        </w:rPr>
        <w:t>-203</w:t>
      </w:r>
      <w:r w:rsidR="00351DB4" w:rsidRPr="00E84C93">
        <w:rPr>
          <w:lang w:val="sr-Cyrl-CS"/>
        </w:rPr>
        <w:t xml:space="preserve">1. </w:t>
      </w:r>
      <w:r w:rsidRPr="00E84C93">
        <w:rPr>
          <w:lang w:val="sr-Cyrl-CS"/>
        </w:rPr>
        <w:t xml:space="preserve"> </w:t>
      </w:r>
    </w:p>
    <w:p w14:paraId="288511DD" w14:textId="7413C447" w:rsidR="00B93872" w:rsidRPr="00E84C93" w:rsidRDefault="00B93872" w:rsidP="00B93872">
      <w:pPr>
        <w:spacing w:after="0"/>
        <w:ind w:firstLine="720"/>
        <w:jc w:val="both"/>
        <w:rPr>
          <w:lang w:val="sr-Cyrl-CS"/>
        </w:rPr>
      </w:pPr>
      <w:r w:rsidRPr="00E84C93">
        <w:rPr>
          <w:lang w:val="sr-Cyrl-CS"/>
        </w:rPr>
        <w:t>За прорачун</w:t>
      </w:r>
      <w:r w:rsidR="00A365B2" w:rsidRPr="00E84C93">
        <w:rPr>
          <w:lang w:val="sr-Cyrl-CS"/>
        </w:rPr>
        <w:t>а</w:t>
      </w:r>
      <w:r w:rsidRPr="00E84C93">
        <w:rPr>
          <w:lang w:val="sr-Cyrl-CS"/>
        </w:rPr>
        <w:t xml:space="preserve">те количине муља презентоване у претходном поглављу, у овом поглављу је описана хијерархија </w:t>
      </w:r>
      <w:r w:rsidRPr="00E84C93">
        <w:rPr>
          <w:rFonts w:cs="Times New Roman"/>
          <w:lang w:val="sr-Cyrl-CS"/>
        </w:rPr>
        <w:t>постројења за пречишћавање отпадних вода п</w:t>
      </w:r>
      <w:r w:rsidR="007D2D69" w:rsidRPr="00E84C93">
        <w:rPr>
          <w:rFonts w:cs="Times New Roman"/>
          <w:lang w:val="sr-Cyrl-CS"/>
        </w:rPr>
        <w:t>рема њиховој</w:t>
      </w:r>
      <w:r w:rsidRPr="00E84C93">
        <w:rPr>
          <w:rFonts w:cs="Times New Roman"/>
          <w:lang w:val="sr-Cyrl-CS"/>
        </w:rPr>
        <w:t xml:space="preserve"> величини</w:t>
      </w:r>
      <w:r w:rsidR="007D2D69" w:rsidRPr="00E84C93">
        <w:rPr>
          <w:rFonts w:cs="Times New Roman"/>
          <w:lang w:val="sr-Cyrl-CS"/>
        </w:rPr>
        <w:t>,</w:t>
      </w:r>
      <w:r w:rsidRPr="00E84C93">
        <w:rPr>
          <w:lang w:val="sr-Cyrl-CS"/>
        </w:rPr>
        <w:t xml:space="preserve"> у оквиру система окружних Центара за третман муља и Регионалних центара за управљање муљем и начина на који се овај приступ може применити у Републици Србији. </w:t>
      </w:r>
    </w:p>
    <w:p w14:paraId="13692D4C" w14:textId="1F1B428E" w:rsidR="00545B1B" w:rsidRPr="00E84C93" w:rsidRDefault="007D2D69" w:rsidP="00B93872">
      <w:pPr>
        <w:spacing w:after="0"/>
        <w:ind w:firstLine="720"/>
        <w:jc w:val="both"/>
        <w:rPr>
          <w:lang w:val="sr-Cyrl-CS" w:bidi="en-US"/>
        </w:rPr>
      </w:pPr>
      <w:r w:rsidRPr="00E84C93">
        <w:rPr>
          <w:lang w:val="sr-Cyrl-CS" w:bidi="en-US"/>
        </w:rPr>
        <w:t>У складу са општим циљем Програма, д</w:t>
      </w:r>
      <w:r w:rsidR="00B93872" w:rsidRPr="00E84C93">
        <w:rPr>
          <w:lang w:val="sr-Cyrl-CS" w:bidi="en-US"/>
        </w:rPr>
        <w:t>угорочн</w:t>
      </w:r>
      <w:r w:rsidRPr="00E84C93">
        <w:rPr>
          <w:lang w:val="sr-Cyrl-CS" w:bidi="en-US"/>
        </w:rPr>
        <w:t>о</w:t>
      </w:r>
      <w:r w:rsidR="00B93872" w:rsidRPr="00E84C93">
        <w:rPr>
          <w:lang w:val="sr-Cyrl-CS" w:bidi="en-US"/>
        </w:rPr>
        <w:t xml:space="preserve"> је </w:t>
      </w:r>
      <w:r w:rsidRPr="00E84C93">
        <w:rPr>
          <w:lang w:val="sr-Cyrl-CS" w:bidi="en-US"/>
        </w:rPr>
        <w:t xml:space="preserve">потребно </w:t>
      </w:r>
      <w:r w:rsidR="00B93872" w:rsidRPr="00E84C93">
        <w:rPr>
          <w:lang w:val="sr-Cyrl-CS" w:bidi="en-US"/>
        </w:rPr>
        <w:t xml:space="preserve">изналажење могућности за </w:t>
      </w:r>
      <w:r w:rsidR="00F15444" w:rsidRPr="00E84C93">
        <w:rPr>
          <w:lang w:val="sr-Cyrl-CS" w:bidi="en-US"/>
        </w:rPr>
        <w:t>управљање</w:t>
      </w:r>
      <w:r w:rsidR="00B93872" w:rsidRPr="00E84C93">
        <w:rPr>
          <w:lang w:val="sr-Cyrl-CS" w:bidi="en-US"/>
        </w:rPr>
        <w:t xml:space="preserve"> муљ</w:t>
      </w:r>
      <w:r w:rsidR="00F15444" w:rsidRPr="00E84C93">
        <w:rPr>
          <w:lang w:val="sr-Cyrl-CS" w:bidi="en-US"/>
        </w:rPr>
        <w:t>ем</w:t>
      </w:r>
      <w:r w:rsidR="00B93872" w:rsidRPr="00E84C93">
        <w:rPr>
          <w:lang w:val="sr-Cyrl-CS" w:bidi="en-US"/>
        </w:rPr>
        <w:t xml:space="preserve"> у складу са ЕУ прописима, за пројектовани временски период </w:t>
      </w:r>
      <w:r w:rsidRPr="00E84C93">
        <w:rPr>
          <w:lang w:val="sr-Cyrl-CS" w:bidi="en-US"/>
        </w:rPr>
        <w:t>за завршетак изград</w:t>
      </w:r>
      <w:r w:rsidR="00CD2947" w:rsidRPr="00E84C93">
        <w:rPr>
          <w:lang w:val="sr-Cyrl-CS" w:bidi="en-US"/>
        </w:rPr>
        <w:t>њ</w:t>
      </w:r>
      <w:r w:rsidRPr="00E84C93">
        <w:rPr>
          <w:lang w:val="sr-Cyrl-CS" w:bidi="en-US"/>
        </w:rPr>
        <w:t xml:space="preserve">е и пуштања у рад свих планираних постројења за пречишћавање отпадних вода </w:t>
      </w:r>
      <w:r w:rsidR="00B93872" w:rsidRPr="00E84C93">
        <w:rPr>
          <w:lang w:val="sr-Cyrl-CS" w:bidi="en-US"/>
        </w:rPr>
        <w:t>(202</w:t>
      </w:r>
      <w:r w:rsidR="00F975B0" w:rsidRPr="00E84C93">
        <w:rPr>
          <w:lang w:val="sr-Cyrl-CS" w:bidi="en-US"/>
        </w:rPr>
        <w:t>3</w:t>
      </w:r>
      <w:r w:rsidR="00B93872" w:rsidRPr="00E84C93">
        <w:rPr>
          <w:lang w:val="sr-Cyrl-CS" w:bidi="en-US"/>
        </w:rPr>
        <w:t xml:space="preserve"> - 2041.)</w:t>
      </w:r>
      <w:r w:rsidR="00DF3405" w:rsidRPr="00E84C93">
        <w:rPr>
          <w:lang w:val="sr-Cyrl-CS" w:bidi="en-US"/>
        </w:rPr>
        <w:t xml:space="preserve">. </w:t>
      </w:r>
    </w:p>
    <w:p w14:paraId="0451B475" w14:textId="5908B659" w:rsidR="0095421D" w:rsidRPr="00E84C93" w:rsidRDefault="00F15D1E" w:rsidP="00A078B4">
      <w:pPr>
        <w:spacing w:after="0"/>
        <w:ind w:firstLine="720"/>
        <w:jc w:val="both"/>
        <w:rPr>
          <w:lang w:val="sr-Cyrl-CS" w:bidi="en-US"/>
        </w:rPr>
      </w:pPr>
      <w:r w:rsidRPr="00E84C93">
        <w:rPr>
          <w:lang w:val="sr-Cyrl-CS" w:bidi="en-US"/>
        </w:rPr>
        <w:t>Коришћење</w:t>
      </w:r>
      <w:r w:rsidR="007C2F68" w:rsidRPr="00E84C93">
        <w:rPr>
          <w:lang w:val="sr-Cyrl-CS" w:bidi="en-US"/>
        </w:rPr>
        <w:t xml:space="preserve"> муља у пољопривреди</w:t>
      </w:r>
      <w:r w:rsidRPr="00E84C93">
        <w:rPr>
          <w:lang w:val="sr-Cyrl-CS" w:bidi="en-US"/>
        </w:rPr>
        <w:t xml:space="preserve"> ће бити разматрано након претходно спроведених испитивања ове могућности. У</w:t>
      </w:r>
      <w:r w:rsidR="007C2F68" w:rsidRPr="00E84C93">
        <w:rPr>
          <w:lang w:val="sr-Cyrl-CS" w:bidi="en-US"/>
        </w:rPr>
        <w:t xml:space="preserve">колико се покаже да је примена могућа и у зависности од количина које се могу искористити на овај начин, примениће се и друга </w:t>
      </w:r>
      <w:r w:rsidR="00CD2947" w:rsidRPr="00E84C93">
        <w:rPr>
          <w:lang w:val="sr-Cyrl-CS" w:bidi="en-US"/>
        </w:rPr>
        <w:t xml:space="preserve">прихватљива </w:t>
      </w:r>
      <w:r w:rsidR="007C2F68" w:rsidRPr="00E84C93">
        <w:rPr>
          <w:lang w:val="sr-Cyrl-CS" w:bidi="en-US"/>
        </w:rPr>
        <w:t>решења.</w:t>
      </w:r>
      <w:r w:rsidR="00A81D94" w:rsidRPr="00E84C93">
        <w:rPr>
          <w:lang w:val="sr-Cyrl-CS" w:bidi="en-US"/>
        </w:rPr>
        <w:t xml:space="preserve"> </w:t>
      </w:r>
      <w:r w:rsidR="0095421D" w:rsidRPr="00E84C93">
        <w:rPr>
          <w:lang w:val="sr-Cyrl-CS" w:bidi="en-US"/>
        </w:rPr>
        <w:t xml:space="preserve">Дугорочно се </w:t>
      </w:r>
      <w:r w:rsidR="00524E01" w:rsidRPr="00E84C93">
        <w:rPr>
          <w:lang w:val="sr-Cyrl-CS" w:bidi="en-US"/>
        </w:rPr>
        <w:t xml:space="preserve">муљ </w:t>
      </w:r>
      <w:r w:rsidR="0095421D" w:rsidRPr="00E84C93">
        <w:rPr>
          <w:lang w:val="sr-Cyrl-CS" w:bidi="en-US"/>
        </w:rPr>
        <w:t xml:space="preserve">може примењивати </w:t>
      </w:r>
      <w:r w:rsidR="00524E01" w:rsidRPr="00E84C93">
        <w:rPr>
          <w:lang w:val="sr-Cyrl-CS" w:bidi="en-US"/>
        </w:rPr>
        <w:t>и за</w:t>
      </w:r>
      <w:r w:rsidR="0095421D" w:rsidRPr="00E84C93">
        <w:rPr>
          <w:lang w:val="sr-Cyrl-CS" w:bidi="en-US"/>
        </w:rPr>
        <w:t xml:space="preserve"> </w:t>
      </w:r>
      <w:r w:rsidR="00145054" w:rsidRPr="00E84C93">
        <w:rPr>
          <w:lang w:val="sr-Cyrl-CS" w:bidi="en-US"/>
        </w:rPr>
        <w:t>рекултивацију</w:t>
      </w:r>
      <w:r w:rsidR="0095421D" w:rsidRPr="00E84C93">
        <w:rPr>
          <w:lang w:val="sr-Cyrl-CS" w:bidi="en-US"/>
        </w:rPr>
        <w:t xml:space="preserve"> девастираних </w:t>
      </w:r>
      <w:r w:rsidR="00113638" w:rsidRPr="00E84C93">
        <w:rPr>
          <w:lang w:val="sr-Cyrl-CS" w:bidi="en-US"/>
        </w:rPr>
        <w:t>локација</w:t>
      </w:r>
      <w:r w:rsidR="0095421D" w:rsidRPr="00E84C93">
        <w:rPr>
          <w:lang w:val="sr-Cyrl-CS" w:bidi="en-US"/>
        </w:rPr>
        <w:t xml:space="preserve"> </w:t>
      </w:r>
      <w:r w:rsidR="00524E01" w:rsidRPr="00E84C93">
        <w:rPr>
          <w:lang w:val="sr-Cyrl-CS" w:bidi="en-US"/>
        </w:rPr>
        <w:t xml:space="preserve">или се може </w:t>
      </w:r>
      <w:r w:rsidR="0095421D" w:rsidRPr="00E84C93">
        <w:rPr>
          <w:lang w:val="sr-Cyrl-CS" w:bidi="en-US"/>
        </w:rPr>
        <w:t>одлага</w:t>
      </w:r>
      <w:r w:rsidR="00524E01" w:rsidRPr="00E84C93">
        <w:rPr>
          <w:lang w:val="sr-Cyrl-CS" w:bidi="en-US"/>
        </w:rPr>
        <w:t>ти</w:t>
      </w:r>
      <w:r w:rsidR="0095421D" w:rsidRPr="00E84C93">
        <w:rPr>
          <w:lang w:val="sr-Cyrl-CS" w:bidi="en-US"/>
        </w:rPr>
        <w:t xml:space="preserve"> на индустријске депоније</w:t>
      </w:r>
      <w:r w:rsidR="00524E01" w:rsidRPr="00E84C93">
        <w:rPr>
          <w:lang w:val="sr-Cyrl-CS" w:bidi="en-US"/>
        </w:rPr>
        <w:t xml:space="preserve"> или депоније пепела.</w:t>
      </w:r>
      <w:r w:rsidR="0095421D" w:rsidRPr="00E84C93">
        <w:rPr>
          <w:lang w:val="sr-Cyrl-CS" w:bidi="en-US"/>
        </w:rPr>
        <w:t xml:space="preserve"> </w:t>
      </w:r>
    </w:p>
    <w:p w14:paraId="022C5CB0" w14:textId="54F902F0" w:rsidR="006D5C01" w:rsidRPr="00E84C93" w:rsidRDefault="006D5C01" w:rsidP="006D5C01">
      <w:pPr>
        <w:spacing w:after="0"/>
        <w:ind w:firstLine="720"/>
        <w:jc w:val="both"/>
        <w:rPr>
          <w:lang w:val="sr-Cyrl-CS" w:bidi="en-US"/>
        </w:rPr>
      </w:pPr>
      <w:r w:rsidRPr="00E84C93">
        <w:rPr>
          <w:lang w:val="sr-Cyrl-CS" w:bidi="en-US"/>
        </w:rPr>
        <w:t>Процес хармонизације у вези са Директивом</w:t>
      </w:r>
      <w:r w:rsidR="00E52D26" w:rsidRPr="00E84C93">
        <w:rPr>
          <w:lang w:val="sr-Cyrl-CS" w:bidi="en-US"/>
        </w:rPr>
        <w:t xml:space="preserve"> ЕУ </w:t>
      </w:r>
      <w:r w:rsidR="00E52D26" w:rsidRPr="00E84C93">
        <w:rPr>
          <w:rFonts w:cs="Times New Roman"/>
          <w:bCs/>
          <w:lang w:val="sr-Cyrl-CS" w:bidi="en-US"/>
        </w:rPr>
        <w:t xml:space="preserve">о </w:t>
      </w:r>
      <w:r w:rsidR="00E52D26" w:rsidRPr="00E84C93">
        <w:rPr>
          <w:rFonts w:cs="Times New Roman"/>
          <w:szCs w:val="24"/>
          <w:lang w:val="sr-Cyrl-CS"/>
        </w:rPr>
        <w:t>муљу из постројења за пречишћавање отпадних вода</w:t>
      </w:r>
      <w:r w:rsidRPr="00E84C93">
        <w:rPr>
          <w:lang w:val="sr-Cyrl-CS" w:bidi="en-US"/>
        </w:rPr>
        <w:t xml:space="preserve"> је у почетној фази. Управа за пољопривредно земљиште потписала је уговоре који се односе на израду истраживачких студија од значаја за Републику Србију, које ће се спроводити на територији Републике Србије у области заштите пољопривредног земљишта, истраживања утицаја штетних и опасних материја на пољопривредном земљишту и усева који се гаје на пољопривредном земљишту. Потписују се уговори са релевантним институтима и научним институцијама, а резултати ових истраживања ће се користити као референтни подаци за израду релевантних прописа. Називи студија и истраживачких радова су следећи:</w:t>
      </w:r>
    </w:p>
    <w:p w14:paraId="7AEC6D34" w14:textId="1D40B119" w:rsidR="006D5C01" w:rsidRPr="00E84C93" w:rsidRDefault="001100AB" w:rsidP="00A56549">
      <w:pPr>
        <w:pStyle w:val="ListParagraph"/>
        <w:numPr>
          <w:ilvl w:val="0"/>
          <w:numId w:val="35"/>
        </w:numPr>
        <w:spacing w:after="0"/>
        <w:ind w:left="0" w:firstLine="720"/>
        <w:jc w:val="both"/>
        <w:rPr>
          <w:lang w:val="sr-Cyrl-CS" w:bidi="en-US"/>
        </w:rPr>
      </w:pPr>
      <w:r w:rsidRPr="00E84C93">
        <w:rPr>
          <w:lang w:val="sr-Cyrl-CS" w:bidi="en-US"/>
        </w:rPr>
        <w:t>г</w:t>
      </w:r>
      <w:r w:rsidR="006D5C01" w:rsidRPr="00E84C93">
        <w:rPr>
          <w:lang w:val="sr-Cyrl-CS" w:bidi="en-US"/>
        </w:rPr>
        <w:t>лобална процена толеранције пољопривредних и пољопривредних култура на опасне и штетне материје у пољопривредном земљишту</w:t>
      </w:r>
      <w:r w:rsidR="00A56549" w:rsidRPr="00E84C93">
        <w:rPr>
          <w:lang w:val="sr-Cyrl-CS" w:bidi="en-US"/>
        </w:rPr>
        <w:t>;</w:t>
      </w:r>
    </w:p>
    <w:p w14:paraId="5B26569B" w14:textId="125B3D8E" w:rsidR="006D5C01" w:rsidRPr="00E84C93" w:rsidRDefault="001100AB" w:rsidP="00A56549">
      <w:pPr>
        <w:pStyle w:val="ListParagraph"/>
        <w:numPr>
          <w:ilvl w:val="0"/>
          <w:numId w:val="35"/>
        </w:numPr>
        <w:spacing w:after="0"/>
        <w:ind w:left="0" w:firstLine="720"/>
        <w:jc w:val="both"/>
        <w:rPr>
          <w:lang w:val="sr-Cyrl-CS" w:bidi="en-US"/>
        </w:rPr>
      </w:pPr>
      <w:r w:rsidRPr="00E84C93">
        <w:rPr>
          <w:lang w:val="sr-Cyrl-CS" w:bidi="en-US"/>
        </w:rPr>
        <w:t>о</w:t>
      </w:r>
      <w:r w:rsidR="006D5C01" w:rsidRPr="00E84C93">
        <w:rPr>
          <w:lang w:val="sr-Cyrl-CS" w:bidi="en-US"/>
        </w:rPr>
        <w:t>дређивање толеранције различитих врста воћака на анализиране садржаје опасних и штетних материја у пољопривредном земљишту и води за наводњавање</w:t>
      </w:r>
      <w:r w:rsidR="00A56549" w:rsidRPr="00E84C93">
        <w:rPr>
          <w:lang w:val="sr-Cyrl-CS" w:bidi="en-US"/>
        </w:rPr>
        <w:t>;</w:t>
      </w:r>
    </w:p>
    <w:p w14:paraId="68D56CAC" w14:textId="66F561A3" w:rsidR="006D5C01" w:rsidRPr="00E84C93" w:rsidRDefault="001100AB" w:rsidP="00A56549">
      <w:pPr>
        <w:pStyle w:val="ListParagraph"/>
        <w:numPr>
          <w:ilvl w:val="0"/>
          <w:numId w:val="35"/>
        </w:numPr>
        <w:spacing w:after="0"/>
        <w:ind w:left="0" w:firstLine="720"/>
        <w:jc w:val="both"/>
        <w:rPr>
          <w:lang w:val="sr-Cyrl-CS" w:bidi="en-US"/>
        </w:rPr>
      </w:pPr>
      <w:r w:rsidRPr="00E84C93">
        <w:rPr>
          <w:lang w:val="sr-Cyrl-CS" w:bidi="en-US"/>
        </w:rPr>
        <w:t>к</w:t>
      </w:r>
      <w:r w:rsidR="006D5C01" w:rsidRPr="00E84C93">
        <w:rPr>
          <w:lang w:val="sr-Cyrl-CS" w:bidi="en-US"/>
        </w:rPr>
        <w:t>онтрола ђубрења и детекција штетних и опасних метала у пољопривредном земљишту - ораницама и травњацима -</w:t>
      </w:r>
      <w:r w:rsidR="00E52D26" w:rsidRPr="00E84C93">
        <w:rPr>
          <w:lang w:val="sr-Cyrl-CS" w:bidi="en-US"/>
        </w:rPr>
        <w:t xml:space="preserve"> </w:t>
      </w:r>
      <w:r w:rsidR="006D5C01" w:rsidRPr="00E84C93">
        <w:rPr>
          <w:lang w:val="sr-Cyrl-CS" w:bidi="en-US"/>
        </w:rPr>
        <w:t>у источним деловима Републике Србије за одрживо коришћење земљишних ресурса</w:t>
      </w:r>
      <w:r w:rsidR="00A56549" w:rsidRPr="00E84C93">
        <w:rPr>
          <w:lang w:val="sr-Cyrl-CS" w:bidi="en-US"/>
        </w:rPr>
        <w:t>;</w:t>
      </w:r>
    </w:p>
    <w:p w14:paraId="5040224F" w14:textId="547B946D" w:rsidR="006D5C01" w:rsidRPr="00E84C93" w:rsidRDefault="001100AB" w:rsidP="00A56549">
      <w:pPr>
        <w:pStyle w:val="ListParagraph"/>
        <w:numPr>
          <w:ilvl w:val="0"/>
          <w:numId w:val="35"/>
        </w:numPr>
        <w:spacing w:after="0"/>
        <w:ind w:left="0" w:firstLine="720"/>
        <w:jc w:val="both"/>
        <w:rPr>
          <w:lang w:val="sr-Cyrl-CS" w:bidi="en-US"/>
        </w:rPr>
      </w:pPr>
      <w:r w:rsidRPr="00E84C93">
        <w:rPr>
          <w:lang w:val="sr-Cyrl-CS" w:bidi="en-US"/>
        </w:rPr>
        <w:t>с</w:t>
      </w:r>
      <w:r w:rsidR="006D5C01" w:rsidRPr="00E84C93">
        <w:rPr>
          <w:lang w:val="sr-Cyrl-CS" w:bidi="en-US"/>
        </w:rPr>
        <w:t>адржај опасних и штетних материја у пољопривредном земљишту и гајеним културама у Врањском басену</w:t>
      </w:r>
      <w:r w:rsidR="0098056E" w:rsidRPr="00E84C93">
        <w:rPr>
          <w:lang w:val="sr-Cyrl-CS" w:bidi="en-US"/>
        </w:rPr>
        <w:t>.</w:t>
      </w:r>
    </w:p>
    <w:p w14:paraId="47E842CA" w14:textId="54EB5CE7" w:rsidR="00F17B70" w:rsidRPr="00E84C93" w:rsidRDefault="00441374" w:rsidP="00E52D26">
      <w:pPr>
        <w:spacing w:after="0"/>
        <w:ind w:firstLine="720"/>
        <w:jc w:val="both"/>
        <w:rPr>
          <w:szCs w:val="24"/>
          <w:lang w:val="sr-Cyrl-CS" w:bidi="en-US"/>
        </w:rPr>
      </w:pPr>
      <w:r w:rsidRPr="00E84C93">
        <w:rPr>
          <w:lang w:val="sr-Cyrl-CS" w:bidi="en-US"/>
        </w:rPr>
        <w:lastRenderedPageBreak/>
        <w:t xml:space="preserve">Такође ће се користити </w:t>
      </w:r>
      <w:r w:rsidR="00250908" w:rsidRPr="00E84C93">
        <w:rPr>
          <w:lang w:val="sr-Cyrl-CS" w:bidi="en-US"/>
        </w:rPr>
        <w:t xml:space="preserve">постојеће </w:t>
      </w:r>
      <w:r w:rsidRPr="00E84C93">
        <w:rPr>
          <w:lang w:val="sr-Cyrl-CS" w:bidi="en-US"/>
        </w:rPr>
        <w:t xml:space="preserve">базе података </w:t>
      </w:r>
      <w:r w:rsidR="00250908" w:rsidRPr="00E84C93">
        <w:rPr>
          <w:lang w:val="sr-Cyrl-CS" w:bidi="en-US"/>
        </w:rPr>
        <w:t>осталих</w:t>
      </w:r>
      <w:r w:rsidRPr="00E84C93">
        <w:rPr>
          <w:lang w:val="sr-Cyrl-CS" w:bidi="en-US"/>
        </w:rPr>
        <w:t xml:space="preserve"> научних институција </w:t>
      </w:r>
      <w:r w:rsidR="00250908" w:rsidRPr="00E84C93">
        <w:rPr>
          <w:lang w:val="sr-Cyrl-CS" w:bidi="en-US"/>
        </w:rPr>
        <w:t>чији резултати могу бити од значаја.</w:t>
      </w:r>
      <w:r w:rsidRPr="00E84C93">
        <w:rPr>
          <w:lang w:val="sr-Cyrl-CS" w:bidi="en-US"/>
        </w:rPr>
        <w:t xml:space="preserve"> </w:t>
      </w:r>
      <w:r w:rsidR="00250908" w:rsidRPr="00E84C93">
        <w:rPr>
          <w:lang w:val="sr-Cyrl-CS" w:bidi="en-US"/>
        </w:rPr>
        <w:t>Потребно је урадити анализу у</w:t>
      </w:r>
      <w:r w:rsidR="00250908" w:rsidRPr="00E84C93">
        <w:rPr>
          <w:rFonts w:cs="Times New Roman"/>
          <w:szCs w:val="24"/>
          <w:lang w:val="sr-Cyrl-CS"/>
        </w:rPr>
        <w:t>тицаја присутних супстанци у муљу (нутријената и загађујућих супстанци) на квалитет земљишта и на квалитет површинских и подземних вода и</w:t>
      </w:r>
      <w:r w:rsidR="006F413C" w:rsidRPr="00E84C93">
        <w:rPr>
          <w:rFonts w:cs="Times New Roman"/>
          <w:szCs w:val="24"/>
          <w:lang w:val="sr-Cyrl-CS"/>
        </w:rPr>
        <w:t xml:space="preserve"> сагледати могућности коришћења муља и</w:t>
      </w:r>
      <w:r w:rsidR="00250908" w:rsidRPr="00E84C93">
        <w:rPr>
          <w:rFonts w:cs="Times New Roman"/>
          <w:szCs w:val="24"/>
          <w:lang w:val="sr-Cyrl-CS"/>
        </w:rPr>
        <w:t xml:space="preserve"> ограничења у примени. </w:t>
      </w:r>
    </w:p>
    <w:p w14:paraId="040D4C3B" w14:textId="022C8E3C" w:rsidR="008E7729" w:rsidRPr="00E84C93" w:rsidRDefault="00F15444" w:rsidP="00250908">
      <w:pPr>
        <w:spacing w:after="0"/>
        <w:ind w:firstLine="720"/>
        <w:jc w:val="both"/>
        <w:rPr>
          <w:rFonts w:cs="Times New Roman"/>
          <w:szCs w:val="24"/>
          <w:lang w:val="sr-Cyrl-CS" w:bidi="en-US"/>
        </w:rPr>
      </w:pPr>
      <w:r w:rsidRPr="00E84C93">
        <w:rPr>
          <w:szCs w:val="24"/>
          <w:lang w:val="sr-Cyrl-CS" w:bidi="en-US"/>
        </w:rPr>
        <w:t>Једна од опција за д</w:t>
      </w:r>
      <w:r w:rsidR="004364F1" w:rsidRPr="00E84C93">
        <w:rPr>
          <w:szCs w:val="24"/>
          <w:lang w:val="sr-Cyrl-CS" w:bidi="en-US"/>
        </w:rPr>
        <w:t>угорочно</w:t>
      </w:r>
      <w:r w:rsidR="00E22E29" w:rsidRPr="00E84C93">
        <w:rPr>
          <w:rFonts w:cs="Times New Roman"/>
          <w:szCs w:val="24"/>
          <w:lang w:val="sr-Cyrl-CS" w:bidi="en-US"/>
        </w:rPr>
        <w:t xml:space="preserve"> </w:t>
      </w:r>
      <w:r w:rsidRPr="00E84C93">
        <w:rPr>
          <w:rFonts w:cs="Times New Roman"/>
          <w:szCs w:val="24"/>
          <w:lang w:val="sr-Cyrl-CS" w:bidi="en-US"/>
        </w:rPr>
        <w:t>решење управљања муљем је</w:t>
      </w:r>
      <w:r w:rsidR="005B1C2D" w:rsidRPr="00E84C93">
        <w:rPr>
          <w:rFonts w:cs="Times New Roman"/>
          <w:szCs w:val="24"/>
          <w:lang w:val="sr-Cyrl-CS" w:bidi="en-US"/>
        </w:rPr>
        <w:t xml:space="preserve"> </w:t>
      </w:r>
      <w:r w:rsidR="00D010D1" w:rsidRPr="00E84C93">
        <w:rPr>
          <w:rFonts w:cs="Times New Roman"/>
          <w:szCs w:val="24"/>
          <w:lang w:val="sr-Cyrl-CS" w:bidi="en-US"/>
        </w:rPr>
        <w:t>моно</w:t>
      </w:r>
      <w:r w:rsidR="00454447" w:rsidRPr="00E84C93">
        <w:rPr>
          <w:rFonts w:cs="Times New Roman"/>
          <w:szCs w:val="24"/>
          <w:lang w:val="sr-Cyrl-CS" w:bidi="en-US"/>
        </w:rPr>
        <w:t>инсинерациј</w:t>
      </w:r>
      <w:r w:rsidRPr="00E84C93">
        <w:rPr>
          <w:rFonts w:cs="Times New Roman"/>
          <w:szCs w:val="24"/>
          <w:lang w:val="sr-Cyrl-CS" w:bidi="en-US"/>
        </w:rPr>
        <w:t xml:space="preserve">а муља </w:t>
      </w:r>
      <w:r w:rsidR="005B1C2D" w:rsidRPr="00E84C93">
        <w:rPr>
          <w:rFonts w:cs="Times New Roman"/>
          <w:szCs w:val="24"/>
          <w:lang w:val="sr-Cyrl-CS" w:bidi="en-US"/>
        </w:rPr>
        <w:t xml:space="preserve">у комбинацији са </w:t>
      </w:r>
      <w:r w:rsidR="00D010D1" w:rsidRPr="00E84C93">
        <w:rPr>
          <w:rFonts w:cs="Times New Roman"/>
          <w:szCs w:val="24"/>
          <w:lang w:val="sr-Cyrl-CS" w:bidi="en-US"/>
        </w:rPr>
        <w:t>моно</w:t>
      </w:r>
      <w:r w:rsidR="005B1C2D" w:rsidRPr="00E84C93">
        <w:rPr>
          <w:rFonts w:cs="Times New Roman"/>
          <w:szCs w:val="24"/>
          <w:lang w:val="sr-Cyrl-CS" w:bidi="en-US"/>
        </w:rPr>
        <w:t>депонијама</w:t>
      </w:r>
      <w:r w:rsidR="00C81136" w:rsidRPr="00E84C93">
        <w:rPr>
          <w:rFonts w:cs="Times New Roman"/>
          <w:szCs w:val="24"/>
          <w:lang w:val="sr-Cyrl-CS" w:bidi="en-US"/>
        </w:rPr>
        <w:t xml:space="preserve"> (</w:t>
      </w:r>
      <w:r w:rsidR="00C81136" w:rsidRPr="00E84C93">
        <w:rPr>
          <w:rFonts w:cs="Times New Roman"/>
          <w:lang w:val="sr-Cyrl-CS" w:bidi="en-US"/>
        </w:rPr>
        <w:t>монодепоније су депоније намењене за одлагање једне врсте отпада)</w:t>
      </w:r>
      <w:r w:rsidR="005B1C2D" w:rsidRPr="00E84C93">
        <w:rPr>
          <w:rFonts w:cs="Times New Roman"/>
          <w:szCs w:val="24"/>
          <w:lang w:val="sr-Cyrl-CS" w:bidi="en-US"/>
        </w:rPr>
        <w:t xml:space="preserve">. </w:t>
      </w:r>
      <w:r w:rsidR="008E7729" w:rsidRPr="00E84C93">
        <w:rPr>
          <w:lang w:val="sr-Cyrl-CS" w:bidi="en-US"/>
        </w:rPr>
        <w:t>З</w:t>
      </w:r>
      <w:r w:rsidR="008E7729" w:rsidRPr="00E84C93">
        <w:rPr>
          <w:rFonts w:cs="Times New Roman"/>
          <w:szCs w:val="24"/>
          <w:lang w:val="sr-Cyrl-CS" w:bidi="en-US"/>
        </w:rPr>
        <w:t xml:space="preserve">аснива се на успостављању четири Регионална центра за управљање муљем као дугорочног решења за управљање муљем: </w:t>
      </w:r>
      <w:r w:rsidR="00A03B01" w:rsidRPr="00E84C93">
        <w:rPr>
          <w:rFonts w:cs="Times New Roman"/>
          <w:szCs w:val="24"/>
          <w:lang w:val="sr-Cyrl-CS" w:bidi="en-US"/>
        </w:rPr>
        <w:t xml:space="preserve">АП </w:t>
      </w:r>
      <w:r w:rsidR="008E7729" w:rsidRPr="00E84C93">
        <w:rPr>
          <w:rFonts w:cs="Times New Roman"/>
          <w:szCs w:val="24"/>
          <w:lang w:val="sr-Cyrl-CS" w:bidi="en-US"/>
        </w:rPr>
        <w:t xml:space="preserve">Војводина, подручје града Београда, Шумадија и </w:t>
      </w:r>
      <w:r w:rsidR="00FB2DC5" w:rsidRPr="00E84C93">
        <w:rPr>
          <w:rFonts w:cs="Times New Roman"/>
          <w:szCs w:val="24"/>
          <w:lang w:val="sr-Cyrl-CS" w:bidi="en-US"/>
        </w:rPr>
        <w:t>З</w:t>
      </w:r>
      <w:r w:rsidR="008E7729" w:rsidRPr="00E84C93">
        <w:rPr>
          <w:rFonts w:cs="Times New Roman"/>
          <w:szCs w:val="24"/>
          <w:lang w:val="sr-Cyrl-CS" w:bidi="en-US"/>
        </w:rPr>
        <w:t xml:space="preserve">ападна Србија и Јужна и </w:t>
      </w:r>
      <w:r w:rsidR="00FB2DC5" w:rsidRPr="00E84C93">
        <w:rPr>
          <w:rFonts w:cs="Times New Roman"/>
          <w:szCs w:val="24"/>
          <w:lang w:val="sr-Cyrl-CS" w:bidi="en-US"/>
        </w:rPr>
        <w:t>И</w:t>
      </w:r>
      <w:r w:rsidR="008E7729" w:rsidRPr="00E84C93">
        <w:rPr>
          <w:rFonts w:cs="Times New Roman"/>
          <w:szCs w:val="24"/>
          <w:lang w:val="sr-Cyrl-CS" w:bidi="en-US"/>
        </w:rPr>
        <w:t xml:space="preserve">сточна Србија. Сваки регион ће претежно производити сличне количине муља. </w:t>
      </w:r>
      <w:r w:rsidR="00BA199A" w:rsidRPr="00E84C93">
        <w:rPr>
          <w:rFonts w:cs="Times New Roman"/>
          <w:szCs w:val="24"/>
          <w:lang w:val="sr-Cyrl-CS" w:bidi="en-US"/>
        </w:rPr>
        <w:t xml:space="preserve">У складу са </w:t>
      </w:r>
      <w:r w:rsidR="008E7729" w:rsidRPr="00E84C93">
        <w:rPr>
          <w:rFonts w:cs="Times New Roman"/>
          <w:szCs w:val="24"/>
          <w:lang w:val="sr-Cyrl-CS" w:bidi="en-US"/>
        </w:rPr>
        <w:t xml:space="preserve"> </w:t>
      </w:r>
      <w:r w:rsidRPr="00E84C93">
        <w:rPr>
          <w:rFonts w:cs="Times New Roman"/>
          <w:szCs w:val="24"/>
          <w:lang w:val="sr-Cyrl-CS" w:bidi="en-US"/>
        </w:rPr>
        <w:t>предложен</w:t>
      </w:r>
      <w:r w:rsidR="00BA199A" w:rsidRPr="00E84C93">
        <w:rPr>
          <w:rFonts w:cs="Times New Roman"/>
          <w:szCs w:val="24"/>
          <w:lang w:val="sr-Cyrl-CS" w:bidi="en-US"/>
        </w:rPr>
        <w:t xml:space="preserve">им </w:t>
      </w:r>
      <w:r w:rsidR="008E7729" w:rsidRPr="00E84C93">
        <w:rPr>
          <w:rFonts w:cs="Times New Roman"/>
          <w:szCs w:val="24"/>
          <w:lang w:val="sr-Cyrl-CS" w:bidi="en-US"/>
        </w:rPr>
        <w:t>локациј</w:t>
      </w:r>
      <w:r w:rsidR="00BA199A" w:rsidRPr="00E84C93">
        <w:rPr>
          <w:rFonts w:cs="Times New Roman"/>
          <w:szCs w:val="24"/>
          <w:lang w:val="sr-Cyrl-CS" w:bidi="en-US"/>
        </w:rPr>
        <w:t>ама</w:t>
      </w:r>
      <w:r w:rsidR="008E7729" w:rsidRPr="00E84C93">
        <w:rPr>
          <w:rFonts w:cs="Times New Roman"/>
          <w:szCs w:val="24"/>
          <w:lang w:val="sr-Cyrl-CS" w:bidi="en-US"/>
        </w:rPr>
        <w:t xml:space="preserve"> свих постројења за пречишћавање отпадних вода</w:t>
      </w:r>
      <w:r w:rsidR="00BA199A" w:rsidRPr="00E84C93">
        <w:rPr>
          <w:rFonts w:cs="Times New Roman"/>
          <w:szCs w:val="24"/>
          <w:lang w:val="sr-Cyrl-CS" w:bidi="en-US"/>
        </w:rPr>
        <w:t xml:space="preserve"> по регионима</w:t>
      </w:r>
      <w:r w:rsidR="008E7729" w:rsidRPr="00E84C93">
        <w:rPr>
          <w:rFonts w:cs="Times New Roman"/>
          <w:szCs w:val="24"/>
          <w:lang w:val="sr-Cyrl-CS" w:bidi="en-US"/>
        </w:rPr>
        <w:t xml:space="preserve">, </w:t>
      </w:r>
      <w:r w:rsidR="00BA199A" w:rsidRPr="00E84C93">
        <w:rPr>
          <w:rFonts w:cs="Times New Roman"/>
          <w:szCs w:val="24"/>
          <w:lang w:val="sr-Cyrl-CS" w:bidi="en-US"/>
        </w:rPr>
        <w:t xml:space="preserve">према овом решењу, </w:t>
      </w:r>
      <w:r w:rsidR="008E7729" w:rsidRPr="00E84C93">
        <w:rPr>
          <w:rFonts w:cs="Times New Roman"/>
          <w:szCs w:val="24"/>
          <w:lang w:val="sr-Cyrl-CS" w:bidi="en-US"/>
        </w:rPr>
        <w:t>средњ</w:t>
      </w:r>
      <w:r w:rsidR="00BA199A" w:rsidRPr="00E84C93">
        <w:rPr>
          <w:rFonts w:cs="Times New Roman"/>
          <w:szCs w:val="24"/>
          <w:lang w:val="sr-Cyrl-CS" w:bidi="en-US"/>
        </w:rPr>
        <w:t>а</w:t>
      </w:r>
      <w:r w:rsidR="008E7729" w:rsidRPr="00E84C93">
        <w:rPr>
          <w:rFonts w:cs="Times New Roman"/>
          <w:szCs w:val="24"/>
          <w:lang w:val="sr-Cyrl-CS" w:bidi="en-US"/>
        </w:rPr>
        <w:t>/велик</w:t>
      </w:r>
      <w:r w:rsidR="00BA199A" w:rsidRPr="00E84C93">
        <w:rPr>
          <w:rFonts w:cs="Times New Roman"/>
          <w:szCs w:val="24"/>
          <w:lang w:val="sr-Cyrl-CS" w:bidi="en-US"/>
        </w:rPr>
        <w:t>а</w:t>
      </w:r>
      <w:r w:rsidR="008E7729" w:rsidRPr="00E84C93">
        <w:rPr>
          <w:rFonts w:cs="Times New Roman"/>
          <w:szCs w:val="24"/>
          <w:lang w:val="sr-Cyrl-CS" w:bidi="en-US"/>
        </w:rPr>
        <w:t xml:space="preserve"> постројења за пречишћавање отпадних вода би могл</w:t>
      </w:r>
      <w:r w:rsidR="00BA199A" w:rsidRPr="00E84C93">
        <w:rPr>
          <w:rFonts w:cs="Times New Roman"/>
          <w:szCs w:val="24"/>
          <w:lang w:val="sr-Cyrl-CS" w:bidi="en-US"/>
        </w:rPr>
        <w:t>а</w:t>
      </w:r>
      <w:r w:rsidR="008E7729" w:rsidRPr="00E84C93">
        <w:rPr>
          <w:rFonts w:cs="Times New Roman"/>
          <w:szCs w:val="24"/>
          <w:lang w:val="sr-Cyrl-CS" w:bidi="en-US"/>
        </w:rPr>
        <w:t xml:space="preserve"> да добију статус Регионалних центара за управљање муљем и Центара за третман муља у окрузима</w:t>
      </w:r>
      <w:r w:rsidR="00BA199A" w:rsidRPr="00E84C93">
        <w:rPr>
          <w:rFonts w:cs="Times New Roman"/>
          <w:szCs w:val="24"/>
          <w:lang w:val="sr-Cyrl-CS" w:bidi="en-US"/>
        </w:rPr>
        <w:t>, У оквиру овог решења, предло</w:t>
      </w:r>
      <w:r w:rsidR="00601707" w:rsidRPr="00E84C93">
        <w:rPr>
          <w:rFonts w:cs="Times New Roman"/>
          <w:szCs w:val="24"/>
          <w:lang w:val="sr-Cyrl-CS" w:bidi="en-US"/>
        </w:rPr>
        <w:t>ж</w:t>
      </w:r>
      <w:r w:rsidR="00BA199A" w:rsidRPr="00E84C93">
        <w:rPr>
          <w:rFonts w:cs="Times New Roman"/>
          <w:szCs w:val="24"/>
          <w:lang w:val="sr-Cyrl-CS" w:bidi="en-US"/>
        </w:rPr>
        <w:t>ене су</w:t>
      </w:r>
      <w:r w:rsidR="008E7729" w:rsidRPr="00E84C93">
        <w:rPr>
          <w:rFonts w:cs="Times New Roman"/>
          <w:szCs w:val="24"/>
          <w:lang w:val="sr-Cyrl-CS" w:bidi="en-US"/>
        </w:rPr>
        <w:t xml:space="preserve"> и транспортне везе између центара. Након имплементације дугорочног решења (у овом случају постројење за </w:t>
      </w:r>
      <w:r w:rsidR="00D010D1" w:rsidRPr="00E84C93">
        <w:rPr>
          <w:rFonts w:cs="Times New Roman"/>
          <w:szCs w:val="24"/>
          <w:lang w:val="sr-Cyrl-CS" w:bidi="en-US"/>
        </w:rPr>
        <w:t>моно</w:t>
      </w:r>
      <w:r w:rsidR="00454447" w:rsidRPr="00E84C93">
        <w:rPr>
          <w:rFonts w:cs="Times New Roman"/>
          <w:szCs w:val="24"/>
          <w:lang w:val="sr-Cyrl-CS" w:bidi="en-US"/>
        </w:rPr>
        <w:t xml:space="preserve">инсинерацију </w:t>
      </w:r>
      <w:r w:rsidR="008E7729" w:rsidRPr="00E84C93">
        <w:rPr>
          <w:rFonts w:cs="Times New Roman"/>
          <w:szCs w:val="24"/>
          <w:lang w:val="sr-Cyrl-CS" w:bidi="en-US"/>
        </w:rPr>
        <w:t xml:space="preserve">у комбинацији са </w:t>
      </w:r>
      <w:r w:rsidR="00D010D1" w:rsidRPr="00E84C93">
        <w:rPr>
          <w:rFonts w:cs="Times New Roman"/>
          <w:szCs w:val="24"/>
          <w:lang w:val="sr-Cyrl-CS" w:bidi="en-US"/>
        </w:rPr>
        <w:t>моно</w:t>
      </w:r>
      <w:r w:rsidR="008E7729" w:rsidRPr="00E84C93">
        <w:rPr>
          <w:rFonts w:cs="Times New Roman"/>
          <w:szCs w:val="24"/>
          <w:lang w:val="sr-Cyrl-CS" w:bidi="en-US"/>
        </w:rPr>
        <w:t xml:space="preserve">депонијама), произведене количине муља </w:t>
      </w:r>
      <w:r w:rsidR="00BA199A" w:rsidRPr="00E84C93">
        <w:rPr>
          <w:rFonts w:cs="Times New Roman"/>
          <w:szCs w:val="24"/>
          <w:lang w:val="sr-Cyrl-CS" w:bidi="en-US"/>
        </w:rPr>
        <w:t>у постројењима за пречишћавање отпад</w:t>
      </w:r>
      <w:r w:rsidR="00B01809" w:rsidRPr="00E84C93">
        <w:rPr>
          <w:rFonts w:cs="Times New Roman"/>
          <w:szCs w:val="24"/>
          <w:lang w:val="sr-Cyrl-CS" w:bidi="en-US"/>
        </w:rPr>
        <w:t>н</w:t>
      </w:r>
      <w:r w:rsidR="00BA199A" w:rsidRPr="00E84C93">
        <w:rPr>
          <w:rFonts w:cs="Times New Roman"/>
          <w:szCs w:val="24"/>
          <w:lang w:val="sr-Cyrl-CS" w:bidi="en-US"/>
        </w:rPr>
        <w:t xml:space="preserve">их вода </w:t>
      </w:r>
      <w:r w:rsidRPr="00E84C93">
        <w:rPr>
          <w:rFonts w:cs="Times New Roman"/>
          <w:szCs w:val="24"/>
          <w:lang w:val="sr-Cyrl-CS" w:bidi="en-US"/>
        </w:rPr>
        <w:t>би се</w:t>
      </w:r>
      <w:r w:rsidR="008E7729" w:rsidRPr="00E84C93">
        <w:rPr>
          <w:rFonts w:cs="Times New Roman"/>
          <w:szCs w:val="24"/>
          <w:lang w:val="sr-Cyrl-CS" w:bidi="en-US"/>
        </w:rPr>
        <w:t xml:space="preserve"> превози</w:t>
      </w:r>
      <w:r w:rsidRPr="00E84C93">
        <w:rPr>
          <w:rFonts w:cs="Times New Roman"/>
          <w:szCs w:val="24"/>
          <w:lang w:val="sr-Cyrl-CS" w:bidi="en-US"/>
        </w:rPr>
        <w:t>ле и</w:t>
      </w:r>
      <w:r w:rsidR="008E7729" w:rsidRPr="00E84C93">
        <w:rPr>
          <w:rFonts w:cs="Times New Roman"/>
          <w:szCs w:val="24"/>
          <w:lang w:val="sr-Cyrl-CS" w:bidi="en-US"/>
        </w:rPr>
        <w:t xml:space="preserve"> даље третира</w:t>
      </w:r>
      <w:r w:rsidRPr="00E84C93">
        <w:rPr>
          <w:rFonts w:cs="Times New Roman"/>
          <w:szCs w:val="24"/>
          <w:lang w:val="sr-Cyrl-CS" w:bidi="en-US"/>
        </w:rPr>
        <w:t>ле</w:t>
      </w:r>
      <w:r w:rsidR="008E7729" w:rsidRPr="00E84C93">
        <w:rPr>
          <w:rFonts w:cs="Times New Roman"/>
          <w:szCs w:val="24"/>
          <w:lang w:val="sr-Cyrl-CS" w:bidi="en-US"/>
        </w:rPr>
        <w:t xml:space="preserve"> у додељеном Регионалном центру за управљање муљем.</w:t>
      </w:r>
      <w:r w:rsidR="0041171B" w:rsidRPr="00E84C93">
        <w:rPr>
          <w:rFonts w:cs="Times New Roman"/>
          <w:szCs w:val="24"/>
          <w:lang w:val="sr-Cyrl-CS" w:bidi="en-US"/>
        </w:rPr>
        <w:t xml:space="preserve"> </w:t>
      </w:r>
    </w:p>
    <w:p w14:paraId="0D32262A" w14:textId="5ABA3AE9" w:rsidR="008E7729" w:rsidRPr="00E84C93" w:rsidRDefault="008E7729" w:rsidP="008E7729">
      <w:pPr>
        <w:spacing w:after="0"/>
        <w:ind w:firstLine="720"/>
        <w:jc w:val="both"/>
        <w:rPr>
          <w:rFonts w:cs="Times New Roman"/>
          <w:szCs w:val="24"/>
          <w:lang w:val="sr-Cyrl-CS" w:bidi="en-US"/>
        </w:rPr>
      </w:pPr>
      <w:bookmarkStart w:id="63" w:name="_Hlk93883281"/>
      <w:r w:rsidRPr="00E84C93">
        <w:rPr>
          <w:rFonts w:cs="Times New Roman"/>
          <w:szCs w:val="24"/>
          <w:lang w:val="sr-Cyrl-CS" w:bidi="en-US"/>
        </w:rPr>
        <w:t>Овај стратешки концепт</w:t>
      </w:r>
      <w:r w:rsidR="00F15444" w:rsidRPr="00E84C93">
        <w:rPr>
          <w:rFonts w:cs="Times New Roman"/>
          <w:szCs w:val="24"/>
          <w:lang w:val="sr-Cyrl-CS" w:bidi="en-US"/>
        </w:rPr>
        <w:t xml:space="preserve"> </w:t>
      </w:r>
      <w:r w:rsidRPr="00E84C93">
        <w:rPr>
          <w:rFonts w:cs="Times New Roman"/>
          <w:szCs w:val="24"/>
          <w:lang w:val="sr-Cyrl-CS" w:bidi="en-US"/>
        </w:rPr>
        <w:t>представља ситуацију када с</w:t>
      </w:r>
      <w:r w:rsidR="00963F38" w:rsidRPr="00E84C93">
        <w:rPr>
          <w:rFonts w:cs="Times New Roman"/>
          <w:szCs w:val="24"/>
          <w:lang w:val="sr-Cyrl-CS" w:bidi="en-US"/>
        </w:rPr>
        <w:t>ва</w:t>
      </w:r>
      <w:r w:rsidRPr="00E84C93">
        <w:rPr>
          <w:rFonts w:cs="Times New Roman"/>
          <w:szCs w:val="24"/>
          <w:lang w:val="sr-Cyrl-CS" w:bidi="en-US"/>
        </w:rPr>
        <w:t xml:space="preserve"> постројења за пречишћавање отпадних вода у потпуности </w:t>
      </w:r>
      <w:r w:rsidR="00963F38" w:rsidRPr="00E84C93">
        <w:rPr>
          <w:rFonts w:cs="Times New Roman"/>
          <w:szCs w:val="24"/>
          <w:lang w:val="sr-Cyrl-CS" w:bidi="en-US"/>
        </w:rPr>
        <w:t>буду у функцији</w:t>
      </w:r>
      <w:r w:rsidR="00545B1B" w:rsidRPr="00E84C93">
        <w:rPr>
          <w:rFonts w:cs="Times New Roman"/>
          <w:szCs w:val="24"/>
          <w:lang w:val="sr-Cyrl-CS" w:bidi="en-US"/>
        </w:rPr>
        <w:t>.</w:t>
      </w:r>
      <w:r w:rsidRPr="00E84C93">
        <w:rPr>
          <w:rFonts w:cs="Times New Roman"/>
          <w:szCs w:val="24"/>
          <w:lang w:val="sr-Cyrl-CS" w:bidi="en-US"/>
        </w:rPr>
        <w:t xml:space="preserve"> </w:t>
      </w:r>
    </w:p>
    <w:p w14:paraId="71EB9D1E" w14:textId="11E1FC29" w:rsidR="003D066A" w:rsidRPr="00E84C93" w:rsidRDefault="00764E6C" w:rsidP="006E3481">
      <w:pPr>
        <w:spacing w:after="0"/>
        <w:ind w:firstLine="720"/>
        <w:jc w:val="both"/>
        <w:rPr>
          <w:lang w:val="sr-Cyrl-CS" w:bidi="en-US"/>
        </w:rPr>
      </w:pPr>
      <w:r w:rsidRPr="00E84C93">
        <w:rPr>
          <w:rFonts w:cs="Times New Roman"/>
          <w:szCs w:val="24"/>
          <w:lang w:val="sr-Cyrl-CS" w:bidi="en-US"/>
        </w:rPr>
        <w:t>Р</w:t>
      </w:r>
      <w:r w:rsidRPr="00E84C93">
        <w:rPr>
          <w:lang w:val="sr-Cyrl-CS" w:bidi="en-US"/>
        </w:rPr>
        <w:t xml:space="preserve">ешења </w:t>
      </w:r>
      <w:r w:rsidRPr="00E84C93">
        <w:rPr>
          <w:rFonts w:cs="Times New Roman"/>
          <w:szCs w:val="24"/>
          <w:lang w:val="sr-Cyrl-CS" w:bidi="en-US"/>
        </w:rPr>
        <w:t xml:space="preserve">у краткорочном и/или средњорочном периоду </w:t>
      </w:r>
      <w:r w:rsidRPr="00E84C93">
        <w:rPr>
          <w:lang w:val="sr-Cyrl-CS" w:bidi="en-US"/>
        </w:rPr>
        <w:t xml:space="preserve">до завршетка изградње довољних капацитета за додатни третман муља, монодепонија за муљ и завршетка изградње </w:t>
      </w:r>
      <w:r w:rsidRPr="00E84C93">
        <w:rPr>
          <w:rFonts w:cs="Times New Roman"/>
          <w:szCs w:val="24"/>
          <w:lang w:val="sr-Cyrl-CS" w:bidi="en-US"/>
        </w:rPr>
        <w:t>постројења за моноинсинерацију</w:t>
      </w:r>
      <w:r w:rsidRPr="00E84C93">
        <w:rPr>
          <w:lang w:val="sr-Cyrl-CS" w:bidi="en-US"/>
        </w:rPr>
        <w:t xml:space="preserve"> муља укључују одлагање муља на индустријске депоније и </w:t>
      </w:r>
      <w:r w:rsidR="00145054" w:rsidRPr="00E84C93">
        <w:rPr>
          <w:lang w:val="sr-Cyrl-CS" w:bidi="en-US"/>
        </w:rPr>
        <w:t>рекултивацију</w:t>
      </w:r>
      <w:r w:rsidRPr="00E84C93">
        <w:rPr>
          <w:lang w:val="sr-Cyrl-CS" w:bidi="en-US"/>
        </w:rPr>
        <w:t xml:space="preserve"> девастираних локација, коинсинерација у енергетским објектима</w:t>
      </w:r>
      <w:r w:rsidR="00525A3F" w:rsidRPr="00E84C93">
        <w:rPr>
          <w:lang w:val="sr-Cyrl-CS" w:bidi="en-US"/>
        </w:rPr>
        <w:t>, коришћење осушеног муља за дневно прекривање санитарних депонија мешањем са инертним материјалом у краткорочном периоду</w:t>
      </w:r>
      <w:r w:rsidRPr="00E84C93">
        <w:rPr>
          <w:lang w:val="sr-Cyrl-CS" w:bidi="en-US"/>
        </w:rPr>
        <w:t xml:space="preserve"> као и</w:t>
      </w:r>
      <w:r w:rsidR="00A81D94" w:rsidRPr="00E84C93">
        <w:rPr>
          <w:lang w:val="sr-Cyrl-CS" w:bidi="en-US"/>
        </w:rPr>
        <w:t>, као крајње решење,</w:t>
      </w:r>
      <w:r w:rsidRPr="00E84C93">
        <w:rPr>
          <w:lang w:val="sr-Cyrl-CS" w:bidi="en-US"/>
        </w:rPr>
        <w:t xml:space="preserve"> одлагање на санитарне депоније</w:t>
      </w:r>
      <w:r w:rsidR="00525A3F" w:rsidRPr="00E84C93">
        <w:rPr>
          <w:lang w:val="sr-Cyrl-CS" w:bidi="en-US"/>
        </w:rPr>
        <w:t xml:space="preserve"> у посебним касетама у краткорочном периоду</w:t>
      </w:r>
      <w:r w:rsidRPr="00E84C93">
        <w:rPr>
          <w:lang w:val="sr-Cyrl-CS" w:bidi="en-US"/>
        </w:rPr>
        <w:t>.</w:t>
      </w:r>
    </w:p>
    <w:bookmarkEnd w:id="63"/>
    <w:p w14:paraId="09A63BE2" w14:textId="27FA4916" w:rsidR="00DF3405" w:rsidRPr="00E84C93" w:rsidRDefault="00DF3405" w:rsidP="0002705B">
      <w:pPr>
        <w:spacing w:after="0"/>
        <w:jc w:val="both"/>
        <w:rPr>
          <w:lang w:val="sr-Cyrl-CS"/>
        </w:rPr>
      </w:pPr>
    </w:p>
    <w:p w14:paraId="09483DB8" w14:textId="45D08D9D" w:rsidR="002A0A23" w:rsidRPr="00E84C93" w:rsidRDefault="00254DFE" w:rsidP="000C54C0">
      <w:pPr>
        <w:pStyle w:val="Heading2"/>
        <w:numPr>
          <w:ilvl w:val="1"/>
          <w:numId w:val="8"/>
        </w:numPr>
        <w:spacing w:before="0"/>
        <w:rPr>
          <w:lang w:val="sr-Cyrl-CS"/>
        </w:rPr>
      </w:pPr>
      <w:bookmarkStart w:id="64" w:name="_Toc95129089"/>
      <w:bookmarkStart w:id="65" w:name="_Toc99920903"/>
      <w:r w:rsidRPr="00E84C93">
        <w:rPr>
          <w:lang w:val="sr-Cyrl-CS"/>
        </w:rPr>
        <w:t>П</w:t>
      </w:r>
      <w:r w:rsidR="009400CC" w:rsidRPr="00E84C93">
        <w:rPr>
          <w:lang w:val="sr-Cyrl-CS"/>
        </w:rPr>
        <w:t>ринцип хијерархије и п</w:t>
      </w:r>
      <w:r w:rsidRPr="00E84C93">
        <w:rPr>
          <w:lang w:val="sr-Cyrl-CS"/>
        </w:rPr>
        <w:t>рихватљиви поступци</w:t>
      </w:r>
      <w:r w:rsidR="002A0A23" w:rsidRPr="00E84C93">
        <w:rPr>
          <w:lang w:val="sr-Cyrl-CS"/>
        </w:rPr>
        <w:t xml:space="preserve"> </w:t>
      </w:r>
      <w:r w:rsidR="00CD4177" w:rsidRPr="00E84C93">
        <w:rPr>
          <w:lang w:val="sr-Cyrl-CS"/>
        </w:rPr>
        <w:t>третмана</w:t>
      </w:r>
      <w:r w:rsidR="002A0A23" w:rsidRPr="00E84C93">
        <w:rPr>
          <w:lang w:val="sr-Cyrl-CS"/>
        </w:rPr>
        <w:t xml:space="preserve"> </w:t>
      </w:r>
      <w:bookmarkEnd w:id="64"/>
      <w:r w:rsidR="00CD4177" w:rsidRPr="00E84C93">
        <w:rPr>
          <w:lang w:val="sr-Cyrl-CS"/>
        </w:rPr>
        <w:t>муља</w:t>
      </w:r>
      <w:bookmarkEnd w:id="65"/>
    </w:p>
    <w:p w14:paraId="00DD3F29" w14:textId="77777777" w:rsidR="00702870" w:rsidRPr="00E84C93" w:rsidRDefault="00702870" w:rsidP="00A95D21">
      <w:pPr>
        <w:spacing w:after="0"/>
        <w:rPr>
          <w:lang w:val="sr-Cyrl-CS"/>
        </w:rPr>
      </w:pPr>
    </w:p>
    <w:p w14:paraId="337471DE" w14:textId="3F91C0A3" w:rsidR="002A0A23" w:rsidRPr="00E84C93" w:rsidRDefault="0035560B" w:rsidP="00702870">
      <w:pPr>
        <w:spacing w:after="0"/>
        <w:ind w:firstLine="720"/>
        <w:jc w:val="both"/>
        <w:rPr>
          <w:lang w:val="sr-Cyrl-CS"/>
        </w:rPr>
      </w:pPr>
      <w:r w:rsidRPr="00E84C93">
        <w:rPr>
          <w:lang w:val="sr-Cyrl-CS"/>
        </w:rPr>
        <w:t>К</w:t>
      </w:r>
      <w:r w:rsidR="002A0A23" w:rsidRPr="00E84C93">
        <w:rPr>
          <w:lang w:val="sr-Cyrl-CS"/>
        </w:rPr>
        <w:t>ључни принципи управљања муљем</w:t>
      </w:r>
      <w:r w:rsidR="001472E5" w:rsidRPr="00E84C93">
        <w:rPr>
          <w:lang w:val="sr-Cyrl-CS"/>
        </w:rPr>
        <w:t>,</w:t>
      </w:r>
      <w:r w:rsidR="002A0A23" w:rsidRPr="00E84C93">
        <w:rPr>
          <w:lang w:val="sr-Cyrl-CS"/>
        </w:rPr>
        <w:t xml:space="preserve"> у складу</w:t>
      </w:r>
      <w:r w:rsidRPr="00E84C93">
        <w:rPr>
          <w:lang w:val="sr-Cyrl-CS"/>
        </w:rPr>
        <w:t xml:space="preserve"> </w:t>
      </w:r>
      <w:r w:rsidR="002A0A23" w:rsidRPr="00E84C93">
        <w:rPr>
          <w:lang w:val="sr-Cyrl-CS"/>
        </w:rPr>
        <w:t>са</w:t>
      </w:r>
      <w:r w:rsidRPr="00E84C93">
        <w:rPr>
          <w:lang w:val="sr-Cyrl-CS"/>
        </w:rPr>
        <w:t xml:space="preserve"> принципом </w:t>
      </w:r>
      <w:r w:rsidR="002A0A23" w:rsidRPr="00E84C93">
        <w:rPr>
          <w:lang w:val="sr-Cyrl-CS"/>
        </w:rPr>
        <w:t>хијерархиј</w:t>
      </w:r>
      <w:r w:rsidRPr="00E84C93">
        <w:rPr>
          <w:lang w:val="sr-Cyrl-CS"/>
        </w:rPr>
        <w:t>е у управљању отпадом</w:t>
      </w:r>
      <w:r w:rsidR="002A0A23" w:rsidRPr="00E84C93">
        <w:rPr>
          <w:lang w:val="sr-Cyrl-CS"/>
        </w:rPr>
        <w:t xml:space="preserve"> (</w:t>
      </w:r>
      <w:r w:rsidR="0035032E" w:rsidRPr="00E84C93">
        <w:rPr>
          <w:lang w:val="sr-Cyrl-CS"/>
        </w:rPr>
        <w:t>Оквирна д</w:t>
      </w:r>
      <w:r w:rsidR="002A0A23" w:rsidRPr="00E84C93">
        <w:rPr>
          <w:lang w:val="sr-Cyrl-CS"/>
        </w:rPr>
        <w:t xml:space="preserve">иректива </w:t>
      </w:r>
      <w:r w:rsidR="0035032E" w:rsidRPr="00E84C93">
        <w:rPr>
          <w:lang w:val="sr-Cyrl-CS"/>
        </w:rPr>
        <w:t xml:space="preserve">ЕУ </w:t>
      </w:r>
      <w:r w:rsidR="002A0A23" w:rsidRPr="00E84C93">
        <w:rPr>
          <w:lang w:val="sr-Cyrl-CS"/>
        </w:rPr>
        <w:t>о отпаду 2008/98/EC, члан 4.1</w:t>
      </w:r>
      <w:r w:rsidR="007C2A43" w:rsidRPr="00E84C93">
        <w:rPr>
          <w:lang w:val="sr-Cyrl-CS"/>
        </w:rPr>
        <w:t xml:space="preserve"> и Закон о управљању отпадом, члан 6</w:t>
      </w:r>
      <w:r w:rsidR="002A0A23" w:rsidRPr="00E84C93">
        <w:rPr>
          <w:lang w:val="sr-Cyrl-CS"/>
        </w:rPr>
        <w:t>)</w:t>
      </w:r>
      <w:r w:rsidR="001472E5" w:rsidRPr="00E84C93">
        <w:rPr>
          <w:lang w:val="sr-Cyrl-CS"/>
        </w:rPr>
        <w:t>,</w:t>
      </w:r>
      <w:r w:rsidR="00B93872" w:rsidRPr="00E84C93">
        <w:rPr>
          <w:lang w:val="sr-Cyrl-CS"/>
        </w:rPr>
        <w:t xml:space="preserve"> </w:t>
      </w:r>
      <w:r w:rsidR="00A941EB" w:rsidRPr="00E84C93">
        <w:rPr>
          <w:lang w:val="sr-Cyrl-CS"/>
        </w:rPr>
        <w:t>приказани су у Т</w:t>
      </w:r>
      <w:r w:rsidR="00B93872" w:rsidRPr="00E84C93">
        <w:rPr>
          <w:lang w:val="sr-Cyrl-CS"/>
        </w:rPr>
        <w:t xml:space="preserve">абели </w:t>
      </w:r>
      <w:r w:rsidR="009322FA" w:rsidRPr="00E84C93">
        <w:rPr>
          <w:lang w:val="sr-Cyrl-CS"/>
        </w:rPr>
        <w:t>6</w:t>
      </w:r>
      <w:r w:rsidR="00B93872" w:rsidRPr="00E84C93">
        <w:rPr>
          <w:lang w:val="sr-Cyrl-CS"/>
        </w:rPr>
        <w:t>.1.</w:t>
      </w:r>
      <w:r w:rsidR="002A0A23" w:rsidRPr="00E84C93">
        <w:rPr>
          <w:lang w:val="sr-Cyrl-CS"/>
        </w:rPr>
        <w:t xml:space="preserve"> </w:t>
      </w:r>
    </w:p>
    <w:p w14:paraId="46225E3F" w14:textId="14BF8FBD" w:rsidR="001B734A" w:rsidRPr="00E84C93" w:rsidRDefault="001B734A" w:rsidP="00280669">
      <w:pPr>
        <w:pStyle w:val="Caption"/>
        <w:rPr>
          <w:lang w:val="sr-Cyrl-CS"/>
        </w:rPr>
      </w:pPr>
      <w:bookmarkStart w:id="66" w:name="_Toc87616717"/>
      <w:bookmarkStart w:id="67" w:name="_Toc95128184"/>
    </w:p>
    <w:p w14:paraId="4A8534EC" w14:textId="44387D0E" w:rsidR="002A0A23" w:rsidRPr="00E84C93" w:rsidRDefault="002A0A23" w:rsidP="00280669">
      <w:pPr>
        <w:pStyle w:val="Caption"/>
        <w:rPr>
          <w:lang w:val="sr-Cyrl-CS"/>
        </w:rPr>
      </w:pPr>
      <w:r w:rsidRPr="00E84C93">
        <w:rPr>
          <w:b/>
          <w:lang w:val="sr-Cyrl-CS"/>
        </w:rPr>
        <w:t xml:space="preserve">Табела </w:t>
      </w:r>
      <w:r w:rsidR="00BE348C" w:rsidRPr="00E84C93">
        <w:rPr>
          <w:b/>
          <w:lang w:val="sr-Cyrl-CS"/>
        </w:rPr>
        <w:t>6</w:t>
      </w:r>
      <w:r w:rsidR="00453FF8" w:rsidRPr="00E84C93">
        <w:rPr>
          <w:b/>
          <w:lang w:val="sr-Cyrl-CS"/>
        </w:rPr>
        <w:t>.1.</w:t>
      </w:r>
      <w:r w:rsidRPr="00E84C93">
        <w:rPr>
          <w:lang w:val="sr-Cyrl-CS"/>
        </w:rPr>
        <w:t xml:space="preserve"> </w:t>
      </w:r>
      <w:r w:rsidR="00105756" w:rsidRPr="00E84C93">
        <w:rPr>
          <w:lang w:val="sr-Cyrl-CS"/>
        </w:rPr>
        <w:t>Принцип хијерархије у управљању му</w:t>
      </w:r>
      <w:r w:rsidR="0035032E" w:rsidRPr="00E84C93">
        <w:rPr>
          <w:lang w:val="sr-Cyrl-CS"/>
        </w:rPr>
        <w:t>љ</w:t>
      </w:r>
      <w:r w:rsidR="00105756" w:rsidRPr="00E84C93">
        <w:rPr>
          <w:lang w:val="sr-Cyrl-CS"/>
        </w:rPr>
        <w:t>ем</w:t>
      </w:r>
      <w:bookmarkEnd w:id="66"/>
      <w:bookmarkEnd w:id="67"/>
    </w:p>
    <w:tbl>
      <w:tblPr>
        <w:tblStyle w:val="TableGrid"/>
        <w:tblW w:w="9639" w:type="dxa"/>
        <w:tblInd w:w="108" w:type="dxa"/>
        <w:tblLook w:val="04A0" w:firstRow="1" w:lastRow="0" w:firstColumn="1" w:lastColumn="0" w:noHBand="0" w:noVBand="1"/>
      </w:tblPr>
      <w:tblGrid>
        <w:gridCol w:w="1628"/>
        <w:gridCol w:w="3003"/>
        <w:gridCol w:w="5008"/>
      </w:tblGrid>
      <w:tr w:rsidR="000C2D68" w:rsidRPr="00E84C93" w14:paraId="0D3E5E4C" w14:textId="77777777" w:rsidTr="00B831F7">
        <w:trPr>
          <w:trHeight w:val="368"/>
          <w:tblHeader/>
        </w:trPr>
        <w:tc>
          <w:tcPr>
            <w:tcW w:w="1628" w:type="dxa"/>
            <w:shd w:val="clear" w:color="auto" w:fill="BDD6EE" w:themeFill="accent1" w:themeFillTint="66"/>
          </w:tcPr>
          <w:p w14:paraId="658AF30C" w14:textId="77777777" w:rsidR="000C2D68" w:rsidRPr="00E84C93" w:rsidRDefault="000C2D68" w:rsidP="00B831F7">
            <w:pPr>
              <w:spacing w:after="0"/>
              <w:rPr>
                <w:rFonts w:cs="Times New Roman"/>
                <w:b/>
                <w:lang w:val="sr-Cyrl-CS"/>
              </w:rPr>
            </w:pPr>
            <w:r w:rsidRPr="00E84C93">
              <w:rPr>
                <w:rFonts w:cs="Times New Roman"/>
                <w:b/>
                <w:lang w:val="sr-Cyrl-CS"/>
              </w:rPr>
              <w:t>Дефиниција</w:t>
            </w:r>
          </w:p>
        </w:tc>
        <w:tc>
          <w:tcPr>
            <w:tcW w:w="3003" w:type="dxa"/>
            <w:shd w:val="clear" w:color="auto" w:fill="BDD6EE" w:themeFill="accent1" w:themeFillTint="66"/>
          </w:tcPr>
          <w:p w14:paraId="1E9AEF00" w14:textId="77777777" w:rsidR="000C2D68" w:rsidRPr="00E84C93" w:rsidRDefault="000C2D68" w:rsidP="00B831F7">
            <w:pPr>
              <w:spacing w:after="0"/>
              <w:rPr>
                <w:rFonts w:cs="Times New Roman"/>
                <w:b/>
                <w:lang w:val="sr-Cyrl-CS"/>
              </w:rPr>
            </w:pPr>
            <w:r w:rsidRPr="00E84C93">
              <w:rPr>
                <w:rFonts w:cs="Times New Roman"/>
                <w:b/>
                <w:lang w:val="sr-Cyrl-CS"/>
              </w:rPr>
              <w:t>Сврха</w:t>
            </w:r>
          </w:p>
        </w:tc>
        <w:tc>
          <w:tcPr>
            <w:tcW w:w="5008" w:type="dxa"/>
            <w:shd w:val="clear" w:color="auto" w:fill="BDD6EE" w:themeFill="accent1" w:themeFillTint="66"/>
          </w:tcPr>
          <w:p w14:paraId="38CF8C19" w14:textId="77777777" w:rsidR="000C2D68" w:rsidRPr="00E84C93" w:rsidRDefault="000C2D68" w:rsidP="00B831F7">
            <w:pPr>
              <w:spacing w:after="0"/>
              <w:rPr>
                <w:rFonts w:cs="Times New Roman"/>
                <w:b/>
                <w:lang w:val="sr-Cyrl-CS"/>
              </w:rPr>
            </w:pPr>
            <w:r w:rsidRPr="00E84C93">
              <w:rPr>
                <w:rFonts w:cs="Times New Roman"/>
                <w:b/>
                <w:lang w:val="sr-Cyrl-CS"/>
              </w:rPr>
              <w:t>Начин</w:t>
            </w:r>
          </w:p>
        </w:tc>
      </w:tr>
      <w:tr w:rsidR="005F3922" w:rsidRPr="00E84C93" w14:paraId="731EA5EE" w14:textId="77777777" w:rsidTr="00B831F7">
        <w:tc>
          <w:tcPr>
            <w:tcW w:w="1628" w:type="dxa"/>
            <w:shd w:val="clear" w:color="auto" w:fill="auto"/>
          </w:tcPr>
          <w:p w14:paraId="2CB43A77" w14:textId="33AD0F51" w:rsidR="005F3922" w:rsidRPr="00E84C93" w:rsidRDefault="005F3922" w:rsidP="005F3922">
            <w:pPr>
              <w:spacing w:after="0"/>
              <w:rPr>
                <w:rFonts w:cs="Times New Roman"/>
                <w:lang w:val="sr-Cyrl-CS"/>
              </w:rPr>
            </w:pPr>
            <w:r w:rsidRPr="00E84C93">
              <w:rPr>
                <w:rFonts w:cs="Times New Roman"/>
                <w:lang w:val="sr-Cyrl-CS"/>
              </w:rPr>
              <w:t>Спречавање настајања муља</w:t>
            </w:r>
          </w:p>
        </w:tc>
        <w:tc>
          <w:tcPr>
            <w:tcW w:w="3003" w:type="dxa"/>
            <w:shd w:val="clear" w:color="auto" w:fill="auto"/>
          </w:tcPr>
          <w:p w14:paraId="1933AB31" w14:textId="3008D9BF" w:rsidR="005F3922" w:rsidRPr="00E84C93" w:rsidRDefault="005F3922" w:rsidP="005F3922">
            <w:pPr>
              <w:spacing w:after="0"/>
              <w:rPr>
                <w:rFonts w:cs="Times New Roman"/>
                <w:lang w:val="sr-Cyrl-CS"/>
              </w:rPr>
            </w:pPr>
            <w:r w:rsidRPr="00E84C93">
              <w:rPr>
                <w:rFonts w:cs="Times New Roman"/>
                <w:lang w:val="sr-Cyrl-CS"/>
              </w:rPr>
              <w:t>Смањење количине муља</w:t>
            </w:r>
          </w:p>
        </w:tc>
        <w:tc>
          <w:tcPr>
            <w:tcW w:w="5008" w:type="dxa"/>
            <w:shd w:val="clear" w:color="auto" w:fill="auto"/>
          </w:tcPr>
          <w:p w14:paraId="6E3B46F9" w14:textId="7CA8E1BE" w:rsidR="005F3922" w:rsidRPr="00E84C93" w:rsidRDefault="005F3922" w:rsidP="005F3922">
            <w:pPr>
              <w:spacing w:after="0"/>
              <w:rPr>
                <w:rFonts w:cs="Times New Roman"/>
                <w:lang w:val="sr-Cyrl-CS"/>
              </w:rPr>
            </w:pPr>
            <w:r w:rsidRPr="00E84C93">
              <w:rPr>
                <w:rFonts w:cs="Times New Roman"/>
                <w:lang w:val="sr-Cyrl-CS"/>
              </w:rPr>
              <w:t>Напредни процеси третмана отпадних вода који укључују примену хибридних система са носачима бифилма, ултразвучну или термалну дезинтеграцију муља</w:t>
            </w:r>
            <w:r w:rsidR="00963F38" w:rsidRPr="00E84C93">
              <w:rPr>
                <w:rFonts w:cs="Times New Roman"/>
                <w:lang w:val="sr-Cyrl-CS"/>
              </w:rPr>
              <w:t>.</w:t>
            </w:r>
          </w:p>
        </w:tc>
      </w:tr>
      <w:tr w:rsidR="005F3922" w:rsidRPr="00E84C93" w14:paraId="2915E5CD" w14:textId="77777777" w:rsidTr="00B831F7">
        <w:tc>
          <w:tcPr>
            <w:tcW w:w="1628" w:type="dxa"/>
            <w:shd w:val="clear" w:color="auto" w:fill="auto"/>
          </w:tcPr>
          <w:p w14:paraId="79D095D1" w14:textId="0A05EE4B" w:rsidR="005F3922" w:rsidRPr="00E84C93" w:rsidRDefault="005F3922" w:rsidP="005F3922">
            <w:pPr>
              <w:spacing w:after="0"/>
              <w:rPr>
                <w:rFonts w:cs="Times New Roman"/>
                <w:lang w:val="sr-Cyrl-CS"/>
              </w:rPr>
            </w:pPr>
            <w:r w:rsidRPr="00E84C93">
              <w:rPr>
                <w:rFonts w:cs="Times New Roman"/>
                <w:lang w:val="sr-Cyrl-CS"/>
              </w:rPr>
              <w:t>Припрема за поновну употребу</w:t>
            </w:r>
          </w:p>
        </w:tc>
        <w:tc>
          <w:tcPr>
            <w:tcW w:w="3003" w:type="dxa"/>
            <w:shd w:val="clear" w:color="auto" w:fill="auto"/>
          </w:tcPr>
          <w:p w14:paraId="52106497" w14:textId="5425DE5E" w:rsidR="005F3922" w:rsidRPr="00E84C93" w:rsidRDefault="005F3922" w:rsidP="005F3922">
            <w:pPr>
              <w:spacing w:after="0"/>
              <w:rPr>
                <w:rFonts w:cs="Times New Roman"/>
                <w:lang w:val="sr-Cyrl-CS"/>
              </w:rPr>
            </w:pPr>
            <w:r w:rsidRPr="00E84C93">
              <w:rPr>
                <w:rFonts w:cs="Times New Roman"/>
                <w:lang w:val="sr-Cyrl-CS"/>
              </w:rPr>
              <w:t>Смањење количине и побољшање квалитета муља</w:t>
            </w:r>
          </w:p>
        </w:tc>
        <w:tc>
          <w:tcPr>
            <w:tcW w:w="5008" w:type="dxa"/>
            <w:shd w:val="clear" w:color="auto" w:fill="auto"/>
          </w:tcPr>
          <w:p w14:paraId="1BE5FEC8" w14:textId="77777777" w:rsidR="005F3922" w:rsidRPr="00E84C93" w:rsidRDefault="005F3922" w:rsidP="005F3922">
            <w:pPr>
              <w:spacing w:after="0"/>
              <w:rPr>
                <w:rFonts w:cs="Times New Roman"/>
                <w:lang w:val="sr-Cyrl-CS"/>
              </w:rPr>
            </w:pPr>
            <w:r w:rsidRPr="00E84C93">
              <w:rPr>
                <w:rFonts w:cs="Times New Roman"/>
                <w:lang w:val="sr-Cyrl-CS"/>
              </w:rPr>
              <w:t>Стабилизација и обезводњавање муља, сушење и сагоревање муља (термичка обрада) уз могућност рекуперације фосфора.</w:t>
            </w:r>
          </w:p>
          <w:p w14:paraId="6303EFDD" w14:textId="616C1160" w:rsidR="005F3922" w:rsidRPr="00E84C93" w:rsidRDefault="005F3922" w:rsidP="005F3922">
            <w:pPr>
              <w:spacing w:after="0"/>
              <w:rPr>
                <w:rFonts w:cs="Times New Roman"/>
                <w:lang w:val="sr-Cyrl-CS"/>
              </w:rPr>
            </w:pPr>
            <w:r w:rsidRPr="00E84C93">
              <w:rPr>
                <w:rFonts w:cs="Times New Roman"/>
                <w:lang w:val="sr-Cyrl-CS"/>
              </w:rPr>
              <w:t>За примену на земљиште обезбедити дезинфекцију.</w:t>
            </w:r>
          </w:p>
        </w:tc>
      </w:tr>
      <w:tr w:rsidR="005F3922" w:rsidRPr="00E84C93" w14:paraId="1B848330" w14:textId="77777777" w:rsidTr="00B831F7">
        <w:tc>
          <w:tcPr>
            <w:tcW w:w="1628" w:type="dxa"/>
            <w:shd w:val="clear" w:color="auto" w:fill="auto"/>
          </w:tcPr>
          <w:p w14:paraId="481DAE42" w14:textId="77693FF9" w:rsidR="005F3922" w:rsidRPr="00E84C93" w:rsidRDefault="005F3922" w:rsidP="005F3922">
            <w:pPr>
              <w:spacing w:after="0"/>
              <w:rPr>
                <w:rFonts w:cs="Times New Roman"/>
                <w:lang w:val="sr-Cyrl-CS"/>
              </w:rPr>
            </w:pPr>
            <w:r w:rsidRPr="00E84C93">
              <w:rPr>
                <w:rFonts w:cs="Times New Roman"/>
                <w:lang w:val="sr-Cyrl-CS"/>
              </w:rPr>
              <w:t>Рециклажа</w:t>
            </w:r>
          </w:p>
        </w:tc>
        <w:tc>
          <w:tcPr>
            <w:tcW w:w="3003" w:type="dxa"/>
            <w:shd w:val="clear" w:color="auto" w:fill="auto"/>
          </w:tcPr>
          <w:p w14:paraId="35B2EA13" w14:textId="691F7B66" w:rsidR="005F3922" w:rsidRPr="00E84C93" w:rsidRDefault="005F3922" w:rsidP="005F3922">
            <w:pPr>
              <w:spacing w:after="0"/>
              <w:rPr>
                <w:rFonts w:cs="Times New Roman"/>
                <w:lang w:val="sr-Cyrl-CS"/>
              </w:rPr>
            </w:pPr>
            <w:r w:rsidRPr="00E84C93">
              <w:rPr>
                <w:rFonts w:cs="Times New Roman"/>
                <w:lang w:val="sr-Cyrl-CS"/>
              </w:rPr>
              <w:t>Поврат енергије и нутријената</w:t>
            </w:r>
          </w:p>
        </w:tc>
        <w:tc>
          <w:tcPr>
            <w:tcW w:w="5008" w:type="dxa"/>
            <w:shd w:val="clear" w:color="auto" w:fill="auto"/>
          </w:tcPr>
          <w:p w14:paraId="2BCABB69" w14:textId="4110B0C7" w:rsidR="005F3922" w:rsidRPr="00E84C93" w:rsidRDefault="005F3922" w:rsidP="005F3922">
            <w:pPr>
              <w:spacing w:after="0"/>
              <w:rPr>
                <w:rFonts w:cs="Times New Roman"/>
                <w:lang w:val="sr-Cyrl-CS"/>
              </w:rPr>
            </w:pPr>
            <w:r w:rsidRPr="00E84C93">
              <w:rPr>
                <w:rFonts w:cs="Times New Roman"/>
                <w:lang w:val="sr-Cyrl-CS"/>
              </w:rPr>
              <w:t>Коришћење биогас</w:t>
            </w:r>
            <w:r w:rsidR="007B5812" w:rsidRPr="00E84C93">
              <w:rPr>
                <w:rFonts w:cs="Times New Roman"/>
                <w:lang w:val="sr-Cyrl-CS"/>
              </w:rPr>
              <w:t>а</w:t>
            </w:r>
            <w:r w:rsidRPr="00E84C93">
              <w:rPr>
                <w:rFonts w:cs="Times New Roman"/>
                <w:lang w:val="sr-Cyrl-CS"/>
              </w:rPr>
              <w:t xml:space="preserve"> генерисаног у процесу анаеробне дигестије, опције рекуперације фосфора.</w:t>
            </w:r>
          </w:p>
        </w:tc>
      </w:tr>
      <w:tr w:rsidR="005F3922" w:rsidRPr="00E84C93" w14:paraId="07721394" w14:textId="77777777" w:rsidTr="00B831F7">
        <w:tc>
          <w:tcPr>
            <w:tcW w:w="1628" w:type="dxa"/>
            <w:shd w:val="clear" w:color="auto" w:fill="auto"/>
          </w:tcPr>
          <w:p w14:paraId="45A98C53" w14:textId="4902C4BE" w:rsidR="005F3922" w:rsidRPr="00E84C93" w:rsidRDefault="005F3922" w:rsidP="005F3922">
            <w:pPr>
              <w:spacing w:after="0"/>
              <w:rPr>
                <w:rFonts w:cs="Times New Roman"/>
                <w:lang w:val="sr-Cyrl-CS"/>
              </w:rPr>
            </w:pPr>
            <w:r w:rsidRPr="00E84C93">
              <w:rPr>
                <w:rFonts w:cs="Times New Roman"/>
                <w:lang w:val="sr-Cyrl-CS"/>
              </w:rPr>
              <w:lastRenderedPageBreak/>
              <w:t xml:space="preserve">Енергетско искоришћење </w:t>
            </w:r>
          </w:p>
        </w:tc>
        <w:tc>
          <w:tcPr>
            <w:tcW w:w="3003" w:type="dxa"/>
            <w:shd w:val="clear" w:color="auto" w:fill="auto"/>
          </w:tcPr>
          <w:p w14:paraId="1479155C" w14:textId="2A2C30C5" w:rsidR="005F3922" w:rsidRPr="00E84C93" w:rsidRDefault="005F3922" w:rsidP="005F3922">
            <w:pPr>
              <w:spacing w:after="0"/>
              <w:rPr>
                <w:rFonts w:cs="Times New Roman"/>
                <w:lang w:val="sr-Cyrl-CS"/>
              </w:rPr>
            </w:pPr>
            <w:r w:rsidRPr="00E84C93">
              <w:rPr>
                <w:rFonts w:cs="Times New Roman"/>
                <w:lang w:val="sr-Cyrl-CS"/>
              </w:rPr>
              <w:t>Валоризација биогаса у производ</w:t>
            </w:r>
            <w:r w:rsidR="007B5812" w:rsidRPr="00E84C93">
              <w:rPr>
                <w:rFonts w:cs="Times New Roman"/>
                <w:lang w:val="sr-Cyrl-CS"/>
              </w:rPr>
              <w:t>њ</w:t>
            </w:r>
            <w:r w:rsidRPr="00E84C93">
              <w:rPr>
                <w:rFonts w:cs="Times New Roman"/>
                <w:lang w:val="sr-Cyrl-CS"/>
              </w:rPr>
              <w:t xml:space="preserve">и електричне и </w:t>
            </w:r>
            <w:r w:rsidR="007B5812" w:rsidRPr="00E84C93">
              <w:rPr>
                <w:rFonts w:cs="Times New Roman"/>
                <w:lang w:val="sr-Cyrl-CS"/>
              </w:rPr>
              <w:t>топлотне</w:t>
            </w:r>
            <w:r w:rsidRPr="00E84C93">
              <w:rPr>
                <w:rFonts w:cs="Times New Roman"/>
                <w:lang w:val="sr-Cyrl-CS"/>
              </w:rPr>
              <w:t xml:space="preserve"> енергије, валоризација калоријске вредности муља у енергетским пост</w:t>
            </w:r>
            <w:r w:rsidR="00E84C93">
              <w:rPr>
                <w:rFonts w:cs="Times New Roman"/>
                <w:lang w:val="sr-Cyrl-CS"/>
              </w:rPr>
              <w:t>р</w:t>
            </w:r>
            <w:r w:rsidRPr="00E84C93">
              <w:rPr>
                <w:rFonts w:cs="Times New Roman"/>
                <w:lang w:val="sr-Cyrl-CS"/>
              </w:rPr>
              <w:t xml:space="preserve">ојењима </w:t>
            </w:r>
          </w:p>
        </w:tc>
        <w:tc>
          <w:tcPr>
            <w:tcW w:w="5008" w:type="dxa"/>
            <w:shd w:val="clear" w:color="auto" w:fill="auto"/>
          </w:tcPr>
          <w:p w14:paraId="04352FA9" w14:textId="6CD43976" w:rsidR="005F3922" w:rsidRPr="00E84C93" w:rsidRDefault="005F3922" w:rsidP="005F3922">
            <w:pPr>
              <w:spacing w:after="0"/>
              <w:rPr>
                <w:rFonts w:cs="Times New Roman"/>
                <w:lang w:val="sr-Cyrl-CS"/>
              </w:rPr>
            </w:pPr>
            <w:r w:rsidRPr="00E84C93">
              <w:rPr>
                <w:rFonts w:cs="Times New Roman"/>
                <w:lang w:val="sr-Cyrl-CS"/>
              </w:rPr>
              <w:t>Когенерација, инсинерација</w:t>
            </w:r>
            <w:r w:rsidR="00963F38" w:rsidRPr="00E84C93">
              <w:rPr>
                <w:rFonts w:cs="Times New Roman"/>
                <w:lang w:val="sr-Cyrl-CS"/>
              </w:rPr>
              <w:t>.</w:t>
            </w:r>
          </w:p>
        </w:tc>
      </w:tr>
      <w:tr w:rsidR="000C2D68" w:rsidRPr="00E84C93" w14:paraId="037D7BC4" w14:textId="77777777" w:rsidTr="00B831F7">
        <w:tc>
          <w:tcPr>
            <w:tcW w:w="1628" w:type="dxa"/>
            <w:shd w:val="clear" w:color="auto" w:fill="auto"/>
          </w:tcPr>
          <w:p w14:paraId="3E65DC8C" w14:textId="77777777" w:rsidR="000C2D68" w:rsidRPr="00E84C93" w:rsidRDefault="000C2D68" w:rsidP="00B831F7">
            <w:pPr>
              <w:spacing w:after="0"/>
              <w:rPr>
                <w:rFonts w:cs="Times New Roman"/>
                <w:lang w:val="sr-Cyrl-CS"/>
              </w:rPr>
            </w:pPr>
            <w:r w:rsidRPr="00E84C93">
              <w:rPr>
                <w:lang w:val="sr-Cyrl-CS"/>
              </w:rPr>
              <w:t>Одлагање</w:t>
            </w:r>
          </w:p>
        </w:tc>
        <w:tc>
          <w:tcPr>
            <w:tcW w:w="3003" w:type="dxa"/>
            <w:shd w:val="clear" w:color="auto" w:fill="auto"/>
          </w:tcPr>
          <w:p w14:paraId="64CAC125" w14:textId="5533CD7F" w:rsidR="000C2D68" w:rsidRPr="00E84C93" w:rsidRDefault="000C2D68" w:rsidP="00B831F7">
            <w:pPr>
              <w:spacing w:after="0"/>
              <w:rPr>
                <w:rFonts w:cs="Times New Roman"/>
                <w:lang w:val="sr-Cyrl-CS"/>
              </w:rPr>
            </w:pPr>
            <w:r w:rsidRPr="00E84C93">
              <w:rPr>
                <w:lang w:val="sr-Cyrl-CS"/>
              </w:rPr>
              <w:t>Коначно одлагање остатка муља.</w:t>
            </w:r>
          </w:p>
        </w:tc>
        <w:tc>
          <w:tcPr>
            <w:tcW w:w="5008" w:type="dxa"/>
            <w:shd w:val="clear" w:color="auto" w:fill="auto"/>
          </w:tcPr>
          <w:p w14:paraId="5160A3EC" w14:textId="77777777" w:rsidR="000C2D68" w:rsidRPr="00E84C93" w:rsidRDefault="000C2D68" w:rsidP="00B831F7">
            <w:pPr>
              <w:spacing w:after="0"/>
              <w:rPr>
                <w:rFonts w:cs="Times New Roman"/>
                <w:lang w:val="sr-Cyrl-CS"/>
              </w:rPr>
            </w:pPr>
            <w:r w:rsidRPr="00E84C93">
              <w:rPr>
                <w:lang w:val="sr-Cyrl-CS"/>
              </w:rPr>
              <w:t>Одлагање сувих гранула и пепела на монодепоније како би се омогућило чување вредних састојака у будућности (фосфора).</w:t>
            </w:r>
          </w:p>
        </w:tc>
      </w:tr>
    </w:tbl>
    <w:p w14:paraId="7ED6459F" w14:textId="77777777" w:rsidR="002A0A23" w:rsidRPr="00E84C93" w:rsidRDefault="002A0A23" w:rsidP="002A0A23">
      <w:pPr>
        <w:rPr>
          <w:lang w:val="sr-Cyrl-CS"/>
        </w:rPr>
      </w:pPr>
    </w:p>
    <w:p w14:paraId="11E9CA50" w14:textId="040F2C10" w:rsidR="002A0A23" w:rsidRPr="00E84C93" w:rsidRDefault="002A0A23" w:rsidP="009829B5">
      <w:pPr>
        <w:spacing w:after="0"/>
        <w:ind w:firstLine="720"/>
        <w:rPr>
          <w:lang w:val="sr-Cyrl-CS" w:bidi="en-US"/>
        </w:rPr>
      </w:pPr>
      <w:r w:rsidRPr="00E84C93">
        <w:rPr>
          <w:lang w:val="sr-Cyrl-CS" w:bidi="en-US"/>
        </w:rPr>
        <w:t xml:space="preserve">У </w:t>
      </w:r>
      <w:r w:rsidR="006B25CA" w:rsidRPr="00E84C93">
        <w:rPr>
          <w:lang w:val="sr-Cyrl-CS" w:bidi="en-US"/>
        </w:rPr>
        <w:t>Т</w:t>
      </w:r>
      <w:r w:rsidR="00702870" w:rsidRPr="00E84C93">
        <w:rPr>
          <w:lang w:val="sr-Cyrl-CS" w:bidi="en-US"/>
        </w:rPr>
        <w:t>абели</w:t>
      </w:r>
      <w:r w:rsidRPr="00E84C93">
        <w:rPr>
          <w:lang w:val="sr-Cyrl-CS"/>
        </w:rPr>
        <w:t xml:space="preserve"> </w:t>
      </w:r>
      <w:r w:rsidR="002B01E5" w:rsidRPr="00E84C93">
        <w:rPr>
          <w:lang w:val="sr-Cyrl-CS"/>
        </w:rPr>
        <w:t xml:space="preserve">6.2. </w:t>
      </w:r>
      <w:r w:rsidRPr="00E84C93">
        <w:rPr>
          <w:lang w:val="sr-Cyrl-CS" w:bidi="en-US"/>
        </w:rPr>
        <w:t>сумарно су приказане могућности третмана муља.</w:t>
      </w:r>
    </w:p>
    <w:p w14:paraId="44BE415B" w14:textId="77777777" w:rsidR="00453FF8" w:rsidRPr="00E84C93" w:rsidRDefault="00453FF8" w:rsidP="00280669">
      <w:pPr>
        <w:pStyle w:val="Caption"/>
        <w:rPr>
          <w:lang w:val="sr-Cyrl-CS"/>
        </w:rPr>
        <w:sectPr w:rsidR="00453FF8" w:rsidRPr="00E84C93" w:rsidSect="001B734A">
          <w:pgSz w:w="11906" w:h="16838" w:code="9"/>
          <w:pgMar w:top="1440" w:right="1440" w:bottom="1440" w:left="1440" w:header="720" w:footer="720" w:gutter="0"/>
          <w:cols w:space="720"/>
          <w:docGrid w:linePitch="360"/>
        </w:sectPr>
      </w:pPr>
      <w:bookmarkStart w:id="68" w:name="_Ref90282814"/>
      <w:bookmarkStart w:id="69" w:name="_Toc87616718"/>
      <w:bookmarkStart w:id="70" w:name="_Toc95128185"/>
    </w:p>
    <w:p w14:paraId="51F65683" w14:textId="473DE670" w:rsidR="000C2D68" w:rsidRPr="00E84C93" w:rsidRDefault="000C2D68" w:rsidP="00280669">
      <w:pPr>
        <w:pStyle w:val="Caption"/>
        <w:rPr>
          <w:color w:val="0070C0"/>
          <w:lang w:val="sr-Cyrl-CS"/>
        </w:rPr>
      </w:pPr>
      <w:r w:rsidRPr="00E84C93">
        <w:rPr>
          <w:b/>
          <w:lang w:val="sr-Cyrl-CS"/>
        </w:rPr>
        <w:lastRenderedPageBreak/>
        <w:t>Табела 6.2.</w:t>
      </w:r>
      <w:r w:rsidRPr="00E84C93">
        <w:rPr>
          <w:lang w:val="sr-Cyrl-CS"/>
        </w:rPr>
        <w:t xml:space="preserve"> Могућности за третман муља </w:t>
      </w:r>
    </w:p>
    <w:tbl>
      <w:tblPr>
        <w:tblW w:w="13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1080"/>
        <w:gridCol w:w="3060"/>
        <w:gridCol w:w="3330"/>
        <w:gridCol w:w="2430"/>
        <w:gridCol w:w="2663"/>
      </w:tblGrid>
      <w:tr w:rsidR="000C2D68" w:rsidRPr="00E84C93" w14:paraId="1449F126" w14:textId="77777777" w:rsidTr="00B831F7">
        <w:trPr>
          <w:trHeight w:hRule="exact" w:val="996"/>
          <w:tblHeader/>
        </w:trPr>
        <w:tc>
          <w:tcPr>
            <w:tcW w:w="535" w:type="dxa"/>
            <w:shd w:val="clear" w:color="auto" w:fill="BDD6EE" w:themeFill="accent1" w:themeFillTint="66"/>
            <w:tcMar>
              <w:top w:w="0" w:type="dxa"/>
              <w:left w:w="0" w:type="dxa"/>
              <w:bottom w:w="0" w:type="dxa"/>
              <w:right w:w="0" w:type="dxa"/>
            </w:tcMar>
            <w:vAlign w:val="center"/>
          </w:tcPr>
          <w:p w14:paraId="7261B049" w14:textId="77777777" w:rsidR="000C2D68" w:rsidRPr="00E84C93" w:rsidRDefault="000C2D68" w:rsidP="00B831F7">
            <w:pPr>
              <w:widowControl w:val="0"/>
              <w:spacing w:after="0"/>
              <w:ind w:left="48" w:right="-20"/>
              <w:rPr>
                <w:rFonts w:cs="Times New Roman"/>
                <w:b/>
                <w:w w:val="103"/>
                <w:sz w:val="18"/>
                <w:szCs w:val="18"/>
                <w:lang w:val="sr-Cyrl-CS"/>
              </w:rPr>
            </w:pPr>
            <w:r w:rsidRPr="00E84C93">
              <w:rPr>
                <w:rFonts w:eastAsia="Calibri" w:cs="Times New Roman"/>
                <w:b/>
                <w:spacing w:val="1"/>
                <w:w w:val="103"/>
                <w:sz w:val="18"/>
                <w:szCs w:val="18"/>
                <w:lang w:val="sr-Cyrl-CS"/>
              </w:rPr>
              <w:t>Кат</w:t>
            </w:r>
            <w:r w:rsidRPr="00E84C93">
              <w:rPr>
                <w:rFonts w:eastAsia="Calibri" w:cs="Times New Roman"/>
                <w:b/>
                <w:w w:val="103"/>
                <w:sz w:val="18"/>
                <w:szCs w:val="18"/>
                <w:lang w:val="sr-Cyrl-CS"/>
              </w:rPr>
              <w:t>.</w:t>
            </w:r>
          </w:p>
        </w:tc>
        <w:tc>
          <w:tcPr>
            <w:tcW w:w="1080" w:type="dxa"/>
            <w:shd w:val="clear" w:color="auto" w:fill="BDD6EE" w:themeFill="accent1" w:themeFillTint="66"/>
            <w:tcMar>
              <w:top w:w="0" w:type="dxa"/>
              <w:left w:w="0" w:type="dxa"/>
              <w:bottom w:w="0" w:type="dxa"/>
              <w:right w:w="0" w:type="dxa"/>
            </w:tcMar>
            <w:vAlign w:val="center"/>
          </w:tcPr>
          <w:p w14:paraId="28B4D26A" w14:textId="77777777" w:rsidR="000C2D68" w:rsidRPr="00E84C93" w:rsidRDefault="000C2D68" w:rsidP="00B831F7">
            <w:pPr>
              <w:widowControl w:val="0"/>
              <w:spacing w:after="0"/>
              <w:ind w:left="62" w:right="84"/>
              <w:rPr>
                <w:rFonts w:cs="Times New Roman"/>
                <w:b/>
                <w:w w:val="103"/>
                <w:sz w:val="18"/>
                <w:szCs w:val="18"/>
                <w:lang w:val="sr-Cyrl-CS"/>
              </w:rPr>
            </w:pPr>
            <w:r w:rsidRPr="00E84C93">
              <w:rPr>
                <w:rFonts w:eastAsia="Calibri" w:cs="Times New Roman"/>
                <w:b/>
                <w:spacing w:val="1"/>
                <w:w w:val="103"/>
                <w:sz w:val="18"/>
                <w:szCs w:val="18"/>
                <w:lang w:val="sr-Cyrl-CS"/>
              </w:rPr>
              <w:t>Капацитет (ЕС)</w:t>
            </w:r>
          </w:p>
        </w:tc>
        <w:tc>
          <w:tcPr>
            <w:tcW w:w="3060" w:type="dxa"/>
            <w:shd w:val="clear" w:color="auto" w:fill="BDD6EE" w:themeFill="accent1" w:themeFillTint="66"/>
            <w:tcMar>
              <w:top w:w="0" w:type="dxa"/>
              <w:left w:w="0" w:type="dxa"/>
              <w:bottom w:w="0" w:type="dxa"/>
              <w:right w:w="0" w:type="dxa"/>
            </w:tcMar>
            <w:vAlign w:val="center"/>
          </w:tcPr>
          <w:p w14:paraId="3BF8E395" w14:textId="77777777" w:rsidR="000C2D68" w:rsidRPr="00E84C93" w:rsidRDefault="000C2D68" w:rsidP="00B831F7">
            <w:pPr>
              <w:widowControl w:val="0"/>
              <w:spacing w:after="0"/>
              <w:ind w:left="62" w:right="-20"/>
              <w:rPr>
                <w:rFonts w:cs="Times New Roman"/>
                <w:b/>
                <w:w w:val="103"/>
                <w:sz w:val="18"/>
                <w:szCs w:val="18"/>
                <w:lang w:val="sr-Cyrl-CS"/>
              </w:rPr>
            </w:pPr>
            <w:r w:rsidRPr="00E84C93">
              <w:rPr>
                <w:rFonts w:eastAsia="Calibri" w:cs="Times New Roman"/>
                <w:b/>
                <w:spacing w:val="1"/>
                <w:w w:val="103"/>
                <w:sz w:val="18"/>
                <w:szCs w:val="18"/>
                <w:lang w:val="sr-Cyrl-CS"/>
              </w:rPr>
              <w:t>Дигестија муља</w:t>
            </w:r>
          </w:p>
        </w:tc>
        <w:tc>
          <w:tcPr>
            <w:tcW w:w="3330" w:type="dxa"/>
            <w:shd w:val="clear" w:color="auto" w:fill="BDD6EE" w:themeFill="accent1" w:themeFillTint="66"/>
            <w:tcMar>
              <w:top w:w="0" w:type="dxa"/>
              <w:left w:w="0" w:type="dxa"/>
              <w:bottom w:w="0" w:type="dxa"/>
              <w:right w:w="0" w:type="dxa"/>
            </w:tcMar>
            <w:vAlign w:val="center"/>
          </w:tcPr>
          <w:p w14:paraId="563F9203" w14:textId="3E558011" w:rsidR="000C2D68" w:rsidRPr="00E84C93" w:rsidRDefault="005F3922" w:rsidP="00B831F7">
            <w:pPr>
              <w:widowControl w:val="0"/>
              <w:spacing w:after="0"/>
              <w:ind w:left="62" w:right="-20"/>
              <w:rPr>
                <w:rFonts w:cs="Times New Roman"/>
                <w:b/>
                <w:w w:val="103"/>
                <w:sz w:val="18"/>
                <w:szCs w:val="18"/>
                <w:lang w:val="sr-Cyrl-CS"/>
              </w:rPr>
            </w:pPr>
            <w:r w:rsidRPr="00E84C93">
              <w:rPr>
                <w:rFonts w:eastAsia="Calibri" w:cs="Times New Roman"/>
                <w:b/>
                <w:spacing w:val="1"/>
                <w:w w:val="103"/>
                <w:sz w:val="18"/>
                <w:szCs w:val="18"/>
                <w:lang w:val="sr-Cyrl-CS"/>
              </w:rPr>
              <w:t>Додатни т</w:t>
            </w:r>
            <w:r w:rsidR="000C2D68" w:rsidRPr="00E84C93">
              <w:rPr>
                <w:rFonts w:eastAsia="Calibri" w:cs="Times New Roman"/>
                <w:b/>
                <w:spacing w:val="1"/>
                <w:w w:val="103"/>
                <w:sz w:val="18"/>
                <w:szCs w:val="18"/>
                <w:lang w:val="sr-Cyrl-CS"/>
              </w:rPr>
              <w:t>ретман муља</w:t>
            </w:r>
          </w:p>
        </w:tc>
        <w:tc>
          <w:tcPr>
            <w:tcW w:w="2430" w:type="dxa"/>
            <w:shd w:val="clear" w:color="auto" w:fill="BDD6EE" w:themeFill="accent1" w:themeFillTint="66"/>
            <w:tcMar>
              <w:top w:w="0" w:type="dxa"/>
              <w:left w:w="0" w:type="dxa"/>
              <w:bottom w:w="0" w:type="dxa"/>
              <w:right w:w="0" w:type="dxa"/>
            </w:tcMar>
            <w:vAlign w:val="center"/>
          </w:tcPr>
          <w:p w14:paraId="5FD1507C" w14:textId="77777777" w:rsidR="000C2D68" w:rsidRPr="00E84C93" w:rsidRDefault="000C2D68" w:rsidP="00B831F7">
            <w:pPr>
              <w:widowControl w:val="0"/>
              <w:spacing w:after="0"/>
              <w:ind w:left="62" w:right="215"/>
              <w:rPr>
                <w:rFonts w:cs="Times New Roman"/>
                <w:b/>
                <w:w w:val="103"/>
                <w:sz w:val="18"/>
                <w:szCs w:val="18"/>
                <w:lang w:val="sr-Cyrl-CS"/>
              </w:rPr>
            </w:pPr>
            <w:r w:rsidRPr="00E84C93">
              <w:rPr>
                <w:rFonts w:eastAsia="Calibri" w:cs="Times New Roman"/>
                <w:b/>
                <w:spacing w:val="1"/>
                <w:w w:val="103"/>
                <w:sz w:val="18"/>
                <w:szCs w:val="18"/>
                <w:lang w:val="sr-Cyrl-CS"/>
              </w:rPr>
              <w:t xml:space="preserve">Одлагање у Центре за третман муља/Регионалне центре за управљање муљем </w:t>
            </w:r>
          </w:p>
        </w:tc>
        <w:tc>
          <w:tcPr>
            <w:tcW w:w="2663" w:type="dxa"/>
            <w:shd w:val="clear" w:color="auto" w:fill="BDD6EE" w:themeFill="accent1" w:themeFillTint="66"/>
            <w:tcMar>
              <w:top w:w="0" w:type="dxa"/>
              <w:left w:w="0" w:type="dxa"/>
              <w:bottom w:w="0" w:type="dxa"/>
              <w:right w:w="0" w:type="dxa"/>
            </w:tcMar>
            <w:vAlign w:val="center"/>
          </w:tcPr>
          <w:p w14:paraId="7C098540" w14:textId="77777777" w:rsidR="000C2D68" w:rsidRPr="00E84C93" w:rsidRDefault="000C2D68" w:rsidP="00B831F7">
            <w:pPr>
              <w:widowControl w:val="0"/>
              <w:spacing w:after="0"/>
              <w:ind w:left="62" w:right="-20"/>
              <w:rPr>
                <w:rFonts w:cs="Times New Roman"/>
                <w:b/>
                <w:w w:val="103"/>
                <w:sz w:val="18"/>
                <w:szCs w:val="18"/>
                <w:lang w:val="sr-Cyrl-CS"/>
              </w:rPr>
            </w:pPr>
            <w:r w:rsidRPr="00E84C93">
              <w:rPr>
                <w:rFonts w:eastAsia="Calibri" w:cs="Times New Roman"/>
                <w:b/>
                <w:spacing w:val="1"/>
                <w:w w:val="103"/>
                <w:sz w:val="18"/>
                <w:szCs w:val="18"/>
                <w:lang w:val="sr-Cyrl-CS"/>
              </w:rPr>
              <w:t>Коначно одлагање</w:t>
            </w:r>
          </w:p>
        </w:tc>
      </w:tr>
      <w:tr w:rsidR="000C2D68" w:rsidRPr="00E84C93" w14:paraId="58DD504F" w14:textId="77777777" w:rsidTr="00B831F7">
        <w:trPr>
          <w:trHeight w:hRule="exact" w:val="1081"/>
        </w:trPr>
        <w:tc>
          <w:tcPr>
            <w:tcW w:w="535" w:type="dxa"/>
            <w:shd w:val="clear" w:color="auto" w:fill="auto"/>
            <w:tcMar>
              <w:top w:w="0" w:type="dxa"/>
              <w:left w:w="0" w:type="dxa"/>
              <w:bottom w:w="0" w:type="dxa"/>
              <w:right w:w="0" w:type="dxa"/>
            </w:tcMar>
            <w:vAlign w:val="center"/>
          </w:tcPr>
          <w:p w14:paraId="73B4ECE2" w14:textId="77777777" w:rsidR="000C2D68" w:rsidRPr="00E84C93" w:rsidRDefault="000C2D68" w:rsidP="00B831F7">
            <w:pPr>
              <w:widowControl w:val="0"/>
              <w:spacing w:after="0"/>
              <w:ind w:left="48" w:right="-20"/>
              <w:rPr>
                <w:rFonts w:cs="Times New Roman"/>
                <w:b/>
                <w:i/>
                <w:iCs/>
                <w:color w:val="000000"/>
                <w:w w:val="103"/>
                <w:sz w:val="18"/>
                <w:szCs w:val="18"/>
                <w:lang w:val="sr-Cyrl-CS"/>
              </w:rPr>
            </w:pPr>
            <w:r w:rsidRPr="00E84C93">
              <w:rPr>
                <w:rFonts w:eastAsia="Calibri" w:cs="Times New Roman"/>
                <w:b/>
                <w:i/>
                <w:iCs/>
                <w:color w:val="000000"/>
                <w:w w:val="103"/>
                <w:sz w:val="18"/>
                <w:szCs w:val="18"/>
                <w:lang w:val="sr-Cyrl-CS"/>
              </w:rPr>
              <w:t>а)</w:t>
            </w:r>
          </w:p>
        </w:tc>
        <w:tc>
          <w:tcPr>
            <w:tcW w:w="1080" w:type="dxa"/>
            <w:shd w:val="clear" w:color="auto" w:fill="auto"/>
            <w:tcMar>
              <w:top w:w="0" w:type="dxa"/>
              <w:left w:w="0" w:type="dxa"/>
              <w:bottom w:w="0" w:type="dxa"/>
              <w:right w:w="0" w:type="dxa"/>
            </w:tcMar>
            <w:vAlign w:val="center"/>
          </w:tcPr>
          <w:p w14:paraId="7EF08F23"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pacing w:val="3"/>
                <w:sz w:val="18"/>
                <w:szCs w:val="18"/>
                <w:lang w:val="sr-Cyrl-CS"/>
              </w:rPr>
              <w:t xml:space="preserve"> </w:t>
            </w:r>
            <w:r w:rsidRPr="00E84C93">
              <w:rPr>
                <w:rFonts w:eastAsia="Calibri" w:cs="Times New Roman"/>
                <w:bCs/>
                <w:color w:val="000000"/>
                <w:spacing w:val="2"/>
                <w:w w:val="103"/>
                <w:sz w:val="18"/>
                <w:szCs w:val="18"/>
                <w:lang w:val="sr-Cyrl-CS"/>
              </w:rPr>
              <w:t>2</w:t>
            </w:r>
            <w:r w:rsidRPr="00E84C93">
              <w:rPr>
                <w:rFonts w:eastAsia="Calibri" w:cs="Times New Roman"/>
                <w:bCs/>
                <w:color w:val="000000"/>
                <w:w w:val="103"/>
                <w:sz w:val="18"/>
                <w:szCs w:val="18"/>
                <w:lang w:val="sr-Cyrl-CS"/>
              </w:rPr>
              <w:t>.</w:t>
            </w:r>
            <w:r w:rsidRPr="00E84C93">
              <w:rPr>
                <w:rFonts w:eastAsia="Calibri" w:cs="Times New Roman"/>
                <w:bCs/>
                <w:color w:val="000000"/>
                <w:spacing w:val="2"/>
                <w:w w:val="103"/>
                <w:sz w:val="18"/>
                <w:szCs w:val="18"/>
                <w:lang w:val="sr-Cyrl-CS"/>
              </w:rPr>
              <w:t>0</w:t>
            </w:r>
            <w:r w:rsidRPr="00E84C93">
              <w:rPr>
                <w:rFonts w:eastAsia="Calibri" w:cs="Times New Roman"/>
                <w:bCs/>
                <w:color w:val="000000"/>
                <w:spacing w:val="1"/>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6DB0276D" w14:textId="3572E7B8" w:rsidR="000C2D68" w:rsidRPr="00E84C93" w:rsidRDefault="000C2D68" w:rsidP="00B831F7">
            <w:pPr>
              <w:widowControl w:val="0"/>
              <w:spacing w:after="0"/>
              <w:ind w:left="62" w:right="113"/>
              <w:rPr>
                <w:rFonts w:cs="Times New Roman"/>
                <w:color w:val="000000"/>
                <w:w w:val="103"/>
                <w:sz w:val="18"/>
                <w:szCs w:val="18"/>
                <w:lang w:val="sr-Cyrl-CS"/>
              </w:rPr>
            </w:pPr>
            <w:r w:rsidRPr="00E84C93">
              <w:rPr>
                <w:rFonts w:eastAsia="Calibri" w:cs="Times New Roman"/>
                <w:bCs/>
                <w:w w:val="103"/>
                <w:sz w:val="18"/>
                <w:szCs w:val="18"/>
                <w:lang w:val="sr-Cyrl-CS"/>
              </w:rPr>
              <w:t>Анаеробна дигестија „на хладно</w:t>
            </w:r>
            <w:r w:rsidR="00963F38" w:rsidRPr="00E84C93">
              <w:rPr>
                <w:rFonts w:eastAsia="Calibri" w:cs="Times New Roman"/>
                <w:bCs/>
                <w:w w:val="103"/>
                <w:sz w:val="18"/>
                <w:szCs w:val="18"/>
                <w:lang w:val="sr-Cyrl-CS"/>
              </w:rPr>
              <w:t>”</w:t>
            </w:r>
            <w:r w:rsidRPr="00E84C93">
              <w:rPr>
                <w:rFonts w:eastAsia="Calibri" w:cs="Times New Roman"/>
                <w:bCs/>
                <w:w w:val="103"/>
                <w:sz w:val="18"/>
                <w:szCs w:val="18"/>
                <w:lang w:val="sr-Cyrl-CS"/>
              </w:rPr>
              <w:t xml:space="preserve"> (психрофилна дигестија) и угушћивање.</w:t>
            </w:r>
          </w:p>
        </w:tc>
        <w:tc>
          <w:tcPr>
            <w:tcW w:w="3330" w:type="dxa"/>
            <w:shd w:val="clear" w:color="auto" w:fill="auto"/>
            <w:tcMar>
              <w:top w:w="0" w:type="dxa"/>
              <w:left w:w="0" w:type="dxa"/>
              <w:bottom w:w="0" w:type="dxa"/>
              <w:right w:w="0" w:type="dxa"/>
            </w:tcMar>
            <w:vAlign w:val="center"/>
          </w:tcPr>
          <w:p w14:paraId="19E5683A" w14:textId="4E4F5B25" w:rsidR="000C2D68" w:rsidRPr="00E84C93" w:rsidRDefault="000C2D68" w:rsidP="00B831F7">
            <w:pPr>
              <w:widowControl w:val="0"/>
              <w:spacing w:after="0"/>
              <w:ind w:left="62" w:right="21"/>
              <w:rPr>
                <w:rFonts w:cs="Times New Roman"/>
                <w:w w:val="103"/>
                <w:sz w:val="18"/>
                <w:szCs w:val="18"/>
                <w:lang w:val="sr-Cyrl-CS"/>
              </w:rPr>
            </w:pPr>
            <w:r w:rsidRPr="00E84C93">
              <w:rPr>
                <w:rFonts w:eastAsia="Calibri" w:cs="Times New Roman"/>
                <w:bCs/>
                <w:spacing w:val="1"/>
                <w:w w:val="103"/>
                <w:sz w:val="18"/>
                <w:szCs w:val="18"/>
                <w:lang w:val="sr-Cyrl-CS"/>
              </w:rPr>
              <w:t>Дугорочно складиштење стабилизованог и угушћеног муља на тр</w:t>
            </w:r>
            <w:r w:rsidR="007E58E8" w:rsidRPr="00E84C93">
              <w:rPr>
                <w:rFonts w:eastAsia="Calibri" w:cs="Times New Roman"/>
                <w:bCs/>
                <w:spacing w:val="1"/>
                <w:w w:val="103"/>
                <w:sz w:val="18"/>
                <w:szCs w:val="18"/>
                <w:lang w:val="sr-Cyrl-CS"/>
              </w:rPr>
              <w:t>шч</w:t>
            </w:r>
            <w:r w:rsidRPr="00E84C93">
              <w:rPr>
                <w:rFonts w:eastAsia="Calibri" w:cs="Times New Roman"/>
                <w:bCs/>
                <w:spacing w:val="1"/>
                <w:w w:val="103"/>
                <w:sz w:val="18"/>
                <w:szCs w:val="18"/>
                <w:lang w:val="sr-Cyrl-CS"/>
              </w:rPr>
              <w:t>аним пољима ради хумификације муља; Складиштење муља за транспорт у течном стању или сервисно обезводњавање.</w:t>
            </w:r>
          </w:p>
        </w:tc>
        <w:tc>
          <w:tcPr>
            <w:tcW w:w="2430" w:type="dxa"/>
            <w:shd w:val="clear" w:color="auto" w:fill="auto"/>
            <w:tcMar>
              <w:top w:w="0" w:type="dxa"/>
              <w:left w:w="0" w:type="dxa"/>
              <w:bottom w:w="0" w:type="dxa"/>
              <w:right w:w="0" w:type="dxa"/>
            </w:tcMar>
            <w:vAlign w:val="center"/>
          </w:tcPr>
          <w:p w14:paraId="10DC34A4" w14:textId="77777777" w:rsidR="000C2D68" w:rsidRPr="00E84C93" w:rsidRDefault="000C2D68" w:rsidP="00B831F7">
            <w:pPr>
              <w:widowControl w:val="0"/>
              <w:spacing w:after="0"/>
              <w:ind w:left="62" w:right="52"/>
              <w:rPr>
                <w:rFonts w:cs="Times New Roman"/>
                <w:color w:val="000000"/>
                <w:w w:val="103"/>
                <w:sz w:val="18"/>
                <w:szCs w:val="18"/>
                <w:lang w:val="sr-Cyrl-CS"/>
              </w:rPr>
            </w:pPr>
            <w:r w:rsidRPr="00E84C93">
              <w:rPr>
                <w:rFonts w:eastAsia="Calibri" w:cs="Times New Roman"/>
                <w:bCs/>
                <w:spacing w:val="2"/>
                <w:w w:val="103"/>
                <w:sz w:val="18"/>
                <w:szCs w:val="18"/>
                <w:lang w:val="sr-Cyrl-CS"/>
              </w:rPr>
              <w:t>Хумус након 10 година</w:t>
            </w:r>
            <w:r w:rsidRPr="00E84C93">
              <w:rPr>
                <w:rFonts w:eastAsia="Calibri" w:cs="Times New Roman"/>
                <w:bCs/>
                <w:spacing w:val="1"/>
                <w:w w:val="103"/>
                <w:sz w:val="18"/>
                <w:szCs w:val="18"/>
                <w:lang w:val="sr-Cyrl-CS"/>
              </w:rPr>
              <w:t>.</w:t>
            </w:r>
          </w:p>
        </w:tc>
        <w:tc>
          <w:tcPr>
            <w:tcW w:w="2663" w:type="dxa"/>
            <w:shd w:val="clear" w:color="auto" w:fill="auto"/>
            <w:tcMar>
              <w:top w:w="0" w:type="dxa"/>
              <w:left w:w="0" w:type="dxa"/>
              <w:bottom w:w="0" w:type="dxa"/>
              <w:right w:w="0" w:type="dxa"/>
            </w:tcMar>
            <w:vAlign w:val="center"/>
          </w:tcPr>
          <w:p w14:paraId="6ADC3A90" w14:textId="77777777" w:rsidR="000C2D68" w:rsidRPr="00E84C93" w:rsidRDefault="000C2D68" w:rsidP="00B831F7">
            <w:pPr>
              <w:widowControl w:val="0"/>
              <w:spacing w:after="0"/>
              <w:ind w:left="19" w:right="116"/>
              <w:rPr>
                <w:rFonts w:eastAsia="Calibri" w:cs="Times New Roman"/>
                <w:bCs/>
                <w:sz w:val="18"/>
                <w:szCs w:val="18"/>
                <w:lang w:val="sr-Cyrl-CS"/>
              </w:rPr>
            </w:pPr>
            <w:r w:rsidRPr="00E84C93">
              <w:rPr>
                <w:rFonts w:cs="Times New Roman"/>
                <w:sz w:val="18"/>
                <w:szCs w:val="18"/>
                <w:lang w:val="sr-Cyrl-CS"/>
              </w:rPr>
              <w:t>Примена на</w:t>
            </w:r>
            <w:r w:rsidRPr="00E84C93">
              <w:rPr>
                <w:rFonts w:eastAsia="Calibri" w:cs="Times New Roman"/>
                <w:bCs/>
                <w:spacing w:val="1"/>
                <w:w w:val="103"/>
                <w:sz w:val="18"/>
                <w:szCs w:val="18"/>
                <w:lang w:val="sr-Cyrl-CS"/>
              </w:rPr>
              <w:t xml:space="preserve"> земљиште</w:t>
            </w:r>
            <w:r w:rsidRPr="00E84C93">
              <w:rPr>
                <w:rFonts w:eastAsia="Calibri" w:cs="Times New Roman"/>
                <w:bCs/>
                <w:w w:val="103"/>
                <w:sz w:val="18"/>
                <w:szCs w:val="18"/>
                <w:lang w:val="sr-Cyrl-CS"/>
              </w:rPr>
              <w:t>.</w:t>
            </w:r>
            <w:r w:rsidRPr="00E84C93">
              <w:rPr>
                <w:rFonts w:eastAsia="Calibri" w:cs="Times New Roman"/>
                <w:bCs/>
                <w:sz w:val="18"/>
                <w:szCs w:val="18"/>
                <w:lang w:val="sr-Cyrl-CS"/>
              </w:rPr>
              <w:t xml:space="preserve"> </w:t>
            </w:r>
          </w:p>
          <w:p w14:paraId="1DBF8EFD" w14:textId="77777777" w:rsidR="000C2D68" w:rsidRPr="00E84C93" w:rsidRDefault="000C2D68" w:rsidP="00B831F7">
            <w:pPr>
              <w:widowControl w:val="0"/>
              <w:spacing w:after="0"/>
              <w:ind w:left="19" w:right="116"/>
              <w:rPr>
                <w:rFonts w:cs="Times New Roman"/>
                <w:w w:val="103"/>
                <w:sz w:val="18"/>
                <w:szCs w:val="18"/>
                <w:lang w:val="sr-Cyrl-CS"/>
              </w:rPr>
            </w:pPr>
            <w:r w:rsidRPr="00E84C93">
              <w:rPr>
                <w:rFonts w:eastAsia="Calibri" w:cs="Times New Roman"/>
                <w:bCs/>
                <w:spacing w:val="1"/>
                <w:w w:val="103"/>
                <w:sz w:val="18"/>
                <w:szCs w:val="18"/>
                <w:lang w:val="sr-Cyrl-CS"/>
              </w:rPr>
              <w:t>Транспорт до Центра за третман муља.</w:t>
            </w:r>
          </w:p>
        </w:tc>
      </w:tr>
      <w:tr w:rsidR="000C2D68" w:rsidRPr="00E84C93" w14:paraId="20820C20" w14:textId="77777777" w:rsidTr="00B831F7">
        <w:trPr>
          <w:trHeight w:hRule="exact" w:val="721"/>
        </w:trPr>
        <w:tc>
          <w:tcPr>
            <w:tcW w:w="535" w:type="dxa"/>
            <w:shd w:val="clear" w:color="auto" w:fill="auto"/>
            <w:tcMar>
              <w:top w:w="0" w:type="dxa"/>
              <w:left w:w="0" w:type="dxa"/>
              <w:bottom w:w="0" w:type="dxa"/>
              <w:right w:w="0" w:type="dxa"/>
            </w:tcMar>
            <w:vAlign w:val="center"/>
          </w:tcPr>
          <w:p w14:paraId="3D5EBCB8" w14:textId="77777777" w:rsidR="000C2D68" w:rsidRPr="00E84C93" w:rsidRDefault="000C2D68" w:rsidP="00B831F7">
            <w:pPr>
              <w:widowControl w:val="0"/>
              <w:spacing w:after="0"/>
              <w:ind w:left="48" w:right="-20"/>
              <w:rPr>
                <w:rFonts w:cs="Times New Roman"/>
                <w:b/>
                <w:i/>
                <w:iCs/>
                <w:color w:val="000000"/>
                <w:w w:val="103"/>
                <w:sz w:val="18"/>
                <w:szCs w:val="18"/>
                <w:lang w:val="sr-Cyrl-CS"/>
              </w:rPr>
            </w:pPr>
            <w:r w:rsidRPr="00E84C93">
              <w:rPr>
                <w:rFonts w:eastAsia="Calibri" w:cs="Times New Roman"/>
                <w:b/>
                <w:i/>
                <w:iCs/>
                <w:color w:val="000000"/>
                <w:w w:val="103"/>
                <w:sz w:val="18"/>
                <w:szCs w:val="18"/>
                <w:lang w:val="sr-Cyrl-CS"/>
              </w:rPr>
              <w:t>b)</w:t>
            </w:r>
          </w:p>
        </w:tc>
        <w:tc>
          <w:tcPr>
            <w:tcW w:w="1080" w:type="dxa"/>
            <w:shd w:val="clear" w:color="auto" w:fill="auto"/>
            <w:tcMar>
              <w:top w:w="0" w:type="dxa"/>
              <w:left w:w="0" w:type="dxa"/>
              <w:bottom w:w="0" w:type="dxa"/>
              <w:right w:w="0" w:type="dxa"/>
            </w:tcMar>
            <w:vAlign w:val="center"/>
          </w:tcPr>
          <w:p w14:paraId="767AA666" w14:textId="77777777" w:rsidR="000C2D68" w:rsidRPr="00E84C93" w:rsidRDefault="000C2D68" w:rsidP="00B831F7">
            <w:pPr>
              <w:widowControl w:val="0"/>
              <w:spacing w:after="0"/>
              <w:ind w:left="62" w:right="96"/>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z w:val="18"/>
                <w:szCs w:val="18"/>
                <w:lang w:val="sr-Cyrl-CS"/>
              </w:rPr>
              <w:t xml:space="preserve"> </w:t>
            </w:r>
            <w:r w:rsidRPr="00E84C93">
              <w:rPr>
                <w:rFonts w:eastAsia="Calibri" w:cs="Times New Roman"/>
                <w:bCs/>
                <w:color w:val="000000"/>
                <w:spacing w:val="1"/>
                <w:w w:val="103"/>
                <w:sz w:val="18"/>
                <w:szCs w:val="18"/>
                <w:lang w:val="sr-Cyrl-CS"/>
              </w:rPr>
              <w:t>10.0</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5A4E82CD" w14:textId="77777777" w:rsidR="000C2D68" w:rsidRPr="00E84C93" w:rsidRDefault="000C2D68" w:rsidP="00B831F7">
            <w:pPr>
              <w:widowControl w:val="0"/>
              <w:spacing w:after="0"/>
              <w:ind w:left="62" w:right="13"/>
              <w:rPr>
                <w:rFonts w:cs="Times New Roman"/>
                <w:color w:val="000000"/>
                <w:w w:val="103"/>
                <w:sz w:val="18"/>
                <w:szCs w:val="18"/>
                <w:lang w:val="sr-Cyrl-CS"/>
              </w:rPr>
            </w:pPr>
            <w:r w:rsidRPr="00E84C93">
              <w:rPr>
                <w:rFonts w:eastAsia="Calibri" w:cs="Times New Roman"/>
                <w:bCs/>
                <w:spacing w:val="1"/>
                <w:w w:val="103"/>
                <w:sz w:val="18"/>
                <w:szCs w:val="18"/>
                <w:lang w:val="sr-Cyrl-CS"/>
              </w:rPr>
              <w:t>Продужена аерација са симултаном стабилизацијом муља или одвојеном аеробном стабилизацијом</w:t>
            </w:r>
            <w:r w:rsidRPr="00E84C93">
              <w:rPr>
                <w:rFonts w:eastAsia="Calibri" w:cs="Times New Roman"/>
                <w:bCs/>
                <w:color w:val="000000"/>
                <w:w w:val="103"/>
                <w:sz w:val="18"/>
                <w:szCs w:val="18"/>
                <w:lang w:val="sr-Cyrl-CS"/>
              </w:rPr>
              <w:t>.</w:t>
            </w:r>
          </w:p>
        </w:tc>
        <w:tc>
          <w:tcPr>
            <w:tcW w:w="3330" w:type="dxa"/>
            <w:shd w:val="clear" w:color="auto" w:fill="auto"/>
            <w:tcMar>
              <w:top w:w="0" w:type="dxa"/>
              <w:left w:w="0" w:type="dxa"/>
              <w:bottom w:w="0" w:type="dxa"/>
              <w:right w:w="0" w:type="dxa"/>
            </w:tcMar>
            <w:vAlign w:val="center"/>
          </w:tcPr>
          <w:p w14:paraId="10FCD41B" w14:textId="77777777" w:rsidR="000C2D68" w:rsidRPr="00E84C93" w:rsidRDefault="000C2D68" w:rsidP="00B831F7">
            <w:pPr>
              <w:widowControl w:val="0"/>
              <w:spacing w:after="0"/>
              <w:ind w:left="62" w:right="162"/>
              <w:rPr>
                <w:rFonts w:eastAsia="Calibri" w:cs="Times New Roman"/>
                <w:bCs/>
                <w:spacing w:val="1"/>
                <w:w w:val="103"/>
                <w:sz w:val="18"/>
                <w:szCs w:val="18"/>
                <w:lang w:val="sr-Cyrl-CS"/>
              </w:rPr>
            </w:pPr>
            <w:r w:rsidRPr="00E84C93">
              <w:rPr>
                <w:rFonts w:eastAsia="Calibri" w:cs="Times New Roman"/>
                <w:bCs/>
                <w:spacing w:val="1"/>
                <w:w w:val="103"/>
                <w:sz w:val="18"/>
                <w:szCs w:val="18"/>
                <w:lang w:val="sr-Cyrl-CS"/>
              </w:rPr>
              <w:t>Хумификација на тршчаним пољима;</w:t>
            </w:r>
          </w:p>
          <w:p w14:paraId="4E61DD49" w14:textId="77777777" w:rsidR="000C2D68" w:rsidRPr="00E84C93" w:rsidRDefault="000C2D68" w:rsidP="00B831F7">
            <w:pPr>
              <w:widowControl w:val="0"/>
              <w:spacing w:after="0"/>
              <w:ind w:left="62" w:right="33"/>
              <w:rPr>
                <w:rFonts w:cs="Times New Roman"/>
                <w:w w:val="103"/>
                <w:sz w:val="18"/>
                <w:szCs w:val="18"/>
                <w:lang w:val="sr-Cyrl-CS"/>
              </w:rPr>
            </w:pPr>
            <w:r w:rsidRPr="00E84C93">
              <w:rPr>
                <w:rFonts w:eastAsia="Calibri" w:cs="Times New Roman"/>
                <w:bCs/>
                <w:spacing w:val="1"/>
                <w:w w:val="103"/>
                <w:sz w:val="18"/>
                <w:szCs w:val="18"/>
                <w:lang w:val="sr-Cyrl-CS"/>
              </w:rPr>
              <w:t>Складиштење за сервисно обездводњавање</w:t>
            </w:r>
            <w:r w:rsidRPr="00E84C93">
              <w:rPr>
                <w:rFonts w:eastAsia="Calibri" w:cs="Times New Roman"/>
                <w:bCs/>
                <w:w w:val="103"/>
                <w:sz w:val="18"/>
                <w:szCs w:val="18"/>
                <w:lang w:val="sr-Cyrl-CS"/>
              </w:rPr>
              <w:t>.</w:t>
            </w:r>
          </w:p>
        </w:tc>
        <w:tc>
          <w:tcPr>
            <w:tcW w:w="2430" w:type="dxa"/>
            <w:shd w:val="clear" w:color="auto" w:fill="auto"/>
            <w:tcMar>
              <w:top w:w="0" w:type="dxa"/>
              <w:left w:w="0" w:type="dxa"/>
              <w:bottom w:w="0" w:type="dxa"/>
              <w:right w:w="0" w:type="dxa"/>
            </w:tcMar>
            <w:vAlign w:val="center"/>
          </w:tcPr>
          <w:p w14:paraId="1B730C51" w14:textId="77777777" w:rsidR="000C2D68" w:rsidRPr="00E84C93" w:rsidRDefault="000C2D68" w:rsidP="00B831F7">
            <w:pPr>
              <w:widowControl w:val="0"/>
              <w:spacing w:after="0"/>
              <w:ind w:left="62" w:right="52"/>
              <w:rPr>
                <w:rFonts w:cs="Times New Roman"/>
                <w:w w:val="103"/>
                <w:sz w:val="18"/>
                <w:szCs w:val="18"/>
                <w:lang w:val="sr-Cyrl-CS"/>
              </w:rPr>
            </w:pPr>
            <w:r w:rsidRPr="00E84C93">
              <w:rPr>
                <w:rFonts w:eastAsia="Calibri" w:cs="Times New Roman"/>
                <w:bCs/>
                <w:spacing w:val="2"/>
                <w:w w:val="103"/>
                <w:sz w:val="18"/>
                <w:szCs w:val="18"/>
                <w:lang w:val="sr-Cyrl-CS"/>
              </w:rPr>
              <w:t>Хумус након 10 година</w:t>
            </w:r>
            <w:r w:rsidRPr="00E84C93">
              <w:rPr>
                <w:rFonts w:eastAsia="Calibri" w:cs="Times New Roman"/>
                <w:bCs/>
                <w:w w:val="103"/>
                <w:sz w:val="18"/>
                <w:szCs w:val="18"/>
                <w:lang w:val="sr-Cyrl-CS"/>
              </w:rPr>
              <w:t>.</w:t>
            </w:r>
          </w:p>
          <w:p w14:paraId="27AC4E41"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spacing w:val="1"/>
                <w:w w:val="103"/>
                <w:sz w:val="18"/>
                <w:szCs w:val="18"/>
                <w:lang w:val="sr-Cyrl-CS"/>
              </w:rPr>
              <w:t>Муљни колач</w:t>
            </w:r>
          </w:p>
        </w:tc>
        <w:tc>
          <w:tcPr>
            <w:tcW w:w="2663" w:type="dxa"/>
            <w:shd w:val="clear" w:color="auto" w:fill="auto"/>
            <w:tcMar>
              <w:top w:w="0" w:type="dxa"/>
              <w:left w:w="0" w:type="dxa"/>
              <w:bottom w:w="0" w:type="dxa"/>
              <w:right w:w="0" w:type="dxa"/>
            </w:tcMar>
            <w:vAlign w:val="center"/>
          </w:tcPr>
          <w:p w14:paraId="1842CA63" w14:textId="77777777" w:rsidR="000C2D68" w:rsidRPr="00E84C93" w:rsidRDefault="000C2D68" w:rsidP="00B831F7">
            <w:pPr>
              <w:widowControl w:val="0"/>
              <w:spacing w:after="0"/>
              <w:ind w:left="62" w:right="-20"/>
              <w:rPr>
                <w:rFonts w:cs="Times New Roman"/>
                <w:w w:val="103"/>
                <w:sz w:val="18"/>
                <w:szCs w:val="18"/>
                <w:lang w:val="sr-Cyrl-CS"/>
              </w:rPr>
            </w:pPr>
            <w:r w:rsidRPr="00E84C93">
              <w:rPr>
                <w:rFonts w:cs="Times New Roman"/>
                <w:sz w:val="18"/>
                <w:szCs w:val="18"/>
                <w:lang w:val="sr-Cyrl-CS"/>
              </w:rPr>
              <w:t>Примена на</w:t>
            </w:r>
            <w:r w:rsidRPr="00E84C93">
              <w:rPr>
                <w:rFonts w:eastAsia="Calibri" w:cs="Times New Roman"/>
                <w:bCs/>
                <w:spacing w:val="1"/>
                <w:w w:val="103"/>
                <w:sz w:val="18"/>
                <w:szCs w:val="18"/>
                <w:lang w:val="sr-Cyrl-CS"/>
              </w:rPr>
              <w:t xml:space="preserve"> земљиште</w:t>
            </w:r>
          </w:p>
          <w:p w14:paraId="555B0956" w14:textId="77777777" w:rsidR="000C2D68" w:rsidRPr="00E84C93" w:rsidRDefault="000C2D68" w:rsidP="00B831F7">
            <w:pPr>
              <w:widowControl w:val="0"/>
              <w:spacing w:after="0"/>
              <w:ind w:left="62" w:right="-20"/>
              <w:rPr>
                <w:rFonts w:cs="Times New Roman"/>
                <w:w w:val="103"/>
                <w:sz w:val="18"/>
                <w:szCs w:val="18"/>
                <w:lang w:val="sr-Cyrl-CS"/>
              </w:rPr>
            </w:pPr>
            <w:r w:rsidRPr="00E84C93">
              <w:rPr>
                <w:rFonts w:eastAsia="Calibri" w:cs="Times New Roman"/>
                <w:bCs/>
                <w:spacing w:val="1"/>
                <w:w w:val="103"/>
                <w:sz w:val="18"/>
                <w:szCs w:val="18"/>
                <w:lang w:val="sr-Cyrl-CS"/>
              </w:rPr>
              <w:t>Транспорт до Центра за третман муља.</w:t>
            </w:r>
          </w:p>
        </w:tc>
      </w:tr>
      <w:tr w:rsidR="000C2D68" w:rsidRPr="00E84C93" w14:paraId="19C964BF" w14:textId="77777777" w:rsidTr="00A078B4">
        <w:trPr>
          <w:trHeight w:hRule="exact" w:val="991"/>
        </w:trPr>
        <w:tc>
          <w:tcPr>
            <w:tcW w:w="535" w:type="dxa"/>
            <w:shd w:val="clear" w:color="auto" w:fill="auto"/>
            <w:tcMar>
              <w:top w:w="0" w:type="dxa"/>
              <w:left w:w="0" w:type="dxa"/>
              <w:bottom w:w="0" w:type="dxa"/>
              <w:right w:w="0" w:type="dxa"/>
            </w:tcMar>
            <w:vAlign w:val="center"/>
          </w:tcPr>
          <w:p w14:paraId="3817DFF9" w14:textId="77777777" w:rsidR="000C2D68" w:rsidRPr="00E84C93" w:rsidRDefault="000C2D68" w:rsidP="00B831F7">
            <w:pPr>
              <w:widowControl w:val="0"/>
              <w:spacing w:after="0"/>
              <w:ind w:left="48" w:right="-20"/>
              <w:rPr>
                <w:rFonts w:cs="Times New Roman"/>
                <w:b/>
                <w:i/>
                <w:iCs/>
                <w:color w:val="000000"/>
                <w:w w:val="103"/>
                <w:sz w:val="18"/>
                <w:szCs w:val="18"/>
                <w:lang w:val="sr-Cyrl-CS"/>
              </w:rPr>
            </w:pPr>
            <w:r w:rsidRPr="00E84C93">
              <w:rPr>
                <w:rFonts w:eastAsia="Calibri" w:cs="Times New Roman"/>
                <w:b/>
                <w:i/>
                <w:iCs/>
                <w:color w:val="000000"/>
                <w:w w:val="103"/>
                <w:sz w:val="18"/>
                <w:szCs w:val="18"/>
                <w:lang w:val="sr-Cyrl-CS"/>
              </w:rPr>
              <w:t>c)</w:t>
            </w:r>
          </w:p>
        </w:tc>
        <w:tc>
          <w:tcPr>
            <w:tcW w:w="1080" w:type="dxa"/>
            <w:shd w:val="clear" w:color="auto" w:fill="auto"/>
            <w:tcMar>
              <w:top w:w="0" w:type="dxa"/>
              <w:left w:w="0" w:type="dxa"/>
              <w:bottom w:w="0" w:type="dxa"/>
              <w:right w:w="0" w:type="dxa"/>
            </w:tcMar>
            <w:vAlign w:val="center"/>
          </w:tcPr>
          <w:p w14:paraId="06F81DB7" w14:textId="77777777" w:rsidR="000C2D68" w:rsidRPr="00E84C93" w:rsidRDefault="000C2D68" w:rsidP="00B831F7">
            <w:pPr>
              <w:widowControl w:val="0"/>
              <w:spacing w:after="0"/>
              <w:ind w:left="62" w:right="96"/>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z w:val="18"/>
                <w:szCs w:val="18"/>
                <w:lang w:val="sr-Cyrl-CS"/>
              </w:rPr>
              <w:t xml:space="preserve"> </w:t>
            </w:r>
            <w:r w:rsidRPr="00E84C93">
              <w:rPr>
                <w:rFonts w:eastAsia="Calibri" w:cs="Times New Roman"/>
                <w:bCs/>
                <w:color w:val="000000"/>
                <w:spacing w:val="1"/>
                <w:w w:val="103"/>
                <w:sz w:val="18"/>
                <w:szCs w:val="18"/>
                <w:lang w:val="sr-Cyrl-CS"/>
              </w:rPr>
              <w:t>50.0</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7798A92E" w14:textId="58D29311" w:rsidR="000C2D68" w:rsidRPr="00E84C93" w:rsidRDefault="000C2D68" w:rsidP="00B831F7">
            <w:pPr>
              <w:widowControl w:val="0"/>
              <w:spacing w:after="0"/>
              <w:ind w:left="62" w:right="60"/>
              <w:rPr>
                <w:rFonts w:cs="Times New Roman"/>
                <w:color w:val="000000"/>
                <w:w w:val="103"/>
                <w:sz w:val="18"/>
                <w:szCs w:val="18"/>
                <w:lang w:val="sr-Cyrl-CS"/>
              </w:rPr>
            </w:pPr>
            <w:r w:rsidRPr="00E84C93">
              <w:rPr>
                <w:rFonts w:eastAsia="Calibri" w:cs="Times New Roman"/>
                <w:bCs/>
                <w:spacing w:val="1"/>
                <w:w w:val="103"/>
                <w:sz w:val="18"/>
                <w:szCs w:val="18"/>
                <w:lang w:val="sr-Cyrl-CS"/>
              </w:rPr>
              <w:t xml:space="preserve">Једностепена анаеробна дигестија са когенерацијом где год је то </w:t>
            </w:r>
            <w:r w:rsidR="007E58E8" w:rsidRPr="00E84C93">
              <w:rPr>
                <w:rFonts w:eastAsia="Calibri" w:cs="Times New Roman"/>
                <w:bCs/>
                <w:spacing w:val="1"/>
                <w:w w:val="103"/>
                <w:sz w:val="18"/>
                <w:szCs w:val="18"/>
                <w:lang w:val="sr-Cyrl-CS"/>
              </w:rPr>
              <w:t>исплативо</w:t>
            </w:r>
          </w:p>
        </w:tc>
        <w:tc>
          <w:tcPr>
            <w:tcW w:w="3330" w:type="dxa"/>
            <w:shd w:val="clear" w:color="auto" w:fill="auto"/>
            <w:tcMar>
              <w:top w:w="0" w:type="dxa"/>
              <w:left w:w="0" w:type="dxa"/>
              <w:bottom w:w="0" w:type="dxa"/>
              <w:right w:w="0" w:type="dxa"/>
            </w:tcMar>
            <w:vAlign w:val="center"/>
          </w:tcPr>
          <w:p w14:paraId="369F304A" w14:textId="052FA661" w:rsidR="000C2D68" w:rsidRPr="00E84C93" w:rsidRDefault="009D696D" w:rsidP="00B831F7">
            <w:pPr>
              <w:widowControl w:val="0"/>
              <w:spacing w:after="0"/>
              <w:ind w:left="62" w:right="60"/>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Обезводњавање муља</w:t>
            </w:r>
            <w:r w:rsidR="00AE241E" w:rsidRPr="00E84C93">
              <w:rPr>
                <w:rFonts w:eastAsia="Calibri" w:cs="Times New Roman"/>
                <w:bCs/>
                <w:color w:val="000000"/>
                <w:spacing w:val="1"/>
                <w:w w:val="103"/>
                <w:sz w:val="18"/>
                <w:szCs w:val="18"/>
                <w:lang w:val="sr-Cyrl-CS"/>
              </w:rPr>
              <w:t xml:space="preserve">; </w:t>
            </w:r>
            <w:r w:rsidRPr="00E84C93">
              <w:rPr>
                <w:rFonts w:eastAsia="Calibri" w:cs="Times New Roman"/>
                <w:bCs/>
                <w:color w:val="000000"/>
                <w:spacing w:val="1"/>
                <w:w w:val="103"/>
                <w:sz w:val="18"/>
                <w:szCs w:val="18"/>
                <w:lang w:val="sr-Cyrl-CS"/>
              </w:rPr>
              <w:t>с</w:t>
            </w:r>
            <w:r w:rsidR="000C2D68" w:rsidRPr="00E84C93">
              <w:rPr>
                <w:rFonts w:eastAsia="Calibri" w:cs="Times New Roman"/>
                <w:bCs/>
                <w:color w:val="000000"/>
                <w:spacing w:val="1"/>
                <w:w w:val="103"/>
                <w:sz w:val="18"/>
                <w:szCs w:val="18"/>
                <w:lang w:val="sr-Cyrl-CS"/>
              </w:rPr>
              <w:t>оларно сушење.</w:t>
            </w:r>
          </w:p>
        </w:tc>
        <w:tc>
          <w:tcPr>
            <w:tcW w:w="2430" w:type="dxa"/>
            <w:shd w:val="clear" w:color="auto" w:fill="auto"/>
            <w:tcMar>
              <w:top w:w="0" w:type="dxa"/>
              <w:left w:w="0" w:type="dxa"/>
              <w:bottom w:w="0" w:type="dxa"/>
              <w:right w:w="0" w:type="dxa"/>
            </w:tcMar>
            <w:vAlign w:val="center"/>
          </w:tcPr>
          <w:p w14:paraId="140C53FD" w14:textId="77777777" w:rsidR="000C2D68" w:rsidRPr="00E84C93" w:rsidRDefault="000C2D68" w:rsidP="00B831F7">
            <w:pPr>
              <w:widowControl w:val="0"/>
              <w:spacing w:after="0"/>
              <w:ind w:left="62" w:right="306"/>
              <w:rPr>
                <w:rFonts w:cs="Times New Roman"/>
                <w:color w:val="000000"/>
                <w:w w:val="103"/>
                <w:sz w:val="18"/>
                <w:szCs w:val="18"/>
                <w:lang w:val="sr-Cyrl-CS"/>
              </w:rPr>
            </w:pPr>
            <w:r w:rsidRPr="00E84C93">
              <w:rPr>
                <w:rFonts w:eastAsia="Calibri" w:cs="Times New Roman"/>
                <w:bCs/>
                <w:spacing w:val="1"/>
                <w:w w:val="103"/>
                <w:sz w:val="18"/>
                <w:szCs w:val="18"/>
                <w:lang w:val="sr-Cyrl-CS"/>
              </w:rPr>
              <w:t>Транспорт гранула или муљног колача</w:t>
            </w:r>
          </w:p>
        </w:tc>
        <w:tc>
          <w:tcPr>
            <w:tcW w:w="2663" w:type="dxa"/>
            <w:shd w:val="clear" w:color="auto" w:fill="auto"/>
            <w:tcMar>
              <w:top w:w="0" w:type="dxa"/>
              <w:left w:w="0" w:type="dxa"/>
              <w:bottom w:w="0" w:type="dxa"/>
              <w:right w:w="0" w:type="dxa"/>
            </w:tcMar>
            <w:vAlign w:val="center"/>
          </w:tcPr>
          <w:p w14:paraId="5D2A5CE9" w14:textId="52DF6A06" w:rsidR="006D47B7" w:rsidRPr="00E84C93" w:rsidRDefault="005F3922" w:rsidP="00B831F7">
            <w:pPr>
              <w:widowControl w:val="0"/>
              <w:spacing w:after="0"/>
              <w:ind w:left="62" w:right="22"/>
              <w:rPr>
                <w:rFonts w:eastAsia="Calibri" w:cs="Times New Roman"/>
                <w:bCs/>
                <w:color w:val="000000"/>
                <w:spacing w:val="2"/>
                <w:w w:val="103"/>
                <w:sz w:val="18"/>
                <w:szCs w:val="18"/>
                <w:lang w:val="sr-Cyrl-CS"/>
              </w:rPr>
            </w:pPr>
            <w:r w:rsidRPr="00E84C93">
              <w:rPr>
                <w:rFonts w:cs="Times New Roman"/>
                <w:sz w:val="18"/>
                <w:szCs w:val="18"/>
                <w:lang w:val="sr-Cyrl-CS"/>
              </w:rPr>
              <w:t>Примена на</w:t>
            </w:r>
            <w:r w:rsidRPr="00E84C93">
              <w:rPr>
                <w:rFonts w:eastAsia="Calibri" w:cs="Times New Roman"/>
                <w:bCs/>
                <w:spacing w:val="1"/>
                <w:w w:val="103"/>
                <w:sz w:val="18"/>
                <w:szCs w:val="18"/>
                <w:lang w:val="sr-Cyrl-CS"/>
              </w:rPr>
              <w:t xml:space="preserve"> земљиште</w:t>
            </w:r>
          </w:p>
          <w:p w14:paraId="37FEC0DD" w14:textId="143046FA" w:rsidR="000C2D68" w:rsidRPr="00E84C93" w:rsidRDefault="000C2D68" w:rsidP="00B831F7">
            <w:pPr>
              <w:widowControl w:val="0"/>
              <w:spacing w:after="0"/>
              <w:ind w:left="62" w:right="22"/>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Одлагање на монодепоније</w:t>
            </w:r>
            <w:r w:rsidRPr="00E84C93">
              <w:rPr>
                <w:rFonts w:cs="Times New Roman"/>
                <w:sz w:val="18"/>
                <w:szCs w:val="18"/>
                <w:lang w:val="sr-Cyrl-CS"/>
              </w:rPr>
              <w:t xml:space="preserve"> </w:t>
            </w:r>
          </w:p>
          <w:p w14:paraId="4339C1B7" w14:textId="15438872" w:rsidR="000C2D68" w:rsidRPr="00E84C93" w:rsidRDefault="000C2D68" w:rsidP="00B831F7">
            <w:pPr>
              <w:widowControl w:val="0"/>
              <w:spacing w:after="0"/>
              <w:ind w:left="62" w:right="22"/>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 xml:space="preserve">Транспорт до </w:t>
            </w:r>
            <w:r w:rsidRPr="00E84C93">
              <w:rPr>
                <w:rFonts w:eastAsia="Calibri" w:cs="Times New Roman"/>
                <w:bCs/>
                <w:spacing w:val="1"/>
                <w:w w:val="103"/>
                <w:sz w:val="18"/>
                <w:szCs w:val="18"/>
                <w:lang w:val="sr-Cyrl-CS"/>
              </w:rPr>
              <w:t>Центра за третман муља</w:t>
            </w:r>
            <w:r w:rsidRPr="00E84C93">
              <w:rPr>
                <w:rFonts w:eastAsia="Calibri" w:cs="Times New Roman"/>
                <w:bCs/>
                <w:color w:val="000000"/>
                <w:spacing w:val="1"/>
                <w:w w:val="103"/>
                <w:sz w:val="18"/>
                <w:szCs w:val="18"/>
                <w:lang w:val="sr-Cyrl-CS"/>
              </w:rPr>
              <w:t>.</w:t>
            </w:r>
          </w:p>
        </w:tc>
      </w:tr>
      <w:tr w:rsidR="000C2D68" w:rsidRPr="00E84C93" w14:paraId="7A48568A" w14:textId="77777777" w:rsidTr="00B831F7">
        <w:trPr>
          <w:trHeight w:hRule="exact" w:val="634"/>
        </w:trPr>
        <w:tc>
          <w:tcPr>
            <w:tcW w:w="535" w:type="dxa"/>
            <w:shd w:val="clear" w:color="auto" w:fill="auto"/>
            <w:tcMar>
              <w:top w:w="0" w:type="dxa"/>
              <w:left w:w="0" w:type="dxa"/>
              <w:bottom w:w="0" w:type="dxa"/>
              <w:right w:w="0" w:type="dxa"/>
            </w:tcMar>
            <w:vAlign w:val="center"/>
          </w:tcPr>
          <w:p w14:paraId="5E2AB001" w14:textId="77777777" w:rsidR="000C2D68" w:rsidRPr="00E84C93" w:rsidRDefault="000C2D68" w:rsidP="00B831F7">
            <w:pPr>
              <w:widowControl w:val="0"/>
              <w:spacing w:after="0"/>
              <w:ind w:left="48" w:right="91"/>
              <w:rPr>
                <w:rFonts w:cs="Times New Roman"/>
                <w:b/>
                <w:i/>
                <w:iCs/>
                <w:color w:val="FF0000"/>
                <w:w w:val="103"/>
                <w:sz w:val="18"/>
                <w:szCs w:val="18"/>
                <w:lang w:val="sr-Cyrl-CS"/>
              </w:rPr>
            </w:pPr>
            <w:r w:rsidRPr="00E84C93">
              <w:rPr>
                <w:rFonts w:eastAsia="Calibri" w:cs="Times New Roman"/>
                <w:b/>
                <w:i/>
                <w:iCs/>
                <w:color w:val="000000"/>
                <w:w w:val="103"/>
                <w:sz w:val="18"/>
                <w:szCs w:val="18"/>
                <w:lang w:val="sr-Cyrl-CS"/>
              </w:rPr>
              <w:t>d)</w:t>
            </w:r>
            <w:r w:rsidRPr="00E84C93">
              <w:rPr>
                <w:rFonts w:eastAsia="Calibri" w:cs="Times New Roman"/>
                <w:b/>
                <w:i/>
                <w:iCs/>
                <w:color w:val="000000"/>
                <w:sz w:val="18"/>
                <w:szCs w:val="18"/>
                <w:lang w:val="sr-Cyrl-CS"/>
              </w:rPr>
              <w:t xml:space="preserve"> </w:t>
            </w:r>
          </w:p>
        </w:tc>
        <w:tc>
          <w:tcPr>
            <w:tcW w:w="1080" w:type="dxa"/>
            <w:shd w:val="clear" w:color="auto" w:fill="auto"/>
            <w:tcMar>
              <w:top w:w="0" w:type="dxa"/>
              <w:left w:w="0" w:type="dxa"/>
              <w:bottom w:w="0" w:type="dxa"/>
              <w:right w:w="0" w:type="dxa"/>
            </w:tcMar>
            <w:vAlign w:val="center"/>
          </w:tcPr>
          <w:p w14:paraId="26AEEE2E" w14:textId="77777777" w:rsidR="000C2D68" w:rsidRPr="00E84C93" w:rsidRDefault="000C2D68" w:rsidP="00B831F7">
            <w:pPr>
              <w:widowControl w:val="0"/>
              <w:spacing w:after="0"/>
              <w:ind w:left="62" w:right="96"/>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z w:val="18"/>
                <w:szCs w:val="18"/>
                <w:lang w:val="sr-Cyrl-CS"/>
              </w:rPr>
              <w:t xml:space="preserve"> </w:t>
            </w:r>
            <w:r w:rsidRPr="00E84C93">
              <w:rPr>
                <w:rFonts w:eastAsia="Calibri" w:cs="Times New Roman"/>
                <w:bCs/>
                <w:color w:val="000000"/>
                <w:spacing w:val="1"/>
                <w:w w:val="103"/>
                <w:sz w:val="18"/>
                <w:szCs w:val="18"/>
                <w:lang w:val="sr-Cyrl-CS"/>
              </w:rPr>
              <w:t>10</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w:t>
            </w:r>
            <w:r w:rsidRPr="00E84C93">
              <w:rPr>
                <w:rFonts w:eastAsia="Calibri" w:cs="Times New Roman"/>
                <w:bCs/>
                <w:color w:val="000000"/>
                <w:spacing w:val="2"/>
                <w:w w:val="103"/>
                <w:sz w:val="18"/>
                <w:szCs w:val="18"/>
                <w:lang w:val="sr-Cyrl-CS"/>
              </w:rPr>
              <w:t>0</w:t>
            </w:r>
            <w:r w:rsidRPr="00E84C93">
              <w:rPr>
                <w:rFonts w:eastAsia="Calibri" w:cs="Times New Roman"/>
                <w:bCs/>
                <w:color w:val="000000"/>
                <w:spacing w:val="1"/>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1FF4300E" w14:textId="77777777" w:rsidR="000C2D68" w:rsidRPr="00E84C93" w:rsidRDefault="000C2D68" w:rsidP="00B831F7">
            <w:pPr>
              <w:widowControl w:val="0"/>
              <w:spacing w:after="0"/>
              <w:ind w:left="62" w:right="80"/>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Једностепена анаеробна дигестија са когенерацијом</w:t>
            </w:r>
            <w:r w:rsidRPr="00E84C93">
              <w:rPr>
                <w:rFonts w:eastAsia="Calibri" w:cs="Times New Roman"/>
                <w:bCs/>
                <w:color w:val="000000"/>
                <w:w w:val="103"/>
                <w:sz w:val="18"/>
                <w:szCs w:val="18"/>
                <w:lang w:val="sr-Cyrl-CS"/>
              </w:rPr>
              <w:t>.</w:t>
            </w:r>
          </w:p>
        </w:tc>
        <w:tc>
          <w:tcPr>
            <w:tcW w:w="3330" w:type="dxa"/>
            <w:shd w:val="clear" w:color="auto" w:fill="auto"/>
            <w:tcMar>
              <w:top w:w="0" w:type="dxa"/>
              <w:left w:w="0" w:type="dxa"/>
              <w:bottom w:w="0" w:type="dxa"/>
              <w:right w:w="0" w:type="dxa"/>
            </w:tcMar>
            <w:vAlign w:val="center"/>
          </w:tcPr>
          <w:p w14:paraId="75E45EA7" w14:textId="77777777" w:rsidR="000C2D68" w:rsidRPr="00E84C93" w:rsidRDefault="000C2D68" w:rsidP="00B831F7">
            <w:pPr>
              <w:widowControl w:val="0"/>
              <w:spacing w:after="0"/>
              <w:ind w:left="62" w:right="316"/>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Соларно сушење или термичко сушење; Обезводњавање муља</w:t>
            </w:r>
            <w:r w:rsidRPr="00E84C93">
              <w:rPr>
                <w:rFonts w:eastAsia="Calibri" w:cs="Times New Roman"/>
                <w:bCs/>
                <w:color w:val="000000"/>
                <w:w w:val="103"/>
                <w:sz w:val="18"/>
                <w:szCs w:val="18"/>
                <w:lang w:val="sr-Cyrl-CS"/>
              </w:rPr>
              <w:t>.</w:t>
            </w:r>
          </w:p>
        </w:tc>
        <w:tc>
          <w:tcPr>
            <w:tcW w:w="2430" w:type="dxa"/>
            <w:shd w:val="clear" w:color="auto" w:fill="auto"/>
            <w:tcMar>
              <w:top w:w="0" w:type="dxa"/>
              <w:left w:w="0" w:type="dxa"/>
              <w:bottom w:w="0" w:type="dxa"/>
              <w:right w:w="0" w:type="dxa"/>
            </w:tcMar>
            <w:vAlign w:val="center"/>
          </w:tcPr>
          <w:p w14:paraId="55101724"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spacing w:val="1"/>
                <w:w w:val="103"/>
                <w:sz w:val="18"/>
                <w:szCs w:val="18"/>
                <w:lang w:val="sr-Cyrl-CS"/>
              </w:rPr>
              <w:t>Транспорт гранула или муљног колача</w:t>
            </w:r>
          </w:p>
        </w:tc>
        <w:tc>
          <w:tcPr>
            <w:tcW w:w="2663" w:type="dxa"/>
            <w:shd w:val="clear" w:color="auto" w:fill="auto"/>
            <w:tcMar>
              <w:top w:w="0" w:type="dxa"/>
              <w:left w:w="0" w:type="dxa"/>
              <w:bottom w:w="0" w:type="dxa"/>
              <w:right w:w="0" w:type="dxa"/>
            </w:tcMar>
            <w:vAlign w:val="center"/>
          </w:tcPr>
          <w:p w14:paraId="65549E43" w14:textId="77777777" w:rsidR="000C2D68" w:rsidRPr="00E84C93" w:rsidRDefault="000C2D68" w:rsidP="00B831F7">
            <w:pPr>
              <w:widowControl w:val="0"/>
              <w:spacing w:after="0"/>
              <w:ind w:left="62" w:right="22"/>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Одлагање на монодепоније</w:t>
            </w:r>
            <w:r w:rsidRPr="00E84C93">
              <w:rPr>
                <w:rFonts w:eastAsia="Calibri" w:cs="Times New Roman"/>
                <w:bCs/>
                <w:color w:val="000000"/>
                <w:spacing w:val="1"/>
                <w:w w:val="103"/>
                <w:sz w:val="18"/>
                <w:szCs w:val="18"/>
                <w:lang w:val="sr-Cyrl-CS"/>
              </w:rPr>
              <w:t xml:space="preserve"> Транспорт до </w:t>
            </w:r>
            <w:r w:rsidRPr="00E84C93">
              <w:rPr>
                <w:rFonts w:eastAsia="Calibri" w:cs="Times New Roman"/>
                <w:bCs/>
                <w:spacing w:val="1"/>
                <w:w w:val="103"/>
                <w:sz w:val="18"/>
                <w:szCs w:val="18"/>
                <w:lang w:val="sr-Cyrl-CS"/>
              </w:rPr>
              <w:t>Центра за третман муља</w:t>
            </w:r>
            <w:r w:rsidRPr="00E84C93">
              <w:rPr>
                <w:rFonts w:eastAsia="Calibri" w:cs="Times New Roman"/>
                <w:bCs/>
                <w:color w:val="000000"/>
                <w:spacing w:val="1"/>
                <w:w w:val="103"/>
                <w:sz w:val="18"/>
                <w:szCs w:val="18"/>
                <w:lang w:val="sr-Cyrl-CS"/>
              </w:rPr>
              <w:t>.</w:t>
            </w:r>
          </w:p>
        </w:tc>
      </w:tr>
      <w:tr w:rsidR="000C2D68" w:rsidRPr="00E84C93" w14:paraId="4F432C79" w14:textId="77777777" w:rsidTr="00B831F7">
        <w:trPr>
          <w:trHeight w:hRule="exact" w:val="1144"/>
        </w:trPr>
        <w:tc>
          <w:tcPr>
            <w:tcW w:w="535" w:type="dxa"/>
            <w:shd w:val="clear" w:color="auto" w:fill="auto"/>
            <w:tcMar>
              <w:top w:w="0" w:type="dxa"/>
              <w:left w:w="0" w:type="dxa"/>
              <w:bottom w:w="0" w:type="dxa"/>
              <w:right w:w="0" w:type="dxa"/>
            </w:tcMar>
            <w:vAlign w:val="center"/>
          </w:tcPr>
          <w:p w14:paraId="442CE30B" w14:textId="77777777" w:rsidR="000C2D68" w:rsidRPr="00E84C93" w:rsidRDefault="000C2D68" w:rsidP="00B831F7">
            <w:pPr>
              <w:widowControl w:val="0"/>
              <w:spacing w:after="0"/>
              <w:ind w:left="48" w:right="91"/>
              <w:rPr>
                <w:rFonts w:cs="Times New Roman"/>
                <w:b/>
                <w:i/>
                <w:iCs/>
                <w:color w:val="FF0000"/>
                <w:w w:val="103"/>
                <w:sz w:val="18"/>
                <w:szCs w:val="18"/>
                <w:lang w:val="sr-Cyrl-CS"/>
              </w:rPr>
            </w:pPr>
            <w:r w:rsidRPr="00E84C93">
              <w:rPr>
                <w:rFonts w:eastAsia="Calibri" w:cs="Times New Roman"/>
                <w:b/>
                <w:i/>
                <w:iCs/>
                <w:color w:val="000000"/>
                <w:w w:val="103"/>
                <w:sz w:val="18"/>
                <w:szCs w:val="18"/>
                <w:lang w:val="sr-Cyrl-CS"/>
              </w:rPr>
              <w:t>e)</w:t>
            </w:r>
          </w:p>
        </w:tc>
        <w:tc>
          <w:tcPr>
            <w:tcW w:w="1080" w:type="dxa"/>
            <w:shd w:val="clear" w:color="auto" w:fill="auto"/>
            <w:tcMar>
              <w:top w:w="0" w:type="dxa"/>
              <w:left w:w="0" w:type="dxa"/>
              <w:bottom w:w="0" w:type="dxa"/>
              <w:right w:w="0" w:type="dxa"/>
            </w:tcMar>
            <w:vAlign w:val="center"/>
          </w:tcPr>
          <w:p w14:paraId="090F0107" w14:textId="77777777" w:rsidR="000C2D68" w:rsidRPr="00E84C93" w:rsidRDefault="000C2D68" w:rsidP="00B831F7">
            <w:pPr>
              <w:widowControl w:val="0"/>
              <w:spacing w:after="0"/>
              <w:ind w:left="62" w:right="6"/>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z w:val="18"/>
                <w:szCs w:val="18"/>
                <w:lang w:val="sr-Cyrl-CS"/>
              </w:rPr>
              <w:t xml:space="preserve"> </w:t>
            </w:r>
            <w:r w:rsidRPr="00E84C93">
              <w:rPr>
                <w:rFonts w:eastAsia="Calibri" w:cs="Times New Roman"/>
                <w:bCs/>
                <w:color w:val="000000"/>
                <w:spacing w:val="1"/>
                <w:w w:val="103"/>
                <w:sz w:val="18"/>
                <w:szCs w:val="18"/>
                <w:lang w:val="sr-Cyrl-CS"/>
              </w:rPr>
              <w:t>15</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w:t>
            </w:r>
            <w:r w:rsidRPr="00E84C93">
              <w:rPr>
                <w:rFonts w:eastAsia="Calibri" w:cs="Times New Roman"/>
                <w:bCs/>
                <w:color w:val="000000"/>
                <w:spacing w:val="2"/>
                <w:w w:val="103"/>
                <w:sz w:val="18"/>
                <w:szCs w:val="18"/>
                <w:lang w:val="sr-Cyrl-CS"/>
              </w:rPr>
              <w:t>0</w:t>
            </w:r>
            <w:r w:rsidRPr="00E84C93">
              <w:rPr>
                <w:rFonts w:eastAsia="Calibri" w:cs="Times New Roman"/>
                <w:bCs/>
                <w:color w:val="000000"/>
                <w:spacing w:val="1"/>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1FA72FD4" w14:textId="77777777" w:rsidR="000C2D68" w:rsidRPr="00E84C93" w:rsidRDefault="000C2D68" w:rsidP="00B831F7">
            <w:pPr>
              <w:widowControl w:val="0"/>
              <w:spacing w:after="0"/>
              <w:ind w:left="62" w:right="57"/>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Једностепена</w:t>
            </w:r>
            <w:r w:rsidRPr="00E84C93">
              <w:rPr>
                <w:rFonts w:eastAsia="Calibri" w:cs="Times New Roman"/>
                <w:bCs/>
                <w:spacing w:val="1"/>
                <w:w w:val="103"/>
                <w:sz w:val="18"/>
                <w:szCs w:val="18"/>
                <w:lang w:val="sr-Cyrl-CS"/>
              </w:rPr>
              <w:t xml:space="preserve"> анаеробна дигестија са дезинтеграцијом</w:t>
            </w:r>
            <w:r w:rsidRPr="00E84C93">
              <w:rPr>
                <w:rFonts w:eastAsia="Calibri" w:cs="Times New Roman"/>
                <w:bCs/>
                <w:spacing w:val="3"/>
                <w:sz w:val="18"/>
                <w:szCs w:val="18"/>
                <w:lang w:val="sr-Cyrl-CS"/>
              </w:rPr>
              <w:t xml:space="preserve"> </w:t>
            </w:r>
            <w:r w:rsidRPr="00E84C93">
              <w:rPr>
                <w:rFonts w:eastAsia="Calibri" w:cs="Times New Roman"/>
                <w:bCs/>
                <w:spacing w:val="1"/>
                <w:w w:val="103"/>
                <w:sz w:val="18"/>
                <w:szCs w:val="18"/>
                <w:lang w:val="sr-Cyrl-CS"/>
              </w:rPr>
              <w:t>муља и комбинованим уређајем за производњу топлотне и електричне енергије и хлађење (ЦЦХП)</w:t>
            </w:r>
            <w:r w:rsidRPr="00E84C93">
              <w:rPr>
                <w:rFonts w:eastAsia="Calibri" w:cs="Times New Roman"/>
                <w:bCs/>
                <w:color w:val="000000"/>
                <w:w w:val="103"/>
                <w:sz w:val="18"/>
                <w:szCs w:val="18"/>
                <w:lang w:val="sr-Cyrl-CS"/>
              </w:rPr>
              <w:t>.</w:t>
            </w:r>
          </w:p>
        </w:tc>
        <w:tc>
          <w:tcPr>
            <w:tcW w:w="3330" w:type="dxa"/>
            <w:shd w:val="clear" w:color="auto" w:fill="auto"/>
            <w:tcMar>
              <w:top w:w="0" w:type="dxa"/>
              <w:left w:w="0" w:type="dxa"/>
              <w:bottom w:w="0" w:type="dxa"/>
              <w:right w:w="0" w:type="dxa"/>
            </w:tcMar>
            <w:vAlign w:val="center"/>
          </w:tcPr>
          <w:p w14:paraId="6BE29A06" w14:textId="77777777" w:rsidR="000C2D68" w:rsidRPr="00E84C93" w:rsidRDefault="000C2D68" w:rsidP="00B831F7">
            <w:pPr>
              <w:widowControl w:val="0"/>
              <w:spacing w:after="0"/>
              <w:ind w:left="62" w:right="316"/>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Соларно сушење или термичко сушење; Обезводњавање муља</w:t>
            </w:r>
            <w:r w:rsidRPr="00E84C93">
              <w:rPr>
                <w:rFonts w:eastAsia="Calibri" w:cs="Times New Roman"/>
                <w:bCs/>
                <w:color w:val="000000"/>
                <w:w w:val="103"/>
                <w:sz w:val="18"/>
                <w:szCs w:val="18"/>
                <w:lang w:val="sr-Cyrl-CS"/>
              </w:rPr>
              <w:t>.</w:t>
            </w:r>
          </w:p>
        </w:tc>
        <w:tc>
          <w:tcPr>
            <w:tcW w:w="2430" w:type="dxa"/>
            <w:shd w:val="clear" w:color="auto" w:fill="auto"/>
            <w:tcMar>
              <w:top w:w="0" w:type="dxa"/>
              <w:left w:w="0" w:type="dxa"/>
              <w:bottom w:w="0" w:type="dxa"/>
              <w:right w:w="0" w:type="dxa"/>
            </w:tcMar>
            <w:vAlign w:val="center"/>
          </w:tcPr>
          <w:p w14:paraId="6F3BD95A"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spacing w:val="1"/>
                <w:w w:val="103"/>
                <w:sz w:val="18"/>
                <w:szCs w:val="18"/>
                <w:lang w:val="sr-Cyrl-CS"/>
              </w:rPr>
              <w:t>Транспорт гранула или муљног колача</w:t>
            </w:r>
          </w:p>
        </w:tc>
        <w:tc>
          <w:tcPr>
            <w:tcW w:w="2663" w:type="dxa"/>
            <w:shd w:val="clear" w:color="auto" w:fill="auto"/>
            <w:tcMar>
              <w:top w:w="0" w:type="dxa"/>
              <w:left w:w="0" w:type="dxa"/>
              <w:bottom w:w="0" w:type="dxa"/>
              <w:right w:w="0" w:type="dxa"/>
            </w:tcMar>
            <w:vAlign w:val="center"/>
          </w:tcPr>
          <w:p w14:paraId="660E5797" w14:textId="77777777" w:rsidR="000C2D68" w:rsidRPr="00E84C93" w:rsidRDefault="000C2D68" w:rsidP="00B831F7">
            <w:pPr>
              <w:widowControl w:val="0"/>
              <w:spacing w:after="0"/>
              <w:ind w:left="62" w:right="68"/>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Одлагање на монодепоније или транспорт у Регионални центар за управљање муљем на спаљивање (моноинсинерација)</w:t>
            </w:r>
            <w:r w:rsidRPr="00E84C93">
              <w:rPr>
                <w:rFonts w:eastAsia="Calibri" w:cs="Times New Roman"/>
                <w:bCs/>
                <w:color w:val="000000"/>
                <w:w w:val="103"/>
                <w:sz w:val="18"/>
                <w:szCs w:val="18"/>
                <w:lang w:val="sr-Cyrl-CS"/>
              </w:rPr>
              <w:t>.</w:t>
            </w:r>
          </w:p>
        </w:tc>
      </w:tr>
      <w:tr w:rsidR="000C2D68" w:rsidRPr="00E84C93" w14:paraId="7A098577" w14:textId="77777777" w:rsidTr="00A078B4">
        <w:trPr>
          <w:trHeight w:hRule="exact" w:val="1009"/>
        </w:trPr>
        <w:tc>
          <w:tcPr>
            <w:tcW w:w="535" w:type="dxa"/>
            <w:shd w:val="clear" w:color="auto" w:fill="auto"/>
            <w:tcMar>
              <w:top w:w="0" w:type="dxa"/>
              <w:left w:w="0" w:type="dxa"/>
              <w:bottom w:w="0" w:type="dxa"/>
              <w:right w:w="0" w:type="dxa"/>
            </w:tcMar>
            <w:vAlign w:val="center"/>
          </w:tcPr>
          <w:p w14:paraId="5F0DF805" w14:textId="77777777" w:rsidR="000C2D68" w:rsidRPr="00E84C93" w:rsidRDefault="000C2D68" w:rsidP="00B831F7">
            <w:pPr>
              <w:widowControl w:val="0"/>
              <w:spacing w:after="0"/>
              <w:ind w:left="48" w:right="15"/>
              <w:rPr>
                <w:rFonts w:cs="Times New Roman"/>
                <w:b/>
                <w:i/>
                <w:iCs/>
                <w:color w:val="FF0000"/>
                <w:w w:val="103"/>
                <w:sz w:val="18"/>
                <w:szCs w:val="18"/>
                <w:lang w:val="sr-Cyrl-CS"/>
              </w:rPr>
            </w:pPr>
            <w:r w:rsidRPr="00E84C93">
              <w:rPr>
                <w:rFonts w:eastAsia="Calibri" w:cs="Times New Roman"/>
                <w:b/>
                <w:i/>
                <w:iCs/>
                <w:color w:val="000000"/>
                <w:w w:val="103"/>
                <w:sz w:val="18"/>
                <w:szCs w:val="18"/>
                <w:lang w:val="sr-Cyrl-CS"/>
              </w:rPr>
              <w:t>f)</w:t>
            </w:r>
          </w:p>
        </w:tc>
        <w:tc>
          <w:tcPr>
            <w:tcW w:w="1080" w:type="dxa"/>
            <w:shd w:val="clear" w:color="auto" w:fill="auto"/>
            <w:tcMar>
              <w:top w:w="0" w:type="dxa"/>
              <w:left w:w="0" w:type="dxa"/>
              <w:bottom w:w="0" w:type="dxa"/>
              <w:right w:w="0" w:type="dxa"/>
            </w:tcMar>
            <w:vAlign w:val="center"/>
          </w:tcPr>
          <w:p w14:paraId="35F0BE65" w14:textId="77777777" w:rsidR="000C2D68" w:rsidRPr="00E84C93" w:rsidRDefault="000C2D68" w:rsidP="00B831F7">
            <w:pPr>
              <w:widowControl w:val="0"/>
              <w:spacing w:after="0"/>
              <w:ind w:left="62"/>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z w:val="18"/>
                <w:szCs w:val="18"/>
                <w:lang w:val="sr-Cyrl-CS"/>
              </w:rPr>
              <w:t xml:space="preserve"> </w:t>
            </w:r>
            <w:r w:rsidRPr="00E84C93">
              <w:rPr>
                <w:rFonts w:eastAsia="Calibri" w:cs="Times New Roman"/>
                <w:bCs/>
                <w:color w:val="000000"/>
                <w:spacing w:val="1"/>
                <w:w w:val="103"/>
                <w:sz w:val="18"/>
                <w:szCs w:val="18"/>
                <w:lang w:val="sr-Cyrl-CS"/>
              </w:rPr>
              <w:t>25</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w:t>
            </w:r>
            <w:r w:rsidRPr="00E84C93">
              <w:rPr>
                <w:rFonts w:eastAsia="Calibri" w:cs="Times New Roman"/>
                <w:bCs/>
                <w:color w:val="000000"/>
                <w:spacing w:val="2"/>
                <w:w w:val="103"/>
                <w:sz w:val="18"/>
                <w:szCs w:val="18"/>
                <w:lang w:val="sr-Cyrl-CS"/>
              </w:rPr>
              <w:t>0</w:t>
            </w:r>
            <w:r w:rsidRPr="00E84C93">
              <w:rPr>
                <w:rFonts w:eastAsia="Calibri" w:cs="Times New Roman"/>
                <w:bCs/>
                <w:color w:val="000000"/>
                <w:spacing w:val="1"/>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6FC4F5B7" w14:textId="77777777" w:rsidR="000C2D68" w:rsidRPr="00E84C93" w:rsidRDefault="000C2D68" w:rsidP="00B831F7">
            <w:pPr>
              <w:widowControl w:val="0"/>
              <w:spacing w:after="0"/>
              <w:ind w:left="62" w:right="53"/>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Високо ефикасна анаеробна дигестија са дезинтеграцијом муља и ЦЦХП (хлађење, грејање и електрична енергија)</w:t>
            </w:r>
            <w:r w:rsidRPr="00E84C93">
              <w:rPr>
                <w:rFonts w:eastAsia="Calibri" w:cs="Times New Roman"/>
                <w:bCs/>
                <w:color w:val="000000"/>
                <w:w w:val="103"/>
                <w:sz w:val="18"/>
                <w:szCs w:val="18"/>
                <w:lang w:val="sr-Cyrl-CS"/>
              </w:rPr>
              <w:t>.</w:t>
            </w:r>
          </w:p>
        </w:tc>
        <w:tc>
          <w:tcPr>
            <w:tcW w:w="3330" w:type="dxa"/>
            <w:shd w:val="clear" w:color="auto" w:fill="auto"/>
            <w:tcMar>
              <w:top w:w="0" w:type="dxa"/>
              <w:left w:w="0" w:type="dxa"/>
              <w:bottom w:w="0" w:type="dxa"/>
              <w:right w:w="0" w:type="dxa"/>
            </w:tcMar>
            <w:vAlign w:val="center"/>
          </w:tcPr>
          <w:p w14:paraId="72136331"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Термичко сушење</w:t>
            </w:r>
            <w:r w:rsidRPr="00E84C93">
              <w:rPr>
                <w:rFonts w:eastAsia="Calibri" w:cs="Times New Roman"/>
                <w:bCs/>
                <w:color w:val="000000"/>
                <w:w w:val="103"/>
                <w:sz w:val="18"/>
                <w:szCs w:val="18"/>
                <w:lang w:val="sr-Cyrl-CS"/>
              </w:rPr>
              <w:t>.</w:t>
            </w:r>
          </w:p>
        </w:tc>
        <w:tc>
          <w:tcPr>
            <w:tcW w:w="2430" w:type="dxa"/>
            <w:shd w:val="clear" w:color="auto" w:fill="auto"/>
            <w:tcMar>
              <w:top w:w="0" w:type="dxa"/>
              <w:left w:w="0" w:type="dxa"/>
              <w:bottom w:w="0" w:type="dxa"/>
              <w:right w:w="0" w:type="dxa"/>
            </w:tcMar>
            <w:vAlign w:val="center"/>
          </w:tcPr>
          <w:p w14:paraId="6CD1366D" w14:textId="77777777" w:rsidR="000C2D68" w:rsidRPr="00E84C93" w:rsidRDefault="000C2D68" w:rsidP="00B831F7">
            <w:pPr>
              <w:widowControl w:val="0"/>
              <w:spacing w:after="0"/>
              <w:ind w:left="62" w:right="306"/>
              <w:rPr>
                <w:rFonts w:cs="Times New Roman"/>
                <w:color w:val="000000"/>
                <w:w w:val="103"/>
                <w:sz w:val="18"/>
                <w:szCs w:val="18"/>
                <w:lang w:val="sr-Cyrl-CS"/>
              </w:rPr>
            </w:pPr>
            <w:r w:rsidRPr="00E84C93">
              <w:rPr>
                <w:rFonts w:eastAsia="Calibri" w:cs="Times New Roman"/>
                <w:bCs/>
                <w:color w:val="000000"/>
                <w:spacing w:val="1"/>
                <w:w w:val="103"/>
                <w:sz w:val="18"/>
                <w:szCs w:val="18"/>
                <w:lang w:val="sr-Cyrl-CS"/>
              </w:rPr>
              <w:t>Транспорт гранула</w:t>
            </w:r>
          </w:p>
        </w:tc>
        <w:tc>
          <w:tcPr>
            <w:tcW w:w="2663" w:type="dxa"/>
            <w:shd w:val="clear" w:color="auto" w:fill="auto"/>
            <w:tcMar>
              <w:top w:w="0" w:type="dxa"/>
              <w:left w:w="0" w:type="dxa"/>
              <w:bottom w:w="0" w:type="dxa"/>
              <w:right w:w="0" w:type="dxa"/>
            </w:tcMar>
            <w:vAlign w:val="center"/>
          </w:tcPr>
          <w:p w14:paraId="3121D588" w14:textId="08C81E07" w:rsidR="000C2D68" w:rsidRPr="00E84C93" w:rsidRDefault="000C2D68" w:rsidP="00B831F7">
            <w:pPr>
              <w:widowControl w:val="0"/>
              <w:spacing w:after="0"/>
              <w:ind w:left="62" w:right="68"/>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 xml:space="preserve">Одлагање на монодепоније или транспорт до </w:t>
            </w:r>
            <w:r w:rsidRPr="00E84C93">
              <w:rPr>
                <w:rFonts w:eastAsia="Calibri" w:cs="Times New Roman"/>
                <w:bCs/>
                <w:spacing w:val="1"/>
                <w:w w:val="103"/>
                <w:sz w:val="18"/>
                <w:szCs w:val="18"/>
                <w:lang w:val="sr-Cyrl-CS"/>
              </w:rPr>
              <w:t>Регионалног центра за управљање муљем на</w:t>
            </w:r>
            <w:r w:rsidRPr="00E84C93">
              <w:rPr>
                <w:rFonts w:eastAsia="Calibri" w:cs="Times New Roman"/>
                <w:bCs/>
                <w:color w:val="000000"/>
                <w:spacing w:val="2"/>
                <w:w w:val="103"/>
                <w:sz w:val="18"/>
                <w:szCs w:val="18"/>
                <w:lang w:val="sr-Cyrl-CS"/>
              </w:rPr>
              <w:t xml:space="preserve"> </w:t>
            </w:r>
            <w:r w:rsidR="005F3922" w:rsidRPr="00E84C93">
              <w:rPr>
                <w:rFonts w:eastAsia="Calibri" w:cs="Times New Roman"/>
                <w:bCs/>
                <w:color w:val="000000"/>
                <w:spacing w:val="2"/>
                <w:w w:val="103"/>
                <w:sz w:val="18"/>
                <w:szCs w:val="18"/>
                <w:lang w:val="sr-Cyrl-CS"/>
              </w:rPr>
              <w:t>мо</w:t>
            </w:r>
            <w:r w:rsidRPr="00E84C93">
              <w:rPr>
                <w:rFonts w:eastAsia="Calibri" w:cs="Times New Roman"/>
                <w:bCs/>
                <w:color w:val="000000"/>
                <w:spacing w:val="2"/>
                <w:w w:val="103"/>
                <w:sz w:val="18"/>
                <w:szCs w:val="18"/>
                <w:lang w:val="sr-Cyrl-CS"/>
              </w:rPr>
              <w:t>ноинсинерациј</w:t>
            </w:r>
            <w:r w:rsidR="005F3922" w:rsidRPr="00E84C93">
              <w:rPr>
                <w:rFonts w:eastAsia="Calibri" w:cs="Times New Roman"/>
                <w:bCs/>
                <w:color w:val="000000"/>
                <w:spacing w:val="2"/>
                <w:w w:val="103"/>
                <w:sz w:val="18"/>
                <w:szCs w:val="18"/>
                <w:lang w:val="sr-Cyrl-CS"/>
              </w:rPr>
              <w:t>у</w:t>
            </w:r>
            <w:r w:rsidRPr="00E84C93">
              <w:rPr>
                <w:rFonts w:eastAsia="Calibri" w:cs="Times New Roman"/>
                <w:bCs/>
                <w:color w:val="000000"/>
                <w:w w:val="103"/>
                <w:sz w:val="18"/>
                <w:szCs w:val="18"/>
                <w:lang w:val="sr-Cyrl-CS"/>
              </w:rPr>
              <w:t>.</w:t>
            </w:r>
          </w:p>
        </w:tc>
      </w:tr>
      <w:tr w:rsidR="000C2D68" w:rsidRPr="00E84C93" w14:paraId="78A09CC3" w14:textId="77777777" w:rsidTr="00B831F7">
        <w:trPr>
          <w:trHeight w:hRule="exact" w:val="910"/>
        </w:trPr>
        <w:tc>
          <w:tcPr>
            <w:tcW w:w="535" w:type="dxa"/>
            <w:shd w:val="clear" w:color="auto" w:fill="auto"/>
            <w:tcMar>
              <w:top w:w="0" w:type="dxa"/>
              <w:left w:w="0" w:type="dxa"/>
              <w:bottom w:w="0" w:type="dxa"/>
              <w:right w:w="0" w:type="dxa"/>
            </w:tcMar>
            <w:vAlign w:val="center"/>
          </w:tcPr>
          <w:p w14:paraId="5A5215DF" w14:textId="77777777" w:rsidR="000C2D68" w:rsidRPr="00E84C93" w:rsidRDefault="000C2D68" w:rsidP="00B831F7">
            <w:pPr>
              <w:widowControl w:val="0"/>
              <w:spacing w:after="0"/>
              <w:ind w:left="48" w:right="15"/>
              <w:rPr>
                <w:rFonts w:cs="Times New Roman"/>
                <w:b/>
                <w:i/>
                <w:iCs/>
                <w:color w:val="FF0000"/>
                <w:w w:val="103"/>
                <w:sz w:val="18"/>
                <w:szCs w:val="18"/>
                <w:lang w:val="sr-Cyrl-CS"/>
              </w:rPr>
            </w:pPr>
            <w:r w:rsidRPr="00E84C93">
              <w:rPr>
                <w:rFonts w:eastAsia="Calibri" w:cs="Times New Roman"/>
                <w:b/>
                <w:i/>
                <w:iCs/>
                <w:color w:val="000000"/>
                <w:w w:val="103"/>
                <w:sz w:val="18"/>
                <w:szCs w:val="18"/>
                <w:lang w:val="sr-Cyrl-CS"/>
              </w:rPr>
              <w:t>g)</w:t>
            </w:r>
            <w:r w:rsidRPr="00E84C93">
              <w:rPr>
                <w:rFonts w:eastAsia="Calibri" w:cs="Times New Roman"/>
                <w:b/>
                <w:i/>
                <w:iCs/>
                <w:color w:val="000000"/>
                <w:sz w:val="18"/>
                <w:szCs w:val="18"/>
                <w:lang w:val="sr-Cyrl-CS"/>
              </w:rPr>
              <w:t xml:space="preserve"> </w:t>
            </w:r>
          </w:p>
        </w:tc>
        <w:tc>
          <w:tcPr>
            <w:tcW w:w="1080" w:type="dxa"/>
            <w:shd w:val="clear" w:color="auto" w:fill="auto"/>
            <w:tcMar>
              <w:top w:w="0" w:type="dxa"/>
              <w:left w:w="0" w:type="dxa"/>
              <w:bottom w:w="0" w:type="dxa"/>
              <w:right w:w="0" w:type="dxa"/>
            </w:tcMar>
            <w:vAlign w:val="center"/>
          </w:tcPr>
          <w:p w14:paraId="1A1DFEBB"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w w:val="103"/>
                <w:sz w:val="18"/>
                <w:szCs w:val="18"/>
                <w:lang w:val="sr-Cyrl-CS"/>
              </w:rPr>
              <w:t>≥</w:t>
            </w:r>
            <w:r w:rsidRPr="00E84C93">
              <w:rPr>
                <w:rFonts w:eastAsia="Calibri" w:cs="Times New Roman"/>
                <w:bCs/>
                <w:color w:val="000000"/>
                <w:spacing w:val="3"/>
                <w:sz w:val="18"/>
                <w:szCs w:val="18"/>
                <w:lang w:val="sr-Cyrl-CS"/>
              </w:rPr>
              <w:t xml:space="preserve"> </w:t>
            </w:r>
            <w:r w:rsidRPr="00E84C93">
              <w:rPr>
                <w:rFonts w:eastAsia="Calibri" w:cs="Times New Roman"/>
                <w:bCs/>
                <w:color w:val="000000"/>
                <w:spacing w:val="2"/>
                <w:w w:val="103"/>
                <w:sz w:val="18"/>
                <w:szCs w:val="18"/>
                <w:lang w:val="sr-Cyrl-CS"/>
              </w:rPr>
              <w:t>2</w:t>
            </w:r>
            <w:r w:rsidRPr="00E84C93">
              <w:rPr>
                <w:rFonts w:eastAsia="Calibri" w:cs="Times New Roman"/>
                <w:bCs/>
                <w:color w:val="000000"/>
                <w:spacing w:val="1"/>
                <w:w w:val="103"/>
                <w:sz w:val="18"/>
                <w:szCs w:val="18"/>
                <w:lang w:val="sr-Cyrl-CS"/>
              </w:rPr>
              <w:t>50.0</w:t>
            </w:r>
            <w:r w:rsidRPr="00E84C93">
              <w:rPr>
                <w:rFonts w:eastAsia="Calibri" w:cs="Times New Roman"/>
                <w:bCs/>
                <w:color w:val="000000"/>
                <w:spacing w:val="2"/>
                <w:w w:val="103"/>
                <w:sz w:val="18"/>
                <w:szCs w:val="18"/>
                <w:lang w:val="sr-Cyrl-CS"/>
              </w:rPr>
              <w:t>0</w:t>
            </w:r>
            <w:r w:rsidRPr="00E84C93">
              <w:rPr>
                <w:rFonts w:eastAsia="Calibri" w:cs="Times New Roman"/>
                <w:bCs/>
                <w:color w:val="000000"/>
                <w:w w:val="103"/>
                <w:sz w:val="18"/>
                <w:szCs w:val="18"/>
                <w:lang w:val="sr-Cyrl-CS"/>
              </w:rPr>
              <w:t>0</w:t>
            </w:r>
          </w:p>
        </w:tc>
        <w:tc>
          <w:tcPr>
            <w:tcW w:w="3060" w:type="dxa"/>
            <w:shd w:val="clear" w:color="auto" w:fill="auto"/>
            <w:tcMar>
              <w:top w:w="0" w:type="dxa"/>
              <w:left w:w="0" w:type="dxa"/>
              <w:bottom w:w="0" w:type="dxa"/>
              <w:right w:w="0" w:type="dxa"/>
            </w:tcMar>
            <w:vAlign w:val="center"/>
          </w:tcPr>
          <w:p w14:paraId="0BC202EF" w14:textId="77777777" w:rsidR="000C2D68" w:rsidRPr="00E84C93" w:rsidRDefault="000C2D68" w:rsidP="00B831F7">
            <w:pPr>
              <w:widowControl w:val="0"/>
              <w:spacing w:after="0"/>
              <w:ind w:left="62" w:right="53"/>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 xml:space="preserve">Високо ефикасна анаеробна дигестија са дезинтеграцијом муља и ЦЦХП (хлађење, грејање и електрична енергија) </w:t>
            </w:r>
          </w:p>
        </w:tc>
        <w:tc>
          <w:tcPr>
            <w:tcW w:w="3330" w:type="dxa"/>
            <w:shd w:val="clear" w:color="auto" w:fill="auto"/>
            <w:tcMar>
              <w:top w:w="0" w:type="dxa"/>
              <w:left w:w="0" w:type="dxa"/>
              <w:bottom w:w="0" w:type="dxa"/>
              <w:right w:w="0" w:type="dxa"/>
            </w:tcMar>
            <w:vAlign w:val="center"/>
          </w:tcPr>
          <w:p w14:paraId="2CF74ABD"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Моноинсинерација</w:t>
            </w:r>
          </w:p>
        </w:tc>
        <w:tc>
          <w:tcPr>
            <w:tcW w:w="2430" w:type="dxa"/>
            <w:shd w:val="clear" w:color="auto" w:fill="auto"/>
            <w:tcMar>
              <w:top w:w="0" w:type="dxa"/>
              <w:left w:w="0" w:type="dxa"/>
              <w:bottom w:w="0" w:type="dxa"/>
              <w:right w:w="0" w:type="dxa"/>
            </w:tcMar>
            <w:vAlign w:val="center"/>
          </w:tcPr>
          <w:p w14:paraId="25FB0C2E" w14:textId="77777777" w:rsidR="000C2D68" w:rsidRPr="00E84C93" w:rsidRDefault="000C2D68" w:rsidP="00B831F7">
            <w:pPr>
              <w:widowControl w:val="0"/>
              <w:spacing w:after="0"/>
              <w:ind w:left="62" w:right="306"/>
              <w:rPr>
                <w:rFonts w:cs="Times New Roman"/>
                <w:color w:val="000000"/>
                <w:w w:val="103"/>
                <w:sz w:val="18"/>
                <w:szCs w:val="18"/>
                <w:lang w:val="sr-Cyrl-CS"/>
              </w:rPr>
            </w:pPr>
            <w:r w:rsidRPr="00E84C93">
              <w:rPr>
                <w:rFonts w:eastAsia="Calibri" w:cs="Times New Roman"/>
                <w:bCs/>
                <w:spacing w:val="1"/>
                <w:w w:val="103"/>
                <w:sz w:val="18"/>
                <w:szCs w:val="18"/>
                <w:lang w:val="sr-Cyrl-CS"/>
              </w:rPr>
              <w:t>Транспорт пепела</w:t>
            </w:r>
          </w:p>
        </w:tc>
        <w:tc>
          <w:tcPr>
            <w:tcW w:w="2663" w:type="dxa"/>
            <w:shd w:val="clear" w:color="auto" w:fill="auto"/>
            <w:tcMar>
              <w:top w:w="0" w:type="dxa"/>
              <w:left w:w="0" w:type="dxa"/>
              <w:bottom w:w="0" w:type="dxa"/>
              <w:right w:w="0" w:type="dxa"/>
            </w:tcMar>
            <w:vAlign w:val="center"/>
          </w:tcPr>
          <w:p w14:paraId="2B0EFA2F"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Одлагање на монодепоније</w:t>
            </w:r>
          </w:p>
        </w:tc>
      </w:tr>
      <w:tr w:rsidR="000C2D68" w:rsidRPr="00E84C93" w14:paraId="28E2331C" w14:textId="77777777" w:rsidTr="00A078B4">
        <w:trPr>
          <w:trHeight w:hRule="exact" w:val="703"/>
        </w:trPr>
        <w:tc>
          <w:tcPr>
            <w:tcW w:w="535" w:type="dxa"/>
            <w:shd w:val="clear" w:color="auto" w:fill="auto"/>
            <w:tcMar>
              <w:top w:w="0" w:type="dxa"/>
              <w:left w:w="0" w:type="dxa"/>
              <w:bottom w:w="0" w:type="dxa"/>
              <w:right w:w="0" w:type="dxa"/>
            </w:tcMar>
            <w:vAlign w:val="center"/>
          </w:tcPr>
          <w:p w14:paraId="44AACDD0" w14:textId="77777777" w:rsidR="000C2D68" w:rsidRPr="00E84C93" w:rsidRDefault="000C2D68" w:rsidP="00B831F7">
            <w:pPr>
              <w:spacing w:after="0"/>
              <w:rPr>
                <w:rFonts w:cs="Times New Roman"/>
                <w:sz w:val="18"/>
                <w:szCs w:val="18"/>
                <w:lang w:val="sr-Cyrl-CS"/>
              </w:rPr>
            </w:pPr>
          </w:p>
        </w:tc>
        <w:tc>
          <w:tcPr>
            <w:tcW w:w="1080" w:type="dxa"/>
            <w:shd w:val="clear" w:color="auto" w:fill="auto"/>
            <w:tcMar>
              <w:top w:w="0" w:type="dxa"/>
              <w:left w:w="0" w:type="dxa"/>
              <w:bottom w:w="0" w:type="dxa"/>
              <w:right w:w="0" w:type="dxa"/>
            </w:tcMar>
            <w:vAlign w:val="center"/>
          </w:tcPr>
          <w:p w14:paraId="67A690D5" w14:textId="77777777" w:rsidR="000C2D68" w:rsidRPr="00E84C93" w:rsidRDefault="000C2D68" w:rsidP="00B831F7">
            <w:pPr>
              <w:widowControl w:val="0"/>
              <w:spacing w:after="0"/>
              <w:ind w:left="62" w:right="-20"/>
              <w:rPr>
                <w:rFonts w:cs="Times New Roman"/>
                <w:color w:val="000000"/>
                <w:w w:val="103"/>
                <w:sz w:val="18"/>
                <w:szCs w:val="18"/>
                <w:lang w:val="sr-Cyrl-CS"/>
              </w:rPr>
            </w:pPr>
            <w:r w:rsidRPr="00E84C93">
              <w:rPr>
                <w:rFonts w:eastAsia="Calibri" w:cs="Times New Roman"/>
                <w:bCs/>
                <w:color w:val="000000"/>
                <w:spacing w:val="2"/>
                <w:w w:val="103"/>
                <w:sz w:val="18"/>
                <w:szCs w:val="18"/>
                <w:lang w:val="sr-Cyrl-CS"/>
              </w:rPr>
              <w:t>Опција</w:t>
            </w:r>
          </w:p>
        </w:tc>
        <w:tc>
          <w:tcPr>
            <w:tcW w:w="3060" w:type="dxa"/>
            <w:shd w:val="clear" w:color="auto" w:fill="auto"/>
            <w:tcMar>
              <w:top w:w="0" w:type="dxa"/>
              <w:left w:w="0" w:type="dxa"/>
              <w:bottom w:w="0" w:type="dxa"/>
              <w:right w:w="0" w:type="dxa"/>
            </w:tcMar>
            <w:vAlign w:val="center"/>
          </w:tcPr>
          <w:p w14:paraId="7C0F2746" w14:textId="77777777" w:rsidR="000C2D68" w:rsidRPr="00E84C93" w:rsidRDefault="000C2D68" w:rsidP="00B831F7">
            <w:pPr>
              <w:widowControl w:val="0"/>
              <w:spacing w:after="0"/>
              <w:ind w:left="62" w:right="67"/>
              <w:rPr>
                <w:rFonts w:cs="Times New Roman"/>
                <w:color w:val="000000"/>
                <w:w w:val="103"/>
                <w:sz w:val="18"/>
                <w:szCs w:val="18"/>
                <w:lang w:val="sr-Cyrl-CS"/>
              </w:rPr>
            </w:pPr>
            <w:r w:rsidRPr="00E84C93">
              <w:rPr>
                <w:rFonts w:eastAsia="Calibri" w:cs="Times New Roman"/>
                <w:bCs/>
                <w:spacing w:val="2"/>
                <w:w w:val="103"/>
                <w:sz w:val="18"/>
                <w:szCs w:val="18"/>
                <w:lang w:val="sr-Cyrl-CS"/>
              </w:rPr>
              <w:t xml:space="preserve">Екстракција магнезијум-амонијум-фосфата </w:t>
            </w:r>
            <w:r w:rsidRPr="00E84C93">
              <w:rPr>
                <w:rFonts w:eastAsia="Calibri" w:cs="Times New Roman"/>
                <w:bCs/>
                <w:spacing w:val="1"/>
                <w:w w:val="103"/>
                <w:sz w:val="18"/>
                <w:szCs w:val="18"/>
                <w:lang w:val="sr-Cyrl-CS"/>
              </w:rPr>
              <w:t>(издвајање и искоришћење фосфора из течне фазе</w:t>
            </w:r>
            <w:r w:rsidRPr="00E84C93">
              <w:rPr>
                <w:rFonts w:eastAsia="Calibri" w:cs="Times New Roman"/>
                <w:bCs/>
                <w:w w:val="103"/>
                <w:sz w:val="18"/>
                <w:szCs w:val="18"/>
                <w:lang w:val="sr-Cyrl-CS"/>
              </w:rPr>
              <w:t>)</w:t>
            </w:r>
          </w:p>
        </w:tc>
        <w:tc>
          <w:tcPr>
            <w:tcW w:w="3330" w:type="dxa"/>
            <w:shd w:val="clear" w:color="auto" w:fill="auto"/>
            <w:tcMar>
              <w:top w:w="0" w:type="dxa"/>
              <w:left w:w="0" w:type="dxa"/>
              <w:bottom w:w="0" w:type="dxa"/>
              <w:right w:w="0" w:type="dxa"/>
            </w:tcMar>
            <w:vAlign w:val="center"/>
          </w:tcPr>
          <w:p w14:paraId="6C6297D8" w14:textId="77777777" w:rsidR="000C2D68" w:rsidRPr="00E84C93" w:rsidRDefault="000C2D68" w:rsidP="00B831F7">
            <w:pPr>
              <w:widowControl w:val="0"/>
              <w:spacing w:after="0"/>
              <w:ind w:left="62" w:right="-20"/>
              <w:rPr>
                <w:rFonts w:eastAsia="Calibri" w:cs="Times New Roman"/>
                <w:bCs/>
                <w:color w:val="000000"/>
                <w:spacing w:val="1"/>
                <w:w w:val="103"/>
                <w:sz w:val="18"/>
                <w:szCs w:val="18"/>
                <w:lang w:val="sr-Cyrl-CS"/>
              </w:rPr>
            </w:pPr>
            <w:r w:rsidRPr="00E84C93">
              <w:rPr>
                <w:rFonts w:eastAsia="Calibri" w:cs="Times New Roman"/>
                <w:bCs/>
                <w:color w:val="000000"/>
                <w:spacing w:val="1"/>
                <w:w w:val="103"/>
                <w:sz w:val="18"/>
                <w:szCs w:val="18"/>
                <w:lang w:val="sr-Cyrl-CS"/>
              </w:rPr>
              <w:t>Коинсинерација</w:t>
            </w:r>
          </w:p>
        </w:tc>
        <w:tc>
          <w:tcPr>
            <w:tcW w:w="2430" w:type="dxa"/>
            <w:shd w:val="clear" w:color="auto" w:fill="auto"/>
            <w:tcMar>
              <w:top w:w="0" w:type="dxa"/>
              <w:left w:w="0" w:type="dxa"/>
              <w:bottom w:w="0" w:type="dxa"/>
              <w:right w:w="0" w:type="dxa"/>
            </w:tcMar>
            <w:vAlign w:val="center"/>
          </w:tcPr>
          <w:p w14:paraId="1D683D92" w14:textId="77777777" w:rsidR="000C2D68" w:rsidRPr="00E84C93" w:rsidRDefault="000C2D68" w:rsidP="00B831F7">
            <w:pPr>
              <w:widowControl w:val="0"/>
              <w:spacing w:after="0"/>
              <w:ind w:left="62" w:right="312"/>
              <w:rPr>
                <w:rFonts w:cs="Times New Roman"/>
                <w:color w:val="000000"/>
                <w:w w:val="103"/>
                <w:sz w:val="18"/>
                <w:szCs w:val="18"/>
                <w:lang w:val="sr-Cyrl-CS"/>
              </w:rPr>
            </w:pPr>
            <w:r w:rsidRPr="00E84C93">
              <w:rPr>
                <w:rFonts w:eastAsia="Calibri" w:cs="Times New Roman"/>
                <w:bCs/>
                <w:spacing w:val="1"/>
                <w:w w:val="103"/>
                <w:sz w:val="18"/>
                <w:szCs w:val="18"/>
                <w:lang w:val="sr-Cyrl-CS"/>
              </w:rPr>
              <w:t>Транспорт пепела</w:t>
            </w:r>
          </w:p>
        </w:tc>
        <w:tc>
          <w:tcPr>
            <w:tcW w:w="2663" w:type="dxa"/>
            <w:shd w:val="clear" w:color="auto" w:fill="auto"/>
            <w:tcMar>
              <w:top w:w="0" w:type="dxa"/>
              <w:left w:w="0" w:type="dxa"/>
              <w:bottom w:w="0" w:type="dxa"/>
              <w:right w:w="0" w:type="dxa"/>
            </w:tcMar>
            <w:vAlign w:val="center"/>
          </w:tcPr>
          <w:p w14:paraId="430EC682" w14:textId="77777777" w:rsidR="000C2D68" w:rsidRPr="00E84C93" w:rsidRDefault="000C2D68" w:rsidP="00B831F7">
            <w:pPr>
              <w:widowControl w:val="0"/>
              <w:spacing w:after="0"/>
              <w:ind w:left="62" w:right="80"/>
              <w:rPr>
                <w:rFonts w:cs="Times New Roman"/>
                <w:color w:val="000000"/>
                <w:w w:val="103"/>
                <w:sz w:val="18"/>
                <w:szCs w:val="18"/>
                <w:lang w:val="sr-Cyrl-CS"/>
              </w:rPr>
            </w:pPr>
            <w:r w:rsidRPr="00E84C93">
              <w:rPr>
                <w:rFonts w:eastAsia="Calibri" w:cs="Times New Roman"/>
                <w:bCs/>
                <w:spacing w:val="1"/>
                <w:w w:val="103"/>
                <w:sz w:val="18"/>
                <w:szCs w:val="18"/>
                <w:lang w:val="sr-Cyrl-CS"/>
              </w:rPr>
              <w:t>Депонија за одлагање чврстог отпада</w:t>
            </w:r>
            <w:r w:rsidRPr="00E84C93">
              <w:rPr>
                <w:rFonts w:eastAsia="Calibri" w:cs="Times New Roman"/>
                <w:bCs/>
                <w:color w:val="000000"/>
                <w:w w:val="103"/>
                <w:sz w:val="18"/>
                <w:szCs w:val="18"/>
                <w:lang w:val="sr-Cyrl-CS"/>
              </w:rPr>
              <w:t>.</w:t>
            </w:r>
          </w:p>
        </w:tc>
      </w:tr>
    </w:tbl>
    <w:p w14:paraId="21AF5CEA" w14:textId="77777777" w:rsidR="000C2D68" w:rsidRPr="00E84C93" w:rsidRDefault="000C2D68" w:rsidP="00280669">
      <w:pPr>
        <w:pStyle w:val="Caption"/>
        <w:rPr>
          <w:lang w:val="sr-Cyrl-CS"/>
        </w:rPr>
      </w:pPr>
    </w:p>
    <w:bookmarkEnd w:id="68"/>
    <w:bookmarkEnd w:id="69"/>
    <w:bookmarkEnd w:id="70"/>
    <w:p w14:paraId="5351BEAC" w14:textId="6C510599" w:rsidR="00453FF8" w:rsidRPr="00E84C93" w:rsidRDefault="00453FF8" w:rsidP="00702870">
      <w:pPr>
        <w:ind w:firstLine="720"/>
        <w:jc w:val="both"/>
        <w:rPr>
          <w:sz w:val="20"/>
          <w:szCs w:val="20"/>
          <w:lang w:val="sr-Cyrl-CS" w:bidi="en-US"/>
        </w:rPr>
        <w:sectPr w:rsidR="00453FF8" w:rsidRPr="00E84C93" w:rsidSect="001B734A">
          <w:pgSz w:w="15840" w:h="12240" w:orient="landscape"/>
          <w:pgMar w:top="1440" w:right="1440" w:bottom="1440" w:left="1440" w:header="720" w:footer="720" w:gutter="0"/>
          <w:cols w:space="720"/>
          <w:docGrid w:linePitch="360"/>
        </w:sectPr>
      </w:pPr>
    </w:p>
    <w:p w14:paraId="6DB058FB" w14:textId="75F855F8" w:rsidR="002A0A23" w:rsidRPr="00E84C93" w:rsidRDefault="00F71E2D" w:rsidP="000C54C0">
      <w:pPr>
        <w:pStyle w:val="Heading2"/>
        <w:numPr>
          <w:ilvl w:val="1"/>
          <w:numId w:val="8"/>
        </w:numPr>
        <w:rPr>
          <w:lang w:val="sr-Cyrl-CS"/>
        </w:rPr>
      </w:pPr>
      <w:bookmarkStart w:id="71" w:name="_Toc95129091"/>
      <w:bookmarkStart w:id="72" w:name="_Toc99920904"/>
      <w:r w:rsidRPr="00E84C93">
        <w:rPr>
          <w:lang w:val="sr-Cyrl-CS"/>
        </w:rPr>
        <w:lastRenderedPageBreak/>
        <w:t>Дугорочни</w:t>
      </w:r>
      <w:r w:rsidR="00CD4177" w:rsidRPr="00E84C93">
        <w:rPr>
          <w:lang w:val="sr-Cyrl-CS"/>
        </w:rPr>
        <w:t xml:space="preserve"> </w:t>
      </w:r>
      <w:r w:rsidR="0001530F" w:rsidRPr="00E84C93">
        <w:rPr>
          <w:lang w:val="sr-Cyrl-CS"/>
        </w:rPr>
        <w:t>приступ</w:t>
      </w:r>
      <w:r w:rsidR="00CD4177" w:rsidRPr="00E84C93">
        <w:rPr>
          <w:lang w:val="sr-Cyrl-CS"/>
        </w:rPr>
        <w:t xml:space="preserve"> третман</w:t>
      </w:r>
      <w:r w:rsidR="0001530F" w:rsidRPr="00E84C93">
        <w:rPr>
          <w:lang w:val="sr-Cyrl-CS"/>
        </w:rPr>
        <w:t>у</w:t>
      </w:r>
      <w:r w:rsidR="00CD4177" w:rsidRPr="00E84C93">
        <w:rPr>
          <w:lang w:val="sr-Cyrl-CS"/>
        </w:rPr>
        <w:t xml:space="preserve"> муљa</w:t>
      </w:r>
      <w:bookmarkStart w:id="73" w:name="_Toc87616635"/>
      <w:bookmarkEnd w:id="71"/>
      <w:bookmarkEnd w:id="72"/>
      <w:r w:rsidR="00CD4177" w:rsidRPr="00E84C93">
        <w:rPr>
          <w:lang w:val="sr-Cyrl-CS"/>
        </w:rPr>
        <w:t xml:space="preserve"> </w:t>
      </w:r>
      <w:bookmarkEnd w:id="73"/>
    </w:p>
    <w:p w14:paraId="21528AE6" w14:textId="77777777" w:rsidR="002A0A23" w:rsidRPr="00E84C93" w:rsidRDefault="002A0A23" w:rsidP="002A0A23">
      <w:pPr>
        <w:rPr>
          <w:lang w:val="sr-Cyrl-CS" w:bidi="en-US"/>
        </w:rPr>
      </w:pPr>
    </w:p>
    <w:p w14:paraId="07E595A9" w14:textId="1C2ACABC" w:rsidR="000C2D68" w:rsidRPr="00E84C93" w:rsidRDefault="00C27CE9" w:rsidP="000C2D68">
      <w:pPr>
        <w:spacing w:after="0"/>
        <w:ind w:firstLine="720"/>
        <w:jc w:val="both"/>
        <w:rPr>
          <w:rFonts w:cs="Times New Roman"/>
          <w:color w:val="0070C0"/>
          <w:lang w:val="sr-Cyrl-CS" w:bidi="en-US"/>
        </w:rPr>
      </w:pPr>
      <w:r w:rsidRPr="00E84C93">
        <w:rPr>
          <w:rFonts w:cs="Times New Roman"/>
          <w:lang w:val="sr-Cyrl-CS" w:bidi="en-US"/>
        </w:rPr>
        <w:t xml:space="preserve">Дугорочни концепт регионалног управљања муљем са постројења за пречишћавање отпадних вода обухвата </w:t>
      </w:r>
      <w:r w:rsidR="00AB159E" w:rsidRPr="00E84C93">
        <w:rPr>
          <w:rFonts w:cs="Times New Roman"/>
          <w:lang w:val="sr-Cyrl-CS" w:bidi="en-US"/>
        </w:rPr>
        <w:t xml:space="preserve">коришћење муља за рекултивацију девастираних локација, као и </w:t>
      </w:r>
      <w:r w:rsidRPr="00E84C93">
        <w:rPr>
          <w:rFonts w:cs="Times New Roman"/>
          <w:lang w:val="sr-Cyrl-CS" w:bidi="en-US"/>
        </w:rPr>
        <w:t xml:space="preserve">термички третман муља, сушењем муља и </w:t>
      </w:r>
      <w:r w:rsidR="00D010D1" w:rsidRPr="00E84C93">
        <w:rPr>
          <w:rFonts w:cs="Times New Roman"/>
          <w:szCs w:val="24"/>
          <w:lang w:val="sr-Cyrl-CS" w:bidi="en-US"/>
        </w:rPr>
        <w:t>моно</w:t>
      </w:r>
      <w:r w:rsidRPr="00E84C93">
        <w:rPr>
          <w:rFonts w:cs="Times New Roman"/>
          <w:szCs w:val="24"/>
          <w:lang w:val="sr-Cyrl-CS" w:bidi="en-US"/>
        </w:rPr>
        <w:t>инсинерацијом</w:t>
      </w:r>
      <w:r w:rsidRPr="00E84C93">
        <w:rPr>
          <w:rFonts w:cs="Times New Roman"/>
          <w:lang w:val="sr-Cyrl-CS" w:bidi="en-US"/>
        </w:rPr>
        <w:t xml:space="preserve">, примену алтернативних технологија (пиролиза, гасификација итд.), и складиштење муља на </w:t>
      </w:r>
      <w:r w:rsidR="00D010D1" w:rsidRPr="00E84C93">
        <w:rPr>
          <w:rFonts w:cs="Times New Roman"/>
          <w:lang w:val="sr-Cyrl-CS" w:bidi="en-US"/>
        </w:rPr>
        <w:t>моно</w:t>
      </w:r>
      <w:r w:rsidRPr="00E84C93">
        <w:rPr>
          <w:rFonts w:cs="Times New Roman"/>
          <w:lang w:val="sr-Cyrl-CS" w:bidi="en-US"/>
        </w:rPr>
        <w:t>депонијама које би у будућности представљале значајан извор фосфора (тзв. „рудници</w:t>
      </w:r>
      <w:r w:rsidR="00963F38" w:rsidRPr="00E84C93">
        <w:rPr>
          <w:rFonts w:cs="Times New Roman"/>
          <w:lang w:val="sr-Cyrl-CS" w:bidi="en-US"/>
        </w:rPr>
        <w:t>”</w:t>
      </w:r>
      <w:r w:rsidR="00C772BC" w:rsidRPr="00E84C93">
        <w:rPr>
          <w:rFonts w:cs="Times New Roman"/>
          <w:lang w:val="sr-Cyrl-CS" w:bidi="en-US"/>
        </w:rPr>
        <w:t xml:space="preserve"> фосфора)</w:t>
      </w:r>
      <w:r w:rsidR="00F15D1E" w:rsidRPr="00E84C93">
        <w:rPr>
          <w:rFonts w:cs="Times New Roman"/>
          <w:lang w:val="sr-Cyrl-CS" w:bidi="en-US"/>
        </w:rPr>
        <w:t>, као и примену муља у пољопривреди, уколико се потврди да је то прихватљиво</w:t>
      </w:r>
    </w:p>
    <w:p w14:paraId="3EC0CC01" w14:textId="3158A18F" w:rsidR="00A06E2C" w:rsidRPr="00E84C93" w:rsidRDefault="00C27CE9" w:rsidP="00C27CE9">
      <w:pPr>
        <w:spacing w:after="0"/>
        <w:ind w:firstLine="720"/>
        <w:jc w:val="both"/>
        <w:rPr>
          <w:rFonts w:cs="Times New Roman"/>
          <w:lang w:val="sr-Cyrl-CS" w:bidi="en-US"/>
        </w:rPr>
      </w:pPr>
      <w:r w:rsidRPr="00E84C93">
        <w:rPr>
          <w:rFonts w:cs="Times New Roman"/>
          <w:lang w:val="sr-Cyrl-CS" w:bidi="en-US"/>
        </w:rPr>
        <w:t xml:space="preserve">Концепт одлагања муља ће бити израђен за свако </w:t>
      </w:r>
      <w:r w:rsidRPr="00E84C93">
        <w:rPr>
          <w:rFonts w:cs="Times New Roman"/>
          <w:lang w:val="sr-Cyrl-CS"/>
        </w:rPr>
        <w:t>постројење за пречишћавање отпадних вода</w:t>
      </w:r>
      <w:r w:rsidR="00D010D1" w:rsidRPr="00E84C93">
        <w:rPr>
          <w:rFonts w:cs="Times New Roman"/>
          <w:lang w:val="sr-Cyrl-CS" w:bidi="en-US"/>
        </w:rPr>
        <w:t xml:space="preserve"> </w:t>
      </w:r>
      <w:r w:rsidRPr="00E84C93">
        <w:rPr>
          <w:rFonts w:cs="Times New Roman"/>
          <w:lang w:val="sr-Cyrl-CS" w:bidi="en-US"/>
        </w:rPr>
        <w:t>у циљу међуопштинског повезивања и реализације регионалног</w:t>
      </w:r>
      <w:r w:rsidR="00D010D1" w:rsidRPr="00E84C93">
        <w:rPr>
          <w:rFonts w:cs="Times New Roman"/>
          <w:lang w:val="sr-Cyrl-CS" w:bidi="en-US"/>
        </w:rPr>
        <w:t xml:space="preserve"> </w:t>
      </w:r>
      <w:r w:rsidRPr="00E84C93">
        <w:rPr>
          <w:rFonts w:cs="Times New Roman"/>
          <w:lang w:val="sr-Cyrl-CS" w:bidi="en-US"/>
        </w:rPr>
        <w:t>приступа управљања муљем уз поштовање принципа оптималних трошкова транспорта</w:t>
      </w:r>
      <w:r w:rsidR="00AB159E" w:rsidRPr="00E84C93">
        <w:rPr>
          <w:rFonts w:cs="Times New Roman"/>
          <w:lang w:val="sr-Cyrl-CS" w:bidi="en-US"/>
        </w:rPr>
        <w:t>,</w:t>
      </w:r>
      <w:r w:rsidRPr="00E84C93">
        <w:rPr>
          <w:rFonts w:cs="Times New Roman"/>
          <w:lang w:val="sr-Cyrl-CS" w:bidi="en-US"/>
        </w:rPr>
        <w:t xml:space="preserve"> док би извоз муља био забрањен</w:t>
      </w:r>
      <w:r w:rsidR="00A06E2C" w:rsidRPr="00E84C93">
        <w:rPr>
          <w:rFonts w:cs="Times New Roman"/>
          <w:lang w:val="sr-Cyrl-CS" w:bidi="en-US"/>
        </w:rPr>
        <w:t>.</w:t>
      </w:r>
    </w:p>
    <w:p w14:paraId="541009E8" w14:textId="7188B999" w:rsidR="002A0A23" w:rsidRPr="00E84C93" w:rsidRDefault="00AB159E" w:rsidP="00702870">
      <w:pPr>
        <w:spacing w:after="0"/>
        <w:ind w:firstLine="720"/>
        <w:jc w:val="both"/>
        <w:rPr>
          <w:rFonts w:cs="Times New Roman"/>
          <w:lang w:val="sr-Cyrl-CS" w:bidi="en-US"/>
        </w:rPr>
      </w:pPr>
      <w:r w:rsidRPr="00E84C93">
        <w:rPr>
          <w:rFonts w:cs="Times New Roman"/>
          <w:lang w:val="sr-Cyrl-CS" w:bidi="en-US"/>
        </w:rPr>
        <w:t xml:space="preserve">За опцију термичког третмана муља, </w:t>
      </w:r>
      <w:r w:rsidR="0092739A" w:rsidRPr="00E84C93">
        <w:rPr>
          <w:rFonts w:cs="Times New Roman"/>
          <w:lang w:val="sr-Cyrl-CS" w:bidi="en-US"/>
        </w:rPr>
        <w:t>Ц</w:t>
      </w:r>
      <w:r w:rsidR="002A0A23" w:rsidRPr="00E84C93">
        <w:rPr>
          <w:rFonts w:cs="Times New Roman"/>
          <w:lang w:val="sr-Cyrl-CS" w:bidi="en-US"/>
        </w:rPr>
        <w:t>ентри</w:t>
      </w:r>
      <w:r w:rsidR="0092739A" w:rsidRPr="00E84C93">
        <w:rPr>
          <w:rFonts w:cs="Times New Roman"/>
          <w:lang w:val="sr-Cyrl-CS" w:bidi="en-US"/>
        </w:rPr>
        <w:t xml:space="preserve"> за</w:t>
      </w:r>
      <w:r w:rsidR="002A0A23" w:rsidRPr="00E84C93">
        <w:rPr>
          <w:rFonts w:cs="Times New Roman"/>
          <w:lang w:val="sr-Cyrl-CS" w:bidi="en-US"/>
        </w:rPr>
        <w:t xml:space="preserve"> третман муља </w:t>
      </w:r>
      <w:r w:rsidR="0092739A" w:rsidRPr="00E84C93">
        <w:rPr>
          <w:rFonts w:cs="Times New Roman"/>
          <w:lang w:val="sr-Cyrl-CS" w:bidi="en-US"/>
        </w:rPr>
        <w:t>и</w:t>
      </w:r>
      <w:r w:rsidR="002A0A23" w:rsidRPr="00E84C93">
        <w:rPr>
          <w:rFonts w:cs="Times New Roman"/>
          <w:lang w:val="sr-Cyrl-CS" w:bidi="en-US"/>
        </w:rPr>
        <w:t xml:space="preserve"> </w:t>
      </w:r>
      <w:r w:rsidR="0092739A" w:rsidRPr="00E84C93">
        <w:rPr>
          <w:rFonts w:cs="Times New Roman"/>
          <w:lang w:val="sr-Cyrl-CS" w:bidi="en-US"/>
        </w:rPr>
        <w:t xml:space="preserve">Регионални </w:t>
      </w:r>
      <w:r w:rsidR="002A0A23" w:rsidRPr="00E84C93">
        <w:rPr>
          <w:rFonts w:cs="Times New Roman"/>
          <w:lang w:val="sr-Cyrl-CS" w:bidi="en-US"/>
        </w:rPr>
        <w:t xml:space="preserve">центри за управљање муљем </w:t>
      </w:r>
      <w:r w:rsidRPr="00E84C93">
        <w:rPr>
          <w:rFonts w:cs="Times New Roman"/>
          <w:lang w:val="sr-Cyrl-CS" w:bidi="en-US"/>
        </w:rPr>
        <w:t>би били</w:t>
      </w:r>
      <w:r w:rsidR="00C27CE9" w:rsidRPr="00E84C93">
        <w:rPr>
          <w:rFonts w:cs="Times New Roman"/>
          <w:lang w:val="sr-Cyrl-CS" w:bidi="en-US"/>
        </w:rPr>
        <w:t xml:space="preserve"> успостављени на нивоу округа и регионалном нивоу на следећи начин</w:t>
      </w:r>
      <w:r w:rsidR="002A0A23" w:rsidRPr="00E84C93">
        <w:rPr>
          <w:rFonts w:cs="Times New Roman"/>
          <w:lang w:val="sr-Cyrl-CS" w:bidi="en-US"/>
        </w:rPr>
        <w:t>:</w:t>
      </w:r>
    </w:p>
    <w:p w14:paraId="6132EF71" w14:textId="03C0D37D" w:rsidR="00C27CE9" w:rsidRPr="00E84C93" w:rsidRDefault="002A0A23" w:rsidP="005A3226">
      <w:pPr>
        <w:pStyle w:val="ListParagraph"/>
        <w:numPr>
          <w:ilvl w:val="0"/>
          <w:numId w:val="12"/>
        </w:numPr>
        <w:spacing w:after="0"/>
        <w:ind w:left="0" w:firstLine="720"/>
        <w:jc w:val="both"/>
        <w:rPr>
          <w:rFonts w:cs="Times New Roman"/>
          <w:lang w:val="sr-Cyrl-CS" w:bidi="en-US"/>
        </w:rPr>
      </w:pPr>
      <w:r w:rsidRPr="00E84C93">
        <w:rPr>
          <w:rFonts w:cs="Times New Roman"/>
          <w:lang w:val="sr-Cyrl-CS" w:bidi="en-US"/>
        </w:rPr>
        <w:t>Центар за третман муља</w:t>
      </w:r>
      <w:r w:rsidR="00366783" w:rsidRPr="00E84C93">
        <w:rPr>
          <w:rFonts w:cs="Times New Roman"/>
          <w:lang w:val="sr-Cyrl-CS" w:bidi="en-US"/>
        </w:rPr>
        <w:t xml:space="preserve"> </w:t>
      </w:r>
      <w:r w:rsidR="00C27CE9" w:rsidRPr="00E84C93">
        <w:rPr>
          <w:rFonts w:cs="Times New Roman"/>
          <w:lang w:val="sr-Cyrl-CS" w:bidi="en-US"/>
        </w:rPr>
        <w:t>на</w:t>
      </w:r>
      <w:r w:rsidRPr="00E84C93">
        <w:rPr>
          <w:rFonts w:cs="Times New Roman"/>
          <w:lang w:val="sr-Cyrl-CS" w:bidi="en-US"/>
        </w:rPr>
        <w:t xml:space="preserve"> </w:t>
      </w:r>
      <w:r w:rsidR="0016531B" w:rsidRPr="00E84C93">
        <w:rPr>
          <w:rFonts w:cs="Times New Roman"/>
          <w:lang w:val="sr-Cyrl-CS"/>
        </w:rPr>
        <w:t>постројењ</w:t>
      </w:r>
      <w:r w:rsidR="00C27CE9" w:rsidRPr="00E84C93">
        <w:rPr>
          <w:rFonts w:cs="Times New Roman"/>
          <w:lang w:val="sr-Cyrl-CS"/>
        </w:rPr>
        <w:t>им</w:t>
      </w:r>
      <w:r w:rsidR="0016531B" w:rsidRPr="00E84C93">
        <w:rPr>
          <w:rFonts w:cs="Times New Roman"/>
          <w:lang w:val="sr-Cyrl-CS"/>
        </w:rPr>
        <w:t>а за пречишћавање отпадних вода</w:t>
      </w:r>
      <w:r w:rsidR="0016531B" w:rsidRPr="00E84C93">
        <w:rPr>
          <w:rFonts w:cs="Times New Roman"/>
          <w:lang w:val="sr-Cyrl-CS" w:bidi="en-US"/>
        </w:rPr>
        <w:t xml:space="preserve"> </w:t>
      </w:r>
      <w:r w:rsidRPr="00E84C93">
        <w:rPr>
          <w:rFonts w:cs="Times New Roman"/>
          <w:lang w:val="sr-Cyrl-CS" w:bidi="en-US"/>
        </w:rPr>
        <w:t>средње величине (кат</w:t>
      </w:r>
      <w:r w:rsidR="00C27CE9" w:rsidRPr="00E84C93">
        <w:rPr>
          <w:rFonts w:cs="Times New Roman"/>
          <w:lang w:val="sr-Cyrl-CS" w:bidi="en-US"/>
        </w:rPr>
        <w:t>егорије</w:t>
      </w:r>
      <w:r w:rsidRPr="00E84C93">
        <w:rPr>
          <w:rFonts w:cs="Times New Roman"/>
          <w:lang w:val="sr-Cyrl-CS" w:bidi="en-US"/>
        </w:rPr>
        <w:t xml:space="preserve"> </w:t>
      </w:r>
      <w:r w:rsidRPr="00E84C93">
        <w:rPr>
          <w:rFonts w:cs="Times New Roman"/>
          <w:i/>
          <w:iCs/>
          <w:lang w:val="sr-Cyrl-CS" w:bidi="en-US"/>
        </w:rPr>
        <w:t>d</w:t>
      </w:r>
      <w:r w:rsidR="00B7146C" w:rsidRPr="00E84C93">
        <w:rPr>
          <w:rFonts w:cs="Times New Roman"/>
          <w:i/>
          <w:iCs/>
          <w:lang w:val="sr-Cyrl-CS" w:bidi="en-US"/>
        </w:rPr>
        <w:t xml:space="preserve"> </w:t>
      </w:r>
      <w:r w:rsidR="00B7146C" w:rsidRPr="00E84C93">
        <w:rPr>
          <w:rFonts w:cs="Times New Roman"/>
          <w:lang w:val="sr-Cyrl-CS" w:bidi="en-US"/>
        </w:rPr>
        <w:t xml:space="preserve">и </w:t>
      </w:r>
      <w:r w:rsidRPr="00E84C93">
        <w:rPr>
          <w:rFonts w:cs="Times New Roman"/>
          <w:i/>
          <w:iCs/>
          <w:lang w:val="sr-Cyrl-CS" w:bidi="en-US"/>
        </w:rPr>
        <w:t>e</w:t>
      </w:r>
      <w:r w:rsidRPr="00E84C93">
        <w:rPr>
          <w:rFonts w:cs="Times New Roman"/>
          <w:lang w:val="sr-Cyrl-CS" w:bidi="en-US"/>
        </w:rPr>
        <w:t>)</w:t>
      </w:r>
      <w:r w:rsidR="00366783" w:rsidRPr="00E84C93">
        <w:rPr>
          <w:rFonts w:cs="Times New Roman"/>
          <w:lang w:val="sr-Cyrl-CS" w:bidi="en-US"/>
        </w:rPr>
        <w:t>, чиме се</w:t>
      </w:r>
      <w:r w:rsidRPr="00E84C93">
        <w:rPr>
          <w:rFonts w:cs="Times New Roman"/>
          <w:lang w:val="sr-Cyrl-CS" w:bidi="en-US"/>
        </w:rPr>
        <w:t xml:space="preserve"> обезбеђуј</w:t>
      </w:r>
      <w:r w:rsidR="00366783" w:rsidRPr="00E84C93">
        <w:rPr>
          <w:rFonts w:cs="Times New Roman"/>
          <w:lang w:val="sr-Cyrl-CS" w:bidi="en-US"/>
        </w:rPr>
        <w:t>у</w:t>
      </w:r>
      <w:r w:rsidRPr="00E84C93">
        <w:rPr>
          <w:rFonts w:cs="Times New Roman"/>
          <w:lang w:val="sr-Cyrl-CS" w:bidi="en-US"/>
        </w:rPr>
        <w:t xml:space="preserve"> додатни капацитет</w:t>
      </w:r>
      <w:r w:rsidR="00366783" w:rsidRPr="00E84C93">
        <w:rPr>
          <w:rFonts w:cs="Times New Roman"/>
          <w:lang w:val="sr-Cyrl-CS" w:bidi="en-US"/>
        </w:rPr>
        <w:t>и</w:t>
      </w:r>
      <w:r w:rsidRPr="00E84C93">
        <w:rPr>
          <w:rFonts w:cs="Times New Roman"/>
          <w:lang w:val="sr-Cyrl-CS" w:bidi="en-US"/>
        </w:rPr>
        <w:t xml:space="preserve"> за </w:t>
      </w:r>
      <w:r w:rsidR="00C27CE9" w:rsidRPr="00E84C93">
        <w:rPr>
          <w:rFonts w:cs="Times New Roman"/>
          <w:lang w:val="sr-Cyrl-CS" w:bidi="en-US"/>
        </w:rPr>
        <w:t xml:space="preserve">прихват и </w:t>
      </w:r>
      <w:r w:rsidRPr="00E84C93">
        <w:rPr>
          <w:rFonts w:cs="Times New Roman"/>
          <w:lang w:val="sr-Cyrl-CS" w:bidi="en-US"/>
        </w:rPr>
        <w:t>третман муља или муљног колача (о</w:t>
      </w:r>
      <w:r w:rsidR="00C27CE9" w:rsidRPr="00E84C93">
        <w:rPr>
          <w:rFonts w:cs="Times New Roman"/>
          <w:lang w:val="sr-Cyrl-CS" w:bidi="en-US"/>
        </w:rPr>
        <w:t>без</w:t>
      </w:r>
      <w:r w:rsidRPr="00E84C93">
        <w:rPr>
          <w:rFonts w:cs="Times New Roman"/>
          <w:lang w:val="sr-Cyrl-CS" w:bidi="en-US"/>
        </w:rPr>
        <w:t xml:space="preserve">водњени муљ) из мањих </w:t>
      </w:r>
      <w:r w:rsidR="0016531B" w:rsidRPr="00E84C93">
        <w:rPr>
          <w:rFonts w:cs="Times New Roman"/>
          <w:lang w:val="sr-Cyrl-CS"/>
        </w:rPr>
        <w:t>постројења за пречишћавање отпадних вода</w:t>
      </w:r>
      <w:r w:rsidRPr="00E84C93">
        <w:rPr>
          <w:rFonts w:cs="Times New Roman"/>
          <w:lang w:val="sr-Cyrl-CS" w:bidi="en-US"/>
        </w:rPr>
        <w:t xml:space="preserve">, </w:t>
      </w:r>
      <w:r w:rsidR="00C27CE9" w:rsidRPr="00E84C93">
        <w:rPr>
          <w:rFonts w:cs="Times New Roman"/>
          <w:lang w:val="sr-Cyrl-CS" w:bidi="en-US"/>
        </w:rPr>
        <w:t xml:space="preserve">који подразумева сушење муља. Овако третирани муљ ће се одлагати на </w:t>
      </w:r>
      <w:r w:rsidR="00D010D1" w:rsidRPr="00E84C93">
        <w:rPr>
          <w:rFonts w:cs="Times New Roman"/>
          <w:lang w:val="sr-Cyrl-CS" w:bidi="en-US"/>
        </w:rPr>
        <w:t>моно</w:t>
      </w:r>
      <w:r w:rsidR="00C27CE9" w:rsidRPr="00E84C93">
        <w:rPr>
          <w:rFonts w:cs="Times New Roman"/>
          <w:lang w:val="sr-Cyrl-CS" w:bidi="en-US"/>
        </w:rPr>
        <w:t>депоније или транспортовати у Регионални центар за управљање муљем</w:t>
      </w:r>
      <w:r w:rsidR="005A3226" w:rsidRPr="00E84C93">
        <w:rPr>
          <w:rFonts w:cs="Times New Roman"/>
          <w:lang w:val="sr-Cyrl-CS" w:bidi="en-US"/>
        </w:rPr>
        <w:t>;</w:t>
      </w:r>
    </w:p>
    <w:p w14:paraId="1A13D930" w14:textId="5CE36C61" w:rsidR="002A0A23" w:rsidRPr="00E84C93" w:rsidRDefault="00C27CE9" w:rsidP="005A3226">
      <w:pPr>
        <w:pStyle w:val="ListParagraph"/>
        <w:numPr>
          <w:ilvl w:val="0"/>
          <w:numId w:val="12"/>
        </w:numPr>
        <w:spacing w:after="0"/>
        <w:ind w:left="0" w:firstLine="720"/>
        <w:jc w:val="both"/>
        <w:rPr>
          <w:rFonts w:cs="Times New Roman"/>
          <w:lang w:val="sr-Cyrl-CS" w:bidi="en-US"/>
        </w:rPr>
      </w:pPr>
      <w:r w:rsidRPr="00E84C93">
        <w:rPr>
          <w:rFonts w:cs="Times New Roman"/>
          <w:lang w:val="sr-Cyrl-CS" w:bidi="en-US"/>
        </w:rPr>
        <w:t>Регионални центар за управљање муљем ће бити лоциран уз</w:t>
      </w:r>
      <w:r w:rsidR="00D010D1" w:rsidRPr="00E84C93">
        <w:rPr>
          <w:rFonts w:cs="Times New Roman"/>
          <w:lang w:val="sr-Cyrl-CS" w:bidi="en-US"/>
        </w:rPr>
        <w:t xml:space="preserve"> </w:t>
      </w:r>
      <w:r w:rsidRPr="00E84C93">
        <w:rPr>
          <w:rFonts w:cs="Times New Roman"/>
          <w:lang w:val="sr-Cyrl-CS" w:bidi="en-US"/>
        </w:rPr>
        <w:t xml:space="preserve">велика </w:t>
      </w:r>
      <w:r w:rsidRPr="00E84C93">
        <w:rPr>
          <w:rFonts w:cs="Times New Roman"/>
          <w:lang w:val="sr-Cyrl-CS"/>
        </w:rPr>
        <w:t>постројења за пречишћавање отпадних вода</w:t>
      </w:r>
      <w:r w:rsidRPr="00E84C93">
        <w:rPr>
          <w:rFonts w:cs="Times New Roman"/>
          <w:lang w:val="sr-Cyrl-CS" w:bidi="en-US"/>
        </w:rPr>
        <w:t xml:space="preserve"> (категорије </w:t>
      </w:r>
      <w:r w:rsidRPr="00E84C93">
        <w:rPr>
          <w:rFonts w:cs="Times New Roman"/>
          <w:i/>
          <w:iCs/>
          <w:lang w:val="sr-Cyrl-CS" w:bidi="en-US"/>
        </w:rPr>
        <w:t xml:space="preserve">f </w:t>
      </w:r>
      <w:r w:rsidRPr="00E84C93">
        <w:rPr>
          <w:rFonts w:cs="Times New Roman"/>
          <w:lang w:val="sr-Cyrl-CS" w:bidi="en-US"/>
        </w:rPr>
        <w:t>и</w:t>
      </w:r>
      <w:r w:rsidRPr="00E84C93">
        <w:rPr>
          <w:rFonts w:cs="Times New Roman"/>
          <w:i/>
          <w:iCs/>
          <w:lang w:val="sr-Cyrl-CS" w:bidi="en-US"/>
        </w:rPr>
        <w:t xml:space="preserve"> g</w:t>
      </w:r>
      <w:r w:rsidRPr="00E84C93">
        <w:rPr>
          <w:rFonts w:cs="Times New Roman"/>
          <w:lang w:val="sr-Cyrl-CS" w:bidi="en-US"/>
        </w:rPr>
        <w:t>) са</w:t>
      </w:r>
      <w:r w:rsidR="00D010D1" w:rsidRPr="00E84C93">
        <w:rPr>
          <w:rFonts w:cs="Times New Roman"/>
          <w:lang w:val="sr-Cyrl-CS" w:bidi="en-US"/>
        </w:rPr>
        <w:t xml:space="preserve"> </w:t>
      </w:r>
      <w:r w:rsidRPr="00E84C93">
        <w:rPr>
          <w:rFonts w:cs="Times New Roman"/>
          <w:lang w:val="sr-Cyrl-CS" w:bidi="en-US"/>
        </w:rPr>
        <w:t>ин</w:t>
      </w:r>
      <w:r w:rsidR="00D010D1" w:rsidRPr="00E84C93">
        <w:rPr>
          <w:rFonts w:cs="Times New Roman"/>
          <w:lang w:val="sr-Cyrl-CS" w:bidi="en-US"/>
        </w:rPr>
        <w:t>с</w:t>
      </w:r>
      <w:r w:rsidRPr="00E84C93">
        <w:rPr>
          <w:rFonts w:cs="Times New Roman"/>
          <w:lang w:val="sr-Cyrl-CS" w:bidi="en-US"/>
        </w:rPr>
        <w:t>инерацијом</w:t>
      </w:r>
      <w:r w:rsidR="00D010D1" w:rsidRPr="00E84C93">
        <w:rPr>
          <w:rFonts w:cs="Times New Roman"/>
          <w:lang w:val="sr-Cyrl-CS" w:bidi="en-US"/>
        </w:rPr>
        <w:t xml:space="preserve"> </w:t>
      </w:r>
      <w:r w:rsidRPr="00E84C93">
        <w:rPr>
          <w:rFonts w:cs="Times New Roman"/>
          <w:lang w:val="sr-Cyrl-CS" w:bidi="en-US"/>
        </w:rPr>
        <w:t xml:space="preserve">муља, чиме се обезбеђују додатни капацитети за прихват, додатно сушење и спаљивање муља из мањих </w:t>
      </w:r>
      <w:r w:rsidRPr="00E84C93">
        <w:rPr>
          <w:rFonts w:cs="Times New Roman"/>
          <w:lang w:val="sr-Cyrl-CS"/>
        </w:rPr>
        <w:t>постројења за пречишћавање отпадних вода</w:t>
      </w:r>
      <w:r w:rsidRPr="00E84C93">
        <w:rPr>
          <w:rFonts w:cs="Times New Roman"/>
          <w:lang w:val="sr-Cyrl-CS" w:bidi="en-US"/>
        </w:rPr>
        <w:t xml:space="preserve"> и из Центара за третман муља. Пепео од сагоревања муља би се одлагао на </w:t>
      </w:r>
      <w:r w:rsidR="00D010D1" w:rsidRPr="00E84C93">
        <w:rPr>
          <w:rFonts w:cs="Times New Roman"/>
          <w:lang w:val="sr-Cyrl-CS" w:bidi="en-US"/>
        </w:rPr>
        <w:t>моно</w:t>
      </w:r>
      <w:r w:rsidRPr="00E84C93">
        <w:rPr>
          <w:rFonts w:cs="Times New Roman"/>
          <w:lang w:val="sr-Cyrl-CS" w:bidi="en-US"/>
        </w:rPr>
        <w:t>депоније за пепео у оквиру Регионал</w:t>
      </w:r>
      <w:r w:rsidR="00E84C93">
        <w:rPr>
          <w:rFonts w:cs="Times New Roman"/>
          <w:lang w:val="sr-Cyrl-CS" w:bidi="en-US"/>
        </w:rPr>
        <w:t>н</w:t>
      </w:r>
      <w:r w:rsidRPr="00E84C93">
        <w:rPr>
          <w:rFonts w:cs="Times New Roman"/>
          <w:lang w:val="sr-Cyrl-CS" w:bidi="en-US"/>
        </w:rPr>
        <w:t>их центара</w:t>
      </w:r>
      <w:r w:rsidR="002A0A23" w:rsidRPr="00E84C93">
        <w:rPr>
          <w:rFonts w:cs="Times New Roman"/>
          <w:lang w:val="sr-Cyrl-CS" w:bidi="en-US"/>
        </w:rPr>
        <w:t>.</w:t>
      </w:r>
    </w:p>
    <w:p w14:paraId="508F271D" w14:textId="36C06500" w:rsidR="00C27CE9" w:rsidRPr="00E84C93" w:rsidRDefault="00C27CE9" w:rsidP="00C27CE9">
      <w:pPr>
        <w:spacing w:after="0"/>
        <w:ind w:firstLine="720"/>
        <w:jc w:val="both"/>
        <w:rPr>
          <w:rFonts w:cs="Times New Roman"/>
          <w:lang w:val="sr-Cyrl-CS" w:bidi="en-US"/>
        </w:rPr>
      </w:pPr>
      <w:r w:rsidRPr="00E84C93">
        <w:rPr>
          <w:rFonts w:cs="Times New Roman"/>
          <w:lang w:val="sr-Cyrl-CS" w:bidi="en-US"/>
        </w:rPr>
        <w:t xml:space="preserve">Основни приступ у концепту третмана муља је постепено смањење транспортованих количина муља (категорије </w:t>
      </w:r>
      <w:r w:rsidRPr="00E84C93">
        <w:rPr>
          <w:rFonts w:cs="Times New Roman"/>
          <w:i/>
          <w:iCs/>
          <w:lang w:val="sr-Cyrl-CS" w:bidi="en-US"/>
        </w:rPr>
        <w:t>a-d</w:t>
      </w:r>
      <w:r w:rsidRPr="00E84C93">
        <w:rPr>
          <w:rFonts w:cs="Times New Roman"/>
          <w:lang w:val="sr-Cyrl-CS" w:bidi="en-US"/>
        </w:rPr>
        <w:t xml:space="preserve">) применом соларног и термичког сушења стабилизованог муља на </w:t>
      </w:r>
      <w:r w:rsidRPr="00E84C93">
        <w:rPr>
          <w:rFonts w:cs="Times New Roman"/>
          <w:lang w:val="sr-Cyrl-CS"/>
        </w:rPr>
        <w:t>постројењима за пречишћавање отпадних вода</w:t>
      </w:r>
      <w:r w:rsidRPr="00E84C93">
        <w:rPr>
          <w:rFonts w:cs="Times New Roman"/>
          <w:lang w:val="sr-Cyrl-CS" w:bidi="en-US"/>
        </w:rPr>
        <w:t xml:space="preserve"> из категорије </w:t>
      </w:r>
      <w:r w:rsidRPr="00E84C93">
        <w:rPr>
          <w:rFonts w:cs="Times New Roman"/>
          <w:i/>
          <w:iCs/>
          <w:lang w:val="sr-Cyrl-CS" w:bidi="en-US"/>
        </w:rPr>
        <w:t>c</w:t>
      </w:r>
      <w:r w:rsidRPr="00E84C93">
        <w:rPr>
          <w:rFonts w:cs="Times New Roman"/>
          <w:lang w:val="sr-Cyrl-CS" w:bidi="en-US"/>
        </w:rPr>
        <w:t xml:space="preserve"> и </w:t>
      </w:r>
      <w:r w:rsidRPr="00E84C93">
        <w:rPr>
          <w:rFonts w:cs="Times New Roman"/>
          <w:i/>
          <w:iCs/>
          <w:lang w:val="sr-Cyrl-CS" w:bidi="en-US"/>
        </w:rPr>
        <w:t>d</w:t>
      </w:r>
      <w:r w:rsidRPr="00E84C93">
        <w:rPr>
          <w:rFonts w:cs="Times New Roman"/>
          <w:lang w:val="sr-Cyrl-CS" w:bidi="en-US"/>
        </w:rPr>
        <w:t xml:space="preserve">. Грануле осушеног муља се одлажу на </w:t>
      </w:r>
      <w:r w:rsidR="00D010D1" w:rsidRPr="00E84C93">
        <w:rPr>
          <w:rFonts w:cs="Times New Roman"/>
          <w:lang w:val="sr-Cyrl-CS" w:bidi="en-US"/>
        </w:rPr>
        <w:t>моно</w:t>
      </w:r>
      <w:r w:rsidRPr="00E84C93">
        <w:rPr>
          <w:rFonts w:cs="Times New Roman"/>
          <w:lang w:val="sr-Cyrl-CS" w:bidi="en-US"/>
        </w:rPr>
        <w:t>депоније.</w:t>
      </w:r>
    </w:p>
    <w:p w14:paraId="02422640" w14:textId="77777777" w:rsidR="00C92E27" w:rsidRPr="00E84C93" w:rsidRDefault="00C27CE9" w:rsidP="00C27CE9">
      <w:pPr>
        <w:spacing w:after="0"/>
        <w:ind w:firstLine="720"/>
        <w:jc w:val="both"/>
        <w:rPr>
          <w:rFonts w:cs="Times New Roman"/>
          <w:lang w:val="sr-Cyrl-CS" w:bidi="en-US"/>
        </w:rPr>
      </w:pPr>
      <w:r w:rsidRPr="00E84C93">
        <w:rPr>
          <w:rFonts w:cs="Times New Roman"/>
          <w:lang w:val="sr-Cyrl-CS" w:bidi="en-US"/>
        </w:rPr>
        <w:t xml:space="preserve">У случају да сушење муља није применљиво, обезводњени муљ се транспортује до следећег Регионалног центра за управљање муљем што утиче на повећање трошкова транспорта. Капацитет </w:t>
      </w:r>
      <w:r w:rsidR="00D010D1" w:rsidRPr="00E84C93">
        <w:rPr>
          <w:rFonts w:cs="Times New Roman"/>
          <w:lang w:val="sr-Cyrl-CS" w:bidi="en-US"/>
        </w:rPr>
        <w:t>инсинератора</w:t>
      </w:r>
      <w:r w:rsidRPr="00E84C93">
        <w:rPr>
          <w:rFonts w:cs="Times New Roman"/>
          <w:lang w:val="sr-Cyrl-CS" w:bidi="en-US"/>
        </w:rPr>
        <w:t xml:space="preserve"> за муљ (постројење за </w:t>
      </w:r>
      <w:r w:rsidR="00D010D1" w:rsidRPr="00E84C93">
        <w:rPr>
          <w:rFonts w:cs="Times New Roman"/>
          <w:lang w:val="sr-Cyrl-CS" w:bidi="en-US"/>
        </w:rPr>
        <w:t>моно</w:t>
      </w:r>
      <w:r w:rsidRPr="00E84C93">
        <w:rPr>
          <w:rFonts w:cs="Times New Roman"/>
          <w:lang w:val="sr-Cyrl-CS" w:bidi="en-US"/>
        </w:rPr>
        <w:t>инсинерацију) на п</w:t>
      </w:r>
      <w:r w:rsidRPr="00E84C93">
        <w:rPr>
          <w:rFonts w:cs="Times New Roman"/>
          <w:lang w:val="sr-Cyrl-CS"/>
        </w:rPr>
        <w:t>остројењима за пречишћавање отпадних вода</w:t>
      </w:r>
      <w:r w:rsidRPr="00E84C93">
        <w:rPr>
          <w:rFonts w:cs="Times New Roman"/>
          <w:lang w:val="sr-Cyrl-CS" w:bidi="en-US"/>
        </w:rPr>
        <w:t xml:space="preserve"> сврстаних у категорију </w:t>
      </w:r>
      <w:r w:rsidRPr="00E84C93">
        <w:rPr>
          <w:rFonts w:cs="Times New Roman"/>
          <w:i/>
          <w:iCs/>
          <w:lang w:val="sr-Cyrl-CS" w:bidi="en-US"/>
        </w:rPr>
        <w:t>g (</w:t>
      </w:r>
      <w:r w:rsidRPr="00E84C93">
        <w:rPr>
          <w:rFonts w:cs="Times New Roman"/>
          <w:lang w:val="sr-Cyrl-CS" w:bidi="en-US"/>
        </w:rPr>
        <w:t xml:space="preserve"> ≥ 250.000 ЕС), треба да буде пројектован тако да обезбеди довољан капацитет за прихват, сушење и спа</w:t>
      </w:r>
      <w:r w:rsidR="00D010D1" w:rsidRPr="00E84C93">
        <w:rPr>
          <w:rFonts w:cs="Times New Roman"/>
          <w:lang w:val="sr-Cyrl-CS" w:bidi="en-US"/>
        </w:rPr>
        <w:t>љ</w:t>
      </w:r>
      <w:r w:rsidRPr="00E84C93">
        <w:rPr>
          <w:rFonts w:cs="Times New Roman"/>
          <w:lang w:val="sr-Cyrl-CS" w:bidi="en-US"/>
        </w:rPr>
        <w:t xml:space="preserve">ивање муља са суседних </w:t>
      </w:r>
      <w:r w:rsidRPr="00E84C93">
        <w:rPr>
          <w:rFonts w:cs="Times New Roman"/>
          <w:lang w:val="sr-Cyrl-CS"/>
        </w:rPr>
        <w:t>постројења за пречишћавање отпадних вода,</w:t>
      </w:r>
      <w:r w:rsidRPr="00E84C93">
        <w:rPr>
          <w:rFonts w:cs="Times New Roman"/>
          <w:lang w:val="sr-Cyrl-CS" w:bidi="en-US"/>
        </w:rPr>
        <w:t xml:space="preserve"> као и муља из Центара за третман муља.</w:t>
      </w:r>
      <w:r w:rsidR="00C92E27" w:rsidRPr="00E84C93">
        <w:rPr>
          <w:rFonts w:cs="Times New Roman"/>
          <w:lang w:val="sr-Cyrl-CS" w:bidi="en-US"/>
        </w:rPr>
        <w:t xml:space="preserve"> </w:t>
      </w:r>
    </w:p>
    <w:p w14:paraId="2CFE02E8" w14:textId="7A17E892" w:rsidR="002A0A23" w:rsidRPr="00E84C93" w:rsidRDefault="00C92E27" w:rsidP="00C27CE9">
      <w:pPr>
        <w:spacing w:after="0"/>
        <w:ind w:firstLine="720"/>
        <w:jc w:val="both"/>
        <w:rPr>
          <w:rFonts w:cs="Times New Roman"/>
          <w:lang w:val="sr-Cyrl-CS" w:bidi="en-US"/>
        </w:rPr>
      </w:pPr>
      <w:r w:rsidRPr="00E84C93">
        <w:rPr>
          <w:rFonts w:cs="Times New Roman"/>
          <w:lang w:val="sr-Cyrl-CS" w:bidi="en-US"/>
        </w:rPr>
        <w:t>И</w:t>
      </w:r>
      <w:r w:rsidR="00764E6C" w:rsidRPr="00E84C93">
        <w:rPr>
          <w:rFonts w:cs="Times New Roman"/>
          <w:lang w:val="sr-Cyrl-CS" w:bidi="en-US"/>
        </w:rPr>
        <w:t>мајући у виду величину и број агломерација на територији града Београда алтернативни приступ би могао да укључи и рекуперацију фосфора из течне фазе муља што би омогућило ко</w:t>
      </w:r>
      <w:r w:rsidR="00990BBE" w:rsidRPr="00E84C93">
        <w:rPr>
          <w:rFonts w:cs="Times New Roman"/>
          <w:lang w:val="sr-Cyrl-CS" w:bidi="en-US"/>
        </w:rPr>
        <w:t>инсинерацију</w:t>
      </w:r>
      <w:r w:rsidR="00764E6C" w:rsidRPr="00E84C93">
        <w:rPr>
          <w:rFonts w:cs="Times New Roman"/>
          <w:lang w:val="sr-Cyrl-CS" w:bidi="en-US"/>
        </w:rPr>
        <w:t xml:space="preserve"> муља заједно са чврстим отпадом. У случају да није могуће имплементирати решења за издвајање фосфора, неопходно је обезбедити </w:t>
      </w:r>
      <w:r w:rsidR="00D010D1" w:rsidRPr="00E84C93">
        <w:rPr>
          <w:rFonts w:cs="Times New Roman"/>
          <w:szCs w:val="24"/>
          <w:lang w:val="sr-Cyrl-CS" w:bidi="en-US"/>
        </w:rPr>
        <w:t>моно</w:t>
      </w:r>
      <w:r w:rsidR="00C27CE9" w:rsidRPr="00E84C93">
        <w:rPr>
          <w:rFonts w:cs="Times New Roman"/>
          <w:szCs w:val="24"/>
          <w:lang w:val="sr-Cyrl-CS" w:bidi="en-US"/>
        </w:rPr>
        <w:t xml:space="preserve">инсинерацију </w:t>
      </w:r>
      <w:r w:rsidR="00C27CE9" w:rsidRPr="00E84C93">
        <w:rPr>
          <w:rFonts w:cs="Times New Roman"/>
          <w:lang w:val="sr-Cyrl-CS" w:bidi="en-US"/>
        </w:rPr>
        <w:t xml:space="preserve">и </w:t>
      </w:r>
      <w:r w:rsidR="00D010D1" w:rsidRPr="00E84C93">
        <w:rPr>
          <w:rFonts w:cs="Times New Roman"/>
          <w:lang w:val="sr-Cyrl-CS" w:bidi="en-US"/>
        </w:rPr>
        <w:t>моно</w:t>
      </w:r>
      <w:r w:rsidR="00C27CE9" w:rsidRPr="00E84C93">
        <w:rPr>
          <w:rFonts w:cs="Times New Roman"/>
          <w:lang w:val="sr-Cyrl-CS" w:bidi="en-US"/>
        </w:rPr>
        <w:t>депонију</w:t>
      </w:r>
      <w:r w:rsidR="002A0A23" w:rsidRPr="00E84C93">
        <w:rPr>
          <w:rFonts w:cs="Times New Roman"/>
          <w:lang w:val="sr-Cyrl-CS" w:bidi="en-US"/>
        </w:rPr>
        <w:t>.</w:t>
      </w:r>
    </w:p>
    <w:p w14:paraId="27C23FD8" w14:textId="48AF8ED2" w:rsidR="002A0A23" w:rsidRPr="00E84C93" w:rsidRDefault="008E3C23" w:rsidP="00736A5C">
      <w:pPr>
        <w:spacing w:after="0"/>
        <w:ind w:firstLine="720"/>
        <w:jc w:val="both"/>
        <w:rPr>
          <w:rFonts w:cs="Times New Roman"/>
          <w:szCs w:val="24"/>
          <w:lang w:val="sr-Cyrl-CS" w:bidi="en-US"/>
        </w:rPr>
      </w:pPr>
      <w:r w:rsidRPr="00E84C93">
        <w:rPr>
          <w:rFonts w:cs="Times New Roman"/>
          <w:lang w:val="sr-Cyrl-CS" w:bidi="en-US"/>
        </w:rPr>
        <w:t>П</w:t>
      </w:r>
      <w:r w:rsidR="002A0A23" w:rsidRPr="00E84C93">
        <w:rPr>
          <w:rFonts w:cs="Times New Roman"/>
          <w:lang w:val="sr-Cyrl-CS" w:bidi="en-US"/>
        </w:rPr>
        <w:t xml:space="preserve">роизводња сувих гранула муља (или пелета) није предвиђена за </w:t>
      </w:r>
      <w:r w:rsidR="0016531B" w:rsidRPr="00E84C93">
        <w:rPr>
          <w:rFonts w:cs="Times New Roman"/>
          <w:lang w:val="sr-Cyrl-CS"/>
        </w:rPr>
        <w:t>постројења за пречишћавање отпадних вода</w:t>
      </w:r>
      <w:r w:rsidR="002A0A23" w:rsidRPr="00E84C93">
        <w:rPr>
          <w:rFonts w:cs="Times New Roman"/>
          <w:szCs w:val="24"/>
          <w:lang w:val="sr-Cyrl-CS" w:bidi="en-US"/>
        </w:rPr>
        <w:t xml:space="preserve"> која су у изградњи или у процесу планирања.</w:t>
      </w:r>
    </w:p>
    <w:p w14:paraId="2EB643A5" w14:textId="77777777" w:rsidR="001C3B7A" w:rsidRPr="00E84C93" w:rsidRDefault="001C3B7A" w:rsidP="001C3B7A">
      <w:pPr>
        <w:spacing w:after="0"/>
        <w:ind w:firstLine="720"/>
        <w:jc w:val="both"/>
        <w:rPr>
          <w:rFonts w:cs="Times New Roman"/>
          <w:szCs w:val="24"/>
          <w:lang w:val="sr-Cyrl-CS" w:bidi="en-US"/>
        </w:rPr>
      </w:pPr>
      <w:r w:rsidRPr="00E84C93">
        <w:rPr>
          <w:rFonts w:cs="Times New Roman"/>
          <w:szCs w:val="24"/>
          <w:lang w:val="sr-Cyrl-CS" w:bidi="en-US"/>
        </w:rPr>
        <w:t xml:space="preserve">У наставку је представљен општи концепт који се односи на коначно искоришћење топлотне енергије за различите величине постројења за пречишћавање отпадних вода у </w:t>
      </w:r>
      <w:r w:rsidRPr="00E84C93">
        <w:rPr>
          <w:rFonts w:cs="Times New Roman"/>
          <w:szCs w:val="24"/>
          <w:lang w:val="sr-Cyrl-CS" w:bidi="en-US"/>
        </w:rPr>
        <w:lastRenderedPageBreak/>
        <w:t xml:space="preserve">оквиру регионалног концепта одлагања </w:t>
      </w:r>
      <w:r w:rsidRPr="00E84C93">
        <w:rPr>
          <w:rFonts w:cs="Times New Roman"/>
          <w:szCs w:val="24"/>
          <w:lang w:val="sr-Cyrl-CS"/>
        </w:rPr>
        <w:t>муља из постројења за пречишћавање отпадних вода</w:t>
      </w:r>
      <w:r w:rsidRPr="00E84C93">
        <w:rPr>
          <w:rFonts w:cs="Times New Roman"/>
          <w:szCs w:val="24"/>
          <w:lang w:val="sr-Cyrl-CS" w:bidi="en-US"/>
        </w:rPr>
        <w:t>.</w:t>
      </w:r>
    </w:p>
    <w:p w14:paraId="214DD102" w14:textId="6E5A24A0" w:rsidR="001C3B7A" w:rsidRPr="00E84C93" w:rsidRDefault="001C3B7A" w:rsidP="001C3B7A">
      <w:pPr>
        <w:spacing w:after="0"/>
        <w:ind w:firstLine="720"/>
        <w:jc w:val="both"/>
        <w:rPr>
          <w:rFonts w:cs="Times New Roman"/>
          <w:szCs w:val="24"/>
          <w:lang w:val="sr-Cyrl-CS" w:bidi="en-US"/>
        </w:rPr>
      </w:pPr>
      <w:r w:rsidRPr="00E84C93">
        <w:rPr>
          <w:rFonts w:cs="Times New Roman"/>
          <w:szCs w:val="24"/>
          <w:lang w:val="sr-Cyrl-CS" w:bidi="en-US"/>
        </w:rPr>
        <w:t xml:space="preserve">На примарном нивоу, дигестирани и угушћени муљ се са мањих постројења за пречишћавање отпадних вода (1) категорије </w:t>
      </w:r>
      <w:r w:rsidRPr="00E84C93">
        <w:rPr>
          <w:rFonts w:cs="Times New Roman"/>
          <w:i/>
          <w:iCs/>
          <w:szCs w:val="24"/>
          <w:lang w:val="sr-Cyrl-CS" w:bidi="en-US"/>
        </w:rPr>
        <w:t>a</w:t>
      </w:r>
      <w:r w:rsidRPr="00E84C93">
        <w:rPr>
          <w:rFonts w:cs="Times New Roman"/>
          <w:szCs w:val="24"/>
          <w:lang w:val="sr-Cyrl-CS" w:bidi="en-US"/>
        </w:rPr>
        <w:t xml:space="preserve"> шаље у суседно веће постројење (средње величине) за пречишћавање отпадних вода (2) категорије </w:t>
      </w:r>
      <w:r w:rsidRPr="00E84C93">
        <w:rPr>
          <w:rFonts w:cs="Times New Roman"/>
          <w:i/>
          <w:iCs/>
          <w:szCs w:val="24"/>
          <w:lang w:val="sr-Cyrl-CS" w:bidi="en-US"/>
        </w:rPr>
        <w:t>b/c</w:t>
      </w:r>
      <w:r w:rsidRPr="00E84C93">
        <w:rPr>
          <w:rFonts w:cs="Times New Roman"/>
          <w:szCs w:val="24"/>
          <w:lang w:val="sr-Cyrl-CS" w:bidi="en-US"/>
        </w:rPr>
        <w:t xml:space="preserve">, где се врши обезводњавање и/или сушење муља (највероватније соларно сушење) ради смањења запремине за транспорт до Регионалног центра за управљање муљем на даљи третман или инсинерацију. Већа </w:t>
      </w:r>
      <w:r w:rsidRPr="00E84C93">
        <w:rPr>
          <w:rFonts w:cs="Times New Roman"/>
          <w:lang w:val="sr-Cyrl-CS"/>
        </w:rPr>
        <w:t>постројења за пречишћавање отпадних вода</w:t>
      </w:r>
      <w:r w:rsidRPr="00E84C93">
        <w:rPr>
          <w:rFonts w:cs="Times New Roman"/>
          <w:szCs w:val="24"/>
          <w:lang w:val="sr-Cyrl-CS" w:bidi="en-US"/>
        </w:rPr>
        <w:t xml:space="preserve"> (2) биће успостављена као Центри за третман муља на нивоу округа. Опционо, осушени муљ би се могао директно одлагати на монодепонију за муљ.</w:t>
      </w:r>
    </w:p>
    <w:p w14:paraId="4157F8D1" w14:textId="77777777" w:rsidR="001C3B7A" w:rsidRPr="00E84C93" w:rsidRDefault="001C3B7A" w:rsidP="001C3B7A">
      <w:pPr>
        <w:spacing w:after="0"/>
        <w:ind w:firstLine="720"/>
        <w:jc w:val="both"/>
        <w:rPr>
          <w:rFonts w:cs="Times New Roman"/>
          <w:szCs w:val="24"/>
          <w:lang w:val="sr-Cyrl-CS" w:bidi="en-US"/>
        </w:rPr>
      </w:pPr>
      <w:r w:rsidRPr="00E84C93">
        <w:rPr>
          <w:rFonts w:cs="Times New Roman"/>
          <w:szCs w:val="24"/>
          <w:lang w:val="sr-Cyrl-CS" w:bidi="en-US"/>
        </w:rPr>
        <w:t xml:space="preserve">На секундарном нивоу обезводњени муљ (колач) се транспортује до постројења за пречишћавање отпадних вода средње величине (3) из категорије </w:t>
      </w:r>
      <w:r w:rsidRPr="00E84C93">
        <w:rPr>
          <w:rFonts w:cs="Times New Roman"/>
          <w:i/>
          <w:iCs/>
          <w:szCs w:val="24"/>
          <w:lang w:val="sr-Cyrl-CS" w:bidi="en-US"/>
        </w:rPr>
        <w:t>d/e</w:t>
      </w:r>
      <w:r w:rsidRPr="00E84C93">
        <w:rPr>
          <w:rFonts w:cs="Times New Roman"/>
          <w:szCs w:val="24"/>
          <w:lang w:val="sr-Cyrl-CS" w:bidi="en-US"/>
        </w:rPr>
        <w:t xml:space="preserve"> која представљају децентрализоване центре за третман муља на додатну термичку обраду (или интензивно соларно сушење муља). На овом нивоу, муљ је у облику гранула и потенцијални излаз за осушени муљ је транспорт до Регионалног центра за управљање муљем на моноинсинерацију. Опционо, осушени муљ се може директно одлагати на депонију намењену једној врсти отпада.</w:t>
      </w:r>
    </w:p>
    <w:p w14:paraId="1206ECC7" w14:textId="506B4BC1" w:rsidR="001C3B7A" w:rsidRPr="00E84C93" w:rsidRDefault="001C3B7A" w:rsidP="001C3B7A">
      <w:pPr>
        <w:spacing w:after="0"/>
        <w:ind w:firstLine="720"/>
        <w:jc w:val="both"/>
        <w:rPr>
          <w:rFonts w:cs="Times New Roman"/>
          <w:szCs w:val="24"/>
          <w:lang w:val="sr-Cyrl-CS" w:bidi="en-US"/>
        </w:rPr>
      </w:pPr>
      <w:r w:rsidRPr="00E84C93">
        <w:rPr>
          <w:rFonts w:cs="Times New Roman"/>
          <w:szCs w:val="24"/>
          <w:lang w:val="sr-Cyrl-CS" w:bidi="en-US"/>
        </w:rPr>
        <w:t xml:space="preserve">Трећи ниво подразумева главне Регионалне центре за управљање муљем на локацији великих постројења за пречишћавање отпадних вода (категорије </w:t>
      </w:r>
      <w:r w:rsidRPr="00E84C93">
        <w:rPr>
          <w:rFonts w:cs="Times New Roman"/>
          <w:i/>
          <w:iCs/>
          <w:szCs w:val="24"/>
          <w:lang w:val="sr-Cyrl-CS" w:bidi="en-US"/>
        </w:rPr>
        <w:t>f/g</w:t>
      </w:r>
      <w:r w:rsidRPr="00E84C93">
        <w:rPr>
          <w:rFonts w:cs="Times New Roman"/>
          <w:szCs w:val="24"/>
          <w:lang w:val="sr-Cyrl-CS" w:bidi="en-US"/>
        </w:rPr>
        <w:t xml:space="preserve">) који на регионалном нивоу обезбеђују економски одрживе капацитете за инсинерацију и одлагање муља. У зависности од конкретних транспортних коридора и топографије региона, можда ће бити неопходно размотрити различито груписање и изградњу више Регионалних центара за управљање муљем. Примена децентрализованих или централизованих Регионалних центара за управљање муљем биће предмет детаљне процене за сваки регион </w:t>
      </w:r>
      <w:r w:rsidRPr="00E84C93">
        <w:rPr>
          <w:lang w:val="sr-Cyrl-CS"/>
        </w:rPr>
        <w:t xml:space="preserve">Републике </w:t>
      </w:r>
      <w:r w:rsidRPr="00E84C93">
        <w:rPr>
          <w:rFonts w:cs="Times New Roman"/>
          <w:szCs w:val="24"/>
          <w:lang w:val="sr-Cyrl-CS" w:bidi="en-US"/>
        </w:rPr>
        <w:t>Србије. Уопштено говорећи, трошкови транспорта централизованог концепта могу бити већи имајући у виду чињеницу да за разлику од сувих гранула, течни или обезводњени муљ заузима већу запремину за транспорт.</w:t>
      </w:r>
    </w:p>
    <w:p w14:paraId="73697F33" w14:textId="77777777" w:rsidR="009322FA" w:rsidRPr="00E84C93" w:rsidRDefault="009322FA" w:rsidP="00736A5C">
      <w:pPr>
        <w:pStyle w:val="ANormal"/>
        <w:spacing w:before="0" w:line="240" w:lineRule="auto"/>
        <w:ind w:firstLine="720"/>
        <w:rPr>
          <w:rFonts w:ascii="Times New Roman" w:hAnsi="Times New Roman" w:cs="Times New Roman"/>
          <w:b/>
          <w:bCs w:val="0"/>
          <w:sz w:val="24"/>
          <w:szCs w:val="24"/>
          <w:lang w:val="sr-Cyrl-CS"/>
        </w:rPr>
      </w:pPr>
      <w:bookmarkStart w:id="74" w:name="_Toc87616637"/>
      <w:bookmarkStart w:id="75" w:name="_Toc95129093"/>
    </w:p>
    <w:p w14:paraId="517D9BA3" w14:textId="338E413D" w:rsidR="002A0A23" w:rsidRPr="00E84C93" w:rsidRDefault="002A0A23" w:rsidP="00736A5C">
      <w:pPr>
        <w:pStyle w:val="ANormal"/>
        <w:spacing w:before="0" w:line="240" w:lineRule="auto"/>
        <w:ind w:firstLine="720"/>
        <w:rPr>
          <w:rFonts w:ascii="Times New Roman" w:hAnsi="Times New Roman" w:cs="Times New Roman"/>
          <w:b/>
          <w:bCs w:val="0"/>
          <w:color w:val="2E74B5" w:themeColor="accent1" w:themeShade="BF"/>
          <w:sz w:val="24"/>
          <w:szCs w:val="24"/>
          <w:lang w:val="sr-Cyrl-CS"/>
        </w:rPr>
      </w:pPr>
      <w:r w:rsidRPr="00E84C93">
        <w:rPr>
          <w:rFonts w:ascii="Times New Roman" w:hAnsi="Times New Roman" w:cs="Times New Roman"/>
          <w:b/>
          <w:bCs w:val="0"/>
          <w:color w:val="2E74B5" w:themeColor="accent1" w:themeShade="BF"/>
          <w:sz w:val="24"/>
          <w:szCs w:val="24"/>
          <w:lang w:val="sr-Cyrl-CS"/>
        </w:rPr>
        <w:t xml:space="preserve">Мала </w:t>
      </w:r>
      <w:bookmarkEnd w:id="74"/>
      <w:r w:rsidRPr="00E84C93">
        <w:rPr>
          <w:rFonts w:ascii="Times New Roman" w:hAnsi="Times New Roman" w:cs="Times New Roman"/>
          <w:b/>
          <w:bCs w:val="0"/>
          <w:color w:val="2E74B5" w:themeColor="accent1" w:themeShade="BF"/>
          <w:sz w:val="24"/>
          <w:szCs w:val="24"/>
          <w:lang w:val="sr-Cyrl-CS"/>
        </w:rPr>
        <w:t xml:space="preserve">постројења </w:t>
      </w:r>
      <w:r w:rsidR="0016531B" w:rsidRPr="00E84C93">
        <w:rPr>
          <w:rFonts w:ascii="Times New Roman" w:hAnsi="Times New Roman" w:cs="Times New Roman"/>
          <w:b/>
          <w:bCs w:val="0"/>
          <w:color w:val="2E74B5" w:themeColor="accent1" w:themeShade="BF"/>
          <w:sz w:val="24"/>
          <w:szCs w:val="24"/>
          <w:lang w:val="sr-Cyrl-CS"/>
        </w:rPr>
        <w:t>за пречишћавање отпадних вода</w:t>
      </w:r>
      <w:bookmarkEnd w:id="75"/>
    </w:p>
    <w:p w14:paraId="5AC8AA82" w14:textId="51DDE96E" w:rsidR="002A0A23" w:rsidRPr="00E84C93" w:rsidRDefault="002A0A23" w:rsidP="00736A5C">
      <w:pPr>
        <w:spacing w:after="0"/>
        <w:ind w:firstLine="720"/>
        <w:jc w:val="both"/>
        <w:rPr>
          <w:rFonts w:cs="Times New Roman"/>
          <w:szCs w:val="24"/>
          <w:lang w:val="sr-Cyrl-CS" w:bidi="en-US"/>
        </w:rPr>
      </w:pPr>
      <w:r w:rsidRPr="00E84C93">
        <w:rPr>
          <w:rFonts w:cs="Times New Roman"/>
          <w:szCs w:val="24"/>
          <w:lang w:val="sr-Cyrl-CS" w:bidi="en-US"/>
        </w:rPr>
        <w:t xml:space="preserve">Већина мањих </w:t>
      </w:r>
      <w:r w:rsidR="0016531B" w:rsidRPr="00E84C93">
        <w:rPr>
          <w:rFonts w:cs="Times New Roman"/>
          <w:lang w:val="sr-Cyrl-CS"/>
        </w:rPr>
        <w:t>постројења за пречишћавање отпадних вода</w:t>
      </w:r>
      <w:r w:rsidR="0016531B" w:rsidRPr="00E84C93">
        <w:rPr>
          <w:rFonts w:cs="Times New Roman"/>
          <w:szCs w:val="24"/>
          <w:lang w:val="sr-Cyrl-CS" w:bidi="en-US"/>
        </w:rPr>
        <w:t xml:space="preserve"> </w:t>
      </w:r>
      <w:r w:rsidRPr="00E84C93">
        <w:rPr>
          <w:rFonts w:cs="Times New Roman"/>
          <w:szCs w:val="24"/>
          <w:lang w:val="sr-Cyrl-CS" w:bidi="en-US"/>
        </w:rPr>
        <w:t xml:space="preserve">из категорије </w:t>
      </w:r>
      <w:r w:rsidRPr="00E84C93">
        <w:rPr>
          <w:rFonts w:cs="Times New Roman"/>
          <w:i/>
          <w:iCs/>
          <w:szCs w:val="24"/>
          <w:lang w:val="sr-Cyrl-CS" w:bidi="en-US"/>
        </w:rPr>
        <w:t>a</w:t>
      </w:r>
      <w:r w:rsidRPr="00E84C93">
        <w:rPr>
          <w:rFonts w:cs="Times New Roman"/>
          <w:szCs w:val="24"/>
          <w:lang w:val="sr-Cyrl-CS" w:bidi="en-US"/>
        </w:rPr>
        <w:t>) капацитета ≤ 2.000</w:t>
      </w:r>
      <w:r w:rsidR="00064A97" w:rsidRPr="00E84C93">
        <w:rPr>
          <w:rFonts w:cs="Times New Roman"/>
          <w:szCs w:val="24"/>
          <w:lang w:val="sr-Cyrl-CS" w:bidi="en-US"/>
        </w:rPr>
        <w:t xml:space="preserve"> </w:t>
      </w:r>
      <w:r w:rsidR="008C7EDF" w:rsidRPr="00E84C93">
        <w:rPr>
          <w:rFonts w:cs="Times New Roman"/>
          <w:lang w:val="sr-Cyrl-CS" w:bidi="en-US"/>
        </w:rPr>
        <w:t>ЕС</w:t>
      </w:r>
      <w:r w:rsidRPr="00E84C93">
        <w:rPr>
          <w:rFonts w:cs="Times New Roman"/>
          <w:szCs w:val="24"/>
          <w:lang w:val="sr-Cyrl-CS" w:bidi="en-US"/>
        </w:rPr>
        <w:t xml:space="preserve"> и из категорије </w:t>
      </w:r>
      <w:r w:rsidRPr="00E84C93">
        <w:rPr>
          <w:rFonts w:cs="Times New Roman"/>
          <w:i/>
          <w:iCs/>
          <w:szCs w:val="24"/>
          <w:lang w:val="sr-Cyrl-CS" w:bidi="en-US"/>
        </w:rPr>
        <w:t>b</w:t>
      </w:r>
      <w:r w:rsidRPr="00E84C93">
        <w:rPr>
          <w:rFonts w:cs="Times New Roman"/>
          <w:szCs w:val="24"/>
          <w:lang w:val="sr-Cyrl-CS" w:bidi="en-US"/>
        </w:rPr>
        <w:t>)</w:t>
      </w:r>
      <w:r w:rsidR="00064A97" w:rsidRPr="00E84C93">
        <w:rPr>
          <w:rFonts w:cs="Times New Roman"/>
          <w:szCs w:val="24"/>
          <w:lang w:val="sr-Cyrl-CS" w:bidi="en-US"/>
        </w:rPr>
        <w:t xml:space="preserve"> </w:t>
      </w:r>
      <w:r w:rsidRPr="00E84C93">
        <w:rPr>
          <w:rFonts w:cs="Times New Roman"/>
          <w:szCs w:val="24"/>
          <w:lang w:val="sr-Cyrl-CS" w:bidi="en-US"/>
        </w:rPr>
        <w:t xml:space="preserve">капацитета ≤ 10.000 </w:t>
      </w:r>
      <w:r w:rsidR="008C7EDF" w:rsidRPr="00E84C93">
        <w:rPr>
          <w:rFonts w:cs="Times New Roman"/>
          <w:lang w:val="sr-Cyrl-CS" w:bidi="en-US"/>
        </w:rPr>
        <w:t>ЕС</w:t>
      </w:r>
      <w:r w:rsidR="00064A97" w:rsidRPr="00E84C93">
        <w:rPr>
          <w:rFonts w:cs="Times New Roman"/>
          <w:szCs w:val="24"/>
          <w:lang w:val="sr-Cyrl-CS" w:bidi="en-US"/>
        </w:rPr>
        <w:t xml:space="preserve"> </w:t>
      </w:r>
      <w:r w:rsidRPr="00E84C93">
        <w:rPr>
          <w:rFonts w:cs="Times New Roman"/>
          <w:szCs w:val="24"/>
          <w:lang w:val="sr-Cyrl-CS" w:bidi="en-US"/>
        </w:rPr>
        <w:t xml:space="preserve">која испуњавају захтеве за квалитет ефлуента за секундарни третман отпадних вода </w:t>
      </w:r>
      <w:r w:rsidR="00C27CE9" w:rsidRPr="00E84C93">
        <w:rPr>
          <w:rFonts w:cs="Times New Roman"/>
          <w:szCs w:val="24"/>
          <w:lang w:val="sr-Cyrl-CS" w:bidi="en-US"/>
        </w:rPr>
        <w:t>налазе се</w:t>
      </w:r>
      <w:r w:rsidRPr="00E84C93">
        <w:rPr>
          <w:rFonts w:cs="Times New Roman"/>
          <w:szCs w:val="24"/>
          <w:lang w:val="sr-Cyrl-CS" w:bidi="en-US"/>
        </w:rPr>
        <w:t xml:space="preserve"> у руралним подручјима земље.</w:t>
      </w:r>
    </w:p>
    <w:p w14:paraId="5BAD5F2F" w14:textId="3195E407" w:rsidR="00C27CE9" w:rsidRPr="00E84C93" w:rsidRDefault="00C27CE9" w:rsidP="00C27CE9">
      <w:pPr>
        <w:spacing w:after="0"/>
        <w:ind w:firstLine="720"/>
        <w:jc w:val="both"/>
        <w:rPr>
          <w:rFonts w:cs="Times New Roman"/>
          <w:szCs w:val="24"/>
          <w:lang w:val="sr-Cyrl-CS" w:bidi="en-US"/>
        </w:rPr>
      </w:pPr>
      <w:r w:rsidRPr="00E84C93">
        <w:rPr>
          <w:rFonts w:cs="Times New Roman"/>
          <w:szCs w:val="24"/>
          <w:lang w:val="sr-Cyrl-CS" w:bidi="en-US"/>
        </w:rPr>
        <w:t>За мала постројења која обезбеђују секундарни третман уз аеробну стабилизацију муља предвиђено је одлагање муља на тршчаним пољима на којима се врши цеђење муља и минерализација уз помоћ биљака (хумификација). Тршчана поља чине водонепропусне касете са дренажним слојем и системом за прикупљање и одвођење оцедних вода на дну и засадом трске и димензионисана су за складиштење муља у дужем временском периоду (8-12 година). По завршетку оперативног циклуса тршчаног поља крајњи производ је стабилан, сличан хумусу и безбедан за примену на земљиште (рекултивација и мелиорација земљишта, пољопривреда, зелене површине, итд) у зависности од квалитета хумуса, и потреба.</w:t>
      </w:r>
      <w:r w:rsidR="00D010D1" w:rsidRPr="00E84C93">
        <w:rPr>
          <w:rFonts w:cs="Times New Roman"/>
          <w:szCs w:val="24"/>
          <w:lang w:val="sr-Cyrl-CS" w:bidi="en-US"/>
        </w:rPr>
        <w:t xml:space="preserve"> </w:t>
      </w:r>
    </w:p>
    <w:p w14:paraId="252968D0" w14:textId="7A01C70F" w:rsidR="00C27CE9" w:rsidRPr="00E84C93" w:rsidRDefault="00764E6C" w:rsidP="00C27CE9">
      <w:pPr>
        <w:spacing w:after="0"/>
        <w:ind w:firstLine="720"/>
        <w:jc w:val="both"/>
        <w:rPr>
          <w:rFonts w:cs="Times New Roman"/>
          <w:szCs w:val="24"/>
          <w:lang w:val="sr-Cyrl-CS" w:bidi="en-US"/>
        </w:rPr>
      </w:pPr>
      <w:r w:rsidRPr="00E84C93">
        <w:rPr>
          <w:rFonts w:cs="Times New Roman"/>
          <w:szCs w:val="24"/>
          <w:lang w:val="sr-Cyrl-CS" w:bidi="en-US"/>
        </w:rPr>
        <w:t xml:space="preserve">Споредни токови одлагања овако добијеног хумуса укључују транспорт до Центра за третман муља ради додатног сушења, компостирања или, у крајњем случају, транспорт до Регионалних центара за управљање муљем ради спаљивања </w:t>
      </w:r>
      <w:r w:rsidR="002F23AB" w:rsidRPr="00E84C93">
        <w:rPr>
          <w:rFonts w:cs="Times New Roman"/>
          <w:szCs w:val="24"/>
          <w:lang w:val="sr-Cyrl-CS" w:bidi="en-US"/>
        </w:rPr>
        <w:t>у</w:t>
      </w:r>
      <w:r w:rsidRPr="00E84C93">
        <w:rPr>
          <w:rFonts w:cs="Times New Roman"/>
          <w:szCs w:val="24"/>
          <w:lang w:val="sr-Cyrl-CS" w:bidi="en-US"/>
        </w:rPr>
        <w:t xml:space="preserve"> постројењу за </w:t>
      </w:r>
      <w:r w:rsidRPr="00E84C93">
        <w:rPr>
          <w:rFonts w:cs="Times New Roman"/>
          <w:szCs w:val="24"/>
          <w:lang w:val="sr-Cyrl-CS" w:bidi="en-US"/>
        </w:rPr>
        <w:lastRenderedPageBreak/>
        <w:t>моноинцинерацију (у случају да квалитет муља не испуњава стандарде квалитета за примену на земљишту</w:t>
      </w:r>
      <w:r w:rsidR="00C27CE9" w:rsidRPr="00E84C93">
        <w:rPr>
          <w:rFonts w:cs="Times New Roman"/>
          <w:szCs w:val="24"/>
          <w:lang w:val="sr-Cyrl-CS" w:bidi="en-US"/>
        </w:rPr>
        <w:t>).</w:t>
      </w:r>
    </w:p>
    <w:p w14:paraId="778053B9" w14:textId="40A6CC21" w:rsidR="002A0A23" w:rsidRPr="00E84C93" w:rsidRDefault="00C27CE9" w:rsidP="00C27CE9">
      <w:pPr>
        <w:spacing w:after="0"/>
        <w:ind w:firstLine="720"/>
        <w:jc w:val="both"/>
        <w:rPr>
          <w:rFonts w:cs="Times New Roman"/>
          <w:szCs w:val="24"/>
          <w:lang w:val="sr-Cyrl-CS" w:bidi="en-US"/>
        </w:rPr>
      </w:pPr>
      <w:r w:rsidRPr="00E84C93">
        <w:rPr>
          <w:rFonts w:cs="Times New Roman"/>
          <w:szCs w:val="24"/>
          <w:lang w:val="sr-Cyrl-CS" w:bidi="en-US"/>
        </w:rPr>
        <w:t>За веома мала постројења могућа решења су транспорт течног муља до суседног већег постројења на коме би се извршила његова стабилизација и обезводњавање или обезводњавање на мобилним станицама од стране екстерних служби</w:t>
      </w:r>
      <w:r w:rsidR="002A0A23" w:rsidRPr="00E84C93">
        <w:rPr>
          <w:rFonts w:cs="Times New Roman"/>
          <w:szCs w:val="24"/>
          <w:lang w:val="sr-Cyrl-CS" w:bidi="en-US"/>
        </w:rPr>
        <w:t xml:space="preserve">. </w:t>
      </w:r>
    </w:p>
    <w:p w14:paraId="20F7D030" w14:textId="77777777" w:rsidR="00064A97" w:rsidRPr="00E84C93" w:rsidRDefault="00064A97" w:rsidP="00DB371A">
      <w:pPr>
        <w:pStyle w:val="ANormal"/>
        <w:spacing w:before="0" w:line="240" w:lineRule="auto"/>
        <w:rPr>
          <w:rFonts w:ascii="Times New Roman" w:hAnsi="Times New Roman" w:cs="Times New Roman"/>
          <w:b/>
          <w:bCs w:val="0"/>
          <w:sz w:val="24"/>
          <w:szCs w:val="24"/>
          <w:lang w:val="sr-Cyrl-CS"/>
        </w:rPr>
      </w:pPr>
      <w:bookmarkStart w:id="76" w:name="_Toc95129094"/>
    </w:p>
    <w:p w14:paraId="0220F100" w14:textId="689E6E3C" w:rsidR="002A0A23" w:rsidRPr="00E84C93" w:rsidRDefault="002A0A23" w:rsidP="00736A5C">
      <w:pPr>
        <w:pStyle w:val="ANormal"/>
        <w:spacing w:before="0" w:line="240" w:lineRule="auto"/>
        <w:ind w:firstLine="720"/>
        <w:rPr>
          <w:rFonts w:ascii="Times New Roman" w:hAnsi="Times New Roman" w:cs="Times New Roman"/>
          <w:b/>
          <w:bCs w:val="0"/>
          <w:color w:val="2E74B5" w:themeColor="accent1" w:themeShade="BF"/>
          <w:sz w:val="24"/>
          <w:szCs w:val="24"/>
          <w:lang w:val="sr-Cyrl-CS"/>
        </w:rPr>
      </w:pPr>
      <w:r w:rsidRPr="00E84C93">
        <w:rPr>
          <w:rFonts w:ascii="Times New Roman" w:hAnsi="Times New Roman" w:cs="Times New Roman"/>
          <w:b/>
          <w:bCs w:val="0"/>
          <w:color w:val="2E74B5" w:themeColor="accent1" w:themeShade="BF"/>
          <w:sz w:val="24"/>
          <w:szCs w:val="24"/>
          <w:lang w:val="sr-Cyrl-CS"/>
        </w:rPr>
        <w:t xml:space="preserve">Постројења </w:t>
      </w:r>
      <w:r w:rsidR="0016531B" w:rsidRPr="00E84C93">
        <w:rPr>
          <w:rFonts w:ascii="Times New Roman" w:hAnsi="Times New Roman" w:cs="Times New Roman"/>
          <w:b/>
          <w:bCs w:val="0"/>
          <w:color w:val="2E74B5" w:themeColor="accent1" w:themeShade="BF"/>
          <w:sz w:val="24"/>
          <w:szCs w:val="24"/>
          <w:lang w:val="sr-Cyrl-CS"/>
        </w:rPr>
        <w:t>за пречишћавање отпадних вода</w:t>
      </w:r>
      <w:r w:rsidRPr="00E84C93">
        <w:rPr>
          <w:rFonts w:ascii="Times New Roman" w:hAnsi="Times New Roman" w:cs="Times New Roman"/>
          <w:b/>
          <w:bCs w:val="0"/>
          <w:color w:val="2E74B5" w:themeColor="accent1" w:themeShade="BF"/>
          <w:sz w:val="24"/>
          <w:szCs w:val="24"/>
          <w:lang w:val="sr-Cyrl-CS"/>
        </w:rPr>
        <w:t xml:space="preserve"> средње величине</w:t>
      </w:r>
      <w:bookmarkEnd w:id="76"/>
    </w:p>
    <w:p w14:paraId="3348C079" w14:textId="6B869C70" w:rsidR="00A33D7E" w:rsidRPr="00E84C93" w:rsidRDefault="00A33D7E" w:rsidP="00A33D7E">
      <w:pPr>
        <w:spacing w:after="0"/>
        <w:ind w:firstLine="720"/>
        <w:jc w:val="both"/>
        <w:rPr>
          <w:rFonts w:cs="Times New Roman"/>
          <w:szCs w:val="24"/>
          <w:lang w:val="sr-Cyrl-CS" w:bidi="en-US"/>
        </w:rPr>
      </w:pPr>
      <w:r w:rsidRPr="00E84C93">
        <w:rPr>
          <w:rFonts w:cs="Times New Roman"/>
          <w:lang w:val="sr-Cyrl-CS"/>
        </w:rPr>
        <w:t>Постројења за пречишћавање отпадних вода</w:t>
      </w:r>
      <w:r w:rsidRPr="00E84C93">
        <w:rPr>
          <w:rFonts w:cs="Times New Roman"/>
          <w:szCs w:val="24"/>
          <w:lang w:val="sr-Cyrl-CS" w:bidi="en-US"/>
        </w:rPr>
        <w:t xml:space="preserve"> средње величине из категорије </w:t>
      </w:r>
      <w:r w:rsidRPr="00E84C93">
        <w:rPr>
          <w:rFonts w:cs="Times New Roman"/>
          <w:i/>
          <w:iCs/>
          <w:szCs w:val="24"/>
          <w:lang w:val="sr-Cyrl-CS" w:bidi="en-US"/>
        </w:rPr>
        <w:t>c</w:t>
      </w:r>
      <w:r w:rsidRPr="00E84C93">
        <w:rPr>
          <w:rFonts w:cs="Times New Roman"/>
          <w:szCs w:val="24"/>
          <w:lang w:val="sr-Cyrl-CS" w:bidi="en-US"/>
        </w:rPr>
        <w:t xml:space="preserve">), капацитета 10.000 – 50.000 </w:t>
      </w:r>
      <w:r w:rsidRPr="00E84C93">
        <w:rPr>
          <w:rFonts w:cs="Times New Roman"/>
          <w:lang w:val="sr-Cyrl-CS" w:bidi="en-US"/>
        </w:rPr>
        <w:t>ЕС,</w:t>
      </w:r>
      <w:r w:rsidRPr="00E84C93">
        <w:rPr>
          <w:rFonts w:cs="Times New Roman"/>
          <w:szCs w:val="24"/>
          <w:lang w:val="sr-Cyrl-CS" w:bidi="en-US"/>
        </w:rPr>
        <w:t xml:space="preserve"> која испуњавају захтеве за квалитет ефлуента за осетљива подручја (уклањање нутријената) чине </w:t>
      </w:r>
      <w:r w:rsidR="00642D3C" w:rsidRPr="00E84C93">
        <w:rPr>
          <w:rFonts w:cs="Times New Roman"/>
          <w:szCs w:val="24"/>
          <w:lang w:val="sr-Cyrl-CS" w:bidi="en-US"/>
        </w:rPr>
        <w:t xml:space="preserve">велики </w:t>
      </w:r>
      <w:r w:rsidRPr="00E84C93">
        <w:rPr>
          <w:rFonts w:cs="Times New Roman"/>
          <w:szCs w:val="24"/>
          <w:lang w:val="sr-Cyrl-CS" w:bidi="en-US"/>
        </w:rPr>
        <w:t xml:space="preserve">број </w:t>
      </w:r>
      <w:r w:rsidRPr="00E84C93">
        <w:rPr>
          <w:rFonts w:cs="Times New Roman"/>
          <w:lang w:val="sr-Cyrl-CS"/>
        </w:rPr>
        <w:t>постројења за пречишћавање отпадних вода</w:t>
      </w:r>
      <w:r w:rsidRPr="00E84C93">
        <w:rPr>
          <w:rFonts w:cs="Times New Roman"/>
          <w:szCs w:val="24"/>
          <w:lang w:val="sr-Cyrl-CS" w:bidi="en-US"/>
        </w:rPr>
        <w:t xml:space="preserve"> у </w:t>
      </w:r>
      <w:r w:rsidRPr="00E84C93">
        <w:rPr>
          <w:lang w:val="sr-Cyrl-CS"/>
        </w:rPr>
        <w:t xml:space="preserve">Републици </w:t>
      </w:r>
      <w:r w:rsidRPr="00E84C93">
        <w:rPr>
          <w:rFonts w:cs="Times New Roman"/>
          <w:szCs w:val="24"/>
          <w:lang w:val="sr-Cyrl-CS" w:bidi="en-US"/>
        </w:rPr>
        <w:t xml:space="preserve">Србији. </w:t>
      </w:r>
    </w:p>
    <w:p w14:paraId="0CB33E5C" w14:textId="34C8F6CC" w:rsidR="00A33D7E"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 xml:space="preserve">Анаеробно </w:t>
      </w:r>
      <w:r w:rsidR="00774A7F" w:rsidRPr="00E84C93">
        <w:rPr>
          <w:rFonts w:cs="Times New Roman"/>
          <w:szCs w:val="24"/>
          <w:lang w:val="sr-Cyrl-CS" w:bidi="en-US"/>
        </w:rPr>
        <w:t xml:space="preserve">или аеробно </w:t>
      </w:r>
      <w:r w:rsidRPr="00E84C93">
        <w:rPr>
          <w:rFonts w:cs="Times New Roman"/>
          <w:szCs w:val="24"/>
          <w:lang w:val="sr-Cyrl-CS" w:bidi="en-US"/>
        </w:rPr>
        <w:t>стабилизовани муљ се даље третира на уређајима за механичко обезводњавање</w:t>
      </w:r>
      <w:r w:rsidRPr="00E84C93">
        <w:rPr>
          <w:lang w:val="sr-Cyrl-CS"/>
        </w:rPr>
        <w:t xml:space="preserve"> муља и у објектима за соларно сушење муља</w:t>
      </w:r>
      <w:r w:rsidRPr="00E84C93">
        <w:rPr>
          <w:rFonts w:cs="Times New Roman"/>
          <w:szCs w:val="24"/>
          <w:lang w:val="sr-Cyrl-CS" w:bidi="en-US"/>
        </w:rPr>
        <w:t xml:space="preserve">, који су смештени на локацији </w:t>
      </w:r>
      <w:r w:rsidRPr="00E84C93">
        <w:rPr>
          <w:rFonts w:cs="Times New Roman"/>
          <w:lang w:val="sr-Cyrl-CS"/>
        </w:rPr>
        <w:t>постројења за пречишћавање отпадних вода</w:t>
      </w:r>
      <w:r w:rsidRPr="00E84C93">
        <w:rPr>
          <w:rFonts w:cs="Times New Roman"/>
          <w:szCs w:val="24"/>
          <w:lang w:val="sr-Cyrl-CS" w:bidi="en-US"/>
        </w:rPr>
        <w:t xml:space="preserve">. Због сезонски условљених временских услова (лето/зима) неопходно је обезбедити одговарајућа складишта за обезводњени муљ (капацитет складиштења 6-12 месеци). </w:t>
      </w:r>
      <w:r w:rsidR="00774A7F" w:rsidRPr="00E84C93">
        <w:rPr>
          <w:rFonts w:cs="Times New Roman"/>
          <w:szCs w:val="24"/>
          <w:lang w:val="sr-Cyrl-CS" w:bidi="en-US"/>
        </w:rPr>
        <w:t xml:space="preserve">Увођење соларног сушења муља за ову групу постројења ће бити разматрано од случаја до случаја у контексту економске исплативности инвестиција и оперативних трошкова. </w:t>
      </w:r>
      <w:r w:rsidRPr="00E84C93">
        <w:rPr>
          <w:rFonts w:cs="Times New Roman"/>
          <w:szCs w:val="24"/>
          <w:lang w:val="sr-Cyrl-CS" w:bidi="en-US"/>
        </w:rPr>
        <w:t xml:space="preserve">Примарни начин одлагања муља </w:t>
      </w:r>
      <w:r w:rsidR="00774A7F" w:rsidRPr="00E84C93">
        <w:rPr>
          <w:rFonts w:cs="Times New Roman"/>
          <w:szCs w:val="24"/>
          <w:lang w:val="sr-Cyrl-CS" w:bidi="en-US"/>
        </w:rPr>
        <w:t xml:space="preserve">са ових постројења </w:t>
      </w:r>
      <w:r w:rsidRPr="00E84C93">
        <w:rPr>
          <w:rFonts w:cs="Times New Roman"/>
          <w:szCs w:val="24"/>
          <w:lang w:val="sr-Cyrl-CS" w:bidi="en-US"/>
        </w:rPr>
        <w:t xml:space="preserve">подразумева одлагање </w:t>
      </w:r>
      <w:r w:rsidR="00774A7F" w:rsidRPr="00E84C93">
        <w:rPr>
          <w:rFonts w:cs="Times New Roman"/>
          <w:szCs w:val="24"/>
          <w:lang w:val="sr-Cyrl-CS" w:bidi="en-US"/>
        </w:rPr>
        <w:t>на депонију ради</w:t>
      </w:r>
      <w:r w:rsidRPr="00E84C93">
        <w:rPr>
          <w:rFonts w:cs="Times New Roman"/>
          <w:szCs w:val="24"/>
          <w:lang w:val="sr-Cyrl-CS" w:bidi="en-US"/>
        </w:rPr>
        <w:t xml:space="preserve"> </w:t>
      </w:r>
      <w:r w:rsidR="00774A7F" w:rsidRPr="00E84C93">
        <w:rPr>
          <w:rFonts w:cs="Times New Roman"/>
          <w:szCs w:val="24"/>
          <w:lang w:val="sr-Cyrl-CS" w:bidi="en-US"/>
        </w:rPr>
        <w:t xml:space="preserve">чувања </w:t>
      </w:r>
      <w:r w:rsidRPr="00E84C93">
        <w:rPr>
          <w:rFonts w:cs="Times New Roman"/>
          <w:szCs w:val="24"/>
          <w:lang w:val="sr-Cyrl-CS" w:bidi="en-US"/>
        </w:rPr>
        <w:t xml:space="preserve">ове врсте отпада за рекуперацију фосфора у будућности, док се транспорт до Регионалног центра за управљање муљем на спаљивање разматра као секундарна опција. </w:t>
      </w:r>
    </w:p>
    <w:p w14:paraId="536BFA0E" w14:textId="77777777" w:rsidR="00A33D7E"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 xml:space="preserve">Осим тога, суве грануле муља се могу користити за производњу ђубрива или се потенцијално, у зависности од квалитета сувог муља (анализе муља), могу директно искористити као ђубриво. </w:t>
      </w:r>
    </w:p>
    <w:p w14:paraId="4CC464E1" w14:textId="4773E4B7" w:rsidR="00A33D7E" w:rsidRPr="00E84C93" w:rsidRDefault="000D1FEF" w:rsidP="00A33D7E">
      <w:pPr>
        <w:spacing w:after="0"/>
        <w:ind w:firstLine="720"/>
        <w:jc w:val="both"/>
        <w:rPr>
          <w:rFonts w:cs="Times New Roman"/>
          <w:szCs w:val="24"/>
          <w:lang w:val="sr-Cyrl-CS" w:bidi="en-US"/>
        </w:rPr>
      </w:pPr>
      <w:r w:rsidRPr="00E84C93">
        <w:rPr>
          <w:rFonts w:cs="Times New Roman"/>
          <w:szCs w:val="24"/>
          <w:lang w:val="sr-Cyrl-CS" w:bidi="en-US"/>
        </w:rPr>
        <w:t>П</w:t>
      </w:r>
      <w:r w:rsidR="00A33D7E" w:rsidRPr="00E84C93">
        <w:rPr>
          <w:rFonts w:cs="Times New Roman"/>
          <w:szCs w:val="24"/>
          <w:lang w:val="sr-Cyrl-CS" w:bidi="en-US"/>
        </w:rPr>
        <w:t>редложен</w:t>
      </w:r>
      <w:r w:rsidRPr="00E84C93">
        <w:rPr>
          <w:rFonts w:cs="Times New Roman"/>
          <w:szCs w:val="24"/>
          <w:lang w:val="sr-Cyrl-CS" w:bidi="en-US"/>
        </w:rPr>
        <w:t>е</w:t>
      </w:r>
      <w:r w:rsidR="00A33D7E" w:rsidRPr="00E84C93">
        <w:rPr>
          <w:rFonts w:cs="Times New Roman"/>
          <w:szCs w:val="24"/>
          <w:lang w:val="sr-Cyrl-CS" w:bidi="en-US"/>
        </w:rPr>
        <w:t xml:space="preserve"> опциј</w:t>
      </w:r>
      <w:r w:rsidRPr="00E84C93">
        <w:rPr>
          <w:rFonts w:cs="Times New Roman"/>
          <w:szCs w:val="24"/>
          <w:lang w:val="sr-Cyrl-CS" w:bidi="en-US"/>
        </w:rPr>
        <w:t>е</w:t>
      </w:r>
      <w:r w:rsidR="00A33D7E" w:rsidRPr="00E84C93">
        <w:rPr>
          <w:rFonts w:cs="Times New Roman"/>
          <w:szCs w:val="24"/>
          <w:lang w:val="sr-Cyrl-CS" w:bidi="en-US"/>
        </w:rPr>
        <w:t xml:space="preserve"> за пречишћавање отпадних вода и третмана муља</w:t>
      </w:r>
      <w:r w:rsidR="002F23AB" w:rsidRPr="00E84C93">
        <w:rPr>
          <w:rFonts w:cs="Times New Roman"/>
          <w:szCs w:val="24"/>
          <w:lang w:val="sr-Cyrl-CS" w:bidi="en-US"/>
        </w:rPr>
        <w:t>,</w:t>
      </w:r>
      <w:r w:rsidR="00A33D7E" w:rsidRPr="00E84C93">
        <w:rPr>
          <w:rFonts w:cs="Times New Roman"/>
          <w:szCs w:val="24"/>
          <w:lang w:val="sr-Cyrl-CS" w:bidi="en-US"/>
        </w:rPr>
        <w:t xml:space="preserve"> као и за одлагање муља за категорије постројења </w:t>
      </w:r>
      <w:r w:rsidR="00A33D7E" w:rsidRPr="00E84C93">
        <w:rPr>
          <w:rFonts w:cs="Times New Roman"/>
          <w:i/>
          <w:iCs/>
          <w:szCs w:val="24"/>
          <w:lang w:val="sr-Cyrl-CS" w:bidi="en-US"/>
        </w:rPr>
        <w:t>d</w:t>
      </w:r>
      <w:r w:rsidR="00A33D7E" w:rsidRPr="00E84C93">
        <w:rPr>
          <w:rFonts w:cs="Times New Roman"/>
          <w:szCs w:val="24"/>
          <w:lang w:val="sr-Cyrl-CS" w:bidi="en-US"/>
        </w:rPr>
        <w:t xml:space="preserve"> и </w:t>
      </w:r>
      <w:r w:rsidR="00A33D7E" w:rsidRPr="00E84C93">
        <w:rPr>
          <w:rFonts w:cs="Times New Roman"/>
          <w:i/>
          <w:iCs/>
          <w:szCs w:val="24"/>
          <w:lang w:val="sr-Cyrl-CS" w:bidi="en-US"/>
        </w:rPr>
        <w:t>е</w:t>
      </w:r>
      <w:r w:rsidR="00A33D7E" w:rsidRPr="00E84C93">
        <w:rPr>
          <w:rFonts w:cs="Times New Roman"/>
          <w:szCs w:val="24"/>
          <w:lang w:val="sr-Cyrl-CS" w:bidi="en-US"/>
        </w:rPr>
        <w:t xml:space="preserve"> капацитета 50.000 ЕС </w:t>
      </w:r>
      <w:r w:rsidR="002A0A23" w:rsidRPr="00E84C93">
        <w:rPr>
          <w:rFonts w:cs="Times New Roman"/>
          <w:szCs w:val="24"/>
          <w:lang w:val="sr-Cyrl-CS" w:bidi="en-US"/>
        </w:rPr>
        <w:t xml:space="preserve">до 150.000 </w:t>
      </w:r>
      <w:r w:rsidR="008C7EDF" w:rsidRPr="00E84C93">
        <w:rPr>
          <w:rFonts w:cs="Times New Roman"/>
          <w:lang w:val="sr-Cyrl-CS" w:bidi="en-US"/>
        </w:rPr>
        <w:t>ЕС</w:t>
      </w:r>
      <w:r w:rsidRPr="00E84C93">
        <w:rPr>
          <w:rFonts w:cs="Times New Roman"/>
          <w:szCs w:val="24"/>
          <w:lang w:val="sr-Cyrl-CS" w:bidi="en-US"/>
        </w:rPr>
        <w:t xml:space="preserve"> укључују а</w:t>
      </w:r>
      <w:r w:rsidR="00A33D7E" w:rsidRPr="00E84C93">
        <w:rPr>
          <w:rFonts w:cs="Times New Roman"/>
          <w:szCs w:val="24"/>
          <w:lang w:val="sr-Cyrl-CS" w:bidi="en-US"/>
        </w:rPr>
        <w:t>наеробно стабилизовани и механички обезводњени муљ изложен интензивном соларном сушењу које се постиже увођењем подног грејања у објекте за соларно сушење муља у периоду смањене ефикасности евапорације (од јесени до пролећа) због неповољних климатских фактора. Извор топлотне енергије за догревање објеката за соларно сушење је биогас</w:t>
      </w:r>
      <w:r w:rsidR="00764E6C" w:rsidRPr="00E84C93">
        <w:rPr>
          <w:rFonts w:cs="Times New Roman"/>
          <w:szCs w:val="24"/>
          <w:lang w:val="sr-Cyrl-CS" w:bidi="en-US"/>
        </w:rPr>
        <w:t xml:space="preserve"> који је</w:t>
      </w:r>
      <w:r w:rsidR="00A33D7E" w:rsidRPr="00E84C93">
        <w:rPr>
          <w:rFonts w:cs="Times New Roman"/>
          <w:szCs w:val="24"/>
          <w:lang w:val="sr-Cyrl-CS" w:bidi="en-US"/>
        </w:rPr>
        <w:t xml:space="preserve"> произведен у дигестору</w:t>
      </w:r>
      <w:r w:rsidR="00D010D1" w:rsidRPr="00E84C93">
        <w:rPr>
          <w:rFonts w:cs="Times New Roman"/>
          <w:szCs w:val="24"/>
          <w:lang w:val="sr-Cyrl-CS" w:bidi="en-US"/>
        </w:rPr>
        <w:t xml:space="preserve">. </w:t>
      </w:r>
      <w:r w:rsidR="00A33D7E" w:rsidRPr="00E84C93">
        <w:rPr>
          <w:rFonts w:cs="Times New Roman"/>
          <w:szCs w:val="24"/>
          <w:lang w:val="sr-Cyrl-CS" w:bidi="en-US"/>
        </w:rPr>
        <w:t>На овај начин се умањује потребна површина за складиштење непрерађеног муља у овом периоду.</w:t>
      </w:r>
    </w:p>
    <w:p w14:paraId="255EE461" w14:textId="59443CEC" w:rsidR="00A33D7E"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Примарни начин одлагања сувих гранула муља је одлагање на депонију намењену чувању овако третираног муља као потенцијалног извора фосфора (</w:t>
      </w:r>
      <w:r w:rsidR="00D010D1" w:rsidRPr="00E84C93">
        <w:rPr>
          <w:rFonts w:cs="Times New Roman"/>
          <w:szCs w:val="24"/>
          <w:lang w:val="sr-Cyrl-CS" w:bidi="en-US"/>
        </w:rPr>
        <w:t>моно</w:t>
      </w:r>
      <w:r w:rsidRPr="00E84C93">
        <w:rPr>
          <w:rFonts w:cs="Times New Roman"/>
          <w:szCs w:val="24"/>
          <w:lang w:val="sr-Cyrl-CS" w:bidi="en-US"/>
        </w:rPr>
        <w:t xml:space="preserve">депонија), док се транспорт до Регионалног центра за управљање муљем на </w:t>
      </w:r>
      <w:r w:rsidR="00D010D1" w:rsidRPr="00E84C93">
        <w:rPr>
          <w:rFonts w:cs="Times New Roman"/>
          <w:szCs w:val="24"/>
          <w:lang w:val="sr-Cyrl-CS" w:bidi="en-US"/>
        </w:rPr>
        <w:t>моно</w:t>
      </w:r>
      <w:r w:rsidR="00764E6C" w:rsidRPr="00E84C93">
        <w:rPr>
          <w:rFonts w:cs="Times New Roman"/>
          <w:szCs w:val="24"/>
          <w:lang w:val="sr-Cyrl-CS" w:bidi="en-US"/>
        </w:rPr>
        <w:t>инсинерацију разматра као секундарна опција</w:t>
      </w:r>
      <w:r w:rsidRPr="00E84C93">
        <w:rPr>
          <w:rFonts w:cs="Times New Roman"/>
          <w:szCs w:val="24"/>
          <w:lang w:val="sr-Cyrl-CS" w:bidi="en-US"/>
        </w:rPr>
        <w:t xml:space="preserve">. </w:t>
      </w:r>
      <w:r w:rsidR="00764E6C" w:rsidRPr="00E84C93">
        <w:rPr>
          <w:rFonts w:cs="Times New Roman"/>
          <w:szCs w:val="24"/>
          <w:lang w:val="sr-Cyrl-CS" w:bidi="en-US"/>
        </w:rPr>
        <w:t>Осим тога, суве грануле муља се могу користити за производњу ђубрива или, у зависности од квалитета сувог муља (анализе муља), могу се директно искористити као ђубриво. Треба размотрити и друге алтернативне правце поступања са муљем на Регионалном центру за управљање муљем</w:t>
      </w:r>
      <w:r w:rsidRPr="00E84C93">
        <w:rPr>
          <w:rFonts w:cs="Times New Roman"/>
          <w:szCs w:val="24"/>
          <w:lang w:val="sr-Cyrl-CS" w:bidi="en-US"/>
        </w:rPr>
        <w:t>.</w:t>
      </w:r>
    </w:p>
    <w:p w14:paraId="21243496" w14:textId="446C3282" w:rsidR="002A0A23"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При димензионисању објеката за третман муља на постројењима за пречишћавање отпадних вода средње величине треба имати у виду и додатни капацитет за пријем и третман течног и обезводњеног муља допремљеног са малих постројења за пречишћавање отпадних вода</w:t>
      </w:r>
      <w:r w:rsidR="002A0A23" w:rsidRPr="00E84C93">
        <w:rPr>
          <w:rFonts w:cs="Times New Roman"/>
          <w:szCs w:val="24"/>
          <w:lang w:val="sr-Cyrl-CS" w:bidi="en-US"/>
        </w:rPr>
        <w:t>.</w:t>
      </w:r>
    </w:p>
    <w:p w14:paraId="05023244" w14:textId="70204FBC" w:rsidR="002A0A23" w:rsidRPr="00E84C93" w:rsidRDefault="00A33D7E" w:rsidP="00736A5C">
      <w:pPr>
        <w:spacing w:after="0"/>
        <w:ind w:firstLine="720"/>
        <w:jc w:val="both"/>
        <w:rPr>
          <w:rFonts w:cs="Times New Roman"/>
          <w:szCs w:val="24"/>
          <w:lang w:val="sr-Cyrl-CS" w:bidi="en-US"/>
        </w:rPr>
      </w:pPr>
      <w:r w:rsidRPr="00E84C93">
        <w:rPr>
          <w:rFonts w:cs="Times New Roman"/>
          <w:szCs w:val="24"/>
          <w:lang w:val="sr-Cyrl-CS" w:bidi="en-US"/>
        </w:rPr>
        <w:t xml:space="preserve">При избору локације </w:t>
      </w:r>
      <w:r w:rsidR="00D010D1" w:rsidRPr="00E84C93">
        <w:rPr>
          <w:rFonts w:cs="Times New Roman"/>
          <w:szCs w:val="24"/>
          <w:lang w:val="sr-Cyrl-CS" w:bidi="en-US"/>
        </w:rPr>
        <w:t>моно</w:t>
      </w:r>
      <w:r w:rsidRPr="00E84C93">
        <w:rPr>
          <w:rFonts w:cs="Times New Roman"/>
          <w:szCs w:val="24"/>
          <w:lang w:val="sr-Cyrl-CS" w:bidi="en-US"/>
        </w:rPr>
        <w:t>депоније треба имати у виду удаљеност од појединачних извора у оквиру округа који гравитира овом центру, у радијусу ≤ 60 km</w:t>
      </w:r>
      <w:r w:rsidR="002A0A23" w:rsidRPr="00E84C93">
        <w:rPr>
          <w:rFonts w:cs="Times New Roman"/>
          <w:szCs w:val="24"/>
          <w:lang w:val="sr-Cyrl-CS" w:bidi="en-US"/>
        </w:rPr>
        <w:t xml:space="preserve">. </w:t>
      </w:r>
    </w:p>
    <w:p w14:paraId="404F1107" w14:textId="77777777" w:rsidR="002A0A23" w:rsidRPr="00E84C93" w:rsidRDefault="002A0A23" w:rsidP="00DB371A">
      <w:pPr>
        <w:spacing w:after="0"/>
        <w:jc w:val="both"/>
        <w:rPr>
          <w:rFonts w:cs="Times New Roman"/>
          <w:szCs w:val="24"/>
          <w:lang w:val="sr-Cyrl-CS" w:bidi="en-US"/>
        </w:rPr>
      </w:pPr>
    </w:p>
    <w:p w14:paraId="344D0778" w14:textId="059A27F8" w:rsidR="002A0A23" w:rsidRPr="00E84C93" w:rsidRDefault="002A0A23" w:rsidP="00736A5C">
      <w:pPr>
        <w:pStyle w:val="ANormal"/>
        <w:spacing w:before="0" w:line="240" w:lineRule="auto"/>
        <w:ind w:firstLine="720"/>
        <w:rPr>
          <w:rFonts w:ascii="Times New Roman" w:hAnsi="Times New Roman" w:cs="Times New Roman"/>
          <w:color w:val="2E74B5" w:themeColor="accent1" w:themeShade="BF"/>
          <w:sz w:val="24"/>
          <w:szCs w:val="24"/>
          <w:lang w:val="sr-Cyrl-CS"/>
        </w:rPr>
      </w:pPr>
      <w:bookmarkStart w:id="77" w:name="_Toc87616639"/>
      <w:bookmarkStart w:id="78" w:name="_Toc95129095"/>
      <w:r w:rsidRPr="00E84C93">
        <w:rPr>
          <w:rFonts w:ascii="Times New Roman" w:hAnsi="Times New Roman" w:cs="Times New Roman"/>
          <w:b/>
          <w:bCs w:val="0"/>
          <w:color w:val="2E74B5" w:themeColor="accent1" w:themeShade="BF"/>
          <w:sz w:val="24"/>
          <w:szCs w:val="24"/>
          <w:lang w:val="sr-Cyrl-CS"/>
        </w:rPr>
        <w:lastRenderedPageBreak/>
        <w:t xml:space="preserve">Велика и капитална </w:t>
      </w:r>
      <w:bookmarkEnd w:id="77"/>
      <w:r w:rsidRPr="00E84C93">
        <w:rPr>
          <w:rFonts w:ascii="Times New Roman" w:hAnsi="Times New Roman" w:cs="Times New Roman"/>
          <w:b/>
          <w:bCs w:val="0"/>
          <w:color w:val="2E74B5" w:themeColor="accent1" w:themeShade="BF"/>
          <w:sz w:val="24"/>
          <w:szCs w:val="24"/>
          <w:lang w:val="sr-Cyrl-CS"/>
        </w:rPr>
        <w:t xml:space="preserve">постројења </w:t>
      </w:r>
      <w:r w:rsidR="0016531B" w:rsidRPr="00E84C93">
        <w:rPr>
          <w:rFonts w:ascii="Times New Roman" w:hAnsi="Times New Roman" w:cs="Times New Roman"/>
          <w:b/>
          <w:bCs w:val="0"/>
          <w:color w:val="2E74B5" w:themeColor="accent1" w:themeShade="BF"/>
          <w:sz w:val="24"/>
          <w:szCs w:val="24"/>
          <w:lang w:val="sr-Cyrl-CS"/>
        </w:rPr>
        <w:t>за пречишћавање отпадних вода</w:t>
      </w:r>
      <w:bookmarkEnd w:id="78"/>
    </w:p>
    <w:p w14:paraId="25045845" w14:textId="639A47AE" w:rsidR="00A33D7E"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 xml:space="preserve">Велика </w:t>
      </w:r>
      <w:r w:rsidRPr="00E84C93">
        <w:rPr>
          <w:rFonts w:cs="Times New Roman"/>
          <w:lang w:val="sr-Cyrl-CS"/>
        </w:rPr>
        <w:t>постројења за пречишћавање отпадних вода</w:t>
      </w:r>
      <w:r w:rsidRPr="00E84C93">
        <w:rPr>
          <w:rFonts w:cs="Times New Roman"/>
          <w:szCs w:val="24"/>
          <w:lang w:val="sr-Cyrl-CS" w:bidi="en-US"/>
        </w:rPr>
        <w:t xml:space="preserve"> из категорија </w:t>
      </w:r>
      <w:r w:rsidRPr="00E84C93">
        <w:rPr>
          <w:rFonts w:cs="Times New Roman"/>
          <w:i/>
          <w:iCs/>
          <w:szCs w:val="24"/>
          <w:lang w:val="sr-Cyrl-CS" w:bidi="en-US"/>
        </w:rPr>
        <w:t>f)</w:t>
      </w:r>
      <w:r w:rsidRPr="00E84C93">
        <w:rPr>
          <w:rFonts w:cs="Times New Roman"/>
          <w:szCs w:val="24"/>
          <w:lang w:val="sr-Cyrl-CS" w:bidi="en-US"/>
        </w:rPr>
        <w:t xml:space="preserve"> и </w:t>
      </w:r>
      <w:r w:rsidRPr="00E84C93">
        <w:rPr>
          <w:rFonts w:cs="Times New Roman"/>
          <w:i/>
          <w:iCs/>
          <w:szCs w:val="24"/>
          <w:lang w:val="sr-Cyrl-CS" w:bidi="en-US"/>
        </w:rPr>
        <w:t>g)</w:t>
      </w:r>
      <w:r w:rsidRPr="00E84C93">
        <w:rPr>
          <w:rFonts w:cs="Times New Roman"/>
          <w:szCs w:val="24"/>
          <w:lang w:val="sr-Cyrl-CS" w:bidi="en-US"/>
        </w:rPr>
        <w:t xml:space="preserve"> са пројектованим капацитетима већим од 250.000 </w:t>
      </w:r>
      <w:r w:rsidRPr="00E84C93">
        <w:rPr>
          <w:rFonts w:cs="Times New Roman"/>
          <w:lang w:val="sr-Cyrl-CS" w:bidi="en-US"/>
        </w:rPr>
        <w:t>ЕС</w:t>
      </w:r>
      <w:r w:rsidRPr="00E84C93">
        <w:rPr>
          <w:rFonts w:cs="Times New Roman"/>
          <w:szCs w:val="24"/>
          <w:lang w:val="sr-Cyrl-CS" w:bidi="en-US"/>
        </w:rPr>
        <w:t xml:space="preserve"> ће представљати Регионалне центре за управљање муљем у којима ће се вршити напредна (високо ефикасна) дигестија муља уз најефикаснију поновну употребу биогаса из дигестора и који су опремљени довољним капацитетима за пријем и котретман муља из других </w:t>
      </w:r>
      <w:r w:rsidRPr="00E84C93">
        <w:rPr>
          <w:rFonts w:cs="Times New Roman"/>
          <w:lang w:val="sr-Cyrl-CS"/>
        </w:rPr>
        <w:t>постројења за пречишћавање отпадних вода</w:t>
      </w:r>
      <w:r w:rsidRPr="00E84C93">
        <w:rPr>
          <w:rFonts w:cs="Times New Roman"/>
          <w:szCs w:val="24"/>
          <w:lang w:val="sr-Cyrl-CS" w:bidi="en-US"/>
        </w:rPr>
        <w:t>.</w:t>
      </w:r>
    </w:p>
    <w:p w14:paraId="32BB0FA8" w14:textId="44EED1E0" w:rsidR="00A33D7E" w:rsidRPr="00E84C93" w:rsidRDefault="00A33D7E" w:rsidP="00A33D7E">
      <w:pPr>
        <w:spacing w:after="0"/>
        <w:ind w:firstLine="720"/>
        <w:jc w:val="both"/>
        <w:rPr>
          <w:rFonts w:cs="Times New Roman"/>
          <w:szCs w:val="24"/>
          <w:lang w:val="sr-Cyrl-CS" w:bidi="en-US"/>
        </w:rPr>
      </w:pPr>
      <w:r w:rsidRPr="00E84C93">
        <w:rPr>
          <w:rFonts w:cs="Times New Roman"/>
          <w:szCs w:val="24"/>
          <w:lang w:val="sr-Cyrl-CS" w:bidi="en-US"/>
        </w:rPr>
        <w:t xml:space="preserve">Регионални центри за управљање муљем биће опремљени постројењима за термичко сушење муља и представљаће крај у предложеном ланцу одлагања и рециклаже муља </w:t>
      </w:r>
      <w:r w:rsidRPr="00E84C93">
        <w:rPr>
          <w:rFonts w:cs="Times New Roman"/>
          <w:szCs w:val="24"/>
          <w:lang w:val="sr-Cyrl-CS"/>
        </w:rPr>
        <w:t>из постројења за пречишћавање отпадних вода</w:t>
      </w:r>
      <w:r w:rsidRPr="00E84C93">
        <w:rPr>
          <w:rFonts w:cs="Times New Roman"/>
          <w:szCs w:val="24"/>
          <w:lang w:val="sr-Cyrl-CS" w:bidi="en-US"/>
        </w:rPr>
        <w:t xml:space="preserve">, и обезбеђиваће крајње капацитете </w:t>
      </w:r>
      <w:r w:rsidR="00D010D1" w:rsidRPr="00E84C93">
        <w:rPr>
          <w:rFonts w:cs="Times New Roman"/>
          <w:szCs w:val="24"/>
          <w:lang w:val="sr-Cyrl-CS" w:bidi="en-US"/>
        </w:rPr>
        <w:t>моно</w:t>
      </w:r>
      <w:r w:rsidRPr="00E84C93">
        <w:rPr>
          <w:rFonts w:cs="Times New Roman"/>
          <w:szCs w:val="24"/>
          <w:lang w:val="sr-Cyrl-CS" w:bidi="en-US"/>
        </w:rPr>
        <w:t xml:space="preserve">депонија за будућу експлоатацију и рекуперацију фосфора. </w:t>
      </w:r>
    </w:p>
    <w:p w14:paraId="7C0E994C" w14:textId="03BC5AAF" w:rsidR="002A0A23" w:rsidRPr="00E84C93" w:rsidRDefault="00A33D7E" w:rsidP="00736A5C">
      <w:pPr>
        <w:spacing w:after="0"/>
        <w:ind w:firstLine="720"/>
        <w:jc w:val="both"/>
        <w:rPr>
          <w:rFonts w:cs="Times New Roman"/>
          <w:szCs w:val="24"/>
          <w:lang w:val="sr-Cyrl-CS" w:bidi="en-US"/>
        </w:rPr>
      </w:pPr>
      <w:r w:rsidRPr="00E84C93">
        <w:rPr>
          <w:rFonts w:cs="Times New Roman"/>
          <w:szCs w:val="24"/>
          <w:lang w:val="sr-Cyrl-CS" w:bidi="en-US"/>
        </w:rPr>
        <w:t xml:space="preserve">Међуопштински Центри за третман муља ће се налазити на </w:t>
      </w:r>
      <w:r w:rsidRPr="00E84C93">
        <w:rPr>
          <w:rFonts w:cs="Times New Roman"/>
          <w:lang w:val="sr-Cyrl-CS"/>
        </w:rPr>
        <w:t>постројењима за пречишћавање отпадних вода</w:t>
      </w:r>
      <w:r w:rsidRPr="00E84C93">
        <w:rPr>
          <w:rFonts w:cs="Times New Roman"/>
          <w:szCs w:val="24"/>
          <w:lang w:val="sr-Cyrl-CS" w:bidi="en-US"/>
        </w:rPr>
        <w:t xml:space="preserve"> са пројектованим капацитетима нижим од 250.000 </w:t>
      </w:r>
      <w:r w:rsidRPr="00E84C93">
        <w:rPr>
          <w:rFonts w:cs="Times New Roman"/>
          <w:lang w:val="sr-Cyrl-CS" w:bidi="en-US"/>
        </w:rPr>
        <w:t>ЕС</w:t>
      </w:r>
      <w:r w:rsidRPr="00E84C93">
        <w:rPr>
          <w:rFonts w:cs="Times New Roman"/>
          <w:szCs w:val="24"/>
          <w:lang w:val="sr-Cyrl-CS" w:bidi="en-US"/>
        </w:rPr>
        <w:t>, узимајући у обзир прихватљив радијус транспорта муља са мањих построје</w:t>
      </w:r>
      <w:r w:rsidR="00764E6C" w:rsidRPr="00E84C93">
        <w:rPr>
          <w:rFonts w:cs="Times New Roman"/>
          <w:szCs w:val="24"/>
          <w:lang w:val="sr-Cyrl-CS" w:bidi="en-US"/>
        </w:rPr>
        <w:t>њ</w:t>
      </w:r>
      <w:r w:rsidRPr="00E84C93">
        <w:rPr>
          <w:rFonts w:cs="Times New Roman"/>
          <w:szCs w:val="24"/>
          <w:lang w:val="sr-Cyrl-CS" w:bidi="en-US"/>
        </w:rPr>
        <w:t>а за пречишћавање отпадних вода од ≤ 100 km</w:t>
      </w:r>
      <w:r w:rsidR="002A0A23" w:rsidRPr="00E84C93">
        <w:rPr>
          <w:rFonts w:cs="Times New Roman"/>
          <w:szCs w:val="24"/>
          <w:lang w:val="sr-Cyrl-CS" w:bidi="en-US"/>
        </w:rPr>
        <w:t xml:space="preserve">. </w:t>
      </w:r>
      <w:r w:rsidRPr="00E84C93">
        <w:rPr>
          <w:rFonts w:cs="Times New Roman"/>
          <w:szCs w:val="24"/>
          <w:lang w:val="sr-Cyrl-CS" w:bidi="en-US"/>
        </w:rPr>
        <w:t xml:space="preserve">Увођење Регионалног центра за управљање муљем размотриће се за </w:t>
      </w:r>
      <w:r w:rsidRPr="00E84C93">
        <w:rPr>
          <w:rFonts w:cs="Times New Roman"/>
          <w:lang w:val="sr-Cyrl-CS"/>
        </w:rPr>
        <w:t>постројења за пречишћавање отпадних вода</w:t>
      </w:r>
      <w:r w:rsidRPr="00E84C93">
        <w:rPr>
          <w:rFonts w:cs="Times New Roman"/>
          <w:szCs w:val="24"/>
          <w:lang w:val="sr-Cyrl-CS"/>
        </w:rPr>
        <w:t xml:space="preserve"> чији</w:t>
      </w:r>
      <w:r w:rsidRPr="00E84C93">
        <w:rPr>
          <w:rFonts w:cs="Times New Roman"/>
          <w:szCs w:val="24"/>
          <w:lang w:val="sr-Cyrl-CS" w:bidi="en-US"/>
        </w:rPr>
        <w:t xml:space="preserve"> пројектовани капацитет премашује 250.000 </w:t>
      </w:r>
      <w:r w:rsidRPr="00E84C93">
        <w:rPr>
          <w:rFonts w:cs="Times New Roman"/>
          <w:lang w:val="sr-Cyrl-CS" w:bidi="en-US"/>
        </w:rPr>
        <w:t>ЕС</w:t>
      </w:r>
      <w:r w:rsidRPr="00E84C93">
        <w:rPr>
          <w:rFonts w:cs="Times New Roman"/>
          <w:szCs w:val="24"/>
          <w:lang w:val="sr-Cyrl-CS" w:bidi="en-US"/>
        </w:rPr>
        <w:t>. Осим могућности поврата топлотне енергије за термичко сушење муља неоп</w:t>
      </w:r>
      <w:r w:rsidR="00E84C93">
        <w:rPr>
          <w:rFonts w:cs="Times New Roman"/>
          <w:szCs w:val="24"/>
          <w:lang w:val="sr-Cyrl-CS" w:bidi="en-US"/>
        </w:rPr>
        <w:t>х</w:t>
      </w:r>
      <w:r w:rsidRPr="00E84C93">
        <w:rPr>
          <w:rFonts w:cs="Times New Roman"/>
          <w:szCs w:val="24"/>
          <w:lang w:val="sr-Cyrl-CS" w:bidi="en-US"/>
        </w:rPr>
        <w:t xml:space="preserve">одно је обезбедити довољан капацитет </w:t>
      </w:r>
      <w:r w:rsidR="00D010D1" w:rsidRPr="00E84C93">
        <w:rPr>
          <w:rFonts w:cs="Times New Roman"/>
          <w:szCs w:val="24"/>
          <w:lang w:val="sr-Cyrl-CS" w:bidi="en-US"/>
        </w:rPr>
        <w:t>моно</w:t>
      </w:r>
      <w:r w:rsidRPr="00E84C93">
        <w:rPr>
          <w:rFonts w:cs="Times New Roman"/>
          <w:szCs w:val="24"/>
          <w:lang w:val="sr-Cyrl-CS" w:bidi="en-US"/>
        </w:rPr>
        <w:t>депонија за одлагање пепела из кога би се у будућности вршила рекуперација фосфора. Постројење за ин</w:t>
      </w:r>
      <w:r w:rsidR="00D010D1" w:rsidRPr="00E84C93">
        <w:rPr>
          <w:rFonts w:cs="Times New Roman"/>
          <w:szCs w:val="24"/>
          <w:lang w:val="sr-Cyrl-CS" w:bidi="en-US"/>
        </w:rPr>
        <w:t>с</w:t>
      </w:r>
      <w:r w:rsidRPr="00E84C93">
        <w:rPr>
          <w:rFonts w:cs="Times New Roman"/>
          <w:szCs w:val="24"/>
          <w:lang w:val="sr-Cyrl-CS" w:bidi="en-US"/>
        </w:rPr>
        <w:t>инерацију ће бити димензионисано тако да обезбеди додатни капацитет за пријем и спаљивање сувих гранула муља из Центара за третман муља</w:t>
      </w:r>
      <w:r w:rsidR="002A0A23" w:rsidRPr="00E84C93">
        <w:rPr>
          <w:rFonts w:cs="Times New Roman"/>
          <w:szCs w:val="24"/>
          <w:lang w:val="sr-Cyrl-CS" w:bidi="en-US"/>
        </w:rPr>
        <w:t xml:space="preserve">. </w:t>
      </w:r>
    </w:p>
    <w:p w14:paraId="7C10E26E" w14:textId="27AAEFE7" w:rsidR="00354A81" w:rsidRPr="00E84C93" w:rsidRDefault="00354A81" w:rsidP="00736A5C">
      <w:pPr>
        <w:spacing w:after="0"/>
        <w:ind w:firstLine="720"/>
        <w:jc w:val="both"/>
        <w:rPr>
          <w:rFonts w:cs="Times New Roman"/>
          <w:b/>
          <w:bCs/>
          <w:szCs w:val="24"/>
          <w:lang w:val="sr-Cyrl-CS" w:bidi="en-US"/>
        </w:rPr>
      </w:pPr>
      <w:r w:rsidRPr="00E84C93">
        <w:rPr>
          <w:rFonts w:cs="Times New Roman"/>
          <w:b/>
          <w:bCs/>
          <w:szCs w:val="24"/>
          <w:lang w:val="sr-Cyrl-CS" w:bidi="en-US"/>
        </w:rPr>
        <w:t>Постројење за пречишћавање отпадних вода у Београду</w:t>
      </w:r>
    </w:p>
    <w:p w14:paraId="004A04BD" w14:textId="77777777" w:rsidR="00354A81" w:rsidRPr="00E84C93" w:rsidRDefault="00354A81" w:rsidP="00354A81">
      <w:pPr>
        <w:spacing w:after="0"/>
        <w:ind w:firstLine="720"/>
        <w:jc w:val="both"/>
        <w:rPr>
          <w:rFonts w:cs="Times New Roman"/>
          <w:szCs w:val="24"/>
          <w:lang w:val="sr-Cyrl-CS" w:bidi="en-US"/>
        </w:rPr>
      </w:pPr>
      <w:r w:rsidRPr="00E84C93">
        <w:rPr>
          <w:rFonts w:cs="Times New Roman"/>
          <w:szCs w:val="24"/>
          <w:lang w:val="sr-Cyrl-CS" w:bidi="en-US"/>
        </w:rPr>
        <w:t>Подручје Града Београда је најгушће насељени и економски најважнији регион у Републици Србији. Подручје Града Београда биће највећи произвођач муља из постројења за пречишћавање отпадних вода у Републици Србији.</w:t>
      </w:r>
    </w:p>
    <w:p w14:paraId="32A487C6" w14:textId="77777777" w:rsidR="00354A81" w:rsidRPr="00E84C93" w:rsidRDefault="00354A81" w:rsidP="00354A81">
      <w:pPr>
        <w:spacing w:after="0"/>
        <w:ind w:firstLine="720"/>
        <w:jc w:val="both"/>
        <w:rPr>
          <w:rFonts w:cs="Times New Roman"/>
          <w:szCs w:val="24"/>
          <w:lang w:val="sr-Cyrl-CS" w:bidi="en-US"/>
        </w:rPr>
      </w:pPr>
      <w:r w:rsidRPr="00E84C93">
        <w:rPr>
          <w:rFonts w:cs="Times New Roman"/>
          <w:szCs w:val="24"/>
          <w:lang w:val="sr-Cyrl-CS" w:bidi="en-US"/>
        </w:rPr>
        <w:t>Укупна производња муља процењена за крај планског периода 2023 – 2041. године ће се кретати у распону од око 32.550 t СМ/год. (50. перцентил) до максималних 37.300 t СМ/год. (80. перцентил).</w:t>
      </w:r>
    </w:p>
    <w:p w14:paraId="332D03C2" w14:textId="72FFBDF0" w:rsidR="00354A81" w:rsidRPr="00E84C93" w:rsidRDefault="00354A81" w:rsidP="00354A81">
      <w:pPr>
        <w:spacing w:after="0"/>
        <w:ind w:firstLine="720"/>
        <w:jc w:val="both"/>
        <w:rPr>
          <w:rFonts w:cs="Times New Roman"/>
          <w:szCs w:val="24"/>
          <w:lang w:val="sr-Cyrl-CS" w:bidi="en-US"/>
        </w:rPr>
      </w:pPr>
      <w:r w:rsidRPr="00E84C93">
        <w:rPr>
          <w:rFonts w:cs="Times New Roman"/>
          <w:szCs w:val="24"/>
          <w:lang w:val="sr-Cyrl-CS" w:bidi="en-US"/>
        </w:rPr>
        <w:t>Главно постројење за пречишћавање отпадних вода за подручје Града Београда налазиће се у близини Великог Села. На локацији постројења за пречишћавање отпадних вода предвиђена је и изградња два постројења за инсинерацију (моноинсинератора) укупног капацитета око 35.000 t СМ/год.</w:t>
      </w:r>
    </w:p>
    <w:p w14:paraId="6EC5BD7A" w14:textId="3DFBED62" w:rsidR="00C3483C" w:rsidRPr="00E84C93" w:rsidRDefault="00C3483C" w:rsidP="0002705B">
      <w:pPr>
        <w:spacing w:after="0"/>
        <w:jc w:val="both"/>
        <w:rPr>
          <w:rFonts w:cs="Times New Roman"/>
          <w:szCs w:val="24"/>
          <w:lang w:val="sr-Cyrl-CS" w:bidi="en-US"/>
        </w:rPr>
      </w:pPr>
    </w:p>
    <w:p w14:paraId="436D2B92" w14:textId="36066FDC" w:rsidR="00C3483C" w:rsidRPr="00E84C93" w:rsidRDefault="00C3483C" w:rsidP="000C54C0">
      <w:pPr>
        <w:pStyle w:val="Heading2"/>
        <w:numPr>
          <w:ilvl w:val="1"/>
          <w:numId w:val="8"/>
        </w:numPr>
        <w:rPr>
          <w:lang w:val="sr-Cyrl-CS"/>
        </w:rPr>
      </w:pPr>
      <w:bookmarkStart w:id="79" w:name="_Toc99920905"/>
      <w:r w:rsidRPr="00E84C93">
        <w:rPr>
          <w:lang w:val="sr-Cyrl-CS"/>
        </w:rPr>
        <w:t>Потенцијалне краткорочне и средњорочне могућности третмана муља</w:t>
      </w:r>
      <w:bookmarkEnd w:id="79"/>
    </w:p>
    <w:p w14:paraId="4E2D5455" w14:textId="77777777" w:rsidR="00C3483C" w:rsidRPr="00E84C93" w:rsidRDefault="00C3483C" w:rsidP="00C3483C">
      <w:pPr>
        <w:spacing w:after="0"/>
        <w:ind w:firstLine="720"/>
        <w:jc w:val="both"/>
        <w:rPr>
          <w:rFonts w:cs="Times New Roman"/>
          <w:b/>
          <w:bCs/>
          <w:szCs w:val="24"/>
          <w:lang w:val="sr-Cyrl-CS"/>
        </w:rPr>
      </w:pPr>
    </w:p>
    <w:p w14:paraId="3C0927FB" w14:textId="5B7E5B4A" w:rsidR="00C3483C" w:rsidRPr="00E84C93" w:rsidRDefault="00C3483C" w:rsidP="00C3483C">
      <w:pPr>
        <w:spacing w:after="0"/>
        <w:ind w:firstLine="720"/>
        <w:jc w:val="both"/>
        <w:rPr>
          <w:rFonts w:cs="Times New Roman"/>
          <w:szCs w:val="24"/>
          <w:lang w:val="sr-Cyrl-CS"/>
        </w:rPr>
      </w:pPr>
      <w:r w:rsidRPr="00E84C93">
        <w:rPr>
          <w:rFonts w:cs="Times New Roman"/>
          <w:szCs w:val="24"/>
          <w:lang w:val="sr-Cyrl-CS"/>
        </w:rPr>
        <w:t xml:space="preserve">Да би се премостио јаз до дугорочног решења којим је предвиђена имплементација постројења за </w:t>
      </w:r>
      <w:r w:rsidR="00D010D1" w:rsidRPr="00E84C93">
        <w:rPr>
          <w:rFonts w:cs="Times New Roman"/>
          <w:szCs w:val="24"/>
          <w:lang w:val="sr-Cyrl-CS" w:bidi="en-US"/>
        </w:rPr>
        <w:t>моно</w:t>
      </w:r>
      <w:r w:rsidR="00454447" w:rsidRPr="00E84C93">
        <w:rPr>
          <w:rFonts w:cs="Times New Roman"/>
          <w:szCs w:val="24"/>
          <w:lang w:val="sr-Cyrl-CS" w:bidi="en-US"/>
        </w:rPr>
        <w:t xml:space="preserve">инсинерацију </w:t>
      </w:r>
      <w:r w:rsidRPr="00E84C93">
        <w:rPr>
          <w:rFonts w:cs="Times New Roman"/>
          <w:szCs w:val="24"/>
          <w:lang w:val="sr-Cyrl-CS"/>
        </w:rPr>
        <w:t xml:space="preserve">са </w:t>
      </w:r>
      <w:r w:rsidR="00D010D1" w:rsidRPr="00E84C93">
        <w:rPr>
          <w:rFonts w:cs="Times New Roman"/>
          <w:szCs w:val="24"/>
          <w:lang w:val="sr-Cyrl-CS"/>
        </w:rPr>
        <w:t>моно</w:t>
      </w:r>
      <w:r w:rsidRPr="00E84C93">
        <w:rPr>
          <w:rFonts w:cs="Times New Roman"/>
          <w:szCs w:val="24"/>
          <w:lang w:val="sr-Cyrl-CS"/>
        </w:rPr>
        <w:t>депонијама</w:t>
      </w:r>
      <w:r w:rsidR="006F413C" w:rsidRPr="00E84C93">
        <w:rPr>
          <w:rFonts w:cs="Times New Roman"/>
          <w:szCs w:val="24"/>
          <w:lang w:val="sr-Cyrl-CS"/>
        </w:rPr>
        <w:t xml:space="preserve"> или примена у пољопривреди</w:t>
      </w:r>
      <w:r w:rsidRPr="00E84C93">
        <w:rPr>
          <w:rFonts w:cs="Times New Roman"/>
          <w:szCs w:val="24"/>
          <w:lang w:val="sr-Cyrl-CS"/>
        </w:rPr>
        <w:t xml:space="preserve">, на основу анализе одговарајућих краткорочних и/или средњорочних могућности управљања муљем, предвиђају се следеће могућности </w:t>
      </w:r>
      <w:r w:rsidR="00764E6C" w:rsidRPr="00E84C93">
        <w:rPr>
          <w:rFonts w:cs="Times New Roman"/>
          <w:szCs w:val="24"/>
          <w:lang w:val="sr-Cyrl-CS"/>
        </w:rPr>
        <w:t>за одлагање</w:t>
      </w:r>
      <w:r w:rsidRPr="00E84C93">
        <w:rPr>
          <w:rFonts w:cs="Times New Roman"/>
          <w:szCs w:val="24"/>
          <w:lang w:val="sr-Cyrl-CS"/>
        </w:rPr>
        <w:t xml:space="preserve"> муља: </w:t>
      </w:r>
    </w:p>
    <w:p w14:paraId="2DD6B39B" w14:textId="0FE34D11" w:rsidR="00352154" w:rsidRPr="00E84C93" w:rsidRDefault="00352154" w:rsidP="005A3226">
      <w:pPr>
        <w:pStyle w:val="ListParagraph"/>
        <w:numPr>
          <w:ilvl w:val="0"/>
          <w:numId w:val="14"/>
        </w:numPr>
        <w:spacing w:after="0"/>
        <w:ind w:left="0" w:firstLine="720"/>
        <w:jc w:val="both"/>
        <w:rPr>
          <w:rFonts w:cs="Times New Roman"/>
          <w:szCs w:val="24"/>
          <w:lang w:val="sr-Cyrl-CS"/>
        </w:rPr>
      </w:pPr>
      <w:r w:rsidRPr="00E84C93">
        <w:rPr>
          <w:rFonts w:cs="Times New Roman"/>
          <w:szCs w:val="24"/>
          <w:lang w:val="sr-Cyrl-CS"/>
        </w:rPr>
        <w:t xml:space="preserve">одлагање муља на индустријске депоније и примена муља за </w:t>
      </w:r>
      <w:r w:rsidR="00145054" w:rsidRPr="00E84C93">
        <w:rPr>
          <w:rFonts w:cs="Times New Roman"/>
          <w:szCs w:val="24"/>
          <w:lang w:val="sr-Cyrl-CS"/>
        </w:rPr>
        <w:t>рекултивацију</w:t>
      </w:r>
      <w:r w:rsidRPr="00E84C93">
        <w:rPr>
          <w:rFonts w:cs="Times New Roman"/>
          <w:szCs w:val="24"/>
          <w:lang w:val="sr-Cyrl-CS"/>
        </w:rPr>
        <w:t xml:space="preserve"> девастираних </w:t>
      </w:r>
      <w:r w:rsidR="00113638" w:rsidRPr="00E84C93">
        <w:rPr>
          <w:rFonts w:cs="Times New Roman"/>
          <w:szCs w:val="24"/>
          <w:lang w:val="sr-Cyrl-CS"/>
        </w:rPr>
        <w:t>локација</w:t>
      </w:r>
      <w:r w:rsidR="005A3226" w:rsidRPr="00E84C93">
        <w:rPr>
          <w:rFonts w:cs="Times New Roman"/>
          <w:szCs w:val="24"/>
          <w:lang w:val="sr-Cyrl-CS"/>
        </w:rPr>
        <w:t>;</w:t>
      </w:r>
    </w:p>
    <w:p w14:paraId="396C26EE" w14:textId="15B79373" w:rsidR="00D17697" w:rsidRPr="00E84C93" w:rsidRDefault="00D17697" w:rsidP="00D75873">
      <w:pPr>
        <w:pStyle w:val="ListParagraph"/>
        <w:numPr>
          <w:ilvl w:val="0"/>
          <w:numId w:val="14"/>
        </w:numPr>
        <w:spacing w:after="0"/>
        <w:jc w:val="both"/>
        <w:rPr>
          <w:rFonts w:cs="Times New Roman"/>
          <w:szCs w:val="24"/>
          <w:lang w:val="sr-Cyrl-CS"/>
        </w:rPr>
      </w:pPr>
      <w:r w:rsidRPr="00E84C93">
        <w:rPr>
          <w:rFonts w:cs="Times New Roman"/>
          <w:szCs w:val="24"/>
          <w:lang w:val="sr-Cyrl-CS"/>
        </w:rPr>
        <w:t>коинсинерација муља у цементарама и термоелектранама</w:t>
      </w:r>
      <w:r w:rsidR="005A3226" w:rsidRPr="00E84C93">
        <w:rPr>
          <w:rFonts w:cs="Times New Roman"/>
          <w:szCs w:val="24"/>
          <w:lang w:val="sr-Cyrl-CS"/>
        </w:rPr>
        <w:t>;</w:t>
      </w:r>
    </w:p>
    <w:p w14:paraId="14886623" w14:textId="143E8B55" w:rsidR="00352154" w:rsidRPr="00E84C93" w:rsidRDefault="00A33D7E" w:rsidP="005A3226">
      <w:pPr>
        <w:pStyle w:val="ListParagraph"/>
        <w:numPr>
          <w:ilvl w:val="0"/>
          <w:numId w:val="14"/>
        </w:numPr>
        <w:spacing w:after="0"/>
        <w:ind w:left="0" w:firstLine="720"/>
        <w:jc w:val="both"/>
        <w:rPr>
          <w:rFonts w:cs="Times New Roman"/>
          <w:szCs w:val="24"/>
          <w:lang w:val="sr-Cyrl-CS"/>
        </w:rPr>
      </w:pPr>
      <w:r w:rsidRPr="00E84C93">
        <w:rPr>
          <w:rFonts w:cs="Times New Roman"/>
          <w:szCs w:val="24"/>
          <w:lang w:val="sr-Cyrl-CS"/>
        </w:rPr>
        <w:t>у</w:t>
      </w:r>
      <w:r w:rsidR="00352154" w:rsidRPr="00E84C93">
        <w:rPr>
          <w:rFonts w:cs="Times New Roman"/>
          <w:szCs w:val="24"/>
          <w:lang w:val="sr-Cyrl-CS"/>
        </w:rPr>
        <w:t>потреба</w:t>
      </w:r>
      <w:r w:rsidRPr="00E84C93">
        <w:rPr>
          <w:rFonts w:cs="Times New Roman"/>
          <w:szCs w:val="24"/>
          <w:lang w:val="sr-Cyrl-CS"/>
        </w:rPr>
        <w:t xml:space="preserve"> осушеног</w:t>
      </w:r>
      <w:r w:rsidR="00352154" w:rsidRPr="00E84C93">
        <w:rPr>
          <w:rFonts w:cs="Times New Roman"/>
          <w:szCs w:val="24"/>
          <w:lang w:val="sr-Cyrl-CS"/>
        </w:rPr>
        <w:t xml:space="preserve"> муља за </w:t>
      </w:r>
      <w:r w:rsidR="00041949" w:rsidRPr="00E84C93">
        <w:rPr>
          <w:rFonts w:cs="Times New Roman"/>
          <w:szCs w:val="24"/>
          <w:lang w:val="sr-Cyrl-CS"/>
        </w:rPr>
        <w:t xml:space="preserve">дневно </w:t>
      </w:r>
      <w:r w:rsidR="00352154" w:rsidRPr="00E84C93">
        <w:rPr>
          <w:rFonts w:cs="Times New Roman"/>
          <w:szCs w:val="24"/>
          <w:lang w:val="sr-Cyrl-CS"/>
        </w:rPr>
        <w:t>прекривање депонија</w:t>
      </w:r>
      <w:r w:rsidR="00525A3F" w:rsidRPr="00E84C93">
        <w:rPr>
          <w:rFonts w:cs="Times New Roman"/>
          <w:szCs w:val="24"/>
          <w:lang w:val="sr-Cyrl-CS"/>
        </w:rPr>
        <w:t xml:space="preserve"> у краткорочном периоду, мешањем са инертним материјалом</w:t>
      </w:r>
      <w:r w:rsidR="00D17697" w:rsidRPr="00E84C93">
        <w:rPr>
          <w:rFonts w:cs="Times New Roman"/>
          <w:szCs w:val="24"/>
          <w:lang w:val="sr-Cyrl-CS"/>
        </w:rPr>
        <w:t>.</w:t>
      </w:r>
    </w:p>
    <w:p w14:paraId="112FF3AA" w14:textId="3B9A79D5" w:rsidR="00C3483C" w:rsidRPr="00E84C93" w:rsidRDefault="00C3483C" w:rsidP="00C3483C">
      <w:pPr>
        <w:spacing w:after="0"/>
        <w:ind w:firstLine="720"/>
        <w:jc w:val="both"/>
        <w:rPr>
          <w:rFonts w:cs="Times New Roman"/>
          <w:szCs w:val="24"/>
          <w:lang w:val="sr-Cyrl-CS"/>
        </w:rPr>
      </w:pPr>
      <w:r w:rsidRPr="00E84C93">
        <w:rPr>
          <w:rFonts w:cs="Times New Roman"/>
          <w:szCs w:val="24"/>
          <w:lang w:val="sr-Cyrl-CS"/>
        </w:rPr>
        <w:lastRenderedPageBreak/>
        <w:t>Идентификација и процена потенцијалних краткорочних и/или средњорочних могућности открила је чињеницу да се тренутно за све потенцијалне могућности везују правна, институционална, техничка и/или практична ограничења и недостаци. С</w:t>
      </w:r>
      <w:r w:rsidR="008E3C23" w:rsidRPr="00E84C93">
        <w:rPr>
          <w:rFonts w:cs="Times New Roman"/>
          <w:szCs w:val="24"/>
          <w:lang w:val="sr-Cyrl-CS"/>
        </w:rPr>
        <w:t xml:space="preserve"> </w:t>
      </w:r>
      <w:r w:rsidRPr="00E84C93">
        <w:rPr>
          <w:rFonts w:cs="Times New Roman"/>
          <w:szCs w:val="24"/>
          <w:lang w:val="sr-Cyrl-CS"/>
        </w:rPr>
        <w:t>т</w:t>
      </w:r>
      <w:r w:rsidR="008E3C23" w:rsidRPr="00E84C93">
        <w:rPr>
          <w:rFonts w:cs="Times New Roman"/>
          <w:szCs w:val="24"/>
          <w:lang w:val="sr-Cyrl-CS"/>
        </w:rPr>
        <w:t>им у вези</w:t>
      </w:r>
      <w:r w:rsidRPr="00E84C93">
        <w:rPr>
          <w:rFonts w:cs="Times New Roman"/>
          <w:szCs w:val="24"/>
          <w:lang w:val="sr-Cyrl-CS"/>
        </w:rPr>
        <w:t>, ни</w:t>
      </w:r>
      <w:r w:rsidR="008E3C23" w:rsidRPr="00E84C93">
        <w:rPr>
          <w:rFonts w:cs="Times New Roman"/>
          <w:szCs w:val="24"/>
          <w:lang w:val="sr-Cyrl-CS"/>
        </w:rPr>
        <w:t xml:space="preserve"> </w:t>
      </w:r>
      <w:r w:rsidRPr="00E84C93">
        <w:rPr>
          <w:rFonts w:cs="Times New Roman"/>
          <w:szCs w:val="24"/>
          <w:lang w:val="sr-Cyrl-CS"/>
        </w:rPr>
        <w:t xml:space="preserve">једна од испитаних могућности </w:t>
      </w:r>
      <w:r w:rsidR="008E3C23" w:rsidRPr="00E84C93">
        <w:rPr>
          <w:rFonts w:cs="Times New Roman"/>
          <w:szCs w:val="24"/>
          <w:lang w:val="sr-Cyrl-CS"/>
        </w:rPr>
        <w:t xml:space="preserve">се </w:t>
      </w:r>
      <w:r w:rsidRPr="00E84C93">
        <w:rPr>
          <w:rFonts w:cs="Times New Roman"/>
          <w:szCs w:val="24"/>
          <w:lang w:val="sr-Cyrl-CS"/>
        </w:rPr>
        <w:t>не може</w:t>
      </w:r>
      <w:r w:rsidR="007F6C76" w:rsidRPr="00E84C93">
        <w:rPr>
          <w:rFonts w:cs="Times New Roman"/>
          <w:szCs w:val="24"/>
          <w:lang w:val="sr-Cyrl-CS"/>
        </w:rPr>
        <w:t xml:space="preserve"> се</w:t>
      </w:r>
      <w:r w:rsidRPr="00E84C93">
        <w:rPr>
          <w:rFonts w:cs="Times New Roman"/>
          <w:szCs w:val="24"/>
          <w:lang w:val="sr-Cyrl-CS"/>
        </w:rPr>
        <w:t xml:space="preserve"> применити одмах. Према томе, потребно је почетне активности јасно</w:t>
      </w:r>
      <w:r w:rsidR="007C2192" w:rsidRPr="00E84C93">
        <w:rPr>
          <w:rFonts w:cs="Times New Roman"/>
          <w:szCs w:val="24"/>
          <w:lang w:val="sr-Cyrl-CS"/>
        </w:rPr>
        <w:t xml:space="preserve"> </w:t>
      </w:r>
      <w:r w:rsidRPr="00E84C93">
        <w:rPr>
          <w:rFonts w:cs="Times New Roman"/>
          <w:szCs w:val="24"/>
          <w:lang w:val="sr-Cyrl-CS"/>
        </w:rPr>
        <w:t>усмерити на активности које ће ове опције учинити применљивим.</w:t>
      </w:r>
      <w:r w:rsidR="008E3C23" w:rsidRPr="00E84C93">
        <w:rPr>
          <w:rFonts w:cs="Times New Roman"/>
          <w:szCs w:val="24"/>
          <w:lang w:val="sr-Cyrl-CS"/>
        </w:rPr>
        <w:t xml:space="preserve"> </w:t>
      </w:r>
    </w:p>
    <w:p w14:paraId="06FB3935" w14:textId="1A91E2C5" w:rsidR="006F413C" w:rsidRPr="00E84C93" w:rsidRDefault="00352154" w:rsidP="00D34AE9">
      <w:pPr>
        <w:spacing w:after="0"/>
        <w:ind w:firstLine="720"/>
        <w:jc w:val="both"/>
        <w:rPr>
          <w:rFonts w:cs="Times New Roman"/>
          <w:lang w:val="sr-Cyrl-CS"/>
        </w:rPr>
      </w:pPr>
      <w:r w:rsidRPr="00E84C93">
        <w:rPr>
          <w:rFonts w:cs="Times New Roman"/>
          <w:szCs w:val="24"/>
          <w:lang w:val="sr-Cyrl-CS"/>
        </w:rPr>
        <w:t xml:space="preserve">Коинсинерација </w:t>
      </w:r>
      <w:r w:rsidR="00D34AE9" w:rsidRPr="00E84C93">
        <w:rPr>
          <w:rFonts w:cs="Times New Roman"/>
          <w:szCs w:val="24"/>
          <w:lang w:val="sr-Cyrl-CS"/>
        </w:rPr>
        <w:t>сувог муља</w:t>
      </w:r>
      <w:r w:rsidR="008E3C23" w:rsidRPr="00E84C93">
        <w:rPr>
          <w:rFonts w:cs="Times New Roman"/>
          <w:szCs w:val="24"/>
          <w:lang w:val="sr-Cyrl-CS"/>
        </w:rPr>
        <w:t xml:space="preserve"> (потребно је спровести претходно сушење)</w:t>
      </w:r>
      <w:r w:rsidR="00D34AE9" w:rsidRPr="00E84C93">
        <w:rPr>
          <w:rFonts w:cs="Times New Roman"/>
          <w:szCs w:val="24"/>
          <w:lang w:val="sr-Cyrl-CS"/>
        </w:rPr>
        <w:t xml:space="preserve"> у </w:t>
      </w:r>
      <w:r w:rsidR="00A52E1A" w:rsidRPr="00E84C93">
        <w:rPr>
          <w:rFonts w:cs="Times New Roman"/>
          <w:szCs w:val="24"/>
          <w:lang w:val="sr-Cyrl-CS"/>
        </w:rPr>
        <w:t>фабрикама цемента Lafarge</w:t>
      </w:r>
      <w:r w:rsidR="00D34AE9" w:rsidRPr="00E84C93">
        <w:rPr>
          <w:rFonts w:cs="Times New Roman"/>
          <w:szCs w:val="24"/>
          <w:lang w:val="sr-Cyrl-CS"/>
        </w:rPr>
        <w:t xml:space="preserve">, Беочин и/или </w:t>
      </w:r>
      <w:r w:rsidR="00F51ED7" w:rsidRPr="00E84C93">
        <w:rPr>
          <w:rFonts w:cs="Times New Roman"/>
          <w:bCs/>
          <w:color w:val="000000"/>
          <w:szCs w:val="24"/>
          <w:lang w:val="sr-Cyrl-CS" w:eastAsia="de-DE"/>
        </w:rPr>
        <w:t>Моравацем</w:t>
      </w:r>
      <w:r w:rsidR="00D34AE9" w:rsidRPr="00E84C93">
        <w:rPr>
          <w:rFonts w:cs="Times New Roman"/>
          <w:szCs w:val="24"/>
          <w:lang w:val="sr-Cyrl-CS"/>
        </w:rPr>
        <w:t xml:space="preserve">, Поповац, </w:t>
      </w:r>
      <w:r w:rsidR="00DC0E88" w:rsidRPr="00E84C93">
        <w:rPr>
          <w:rFonts w:cs="Times New Roman"/>
          <w:lang w:val="sr-Cyrl-CS"/>
        </w:rPr>
        <w:t xml:space="preserve">одлагање </w:t>
      </w:r>
      <w:r w:rsidR="00DC0E88" w:rsidRPr="00E84C93">
        <w:rPr>
          <w:lang w:val="sr-Cyrl-CS"/>
        </w:rPr>
        <w:t xml:space="preserve">на депоније индустријског отпада (депоније пепела, јаловишта...), могу бити опције </w:t>
      </w:r>
      <w:r w:rsidR="00D34AE9" w:rsidRPr="00E84C93">
        <w:rPr>
          <w:rFonts w:cs="Times New Roman"/>
          <w:lang w:val="sr-Cyrl-CS"/>
        </w:rPr>
        <w:t xml:space="preserve">за краткорочну и/или средњорочну имплементацију. </w:t>
      </w:r>
      <w:r w:rsidR="00DC0E88" w:rsidRPr="00E84C93">
        <w:rPr>
          <w:rFonts w:cs="Times New Roman"/>
          <w:lang w:val="sr-Cyrl-CS"/>
        </w:rPr>
        <w:t>П</w:t>
      </w:r>
      <w:r w:rsidR="00DC0E88" w:rsidRPr="00E84C93">
        <w:rPr>
          <w:rFonts w:cs="Times New Roman"/>
          <w:szCs w:val="24"/>
          <w:lang w:val="sr-Cyrl-CS"/>
        </w:rPr>
        <w:t>римена муља за дневно прекривање депонија мешањем са инетрсним материјалом и коначно о</w:t>
      </w:r>
      <w:r w:rsidR="00DC0E88" w:rsidRPr="00E84C93">
        <w:rPr>
          <w:rFonts w:cs="Times New Roman"/>
          <w:lang w:val="sr-Cyrl-CS"/>
        </w:rPr>
        <w:t xml:space="preserve">длагање муља на регионалне санитарне депоније сматрају се потенцијалним могућностима за краткорочну имплементацију </w:t>
      </w:r>
      <w:r w:rsidR="00D34AE9" w:rsidRPr="00E84C93">
        <w:rPr>
          <w:rFonts w:cs="Times New Roman"/>
          <w:lang w:val="sr-Cyrl-CS"/>
        </w:rPr>
        <w:t xml:space="preserve">Међутим, све могућности, било појединачне или у комбинацији, имају ограничен капацитет на локалном или регионалном нивоу имајући у виду количину муља коју је могуће </w:t>
      </w:r>
      <w:r w:rsidR="00313369" w:rsidRPr="00E84C93">
        <w:rPr>
          <w:rFonts w:cs="Times New Roman"/>
          <w:lang w:val="sr-Cyrl-CS"/>
        </w:rPr>
        <w:t xml:space="preserve"> збринути</w:t>
      </w:r>
      <w:r w:rsidR="00D34AE9" w:rsidRPr="00E84C93">
        <w:rPr>
          <w:rFonts w:cs="Times New Roman"/>
          <w:lang w:val="sr-Cyrl-CS"/>
        </w:rPr>
        <w:t xml:space="preserve"> </w:t>
      </w:r>
      <w:r w:rsidR="00313369" w:rsidRPr="00E84C93">
        <w:rPr>
          <w:rFonts w:cs="Times New Roman"/>
          <w:lang w:val="sr-Cyrl-CS"/>
        </w:rPr>
        <w:t xml:space="preserve">на основу ових решења. </w:t>
      </w:r>
      <w:r w:rsidR="00D34AE9" w:rsidRPr="00E84C93">
        <w:rPr>
          <w:rFonts w:cs="Times New Roman"/>
          <w:lang w:val="sr-Cyrl-CS"/>
        </w:rPr>
        <w:t xml:space="preserve"> </w:t>
      </w:r>
    </w:p>
    <w:p w14:paraId="203D09BD" w14:textId="784CF96A" w:rsidR="00D34AE9" w:rsidRPr="00E84C93" w:rsidRDefault="00D34AE9" w:rsidP="00D34AE9">
      <w:pPr>
        <w:spacing w:after="0"/>
        <w:ind w:firstLine="720"/>
        <w:jc w:val="both"/>
        <w:rPr>
          <w:rFonts w:cs="Times New Roman"/>
          <w:lang w:val="sr-Cyrl-CS"/>
        </w:rPr>
      </w:pPr>
      <w:r w:rsidRPr="00E84C93">
        <w:rPr>
          <w:rFonts w:cs="Times New Roman"/>
          <w:lang w:val="sr-Cyrl-CS"/>
        </w:rPr>
        <w:t>Стога је неопходно је размотрити друге краткорочне и/или средњорочне могућности и убрзати имплементацију дугорочног решења</w:t>
      </w:r>
      <w:r w:rsidR="008E3C23" w:rsidRPr="00E84C93">
        <w:rPr>
          <w:rFonts w:cs="Times New Roman"/>
          <w:lang w:val="sr-Cyrl-CS"/>
        </w:rPr>
        <w:t xml:space="preserve"> (примена у пољопривреди или спаљивање муља)</w:t>
      </w:r>
      <w:r w:rsidRPr="00E84C93">
        <w:rPr>
          <w:rFonts w:cs="Times New Roman"/>
          <w:lang w:val="sr-Cyrl-CS"/>
        </w:rPr>
        <w:t>.</w:t>
      </w:r>
      <w:r w:rsidR="006F413C" w:rsidRPr="00E84C93">
        <w:rPr>
          <w:rFonts w:cs="Times New Roman"/>
          <w:lang w:val="sr-Cyrl-CS"/>
        </w:rPr>
        <w:t xml:space="preserve"> Примена муља у пољопривреди као дугорочно решењ</w:t>
      </w:r>
      <w:r w:rsidR="00DC0E88" w:rsidRPr="00E84C93">
        <w:rPr>
          <w:rFonts w:cs="Times New Roman"/>
          <w:lang w:val="sr-Cyrl-CS"/>
        </w:rPr>
        <w:t>е</w:t>
      </w:r>
      <w:r w:rsidR="006F413C" w:rsidRPr="00E84C93">
        <w:rPr>
          <w:rFonts w:cs="Times New Roman"/>
          <w:lang w:val="sr-Cyrl-CS"/>
        </w:rPr>
        <w:t xml:space="preserve"> биће </w:t>
      </w:r>
      <w:r w:rsidR="00237AA5" w:rsidRPr="00E84C93">
        <w:rPr>
          <w:rFonts w:cs="Times New Roman"/>
          <w:lang w:val="sr-Cyrl-CS"/>
        </w:rPr>
        <w:t>разматрана</w:t>
      </w:r>
      <w:r w:rsidR="006F413C" w:rsidRPr="00E84C93">
        <w:rPr>
          <w:rFonts w:cs="Times New Roman"/>
          <w:lang w:val="sr-Cyrl-CS"/>
        </w:rPr>
        <w:t xml:space="preserve"> након спроведеног испитивања могућности коришћења муља у пољопривреди. У складу са добијеним резултатима радиће се ревизија Програма управљањ</w:t>
      </w:r>
      <w:r w:rsidR="008E35FF" w:rsidRPr="00E84C93">
        <w:rPr>
          <w:rFonts w:cs="Times New Roman"/>
          <w:lang w:val="sr-Cyrl-CS"/>
        </w:rPr>
        <w:t>a</w:t>
      </w:r>
      <w:r w:rsidR="006F413C" w:rsidRPr="00E84C93">
        <w:rPr>
          <w:rFonts w:cs="Times New Roman"/>
          <w:lang w:val="sr-Cyrl-CS"/>
        </w:rPr>
        <w:t xml:space="preserve"> муљем.</w:t>
      </w:r>
    </w:p>
    <w:p w14:paraId="78D3EFD1" w14:textId="40355182" w:rsidR="00D34AE9" w:rsidRPr="00E84C93" w:rsidRDefault="00D34AE9" w:rsidP="0002705B">
      <w:pPr>
        <w:spacing w:after="0"/>
        <w:jc w:val="both"/>
        <w:rPr>
          <w:rFonts w:cs="Times New Roman"/>
          <w:lang w:val="sr-Cyrl-CS"/>
        </w:rPr>
      </w:pPr>
    </w:p>
    <w:p w14:paraId="56702E39" w14:textId="630DA24F" w:rsidR="00BE1209" w:rsidRPr="00E84C93" w:rsidRDefault="00C50110" w:rsidP="000C54C0">
      <w:pPr>
        <w:pStyle w:val="Heading2"/>
        <w:numPr>
          <w:ilvl w:val="1"/>
          <w:numId w:val="8"/>
        </w:numPr>
        <w:rPr>
          <w:lang w:val="sr-Cyrl-CS"/>
        </w:rPr>
      </w:pPr>
      <w:bookmarkStart w:id="80" w:name="_Toc87616644"/>
      <w:bookmarkStart w:id="81" w:name="_Toc94398130"/>
      <w:bookmarkStart w:id="82" w:name="_Toc95129116"/>
      <w:bookmarkStart w:id="83" w:name="_Toc99920906"/>
      <w:r w:rsidRPr="00E84C93">
        <w:rPr>
          <w:lang w:val="sr-Cyrl-CS"/>
        </w:rPr>
        <w:t>Успостављање система управљања муљем</w:t>
      </w:r>
      <w:bookmarkEnd w:id="80"/>
      <w:bookmarkEnd w:id="81"/>
      <w:bookmarkEnd w:id="82"/>
      <w:r w:rsidR="005F0C6A" w:rsidRPr="00E84C93">
        <w:rPr>
          <w:lang w:val="sr-Cyrl-CS"/>
        </w:rPr>
        <w:t xml:space="preserve"> на територији Републике Србије</w:t>
      </w:r>
      <w:bookmarkEnd w:id="83"/>
    </w:p>
    <w:p w14:paraId="40DD2552" w14:textId="77777777" w:rsidR="00BE1209" w:rsidRPr="00E84C93" w:rsidRDefault="00BE1209" w:rsidP="00BE1209">
      <w:pPr>
        <w:rPr>
          <w:lang w:val="sr-Cyrl-CS" w:bidi="en-US"/>
        </w:rPr>
      </w:pPr>
    </w:p>
    <w:p w14:paraId="7B119F62" w14:textId="46060C24" w:rsidR="005F0C6A" w:rsidRPr="00E84C93" w:rsidRDefault="001C3B7A" w:rsidP="00C2011F">
      <w:pPr>
        <w:spacing w:after="0"/>
        <w:ind w:firstLine="720"/>
        <w:jc w:val="both"/>
        <w:rPr>
          <w:rFonts w:cs="Times New Roman"/>
          <w:szCs w:val="24"/>
          <w:lang w:val="sr-Cyrl-CS" w:bidi="en-US"/>
        </w:rPr>
      </w:pPr>
      <w:r w:rsidRPr="00E84C93">
        <w:rPr>
          <w:rFonts w:cs="Times New Roman"/>
          <w:szCs w:val="24"/>
          <w:lang w:val="sr-Cyrl-CS" w:bidi="en-US"/>
        </w:rPr>
        <w:t>Успостављање система управљања муљем</w:t>
      </w:r>
      <w:r w:rsidR="005F0C6A" w:rsidRPr="00E84C93">
        <w:rPr>
          <w:rFonts w:cs="Times New Roman"/>
          <w:szCs w:val="24"/>
          <w:lang w:val="sr-Cyrl-CS" w:bidi="en-US"/>
        </w:rPr>
        <w:t xml:space="preserve"> подразумева примену краткорочних и дугорочног решења за </w:t>
      </w:r>
      <w:r w:rsidR="0038238B" w:rsidRPr="00E84C93">
        <w:rPr>
          <w:rFonts w:cs="Times New Roman"/>
          <w:szCs w:val="24"/>
          <w:lang w:val="sr-Cyrl-CS" w:bidi="en-US"/>
        </w:rPr>
        <w:t>управљање</w:t>
      </w:r>
      <w:r w:rsidR="005F0C6A" w:rsidRPr="00E84C93">
        <w:rPr>
          <w:rFonts w:cs="Times New Roman"/>
          <w:szCs w:val="24"/>
          <w:lang w:val="sr-Cyrl-CS" w:bidi="en-US"/>
        </w:rPr>
        <w:t xml:space="preserve"> муљ</w:t>
      </w:r>
      <w:r w:rsidR="0038238B" w:rsidRPr="00E84C93">
        <w:rPr>
          <w:rFonts w:cs="Times New Roman"/>
          <w:szCs w:val="24"/>
          <w:lang w:val="sr-Cyrl-CS" w:bidi="en-US"/>
        </w:rPr>
        <w:t>ем</w:t>
      </w:r>
      <w:r w:rsidR="005F0C6A" w:rsidRPr="00E84C93">
        <w:rPr>
          <w:rFonts w:cs="Times New Roman"/>
          <w:szCs w:val="24"/>
          <w:lang w:val="sr-Cyrl-CS" w:bidi="en-US"/>
        </w:rPr>
        <w:t xml:space="preserve">. </w:t>
      </w:r>
      <w:r w:rsidR="0038238B" w:rsidRPr="00E84C93">
        <w:rPr>
          <w:rFonts w:cs="Times New Roman"/>
          <w:szCs w:val="24"/>
          <w:lang w:val="sr-Cyrl-CS" w:bidi="en-US"/>
        </w:rPr>
        <w:t xml:space="preserve">Краткорочно збрињавање и третман муља ће се применити до успостављања услова за дугорочно решавање управљања муљем. </w:t>
      </w:r>
    </w:p>
    <w:p w14:paraId="6EBF69E7" w14:textId="0BA65FDC" w:rsidR="000D1FEF" w:rsidRPr="00E84C93" w:rsidRDefault="00FC0B8B" w:rsidP="0038238B">
      <w:pPr>
        <w:spacing w:after="0"/>
        <w:ind w:firstLine="720"/>
        <w:jc w:val="both"/>
        <w:rPr>
          <w:rFonts w:cs="Times New Roman"/>
          <w:szCs w:val="24"/>
          <w:lang w:val="sr-Cyrl-CS" w:bidi="en-US"/>
        </w:rPr>
      </w:pPr>
      <w:r w:rsidRPr="00E84C93">
        <w:rPr>
          <w:rFonts w:cs="Times New Roman"/>
          <w:szCs w:val="24"/>
          <w:lang w:val="sr-Cyrl-CS" w:bidi="en-US"/>
        </w:rPr>
        <w:t>У зависности од</w:t>
      </w:r>
      <w:r w:rsidR="000D1FEF" w:rsidRPr="00E84C93">
        <w:rPr>
          <w:rFonts w:cs="Times New Roman"/>
          <w:szCs w:val="24"/>
          <w:lang w:val="sr-Cyrl-CS" w:bidi="en-US"/>
        </w:rPr>
        <w:t xml:space="preserve"> </w:t>
      </w:r>
      <w:r w:rsidRPr="00E84C93">
        <w:rPr>
          <w:rFonts w:cs="Times New Roman"/>
          <w:szCs w:val="24"/>
          <w:lang w:val="sr-Cyrl-CS" w:bidi="en-US"/>
        </w:rPr>
        <w:t xml:space="preserve">могућности </w:t>
      </w:r>
      <w:r w:rsidR="0038238B" w:rsidRPr="00E84C93">
        <w:rPr>
          <w:rFonts w:cs="Times New Roman"/>
          <w:szCs w:val="24"/>
          <w:lang w:val="sr-Cyrl-CS" w:bidi="en-US"/>
        </w:rPr>
        <w:t xml:space="preserve">за дугорочно решавање примене муља у пољопривреди и и количина које ће се збринути на тај начин, </w:t>
      </w:r>
      <w:r w:rsidR="00682299" w:rsidRPr="00E84C93">
        <w:rPr>
          <w:rFonts w:cs="Times New Roman"/>
          <w:szCs w:val="24"/>
          <w:lang w:val="sr-Cyrl-CS" w:bidi="en-US"/>
        </w:rPr>
        <w:t>биће примењена и опција</w:t>
      </w:r>
      <w:r w:rsidR="007B5812" w:rsidRPr="00E84C93">
        <w:rPr>
          <w:rFonts w:cs="Times New Roman"/>
          <w:szCs w:val="24"/>
          <w:lang w:val="sr-Cyrl-CS" w:bidi="en-US"/>
        </w:rPr>
        <w:t xml:space="preserve"> спаљивање муља</w:t>
      </w:r>
      <w:r w:rsidR="00682299" w:rsidRPr="00E84C93">
        <w:rPr>
          <w:rFonts w:cs="Times New Roman"/>
          <w:szCs w:val="24"/>
          <w:lang w:val="sr-Cyrl-CS" w:bidi="en-US"/>
        </w:rPr>
        <w:t xml:space="preserve">, организована на </w:t>
      </w:r>
      <w:r w:rsidRPr="00E84C93">
        <w:rPr>
          <w:rFonts w:cs="Times New Roman"/>
          <w:szCs w:val="24"/>
          <w:lang w:val="sr-Cyrl-CS" w:bidi="en-US"/>
        </w:rPr>
        <w:t xml:space="preserve">регионалном нивоу. </w:t>
      </w:r>
    </w:p>
    <w:p w14:paraId="77DB901F" w14:textId="31700278" w:rsidR="00C2011F" w:rsidRPr="00E84C93" w:rsidRDefault="0038238B" w:rsidP="00C2011F">
      <w:pPr>
        <w:spacing w:after="0"/>
        <w:ind w:firstLine="720"/>
        <w:jc w:val="both"/>
        <w:rPr>
          <w:rFonts w:cs="Times New Roman"/>
          <w:szCs w:val="24"/>
          <w:lang w:val="sr-Cyrl-CS" w:bidi="en-US"/>
        </w:rPr>
      </w:pPr>
      <w:r w:rsidRPr="00E84C93">
        <w:rPr>
          <w:rFonts w:cs="Times New Roman"/>
          <w:szCs w:val="24"/>
          <w:lang w:val="sr-Cyrl-CS" w:bidi="en-US"/>
        </w:rPr>
        <w:t>За д</w:t>
      </w:r>
      <w:r w:rsidR="00C2011F" w:rsidRPr="00E84C93">
        <w:rPr>
          <w:rFonts w:cs="Times New Roman"/>
          <w:szCs w:val="24"/>
          <w:lang w:val="sr-Cyrl-CS" w:bidi="en-US"/>
        </w:rPr>
        <w:t>ефиниса</w:t>
      </w:r>
      <w:r w:rsidRPr="00E84C93">
        <w:rPr>
          <w:rFonts w:cs="Times New Roman"/>
          <w:szCs w:val="24"/>
          <w:lang w:val="sr-Cyrl-CS" w:bidi="en-US"/>
        </w:rPr>
        <w:t>ње</w:t>
      </w:r>
      <w:r w:rsidR="00C2011F" w:rsidRPr="00E84C93">
        <w:rPr>
          <w:rFonts w:cs="Times New Roman"/>
          <w:szCs w:val="24"/>
          <w:lang w:val="sr-Cyrl-CS" w:bidi="en-US"/>
        </w:rPr>
        <w:t xml:space="preserve"> Регионални</w:t>
      </w:r>
      <w:r w:rsidRPr="00E84C93">
        <w:rPr>
          <w:rFonts w:cs="Times New Roman"/>
          <w:szCs w:val="24"/>
          <w:lang w:val="sr-Cyrl-CS" w:bidi="en-US"/>
        </w:rPr>
        <w:t>х</w:t>
      </w:r>
      <w:r w:rsidR="00C2011F" w:rsidRPr="00E84C93">
        <w:rPr>
          <w:rFonts w:cs="Times New Roman"/>
          <w:szCs w:val="24"/>
          <w:lang w:val="sr-Cyrl-CS" w:bidi="en-US"/>
        </w:rPr>
        <w:t xml:space="preserve"> цент</w:t>
      </w:r>
      <w:r w:rsidRPr="00E84C93">
        <w:rPr>
          <w:rFonts w:cs="Times New Roman"/>
          <w:szCs w:val="24"/>
          <w:lang w:val="sr-Cyrl-CS" w:bidi="en-US"/>
        </w:rPr>
        <w:t>а</w:t>
      </w:r>
      <w:r w:rsidR="00C2011F" w:rsidRPr="00E84C93">
        <w:rPr>
          <w:rFonts w:cs="Times New Roman"/>
          <w:szCs w:val="24"/>
          <w:lang w:val="sr-Cyrl-CS" w:bidi="en-US"/>
        </w:rPr>
        <w:t>р</w:t>
      </w:r>
      <w:r w:rsidRPr="00E84C93">
        <w:rPr>
          <w:rFonts w:cs="Times New Roman"/>
          <w:szCs w:val="24"/>
          <w:lang w:val="sr-Cyrl-CS" w:bidi="en-US"/>
        </w:rPr>
        <w:t>а</w:t>
      </w:r>
      <w:r w:rsidR="00C2011F" w:rsidRPr="00E84C93">
        <w:rPr>
          <w:rFonts w:cs="Times New Roman"/>
          <w:szCs w:val="24"/>
          <w:lang w:val="sr-Cyrl-CS" w:bidi="en-US"/>
        </w:rPr>
        <w:t xml:space="preserve"> за управљање муљем и Цент</w:t>
      </w:r>
      <w:r w:rsidRPr="00E84C93">
        <w:rPr>
          <w:rFonts w:cs="Times New Roman"/>
          <w:szCs w:val="24"/>
          <w:lang w:val="sr-Cyrl-CS" w:bidi="en-US"/>
        </w:rPr>
        <w:t>а</w:t>
      </w:r>
      <w:r w:rsidR="00C2011F" w:rsidRPr="00E84C93">
        <w:rPr>
          <w:rFonts w:cs="Times New Roman"/>
          <w:szCs w:val="24"/>
          <w:lang w:val="sr-Cyrl-CS" w:bidi="en-US"/>
        </w:rPr>
        <w:t>р</w:t>
      </w:r>
      <w:r w:rsidRPr="00E84C93">
        <w:rPr>
          <w:rFonts w:cs="Times New Roman"/>
          <w:szCs w:val="24"/>
          <w:lang w:val="sr-Cyrl-CS" w:bidi="en-US"/>
        </w:rPr>
        <w:t>а</w:t>
      </w:r>
      <w:r w:rsidR="00C2011F" w:rsidRPr="00E84C93">
        <w:rPr>
          <w:rFonts w:cs="Times New Roman"/>
          <w:szCs w:val="24"/>
          <w:lang w:val="sr-Cyrl-CS" w:bidi="en-US"/>
        </w:rPr>
        <w:t xml:space="preserve"> за третман муља за сваки регион и округ у </w:t>
      </w:r>
      <w:r w:rsidR="00C2011F" w:rsidRPr="00E84C93">
        <w:rPr>
          <w:lang w:val="sr-Cyrl-CS"/>
        </w:rPr>
        <w:t xml:space="preserve">Републици </w:t>
      </w:r>
      <w:r w:rsidR="00C2011F" w:rsidRPr="00E84C93">
        <w:rPr>
          <w:rFonts w:cs="Times New Roman"/>
          <w:szCs w:val="24"/>
          <w:lang w:val="sr-Cyrl-CS" w:bidi="en-US"/>
        </w:rPr>
        <w:t xml:space="preserve">Србији примењена је анализа тежишта гравитације ради иницијалне класификације и груписања постројења за пречишћавање отпадних вода узимајући у обзир минималне удаљености за транспорт. </w:t>
      </w:r>
      <w:r w:rsidRPr="00E84C93">
        <w:rPr>
          <w:rFonts w:cs="Times New Roman"/>
          <w:szCs w:val="24"/>
          <w:lang w:val="sr-Cyrl-CS" w:bidi="en-US"/>
        </w:rPr>
        <w:t>И</w:t>
      </w:r>
      <w:r w:rsidR="00C2011F" w:rsidRPr="00E84C93">
        <w:rPr>
          <w:rFonts w:cs="Times New Roman"/>
          <w:szCs w:val="24"/>
          <w:lang w:val="sr-Cyrl-CS" w:bidi="en-US"/>
        </w:rPr>
        <w:t xml:space="preserve">дентификација могућих локација </w:t>
      </w:r>
      <w:r w:rsidR="00D010D1" w:rsidRPr="00E84C93">
        <w:rPr>
          <w:rFonts w:cs="Times New Roman"/>
          <w:szCs w:val="24"/>
          <w:lang w:val="sr-Cyrl-CS" w:bidi="en-US"/>
        </w:rPr>
        <w:t>моно</w:t>
      </w:r>
      <w:r w:rsidR="00C2011F" w:rsidRPr="00E84C93">
        <w:rPr>
          <w:rFonts w:cs="Times New Roman"/>
          <w:szCs w:val="24"/>
          <w:lang w:val="sr-Cyrl-CS" w:bidi="en-US"/>
        </w:rPr>
        <w:t>депонија за Регионалне центре за управљање отпадом и Центре за третман отпада на регионалном нивоу и нивоу округа</w:t>
      </w:r>
      <w:r w:rsidRPr="00E84C93">
        <w:rPr>
          <w:rFonts w:cs="Times New Roman"/>
          <w:szCs w:val="24"/>
          <w:lang w:val="sr-Cyrl-CS" w:bidi="en-US"/>
        </w:rPr>
        <w:t xml:space="preserve"> биће извршена према потребама и локалним условима</w:t>
      </w:r>
      <w:r w:rsidR="00C2011F" w:rsidRPr="00E84C93">
        <w:rPr>
          <w:rFonts w:cs="Times New Roman"/>
          <w:szCs w:val="24"/>
          <w:lang w:val="sr-Cyrl-CS" w:bidi="en-US"/>
        </w:rPr>
        <w:t>.</w:t>
      </w:r>
    </w:p>
    <w:p w14:paraId="28AA18F9" w14:textId="63418A25" w:rsidR="00BE1209" w:rsidRPr="00E84C93" w:rsidRDefault="00A061AD" w:rsidP="00C2011F">
      <w:pPr>
        <w:spacing w:after="0"/>
        <w:ind w:firstLine="720"/>
        <w:jc w:val="both"/>
        <w:rPr>
          <w:lang w:val="sr-Cyrl-CS" w:bidi="en-US"/>
        </w:rPr>
      </w:pPr>
      <w:r w:rsidRPr="00E84C93">
        <w:rPr>
          <w:lang w:val="sr-Cyrl-CS" w:bidi="en-US"/>
        </w:rPr>
        <w:t>Р</w:t>
      </w:r>
      <w:r w:rsidR="00BE1209" w:rsidRPr="00E84C93">
        <w:rPr>
          <w:lang w:val="sr-Cyrl-CS" w:bidi="en-US"/>
        </w:rPr>
        <w:t xml:space="preserve">егионални </w:t>
      </w:r>
      <w:r w:rsidR="00EF7CED" w:rsidRPr="00E84C93">
        <w:rPr>
          <w:lang w:val="sr-Cyrl-CS" w:bidi="en-US"/>
        </w:rPr>
        <w:t>ц</w:t>
      </w:r>
      <w:r w:rsidR="00BE1209" w:rsidRPr="00E84C93">
        <w:rPr>
          <w:lang w:val="sr-Cyrl-CS" w:bidi="en-US"/>
        </w:rPr>
        <w:t>ентри за управљање муљем ће се за сваки регион</w:t>
      </w:r>
      <w:r w:rsidR="008B2B07" w:rsidRPr="00E84C93">
        <w:rPr>
          <w:lang w:val="sr-Cyrl-CS" w:bidi="en-US"/>
        </w:rPr>
        <w:t xml:space="preserve"> </w:t>
      </w:r>
      <w:r w:rsidR="008B2B07" w:rsidRPr="00E84C93">
        <w:rPr>
          <w:lang w:val="sr-Cyrl-CS"/>
        </w:rPr>
        <w:t>Републике</w:t>
      </w:r>
      <w:r w:rsidR="00BE1209" w:rsidRPr="00E84C93">
        <w:rPr>
          <w:lang w:val="sr-Cyrl-CS" w:bidi="en-US"/>
        </w:rPr>
        <w:t xml:space="preserve"> Србије сматрати децентрализованим приступом за поновну употребу и одлагање муља:</w:t>
      </w:r>
    </w:p>
    <w:p w14:paraId="208CE140" w14:textId="7B5DF30B" w:rsidR="00BE1209" w:rsidRPr="00E84C93" w:rsidRDefault="00A36B1E" w:rsidP="00D75873">
      <w:pPr>
        <w:pStyle w:val="ListParagraph"/>
        <w:numPr>
          <w:ilvl w:val="0"/>
          <w:numId w:val="13"/>
        </w:numPr>
        <w:spacing w:after="0"/>
        <w:rPr>
          <w:lang w:val="sr-Cyrl-CS" w:bidi="en-US"/>
        </w:rPr>
      </w:pPr>
      <w:r w:rsidRPr="00E84C93">
        <w:rPr>
          <w:lang w:val="sr-Cyrl-CS" w:bidi="en-US"/>
        </w:rPr>
        <w:t>г</w:t>
      </w:r>
      <w:r w:rsidR="00A061AD" w:rsidRPr="00E84C93">
        <w:rPr>
          <w:lang w:val="sr-Cyrl-CS" w:bidi="en-US"/>
        </w:rPr>
        <w:t>рад</w:t>
      </w:r>
      <w:r w:rsidR="00BE1209" w:rsidRPr="00E84C93">
        <w:rPr>
          <w:lang w:val="sr-Cyrl-CS" w:bidi="en-US"/>
        </w:rPr>
        <w:t xml:space="preserve"> Београд</w:t>
      </w:r>
      <w:r w:rsidRPr="00E84C93">
        <w:rPr>
          <w:lang w:val="sr-Cyrl-CS" w:bidi="en-US"/>
        </w:rPr>
        <w:t>;</w:t>
      </w:r>
    </w:p>
    <w:p w14:paraId="57AA1117" w14:textId="79B16BB8" w:rsidR="00BE1209" w:rsidRPr="00E84C93" w:rsidRDefault="00A36B1E" w:rsidP="00D75873">
      <w:pPr>
        <w:pStyle w:val="ListParagraph"/>
        <w:numPr>
          <w:ilvl w:val="0"/>
          <w:numId w:val="13"/>
        </w:numPr>
        <w:spacing w:after="0"/>
        <w:rPr>
          <w:lang w:val="sr-Cyrl-CS" w:bidi="en-US"/>
        </w:rPr>
      </w:pPr>
      <w:r w:rsidRPr="00E84C93">
        <w:rPr>
          <w:lang w:val="sr-Cyrl-CS" w:bidi="en-US"/>
        </w:rPr>
        <w:t>АП</w:t>
      </w:r>
      <w:r w:rsidR="00BE1209" w:rsidRPr="00E84C93">
        <w:rPr>
          <w:lang w:val="sr-Cyrl-CS" w:bidi="en-US"/>
        </w:rPr>
        <w:t xml:space="preserve"> Војводина</w:t>
      </w:r>
      <w:r w:rsidRPr="00E84C93">
        <w:rPr>
          <w:lang w:val="sr-Cyrl-CS" w:bidi="en-US"/>
        </w:rPr>
        <w:t>;</w:t>
      </w:r>
    </w:p>
    <w:p w14:paraId="325E8C14" w14:textId="05206F83" w:rsidR="00BE1209" w:rsidRPr="00E84C93" w:rsidRDefault="00BE1209" w:rsidP="00D75873">
      <w:pPr>
        <w:pStyle w:val="ListParagraph"/>
        <w:numPr>
          <w:ilvl w:val="0"/>
          <w:numId w:val="13"/>
        </w:numPr>
        <w:spacing w:after="0"/>
        <w:rPr>
          <w:lang w:val="sr-Cyrl-CS" w:bidi="en-US"/>
        </w:rPr>
      </w:pPr>
      <w:r w:rsidRPr="00E84C93">
        <w:rPr>
          <w:lang w:val="sr-Cyrl-CS" w:bidi="en-US"/>
        </w:rPr>
        <w:t xml:space="preserve">Шумадија и </w:t>
      </w:r>
      <w:r w:rsidR="00A061AD" w:rsidRPr="00E84C93">
        <w:rPr>
          <w:lang w:val="sr-Cyrl-CS" w:bidi="en-US"/>
        </w:rPr>
        <w:t>З</w:t>
      </w:r>
      <w:r w:rsidRPr="00E84C93">
        <w:rPr>
          <w:lang w:val="sr-Cyrl-CS" w:bidi="en-US"/>
        </w:rPr>
        <w:t>ападна Србија</w:t>
      </w:r>
      <w:r w:rsidR="00A36B1E" w:rsidRPr="00E84C93">
        <w:rPr>
          <w:lang w:val="sr-Cyrl-CS" w:bidi="en-US"/>
        </w:rPr>
        <w:t>;</w:t>
      </w:r>
    </w:p>
    <w:p w14:paraId="7030A43E" w14:textId="2B580571" w:rsidR="00BE1209" w:rsidRPr="00E84C93" w:rsidRDefault="00BE1209" w:rsidP="00D75873">
      <w:pPr>
        <w:pStyle w:val="ListParagraph"/>
        <w:numPr>
          <w:ilvl w:val="0"/>
          <w:numId w:val="13"/>
        </w:numPr>
        <w:spacing w:after="0"/>
        <w:rPr>
          <w:lang w:val="sr-Cyrl-CS" w:bidi="en-US"/>
        </w:rPr>
      </w:pPr>
      <w:r w:rsidRPr="00E84C93">
        <w:rPr>
          <w:lang w:val="sr-Cyrl-CS" w:bidi="en-US"/>
        </w:rPr>
        <w:t xml:space="preserve">Јужна и </w:t>
      </w:r>
      <w:r w:rsidR="00A061AD" w:rsidRPr="00E84C93">
        <w:rPr>
          <w:lang w:val="sr-Cyrl-CS" w:bidi="en-US"/>
        </w:rPr>
        <w:t>И</w:t>
      </w:r>
      <w:r w:rsidRPr="00E84C93">
        <w:rPr>
          <w:lang w:val="sr-Cyrl-CS" w:bidi="en-US"/>
        </w:rPr>
        <w:t>сточна Србија.</w:t>
      </w:r>
    </w:p>
    <w:p w14:paraId="5FB8817E" w14:textId="38C19063" w:rsidR="00325CC5" w:rsidRPr="00E84C93" w:rsidRDefault="00517960" w:rsidP="00325CC5">
      <w:pPr>
        <w:spacing w:after="0"/>
        <w:ind w:firstLine="720"/>
        <w:jc w:val="both"/>
        <w:rPr>
          <w:rFonts w:cs="Times New Roman"/>
          <w:szCs w:val="24"/>
          <w:lang w:val="sr-Cyrl-CS"/>
        </w:rPr>
      </w:pPr>
      <w:r w:rsidRPr="00E84C93">
        <w:rPr>
          <w:lang w:val="sr-Cyrl-CS" w:bidi="en-US"/>
        </w:rPr>
        <w:t>П</w:t>
      </w:r>
      <w:r w:rsidR="00EF7CED" w:rsidRPr="00E84C93">
        <w:rPr>
          <w:lang w:val="sr-Cyrl-CS" w:bidi="en-US"/>
        </w:rPr>
        <w:t xml:space="preserve">редвиђени Регионални </w:t>
      </w:r>
      <w:r w:rsidR="00BE1209" w:rsidRPr="00E84C93">
        <w:rPr>
          <w:lang w:val="sr-Cyrl-CS" w:bidi="en-US"/>
        </w:rPr>
        <w:t>центр</w:t>
      </w:r>
      <w:r w:rsidRPr="00E84C93">
        <w:rPr>
          <w:lang w:val="sr-Cyrl-CS" w:bidi="en-US"/>
        </w:rPr>
        <w:t>и</w:t>
      </w:r>
      <w:r w:rsidR="00BE1209" w:rsidRPr="00E84C93">
        <w:rPr>
          <w:lang w:val="sr-Cyrl-CS" w:bidi="en-US"/>
        </w:rPr>
        <w:t xml:space="preserve"> за управљање муљем би у дугорочној пројекцији требало да буду опремљени постројењима за </w:t>
      </w:r>
      <w:r w:rsidR="00D010D1" w:rsidRPr="00E84C93">
        <w:rPr>
          <w:rFonts w:cs="Times New Roman"/>
          <w:szCs w:val="24"/>
          <w:lang w:val="sr-Cyrl-CS" w:bidi="en-US"/>
        </w:rPr>
        <w:t>моно</w:t>
      </w:r>
      <w:r w:rsidR="00454447" w:rsidRPr="00E84C93">
        <w:rPr>
          <w:rFonts w:cs="Times New Roman"/>
          <w:szCs w:val="24"/>
          <w:lang w:val="sr-Cyrl-CS" w:bidi="en-US"/>
        </w:rPr>
        <w:t xml:space="preserve">инсинерацију </w:t>
      </w:r>
      <w:r w:rsidR="00BE1209" w:rsidRPr="00E84C93">
        <w:rPr>
          <w:lang w:val="sr-Cyrl-CS" w:bidi="en-US"/>
        </w:rPr>
        <w:t xml:space="preserve">и </w:t>
      </w:r>
      <w:r w:rsidR="00D010D1" w:rsidRPr="00E84C93">
        <w:rPr>
          <w:lang w:val="sr-Cyrl-CS" w:bidi="en-US"/>
        </w:rPr>
        <w:t>моно</w:t>
      </w:r>
      <w:r w:rsidR="00BE1209" w:rsidRPr="00E84C93">
        <w:rPr>
          <w:lang w:val="sr-Cyrl-CS" w:bidi="en-US"/>
        </w:rPr>
        <w:t>депонијама ради одлагање пепела.</w:t>
      </w:r>
      <w:r w:rsidR="00325CC5" w:rsidRPr="00E84C93">
        <w:rPr>
          <w:lang w:val="sr-Cyrl-CS" w:bidi="en-US"/>
        </w:rPr>
        <w:t xml:space="preserve"> </w:t>
      </w:r>
      <w:r w:rsidR="00325CC5" w:rsidRPr="00E84C93">
        <w:rPr>
          <w:rFonts w:cs="Times New Roman"/>
          <w:szCs w:val="24"/>
          <w:lang w:val="sr-Cyrl-CS"/>
        </w:rPr>
        <w:t xml:space="preserve">Имплементација овог потенцијалног дугорочног решења ће зависити и од </w:t>
      </w:r>
      <w:r w:rsidR="00325CC5" w:rsidRPr="00E84C93">
        <w:rPr>
          <w:rFonts w:cs="Times New Roman"/>
          <w:szCs w:val="24"/>
          <w:lang w:val="sr-Cyrl-CS"/>
        </w:rPr>
        <w:lastRenderedPageBreak/>
        <w:t xml:space="preserve">могућности примене одређених количина муља у пољопривреди. Динамички план предвиђа следеће: </w:t>
      </w:r>
    </w:p>
    <w:p w14:paraId="444CA919" w14:textId="2EFC03B1" w:rsidR="00325CC5" w:rsidRPr="00E84C93" w:rsidRDefault="00325CC5" w:rsidP="000218BF">
      <w:pPr>
        <w:pStyle w:val="ListParagraph"/>
        <w:numPr>
          <w:ilvl w:val="0"/>
          <w:numId w:val="20"/>
        </w:numPr>
        <w:spacing w:after="0"/>
        <w:ind w:left="0" w:firstLine="720"/>
        <w:jc w:val="both"/>
        <w:rPr>
          <w:rFonts w:cs="Times New Roman"/>
          <w:szCs w:val="24"/>
          <w:lang w:val="sr-Cyrl-CS"/>
        </w:rPr>
      </w:pPr>
      <w:r w:rsidRPr="00E84C93">
        <w:rPr>
          <w:rFonts w:cs="Times New Roman"/>
          <w:szCs w:val="24"/>
          <w:lang w:val="sr-Cyrl-CS"/>
        </w:rPr>
        <w:t>202</w:t>
      </w:r>
      <w:r w:rsidR="004E4F21" w:rsidRPr="00E84C93">
        <w:rPr>
          <w:rFonts w:cs="Times New Roman"/>
          <w:szCs w:val="24"/>
          <w:lang w:val="sr-Cyrl-CS"/>
        </w:rPr>
        <w:t>3</w:t>
      </w:r>
      <w:r w:rsidRPr="00E84C93">
        <w:rPr>
          <w:rFonts w:cs="Times New Roman"/>
          <w:szCs w:val="24"/>
          <w:lang w:val="sr-Cyrl-CS"/>
        </w:rPr>
        <w:t>-2027: седам монодепонија на нивоу округа и регионалном нивоу и једно постројење за моноинсинерацију;</w:t>
      </w:r>
    </w:p>
    <w:p w14:paraId="4BFFF441" w14:textId="52375CB6" w:rsidR="00325CC5" w:rsidRPr="00E84C93" w:rsidRDefault="00325CC5" w:rsidP="000218BF">
      <w:pPr>
        <w:pStyle w:val="ListParagraph"/>
        <w:numPr>
          <w:ilvl w:val="0"/>
          <w:numId w:val="20"/>
        </w:numPr>
        <w:spacing w:after="0"/>
        <w:ind w:left="0" w:firstLine="720"/>
        <w:jc w:val="both"/>
        <w:rPr>
          <w:rFonts w:cs="Times New Roman"/>
          <w:szCs w:val="24"/>
          <w:lang w:val="sr-Cyrl-CS"/>
        </w:rPr>
      </w:pPr>
      <w:r w:rsidRPr="00E84C93">
        <w:rPr>
          <w:rFonts w:cs="Times New Roman"/>
          <w:szCs w:val="24"/>
          <w:lang w:val="sr-Cyrl-CS"/>
        </w:rPr>
        <w:t xml:space="preserve">2028-2032: три монодепоније на регионалном нивоу и </w:t>
      </w:r>
      <w:r w:rsidR="00041C34" w:rsidRPr="00E84C93">
        <w:rPr>
          <w:rFonts w:cs="Times New Roman"/>
          <w:szCs w:val="24"/>
          <w:lang w:val="sr-Cyrl-CS"/>
        </w:rPr>
        <w:t xml:space="preserve">два </w:t>
      </w:r>
      <w:r w:rsidRPr="00E84C93">
        <w:rPr>
          <w:rFonts w:cs="Times New Roman"/>
          <w:szCs w:val="24"/>
          <w:lang w:val="sr-Cyrl-CS"/>
        </w:rPr>
        <w:t>постројења за моноинсинерацију;</w:t>
      </w:r>
    </w:p>
    <w:p w14:paraId="354A4917" w14:textId="315747ED" w:rsidR="00325CC5" w:rsidRPr="00E84C93" w:rsidRDefault="00325CC5" w:rsidP="00D75873">
      <w:pPr>
        <w:pStyle w:val="ListParagraph"/>
        <w:numPr>
          <w:ilvl w:val="0"/>
          <w:numId w:val="20"/>
        </w:numPr>
        <w:spacing w:after="0"/>
        <w:jc w:val="both"/>
        <w:rPr>
          <w:rFonts w:cs="Times New Roman"/>
          <w:szCs w:val="24"/>
          <w:lang w:val="sr-Cyrl-CS"/>
        </w:rPr>
      </w:pPr>
      <w:r w:rsidRPr="00E84C93">
        <w:rPr>
          <w:rFonts w:cs="Times New Roman"/>
          <w:szCs w:val="24"/>
          <w:lang w:val="sr-Cyrl-CS"/>
        </w:rPr>
        <w:t>2032-2046: дванаест монодепонија на нивоу округа.</w:t>
      </w:r>
    </w:p>
    <w:p w14:paraId="624D3A0C" w14:textId="70ADC47E" w:rsidR="00BE1209" w:rsidRPr="00E84C93" w:rsidRDefault="00BE1209" w:rsidP="0002705B">
      <w:pPr>
        <w:spacing w:after="0"/>
        <w:ind w:firstLine="720"/>
        <w:jc w:val="both"/>
        <w:rPr>
          <w:rFonts w:cs="Times New Roman"/>
          <w:lang w:val="sr-Cyrl-CS" w:bidi="en-US"/>
        </w:rPr>
      </w:pPr>
    </w:p>
    <w:p w14:paraId="7C896557" w14:textId="59D7088A" w:rsidR="00BE1209" w:rsidRPr="00E84C93" w:rsidRDefault="00BE1209" w:rsidP="000C54C0">
      <w:pPr>
        <w:pStyle w:val="Heading3"/>
        <w:numPr>
          <w:ilvl w:val="2"/>
          <w:numId w:val="8"/>
        </w:numPr>
        <w:spacing w:before="0" w:after="0"/>
        <w:rPr>
          <w:rFonts w:cs="Times New Roman"/>
          <w:lang w:val="sr-Cyrl-CS"/>
        </w:rPr>
      </w:pPr>
      <w:bookmarkStart w:id="84" w:name="_Toc95129118"/>
      <w:bookmarkStart w:id="85" w:name="_Toc99920907"/>
      <w:r w:rsidRPr="00E84C93">
        <w:rPr>
          <w:rFonts w:cs="Times New Roman"/>
          <w:lang w:val="sr-Cyrl-CS"/>
        </w:rPr>
        <w:t xml:space="preserve">Подручје </w:t>
      </w:r>
      <w:r w:rsidR="00EA54E7" w:rsidRPr="00E84C93">
        <w:rPr>
          <w:rFonts w:cs="Times New Roman"/>
          <w:lang w:val="sr-Cyrl-CS"/>
        </w:rPr>
        <w:t>Г</w:t>
      </w:r>
      <w:r w:rsidRPr="00E84C93">
        <w:rPr>
          <w:rFonts w:cs="Times New Roman"/>
          <w:lang w:val="sr-Cyrl-CS"/>
        </w:rPr>
        <w:t>рада Београда</w:t>
      </w:r>
      <w:bookmarkEnd w:id="84"/>
      <w:bookmarkEnd w:id="85"/>
    </w:p>
    <w:p w14:paraId="625FF4D8" w14:textId="520E3DA3" w:rsidR="00BE1209" w:rsidRPr="00E84C93" w:rsidRDefault="00BE1209" w:rsidP="00736A5C">
      <w:pPr>
        <w:spacing w:after="0"/>
        <w:ind w:firstLine="720"/>
        <w:jc w:val="both"/>
        <w:rPr>
          <w:rFonts w:cs="Times New Roman"/>
          <w:lang w:val="sr-Cyrl-CS" w:bidi="en-US"/>
        </w:rPr>
      </w:pPr>
      <w:r w:rsidRPr="00E84C93">
        <w:rPr>
          <w:rFonts w:cs="Times New Roman"/>
          <w:lang w:val="sr-Cyrl-CS" w:bidi="en-US"/>
        </w:rPr>
        <w:t xml:space="preserve">Подручје </w:t>
      </w:r>
      <w:r w:rsidR="00336C7D" w:rsidRPr="00E84C93">
        <w:rPr>
          <w:rFonts w:cs="Times New Roman"/>
          <w:lang w:val="sr-Cyrl-CS" w:bidi="en-US"/>
        </w:rPr>
        <w:t>г</w:t>
      </w:r>
      <w:r w:rsidRPr="00E84C93">
        <w:rPr>
          <w:rFonts w:cs="Times New Roman"/>
          <w:lang w:val="sr-Cyrl-CS" w:bidi="en-US"/>
        </w:rPr>
        <w:t xml:space="preserve">рада Београда је најгушће насељени и економски најважнији регион у </w:t>
      </w:r>
      <w:r w:rsidR="008B2B07" w:rsidRPr="00E84C93">
        <w:rPr>
          <w:lang w:val="sr-Cyrl-CS"/>
        </w:rPr>
        <w:t xml:space="preserve">Републици </w:t>
      </w:r>
      <w:r w:rsidRPr="00E84C93">
        <w:rPr>
          <w:rFonts w:cs="Times New Roman"/>
          <w:lang w:val="sr-Cyrl-CS" w:bidi="en-US"/>
        </w:rPr>
        <w:t xml:space="preserve">Србији. Подручје </w:t>
      </w:r>
      <w:r w:rsidR="00336C7D" w:rsidRPr="00E84C93">
        <w:rPr>
          <w:rFonts w:cs="Times New Roman"/>
          <w:lang w:val="sr-Cyrl-CS" w:bidi="en-US"/>
        </w:rPr>
        <w:t>г</w:t>
      </w:r>
      <w:r w:rsidRPr="00E84C93">
        <w:rPr>
          <w:rFonts w:cs="Times New Roman"/>
          <w:lang w:val="sr-Cyrl-CS" w:bidi="en-US"/>
        </w:rPr>
        <w:t xml:space="preserve">рада Београда биће највећи произвођач </w:t>
      </w:r>
      <w:r w:rsidR="00255FDD" w:rsidRPr="00E84C93">
        <w:rPr>
          <w:rFonts w:cs="Times New Roman"/>
          <w:szCs w:val="24"/>
          <w:lang w:val="sr-Cyrl-CS"/>
        </w:rPr>
        <w:t xml:space="preserve">муља из постројења за пречишћавање отпадних вода </w:t>
      </w:r>
      <w:r w:rsidRPr="00E84C93">
        <w:rPr>
          <w:rFonts w:cs="Times New Roman"/>
          <w:lang w:val="sr-Cyrl-CS" w:bidi="en-US"/>
        </w:rPr>
        <w:t>у Републици Србији.</w:t>
      </w:r>
    </w:p>
    <w:p w14:paraId="1D2DD234" w14:textId="581A9AB5" w:rsidR="00184095" w:rsidRPr="00E84C93" w:rsidRDefault="00184095" w:rsidP="00184095">
      <w:pPr>
        <w:spacing w:after="0"/>
        <w:ind w:firstLine="720"/>
        <w:jc w:val="both"/>
        <w:rPr>
          <w:lang w:val="sr-Cyrl-CS"/>
        </w:rPr>
      </w:pPr>
      <w:r w:rsidRPr="00E84C93">
        <w:rPr>
          <w:lang w:val="sr-Cyrl-CS"/>
        </w:rPr>
        <w:t>Укупна производња муља процењена за крај планског периода 202</w:t>
      </w:r>
      <w:r w:rsidR="004E4F21" w:rsidRPr="00E84C93">
        <w:rPr>
          <w:lang w:val="sr-Cyrl-CS"/>
        </w:rPr>
        <w:t>3</w:t>
      </w:r>
      <w:r w:rsidRPr="00E84C93">
        <w:rPr>
          <w:lang w:val="sr-Cyrl-CS"/>
        </w:rPr>
        <w:t xml:space="preserve"> – 2041. године ће се кретати у распону од око 32.550 t СМ/год. (50. перцентил) до максималних 37.300 t СМ/год. (80. перцентил).</w:t>
      </w:r>
    </w:p>
    <w:p w14:paraId="3042AB28" w14:textId="3949D49C" w:rsidR="00BE1209" w:rsidRPr="00E84C93" w:rsidRDefault="00184095" w:rsidP="0002705B">
      <w:pPr>
        <w:spacing w:after="0"/>
        <w:ind w:firstLine="720"/>
        <w:jc w:val="both"/>
        <w:rPr>
          <w:lang w:val="sr-Cyrl-CS"/>
        </w:rPr>
      </w:pPr>
      <w:r w:rsidRPr="00E84C93">
        <w:rPr>
          <w:lang w:val="sr-Cyrl-CS"/>
        </w:rPr>
        <w:t xml:space="preserve">Главно постројење за пречишћавање отпадних вода за подручје </w:t>
      </w:r>
      <w:r w:rsidR="00405777" w:rsidRPr="00E84C93">
        <w:rPr>
          <w:lang w:val="sr-Cyrl-CS"/>
        </w:rPr>
        <w:t>г</w:t>
      </w:r>
      <w:r w:rsidRPr="00E84C93">
        <w:rPr>
          <w:lang w:val="sr-Cyrl-CS"/>
        </w:rPr>
        <w:t>рада Београда капацитета 1,</w:t>
      </w:r>
      <w:r w:rsidR="00764E6C" w:rsidRPr="00E84C93">
        <w:rPr>
          <w:lang w:val="sr-Cyrl-CS"/>
        </w:rPr>
        <w:t>5</w:t>
      </w:r>
      <w:r w:rsidRPr="00E84C93">
        <w:rPr>
          <w:lang w:val="sr-Cyrl-CS"/>
        </w:rPr>
        <w:t xml:space="preserve"> милиона </w:t>
      </w:r>
      <w:r w:rsidRPr="00E84C93">
        <w:rPr>
          <w:rFonts w:cs="Times New Roman"/>
          <w:lang w:val="sr-Cyrl-CS" w:bidi="en-US"/>
        </w:rPr>
        <w:t>ЕС</w:t>
      </w:r>
      <w:r w:rsidRPr="00E84C93">
        <w:rPr>
          <w:lang w:val="sr-Cyrl-CS"/>
        </w:rPr>
        <w:t xml:space="preserve"> у крајњој фази налазиће се у близини Великог </w:t>
      </w:r>
      <w:r w:rsidR="00E27322" w:rsidRPr="00E84C93">
        <w:rPr>
          <w:lang w:val="sr-Cyrl-CS"/>
        </w:rPr>
        <w:t>С</w:t>
      </w:r>
      <w:r w:rsidRPr="00E84C93">
        <w:rPr>
          <w:lang w:val="sr-Cyrl-CS"/>
        </w:rPr>
        <w:t xml:space="preserve">ела. На локацији постројења за пречишћавање отпадних вода предвиђена је и изградња </w:t>
      </w:r>
      <w:r w:rsidR="00AF4EED" w:rsidRPr="00E84C93">
        <w:rPr>
          <w:lang w:val="sr-Cyrl-CS"/>
        </w:rPr>
        <w:t xml:space="preserve">два </w:t>
      </w:r>
      <w:r w:rsidRPr="00E84C93">
        <w:rPr>
          <w:lang w:val="sr-Cyrl-CS"/>
        </w:rPr>
        <w:t>постројења за инсинерацију (</w:t>
      </w:r>
      <w:r w:rsidR="00D010D1" w:rsidRPr="00E84C93">
        <w:rPr>
          <w:lang w:val="sr-Cyrl-CS"/>
        </w:rPr>
        <w:t>моно</w:t>
      </w:r>
      <w:r w:rsidRPr="00E84C93">
        <w:rPr>
          <w:lang w:val="sr-Cyrl-CS"/>
        </w:rPr>
        <w:t>инсинератор</w:t>
      </w:r>
      <w:r w:rsidR="00AF4EED" w:rsidRPr="00E84C93">
        <w:rPr>
          <w:lang w:val="sr-Cyrl-CS"/>
        </w:rPr>
        <w:t>а</w:t>
      </w:r>
      <w:r w:rsidRPr="00E84C93">
        <w:rPr>
          <w:lang w:val="sr-Cyrl-CS"/>
        </w:rPr>
        <w:t>)</w:t>
      </w:r>
      <w:r w:rsidR="00AF4EED" w:rsidRPr="00E84C93">
        <w:rPr>
          <w:lang w:val="sr-Cyrl-CS"/>
        </w:rPr>
        <w:t xml:space="preserve"> укупног</w:t>
      </w:r>
      <w:r w:rsidRPr="00E84C93">
        <w:rPr>
          <w:lang w:val="sr-Cyrl-CS"/>
        </w:rPr>
        <w:t xml:space="preserve"> капацитета око 35.000 t СМ/год.</w:t>
      </w:r>
    </w:p>
    <w:p w14:paraId="606E4900" w14:textId="77777777" w:rsidR="0002705B" w:rsidRPr="00E84C93" w:rsidRDefault="0002705B" w:rsidP="0002705B">
      <w:pPr>
        <w:spacing w:after="0"/>
        <w:ind w:firstLine="720"/>
        <w:jc w:val="both"/>
        <w:rPr>
          <w:lang w:val="sr-Cyrl-CS"/>
        </w:rPr>
      </w:pPr>
    </w:p>
    <w:p w14:paraId="08ACFC9E" w14:textId="64130C9C" w:rsidR="00BE1209" w:rsidRPr="00E84C93" w:rsidRDefault="00BE1209" w:rsidP="000C54C0">
      <w:pPr>
        <w:pStyle w:val="Heading3"/>
        <w:numPr>
          <w:ilvl w:val="2"/>
          <w:numId w:val="8"/>
        </w:numPr>
        <w:spacing w:before="0" w:after="0"/>
        <w:rPr>
          <w:rFonts w:cs="Times New Roman"/>
          <w:lang w:val="sr-Cyrl-CS"/>
        </w:rPr>
      </w:pPr>
      <w:bookmarkStart w:id="86" w:name="_Toc95129119"/>
      <w:bookmarkStart w:id="87" w:name="_Toc99920908"/>
      <w:r w:rsidRPr="00E84C93">
        <w:rPr>
          <w:rFonts w:cs="Times New Roman"/>
          <w:lang w:val="sr-Cyrl-CS"/>
        </w:rPr>
        <w:t>Аутономна покрајина Војводина</w:t>
      </w:r>
      <w:bookmarkEnd w:id="86"/>
      <w:bookmarkEnd w:id="87"/>
    </w:p>
    <w:p w14:paraId="6F640021" w14:textId="08786B3B" w:rsidR="00BE1209" w:rsidRPr="00E84C93" w:rsidRDefault="00F5612C" w:rsidP="00736A5C">
      <w:pPr>
        <w:pStyle w:val="ANormal"/>
        <w:ind w:firstLine="720"/>
        <w:rPr>
          <w:rFonts w:ascii="Times New Roman" w:hAnsi="Times New Roman" w:cs="Times New Roman"/>
          <w:b/>
          <w:bCs w:val="0"/>
          <w:color w:val="2E74B5" w:themeColor="accent1" w:themeShade="BF"/>
          <w:sz w:val="24"/>
          <w:szCs w:val="24"/>
          <w:lang w:val="sr-Cyrl-CS"/>
        </w:rPr>
      </w:pPr>
      <w:bookmarkStart w:id="88" w:name="_Toc95129120"/>
      <w:r w:rsidRPr="00E84C93">
        <w:rPr>
          <w:rFonts w:ascii="Times New Roman" w:hAnsi="Times New Roman" w:cs="Times New Roman"/>
          <w:b/>
          <w:bCs w:val="0"/>
          <w:color w:val="2E74B5" w:themeColor="accent1" w:themeShade="BF"/>
          <w:sz w:val="24"/>
          <w:szCs w:val="24"/>
          <w:lang w:val="sr-Cyrl-CS"/>
        </w:rPr>
        <w:t xml:space="preserve">Потенцијално </w:t>
      </w:r>
      <w:r w:rsidR="00BE1209" w:rsidRPr="00E84C93">
        <w:rPr>
          <w:rFonts w:ascii="Times New Roman" w:hAnsi="Times New Roman" w:cs="Times New Roman"/>
          <w:b/>
          <w:bCs w:val="0"/>
          <w:color w:val="2E74B5" w:themeColor="accent1" w:themeShade="BF"/>
          <w:sz w:val="24"/>
          <w:szCs w:val="24"/>
          <w:lang w:val="sr-Cyrl-CS"/>
        </w:rPr>
        <w:t>дугорочно решење</w:t>
      </w:r>
      <w:bookmarkEnd w:id="88"/>
    </w:p>
    <w:p w14:paraId="13864793" w14:textId="4D98B8B0" w:rsidR="00184095" w:rsidRPr="00E84C93" w:rsidRDefault="00184095" w:rsidP="00184095">
      <w:pPr>
        <w:spacing w:after="0"/>
        <w:ind w:firstLine="720"/>
        <w:jc w:val="both"/>
        <w:rPr>
          <w:rFonts w:cs="Times New Roman"/>
          <w:lang w:val="sr-Cyrl-CS" w:bidi="en-US"/>
        </w:rPr>
      </w:pPr>
      <w:r w:rsidRPr="00E84C93">
        <w:rPr>
          <w:rFonts w:cs="Times New Roman"/>
          <w:lang w:val="sr-Cyrl-CS" w:bidi="en-US"/>
        </w:rPr>
        <w:t xml:space="preserve">Укупна производња муља на подручју </w:t>
      </w:r>
      <w:r w:rsidR="00405777" w:rsidRPr="00E84C93">
        <w:rPr>
          <w:rFonts w:cs="Times New Roman"/>
          <w:lang w:val="sr-Cyrl-CS" w:bidi="en-US"/>
        </w:rPr>
        <w:t>АП</w:t>
      </w:r>
      <w:r w:rsidR="00DA5B44" w:rsidRPr="00E84C93">
        <w:rPr>
          <w:rFonts w:cs="Times New Roman"/>
          <w:lang w:val="sr-Cyrl-CS" w:bidi="en-US"/>
        </w:rPr>
        <w:t xml:space="preserve"> </w:t>
      </w:r>
      <w:r w:rsidRPr="00E84C93">
        <w:rPr>
          <w:rFonts w:cs="Times New Roman"/>
          <w:lang w:val="sr-Cyrl-CS" w:bidi="en-US"/>
        </w:rPr>
        <w:t xml:space="preserve">Војводине процењена за крај планског периода </w:t>
      </w:r>
      <w:r w:rsidR="004E4F21" w:rsidRPr="00E84C93">
        <w:rPr>
          <w:rFonts w:cs="Times New Roman"/>
          <w:lang w:val="sr-Cyrl-CS" w:bidi="en-US"/>
        </w:rPr>
        <w:t>2023</w:t>
      </w:r>
      <w:r w:rsidRPr="00E84C93">
        <w:rPr>
          <w:rFonts w:cs="Times New Roman"/>
          <w:lang w:val="sr-Cyrl-CS" w:bidi="en-US"/>
        </w:rPr>
        <w:t xml:space="preserve"> – 2041. године ће се кретати у распону од око 30.140 t СМ/год. (50. перцентил) до максималних 35.370 t СМ/год. (80. перцентил). </w:t>
      </w:r>
    </w:p>
    <w:p w14:paraId="60FB36B9" w14:textId="43E8DE03" w:rsidR="00BE1209" w:rsidRPr="00E84C93" w:rsidRDefault="008E35FF" w:rsidP="00184095">
      <w:pPr>
        <w:spacing w:after="0"/>
        <w:ind w:firstLine="720"/>
        <w:jc w:val="both"/>
        <w:rPr>
          <w:rFonts w:cs="Times New Roman"/>
          <w:lang w:val="sr-Cyrl-CS" w:bidi="en-US"/>
        </w:rPr>
      </w:pPr>
      <w:r w:rsidRPr="00E84C93">
        <w:rPr>
          <w:rFonts w:cs="Times New Roman"/>
          <w:lang w:val="sr-Cyrl-CS" w:bidi="en-US"/>
        </w:rPr>
        <w:t xml:space="preserve">Постројењe </w:t>
      </w:r>
      <w:r w:rsidR="00184095" w:rsidRPr="00E84C93">
        <w:rPr>
          <w:rFonts w:cs="Times New Roman"/>
          <w:lang w:val="sr-Cyrl-CS" w:bidi="en-US"/>
        </w:rPr>
        <w:t xml:space="preserve">за пречишћавање отпадних вода у Новом Саду (катерогија </w:t>
      </w:r>
      <w:r w:rsidR="00184095" w:rsidRPr="00E84C93">
        <w:rPr>
          <w:rFonts w:cs="Times New Roman"/>
          <w:i/>
          <w:iCs/>
          <w:lang w:val="sr-Cyrl-CS" w:bidi="en-US"/>
        </w:rPr>
        <w:t>g</w:t>
      </w:r>
      <w:r w:rsidR="00184095" w:rsidRPr="00E84C93">
        <w:rPr>
          <w:rFonts w:cs="Times New Roman"/>
          <w:lang w:val="sr-Cyrl-CS" w:bidi="en-US"/>
        </w:rPr>
        <w:t xml:space="preserve">) је највеће постројење у овом региону. На локацији постројења предвиђена је изградња постројења за инсинерацију капацитета око 20.000 </w:t>
      </w:r>
      <w:r w:rsidR="00184095" w:rsidRPr="00E84C93">
        <w:rPr>
          <w:lang w:val="sr-Cyrl-CS"/>
        </w:rPr>
        <w:t>t СМ/год.</w:t>
      </w:r>
      <w:r w:rsidR="00184095" w:rsidRPr="00E84C93">
        <w:rPr>
          <w:rFonts w:cs="Times New Roman"/>
          <w:lang w:val="sr-Cyrl-CS" w:bidi="en-US"/>
        </w:rPr>
        <w:t xml:space="preserve"> Јужнобачки округ је округ са највећом производњом муља као што је приказано </w:t>
      </w:r>
      <w:r w:rsidR="00AD4C04" w:rsidRPr="00E84C93">
        <w:rPr>
          <w:rFonts w:cs="Times New Roman"/>
          <w:lang w:val="sr-Cyrl-CS" w:bidi="en-US"/>
        </w:rPr>
        <w:t>у Т</w:t>
      </w:r>
      <w:r w:rsidR="00F94C78" w:rsidRPr="00E84C93">
        <w:rPr>
          <w:rFonts w:cs="Times New Roman"/>
          <w:lang w:val="sr-Cyrl-CS" w:bidi="en-US"/>
        </w:rPr>
        <w:t>абели 3.7</w:t>
      </w:r>
      <w:r w:rsidR="00184095" w:rsidRPr="00E84C93">
        <w:rPr>
          <w:rFonts w:cs="Times New Roman"/>
          <w:lang w:val="sr-Cyrl-CS" w:bidi="en-US"/>
        </w:rPr>
        <w:t>, а седиште округа је Нови Сад</w:t>
      </w:r>
      <w:r w:rsidR="00BE1209" w:rsidRPr="00E84C93">
        <w:rPr>
          <w:rFonts w:cs="Times New Roman"/>
          <w:lang w:val="sr-Cyrl-CS" w:bidi="en-US"/>
        </w:rPr>
        <w:t xml:space="preserve">. </w:t>
      </w:r>
    </w:p>
    <w:p w14:paraId="206F3FF6" w14:textId="01192BB9" w:rsidR="00BE1209" w:rsidRPr="00E84C93" w:rsidRDefault="00EF7CED" w:rsidP="00736A5C">
      <w:pPr>
        <w:spacing w:after="0"/>
        <w:ind w:firstLine="720"/>
        <w:jc w:val="both"/>
        <w:rPr>
          <w:rFonts w:cs="Times New Roman"/>
          <w:lang w:val="sr-Cyrl-CS" w:bidi="en-US"/>
        </w:rPr>
      </w:pPr>
      <w:r w:rsidRPr="00E84C93">
        <w:rPr>
          <w:lang w:val="sr-Cyrl-CS" w:bidi="en-US"/>
        </w:rPr>
        <w:t>Регионални центар</w:t>
      </w:r>
      <w:r w:rsidRPr="00E84C93">
        <w:rPr>
          <w:rFonts w:cs="Times New Roman"/>
          <w:lang w:val="sr-Cyrl-CS" w:bidi="en-US"/>
        </w:rPr>
        <w:t xml:space="preserve"> </w:t>
      </w:r>
      <w:r w:rsidR="00BE1209" w:rsidRPr="00E84C93">
        <w:rPr>
          <w:rFonts w:cs="Times New Roman"/>
          <w:lang w:val="sr-Cyrl-CS" w:bidi="en-US"/>
        </w:rPr>
        <w:t xml:space="preserve">за управљање муљем </w:t>
      </w:r>
      <w:r w:rsidR="00B75288" w:rsidRPr="00E84C93">
        <w:rPr>
          <w:rFonts w:cs="Times New Roman"/>
          <w:lang w:val="sr-Cyrl-CS" w:bidi="en-US"/>
        </w:rPr>
        <w:t>би био</w:t>
      </w:r>
      <w:r w:rsidR="00BE1209" w:rsidRPr="00E84C93">
        <w:rPr>
          <w:rFonts w:cs="Times New Roman"/>
          <w:lang w:val="sr-Cyrl-CS" w:bidi="en-US"/>
        </w:rPr>
        <w:t xml:space="preserve"> додељен постројењу </w:t>
      </w:r>
      <w:r w:rsidR="0016531B" w:rsidRPr="00E84C93">
        <w:rPr>
          <w:rFonts w:cs="Times New Roman"/>
          <w:lang w:val="sr-Cyrl-CS" w:bidi="en-US"/>
        </w:rPr>
        <w:t>за пречишћавање отпадних вода</w:t>
      </w:r>
      <w:r w:rsidR="00BE1209" w:rsidRPr="00E84C93">
        <w:rPr>
          <w:rFonts w:cs="Times New Roman"/>
          <w:lang w:val="sr-Cyrl-CS" w:bidi="en-US"/>
        </w:rPr>
        <w:t xml:space="preserve"> у Новом Саду.</w:t>
      </w:r>
    </w:p>
    <w:p w14:paraId="31C8BED4" w14:textId="77777777" w:rsidR="00C0526A" w:rsidRPr="00E84C93" w:rsidRDefault="00C0526A" w:rsidP="00736A5C">
      <w:pPr>
        <w:spacing w:after="0"/>
        <w:ind w:firstLine="720"/>
        <w:jc w:val="both"/>
        <w:rPr>
          <w:rFonts w:cs="Times New Roman"/>
          <w:lang w:val="sr-Cyrl-CS" w:bidi="en-US"/>
        </w:rPr>
      </w:pPr>
    </w:p>
    <w:p w14:paraId="424E9D0C" w14:textId="77777777" w:rsidR="00BE1209" w:rsidRPr="00E84C93" w:rsidRDefault="00BE1209" w:rsidP="00736A5C">
      <w:pPr>
        <w:pStyle w:val="ANormal"/>
        <w:spacing w:before="0"/>
        <w:ind w:firstLine="720"/>
        <w:rPr>
          <w:rFonts w:ascii="Times New Roman" w:hAnsi="Times New Roman" w:cs="Times New Roman"/>
          <w:b/>
          <w:bCs w:val="0"/>
          <w:color w:val="2E74B5" w:themeColor="accent1" w:themeShade="BF"/>
          <w:sz w:val="24"/>
          <w:szCs w:val="24"/>
          <w:lang w:val="sr-Cyrl-CS"/>
        </w:rPr>
      </w:pPr>
      <w:bookmarkStart w:id="89" w:name="_Toc95129121"/>
      <w:r w:rsidRPr="00E84C93">
        <w:rPr>
          <w:rFonts w:ascii="Times New Roman" w:hAnsi="Times New Roman" w:cs="Times New Roman"/>
          <w:b/>
          <w:bCs w:val="0"/>
          <w:color w:val="2E74B5" w:themeColor="accent1" w:themeShade="BF"/>
          <w:sz w:val="24"/>
          <w:szCs w:val="24"/>
          <w:lang w:val="sr-Cyrl-CS"/>
        </w:rPr>
        <w:t>Потенцијалне краткорочне и средњорочне могућности</w:t>
      </w:r>
      <w:bookmarkEnd w:id="89"/>
    </w:p>
    <w:p w14:paraId="5CEBBD22" w14:textId="64695EE0" w:rsidR="00BE1209" w:rsidRPr="00E84C93" w:rsidRDefault="00BE1209" w:rsidP="00736A5C">
      <w:pPr>
        <w:spacing w:after="0"/>
        <w:ind w:firstLine="720"/>
        <w:jc w:val="both"/>
        <w:rPr>
          <w:rFonts w:cs="Times New Roman"/>
          <w:lang w:val="sr-Cyrl-CS"/>
        </w:rPr>
      </w:pPr>
      <w:r w:rsidRPr="00E84C93">
        <w:rPr>
          <w:rFonts w:cs="Times New Roman"/>
          <w:lang w:val="sr-Cyrl-CS"/>
        </w:rPr>
        <w:t xml:space="preserve">У </w:t>
      </w:r>
      <w:r w:rsidR="00405777" w:rsidRPr="00E84C93">
        <w:rPr>
          <w:rFonts w:cs="Times New Roman"/>
          <w:lang w:val="sr-Cyrl-CS"/>
        </w:rPr>
        <w:t>Т</w:t>
      </w:r>
      <w:r w:rsidR="00A061AD" w:rsidRPr="00E84C93">
        <w:rPr>
          <w:rFonts w:cs="Times New Roman"/>
          <w:lang w:val="sr-Cyrl-CS"/>
        </w:rPr>
        <w:t xml:space="preserve">абели </w:t>
      </w:r>
      <w:r w:rsidR="00184095" w:rsidRPr="00E84C93">
        <w:rPr>
          <w:rFonts w:cs="Times New Roman"/>
          <w:lang w:val="sr-Cyrl-CS"/>
        </w:rPr>
        <w:t xml:space="preserve">6.3. </w:t>
      </w:r>
      <w:r w:rsidRPr="00E84C93">
        <w:rPr>
          <w:rFonts w:cs="Times New Roman"/>
          <w:lang w:val="sr-Cyrl-CS"/>
        </w:rPr>
        <w:t xml:space="preserve">приказане су потенцијалне краткорочне и/или средњорочне могућности управљања муљем, а које су идентификоване за постројења </w:t>
      </w:r>
      <w:r w:rsidR="0016531B" w:rsidRPr="00E84C93">
        <w:rPr>
          <w:rFonts w:cs="Times New Roman"/>
          <w:lang w:val="sr-Cyrl-CS"/>
        </w:rPr>
        <w:t>за пречишћавање отпадних вода</w:t>
      </w:r>
      <w:r w:rsidRPr="00E84C93">
        <w:rPr>
          <w:rFonts w:cs="Times New Roman"/>
          <w:lang w:val="sr-Cyrl-CS"/>
        </w:rPr>
        <w:t xml:space="preserve"> која се налазе у АП Војводини и које су предложене за имплементацију у периоду спровођења Програма. Међутим, неопходно је поново нагласити да применљивост ових могућности зависи од превазилажења правних, административних и институционалних ограничења</w:t>
      </w:r>
      <w:r w:rsidR="00660A52" w:rsidRPr="00E84C93">
        <w:rPr>
          <w:rFonts w:cs="Times New Roman"/>
          <w:lang w:val="sr-Cyrl-CS"/>
        </w:rPr>
        <w:t xml:space="preserve"> и анализе могућности примене у пољопривреди.</w:t>
      </w:r>
    </w:p>
    <w:p w14:paraId="206FB295" w14:textId="77777777" w:rsidR="00BE1209" w:rsidRPr="00E84C93" w:rsidRDefault="00BE1209" w:rsidP="00736A5C">
      <w:pPr>
        <w:spacing w:after="0"/>
        <w:jc w:val="both"/>
        <w:rPr>
          <w:rFonts w:cs="Times New Roman"/>
          <w:lang w:val="sr-Cyrl-CS" w:bidi="en-US"/>
        </w:rPr>
      </w:pPr>
    </w:p>
    <w:p w14:paraId="7822C54F" w14:textId="40BBE0FA" w:rsidR="00BE1209" w:rsidRPr="00E84C93" w:rsidRDefault="00BE1209" w:rsidP="00BE1209">
      <w:pPr>
        <w:keepNext/>
        <w:tabs>
          <w:tab w:val="left" w:pos="992"/>
          <w:tab w:val="left" w:pos="3119"/>
        </w:tabs>
        <w:spacing w:after="60"/>
        <w:rPr>
          <w:rFonts w:cs="Times New Roman"/>
          <w:iCs/>
          <w:szCs w:val="24"/>
          <w:lang w:val="sr-Cyrl-CS" w:eastAsia="de-DE"/>
        </w:rPr>
      </w:pPr>
      <w:bookmarkStart w:id="90" w:name="_Ref90539975"/>
      <w:bookmarkStart w:id="91" w:name="_Toc95128188"/>
      <w:r w:rsidRPr="00E84C93">
        <w:rPr>
          <w:rFonts w:cs="Times New Roman"/>
          <w:b/>
          <w:bCs/>
          <w:iCs/>
          <w:szCs w:val="24"/>
          <w:lang w:val="sr-Cyrl-CS"/>
        </w:rPr>
        <w:lastRenderedPageBreak/>
        <w:t xml:space="preserve">Табела </w:t>
      </w:r>
      <w:bookmarkStart w:id="92" w:name="_Hlk94993780"/>
      <w:bookmarkEnd w:id="90"/>
      <w:r w:rsidR="00BE348C" w:rsidRPr="00E84C93">
        <w:rPr>
          <w:rFonts w:cs="Times New Roman"/>
          <w:b/>
          <w:bCs/>
          <w:iCs/>
          <w:szCs w:val="24"/>
          <w:lang w:val="sr-Cyrl-CS"/>
        </w:rPr>
        <w:t>6</w:t>
      </w:r>
      <w:r w:rsidR="00A061AD" w:rsidRPr="00E84C93">
        <w:rPr>
          <w:rFonts w:cs="Times New Roman"/>
          <w:b/>
          <w:bCs/>
          <w:iCs/>
          <w:szCs w:val="24"/>
          <w:lang w:val="sr-Cyrl-CS"/>
        </w:rPr>
        <w:t>.3.</w:t>
      </w:r>
      <w:r w:rsidR="00A061AD" w:rsidRPr="00E84C93">
        <w:rPr>
          <w:rFonts w:cs="Times New Roman"/>
          <w:iCs/>
          <w:szCs w:val="24"/>
          <w:lang w:val="sr-Cyrl-CS"/>
        </w:rPr>
        <w:t xml:space="preserve"> </w:t>
      </w:r>
      <w:r w:rsidRPr="00E84C93">
        <w:rPr>
          <w:rFonts w:cs="Times New Roman"/>
          <w:iCs/>
          <w:szCs w:val="24"/>
          <w:lang w:val="sr-Cyrl-CS" w:eastAsia="de-DE"/>
        </w:rPr>
        <w:t xml:space="preserve">Краткорочне и средњорочне могућности одлагања и употребе муља за постројења </w:t>
      </w:r>
      <w:r w:rsidR="0016531B" w:rsidRPr="00E84C93">
        <w:rPr>
          <w:rFonts w:cs="Times New Roman"/>
          <w:iCs/>
          <w:szCs w:val="24"/>
          <w:lang w:val="sr-Cyrl-CS" w:eastAsia="de-DE"/>
        </w:rPr>
        <w:t>за пречишћавање отпадних вода</w:t>
      </w:r>
      <w:r w:rsidR="00B47866" w:rsidRPr="00E84C93">
        <w:rPr>
          <w:rFonts w:cs="Times New Roman"/>
          <w:iCs/>
          <w:szCs w:val="24"/>
          <w:lang w:val="sr-Cyrl-CS" w:eastAsia="de-DE"/>
        </w:rPr>
        <w:t xml:space="preserve"> у АП</w:t>
      </w:r>
      <w:r w:rsidRPr="00E84C93">
        <w:rPr>
          <w:rFonts w:cs="Times New Roman"/>
          <w:iCs/>
          <w:szCs w:val="24"/>
          <w:lang w:val="sr-Cyrl-CS" w:eastAsia="de-DE"/>
        </w:rPr>
        <w:t xml:space="preserve"> Војводини</w:t>
      </w:r>
      <w:bookmarkEnd w:id="91"/>
      <w:bookmarkEnd w:id="92"/>
    </w:p>
    <w:tbl>
      <w:tblPr>
        <w:tblW w:w="9639" w:type="dxa"/>
        <w:tblInd w:w="55" w:type="dxa"/>
        <w:tblCellMar>
          <w:left w:w="70" w:type="dxa"/>
          <w:right w:w="70" w:type="dxa"/>
        </w:tblCellMar>
        <w:tblLook w:val="04A0" w:firstRow="1" w:lastRow="0" w:firstColumn="1" w:lastColumn="0" w:noHBand="0" w:noVBand="1"/>
      </w:tblPr>
      <w:tblGrid>
        <w:gridCol w:w="1031"/>
        <w:gridCol w:w="1796"/>
        <w:gridCol w:w="1151"/>
        <w:gridCol w:w="1477"/>
        <w:gridCol w:w="2405"/>
        <w:gridCol w:w="1779"/>
      </w:tblGrid>
      <w:tr w:rsidR="00EA1F83" w:rsidRPr="00E84C93" w14:paraId="6F9E3D8B" w14:textId="77777777" w:rsidTr="00C937FF">
        <w:trPr>
          <w:trHeight w:val="1421"/>
        </w:trPr>
        <w:tc>
          <w:tcPr>
            <w:tcW w:w="103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68F856F7" w14:textId="77777777" w:rsidR="00EA1F83" w:rsidRPr="00E84C93" w:rsidRDefault="00EA1F83" w:rsidP="00064A97">
            <w:pPr>
              <w:spacing w:after="0"/>
              <w:rPr>
                <w:rFonts w:cs="Times New Roman"/>
                <w:b/>
                <w:sz w:val="20"/>
                <w:szCs w:val="20"/>
                <w:lang w:val="sr-Cyrl-CS" w:eastAsia="de-DE"/>
              </w:rPr>
            </w:pPr>
            <w:bookmarkStart w:id="93" w:name="_Hlk94993824"/>
            <w:r w:rsidRPr="00E84C93">
              <w:rPr>
                <w:rFonts w:cs="Times New Roman"/>
                <w:b/>
                <w:sz w:val="20"/>
                <w:szCs w:val="20"/>
                <w:lang w:val="sr-Cyrl-CS" w:eastAsia="de-DE"/>
              </w:rPr>
              <w:t>Град</w:t>
            </w:r>
          </w:p>
        </w:tc>
        <w:tc>
          <w:tcPr>
            <w:tcW w:w="1796"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1A2D37E5" w14:textId="70AD3F55" w:rsidR="00EA1F83" w:rsidRPr="00E84C93" w:rsidRDefault="00184095" w:rsidP="00064A97">
            <w:pPr>
              <w:spacing w:after="0"/>
              <w:jc w:val="center"/>
              <w:rPr>
                <w:rFonts w:cs="Times New Roman"/>
                <w:b/>
                <w:sz w:val="20"/>
                <w:szCs w:val="20"/>
                <w:lang w:val="sr-Cyrl-CS" w:eastAsia="de-DE"/>
              </w:rPr>
            </w:pPr>
            <w:r w:rsidRPr="00E84C93">
              <w:rPr>
                <w:rFonts w:cs="Times New Roman"/>
                <w:b/>
                <w:sz w:val="20"/>
                <w:szCs w:val="20"/>
                <w:lang w:val="sr-Cyrl-CS" w:eastAsia="de-DE"/>
              </w:rPr>
              <w:t>Пројектовани</w:t>
            </w:r>
            <w:r w:rsidR="00EA1F83" w:rsidRPr="00E84C93">
              <w:rPr>
                <w:rFonts w:cs="Times New Roman"/>
                <w:b/>
                <w:sz w:val="20"/>
                <w:szCs w:val="20"/>
                <w:lang w:val="sr-Cyrl-CS" w:eastAsia="de-DE"/>
              </w:rPr>
              <w:t xml:space="preserve"> капацитет постројења за пречишћавање отпадних вода (Е</w:t>
            </w:r>
            <w:r w:rsidR="008A2276" w:rsidRPr="00E84C93">
              <w:rPr>
                <w:rFonts w:cs="Times New Roman"/>
                <w:b/>
                <w:sz w:val="20"/>
                <w:szCs w:val="20"/>
                <w:lang w:val="sr-Cyrl-CS" w:eastAsia="de-DE"/>
              </w:rPr>
              <w:t>С</w:t>
            </w:r>
            <w:r w:rsidR="00EA1F83" w:rsidRPr="00E84C93">
              <w:rPr>
                <w:rFonts w:cs="Times New Roman"/>
                <w:b/>
                <w:sz w:val="20"/>
                <w:szCs w:val="20"/>
                <w:lang w:val="sr-Cyrl-CS" w:eastAsia="de-DE"/>
              </w:rPr>
              <w:t>)</w:t>
            </w:r>
          </w:p>
        </w:tc>
        <w:tc>
          <w:tcPr>
            <w:tcW w:w="11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3C610D3" w14:textId="77777777" w:rsidR="00EA1F83" w:rsidRPr="00E84C93" w:rsidRDefault="00EA1F83" w:rsidP="00064A97">
            <w:pPr>
              <w:spacing w:after="0"/>
              <w:jc w:val="center"/>
              <w:rPr>
                <w:rFonts w:cs="Times New Roman"/>
                <w:b/>
                <w:sz w:val="20"/>
                <w:szCs w:val="20"/>
                <w:lang w:val="sr-Cyrl-CS" w:eastAsia="de-DE"/>
              </w:rPr>
            </w:pPr>
            <w:r w:rsidRPr="00E84C93">
              <w:rPr>
                <w:rFonts w:cs="Times New Roman"/>
                <w:b/>
                <w:sz w:val="20"/>
                <w:szCs w:val="20"/>
                <w:lang w:val="sr-Cyrl-CS" w:eastAsia="de-DE"/>
              </w:rPr>
              <w:t>Година пуштања у рад</w:t>
            </w:r>
          </w:p>
        </w:tc>
        <w:tc>
          <w:tcPr>
            <w:tcW w:w="1477" w:type="dxa"/>
            <w:tcBorders>
              <w:top w:val="single" w:sz="4" w:space="0" w:color="auto"/>
              <w:left w:val="nil"/>
              <w:bottom w:val="single" w:sz="4" w:space="0" w:color="auto"/>
              <w:right w:val="nil"/>
            </w:tcBorders>
            <w:shd w:val="clear" w:color="auto" w:fill="BDD6EE" w:themeFill="accent1" w:themeFillTint="66"/>
            <w:vAlign w:val="center"/>
            <w:hideMark/>
          </w:tcPr>
          <w:p w14:paraId="7080572D" w14:textId="62D48AA7" w:rsidR="00EA1F83" w:rsidRPr="00E84C93" w:rsidRDefault="00EA1F83" w:rsidP="00064A97">
            <w:pPr>
              <w:spacing w:after="0"/>
              <w:jc w:val="center"/>
              <w:rPr>
                <w:rFonts w:cs="Times New Roman"/>
                <w:b/>
                <w:sz w:val="20"/>
                <w:szCs w:val="20"/>
                <w:lang w:val="sr-Cyrl-CS" w:eastAsia="de-DE"/>
              </w:rPr>
            </w:pPr>
            <w:r w:rsidRPr="00E84C93">
              <w:rPr>
                <w:rFonts w:cs="Times New Roman"/>
                <w:b/>
                <w:sz w:val="20"/>
                <w:szCs w:val="20"/>
                <w:lang w:val="sr-Cyrl-CS" w:eastAsia="de-DE"/>
              </w:rPr>
              <w:t>Захтев у погледу садржаја суве материје (%)</w:t>
            </w:r>
          </w:p>
        </w:tc>
        <w:tc>
          <w:tcPr>
            <w:tcW w:w="240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69D421A" w14:textId="0F08D7CE" w:rsidR="00EA1F83" w:rsidRPr="00E84C93" w:rsidRDefault="00EA1F83" w:rsidP="00064A97">
            <w:pPr>
              <w:spacing w:after="0"/>
              <w:jc w:val="center"/>
              <w:rPr>
                <w:rFonts w:cs="Times New Roman"/>
                <w:b/>
                <w:sz w:val="20"/>
                <w:szCs w:val="20"/>
                <w:lang w:val="sr-Cyrl-CS" w:eastAsia="de-DE"/>
              </w:rPr>
            </w:pPr>
            <w:r w:rsidRPr="00E84C93">
              <w:rPr>
                <w:rFonts w:cs="Times New Roman"/>
                <w:b/>
                <w:sz w:val="20"/>
                <w:szCs w:val="20"/>
                <w:lang w:val="sr-Cyrl-CS" w:eastAsia="de-DE"/>
              </w:rPr>
              <w:t>Количина</w:t>
            </w:r>
            <w:r w:rsidR="00184095" w:rsidRPr="00E84C93">
              <w:rPr>
                <w:rFonts w:cs="Times New Roman"/>
                <w:b/>
                <w:sz w:val="20"/>
                <w:szCs w:val="20"/>
                <w:lang w:val="sr-Cyrl-CS" w:eastAsia="de-DE"/>
              </w:rPr>
              <w:t xml:space="preserve"> и садржај суве материје у муљу</w:t>
            </w:r>
          </w:p>
        </w:tc>
        <w:tc>
          <w:tcPr>
            <w:tcW w:w="177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9FD9086" w14:textId="77777777" w:rsidR="00EA1F83" w:rsidRPr="00E84C93" w:rsidRDefault="00EA1F83" w:rsidP="00064A97">
            <w:pPr>
              <w:spacing w:after="0"/>
              <w:jc w:val="center"/>
              <w:rPr>
                <w:rFonts w:cs="Times New Roman"/>
                <w:b/>
                <w:sz w:val="20"/>
                <w:szCs w:val="20"/>
                <w:lang w:val="sr-Cyrl-CS" w:eastAsia="de-DE"/>
              </w:rPr>
            </w:pPr>
            <w:r w:rsidRPr="00E84C93">
              <w:rPr>
                <w:rFonts w:cs="Times New Roman"/>
                <w:b/>
                <w:sz w:val="20"/>
                <w:szCs w:val="20"/>
                <w:lang w:val="sr-Cyrl-CS" w:eastAsia="de-DE"/>
              </w:rPr>
              <w:t>Могућности одлагања/ употребе</w:t>
            </w:r>
          </w:p>
        </w:tc>
      </w:tr>
      <w:tr w:rsidR="004F7379" w:rsidRPr="00E84C93" w14:paraId="07AC6A26" w14:textId="77777777" w:rsidTr="00C937FF">
        <w:trPr>
          <w:trHeight w:val="377"/>
        </w:trPr>
        <w:tc>
          <w:tcPr>
            <w:tcW w:w="103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238E00" w14:textId="4A154C68" w:rsidR="004F7379" w:rsidRPr="00E84C93" w:rsidRDefault="004F7379" w:rsidP="004F7379">
            <w:pPr>
              <w:spacing w:after="0"/>
              <w:rPr>
                <w:rFonts w:cs="Times New Roman"/>
                <w:b/>
                <w:sz w:val="20"/>
                <w:szCs w:val="20"/>
                <w:lang w:val="sr-Cyrl-CS" w:eastAsia="de-DE"/>
              </w:rPr>
            </w:pPr>
            <w:r w:rsidRPr="00E84C93">
              <w:rPr>
                <w:rFonts w:cs="Times New Roman"/>
                <w:bCs/>
                <w:color w:val="000000"/>
                <w:sz w:val="20"/>
                <w:szCs w:val="20"/>
                <w:lang w:val="sr-Cyrl-CS" w:eastAsia="de-DE"/>
              </w:rPr>
              <w:t>Суботица</w:t>
            </w:r>
          </w:p>
        </w:tc>
        <w:tc>
          <w:tcPr>
            <w:tcW w:w="17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0B4BB9" w14:textId="2E211477" w:rsidR="004F7379" w:rsidRPr="00E84C93" w:rsidRDefault="004F7379" w:rsidP="004F7379">
            <w:pPr>
              <w:spacing w:after="0"/>
              <w:jc w:val="center"/>
              <w:rPr>
                <w:rFonts w:cs="Times New Roman"/>
                <w:b/>
                <w:sz w:val="20"/>
                <w:szCs w:val="20"/>
                <w:lang w:val="sr-Cyrl-CS" w:eastAsia="de-DE"/>
              </w:rPr>
            </w:pPr>
            <w:r w:rsidRPr="00E84C93">
              <w:rPr>
                <w:rFonts w:cs="Times New Roman"/>
                <w:bCs/>
                <w:color w:val="000000"/>
                <w:sz w:val="20"/>
                <w:szCs w:val="20"/>
                <w:lang w:val="sr-Cyrl-CS" w:eastAsia="de-DE"/>
              </w:rPr>
              <w:t>150.000</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4DB1E" w14:textId="0AC1A0A0" w:rsidR="004F7379" w:rsidRPr="00E84C93" w:rsidRDefault="004F7379" w:rsidP="004F7379">
            <w:pPr>
              <w:spacing w:after="0"/>
              <w:jc w:val="center"/>
              <w:rPr>
                <w:rFonts w:cs="Times New Roman"/>
                <w:b/>
                <w:sz w:val="20"/>
                <w:szCs w:val="20"/>
                <w:lang w:val="sr-Cyrl-CS" w:eastAsia="de-DE"/>
              </w:rPr>
            </w:pPr>
            <w:r w:rsidRPr="00E84C93">
              <w:rPr>
                <w:rFonts w:cs="Times New Roman"/>
                <w:bCs/>
                <w:color w:val="000000"/>
                <w:sz w:val="20"/>
                <w:szCs w:val="20"/>
                <w:lang w:val="sr-Cyrl-CS" w:eastAsia="de-DE"/>
              </w:rPr>
              <w:t>2000.</w:t>
            </w:r>
          </w:p>
        </w:tc>
        <w:tc>
          <w:tcPr>
            <w:tcW w:w="14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6B862" w14:textId="77777777" w:rsidR="004F7379" w:rsidRPr="00E84C93" w:rsidRDefault="004F7379" w:rsidP="004F7379">
            <w:pPr>
              <w:spacing w:after="0"/>
              <w:jc w:val="center"/>
              <w:rPr>
                <w:rFonts w:cs="Times New Roman"/>
                <w:b/>
                <w:sz w:val="20"/>
                <w:szCs w:val="20"/>
                <w:lang w:val="sr-Cyrl-CS" w:eastAsia="de-DE"/>
              </w:rPr>
            </w:pPr>
          </w:p>
        </w:tc>
        <w:tc>
          <w:tcPr>
            <w:tcW w:w="24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C6111" w14:textId="39862894" w:rsidR="004F7379" w:rsidRPr="00E84C93" w:rsidRDefault="004F7379" w:rsidP="004F7379">
            <w:pPr>
              <w:spacing w:after="0"/>
              <w:rPr>
                <w:rFonts w:cs="Times New Roman"/>
                <w:b/>
                <w:sz w:val="20"/>
                <w:szCs w:val="20"/>
                <w:lang w:val="sr-Cyrl-CS" w:eastAsia="de-DE"/>
              </w:rPr>
            </w:pPr>
            <w:r w:rsidRPr="00E84C93">
              <w:rPr>
                <w:rFonts w:cs="Times New Roman"/>
                <w:bCs/>
                <w:color w:val="000000"/>
                <w:sz w:val="20"/>
                <w:szCs w:val="20"/>
                <w:lang w:val="sr-Cyrl-CS" w:eastAsia="de-DE"/>
              </w:rPr>
              <w:t>13.000 t</w:t>
            </w:r>
            <w:r w:rsidR="00336CA5" w:rsidRPr="00E84C93">
              <w:rPr>
                <w:rFonts w:cs="Times New Roman"/>
                <w:bCs/>
                <w:color w:val="000000"/>
                <w:sz w:val="20"/>
                <w:szCs w:val="20"/>
                <w:lang w:val="sr-Cyrl-CS" w:eastAsia="de-DE"/>
              </w:rPr>
              <w:t>/год.</w:t>
            </w:r>
            <w:r w:rsidRPr="00E84C93">
              <w:rPr>
                <w:rFonts w:cs="Times New Roman"/>
                <w:bCs/>
                <w:color w:val="000000"/>
                <w:sz w:val="20"/>
                <w:szCs w:val="20"/>
                <w:lang w:val="sr-Cyrl-CS" w:eastAsia="de-DE"/>
              </w:rPr>
              <w:t xml:space="preserve"> </w:t>
            </w:r>
            <w:r w:rsidR="00184095" w:rsidRPr="00E84C93">
              <w:rPr>
                <w:rFonts w:cs="Times New Roman"/>
                <w:bCs/>
                <w:color w:val="000000"/>
                <w:sz w:val="20"/>
                <w:szCs w:val="20"/>
                <w:lang w:val="sr-Cyrl-CS" w:eastAsia="de-DE"/>
              </w:rPr>
              <w:t>с</w:t>
            </w:r>
            <w:r w:rsidRPr="00E84C93">
              <w:rPr>
                <w:rFonts w:cs="Times New Roman"/>
                <w:bCs/>
                <w:color w:val="000000"/>
                <w:sz w:val="20"/>
                <w:szCs w:val="20"/>
                <w:lang w:val="sr-Cyrl-CS" w:eastAsia="de-DE"/>
              </w:rPr>
              <w:t>а 20% СМ</w:t>
            </w:r>
          </w:p>
        </w:tc>
        <w:tc>
          <w:tcPr>
            <w:tcW w:w="17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349E5F" w14:textId="77777777" w:rsidR="004F7379" w:rsidRPr="00E84C93" w:rsidRDefault="004F7379" w:rsidP="004F7379">
            <w:pPr>
              <w:spacing w:after="0"/>
              <w:jc w:val="center"/>
              <w:rPr>
                <w:rFonts w:cs="Times New Roman"/>
                <w:b/>
                <w:sz w:val="20"/>
                <w:szCs w:val="20"/>
                <w:lang w:val="sr-Cyrl-CS" w:eastAsia="de-DE"/>
              </w:rPr>
            </w:pPr>
          </w:p>
        </w:tc>
      </w:tr>
      <w:tr w:rsidR="00BE1209" w:rsidRPr="00E84C93" w14:paraId="521E61AC" w14:textId="77777777" w:rsidTr="00C937FF">
        <w:trPr>
          <w:trHeight w:val="341"/>
        </w:trPr>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A79DB" w14:textId="77777777"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Врбас</w:t>
            </w:r>
          </w:p>
        </w:tc>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196A8"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120.000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50D8B89" w14:textId="6A941D9F"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2020</w:t>
            </w:r>
            <w:r w:rsidR="00E06A1F" w:rsidRPr="00E84C93">
              <w:rPr>
                <w:rFonts w:cs="Times New Roman"/>
                <w:bCs/>
                <w:sz w:val="20"/>
                <w:szCs w:val="20"/>
                <w:lang w:val="sr-Cyrl-CS" w:eastAsia="de-DE"/>
              </w:rPr>
              <w:t>.</w:t>
            </w:r>
          </w:p>
        </w:tc>
        <w:tc>
          <w:tcPr>
            <w:tcW w:w="1477" w:type="dxa"/>
            <w:tcBorders>
              <w:top w:val="single" w:sz="4" w:space="0" w:color="auto"/>
              <w:left w:val="nil"/>
              <w:bottom w:val="single" w:sz="4" w:space="0" w:color="auto"/>
              <w:right w:val="single" w:sz="4" w:space="0" w:color="auto"/>
            </w:tcBorders>
            <w:shd w:val="clear" w:color="auto" w:fill="auto"/>
            <w:vAlign w:val="center"/>
          </w:tcPr>
          <w:p w14:paraId="53AF052C" w14:textId="77777777" w:rsidR="00BE1209" w:rsidRPr="00E84C93" w:rsidRDefault="00BE1209" w:rsidP="00064A97">
            <w:pPr>
              <w:spacing w:after="0"/>
              <w:jc w:val="center"/>
              <w:rPr>
                <w:rFonts w:cs="Times New Roman"/>
                <w:bCs/>
                <w:sz w:val="20"/>
                <w:szCs w:val="20"/>
                <w:lang w:val="sr-Cyrl-CS" w:eastAsia="de-DE"/>
              </w:rPr>
            </w:pPr>
          </w:p>
        </w:tc>
        <w:tc>
          <w:tcPr>
            <w:tcW w:w="2405" w:type="dxa"/>
            <w:tcBorders>
              <w:top w:val="single" w:sz="4" w:space="0" w:color="auto"/>
              <w:left w:val="nil"/>
              <w:bottom w:val="single" w:sz="4" w:space="0" w:color="auto"/>
              <w:right w:val="single" w:sz="4" w:space="0" w:color="auto"/>
            </w:tcBorders>
            <w:shd w:val="clear" w:color="auto" w:fill="auto"/>
            <w:vAlign w:val="center"/>
          </w:tcPr>
          <w:p w14:paraId="7C66533B" w14:textId="22F86D82"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2.832,84 </w:t>
            </w:r>
            <w:r w:rsidR="00044C5A" w:rsidRPr="00E84C93">
              <w:rPr>
                <w:rFonts w:cs="Times New Roman"/>
                <w:sz w:val="20"/>
                <w:szCs w:val="20"/>
                <w:lang w:val="sr-Cyrl-CS" w:bidi="en-US"/>
              </w:rPr>
              <w:t xml:space="preserve">t/год. </w:t>
            </w:r>
            <w:r w:rsidR="00184095" w:rsidRPr="00E84C93">
              <w:rPr>
                <w:rFonts w:cs="Times New Roman"/>
                <w:bCs/>
                <w:color w:val="000000"/>
                <w:sz w:val="20"/>
                <w:szCs w:val="20"/>
                <w:lang w:val="sr-Cyrl-CS" w:eastAsia="de-DE"/>
              </w:rPr>
              <w:t xml:space="preserve">са </w:t>
            </w:r>
            <w:r w:rsidRPr="00E84C93">
              <w:rPr>
                <w:rFonts w:cs="Times New Roman"/>
                <w:bCs/>
                <w:sz w:val="20"/>
                <w:szCs w:val="20"/>
                <w:lang w:val="sr-Cyrl-CS" w:eastAsia="de-DE"/>
              </w:rPr>
              <w:t>25</w:t>
            </w:r>
            <w:r w:rsidR="00184095" w:rsidRPr="00E84C93">
              <w:rPr>
                <w:rFonts w:cs="Times New Roman"/>
                <w:bCs/>
                <w:sz w:val="20"/>
                <w:szCs w:val="20"/>
                <w:lang w:val="sr-Cyrl-CS" w:eastAsia="de-DE"/>
              </w:rPr>
              <w:t>%</w:t>
            </w:r>
            <w:r w:rsidRPr="00E84C93">
              <w:rPr>
                <w:rFonts w:cs="Times New Roman"/>
                <w:bCs/>
                <w:sz w:val="20"/>
                <w:szCs w:val="20"/>
                <w:lang w:val="sr-Cyrl-CS" w:eastAsia="de-DE"/>
              </w:rPr>
              <w:t xml:space="preserve"> </w:t>
            </w:r>
            <w:r w:rsidR="00044C5A" w:rsidRPr="00E84C93">
              <w:rPr>
                <w:rFonts w:cs="Times New Roman"/>
                <w:bCs/>
                <w:sz w:val="20"/>
                <w:szCs w:val="20"/>
                <w:lang w:val="sr-Cyrl-CS" w:eastAsia="de-DE"/>
              </w:rPr>
              <w:t>СМ</w:t>
            </w:r>
            <w:r w:rsidRPr="00E84C93">
              <w:rPr>
                <w:rFonts w:cs="Times New Roman"/>
                <w:bCs/>
                <w:sz w:val="20"/>
                <w:szCs w:val="20"/>
                <w:lang w:val="sr-Cyrl-CS" w:eastAsia="de-DE"/>
              </w:rPr>
              <w:t xml:space="preserve"> </w:t>
            </w:r>
          </w:p>
        </w:tc>
        <w:tc>
          <w:tcPr>
            <w:tcW w:w="1779" w:type="dxa"/>
            <w:tcBorders>
              <w:top w:val="single" w:sz="4" w:space="0" w:color="auto"/>
              <w:left w:val="nil"/>
              <w:bottom w:val="single" w:sz="4" w:space="0" w:color="auto"/>
              <w:right w:val="single" w:sz="4" w:space="0" w:color="auto"/>
            </w:tcBorders>
            <w:shd w:val="clear" w:color="auto" w:fill="auto"/>
            <w:vAlign w:val="center"/>
          </w:tcPr>
          <w:p w14:paraId="7C93EE00" w14:textId="77777777"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Депонија</w:t>
            </w:r>
          </w:p>
        </w:tc>
      </w:tr>
      <w:tr w:rsidR="00BE1209" w:rsidRPr="00E84C93" w14:paraId="143D234A" w14:textId="77777777" w:rsidTr="00C937FF">
        <w:trPr>
          <w:trHeight w:val="300"/>
        </w:trPr>
        <w:tc>
          <w:tcPr>
            <w:tcW w:w="10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5DE12" w14:textId="77777777"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Кикинда</w:t>
            </w:r>
          </w:p>
        </w:tc>
        <w:tc>
          <w:tcPr>
            <w:tcW w:w="17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4987"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41.000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2BCF4" w14:textId="4F413A7F"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2025</w:t>
            </w:r>
            <w:r w:rsidR="00E06A1F" w:rsidRPr="00E84C93">
              <w:rPr>
                <w:rFonts w:cs="Times New Roman"/>
                <w:bCs/>
                <w:sz w:val="20"/>
                <w:szCs w:val="20"/>
                <w:lang w:val="sr-Cyrl-CS" w:eastAsia="de-DE"/>
              </w:rPr>
              <w:t>.</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14:paraId="18678854"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биће утврђено</w:t>
            </w:r>
            <w:r w:rsidRPr="00E84C93">
              <w:rPr>
                <w:rFonts w:cs="Times New Roman"/>
                <w:bCs/>
                <w:sz w:val="20"/>
                <w:szCs w:val="20"/>
                <w:vertAlign w:val="superscript"/>
                <w:lang w:val="sr-Cyrl-CS" w:eastAsia="de-DE"/>
              </w:rPr>
              <w:t>1</w:t>
            </w:r>
          </w:p>
        </w:tc>
        <w:tc>
          <w:tcPr>
            <w:tcW w:w="2405" w:type="dxa"/>
            <w:tcBorders>
              <w:top w:val="single" w:sz="4" w:space="0" w:color="auto"/>
              <w:left w:val="nil"/>
              <w:bottom w:val="single" w:sz="4" w:space="0" w:color="auto"/>
              <w:right w:val="single" w:sz="4" w:space="0" w:color="auto"/>
            </w:tcBorders>
            <w:shd w:val="clear" w:color="auto" w:fill="auto"/>
            <w:vAlign w:val="center"/>
            <w:hideMark/>
          </w:tcPr>
          <w:p w14:paraId="56E5AE05" w14:textId="34CEC3DA"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3.437 </w:t>
            </w:r>
            <w:r w:rsidR="00044C5A" w:rsidRPr="00E84C93">
              <w:rPr>
                <w:rFonts w:cs="Times New Roman"/>
                <w:sz w:val="20"/>
                <w:szCs w:val="20"/>
                <w:lang w:val="sr-Cyrl-CS" w:bidi="en-US"/>
              </w:rPr>
              <w:t xml:space="preserve">t/год. </w:t>
            </w:r>
            <w:r w:rsidR="00184095" w:rsidRPr="00E84C93">
              <w:rPr>
                <w:rFonts w:cs="Times New Roman"/>
                <w:bCs/>
                <w:sz w:val="20"/>
                <w:szCs w:val="20"/>
                <w:lang w:val="sr-Cyrl-CS" w:eastAsia="de-DE"/>
              </w:rPr>
              <w:t>с</w:t>
            </w:r>
            <w:r w:rsidRPr="00E84C93">
              <w:rPr>
                <w:rFonts w:cs="Times New Roman"/>
                <w:bCs/>
                <w:sz w:val="20"/>
                <w:szCs w:val="20"/>
                <w:lang w:val="sr-Cyrl-CS" w:eastAsia="de-DE"/>
              </w:rPr>
              <w:t xml:space="preserve">а 20% </w:t>
            </w:r>
            <w:r w:rsidR="00044C5A" w:rsidRPr="00E84C93">
              <w:rPr>
                <w:rFonts w:cs="Times New Roman"/>
                <w:bCs/>
                <w:sz w:val="20"/>
                <w:szCs w:val="20"/>
                <w:lang w:val="sr-Cyrl-CS" w:eastAsia="de-DE"/>
              </w:rPr>
              <w:t>СМ</w:t>
            </w:r>
          </w:p>
        </w:tc>
        <w:tc>
          <w:tcPr>
            <w:tcW w:w="1779" w:type="dxa"/>
            <w:tcBorders>
              <w:top w:val="single" w:sz="4" w:space="0" w:color="auto"/>
              <w:left w:val="nil"/>
              <w:bottom w:val="single" w:sz="4" w:space="0" w:color="auto"/>
              <w:right w:val="single" w:sz="4" w:space="0" w:color="auto"/>
            </w:tcBorders>
            <w:shd w:val="clear" w:color="auto" w:fill="auto"/>
            <w:vAlign w:val="center"/>
            <w:hideMark/>
          </w:tcPr>
          <w:p w14:paraId="4451E14D" w14:textId="3C544B0A"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Материјал за прекривање депоније FCC Кикинда</w:t>
            </w:r>
          </w:p>
        </w:tc>
      </w:tr>
      <w:tr w:rsidR="00BE1209" w:rsidRPr="00E84C93" w14:paraId="45195915" w14:textId="77777777" w:rsidTr="00C937FF">
        <w:trPr>
          <w:trHeight w:val="300"/>
        </w:trPr>
        <w:tc>
          <w:tcPr>
            <w:tcW w:w="1031" w:type="dxa"/>
            <w:vMerge/>
            <w:tcBorders>
              <w:top w:val="single" w:sz="4" w:space="0" w:color="auto"/>
              <w:left w:val="single" w:sz="4" w:space="0" w:color="auto"/>
              <w:bottom w:val="single" w:sz="4" w:space="0" w:color="auto"/>
              <w:right w:val="single" w:sz="4" w:space="0" w:color="auto"/>
            </w:tcBorders>
            <w:vAlign w:val="center"/>
            <w:hideMark/>
          </w:tcPr>
          <w:p w14:paraId="087F78F8" w14:textId="77777777" w:rsidR="00BE1209" w:rsidRPr="00E84C93" w:rsidRDefault="00BE1209" w:rsidP="00064A97">
            <w:pPr>
              <w:spacing w:after="0"/>
              <w:rPr>
                <w:rFonts w:cs="Times New Roman"/>
                <w:bCs/>
                <w:sz w:val="20"/>
                <w:szCs w:val="20"/>
                <w:lang w:val="sr-Cyrl-CS" w:eastAsia="de-DE"/>
              </w:rPr>
            </w:pPr>
          </w:p>
        </w:tc>
        <w:tc>
          <w:tcPr>
            <w:tcW w:w="1796" w:type="dxa"/>
            <w:vMerge/>
            <w:tcBorders>
              <w:top w:val="single" w:sz="4" w:space="0" w:color="auto"/>
              <w:left w:val="single" w:sz="4" w:space="0" w:color="auto"/>
              <w:bottom w:val="single" w:sz="4" w:space="0" w:color="auto"/>
              <w:right w:val="single" w:sz="4" w:space="0" w:color="auto"/>
            </w:tcBorders>
            <w:vAlign w:val="center"/>
            <w:hideMark/>
          </w:tcPr>
          <w:p w14:paraId="1D508695" w14:textId="77777777" w:rsidR="00BE1209" w:rsidRPr="00E84C93" w:rsidRDefault="00BE1209" w:rsidP="00064A97">
            <w:pPr>
              <w:spacing w:after="0"/>
              <w:rPr>
                <w:rFonts w:cs="Times New Roman"/>
                <w:bCs/>
                <w:sz w:val="20"/>
                <w:szCs w:val="20"/>
                <w:lang w:val="sr-Cyrl-CS" w:eastAsia="de-DE"/>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547B65B" w14:textId="77777777" w:rsidR="00BE1209" w:rsidRPr="00E84C93" w:rsidRDefault="00BE1209" w:rsidP="00064A97">
            <w:pPr>
              <w:spacing w:after="0"/>
              <w:rPr>
                <w:rFonts w:cs="Times New Roman"/>
                <w:bCs/>
                <w:sz w:val="20"/>
                <w:szCs w:val="20"/>
                <w:lang w:val="sr-Cyrl-CS" w:eastAsia="de-DE"/>
              </w:rPr>
            </w:pPr>
          </w:p>
        </w:tc>
        <w:tc>
          <w:tcPr>
            <w:tcW w:w="1477" w:type="dxa"/>
            <w:tcBorders>
              <w:top w:val="single" w:sz="4" w:space="0" w:color="auto"/>
              <w:left w:val="nil"/>
              <w:bottom w:val="single" w:sz="4" w:space="0" w:color="auto"/>
              <w:right w:val="single" w:sz="4" w:space="0" w:color="auto"/>
            </w:tcBorders>
            <w:shd w:val="clear" w:color="auto" w:fill="auto"/>
            <w:vAlign w:val="center"/>
            <w:hideMark/>
          </w:tcPr>
          <w:p w14:paraId="1B2B8BB1"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60-70%</w:t>
            </w:r>
            <w:r w:rsidRPr="00E84C93">
              <w:rPr>
                <w:rFonts w:cs="Times New Roman"/>
                <w:bCs/>
                <w:sz w:val="20"/>
                <w:szCs w:val="20"/>
                <w:vertAlign w:val="superscript"/>
                <w:lang w:val="sr-Cyrl-CS" w:eastAsia="de-DE"/>
              </w:rPr>
              <w:t>2</w:t>
            </w:r>
          </w:p>
        </w:tc>
        <w:tc>
          <w:tcPr>
            <w:tcW w:w="2405" w:type="dxa"/>
            <w:tcBorders>
              <w:top w:val="single" w:sz="4" w:space="0" w:color="auto"/>
              <w:left w:val="nil"/>
              <w:bottom w:val="single" w:sz="4" w:space="0" w:color="auto"/>
              <w:right w:val="single" w:sz="4" w:space="0" w:color="auto"/>
            </w:tcBorders>
            <w:shd w:val="clear" w:color="auto" w:fill="auto"/>
            <w:vAlign w:val="center"/>
            <w:hideMark/>
          </w:tcPr>
          <w:p w14:paraId="709AB57A" w14:textId="543404BA"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1.187 </w:t>
            </w:r>
            <w:r w:rsidR="00044C5A" w:rsidRPr="00E84C93">
              <w:rPr>
                <w:rFonts w:cs="Times New Roman"/>
                <w:sz w:val="20"/>
                <w:szCs w:val="20"/>
                <w:lang w:val="sr-Cyrl-CS" w:bidi="en-US"/>
              </w:rPr>
              <w:t xml:space="preserve">t/год. </w:t>
            </w:r>
            <w:r w:rsidR="00184095" w:rsidRPr="00E84C93">
              <w:rPr>
                <w:rFonts w:cs="Times New Roman"/>
                <w:bCs/>
                <w:color w:val="000000"/>
                <w:sz w:val="20"/>
                <w:szCs w:val="20"/>
                <w:lang w:val="sr-Cyrl-CS" w:eastAsia="de-DE"/>
              </w:rPr>
              <w:t>са</w:t>
            </w:r>
            <w:r w:rsidRPr="00E84C93">
              <w:rPr>
                <w:rFonts w:cs="Times New Roman"/>
                <w:bCs/>
                <w:sz w:val="20"/>
                <w:szCs w:val="20"/>
                <w:lang w:val="sr-Cyrl-CS" w:eastAsia="de-DE"/>
              </w:rPr>
              <w:t xml:space="preserve"> 60% </w:t>
            </w:r>
            <w:r w:rsidR="00044C5A" w:rsidRPr="00E84C93">
              <w:rPr>
                <w:rFonts w:cs="Times New Roman"/>
                <w:bCs/>
                <w:sz w:val="20"/>
                <w:szCs w:val="20"/>
                <w:lang w:val="sr-Cyrl-CS" w:eastAsia="de-DE"/>
              </w:rPr>
              <w:t>СМ</w:t>
            </w:r>
          </w:p>
        </w:tc>
        <w:tc>
          <w:tcPr>
            <w:tcW w:w="1779" w:type="dxa"/>
            <w:tcBorders>
              <w:top w:val="single" w:sz="4" w:space="0" w:color="auto"/>
              <w:left w:val="nil"/>
              <w:bottom w:val="single" w:sz="4" w:space="0" w:color="auto"/>
              <w:right w:val="single" w:sz="4" w:space="0" w:color="auto"/>
            </w:tcBorders>
            <w:shd w:val="clear" w:color="auto" w:fill="auto"/>
            <w:vAlign w:val="center"/>
            <w:hideMark/>
          </w:tcPr>
          <w:p w14:paraId="7A3101A7" w14:textId="6D11CD97" w:rsidR="00BE1209" w:rsidRPr="00E84C93" w:rsidRDefault="00517960" w:rsidP="00064A97">
            <w:pPr>
              <w:spacing w:after="0"/>
              <w:rPr>
                <w:rFonts w:cs="Times New Roman"/>
                <w:bCs/>
                <w:sz w:val="20"/>
                <w:szCs w:val="20"/>
                <w:lang w:val="sr-Cyrl-CS" w:eastAsia="de-DE"/>
              </w:rPr>
            </w:pPr>
            <w:r w:rsidRPr="00E84C93">
              <w:rPr>
                <w:rFonts w:cs="Times New Roman"/>
                <w:bCs/>
                <w:color w:val="000000"/>
                <w:sz w:val="20"/>
                <w:szCs w:val="20"/>
                <w:lang w:val="sr-Cyrl-CS" w:eastAsia="de-DE"/>
              </w:rPr>
              <w:t xml:space="preserve">Коинсинерација </w:t>
            </w:r>
            <w:r w:rsidR="00BE1209" w:rsidRPr="00E84C93">
              <w:rPr>
                <w:rFonts w:cs="Times New Roman"/>
                <w:bCs/>
                <w:sz w:val="20"/>
                <w:szCs w:val="20"/>
                <w:lang w:val="sr-Cyrl-CS" w:eastAsia="de-DE"/>
              </w:rPr>
              <w:t xml:space="preserve">у </w:t>
            </w:r>
            <w:r w:rsidR="00A52E1A" w:rsidRPr="00E84C93">
              <w:rPr>
                <w:rFonts w:cs="Times New Roman"/>
                <w:bCs/>
                <w:sz w:val="20"/>
                <w:szCs w:val="20"/>
                <w:lang w:val="sr-Cyrl-CS" w:eastAsia="de-DE"/>
              </w:rPr>
              <w:t>фабрици цемента</w:t>
            </w:r>
            <w:r w:rsidR="00BE1209" w:rsidRPr="00E84C93">
              <w:rPr>
                <w:rFonts w:cs="Times New Roman"/>
                <w:bCs/>
                <w:sz w:val="20"/>
                <w:szCs w:val="20"/>
                <w:lang w:val="sr-Cyrl-CS" w:eastAsia="de-DE"/>
              </w:rPr>
              <w:t xml:space="preserve"> Lafarge Беочин</w:t>
            </w:r>
          </w:p>
        </w:tc>
      </w:tr>
      <w:tr w:rsidR="00BE1209" w:rsidRPr="00E84C93" w14:paraId="50DC59AA" w14:textId="77777777" w:rsidTr="00C937FF">
        <w:trPr>
          <w:trHeight w:val="300"/>
        </w:trPr>
        <w:tc>
          <w:tcPr>
            <w:tcW w:w="1031" w:type="dxa"/>
            <w:vMerge w:val="restart"/>
            <w:tcBorders>
              <w:top w:val="single" w:sz="4" w:space="0" w:color="auto"/>
              <w:left w:val="single" w:sz="4" w:space="0" w:color="auto"/>
              <w:right w:val="single" w:sz="4" w:space="0" w:color="auto"/>
            </w:tcBorders>
            <w:vAlign w:val="center"/>
          </w:tcPr>
          <w:p w14:paraId="787B4661" w14:textId="77777777"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Панчево</w:t>
            </w:r>
          </w:p>
        </w:tc>
        <w:tc>
          <w:tcPr>
            <w:tcW w:w="1796" w:type="dxa"/>
            <w:vMerge w:val="restart"/>
            <w:tcBorders>
              <w:top w:val="single" w:sz="4" w:space="0" w:color="auto"/>
              <w:left w:val="single" w:sz="4" w:space="0" w:color="auto"/>
              <w:right w:val="single" w:sz="4" w:space="0" w:color="auto"/>
            </w:tcBorders>
            <w:vAlign w:val="center"/>
          </w:tcPr>
          <w:p w14:paraId="2C47E995" w14:textId="77777777" w:rsidR="00BE1209" w:rsidRPr="00E84C93" w:rsidRDefault="00BE1209" w:rsidP="00044C5A">
            <w:pPr>
              <w:spacing w:after="0"/>
              <w:jc w:val="center"/>
              <w:rPr>
                <w:rFonts w:cs="Times New Roman"/>
                <w:bCs/>
                <w:sz w:val="20"/>
                <w:szCs w:val="20"/>
                <w:lang w:val="sr-Cyrl-CS" w:eastAsia="de-DE"/>
              </w:rPr>
            </w:pPr>
            <w:r w:rsidRPr="00E84C93">
              <w:rPr>
                <w:rFonts w:cs="Times New Roman"/>
                <w:bCs/>
                <w:sz w:val="20"/>
                <w:szCs w:val="20"/>
                <w:lang w:val="sr-Cyrl-CS" w:eastAsia="de-DE"/>
              </w:rPr>
              <w:t>116.000</w:t>
            </w:r>
          </w:p>
        </w:tc>
        <w:tc>
          <w:tcPr>
            <w:tcW w:w="1151" w:type="dxa"/>
            <w:vMerge w:val="restart"/>
            <w:tcBorders>
              <w:top w:val="single" w:sz="4" w:space="0" w:color="auto"/>
              <w:left w:val="single" w:sz="4" w:space="0" w:color="auto"/>
              <w:right w:val="single" w:sz="4" w:space="0" w:color="auto"/>
            </w:tcBorders>
            <w:vAlign w:val="center"/>
          </w:tcPr>
          <w:p w14:paraId="5DD8B3CC" w14:textId="146DFCE5"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2025</w:t>
            </w:r>
            <w:r w:rsidR="00E06A1F" w:rsidRPr="00E84C93">
              <w:rPr>
                <w:rFonts w:cs="Times New Roman"/>
                <w:bCs/>
                <w:sz w:val="20"/>
                <w:szCs w:val="20"/>
                <w:lang w:val="sr-Cyrl-CS" w:eastAsia="de-DE"/>
              </w:rPr>
              <w:t>.</w:t>
            </w:r>
          </w:p>
        </w:tc>
        <w:tc>
          <w:tcPr>
            <w:tcW w:w="1477" w:type="dxa"/>
            <w:tcBorders>
              <w:top w:val="single" w:sz="4" w:space="0" w:color="auto"/>
              <w:left w:val="nil"/>
              <w:bottom w:val="single" w:sz="4" w:space="0" w:color="auto"/>
              <w:right w:val="single" w:sz="4" w:space="0" w:color="auto"/>
            </w:tcBorders>
            <w:shd w:val="clear" w:color="auto" w:fill="auto"/>
            <w:vAlign w:val="center"/>
          </w:tcPr>
          <w:p w14:paraId="5D767B90"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биће утврђено</w:t>
            </w:r>
            <w:r w:rsidRPr="00E84C93">
              <w:rPr>
                <w:rFonts w:cs="Times New Roman"/>
                <w:bCs/>
                <w:sz w:val="20"/>
                <w:szCs w:val="20"/>
                <w:vertAlign w:val="superscript"/>
                <w:lang w:val="sr-Cyrl-CS" w:eastAsia="de-DE"/>
              </w:rPr>
              <w:t>1</w:t>
            </w:r>
          </w:p>
        </w:tc>
        <w:tc>
          <w:tcPr>
            <w:tcW w:w="2405" w:type="dxa"/>
            <w:tcBorders>
              <w:top w:val="single" w:sz="4" w:space="0" w:color="auto"/>
              <w:left w:val="nil"/>
              <w:bottom w:val="single" w:sz="4" w:space="0" w:color="auto"/>
              <w:right w:val="single" w:sz="4" w:space="0" w:color="auto"/>
            </w:tcBorders>
            <w:shd w:val="clear" w:color="auto" w:fill="auto"/>
            <w:vAlign w:val="center"/>
          </w:tcPr>
          <w:p w14:paraId="256F3714" w14:textId="56B50CC1"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7.466 </w:t>
            </w:r>
            <w:r w:rsidR="00044C5A" w:rsidRPr="00E84C93">
              <w:rPr>
                <w:rFonts w:cs="Times New Roman"/>
                <w:sz w:val="20"/>
                <w:szCs w:val="20"/>
                <w:lang w:val="sr-Cyrl-CS" w:bidi="en-US"/>
              </w:rPr>
              <w:t xml:space="preserve">t/год. </w:t>
            </w:r>
            <w:r w:rsidR="00184095" w:rsidRPr="00E84C93">
              <w:rPr>
                <w:rFonts w:cs="Times New Roman"/>
                <w:bCs/>
                <w:sz w:val="20"/>
                <w:szCs w:val="20"/>
                <w:lang w:val="sr-Cyrl-CS" w:eastAsia="de-DE"/>
              </w:rPr>
              <w:t>с</w:t>
            </w:r>
            <w:r w:rsidRPr="00E84C93">
              <w:rPr>
                <w:rFonts w:cs="Times New Roman"/>
                <w:bCs/>
                <w:sz w:val="20"/>
                <w:szCs w:val="20"/>
                <w:lang w:val="sr-Cyrl-CS" w:eastAsia="de-DE"/>
              </w:rPr>
              <w:t>а 20%</w:t>
            </w:r>
            <w:r w:rsidR="00184095" w:rsidRPr="00E84C93">
              <w:rPr>
                <w:rFonts w:cs="Times New Roman"/>
                <w:bCs/>
                <w:sz w:val="20"/>
                <w:szCs w:val="20"/>
                <w:lang w:val="sr-Cyrl-CS" w:eastAsia="de-DE"/>
              </w:rPr>
              <w:t xml:space="preserve"> </w:t>
            </w:r>
            <w:r w:rsidR="00044C5A" w:rsidRPr="00E84C93">
              <w:rPr>
                <w:rFonts w:cs="Times New Roman"/>
                <w:bCs/>
                <w:sz w:val="20"/>
                <w:szCs w:val="20"/>
                <w:lang w:val="sr-Cyrl-CS" w:eastAsia="de-DE"/>
              </w:rPr>
              <w:t>СМ</w:t>
            </w:r>
          </w:p>
        </w:tc>
        <w:tc>
          <w:tcPr>
            <w:tcW w:w="1779" w:type="dxa"/>
            <w:tcBorders>
              <w:top w:val="single" w:sz="4" w:space="0" w:color="auto"/>
              <w:left w:val="nil"/>
              <w:bottom w:val="single" w:sz="4" w:space="0" w:color="auto"/>
              <w:right w:val="single" w:sz="4" w:space="0" w:color="auto"/>
            </w:tcBorders>
            <w:shd w:val="clear" w:color="auto" w:fill="auto"/>
            <w:vAlign w:val="center"/>
          </w:tcPr>
          <w:p w14:paraId="36A0C618" w14:textId="640CE565"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Материјал за прекривање </w:t>
            </w:r>
            <w:r w:rsidR="00854F2E" w:rsidRPr="00E84C93">
              <w:rPr>
                <w:rFonts w:cs="Times New Roman"/>
                <w:bCs/>
                <w:sz w:val="20"/>
                <w:szCs w:val="20"/>
                <w:lang w:val="sr-Cyrl-CS" w:eastAsia="de-DE"/>
              </w:rPr>
              <w:t>санитарне</w:t>
            </w:r>
            <w:r w:rsidRPr="00E84C93">
              <w:rPr>
                <w:rFonts w:cs="Times New Roman"/>
                <w:bCs/>
                <w:sz w:val="20"/>
                <w:szCs w:val="20"/>
                <w:lang w:val="sr-Cyrl-CS" w:eastAsia="de-DE"/>
              </w:rPr>
              <w:t xml:space="preserve"> депоније </w:t>
            </w:r>
            <w:r w:rsidR="00854F2E" w:rsidRPr="00E84C93">
              <w:rPr>
                <w:rFonts w:cs="Times New Roman"/>
                <w:bCs/>
                <w:sz w:val="20"/>
                <w:szCs w:val="20"/>
                <w:lang w:val="sr-Cyrl-CS" w:eastAsia="de-DE"/>
              </w:rPr>
              <w:t xml:space="preserve">у </w:t>
            </w:r>
            <w:r w:rsidRPr="00E84C93">
              <w:rPr>
                <w:rFonts w:cs="Times New Roman"/>
                <w:bCs/>
                <w:sz w:val="20"/>
                <w:szCs w:val="20"/>
                <w:lang w:val="sr-Cyrl-CS" w:eastAsia="de-DE"/>
              </w:rPr>
              <w:t>Долов</w:t>
            </w:r>
            <w:r w:rsidR="00854F2E" w:rsidRPr="00E84C93">
              <w:rPr>
                <w:rFonts w:cs="Times New Roman"/>
                <w:bCs/>
                <w:sz w:val="20"/>
                <w:szCs w:val="20"/>
                <w:lang w:val="sr-Cyrl-CS" w:eastAsia="de-DE"/>
              </w:rPr>
              <w:t>у</w:t>
            </w:r>
          </w:p>
        </w:tc>
      </w:tr>
      <w:tr w:rsidR="00BE1209" w:rsidRPr="00E84C93" w14:paraId="32AE1549" w14:textId="77777777" w:rsidTr="00C937FF">
        <w:trPr>
          <w:trHeight w:val="300"/>
        </w:trPr>
        <w:tc>
          <w:tcPr>
            <w:tcW w:w="1031" w:type="dxa"/>
            <w:vMerge/>
            <w:tcBorders>
              <w:left w:val="single" w:sz="4" w:space="0" w:color="auto"/>
              <w:bottom w:val="single" w:sz="4" w:space="0" w:color="auto"/>
              <w:right w:val="single" w:sz="4" w:space="0" w:color="auto"/>
            </w:tcBorders>
            <w:vAlign w:val="center"/>
          </w:tcPr>
          <w:p w14:paraId="3068AB85" w14:textId="77777777" w:rsidR="00BE1209" w:rsidRPr="00E84C93" w:rsidRDefault="00BE1209" w:rsidP="00064A97">
            <w:pPr>
              <w:spacing w:after="0"/>
              <w:rPr>
                <w:rFonts w:cs="Times New Roman"/>
                <w:bCs/>
                <w:sz w:val="20"/>
                <w:szCs w:val="20"/>
                <w:lang w:val="sr-Cyrl-CS" w:eastAsia="de-DE"/>
              </w:rPr>
            </w:pPr>
          </w:p>
        </w:tc>
        <w:tc>
          <w:tcPr>
            <w:tcW w:w="1796" w:type="dxa"/>
            <w:vMerge/>
            <w:tcBorders>
              <w:left w:val="single" w:sz="4" w:space="0" w:color="auto"/>
              <w:bottom w:val="single" w:sz="4" w:space="0" w:color="auto"/>
              <w:right w:val="single" w:sz="4" w:space="0" w:color="auto"/>
            </w:tcBorders>
            <w:vAlign w:val="center"/>
          </w:tcPr>
          <w:p w14:paraId="3A88E236" w14:textId="77777777" w:rsidR="00BE1209" w:rsidRPr="00E84C93" w:rsidRDefault="00BE1209" w:rsidP="00064A97">
            <w:pPr>
              <w:spacing w:after="0"/>
              <w:rPr>
                <w:rFonts w:cs="Times New Roman"/>
                <w:bCs/>
                <w:sz w:val="20"/>
                <w:szCs w:val="20"/>
                <w:lang w:val="sr-Cyrl-CS" w:eastAsia="de-DE"/>
              </w:rPr>
            </w:pPr>
          </w:p>
        </w:tc>
        <w:tc>
          <w:tcPr>
            <w:tcW w:w="1151" w:type="dxa"/>
            <w:vMerge/>
            <w:tcBorders>
              <w:left w:val="single" w:sz="4" w:space="0" w:color="auto"/>
              <w:bottom w:val="single" w:sz="4" w:space="0" w:color="auto"/>
              <w:right w:val="single" w:sz="4" w:space="0" w:color="auto"/>
            </w:tcBorders>
            <w:vAlign w:val="center"/>
          </w:tcPr>
          <w:p w14:paraId="305B03BD" w14:textId="77777777" w:rsidR="00BE1209" w:rsidRPr="00E84C93" w:rsidRDefault="00BE1209" w:rsidP="00064A97">
            <w:pPr>
              <w:spacing w:after="0"/>
              <w:rPr>
                <w:rFonts w:cs="Times New Roman"/>
                <w:bCs/>
                <w:sz w:val="20"/>
                <w:szCs w:val="20"/>
                <w:lang w:val="sr-Cyrl-CS" w:eastAsia="de-DE"/>
              </w:rPr>
            </w:pPr>
          </w:p>
        </w:tc>
        <w:tc>
          <w:tcPr>
            <w:tcW w:w="1477" w:type="dxa"/>
            <w:tcBorders>
              <w:top w:val="single" w:sz="4" w:space="0" w:color="auto"/>
              <w:left w:val="nil"/>
              <w:bottom w:val="single" w:sz="4" w:space="0" w:color="auto"/>
              <w:right w:val="single" w:sz="4" w:space="0" w:color="auto"/>
            </w:tcBorders>
            <w:shd w:val="clear" w:color="auto" w:fill="auto"/>
            <w:vAlign w:val="center"/>
          </w:tcPr>
          <w:p w14:paraId="2EAB467F"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60-70%</w:t>
            </w:r>
            <w:r w:rsidRPr="00E84C93">
              <w:rPr>
                <w:rFonts w:cs="Times New Roman"/>
                <w:bCs/>
                <w:sz w:val="20"/>
                <w:szCs w:val="20"/>
                <w:vertAlign w:val="superscript"/>
                <w:lang w:val="sr-Cyrl-CS" w:eastAsia="de-DE"/>
              </w:rPr>
              <w:t>2</w:t>
            </w:r>
          </w:p>
        </w:tc>
        <w:tc>
          <w:tcPr>
            <w:tcW w:w="2405" w:type="dxa"/>
            <w:tcBorders>
              <w:top w:val="single" w:sz="4" w:space="0" w:color="auto"/>
              <w:left w:val="nil"/>
              <w:bottom w:val="single" w:sz="4" w:space="0" w:color="auto"/>
              <w:right w:val="single" w:sz="4" w:space="0" w:color="auto"/>
            </w:tcBorders>
            <w:shd w:val="clear" w:color="auto" w:fill="auto"/>
            <w:vAlign w:val="center"/>
          </w:tcPr>
          <w:p w14:paraId="7BBC51FF" w14:textId="31B74872"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 xml:space="preserve">2.844 </w:t>
            </w:r>
            <w:r w:rsidR="00044C5A" w:rsidRPr="00E84C93">
              <w:rPr>
                <w:rFonts w:cs="Times New Roman"/>
                <w:sz w:val="20"/>
                <w:szCs w:val="20"/>
                <w:lang w:val="sr-Cyrl-CS" w:bidi="en-US"/>
              </w:rPr>
              <w:t>t/год.</w:t>
            </w:r>
            <w:r w:rsidRPr="00E84C93">
              <w:rPr>
                <w:rFonts w:cs="Times New Roman"/>
                <w:bCs/>
                <w:sz w:val="20"/>
                <w:szCs w:val="20"/>
                <w:lang w:val="sr-Cyrl-CS" w:eastAsia="de-DE"/>
              </w:rPr>
              <w:t xml:space="preserve"> </w:t>
            </w:r>
            <w:r w:rsidR="00184095" w:rsidRPr="00E84C93">
              <w:rPr>
                <w:rFonts w:cs="Times New Roman"/>
                <w:bCs/>
                <w:color w:val="000000"/>
                <w:sz w:val="20"/>
                <w:szCs w:val="20"/>
                <w:lang w:val="sr-Cyrl-CS" w:eastAsia="de-DE"/>
              </w:rPr>
              <w:t>са</w:t>
            </w:r>
            <w:r w:rsidRPr="00E84C93">
              <w:rPr>
                <w:rFonts w:cs="Times New Roman"/>
                <w:bCs/>
                <w:sz w:val="20"/>
                <w:szCs w:val="20"/>
                <w:lang w:val="sr-Cyrl-CS" w:eastAsia="de-DE"/>
              </w:rPr>
              <w:t xml:space="preserve"> 60% </w:t>
            </w:r>
            <w:r w:rsidR="00044C5A" w:rsidRPr="00E84C93">
              <w:rPr>
                <w:rFonts w:cs="Times New Roman"/>
                <w:bCs/>
                <w:sz w:val="20"/>
                <w:szCs w:val="20"/>
                <w:lang w:val="sr-Cyrl-CS" w:eastAsia="de-DE"/>
              </w:rPr>
              <w:t>СМ</w:t>
            </w:r>
          </w:p>
        </w:tc>
        <w:tc>
          <w:tcPr>
            <w:tcW w:w="1779" w:type="dxa"/>
            <w:tcBorders>
              <w:top w:val="single" w:sz="4" w:space="0" w:color="auto"/>
              <w:left w:val="nil"/>
              <w:bottom w:val="single" w:sz="4" w:space="0" w:color="auto"/>
              <w:right w:val="single" w:sz="4" w:space="0" w:color="auto"/>
            </w:tcBorders>
            <w:shd w:val="clear" w:color="auto" w:fill="auto"/>
            <w:vAlign w:val="center"/>
          </w:tcPr>
          <w:p w14:paraId="02A29801" w14:textId="03C8DE7B" w:rsidR="00BE1209" w:rsidRPr="00E84C93" w:rsidRDefault="00517960" w:rsidP="00064A97">
            <w:pPr>
              <w:spacing w:after="0"/>
              <w:rPr>
                <w:rFonts w:cs="Times New Roman"/>
                <w:bCs/>
                <w:sz w:val="20"/>
                <w:szCs w:val="20"/>
                <w:lang w:val="sr-Cyrl-CS" w:eastAsia="de-DE"/>
              </w:rPr>
            </w:pPr>
            <w:r w:rsidRPr="00E84C93">
              <w:rPr>
                <w:rFonts w:cs="Times New Roman"/>
                <w:bCs/>
                <w:color w:val="000000"/>
                <w:sz w:val="20"/>
                <w:szCs w:val="20"/>
                <w:lang w:val="sr-Cyrl-CS" w:eastAsia="de-DE"/>
              </w:rPr>
              <w:t xml:space="preserve">Коинсинерација </w:t>
            </w:r>
            <w:r w:rsidR="00BE1209" w:rsidRPr="00E84C93">
              <w:rPr>
                <w:rFonts w:cs="Times New Roman"/>
                <w:bCs/>
                <w:sz w:val="20"/>
                <w:szCs w:val="20"/>
                <w:lang w:val="sr-Cyrl-CS" w:eastAsia="de-DE"/>
              </w:rPr>
              <w:t xml:space="preserve">у </w:t>
            </w:r>
            <w:r w:rsidR="00A52E1A" w:rsidRPr="00E84C93">
              <w:rPr>
                <w:rFonts w:cs="Times New Roman"/>
                <w:bCs/>
                <w:sz w:val="20"/>
                <w:szCs w:val="20"/>
                <w:lang w:val="sr-Cyrl-CS" w:eastAsia="de-DE"/>
              </w:rPr>
              <w:t>фабрици цемента</w:t>
            </w:r>
            <w:r w:rsidR="00BE1209" w:rsidRPr="00E84C93">
              <w:rPr>
                <w:rFonts w:cs="Times New Roman"/>
                <w:bCs/>
                <w:sz w:val="20"/>
                <w:szCs w:val="20"/>
                <w:lang w:val="sr-Cyrl-CS" w:eastAsia="de-DE"/>
              </w:rPr>
              <w:t xml:space="preserve"> Lafarge Беочин</w:t>
            </w:r>
          </w:p>
        </w:tc>
      </w:tr>
    </w:tbl>
    <w:bookmarkEnd w:id="93"/>
    <w:p w14:paraId="5B7370D4" w14:textId="77777777" w:rsidR="00BE1209" w:rsidRPr="00E84C93" w:rsidRDefault="00BE1209" w:rsidP="00736A5C">
      <w:pPr>
        <w:spacing w:after="0"/>
        <w:rPr>
          <w:rFonts w:cs="Times New Roman"/>
          <w:szCs w:val="24"/>
          <w:lang w:val="sr-Cyrl-CS" w:bidi="en-US"/>
        </w:rPr>
      </w:pPr>
      <w:r w:rsidRPr="00E84C93">
        <w:rPr>
          <w:rFonts w:cs="Times New Roman"/>
          <w:szCs w:val="24"/>
          <w:vertAlign w:val="superscript"/>
          <w:lang w:val="sr-Cyrl-CS" w:bidi="en-US"/>
        </w:rPr>
        <w:t>1</w:t>
      </w:r>
      <w:r w:rsidRPr="00E84C93">
        <w:rPr>
          <w:rFonts w:cs="Times New Roman"/>
          <w:szCs w:val="24"/>
          <w:lang w:val="sr-Cyrl-CS" w:bidi="en-US"/>
        </w:rPr>
        <w:t xml:space="preserve"> – </w:t>
      </w:r>
      <w:bookmarkStart w:id="94" w:name="_Hlk94994199"/>
      <w:r w:rsidRPr="00E84C93">
        <w:rPr>
          <w:rFonts w:cs="Times New Roman"/>
          <w:szCs w:val="24"/>
          <w:lang w:val="sr-Cyrl-CS" w:bidi="en-US"/>
        </w:rPr>
        <w:t>захтева појашњење са оператером депоније</w:t>
      </w:r>
      <w:bookmarkEnd w:id="94"/>
    </w:p>
    <w:p w14:paraId="76BC67A7" w14:textId="5E6A3924" w:rsidR="00BE1209" w:rsidRPr="00E84C93" w:rsidRDefault="00BE1209" w:rsidP="00736A5C">
      <w:pPr>
        <w:spacing w:after="0"/>
        <w:rPr>
          <w:rFonts w:cs="Times New Roman"/>
          <w:szCs w:val="24"/>
          <w:lang w:val="sr-Cyrl-CS" w:bidi="en-US"/>
        </w:rPr>
      </w:pPr>
      <w:r w:rsidRPr="00E84C93">
        <w:rPr>
          <w:rFonts w:cs="Times New Roman"/>
          <w:szCs w:val="24"/>
          <w:vertAlign w:val="superscript"/>
          <w:lang w:val="sr-Cyrl-CS" w:bidi="en-US"/>
        </w:rPr>
        <w:t>2</w:t>
      </w:r>
      <w:r w:rsidRPr="00E84C93">
        <w:rPr>
          <w:rFonts w:cs="Times New Roman"/>
          <w:szCs w:val="24"/>
          <w:lang w:val="sr-Cyrl-CS" w:bidi="en-US"/>
        </w:rPr>
        <w:t xml:space="preserve"> – </w:t>
      </w:r>
      <w:bookmarkStart w:id="95" w:name="_Hlk94994218"/>
      <w:r w:rsidRPr="00E84C93">
        <w:rPr>
          <w:rFonts w:cs="Times New Roman"/>
          <w:szCs w:val="24"/>
          <w:lang w:val="sr-Cyrl-CS" w:bidi="en-US"/>
        </w:rPr>
        <w:t xml:space="preserve">једнако топлотној вредности од 8 GJ/t </w:t>
      </w:r>
      <w:bookmarkEnd w:id="95"/>
      <w:r w:rsidR="00285BCC" w:rsidRPr="00E84C93">
        <w:rPr>
          <w:rFonts w:cs="Times New Roman"/>
          <w:szCs w:val="24"/>
          <w:lang w:val="sr-Cyrl-CS" w:bidi="en-US"/>
        </w:rPr>
        <w:t>суве материје</w:t>
      </w:r>
    </w:p>
    <w:p w14:paraId="34E16E6D" w14:textId="77777777" w:rsidR="00BE1209" w:rsidRPr="00E84C93" w:rsidRDefault="00BE1209" w:rsidP="00BE1209">
      <w:pPr>
        <w:rPr>
          <w:rFonts w:cs="Times New Roman"/>
          <w:szCs w:val="24"/>
          <w:lang w:val="sr-Cyrl-CS" w:bidi="en-US"/>
        </w:rPr>
      </w:pPr>
    </w:p>
    <w:p w14:paraId="47560FB5" w14:textId="3BEBD1B7" w:rsidR="00BE1209" w:rsidRPr="00E84C93" w:rsidRDefault="00BE1209" w:rsidP="000C54C0">
      <w:pPr>
        <w:pStyle w:val="Heading3"/>
        <w:numPr>
          <w:ilvl w:val="2"/>
          <w:numId w:val="8"/>
        </w:numPr>
        <w:rPr>
          <w:lang w:val="sr-Cyrl-CS"/>
        </w:rPr>
      </w:pPr>
      <w:bookmarkStart w:id="96" w:name="_Toc95129122"/>
      <w:bookmarkStart w:id="97" w:name="_Toc99920909"/>
      <w:r w:rsidRPr="00E84C93">
        <w:rPr>
          <w:lang w:val="sr-Cyrl-CS"/>
        </w:rPr>
        <w:t xml:space="preserve">Шумадија и </w:t>
      </w:r>
      <w:r w:rsidR="00DA5B44" w:rsidRPr="00E84C93">
        <w:rPr>
          <w:lang w:val="sr-Cyrl-CS"/>
        </w:rPr>
        <w:t xml:space="preserve">Западна </w:t>
      </w:r>
      <w:r w:rsidRPr="00E84C93">
        <w:rPr>
          <w:lang w:val="sr-Cyrl-CS"/>
        </w:rPr>
        <w:t>Србија</w:t>
      </w:r>
      <w:bookmarkStart w:id="98" w:name="_Toc87616648"/>
      <w:bookmarkEnd w:id="96"/>
      <w:bookmarkEnd w:id="97"/>
      <w:r w:rsidRPr="00E84C93">
        <w:rPr>
          <w:lang w:val="sr-Cyrl-CS"/>
        </w:rPr>
        <w:t xml:space="preserve"> </w:t>
      </w:r>
      <w:bookmarkEnd w:id="98"/>
    </w:p>
    <w:p w14:paraId="13634E73" w14:textId="6184BA58" w:rsidR="00BE1209" w:rsidRPr="00E84C93" w:rsidRDefault="00F5612C" w:rsidP="00736A5C">
      <w:pPr>
        <w:pStyle w:val="ANormal"/>
        <w:spacing w:before="0"/>
        <w:ind w:firstLine="720"/>
        <w:rPr>
          <w:rFonts w:ascii="Times New Roman" w:hAnsi="Times New Roman" w:cs="Times New Roman"/>
          <w:b/>
          <w:bCs w:val="0"/>
          <w:color w:val="2E74B5" w:themeColor="accent1" w:themeShade="BF"/>
          <w:sz w:val="24"/>
          <w:szCs w:val="24"/>
          <w:lang w:val="sr-Cyrl-CS"/>
        </w:rPr>
      </w:pPr>
      <w:r w:rsidRPr="00E84C93">
        <w:rPr>
          <w:rFonts w:ascii="Times New Roman" w:hAnsi="Times New Roman" w:cs="Times New Roman"/>
          <w:b/>
          <w:bCs w:val="0"/>
          <w:color w:val="2E74B5" w:themeColor="accent1" w:themeShade="BF"/>
          <w:sz w:val="24"/>
          <w:szCs w:val="24"/>
          <w:lang w:val="sr-Cyrl-CS"/>
        </w:rPr>
        <w:t xml:space="preserve">Потенцијално </w:t>
      </w:r>
      <w:r w:rsidR="00BE1209" w:rsidRPr="00E84C93">
        <w:rPr>
          <w:rFonts w:ascii="Times New Roman" w:hAnsi="Times New Roman" w:cs="Times New Roman"/>
          <w:b/>
          <w:bCs w:val="0"/>
          <w:color w:val="2E74B5" w:themeColor="accent1" w:themeShade="BF"/>
          <w:sz w:val="24"/>
          <w:szCs w:val="24"/>
          <w:lang w:val="sr-Cyrl-CS"/>
        </w:rPr>
        <w:t>дугорочно решење</w:t>
      </w:r>
    </w:p>
    <w:p w14:paraId="24E7AD85" w14:textId="365B6696" w:rsidR="00BE1209" w:rsidRPr="00E84C93" w:rsidRDefault="005321FF" w:rsidP="00736A5C">
      <w:pPr>
        <w:spacing w:after="0"/>
        <w:ind w:firstLine="720"/>
        <w:jc w:val="both"/>
        <w:rPr>
          <w:rFonts w:cs="Times New Roman"/>
          <w:lang w:val="sr-Cyrl-CS" w:bidi="en-US"/>
        </w:rPr>
      </w:pPr>
      <w:r w:rsidRPr="00E84C93">
        <w:rPr>
          <w:lang w:val="sr-Cyrl-CS" w:bidi="en-US"/>
        </w:rPr>
        <w:t xml:space="preserve">Процењена количина генерисаног муља на крају планског периода </w:t>
      </w:r>
      <w:r w:rsidRPr="00E84C93">
        <w:rPr>
          <w:rFonts w:cs="Times New Roman"/>
          <w:lang w:val="sr-Cyrl-CS" w:bidi="en-US"/>
        </w:rPr>
        <w:t xml:space="preserve">у Шумадији и </w:t>
      </w:r>
      <w:r w:rsidR="00DA5B44" w:rsidRPr="00E84C93">
        <w:rPr>
          <w:rFonts w:cs="Times New Roman"/>
          <w:lang w:val="sr-Cyrl-CS" w:bidi="en-US"/>
        </w:rPr>
        <w:t xml:space="preserve">Западној </w:t>
      </w:r>
      <w:r w:rsidRPr="00E84C93">
        <w:rPr>
          <w:rFonts w:cs="Times New Roman"/>
          <w:lang w:val="sr-Cyrl-CS" w:bidi="en-US"/>
        </w:rPr>
        <w:t>Србији производиће се око 30.330 тона суве материје годишње (50. перцентил) до максималних 35.630 тона суве материје годишње (85. перцентил</w:t>
      </w:r>
      <w:r w:rsidR="00BE1209" w:rsidRPr="00E84C93">
        <w:rPr>
          <w:rFonts w:cs="Times New Roman"/>
          <w:lang w:val="sr-Cyrl-CS" w:bidi="en-US"/>
        </w:rPr>
        <w:t>).</w:t>
      </w:r>
    </w:p>
    <w:p w14:paraId="66F89BFC" w14:textId="3A61A191" w:rsidR="00BE1209" w:rsidRPr="00E84C93" w:rsidRDefault="00BE1209" w:rsidP="00736A5C">
      <w:pPr>
        <w:spacing w:after="0"/>
        <w:ind w:firstLine="720"/>
        <w:jc w:val="both"/>
        <w:rPr>
          <w:rFonts w:cs="Times New Roman"/>
          <w:lang w:val="sr-Cyrl-CS" w:bidi="en-US"/>
        </w:rPr>
      </w:pPr>
      <w:r w:rsidRPr="00E84C93">
        <w:rPr>
          <w:rFonts w:cs="Times New Roman"/>
          <w:lang w:val="sr-Cyrl-CS" w:bidi="en-US"/>
        </w:rPr>
        <w:t xml:space="preserve">Капитално постројење </w:t>
      </w:r>
      <w:r w:rsidR="0016531B" w:rsidRPr="00E84C93">
        <w:rPr>
          <w:rFonts w:cs="Times New Roman"/>
          <w:lang w:val="sr-Cyrl-CS" w:bidi="en-US"/>
        </w:rPr>
        <w:t>за пречишћавање отпадних вода</w:t>
      </w:r>
      <w:r w:rsidRPr="00E84C93">
        <w:rPr>
          <w:rFonts w:cs="Times New Roman"/>
          <w:lang w:val="sr-Cyrl-CS" w:bidi="en-US"/>
        </w:rPr>
        <w:t xml:space="preserve"> (кат. </w:t>
      </w:r>
      <w:r w:rsidRPr="00E84C93">
        <w:rPr>
          <w:rFonts w:cs="Times New Roman"/>
          <w:i/>
          <w:iCs/>
          <w:lang w:val="sr-Cyrl-CS" w:bidi="en-US"/>
        </w:rPr>
        <w:t>е</w:t>
      </w:r>
      <w:r w:rsidRPr="00E84C93">
        <w:rPr>
          <w:rFonts w:cs="Times New Roman"/>
          <w:lang w:val="sr-Cyrl-CS" w:bidi="en-US"/>
        </w:rPr>
        <w:t xml:space="preserve">) биће изграђено у Крагујевцу који је највећи град у региону. Најкасније до краја пројектованог периода, захтевани укупни капацитет спаљивања муља износиће око 20.000 </w:t>
      </w:r>
      <w:r w:rsidR="008C7EDF" w:rsidRPr="00E84C93">
        <w:rPr>
          <w:lang w:val="sr-Cyrl-CS"/>
        </w:rPr>
        <w:t>t СМ/год.</w:t>
      </w:r>
    </w:p>
    <w:p w14:paraId="6A84F620" w14:textId="15D599A2" w:rsidR="00BE1209" w:rsidRPr="00E84C93" w:rsidRDefault="00BE1209" w:rsidP="00736A5C">
      <w:pPr>
        <w:spacing w:after="0"/>
        <w:ind w:firstLine="720"/>
        <w:jc w:val="both"/>
        <w:rPr>
          <w:rFonts w:cs="Times New Roman"/>
          <w:lang w:val="sr-Cyrl-CS" w:bidi="en-US"/>
        </w:rPr>
      </w:pPr>
      <w:r w:rsidRPr="00E84C93">
        <w:rPr>
          <w:rFonts w:cs="Times New Roman"/>
          <w:lang w:val="sr-Cyrl-CS" w:bidi="en-US"/>
        </w:rPr>
        <w:t xml:space="preserve">Шумадијски округ ће имати највећу производњу муља као што је </w:t>
      </w:r>
      <w:r w:rsidR="00B47866" w:rsidRPr="00E84C93">
        <w:rPr>
          <w:rFonts w:cs="Times New Roman"/>
          <w:lang w:val="sr-Cyrl-CS" w:bidi="en-US"/>
        </w:rPr>
        <w:t>приказано у Т</w:t>
      </w:r>
      <w:r w:rsidR="00F94C78" w:rsidRPr="00E84C93">
        <w:rPr>
          <w:rFonts w:cs="Times New Roman"/>
          <w:lang w:val="sr-Cyrl-CS" w:bidi="en-US"/>
        </w:rPr>
        <w:t>абели 3.7.</w:t>
      </w:r>
      <w:r w:rsidRPr="00E84C93">
        <w:rPr>
          <w:rFonts w:cs="Times New Roman"/>
          <w:lang w:val="sr-Cyrl-CS" w:bidi="en-US"/>
        </w:rPr>
        <w:t xml:space="preserve"> Седиште округа је Крагујевац, а </w:t>
      </w:r>
      <w:r w:rsidR="00854F2E" w:rsidRPr="00E84C93">
        <w:rPr>
          <w:rFonts w:cs="Times New Roman"/>
          <w:lang w:val="sr-Cyrl-CS" w:bidi="en-US"/>
        </w:rPr>
        <w:t>Регионални центар за управљање муљем</w:t>
      </w:r>
      <w:r w:rsidRPr="00E84C93">
        <w:rPr>
          <w:rFonts w:cs="Times New Roman"/>
          <w:lang w:val="sr-Cyrl-CS" w:bidi="en-US"/>
        </w:rPr>
        <w:t xml:space="preserve"> </w:t>
      </w:r>
      <w:r w:rsidR="00B75288" w:rsidRPr="00E84C93">
        <w:rPr>
          <w:rFonts w:cs="Times New Roman"/>
          <w:lang w:val="sr-Cyrl-CS" w:bidi="en-US"/>
        </w:rPr>
        <w:t>би био</w:t>
      </w:r>
      <w:r w:rsidRPr="00E84C93">
        <w:rPr>
          <w:rFonts w:cs="Times New Roman"/>
          <w:lang w:val="sr-Cyrl-CS" w:bidi="en-US"/>
        </w:rPr>
        <w:t xml:space="preserve"> додељен постројењу </w:t>
      </w:r>
      <w:r w:rsidR="0016531B" w:rsidRPr="00E84C93">
        <w:rPr>
          <w:rFonts w:cs="Times New Roman"/>
          <w:lang w:val="sr-Cyrl-CS" w:bidi="en-US"/>
        </w:rPr>
        <w:t>за пречишћавање отпадних вода</w:t>
      </w:r>
      <w:r w:rsidRPr="00E84C93">
        <w:rPr>
          <w:rFonts w:cs="Times New Roman"/>
          <w:lang w:val="sr-Cyrl-CS" w:bidi="en-US"/>
        </w:rPr>
        <w:t xml:space="preserve"> у Крагујевцу</w:t>
      </w:r>
      <w:r w:rsidR="007E4D02" w:rsidRPr="00E84C93">
        <w:rPr>
          <w:rFonts w:cs="Times New Roman"/>
          <w:lang w:val="sr-Cyrl-CS" w:bidi="en-US"/>
        </w:rPr>
        <w:t>, док би се за спаљивање муља користио моноинсинератор у Нишу, само опционо у Крагујевцу</w:t>
      </w:r>
      <w:r w:rsidR="00DA5B44" w:rsidRPr="00E84C93">
        <w:rPr>
          <w:rFonts w:cs="Times New Roman"/>
          <w:lang w:val="sr-Cyrl-CS" w:bidi="en-US"/>
        </w:rPr>
        <w:t>, што је трошковно ефикасније</w:t>
      </w:r>
      <w:r w:rsidRPr="00E84C93">
        <w:rPr>
          <w:rFonts w:cs="Times New Roman"/>
          <w:lang w:val="sr-Cyrl-CS" w:bidi="en-US"/>
        </w:rPr>
        <w:t>.</w:t>
      </w:r>
    </w:p>
    <w:p w14:paraId="67560363" w14:textId="77777777" w:rsidR="00BE1209" w:rsidRPr="00E84C93" w:rsidRDefault="00BE1209" w:rsidP="00BE1209">
      <w:pPr>
        <w:rPr>
          <w:lang w:val="sr-Cyrl-CS" w:bidi="en-US"/>
        </w:rPr>
      </w:pPr>
    </w:p>
    <w:p w14:paraId="68076ACB" w14:textId="5F4712B5" w:rsidR="00702D2B" w:rsidRPr="00E84C93" w:rsidRDefault="00702D2B" w:rsidP="00736A5C">
      <w:pPr>
        <w:pStyle w:val="ANormal"/>
        <w:ind w:firstLine="720"/>
        <w:rPr>
          <w:rFonts w:ascii="Times New Roman" w:hAnsi="Times New Roman" w:cs="Times New Roman"/>
          <w:b/>
          <w:bCs w:val="0"/>
          <w:color w:val="2E74B5" w:themeColor="accent1" w:themeShade="BF"/>
          <w:sz w:val="24"/>
          <w:szCs w:val="24"/>
          <w:lang w:val="sr-Cyrl-CS"/>
        </w:rPr>
      </w:pPr>
      <w:bookmarkStart w:id="99" w:name="_Hlk93839237"/>
      <w:r w:rsidRPr="00E84C93">
        <w:rPr>
          <w:rFonts w:ascii="Times New Roman" w:hAnsi="Times New Roman" w:cs="Times New Roman"/>
          <w:b/>
          <w:bCs w:val="0"/>
          <w:color w:val="2E74B5" w:themeColor="accent1" w:themeShade="BF"/>
          <w:sz w:val="24"/>
          <w:szCs w:val="24"/>
          <w:lang w:val="sr-Cyrl-CS"/>
        </w:rPr>
        <w:t xml:space="preserve">Потенцијалне краткорочне и средњорочне могућности </w:t>
      </w:r>
    </w:p>
    <w:p w14:paraId="24AC23AD" w14:textId="43938525" w:rsidR="00660A52" w:rsidRPr="00E84C93" w:rsidRDefault="00BE1209" w:rsidP="00660A52">
      <w:pPr>
        <w:spacing w:after="0"/>
        <w:ind w:firstLine="720"/>
        <w:jc w:val="both"/>
        <w:rPr>
          <w:rFonts w:cs="Times New Roman"/>
          <w:lang w:val="sr-Cyrl-CS"/>
        </w:rPr>
      </w:pPr>
      <w:r w:rsidRPr="00E84C93">
        <w:rPr>
          <w:rFonts w:cs="Times New Roman"/>
          <w:lang w:val="sr-Cyrl-CS"/>
        </w:rPr>
        <w:t xml:space="preserve">У </w:t>
      </w:r>
      <w:r w:rsidR="00B47866" w:rsidRPr="00E84C93">
        <w:rPr>
          <w:rFonts w:cs="Times New Roman"/>
          <w:lang w:val="sr-Cyrl-CS"/>
        </w:rPr>
        <w:t>Т</w:t>
      </w:r>
      <w:r w:rsidR="00736A5C" w:rsidRPr="00E84C93">
        <w:rPr>
          <w:rFonts w:cs="Times New Roman"/>
          <w:lang w:val="sr-Cyrl-CS"/>
        </w:rPr>
        <w:t>абели</w:t>
      </w:r>
      <w:r w:rsidRPr="00E84C93">
        <w:rPr>
          <w:rFonts w:cs="Times New Roman"/>
          <w:lang w:val="sr-Cyrl-CS"/>
        </w:rPr>
        <w:t xml:space="preserve"> </w:t>
      </w:r>
      <w:bookmarkStart w:id="100" w:name="_Hlk94994481"/>
      <w:r w:rsidR="002B01E5" w:rsidRPr="00E84C93">
        <w:rPr>
          <w:rFonts w:cs="Times New Roman"/>
          <w:lang w:val="sr-Cyrl-CS"/>
        </w:rPr>
        <w:t xml:space="preserve">6.4. </w:t>
      </w:r>
      <w:r w:rsidRPr="00E84C93">
        <w:rPr>
          <w:rFonts w:cs="Times New Roman"/>
          <w:lang w:val="sr-Cyrl-CS"/>
        </w:rPr>
        <w:t xml:space="preserve">приказане су потенцијалне краткорочне и/или средњорочне могућности управљања муљем, а које су идентификоване за постројења </w:t>
      </w:r>
      <w:r w:rsidR="0016531B" w:rsidRPr="00E84C93">
        <w:rPr>
          <w:rFonts w:cs="Times New Roman"/>
          <w:lang w:val="sr-Cyrl-CS"/>
        </w:rPr>
        <w:t>за пречишћавање отпадних вода</w:t>
      </w:r>
      <w:r w:rsidRPr="00E84C93">
        <w:rPr>
          <w:rFonts w:cs="Times New Roman"/>
          <w:lang w:val="sr-Cyrl-CS"/>
        </w:rPr>
        <w:t xml:space="preserve"> која се налазе у Шумадији и </w:t>
      </w:r>
      <w:r w:rsidR="00DA5B44" w:rsidRPr="00E84C93">
        <w:rPr>
          <w:rFonts w:cs="Times New Roman"/>
          <w:lang w:val="sr-Cyrl-CS"/>
        </w:rPr>
        <w:t>З</w:t>
      </w:r>
      <w:r w:rsidRPr="00E84C93">
        <w:rPr>
          <w:rFonts w:cs="Times New Roman"/>
          <w:lang w:val="sr-Cyrl-CS"/>
        </w:rPr>
        <w:t>ападној Србији и које су предложене за имплементацију у периоду спровођења Програма</w:t>
      </w:r>
      <w:bookmarkEnd w:id="100"/>
      <w:r w:rsidRPr="00E84C93">
        <w:rPr>
          <w:rFonts w:cs="Times New Roman"/>
          <w:lang w:val="sr-Cyrl-CS"/>
        </w:rPr>
        <w:t xml:space="preserve">. </w:t>
      </w:r>
      <w:r w:rsidR="00854F2E" w:rsidRPr="00E84C93">
        <w:rPr>
          <w:rFonts w:cs="Times New Roman"/>
          <w:lang w:val="sr-Cyrl-CS"/>
        </w:rPr>
        <w:t>П</w:t>
      </w:r>
      <w:r w:rsidRPr="00E84C93">
        <w:rPr>
          <w:rFonts w:cs="Times New Roman"/>
          <w:lang w:val="sr-Cyrl-CS"/>
        </w:rPr>
        <w:t xml:space="preserve">рименљивост ових опција зависи од </w:t>
      </w:r>
      <w:r w:rsidRPr="00E84C93">
        <w:rPr>
          <w:rFonts w:cs="Times New Roman"/>
          <w:lang w:val="sr-Cyrl-CS"/>
        </w:rPr>
        <w:lastRenderedPageBreak/>
        <w:t>превазилажења правних, административних и институционалних ограничења</w:t>
      </w:r>
      <w:r w:rsidR="00660A52" w:rsidRPr="00E84C93">
        <w:rPr>
          <w:rFonts w:cs="Times New Roman"/>
          <w:lang w:val="sr-Cyrl-CS"/>
        </w:rPr>
        <w:t xml:space="preserve"> и анализе могућности примене у пољопривреди.</w:t>
      </w:r>
    </w:p>
    <w:bookmarkEnd w:id="99"/>
    <w:p w14:paraId="3AEF7972" w14:textId="77777777" w:rsidR="00BE1209" w:rsidRPr="00E84C93" w:rsidRDefault="00BE1209" w:rsidP="00702D2B">
      <w:pPr>
        <w:spacing w:after="0"/>
        <w:jc w:val="both"/>
        <w:rPr>
          <w:rFonts w:cs="Times New Roman"/>
          <w:lang w:val="sr-Cyrl-CS"/>
        </w:rPr>
      </w:pPr>
    </w:p>
    <w:p w14:paraId="3D83DD8A" w14:textId="194011A9" w:rsidR="00BE1209" w:rsidRPr="00E84C93" w:rsidRDefault="00BE1209" w:rsidP="00BE1209">
      <w:pPr>
        <w:keepNext/>
        <w:tabs>
          <w:tab w:val="left" w:pos="992"/>
          <w:tab w:val="left" w:pos="3119"/>
        </w:tabs>
        <w:spacing w:after="60"/>
        <w:rPr>
          <w:iCs/>
          <w:szCs w:val="24"/>
          <w:lang w:val="sr-Cyrl-CS" w:eastAsia="de-DE"/>
        </w:rPr>
      </w:pPr>
      <w:r w:rsidRPr="00E84C93">
        <w:rPr>
          <w:b/>
          <w:bCs/>
          <w:iCs/>
          <w:szCs w:val="24"/>
          <w:lang w:val="sr-Cyrl-CS"/>
        </w:rPr>
        <w:t>Табела</w:t>
      </w:r>
      <w:r w:rsidR="00A061AD" w:rsidRPr="00E84C93">
        <w:rPr>
          <w:b/>
          <w:bCs/>
          <w:iCs/>
          <w:szCs w:val="24"/>
          <w:lang w:val="sr-Cyrl-CS"/>
        </w:rPr>
        <w:t xml:space="preserve"> </w:t>
      </w:r>
      <w:r w:rsidR="00BE348C" w:rsidRPr="00E84C93">
        <w:rPr>
          <w:b/>
          <w:bCs/>
          <w:iCs/>
          <w:szCs w:val="24"/>
          <w:lang w:val="sr-Cyrl-CS"/>
        </w:rPr>
        <w:t>6</w:t>
      </w:r>
      <w:r w:rsidR="00A061AD" w:rsidRPr="00E84C93">
        <w:rPr>
          <w:b/>
          <w:bCs/>
          <w:iCs/>
          <w:szCs w:val="24"/>
          <w:lang w:val="sr-Cyrl-CS"/>
        </w:rPr>
        <w:t>.4.</w:t>
      </w:r>
      <w:r w:rsidRPr="00E84C93">
        <w:rPr>
          <w:iCs/>
          <w:szCs w:val="24"/>
          <w:lang w:val="sr-Cyrl-CS"/>
        </w:rPr>
        <w:t xml:space="preserve"> Краткорочне и средњорочне могућности одлагања и употребе муља за постројења </w:t>
      </w:r>
      <w:r w:rsidR="0016531B" w:rsidRPr="00E84C93">
        <w:rPr>
          <w:iCs/>
          <w:szCs w:val="24"/>
          <w:lang w:val="sr-Cyrl-CS"/>
        </w:rPr>
        <w:t>за пречишћавање отпадних вода</w:t>
      </w:r>
      <w:r w:rsidRPr="00E84C93">
        <w:rPr>
          <w:iCs/>
          <w:szCs w:val="24"/>
          <w:lang w:val="sr-Cyrl-CS"/>
        </w:rPr>
        <w:t xml:space="preserve"> у Шумадији и </w:t>
      </w:r>
      <w:r w:rsidR="00DA5B44" w:rsidRPr="00E84C93">
        <w:rPr>
          <w:iCs/>
          <w:szCs w:val="24"/>
          <w:lang w:val="sr-Cyrl-CS"/>
        </w:rPr>
        <w:t>З</w:t>
      </w:r>
      <w:r w:rsidRPr="00E84C93">
        <w:rPr>
          <w:iCs/>
          <w:szCs w:val="24"/>
          <w:lang w:val="sr-Cyrl-CS"/>
        </w:rPr>
        <w:t xml:space="preserve">ападној Србији </w:t>
      </w:r>
    </w:p>
    <w:tbl>
      <w:tblPr>
        <w:tblW w:w="9390" w:type="dxa"/>
        <w:tblInd w:w="55" w:type="dxa"/>
        <w:tblCellMar>
          <w:left w:w="70" w:type="dxa"/>
          <w:right w:w="70" w:type="dxa"/>
        </w:tblCellMar>
        <w:tblLook w:val="04A0" w:firstRow="1" w:lastRow="0" w:firstColumn="1" w:lastColumn="0" w:noHBand="0" w:noVBand="1"/>
      </w:tblPr>
      <w:tblGrid>
        <w:gridCol w:w="1186"/>
        <w:gridCol w:w="1724"/>
        <w:gridCol w:w="1066"/>
        <w:gridCol w:w="1634"/>
        <w:gridCol w:w="1492"/>
        <w:gridCol w:w="2288"/>
      </w:tblGrid>
      <w:tr w:rsidR="005321FF" w:rsidRPr="00E84C93" w14:paraId="6271F058" w14:textId="77777777" w:rsidTr="00BC2D3F">
        <w:trPr>
          <w:trHeight w:val="1448"/>
          <w:tblHeader/>
        </w:trPr>
        <w:tc>
          <w:tcPr>
            <w:tcW w:w="11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06D6C91C" w14:textId="77777777" w:rsidR="005321FF" w:rsidRPr="00E84C93" w:rsidRDefault="005321FF" w:rsidP="005321FF">
            <w:pPr>
              <w:spacing w:after="0"/>
              <w:rPr>
                <w:rFonts w:cs="Times New Roman"/>
                <w:b/>
                <w:sz w:val="22"/>
                <w:lang w:val="sr-Cyrl-CS" w:eastAsia="de-DE"/>
              </w:rPr>
            </w:pPr>
            <w:r w:rsidRPr="00E84C93">
              <w:rPr>
                <w:rFonts w:cs="Times New Roman"/>
                <w:b/>
                <w:sz w:val="22"/>
                <w:lang w:val="sr-Cyrl-CS" w:eastAsia="de-DE"/>
              </w:rPr>
              <w:t>Град</w:t>
            </w:r>
          </w:p>
        </w:tc>
        <w:tc>
          <w:tcPr>
            <w:tcW w:w="1724"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78EDDFB4" w14:textId="4E44BC6E" w:rsidR="005321FF" w:rsidRPr="00E84C93" w:rsidRDefault="005321FF" w:rsidP="00BC2D3F">
            <w:pPr>
              <w:spacing w:after="0"/>
              <w:jc w:val="center"/>
              <w:rPr>
                <w:rFonts w:cs="Times New Roman"/>
                <w:b/>
                <w:sz w:val="22"/>
                <w:lang w:val="sr-Cyrl-CS" w:eastAsia="de-DE"/>
              </w:rPr>
            </w:pPr>
            <w:r w:rsidRPr="00E84C93">
              <w:rPr>
                <w:rFonts w:cs="Times New Roman"/>
                <w:b/>
                <w:sz w:val="22"/>
                <w:lang w:val="sr-Cyrl-CS" w:eastAsia="de-DE"/>
              </w:rPr>
              <w:t xml:space="preserve">Пројектовани капацитет </w:t>
            </w:r>
            <w:r w:rsidRPr="00E84C93">
              <w:rPr>
                <w:rFonts w:cs="Times New Roman"/>
                <w:b/>
                <w:sz w:val="22"/>
                <w:lang w:val="sr-Cyrl-CS" w:bidi="en-US"/>
              </w:rPr>
              <w:t>постројења за пречишћавање отпадних вода (ЕС)</w:t>
            </w:r>
            <w:r w:rsidRPr="00E84C93">
              <w:rPr>
                <w:rFonts w:cs="Times New Roman"/>
                <w:bCs/>
                <w:sz w:val="22"/>
                <w:lang w:val="sr-Cyrl-CS" w:eastAsia="de-DE"/>
              </w:rPr>
              <w:t xml:space="preserve"> </w:t>
            </w:r>
          </w:p>
        </w:tc>
        <w:tc>
          <w:tcPr>
            <w:tcW w:w="106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8AC06DB" w14:textId="12036D8A" w:rsidR="005321FF" w:rsidRPr="00E84C93" w:rsidRDefault="005321FF" w:rsidP="005321FF">
            <w:pPr>
              <w:spacing w:after="0"/>
              <w:jc w:val="center"/>
              <w:rPr>
                <w:rFonts w:cs="Times New Roman"/>
                <w:b/>
                <w:sz w:val="22"/>
                <w:lang w:val="sr-Cyrl-CS" w:eastAsia="de-DE"/>
              </w:rPr>
            </w:pPr>
            <w:r w:rsidRPr="00E84C93">
              <w:rPr>
                <w:rFonts w:cs="Times New Roman"/>
                <w:b/>
                <w:sz w:val="22"/>
                <w:lang w:val="sr-Cyrl-CS" w:eastAsia="de-DE"/>
              </w:rPr>
              <w:t>Година пуштања у рад</w:t>
            </w:r>
          </w:p>
        </w:tc>
        <w:tc>
          <w:tcPr>
            <w:tcW w:w="1634" w:type="dxa"/>
            <w:tcBorders>
              <w:top w:val="single" w:sz="4" w:space="0" w:color="auto"/>
              <w:left w:val="nil"/>
              <w:bottom w:val="single" w:sz="4" w:space="0" w:color="auto"/>
              <w:right w:val="nil"/>
            </w:tcBorders>
            <w:shd w:val="clear" w:color="auto" w:fill="BDD6EE" w:themeFill="accent1" w:themeFillTint="66"/>
            <w:vAlign w:val="center"/>
            <w:hideMark/>
          </w:tcPr>
          <w:p w14:paraId="5A8FF32C" w14:textId="6824D7BE" w:rsidR="005321FF" w:rsidRPr="00E84C93" w:rsidRDefault="005321FF" w:rsidP="005321FF">
            <w:pPr>
              <w:spacing w:after="0"/>
              <w:jc w:val="center"/>
              <w:rPr>
                <w:rFonts w:cs="Times New Roman"/>
                <w:b/>
                <w:sz w:val="22"/>
                <w:lang w:val="sr-Cyrl-CS" w:eastAsia="de-DE"/>
              </w:rPr>
            </w:pPr>
            <w:r w:rsidRPr="00E84C93">
              <w:rPr>
                <w:rFonts w:cs="Times New Roman"/>
                <w:b/>
                <w:sz w:val="22"/>
                <w:lang w:val="sr-Cyrl-CS" w:eastAsia="de-DE"/>
              </w:rPr>
              <w:t>Захтев у погледу садржаја суве материје (%)</w:t>
            </w:r>
          </w:p>
        </w:tc>
        <w:tc>
          <w:tcPr>
            <w:tcW w:w="14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F70C33D" w14:textId="7C9A023B" w:rsidR="005321FF" w:rsidRPr="00E84C93" w:rsidRDefault="005321FF" w:rsidP="005321FF">
            <w:pPr>
              <w:spacing w:after="0"/>
              <w:jc w:val="center"/>
              <w:rPr>
                <w:rFonts w:cs="Times New Roman"/>
                <w:b/>
                <w:sz w:val="22"/>
                <w:lang w:val="sr-Cyrl-CS" w:eastAsia="de-DE"/>
              </w:rPr>
            </w:pPr>
            <w:r w:rsidRPr="00E84C93">
              <w:rPr>
                <w:rFonts w:cs="Times New Roman"/>
                <w:b/>
                <w:sz w:val="22"/>
                <w:lang w:val="sr-Cyrl-CS" w:eastAsia="de-DE"/>
              </w:rPr>
              <w:t>Количина и садржај суве материје</w:t>
            </w:r>
          </w:p>
        </w:tc>
        <w:tc>
          <w:tcPr>
            <w:tcW w:w="228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3FED65A" w14:textId="77777777" w:rsidR="005321FF" w:rsidRPr="00E84C93" w:rsidRDefault="005321FF" w:rsidP="005321FF">
            <w:pPr>
              <w:spacing w:after="0"/>
              <w:jc w:val="center"/>
              <w:rPr>
                <w:rFonts w:cs="Times New Roman"/>
                <w:b/>
                <w:sz w:val="22"/>
                <w:lang w:val="sr-Cyrl-CS" w:eastAsia="de-DE"/>
              </w:rPr>
            </w:pPr>
            <w:r w:rsidRPr="00E84C93">
              <w:rPr>
                <w:rFonts w:cs="Times New Roman"/>
                <w:b/>
                <w:sz w:val="22"/>
                <w:lang w:val="sr-Cyrl-CS" w:eastAsia="de-DE"/>
              </w:rPr>
              <w:t>Могућности одлагања/употребе</w:t>
            </w:r>
          </w:p>
        </w:tc>
      </w:tr>
      <w:tr w:rsidR="00BE1209" w:rsidRPr="00E84C93" w14:paraId="1BC30AB1" w14:textId="77777777" w:rsidTr="00BC2D3F">
        <w:trPr>
          <w:trHeight w:val="300"/>
        </w:trPr>
        <w:tc>
          <w:tcPr>
            <w:tcW w:w="1186" w:type="dxa"/>
            <w:tcBorders>
              <w:top w:val="nil"/>
              <w:left w:val="single" w:sz="4" w:space="0" w:color="auto"/>
              <w:bottom w:val="single" w:sz="4" w:space="0" w:color="auto"/>
              <w:right w:val="single" w:sz="4" w:space="0" w:color="auto"/>
            </w:tcBorders>
            <w:shd w:val="clear" w:color="auto" w:fill="auto"/>
            <w:noWrap/>
            <w:vAlign w:val="center"/>
          </w:tcPr>
          <w:p w14:paraId="1AEC928A" w14:textId="77777777"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Шабац</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E8217"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84.000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14:paraId="27916A8C" w14:textId="50D1E856"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2017</w:t>
            </w:r>
            <w:r w:rsidR="00C43184" w:rsidRPr="00E84C93">
              <w:rPr>
                <w:rFonts w:cs="Times New Roman"/>
                <w:bCs/>
                <w:color w:val="000000"/>
                <w:sz w:val="22"/>
                <w:lang w:val="sr-Cyrl-CS" w:eastAsia="de-DE"/>
              </w:rPr>
              <w:t>.</w:t>
            </w:r>
          </w:p>
        </w:tc>
        <w:tc>
          <w:tcPr>
            <w:tcW w:w="1634" w:type="dxa"/>
            <w:tcBorders>
              <w:top w:val="single" w:sz="4" w:space="0" w:color="auto"/>
              <w:left w:val="nil"/>
              <w:bottom w:val="single" w:sz="4" w:space="0" w:color="auto"/>
              <w:right w:val="single" w:sz="4" w:space="0" w:color="auto"/>
            </w:tcBorders>
            <w:shd w:val="clear" w:color="auto" w:fill="auto"/>
            <w:vAlign w:val="center"/>
          </w:tcPr>
          <w:p w14:paraId="10B14D90" w14:textId="4C213632"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биће утврђено</w:t>
            </w:r>
          </w:p>
        </w:tc>
        <w:tc>
          <w:tcPr>
            <w:tcW w:w="1492" w:type="dxa"/>
            <w:tcBorders>
              <w:top w:val="nil"/>
              <w:left w:val="nil"/>
              <w:bottom w:val="single" w:sz="4" w:space="0" w:color="auto"/>
              <w:right w:val="single" w:sz="4" w:space="0" w:color="auto"/>
            </w:tcBorders>
            <w:shd w:val="clear" w:color="auto" w:fill="auto"/>
            <w:vAlign w:val="center"/>
          </w:tcPr>
          <w:p w14:paraId="7CF93DFA" w14:textId="0824CCA9"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4.500 </w:t>
            </w:r>
            <w:r w:rsidR="00044C5A"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са</w:t>
            </w:r>
            <w:r w:rsidRPr="00E84C93">
              <w:rPr>
                <w:rFonts w:cs="Times New Roman"/>
                <w:bCs/>
                <w:color w:val="000000"/>
                <w:sz w:val="22"/>
                <w:lang w:val="sr-Cyrl-CS" w:eastAsia="de-DE"/>
              </w:rPr>
              <w:t xml:space="preserve"> 26%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tcPr>
          <w:p w14:paraId="00CB8BE9" w14:textId="0A01CAA8" w:rsidR="00BE1209" w:rsidRPr="00E84C93" w:rsidRDefault="00BE1209" w:rsidP="00064A97">
            <w:pPr>
              <w:spacing w:after="0"/>
              <w:rPr>
                <w:rFonts w:cs="Times New Roman"/>
                <w:bCs/>
                <w:color w:val="000000"/>
                <w:sz w:val="22"/>
                <w:lang w:val="sr-Cyrl-CS" w:eastAsia="de-DE"/>
              </w:rPr>
            </w:pPr>
            <w:r w:rsidRPr="00E84C93">
              <w:rPr>
                <w:rFonts w:cs="Times New Roman"/>
                <w:sz w:val="22"/>
                <w:lang w:val="sr-Cyrl-CS"/>
              </w:rPr>
              <w:t xml:space="preserve">Депонија </w:t>
            </w:r>
            <w:r w:rsidR="00F51ED7" w:rsidRPr="00E84C93">
              <w:rPr>
                <w:rFonts w:cs="Times New Roman"/>
                <w:sz w:val="22"/>
                <w:lang w:val="sr-Cyrl-CS"/>
              </w:rPr>
              <w:t>у</w:t>
            </w:r>
            <w:r w:rsidRPr="00E84C93">
              <w:rPr>
                <w:rFonts w:cs="Times New Roman"/>
                <w:sz w:val="22"/>
                <w:lang w:val="sr-Cyrl-CS"/>
              </w:rPr>
              <w:t xml:space="preserve"> Јагодин</w:t>
            </w:r>
            <w:r w:rsidR="00F51ED7" w:rsidRPr="00E84C93">
              <w:rPr>
                <w:rFonts w:cs="Times New Roman"/>
                <w:sz w:val="22"/>
                <w:lang w:val="sr-Cyrl-CS"/>
              </w:rPr>
              <w:t>и</w:t>
            </w:r>
          </w:p>
        </w:tc>
      </w:tr>
      <w:tr w:rsidR="00BE1209" w:rsidRPr="00E84C93" w14:paraId="25AF1502" w14:textId="77777777" w:rsidTr="00BC2D3F">
        <w:trPr>
          <w:trHeight w:val="300"/>
        </w:trPr>
        <w:tc>
          <w:tcPr>
            <w:tcW w:w="1186" w:type="dxa"/>
            <w:tcBorders>
              <w:top w:val="nil"/>
              <w:left w:val="single" w:sz="4" w:space="0" w:color="auto"/>
              <w:bottom w:val="single" w:sz="4" w:space="0" w:color="auto"/>
              <w:right w:val="single" w:sz="4" w:space="0" w:color="auto"/>
            </w:tcBorders>
            <w:shd w:val="clear" w:color="auto" w:fill="auto"/>
            <w:noWrap/>
            <w:vAlign w:val="center"/>
          </w:tcPr>
          <w:p w14:paraId="247DDFC0" w14:textId="77777777" w:rsidR="00BE1209" w:rsidRPr="00E84C93" w:rsidRDefault="00BE1209" w:rsidP="00064A97">
            <w:pPr>
              <w:spacing w:after="0"/>
              <w:rPr>
                <w:rFonts w:cs="Times New Roman"/>
                <w:bCs/>
                <w:color w:val="000000"/>
                <w:sz w:val="22"/>
                <w:lang w:val="sr-Cyrl-CS" w:eastAsia="de-DE"/>
              </w:rPr>
            </w:pPr>
            <w:r w:rsidRPr="00E84C93">
              <w:rPr>
                <w:rFonts w:cs="Times New Roman"/>
                <w:sz w:val="22"/>
                <w:lang w:val="sr-Cyrl-CS"/>
              </w:rPr>
              <w:t>Рашка</w:t>
            </w:r>
          </w:p>
        </w:tc>
        <w:tc>
          <w:tcPr>
            <w:tcW w:w="1724" w:type="dxa"/>
            <w:tcBorders>
              <w:top w:val="nil"/>
              <w:left w:val="single" w:sz="4" w:space="0" w:color="auto"/>
              <w:bottom w:val="single" w:sz="4" w:space="0" w:color="auto"/>
              <w:right w:val="single" w:sz="4" w:space="0" w:color="auto"/>
            </w:tcBorders>
            <w:shd w:val="clear" w:color="auto" w:fill="auto"/>
            <w:noWrap/>
            <w:vAlign w:val="center"/>
          </w:tcPr>
          <w:p w14:paraId="0BFD979E"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16.000</w:t>
            </w:r>
          </w:p>
        </w:tc>
        <w:tc>
          <w:tcPr>
            <w:tcW w:w="1066" w:type="dxa"/>
            <w:tcBorders>
              <w:top w:val="nil"/>
              <w:left w:val="single" w:sz="4" w:space="0" w:color="auto"/>
              <w:bottom w:val="single" w:sz="4" w:space="0" w:color="auto"/>
              <w:right w:val="single" w:sz="4" w:space="0" w:color="auto"/>
            </w:tcBorders>
            <w:shd w:val="clear" w:color="auto" w:fill="auto"/>
            <w:vAlign w:val="center"/>
          </w:tcPr>
          <w:p w14:paraId="1AAE2F7A" w14:textId="498BF14C"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2021</w:t>
            </w:r>
            <w:r w:rsidR="006F55C9" w:rsidRPr="00E84C93">
              <w:rPr>
                <w:rFonts w:cs="Times New Roman"/>
                <w:bCs/>
                <w:color w:val="000000"/>
                <w:sz w:val="22"/>
                <w:lang w:val="sr-Cyrl-CS" w:eastAsia="de-DE"/>
              </w:rPr>
              <w:t>.</w:t>
            </w:r>
          </w:p>
        </w:tc>
        <w:tc>
          <w:tcPr>
            <w:tcW w:w="1634" w:type="dxa"/>
            <w:tcBorders>
              <w:top w:val="nil"/>
              <w:left w:val="nil"/>
              <w:bottom w:val="single" w:sz="4" w:space="0" w:color="auto"/>
              <w:right w:val="single" w:sz="4" w:space="0" w:color="auto"/>
            </w:tcBorders>
            <w:shd w:val="clear" w:color="auto" w:fill="auto"/>
            <w:vAlign w:val="center"/>
          </w:tcPr>
          <w:p w14:paraId="27601774" w14:textId="77777777" w:rsidR="00BE1209" w:rsidRPr="00E84C93" w:rsidRDefault="00BE1209" w:rsidP="00064A97">
            <w:pPr>
              <w:spacing w:after="0"/>
              <w:jc w:val="center"/>
              <w:rPr>
                <w:rFonts w:cs="Times New Roman"/>
                <w:bCs/>
                <w:color w:val="000000"/>
                <w:sz w:val="22"/>
                <w:lang w:val="sr-Cyrl-CS" w:eastAsia="de-DE"/>
              </w:rPr>
            </w:pPr>
          </w:p>
        </w:tc>
        <w:tc>
          <w:tcPr>
            <w:tcW w:w="1492" w:type="dxa"/>
            <w:tcBorders>
              <w:top w:val="nil"/>
              <w:left w:val="nil"/>
              <w:bottom w:val="single" w:sz="4" w:space="0" w:color="auto"/>
              <w:right w:val="single" w:sz="4" w:space="0" w:color="auto"/>
            </w:tcBorders>
            <w:shd w:val="clear" w:color="auto" w:fill="auto"/>
            <w:vAlign w:val="center"/>
          </w:tcPr>
          <w:p w14:paraId="2C707AD8" w14:textId="7F9A3556"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1.200 </w:t>
            </w:r>
            <w:r w:rsidR="00044C5A" w:rsidRPr="00E84C93">
              <w:rPr>
                <w:rFonts w:cs="Times New Roman"/>
                <w:bCs/>
                <w:color w:val="000000"/>
                <w:sz w:val="22"/>
                <w:lang w:val="sr-Cyrl-CS" w:eastAsia="de-DE"/>
              </w:rPr>
              <w:t>t/год.</w:t>
            </w:r>
          </w:p>
        </w:tc>
        <w:tc>
          <w:tcPr>
            <w:tcW w:w="2288" w:type="dxa"/>
            <w:tcBorders>
              <w:top w:val="nil"/>
              <w:left w:val="nil"/>
              <w:bottom w:val="single" w:sz="4" w:space="0" w:color="auto"/>
              <w:right w:val="single" w:sz="4" w:space="0" w:color="auto"/>
            </w:tcBorders>
            <w:shd w:val="clear" w:color="auto" w:fill="auto"/>
            <w:vAlign w:val="center"/>
          </w:tcPr>
          <w:p w14:paraId="72258D6A" w14:textId="77777777" w:rsidR="00BE1209" w:rsidRPr="00E84C93" w:rsidRDefault="00BE1209" w:rsidP="00064A97">
            <w:pPr>
              <w:spacing w:after="0"/>
              <w:rPr>
                <w:rFonts w:cs="Times New Roman"/>
                <w:bCs/>
                <w:color w:val="000000"/>
                <w:sz w:val="22"/>
                <w:lang w:val="sr-Cyrl-CS" w:eastAsia="de-DE"/>
              </w:rPr>
            </w:pPr>
            <w:r w:rsidRPr="00E84C93">
              <w:rPr>
                <w:rFonts w:cs="Times New Roman"/>
                <w:color w:val="000000"/>
                <w:sz w:val="22"/>
                <w:lang w:val="sr-Cyrl-CS"/>
              </w:rPr>
              <w:t>Депонија Рашка</w:t>
            </w:r>
          </w:p>
        </w:tc>
      </w:tr>
      <w:tr w:rsidR="00BE1209" w:rsidRPr="00E84C93" w14:paraId="3B6A08CC" w14:textId="77777777" w:rsidTr="00BC2D3F">
        <w:trPr>
          <w:trHeight w:val="300"/>
        </w:trPr>
        <w:tc>
          <w:tcPr>
            <w:tcW w:w="1186" w:type="dxa"/>
            <w:tcBorders>
              <w:top w:val="nil"/>
              <w:left w:val="single" w:sz="4" w:space="0" w:color="auto"/>
              <w:bottom w:val="single" w:sz="4" w:space="0" w:color="auto"/>
              <w:right w:val="single" w:sz="4" w:space="0" w:color="auto"/>
            </w:tcBorders>
            <w:shd w:val="clear" w:color="auto" w:fill="auto"/>
            <w:noWrap/>
            <w:vAlign w:val="center"/>
          </w:tcPr>
          <w:p w14:paraId="48C5A267" w14:textId="77777777" w:rsidR="00BE1209" w:rsidRPr="00E84C93" w:rsidRDefault="00BE1209" w:rsidP="00064A97">
            <w:pPr>
              <w:spacing w:after="0"/>
              <w:rPr>
                <w:rFonts w:cs="Times New Roman"/>
                <w:sz w:val="22"/>
                <w:lang w:val="sr-Cyrl-CS"/>
              </w:rPr>
            </w:pPr>
            <w:r w:rsidRPr="00E84C93">
              <w:rPr>
                <w:rFonts w:cs="Times New Roman"/>
                <w:sz w:val="22"/>
                <w:lang w:val="sr-Cyrl-CS"/>
              </w:rPr>
              <w:t>Крушевац</w:t>
            </w:r>
          </w:p>
        </w:tc>
        <w:tc>
          <w:tcPr>
            <w:tcW w:w="1724" w:type="dxa"/>
            <w:tcBorders>
              <w:top w:val="nil"/>
              <w:left w:val="single" w:sz="4" w:space="0" w:color="auto"/>
              <w:bottom w:val="single" w:sz="4" w:space="0" w:color="auto"/>
              <w:right w:val="single" w:sz="4" w:space="0" w:color="auto"/>
            </w:tcBorders>
            <w:shd w:val="clear" w:color="auto" w:fill="auto"/>
            <w:noWrap/>
            <w:vAlign w:val="center"/>
          </w:tcPr>
          <w:p w14:paraId="60F4177E"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90.000</w:t>
            </w:r>
          </w:p>
        </w:tc>
        <w:tc>
          <w:tcPr>
            <w:tcW w:w="1066" w:type="dxa"/>
            <w:tcBorders>
              <w:top w:val="nil"/>
              <w:left w:val="single" w:sz="4" w:space="0" w:color="auto"/>
              <w:bottom w:val="single" w:sz="4" w:space="0" w:color="auto"/>
              <w:right w:val="single" w:sz="4" w:space="0" w:color="auto"/>
            </w:tcBorders>
            <w:shd w:val="clear" w:color="auto" w:fill="auto"/>
            <w:vAlign w:val="center"/>
          </w:tcPr>
          <w:p w14:paraId="0F3620F5" w14:textId="18B4DF6E"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2021</w:t>
            </w:r>
            <w:r w:rsidR="006F55C9" w:rsidRPr="00E84C93">
              <w:rPr>
                <w:rFonts w:cs="Times New Roman"/>
                <w:bCs/>
                <w:color w:val="000000"/>
                <w:sz w:val="22"/>
                <w:lang w:val="sr-Cyrl-CS" w:eastAsia="de-DE"/>
              </w:rPr>
              <w:t>.</w:t>
            </w:r>
          </w:p>
        </w:tc>
        <w:tc>
          <w:tcPr>
            <w:tcW w:w="1634" w:type="dxa"/>
            <w:tcBorders>
              <w:top w:val="nil"/>
              <w:left w:val="nil"/>
              <w:bottom w:val="single" w:sz="4" w:space="0" w:color="auto"/>
              <w:right w:val="single" w:sz="4" w:space="0" w:color="auto"/>
            </w:tcBorders>
            <w:shd w:val="clear" w:color="auto" w:fill="auto"/>
            <w:vAlign w:val="center"/>
          </w:tcPr>
          <w:p w14:paraId="2A9B04DD" w14:textId="77777777" w:rsidR="00BE1209" w:rsidRPr="00E84C93" w:rsidRDefault="00BE1209" w:rsidP="00064A97">
            <w:pPr>
              <w:spacing w:after="0"/>
              <w:jc w:val="center"/>
              <w:rPr>
                <w:rFonts w:cs="Times New Roman"/>
                <w:bCs/>
                <w:color w:val="000000"/>
                <w:sz w:val="22"/>
                <w:lang w:val="sr-Cyrl-CS" w:eastAsia="de-DE"/>
              </w:rPr>
            </w:pPr>
          </w:p>
        </w:tc>
        <w:tc>
          <w:tcPr>
            <w:tcW w:w="1492" w:type="dxa"/>
            <w:tcBorders>
              <w:top w:val="nil"/>
              <w:left w:val="nil"/>
              <w:bottom w:val="single" w:sz="4" w:space="0" w:color="auto"/>
              <w:right w:val="single" w:sz="4" w:space="0" w:color="auto"/>
            </w:tcBorders>
            <w:shd w:val="clear" w:color="auto" w:fill="auto"/>
            <w:vAlign w:val="center"/>
          </w:tcPr>
          <w:p w14:paraId="18164C0F" w14:textId="3A6AABA7"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2.600 </w:t>
            </w:r>
            <w:r w:rsidR="006F55C9" w:rsidRPr="00E84C93">
              <w:rPr>
                <w:rFonts w:cs="Times New Roman"/>
                <w:bCs/>
                <w:color w:val="000000"/>
                <w:sz w:val="22"/>
                <w:lang w:val="sr-Cyrl-CS" w:eastAsia="de-DE"/>
              </w:rPr>
              <w:t>t/год.</w:t>
            </w:r>
            <w:r w:rsidRPr="00E84C93">
              <w:rPr>
                <w:rFonts w:cs="Times New Roman"/>
                <w:bCs/>
                <w:color w:val="000000"/>
                <w:sz w:val="22"/>
                <w:lang w:val="sr-Cyrl-CS" w:eastAsia="de-DE"/>
              </w:rPr>
              <w:t xml:space="preserve">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60%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tcPr>
          <w:p w14:paraId="2A7090A6" w14:textId="3FB6DB14" w:rsidR="00BE1209" w:rsidRPr="00E84C93" w:rsidRDefault="00BE1209" w:rsidP="00064A97">
            <w:pPr>
              <w:spacing w:after="0"/>
              <w:rPr>
                <w:rFonts w:cs="Times New Roman"/>
                <w:sz w:val="20"/>
                <w:szCs w:val="20"/>
                <w:lang w:val="sr-Cyrl-CS"/>
              </w:rPr>
            </w:pPr>
            <w:r w:rsidRPr="00E84C93">
              <w:rPr>
                <w:rFonts w:cs="Times New Roman"/>
                <w:bCs/>
                <w:color w:val="000000"/>
                <w:sz w:val="20"/>
                <w:szCs w:val="20"/>
                <w:lang w:val="sr-Cyrl-CS" w:eastAsia="de-DE"/>
              </w:rPr>
              <w:t>Ко</w:t>
            </w:r>
            <w:r w:rsidR="00C43184" w:rsidRPr="00E84C93">
              <w:rPr>
                <w:rFonts w:cs="Times New Roman"/>
                <w:bCs/>
                <w:color w:val="000000"/>
                <w:sz w:val="20"/>
                <w:szCs w:val="20"/>
                <w:lang w:val="sr-Cyrl-CS" w:eastAsia="de-DE"/>
              </w:rPr>
              <w:t>инсинерација</w:t>
            </w:r>
            <w:r w:rsidRPr="00E84C93">
              <w:rPr>
                <w:rFonts w:cs="Times New Roman"/>
                <w:bCs/>
                <w:color w:val="000000"/>
                <w:sz w:val="20"/>
                <w:szCs w:val="20"/>
                <w:lang w:val="sr-Cyrl-CS" w:eastAsia="de-DE"/>
              </w:rPr>
              <w:t xml:space="preserve"> у </w:t>
            </w:r>
            <w:r w:rsidR="00A52E1A" w:rsidRPr="00E84C93">
              <w:rPr>
                <w:rFonts w:cs="Times New Roman"/>
                <w:bCs/>
                <w:color w:val="000000"/>
                <w:sz w:val="20"/>
                <w:szCs w:val="20"/>
                <w:lang w:val="sr-Cyrl-CS" w:eastAsia="de-DE"/>
              </w:rPr>
              <w:t>фабрици цемента</w:t>
            </w:r>
            <w:r w:rsidRPr="00E84C93">
              <w:rPr>
                <w:rFonts w:cs="Times New Roman"/>
                <w:bCs/>
                <w:color w:val="000000"/>
                <w:sz w:val="20"/>
                <w:szCs w:val="20"/>
                <w:lang w:val="sr-Cyrl-CS" w:eastAsia="de-DE"/>
              </w:rPr>
              <w:t xml:space="preserve"> </w:t>
            </w:r>
            <w:r w:rsidR="00F51ED7" w:rsidRPr="00E84C93">
              <w:rPr>
                <w:rFonts w:cs="Times New Roman"/>
                <w:bCs/>
                <w:color w:val="000000"/>
                <w:sz w:val="20"/>
                <w:szCs w:val="20"/>
                <w:lang w:val="sr-Cyrl-CS" w:eastAsia="de-DE"/>
              </w:rPr>
              <w:t>Моравацем</w:t>
            </w:r>
            <w:r w:rsidRPr="00E84C93">
              <w:rPr>
                <w:rFonts w:cs="Times New Roman"/>
                <w:bCs/>
                <w:color w:val="000000"/>
                <w:sz w:val="20"/>
                <w:szCs w:val="20"/>
                <w:lang w:val="sr-Cyrl-CS" w:eastAsia="de-DE"/>
              </w:rPr>
              <w:t xml:space="preserve">, Поповац </w:t>
            </w:r>
          </w:p>
        </w:tc>
      </w:tr>
      <w:tr w:rsidR="00BE1209" w:rsidRPr="00E84C93" w14:paraId="31CB1C32" w14:textId="77777777" w:rsidTr="00BC2D3F">
        <w:trPr>
          <w:trHeight w:val="300"/>
        </w:trPr>
        <w:tc>
          <w:tcPr>
            <w:tcW w:w="118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E04170" w14:textId="77777777"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Јагодина</w:t>
            </w:r>
          </w:p>
        </w:tc>
        <w:tc>
          <w:tcPr>
            <w:tcW w:w="17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3B62E4"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72.000</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14:paraId="344DB2C0" w14:textId="6DEC4B3C"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2025</w:t>
            </w:r>
            <w:r w:rsidR="006F55C9" w:rsidRPr="00E84C93">
              <w:rPr>
                <w:rFonts w:cs="Times New Roman"/>
                <w:bCs/>
                <w:color w:val="000000"/>
                <w:sz w:val="22"/>
                <w:lang w:val="sr-Cyrl-CS" w:eastAsia="de-DE"/>
              </w:rPr>
              <w:t>.</w:t>
            </w:r>
          </w:p>
        </w:tc>
        <w:tc>
          <w:tcPr>
            <w:tcW w:w="1634" w:type="dxa"/>
            <w:tcBorders>
              <w:top w:val="nil"/>
              <w:left w:val="nil"/>
              <w:bottom w:val="single" w:sz="4" w:space="0" w:color="auto"/>
              <w:right w:val="single" w:sz="4" w:space="0" w:color="auto"/>
            </w:tcBorders>
            <w:shd w:val="clear" w:color="auto" w:fill="auto"/>
            <w:vAlign w:val="center"/>
            <w:hideMark/>
          </w:tcPr>
          <w:p w14:paraId="23CF3523" w14:textId="3128F40E"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биће утврђено</w:t>
            </w:r>
          </w:p>
        </w:tc>
        <w:tc>
          <w:tcPr>
            <w:tcW w:w="1492" w:type="dxa"/>
            <w:tcBorders>
              <w:top w:val="nil"/>
              <w:left w:val="nil"/>
              <w:bottom w:val="single" w:sz="4" w:space="0" w:color="auto"/>
              <w:right w:val="single" w:sz="4" w:space="0" w:color="auto"/>
            </w:tcBorders>
            <w:shd w:val="clear" w:color="auto" w:fill="auto"/>
            <w:vAlign w:val="center"/>
            <w:hideMark/>
          </w:tcPr>
          <w:p w14:paraId="5F363AD5" w14:textId="4D358D28"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4.310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20%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3E7BE348" w14:textId="0867F785" w:rsidR="00BE1209" w:rsidRPr="00E84C93" w:rsidRDefault="00BE1209"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Материја</w:t>
            </w:r>
            <w:r w:rsidR="00C43184" w:rsidRPr="00E84C93">
              <w:rPr>
                <w:rFonts w:cs="Times New Roman"/>
                <w:bCs/>
                <w:color w:val="000000"/>
                <w:sz w:val="20"/>
                <w:szCs w:val="20"/>
                <w:lang w:val="sr-Cyrl-CS" w:eastAsia="de-DE"/>
              </w:rPr>
              <w:t>л</w:t>
            </w:r>
            <w:r w:rsidRPr="00E84C93">
              <w:rPr>
                <w:rFonts w:cs="Times New Roman"/>
                <w:bCs/>
                <w:color w:val="000000"/>
                <w:sz w:val="20"/>
                <w:szCs w:val="20"/>
                <w:lang w:val="sr-Cyrl-CS" w:eastAsia="de-DE"/>
              </w:rPr>
              <w:t xml:space="preserve"> за прекривање депоније </w:t>
            </w:r>
            <w:r w:rsidR="00F51ED7" w:rsidRPr="00E84C93">
              <w:rPr>
                <w:rFonts w:cs="Times New Roman"/>
                <w:bCs/>
                <w:color w:val="000000"/>
                <w:sz w:val="20"/>
                <w:szCs w:val="20"/>
                <w:lang w:val="sr-Cyrl-CS" w:eastAsia="de-DE"/>
              </w:rPr>
              <w:t>у Јагодини</w:t>
            </w:r>
            <w:r w:rsidRPr="00E84C93">
              <w:rPr>
                <w:rFonts w:cs="Times New Roman"/>
                <w:bCs/>
                <w:color w:val="000000"/>
                <w:sz w:val="20"/>
                <w:szCs w:val="20"/>
                <w:lang w:val="sr-Cyrl-CS" w:eastAsia="de-DE"/>
              </w:rPr>
              <w:t xml:space="preserve"> </w:t>
            </w:r>
          </w:p>
        </w:tc>
      </w:tr>
      <w:tr w:rsidR="00BE1209" w:rsidRPr="00E84C93" w14:paraId="2468E418" w14:textId="77777777" w:rsidTr="00BC2D3F">
        <w:trPr>
          <w:trHeight w:val="300"/>
        </w:trPr>
        <w:tc>
          <w:tcPr>
            <w:tcW w:w="1186" w:type="dxa"/>
            <w:vMerge/>
            <w:tcBorders>
              <w:top w:val="nil"/>
              <w:left w:val="single" w:sz="4" w:space="0" w:color="auto"/>
              <w:bottom w:val="single" w:sz="4" w:space="0" w:color="auto"/>
              <w:right w:val="single" w:sz="4" w:space="0" w:color="auto"/>
            </w:tcBorders>
            <w:vAlign w:val="center"/>
            <w:hideMark/>
          </w:tcPr>
          <w:p w14:paraId="5805783D" w14:textId="77777777" w:rsidR="00BE1209" w:rsidRPr="00E84C93" w:rsidRDefault="00BE1209" w:rsidP="00064A97">
            <w:pPr>
              <w:spacing w:after="0"/>
              <w:rPr>
                <w:rFonts w:cs="Times New Roman"/>
                <w:bCs/>
                <w:color w:val="000000"/>
                <w:sz w:val="22"/>
                <w:lang w:val="sr-Cyrl-CS" w:eastAsia="de-DE"/>
              </w:rPr>
            </w:pPr>
          </w:p>
        </w:tc>
        <w:tc>
          <w:tcPr>
            <w:tcW w:w="1724" w:type="dxa"/>
            <w:vMerge/>
            <w:tcBorders>
              <w:top w:val="nil"/>
              <w:left w:val="single" w:sz="4" w:space="0" w:color="auto"/>
              <w:bottom w:val="single" w:sz="4" w:space="0" w:color="auto"/>
              <w:right w:val="single" w:sz="4" w:space="0" w:color="auto"/>
            </w:tcBorders>
            <w:vAlign w:val="center"/>
            <w:hideMark/>
          </w:tcPr>
          <w:p w14:paraId="64E2A056" w14:textId="77777777" w:rsidR="00BE1209" w:rsidRPr="00E84C93" w:rsidRDefault="00BE1209" w:rsidP="00064A97">
            <w:pPr>
              <w:spacing w:after="0"/>
              <w:rPr>
                <w:rFonts w:cs="Times New Roman"/>
                <w:bCs/>
                <w:color w:val="000000"/>
                <w:sz w:val="22"/>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652DFDD3" w14:textId="77777777" w:rsidR="00BE1209" w:rsidRPr="00E84C93" w:rsidRDefault="00BE1209" w:rsidP="00064A97">
            <w:pPr>
              <w:spacing w:after="0"/>
              <w:rPr>
                <w:rFonts w:cs="Times New Roman"/>
                <w:bCs/>
                <w:color w:val="000000"/>
                <w:sz w:val="22"/>
                <w:lang w:val="sr-Cyrl-CS" w:eastAsia="de-DE"/>
              </w:rPr>
            </w:pPr>
          </w:p>
        </w:tc>
        <w:tc>
          <w:tcPr>
            <w:tcW w:w="1634" w:type="dxa"/>
            <w:tcBorders>
              <w:top w:val="nil"/>
              <w:left w:val="nil"/>
              <w:bottom w:val="single" w:sz="4" w:space="0" w:color="auto"/>
              <w:right w:val="single" w:sz="4" w:space="0" w:color="auto"/>
            </w:tcBorders>
            <w:shd w:val="clear" w:color="auto" w:fill="auto"/>
            <w:vAlign w:val="center"/>
            <w:hideMark/>
          </w:tcPr>
          <w:p w14:paraId="306F67C9"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60-70</w:t>
            </w:r>
            <w:r w:rsidRPr="00E84C93">
              <w:rPr>
                <w:rFonts w:cs="Times New Roman"/>
                <w:bCs/>
                <w:color w:val="000000"/>
                <w:sz w:val="22"/>
                <w:vertAlign w:val="superscript"/>
                <w:lang w:val="sr-Cyrl-CS" w:eastAsia="de-DE"/>
              </w:rPr>
              <w:t>2</w:t>
            </w:r>
          </w:p>
        </w:tc>
        <w:tc>
          <w:tcPr>
            <w:tcW w:w="1492" w:type="dxa"/>
            <w:tcBorders>
              <w:top w:val="nil"/>
              <w:left w:val="nil"/>
              <w:bottom w:val="single" w:sz="4" w:space="0" w:color="auto"/>
              <w:right w:val="single" w:sz="4" w:space="0" w:color="auto"/>
            </w:tcBorders>
            <w:shd w:val="clear" w:color="auto" w:fill="auto"/>
            <w:vAlign w:val="center"/>
            <w:hideMark/>
          </w:tcPr>
          <w:p w14:paraId="3CED6595" w14:textId="113E09AF"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1.641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60%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7A5EDD9E" w14:textId="64FF628F" w:rsidR="00BE1209" w:rsidRPr="00E84C93" w:rsidRDefault="00517960"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 xml:space="preserve">Коинсинерација </w:t>
            </w:r>
            <w:r w:rsidR="00BE1209" w:rsidRPr="00E84C93">
              <w:rPr>
                <w:rFonts w:cs="Times New Roman"/>
                <w:bCs/>
                <w:color w:val="000000"/>
                <w:sz w:val="20"/>
                <w:szCs w:val="20"/>
                <w:lang w:val="sr-Cyrl-CS" w:eastAsia="de-DE"/>
              </w:rPr>
              <w:t xml:space="preserve">у </w:t>
            </w:r>
            <w:r w:rsidR="00A52E1A" w:rsidRPr="00E84C93">
              <w:rPr>
                <w:rFonts w:cs="Times New Roman"/>
                <w:bCs/>
                <w:color w:val="000000"/>
                <w:sz w:val="20"/>
                <w:szCs w:val="20"/>
                <w:lang w:val="sr-Cyrl-CS" w:eastAsia="de-DE"/>
              </w:rPr>
              <w:t>фабрици цемента</w:t>
            </w:r>
            <w:r w:rsidR="00BE1209" w:rsidRPr="00E84C93">
              <w:rPr>
                <w:rFonts w:cs="Times New Roman"/>
                <w:bCs/>
                <w:color w:val="000000"/>
                <w:sz w:val="20"/>
                <w:szCs w:val="20"/>
                <w:lang w:val="sr-Cyrl-CS" w:eastAsia="de-DE"/>
              </w:rPr>
              <w:t xml:space="preserve"> </w:t>
            </w:r>
            <w:r w:rsidR="00F51ED7" w:rsidRPr="00E84C93">
              <w:rPr>
                <w:rFonts w:cs="Times New Roman"/>
                <w:bCs/>
                <w:color w:val="000000"/>
                <w:sz w:val="20"/>
                <w:szCs w:val="20"/>
                <w:lang w:val="sr-Cyrl-CS" w:eastAsia="de-DE"/>
              </w:rPr>
              <w:t>Моравацем</w:t>
            </w:r>
            <w:r w:rsidR="00BE1209" w:rsidRPr="00E84C93">
              <w:rPr>
                <w:rFonts w:cs="Times New Roman"/>
                <w:bCs/>
                <w:color w:val="000000"/>
                <w:sz w:val="20"/>
                <w:szCs w:val="20"/>
                <w:lang w:val="sr-Cyrl-CS" w:eastAsia="de-DE"/>
              </w:rPr>
              <w:t>, Поповац</w:t>
            </w:r>
          </w:p>
        </w:tc>
      </w:tr>
      <w:tr w:rsidR="00BE1209" w:rsidRPr="00E84C93" w14:paraId="03F71278" w14:textId="77777777" w:rsidTr="00BC2D3F">
        <w:trPr>
          <w:trHeight w:val="300"/>
        </w:trPr>
        <w:tc>
          <w:tcPr>
            <w:tcW w:w="118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03438F" w14:textId="77777777"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Пожаревац</w:t>
            </w:r>
          </w:p>
        </w:tc>
        <w:tc>
          <w:tcPr>
            <w:tcW w:w="17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43B2CC"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77.000</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14:paraId="572EFA86" w14:textId="1D0F398E"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2025</w:t>
            </w:r>
            <w:r w:rsidR="006F55C9" w:rsidRPr="00E84C93">
              <w:rPr>
                <w:rFonts w:cs="Times New Roman"/>
                <w:bCs/>
                <w:color w:val="000000"/>
                <w:sz w:val="22"/>
                <w:lang w:val="sr-Cyrl-CS" w:eastAsia="de-DE"/>
              </w:rPr>
              <w:t>.</w:t>
            </w:r>
          </w:p>
        </w:tc>
        <w:tc>
          <w:tcPr>
            <w:tcW w:w="1634" w:type="dxa"/>
            <w:tcBorders>
              <w:top w:val="nil"/>
              <w:left w:val="nil"/>
              <w:bottom w:val="single" w:sz="4" w:space="0" w:color="auto"/>
              <w:right w:val="single" w:sz="4" w:space="0" w:color="auto"/>
            </w:tcBorders>
            <w:shd w:val="clear" w:color="auto" w:fill="auto"/>
            <w:vAlign w:val="center"/>
            <w:hideMark/>
          </w:tcPr>
          <w:p w14:paraId="404DCC49" w14:textId="1FCB0F93"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биће утврђено</w:t>
            </w:r>
          </w:p>
        </w:tc>
        <w:tc>
          <w:tcPr>
            <w:tcW w:w="1492" w:type="dxa"/>
            <w:tcBorders>
              <w:top w:val="nil"/>
              <w:left w:val="nil"/>
              <w:bottom w:val="single" w:sz="4" w:space="0" w:color="auto"/>
              <w:right w:val="single" w:sz="4" w:space="0" w:color="auto"/>
            </w:tcBorders>
            <w:shd w:val="clear" w:color="auto" w:fill="auto"/>
            <w:vAlign w:val="center"/>
            <w:hideMark/>
          </w:tcPr>
          <w:p w14:paraId="03A2E2B1" w14:textId="4E460B01"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6.294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20%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1ADF4F6F" w14:textId="3F98499B" w:rsidR="00BE1209" w:rsidRPr="00E84C93" w:rsidRDefault="00BE1209"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Материјал за прекривање депоније FCC Лапово</w:t>
            </w:r>
          </w:p>
        </w:tc>
      </w:tr>
      <w:tr w:rsidR="00BE1209" w:rsidRPr="00E84C93" w14:paraId="68E40665" w14:textId="77777777" w:rsidTr="00BC2D3F">
        <w:trPr>
          <w:trHeight w:val="300"/>
        </w:trPr>
        <w:tc>
          <w:tcPr>
            <w:tcW w:w="1186" w:type="dxa"/>
            <w:vMerge/>
            <w:tcBorders>
              <w:top w:val="nil"/>
              <w:left w:val="single" w:sz="4" w:space="0" w:color="auto"/>
              <w:bottom w:val="single" w:sz="4" w:space="0" w:color="auto"/>
              <w:right w:val="single" w:sz="4" w:space="0" w:color="auto"/>
            </w:tcBorders>
            <w:vAlign w:val="center"/>
            <w:hideMark/>
          </w:tcPr>
          <w:p w14:paraId="388C4176" w14:textId="77777777" w:rsidR="00BE1209" w:rsidRPr="00E84C93" w:rsidRDefault="00BE1209" w:rsidP="00064A97">
            <w:pPr>
              <w:spacing w:after="0"/>
              <w:rPr>
                <w:rFonts w:cs="Times New Roman"/>
                <w:bCs/>
                <w:color w:val="000000"/>
                <w:sz w:val="22"/>
                <w:lang w:val="sr-Cyrl-CS" w:eastAsia="de-DE"/>
              </w:rPr>
            </w:pPr>
          </w:p>
        </w:tc>
        <w:tc>
          <w:tcPr>
            <w:tcW w:w="1724" w:type="dxa"/>
            <w:vMerge/>
            <w:tcBorders>
              <w:top w:val="nil"/>
              <w:left w:val="single" w:sz="4" w:space="0" w:color="auto"/>
              <w:bottom w:val="single" w:sz="4" w:space="0" w:color="auto"/>
              <w:right w:val="single" w:sz="4" w:space="0" w:color="auto"/>
            </w:tcBorders>
            <w:vAlign w:val="center"/>
            <w:hideMark/>
          </w:tcPr>
          <w:p w14:paraId="77B82AB9" w14:textId="77777777" w:rsidR="00BE1209" w:rsidRPr="00E84C93" w:rsidRDefault="00BE1209" w:rsidP="00064A97">
            <w:pPr>
              <w:spacing w:after="0"/>
              <w:rPr>
                <w:rFonts w:cs="Times New Roman"/>
                <w:bCs/>
                <w:color w:val="000000"/>
                <w:sz w:val="22"/>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6F4BF9C2" w14:textId="77777777" w:rsidR="00BE1209" w:rsidRPr="00E84C93" w:rsidRDefault="00BE1209" w:rsidP="00064A97">
            <w:pPr>
              <w:spacing w:after="0"/>
              <w:rPr>
                <w:rFonts w:cs="Times New Roman"/>
                <w:bCs/>
                <w:color w:val="000000"/>
                <w:sz w:val="22"/>
                <w:lang w:val="sr-Cyrl-CS" w:eastAsia="de-DE"/>
              </w:rPr>
            </w:pPr>
          </w:p>
        </w:tc>
        <w:tc>
          <w:tcPr>
            <w:tcW w:w="1634" w:type="dxa"/>
            <w:tcBorders>
              <w:top w:val="nil"/>
              <w:left w:val="nil"/>
              <w:bottom w:val="single" w:sz="4" w:space="0" w:color="auto"/>
              <w:right w:val="single" w:sz="4" w:space="0" w:color="auto"/>
            </w:tcBorders>
            <w:shd w:val="clear" w:color="auto" w:fill="auto"/>
            <w:vAlign w:val="center"/>
            <w:hideMark/>
          </w:tcPr>
          <w:p w14:paraId="50B97FBC"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60-70</w:t>
            </w:r>
            <w:r w:rsidRPr="00E84C93">
              <w:rPr>
                <w:rFonts w:cs="Times New Roman"/>
                <w:bCs/>
                <w:color w:val="000000"/>
                <w:sz w:val="22"/>
                <w:vertAlign w:val="superscript"/>
                <w:lang w:val="sr-Cyrl-CS" w:eastAsia="de-DE"/>
              </w:rPr>
              <w:t>2</w:t>
            </w:r>
          </w:p>
        </w:tc>
        <w:tc>
          <w:tcPr>
            <w:tcW w:w="1492" w:type="dxa"/>
            <w:tcBorders>
              <w:top w:val="nil"/>
              <w:left w:val="nil"/>
              <w:bottom w:val="single" w:sz="4" w:space="0" w:color="auto"/>
              <w:right w:val="single" w:sz="4" w:space="0" w:color="auto"/>
            </w:tcBorders>
            <w:shd w:val="clear" w:color="auto" w:fill="auto"/>
            <w:vAlign w:val="center"/>
            <w:hideMark/>
          </w:tcPr>
          <w:p w14:paraId="77663DAA" w14:textId="4E99ECE0"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2.175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60%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285891F4" w14:textId="3474EF0D" w:rsidR="00BE1209" w:rsidRPr="00E84C93" w:rsidRDefault="00517960"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 xml:space="preserve">Коинсинерација </w:t>
            </w:r>
            <w:r w:rsidR="00BE1209" w:rsidRPr="00E84C93">
              <w:rPr>
                <w:rFonts w:cs="Times New Roman"/>
                <w:bCs/>
                <w:color w:val="000000"/>
                <w:sz w:val="20"/>
                <w:szCs w:val="20"/>
                <w:lang w:val="sr-Cyrl-CS" w:eastAsia="de-DE"/>
              </w:rPr>
              <w:t xml:space="preserve">у </w:t>
            </w:r>
            <w:r w:rsidR="00A52E1A" w:rsidRPr="00E84C93">
              <w:rPr>
                <w:rFonts w:cs="Times New Roman"/>
                <w:bCs/>
                <w:color w:val="000000"/>
                <w:sz w:val="20"/>
                <w:szCs w:val="20"/>
                <w:lang w:val="sr-Cyrl-CS" w:eastAsia="de-DE"/>
              </w:rPr>
              <w:t>фабрици цемента</w:t>
            </w:r>
            <w:r w:rsidR="00BE1209" w:rsidRPr="00E84C93">
              <w:rPr>
                <w:rFonts w:cs="Times New Roman"/>
                <w:bCs/>
                <w:color w:val="000000"/>
                <w:sz w:val="20"/>
                <w:szCs w:val="20"/>
                <w:lang w:val="sr-Cyrl-CS" w:eastAsia="de-DE"/>
              </w:rPr>
              <w:t xml:space="preserve"> </w:t>
            </w:r>
            <w:r w:rsidR="00F51ED7" w:rsidRPr="00E84C93">
              <w:rPr>
                <w:rFonts w:cs="Times New Roman"/>
                <w:bCs/>
                <w:color w:val="000000"/>
                <w:sz w:val="20"/>
                <w:szCs w:val="20"/>
                <w:lang w:val="sr-Cyrl-CS" w:eastAsia="de-DE"/>
              </w:rPr>
              <w:t>Моравацем</w:t>
            </w:r>
            <w:r w:rsidR="00BE1209" w:rsidRPr="00E84C93">
              <w:rPr>
                <w:rFonts w:cs="Times New Roman"/>
                <w:bCs/>
                <w:color w:val="000000"/>
                <w:sz w:val="20"/>
                <w:szCs w:val="20"/>
                <w:lang w:val="sr-Cyrl-CS" w:eastAsia="de-DE"/>
              </w:rPr>
              <w:t>, Поповац</w:t>
            </w:r>
          </w:p>
        </w:tc>
      </w:tr>
      <w:tr w:rsidR="00BE1209" w:rsidRPr="00E84C93" w14:paraId="6E6F0D07" w14:textId="77777777" w:rsidTr="00BC2D3F">
        <w:trPr>
          <w:trHeight w:val="300"/>
        </w:trPr>
        <w:tc>
          <w:tcPr>
            <w:tcW w:w="118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D638D8" w14:textId="77777777"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Смедерево</w:t>
            </w:r>
          </w:p>
        </w:tc>
        <w:tc>
          <w:tcPr>
            <w:tcW w:w="172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4F7C60"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79.000</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14:paraId="43635AC6" w14:textId="4AD68FD3"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2025</w:t>
            </w:r>
            <w:r w:rsidR="006F55C9" w:rsidRPr="00E84C93">
              <w:rPr>
                <w:rFonts w:cs="Times New Roman"/>
                <w:bCs/>
                <w:color w:val="000000"/>
                <w:sz w:val="22"/>
                <w:lang w:val="sr-Cyrl-CS" w:eastAsia="de-DE"/>
              </w:rPr>
              <w:t>.</w:t>
            </w:r>
          </w:p>
        </w:tc>
        <w:tc>
          <w:tcPr>
            <w:tcW w:w="1634" w:type="dxa"/>
            <w:tcBorders>
              <w:top w:val="nil"/>
              <w:left w:val="nil"/>
              <w:bottom w:val="single" w:sz="4" w:space="0" w:color="auto"/>
              <w:right w:val="single" w:sz="4" w:space="0" w:color="auto"/>
            </w:tcBorders>
            <w:shd w:val="clear" w:color="auto" w:fill="auto"/>
            <w:vAlign w:val="center"/>
            <w:hideMark/>
          </w:tcPr>
          <w:p w14:paraId="559E26FC"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биће утврђено</w:t>
            </w:r>
            <w:r w:rsidRPr="00E84C93">
              <w:rPr>
                <w:rFonts w:cs="Times New Roman"/>
                <w:bCs/>
                <w:color w:val="000000"/>
                <w:sz w:val="22"/>
                <w:vertAlign w:val="superscript"/>
                <w:lang w:val="sr-Cyrl-CS" w:eastAsia="de-DE"/>
              </w:rPr>
              <w:t>1</w:t>
            </w:r>
          </w:p>
        </w:tc>
        <w:tc>
          <w:tcPr>
            <w:tcW w:w="1492" w:type="dxa"/>
            <w:tcBorders>
              <w:top w:val="nil"/>
              <w:left w:val="nil"/>
              <w:bottom w:val="single" w:sz="4" w:space="0" w:color="auto"/>
              <w:right w:val="single" w:sz="4" w:space="0" w:color="auto"/>
            </w:tcBorders>
            <w:shd w:val="clear" w:color="auto" w:fill="auto"/>
            <w:vAlign w:val="center"/>
            <w:hideMark/>
          </w:tcPr>
          <w:p w14:paraId="2F4A6F35" w14:textId="151EE37A"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6.695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20%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5599200A" w14:textId="3782A6AD" w:rsidR="00BE1209" w:rsidRPr="00E84C93" w:rsidRDefault="00BE1209"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 xml:space="preserve">Материјал за прекривање депоније </w:t>
            </w:r>
          </w:p>
        </w:tc>
      </w:tr>
      <w:tr w:rsidR="00BE1209" w:rsidRPr="00E84C93" w14:paraId="14E88B2C" w14:textId="77777777" w:rsidTr="00BC2D3F">
        <w:trPr>
          <w:trHeight w:val="300"/>
        </w:trPr>
        <w:tc>
          <w:tcPr>
            <w:tcW w:w="1186" w:type="dxa"/>
            <w:vMerge/>
            <w:tcBorders>
              <w:top w:val="nil"/>
              <w:left w:val="single" w:sz="4" w:space="0" w:color="auto"/>
              <w:bottom w:val="single" w:sz="4" w:space="0" w:color="auto"/>
              <w:right w:val="single" w:sz="4" w:space="0" w:color="auto"/>
            </w:tcBorders>
            <w:vAlign w:val="center"/>
            <w:hideMark/>
          </w:tcPr>
          <w:p w14:paraId="3553A6E0" w14:textId="77777777" w:rsidR="00BE1209" w:rsidRPr="00E84C93" w:rsidRDefault="00BE1209" w:rsidP="00064A97">
            <w:pPr>
              <w:spacing w:after="0"/>
              <w:rPr>
                <w:rFonts w:cs="Times New Roman"/>
                <w:bCs/>
                <w:color w:val="000000"/>
                <w:sz w:val="22"/>
                <w:lang w:val="sr-Cyrl-CS" w:eastAsia="de-DE"/>
              </w:rPr>
            </w:pPr>
          </w:p>
        </w:tc>
        <w:tc>
          <w:tcPr>
            <w:tcW w:w="1724" w:type="dxa"/>
            <w:vMerge/>
            <w:tcBorders>
              <w:top w:val="nil"/>
              <w:left w:val="single" w:sz="4" w:space="0" w:color="auto"/>
              <w:bottom w:val="single" w:sz="4" w:space="0" w:color="auto"/>
              <w:right w:val="single" w:sz="4" w:space="0" w:color="auto"/>
            </w:tcBorders>
            <w:vAlign w:val="center"/>
            <w:hideMark/>
          </w:tcPr>
          <w:p w14:paraId="6535B76A" w14:textId="77777777" w:rsidR="00BE1209" w:rsidRPr="00E84C93" w:rsidRDefault="00BE1209" w:rsidP="00064A97">
            <w:pPr>
              <w:spacing w:after="0"/>
              <w:rPr>
                <w:rFonts w:cs="Times New Roman"/>
                <w:bCs/>
                <w:color w:val="000000"/>
                <w:sz w:val="22"/>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58CA47C1" w14:textId="77777777" w:rsidR="00BE1209" w:rsidRPr="00E84C93" w:rsidRDefault="00BE1209" w:rsidP="00064A97">
            <w:pPr>
              <w:spacing w:after="0"/>
              <w:rPr>
                <w:rFonts w:cs="Times New Roman"/>
                <w:bCs/>
                <w:color w:val="000000"/>
                <w:sz w:val="22"/>
                <w:lang w:val="sr-Cyrl-CS" w:eastAsia="de-DE"/>
              </w:rPr>
            </w:pPr>
          </w:p>
        </w:tc>
        <w:tc>
          <w:tcPr>
            <w:tcW w:w="1634" w:type="dxa"/>
            <w:tcBorders>
              <w:top w:val="nil"/>
              <w:left w:val="nil"/>
              <w:bottom w:val="single" w:sz="4" w:space="0" w:color="auto"/>
              <w:right w:val="single" w:sz="4" w:space="0" w:color="auto"/>
            </w:tcBorders>
            <w:shd w:val="clear" w:color="auto" w:fill="auto"/>
            <w:vAlign w:val="center"/>
            <w:hideMark/>
          </w:tcPr>
          <w:p w14:paraId="632FA6AE" w14:textId="77777777" w:rsidR="00BE1209" w:rsidRPr="00E84C93" w:rsidRDefault="00BE1209" w:rsidP="00064A97">
            <w:pPr>
              <w:spacing w:after="0"/>
              <w:jc w:val="center"/>
              <w:rPr>
                <w:rFonts w:cs="Times New Roman"/>
                <w:bCs/>
                <w:color w:val="000000"/>
                <w:sz w:val="22"/>
                <w:lang w:val="sr-Cyrl-CS" w:eastAsia="de-DE"/>
              </w:rPr>
            </w:pPr>
            <w:r w:rsidRPr="00E84C93">
              <w:rPr>
                <w:rFonts w:cs="Times New Roman"/>
                <w:bCs/>
                <w:color w:val="000000"/>
                <w:sz w:val="22"/>
                <w:lang w:val="sr-Cyrl-CS" w:eastAsia="de-DE"/>
              </w:rPr>
              <w:t>60-70</w:t>
            </w:r>
            <w:r w:rsidRPr="00E84C93">
              <w:rPr>
                <w:rFonts w:cs="Times New Roman"/>
                <w:bCs/>
                <w:color w:val="000000"/>
                <w:sz w:val="22"/>
                <w:vertAlign w:val="superscript"/>
                <w:lang w:val="sr-Cyrl-CS" w:eastAsia="de-DE"/>
              </w:rPr>
              <w:t>2</w:t>
            </w:r>
          </w:p>
        </w:tc>
        <w:tc>
          <w:tcPr>
            <w:tcW w:w="1492" w:type="dxa"/>
            <w:tcBorders>
              <w:top w:val="nil"/>
              <w:left w:val="nil"/>
              <w:bottom w:val="single" w:sz="4" w:space="0" w:color="auto"/>
              <w:right w:val="single" w:sz="4" w:space="0" w:color="auto"/>
            </w:tcBorders>
            <w:shd w:val="clear" w:color="auto" w:fill="auto"/>
            <w:vAlign w:val="center"/>
            <w:hideMark/>
          </w:tcPr>
          <w:p w14:paraId="361A4CCF" w14:textId="56E5905D" w:rsidR="00BE1209" w:rsidRPr="00E84C93" w:rsidRDefault="00BE1209" w:rsidP="00064A97">
            <w:pPr>
              <w:spacing w:after="0"/>
              <w:rPr>
                <w:rFonts w:cs="Times New Roman"/>
                <w:bCs/>
                <w:color w:val="000000"/>
                <w:sz w:val="22"/>
                <w:lang w:val="sr-Cyrl-CS" w:eastAsia="de-DE"/>
              </w:rPr>
            </w:pPr>
            <w:r w:rsidRPr="00E84C93">
              <w:rPr>
                <w:rFonts w:cs="Times New Roman"/>
                <w:bCs/>
                <w:color w:val="000000"/>
                <w:sz w:val="22"/>
                <w:lang w:val="sr-Cyrl-CS" w:eastAsia="de-DE"/>
              </w:rPr>
              <w:t xml:space="preserve">2.313 </w:t>
            </w:r>
            <w:r w:rsidR="006F55C9" w:rsidRPr="00E84C93">
              <w:rPr>
                <w:rFonts w:cs="Times New Roman"/>
                <w:bCs/>
                <w:color w:val="000000"/>
                <w:sz w:val="22"/>
                <w:lang w:val="sr-Cyrl-CS" w:eastAsia="de-DE"/>
              </w:rPr>
              <w:t xml:space="preserve">t/год. </w:t>
            </w:r>
            <w:r w:rsidR="005321FF" w:rsidRPr="00E84C93">
              <w:rPr>
                <w:rFonts w:cs="Times New Roman"/>
                <w:bCs/>
                <w:color w:val="000000"/>
                <w:sz w:val="22"/>
                <w:lang w:val="sr-Cyrl-CS" w:eastAsia="de-DE"/>
              </w:rPr>
              <w:t xml:space="preserve">са </w:t>
            </w:r>
            <w:r w:rsidRPr="00E84C93">
              <w:rPr>
                <w:rFonts w:cs="Times New Roman"/>
                <w:bCs/>
                <w:color w:val="000000"/>
                <w:sz w:val="22"/>
                <w:lang w:val="sr-Cyrl-CS" w:eastAsia="de-DE"/>
              </w:rPr>
              <w:t xml:space="preserve">60% </w:t>
            </w:r>
            <w:r w:rsidR="00044C5A" w:rsidRPr="00E84C93">
              <w:rPr>
                <w:rFonts w:cs="Times New Roman"/>
                <w:bCs/>
                <w:color w:val="000000"/>
                <w:sz w:val="22"/>
                <w:lang w:val="sr-Cyrl-CS" w:eastAsia="de-DE"/>
              </w:rPr>
              <w:t>СМ</w:t>
            </w:r>
          </w:p>
        </w:tc>
        <w:tc>
          <w:tcPr>
            <w:tcW w:w="2288" w:type="dxa"/>
            <w:tcBorders>
              <w:top w:val="nil"/>
              <w:left w:val="nil"/>
              <w:bottom w:val="single" w:sz="4" w:space="0" w:color="auto"/>
              <w:right w:val="single" w:sz="4" w:space="0" w:color="auto"/>
            </w:tcBorders>
            <w:shd w:val="clear" w:color="auto" w:fill="auto"/>
            <w:vAlign w:val="center"/>
            <w:hideMark/>
          </w:tcPr>
          <w:p w14:paraId="2A0174BF" w14:textId="05039D2B" w:rsidR="00BE1209" w:rsidRPr="00E84C93" w:rsidRDefault="00517960" w:rsidP="00064A97">
            <w:pPr>
              <w:spacing w:after="0"/>
              <w:rPr>
                <w:rFonts w:cs="Times New Roman"/>
                <w:bCs/>
                <w:color w:val="000000"/>
                <w:sz w:val="20"/>
                <w:szCs w:val="20"/>
                <w:lang w:val="sr-Cyrl-CS" w:eastAsia="de-DE"/>
              </w:rPr>
            </w:pPr>
            <w:r w:rsidRPr="00E84C93">
              <w:rPr>
                <w:rFonts w:cs="Times New Roman"/>
                <w:bCs/>
                <w:color w:val="000000"/>
                <w:sz w:val="20"/>
                <w:szCs w:val="20"/>
                <w:lang w:val="sr-Cyrl-CS" w:eastAsia="de-DE"/>
              </w:rPr>
              <w:t xml:space="preserve">Коинсинерација </w:t>
            </w:r>
            <w:r w:rsidR="00BE1209" w:rsidRPr="00E84C93">
              <w:rPr>
                <w:rFonts w:cs="Times New Roman"/>
                <w:bCs/>
                <w:color w:val="000000"/>
                <w:sz w:val="20"/>
                <w:szCs w:val="20"/>
                <w:lang w:val="sr-Cyrl-CS" w:eastAsia="de-DE"/>
              </w:rPr>
              <w:t xml:space="preserve">у </w:t>
            </w:r>
            <w:r w:rsidR="00A52E1A" w:rsidRPr="00E84C93">
              <w:rPr>
                <w:rFonts w:cs="Times New Roman"/>
                <w:bCs/>
                <w:color w:val="000000"/>
                <w:sz w:val="20"/>
                <w:szCs w:val="20"/>
                <w:lang w:val="sr-Cyrl-CS" w:eastAsia="de-DE"/>
              </w:rPr>
              <w:t>фабрици цемента</w:t>
            </w:r>
            <w:r w:rsidR="00BE1209" w:rsidRPr="00E84C93">
              <w:rPr>
                <w:rFonts w:cs="Times New Roman"/>
                <w:bCs/>
                <w:color w:val="000000"/>
                <w:sz w:val="20"/>
                <w:szCs w:val="20"/>
                <w:lang w:val="sr-Cyrl-CS" w:eastAsia="de-DE"/>
              </w:rPr>
              <w:t xml:space="preserve"> </w:t>
            </w:r>
            <w:r w:rsidR="00F51ED7" w:rsidRPr="00E84C93">
              <w:rPr>
                <w:rFonts w:cs="Times New Roman"/>
                <w:bCs/>
                <w:color w:val="000000"/>
                <w:sz w:val="20"/>
                <w:szCs w:val="20"/>
                <w:lang w:val="sr-Cyrl-CS" w:eastAsia="de-DE"/>
              </w:rPr>
              <w:t>Моравацем</w:t>
            </w:r>
            <w:r w:rsidR="00BE1209" w:rsidRPr="00E84C93">
              <w:rPr>
                <w:rFonts w:cs="Times New Roman"/>
                <w:bCs/>
                <w:color w:val="000000"/>
                <w:sz w:val="20"/>
                <w:szCs w:val="20"/>
                <w:lang w:val="sr-Cyrl-CS" w:eastAsia="de-DE"/>
              </w:rPr>
              <w:t>, Поповац</w:t>
            </w:r>
          </w:p>
        </w:tc>
      </w:tr>
    </w:tbl>
    <w:p w14:paraId="382FCAE9" w14:textId="77777777" w:rsidR="00BE1209" w:rsidRPr="00E84C93" w:rsidRDefault="00BE1209" w:rsidP="00BE1209">
      <w:pPr>
        <w:spacing w:after="0"/>
        <w:rPr>
          <w:sz w:val="20"/>
          <w:szCs w:val="20"/>
          <w:lang w:val="sr-Cyrl-CS" w:bidi="en-US"/>
        </w:rPr>
      </w:pPr>
      <w:r w:rsidRPr="00E84C93">
        <w:rPr>
          <w:sz w:val="20"/>
          <w:szCs w:val="20"/>
          <w:vertAlign w:val="superscript"/>
          <w:lang w:val="sr-Cyrl-CS" w:bidi="en-US"/>
        </w:rPr>
        <w:t>1</w:t>
      </w:r>
      <w:r w:rsidRPr="00E84C93">
        <w:rPr>
          <w:sz w:val="20"/>
          <w:szCs w:val="20"/>
          <w:lang w:val="sr-Cyrl-CS" w:bidi="en-US"/>
        </w:rPr>
        <w:t xml:space="preserve"> – захтева појашњење са оператером депоније</w:t>
      </w:r>
    </w:p>
    <w:p w14:paraId="1C8821C4" w14:textId="178A2145" w:rsidR="00BE1209" w:rsidRPr="00E84C93" w:rsidRDefault="00BE1209" w:rsidP="00BE1209">
      <w:pPr>
        <w:spacing w:after="0"/>
        <w:rPr>
          <w:sz w:val="20"/>
          <w:szCs w:val="20"/>
          <w:lang w:val="sr-Cyrl-CS" w:bidi="en-US"/>
        </w:rPr>
      </w:pPr>
      <w:r w:rsidRPr="00E84C93">
        <w:rPr>
          <w:sz w:val="20"/>
          <w:szCs w:val="20"/>
          <w:vertAlign w:val="superscript"/>
          <w:lang w:val="sr-Cyrl-CS" w:bidi="en-US"/>
        </w:rPr>
        <w:t>2</w:t>
      </w:r>
      <w:r w:rsidRPr="00E84C93">
        <w:rPr>
          <w:sz w:val="20"/>
          <w:szCs w:val="20"/>
          <w:lang w:val="sr-Cyrl-CS" w:bidi="en-US"/>
        </w:rPr>
        <w:t xml:space="preserve"> – једнако топлотној вредности од 8 GJ/t </w:t>
      </w:r>
      <w:r w:rsidR="00285BCC" w:rsidRPr="00E84C93">
        <w:rPr>
          <w:sz w:val="20"/>
          <w:szCs w:val="20"/>
          <w:lang w:val="sr-Cyrl-CS" w:bidi="en-US"/>
        </w:rPr>
        <w:t>суве материје</w:t>
      </w:r>
    </w:p>
    <w:p w14:paraId="2D841CDE" w14:textId="77777777" w:rsidR="00BE1209" w:rsidRPr="00E84C93" w:rsidRDefault="00BE1209" w:rsidP="00BE1209">
      <w:pPr>
        <w:rPr>
          <w:lang w:val="sr-Cyrl-CS" w:bidi="en-US"/>
        </w:rPr>
      </w:pPr>
    </w:p>
    <w:p w14:paraId="4054411F" w14:textId="4A572455" w:rsidR="00BE1209" w:rsidRPr="00E84C93" w:rsidRDefault="00BE1209" w:rsidP="000C54C0">
      <w:pPr>
        <w:pStyle w:val="Heading3"/>
        <w:numPr>
          <w:ilvl w:val="2"/>
          <w:numId w:val="8"/>
        </w:numPr>
        <w:rPr>
          <w:lang w:val="sr-Cyrl-CS"/>
        </w:rPr>
      </w:pPr>
      <w:bookmarkStart w:id="101" w:name="_Toc95129125"/>
      <w:bookmarkStart w:id="102" w:name="_Toc99920910"/>
      <w:r w:rsidRPr="00E84C93">
        <w:rPr>
          <w:lang w:val="sr-Cyrl-CS"/>
        </w:rPr>
        <w:t xml:space="preserve">Јужна и </w:t>
      </w:r>
      <w:r w:rsidR="00DA5B44" w:rsidRPr="00E84C93">
        <w:rPr>
          <w:lang w:val="sr-Cyrl-CS"/>
        </w:rPr>
        <w:t>И</w:t>
      </w:r>
      <w:r w:rsidRPr="00E84C93">
        <w:rPr>
          <w:lang w:val="sr-Cyrl-CS"/>
        </w:rPr>
        <w:t>сточна Србија</w:t>
      </w:r>
      <w:bookmarkEnd w:id="101"/>
      <w:bookmarkEnd w:id="102"/>
    </w:p>
    <w:p w14:paraId="1E995468" w14:textId="3BEDB56F" w:rsidR="00BE1209" w:rsidRPr="00E84C93" w:rsidRDefault="00F5612C" w:rsidP="00736A5C">
      <w:pPr>
        <w:pStyle w:val="ANormal"/>
        <w:ind w:firstLine="720"/>
        <w:rPr>
          <w:rFonts w:ascii="Times New Roman" w:hAnsi="Times New Roman" w:cs="Times New Roman"/>
          <w:b/>
          <w:bCs w:val="0"/>
          <w:color w:val="2E74B5" w:themeColor="accent1" w:themeShade="BF"/>
          <w:sz w:val="24"/>
          <w:szCs w:val="24"/>
          <w:lang w:val="sr-Cyrl-CS"/>
        </w:rPr>
      </w:pPr>
      <w:r w:rsidRPr="00E84C93">
        <w:rPr>
          <w:rFonts w:ascii="Times New Roman" w:hAnsi="Times New Roman" w:cs="Times New Roman"/>
          <w:b/>
          <w:bCs w:val="0"/>
          <w:color w:val="2E74B5" w:themeColor="accent1" w:themeShade="BF"/>
          <w:sz w:val="24"/>
          <w:szCs w:val="24"/>
          <w:lang w:val="sr-Cyrl-CS"/>
        </w:rPr>
        <w:t xml:space="preserve">Потенцијално </w:t>
      </w:r>
      <w:r w:rsidR="00BE1209" w:rsidRPr="00E84C93">
        <w:rPr>
          <w:rFonts w:ascii="Times New Roman" w:hAnsi="Times New Roman" w:cs="Times New Roman"/>
          <w:b/>
          <w:bCs w:val="0"/>
          <w:color w:val="2E74B5" w:themeColor="accent1" w:themeShade="BF"/>
          <w:sz w:val="24"/>
          <w:szCs w:val="24"/>
          <w:lang w:val="sr-Cyrl-CS"/>
        </w:rPr>
        <w:t>дугорочно решење</w:t>
      </w:r>
    </w:p>
    <w:p w14:paraId="4C42928C" w14:textId="6323AFAB" w:rsidR="005321FF" w:rsidRPr="00E84C93" w:rsidRDefault="005321FF" w:rsidP="005321FF">
      <w:pPr>
        <w:spacing w:after="0"/>
        <w:ind w:firstLine="720"/>
        <w:jc w:val="both"/>
        <w:rPr>
          <w:lang w:val="sr-Cyrl-CS" w:bidi="en-US"/>
        </w:rPr>
      </w:pPr>
      <w:r w:rsidRPr="00E84C93">
        <w:rPr>
          <w:lang w:val="sr-Cyrl-CS" w:bidi="en-US"/>
        </w:rPr>
        <w:t xml:space="preserve">Процењена количина генерисаног муља у Јужној и </w:t>
      </w:r>
      <w:r w:rsidR="00DA5B44" w:rsidRPr="00E84C93">
        <w:rPr>
          <w:lang w:val="sr-Cyrl-CS" w:bidi="en-US"/>
        </w:rPr>
        <w:t>И</w:t>
      </w:r>
      <w:r w:rsidRPr="00E84C93">
        <w:rPr>
          <w:lang w:val="sr-Cyrl-CS" w:bidi="en-US"/>
        </w:rPr>
        <w:t>сточној Србији на крају планског периода</w:t>
      </w:r>
      <w:r w:rsidR="00D010D1" w:rsidRPr="00E84C93">
        <w:rPr>
          <w:lang w:val="sr-Cyrl-CS" w:bidi="en-US"/>
        </w:rPr>
        <w:t xml:space="preserve"> </w:t>
      </w:r>
      <w:r w:rsidRPr="00E84C93">
        <w:rPr>
          <w:lang w:val="sr-Cyrl-CS" w:bidi="en-US"/>
        </w:rPr>
        <w:t>(2041. године) из</w:t>
      </w:r>
      <w:r w:rsidR="0082059D" w:rsidRPr="00E84C93">
        <w:rPr>
          <w:lang w:val="sr-Cyrl-CS" w:bidi="en-US"/>
        </w:rPr>
        <w:t>н</w:t>
      </w:r>
      <w:r w:rsidRPr="00E84C93">
        <w:rPr>
          <w:lang w:val="sr-Cyrl-CS" w:bidi="en-US"/>
        </w:rPr>
        <w:t>осиће између 22.370 тона суве материје годишње (50. перцентил) до максималних 26.890 тона суве материје годишње (85. перцентил).</w:t>
      </w:r>
    </w:p>
    <w:p w14:paraId="30FCE525" w14:textId="07E6CFC6" w:rsidR="005321FF" w:rsidRPr="00E84C93" w:rsidRDefault="005321FF" w:rsidP="005321FF">
      <w:pPr>
        <w:spacing w:after="0"/>
        <w:ind w:firstLine="720"/>
        <w:jc w:val="both"/>
        <w:rPr>
          <w:lang w:val="sr-Cyrl-CS" w:bidi="en-US"/>
        </w:rPr>
      </w:pPr>
      <w:r w:rsidRPr="00E84C93">
        <w:rPr>
          <w:lang w:val="sr-Cyrl-CS" w:bidi="en-US"/>
        </w:rPr>
        <w:t xml:space="preserve">Највећа производња муља је обрачуната за Нишавски округ као што је </w:t>
      </w:r>
      <w:r w:rsidR="00F94C78" w:rsidRPr="00E84C93">
        <w:rPr>
          <w:rFonts w:cs="Times New Roman"/>
          <w:lang w:val="sr-Cyrl-CS" w:bidi="en-US"/>
        </w:rPr>
        <w:t xml:space="preserve">приказано </w:t>
      </w:r>
      <w:r w:rsidR="00B47866" w:rsidRPr="00E84C93">
        <w:rPr>
          <w:rFonts w:cs="Times New Roman"/>
          <w:lang w:val="sr-Cyrl-CS" w:bidi="en-US"/>
        </w:rPr>
        <w:t>у Т</w:t>
      </w:r>
      <w:r w:rsidR="00F94C78" w:rsidRPr="00E84C93">
        <w:rPr>
          <w:rFonts w:cs="Times New Roman"/>
          <w:lang w:val="sr-Cyrl-CS" w:bidi="en-US"/>
        </w:rPr>
        <w:t>абели 3.7.</w:t>
      </w:r>
      <w:r w:rsidRPr="00E84C93">
        <w:rPr>
          <w:lang w:val="sr-Cyrl-CS" w:bidi="en-US"/>
        </w:rPr>
        <w:t xml:space="preserve"> Укупан капацитет спаљивања за крајњу фазу износиће око 15.000 </w:t>
      </w:r>
      <w:r w:rsidRPr="00E84C93">
        <w:rPr>
          <w:lang w:val="sr-Cyrl-CS"/>
        </w:rPr>
        <w:t>t СМ/год.</w:t>
      </w:r>
      <w:r w:rsidRPr="00E84C93">
        <w:rPr>
          <w:lang w:val="sr-Cyrl-CS" w:bidi="en-US"/>
        </w:rPr>
        <w:t xml:space="preserve"> </w:t>
      </w:r>
    </w:p>
    <w:p w14:paraId="18B440A0" w14:textId="79F524A8" w:rsidR="00BE1209" w:rsidRPr="00E84C93" w:rsidRDefault="005321FF" w:rsidP="005321FF">
      <w:pPr>
        <w:spacing w:after="0"/>
        <w:ind w:firstLine="720"/>
        <w:jc w:val="both"/>
        <w:rPr>
          <w:lang w:val="sr-Cyrl-CS" w:bidi="en-US"/>
        </w:rPr>
      </w:pPr>
      <w:r w:rsidRPr="00E84C93">
        <w:rPr>
          <w:lang w:val="sr-Cyrl-CS" w:bidi="en-US"/>
        </w:rPr>
        <w:t xml:space="preserve">Регионални центар за управљање муљем </w:t>
      </w:r>
      <w:r w:rsidR="00722006" w:rsidRPr="00E84C93">
        <w:rPr>
          <w:lang w:val="sr-Cyrl-CS" w:bidi="en-US"/>
        </w:rPr>
        <w:t>може се</w:t>
      </w:r>
      <w:r w:rsidRPr="00E84C93">
        <w:rPr>
          <w:lang w:val="sr-Cyrl-CS" w:bidi="en-US"/>
        </w:rPr>
        <w:t xml:space="preserve"> налазити на постројењу за пречишћавање отпадних вода у Нишу</w:t>
      </w:r>
      <w:r w:rsidR="00BE1209" w:rsidRPr="00E84C93">
        <w:rPr>
          <w:lang w:val="sr-Cyrl-CS" w:bidi="en-US"/>
        </w:rPr>
        <w:t>.</w:t>
      </w:r>
    </w:p>
    <w:p w14:paraId="5D6A8ADA" w14:textId="32420E6D" w:rsidR="00F94C78" w:rsidRPr="00E84C93" w:rsidRDefault="00F94C78" w:rsidP="00F94C78">
      <w:pPr>
        <w:spacing w:after="0"/>
        <w:ind w:firstLine="720"/>
        <w:jc w:val="both"/>
        <w:rPr>
          <w:rFonts w:cs="Times New Roman"/>
          <w:szCs w:val="24"/>
          <w:lang w:val="sr-Cyrl-CS" w:bidi="en-US"/>
        </w:rPr>
      </w:pPr>
      <w:r w:rsidRPr="00E84C93">
        <w:rPr>
          <w:rFonts w:cs="Times New Roman"/>
          <w:szCs w:val="24"/>
          <w:lang w:val="sr-Cyrl-CS" w:bidi="en-US"/>
        </w:rPr>
        <w:t xml:space="preserve">Предложени капацитет моноинсинератора у региону Јужне и </w:t>
      </w:r>
      <w:r w:rsidR="00FB2DC5" w:rsidRPr="00E84C93">
        <w:rPr>
          <w:rFonts w:cs="Times New Roman"/>
          <w:szCs w:val="24"/>
          <w:lang w:val="sr-Cyrl-CS" w:bidi="en-US"/>
        </w:rPr>
        <w:t>И</w:t>
      </w:r>
      <w:r w:rsidRPr="00E84C93">
        <w:rPr>
          <w:rFonts w:cs="Times New Roman"/>
          <w:szCs w:val="24"/>
          <w:lang w:val="sr-Cyrl-CS" w:bidi="en-US"/>
        </w:rPr>
        <w:t xml:space="preserve">сточне Србије </w:t>
      </w:r>
      <w:r w:rsidR="007D354B">
        <w:rPr>
          <w:rFonts w:cs="Times New Roman"/>
          <w:szCs w:val="24"/>
          <w:lang w:val="sr-Cyrl-CS" w:bidi="en-US"/>
        </w:rPr>
        <w:t>је на доњој економској граници.</w:t>
      </w:r>
    </w:p>
    <w:p w14:paraId="32EC354C" w14:textId="6CBFB2F0" w:rsidR="00F94C78" w:rsidRPr="00E84C93" w:rsidRDefault="00CD37E5" w:rsidP="00F94C78">
      <w:pPr>
        <w:spacing w:after="0"/>
        <w:ind w:firstLine="720"/>
        <w:jc w:val="both"/>
        <w:rPr>
          <w:rFonts w:cs="Times New Roman"/>
          <w:szCs w:val="24"/>
          <w:lang w:val="sr-Cyrl-CS" w:bidi="en-US"/>
        </w:rPr>
      </w:pPr>
      <w:r w:rsidRPr="00E84C93">
        <w:rPr>
          <w:rFonts w:cs="Times New Roman"/>
          <w:szCs w:val="24"/>
          <w:lang w:val="sr-Cyrl-CS" w:bidi="en-US"/>
        </w:rPr>
        <w:lastRenderedPageBreak/>
        <w:t>Стога је предложена</w:t>
      </w:r>
      <w:r w:rsidR="00F94C78" w:rsidRPr="00E84C93">
        <w:rPr>
          <w:rFonts w:cs="Times New Roman"/>
          <w:szCs w:val="24"/>
          <w:lang w:val="sr-Cyrl-CS" w:bidi="en-US"/>
        </w:rPr>
        <w:t xml:space="preserve"> </w:t>
      </w:r>
      <w:r w:rsidRPr="00E84C93">
        <w:rPr>
          <w:rFonts w:cs="Times New Roman"/>
          <w:szCs w:val="24"/>
          <w:lang w:val="sr-Cyrl-CS" w:bidi="en-US"/>
        </w:rPr>
        <w:t xml:space="preserve">опција </w:t>
      </w:r>
      <w:r w:rsidR="00F94C78" w:rsidRPr="00E84C93">
        <w:rPr>
          <w:rFonts w:cs="Times New Roman"/>
          <w:szCs w:val="24"/>
          <w:lang w:val="sr-Cyrl-CS" w:bidi="en-US"/>
        </w:rPr>
        <w:t>заједничког постројења за инсинерацију за два региона, Шумадију и Западну Србију на северу и Јужну и Источну Србију на југу.</w:t>
      </w:r>
      <w:r w:rsidR="003C2E5D" w:rsidRPr="00E84C93">
        <w:rPr>
          <w:rFonts w:cs="Times New Roman"/>
          <w:szCs w:val="24"/>
          <w:lang w:val="sr-Cyrl-CS" w:bidi="en-US"/>
        </w:rPr>
        <w:t xml:space="preserve"> </w:t>
      </w:r>
      <w:r w:rsidR="00F94C78" w:rsidRPr="00E84C93">
        <w:rPr>
          <w:rFonts w:cs="Times New Roman"/>
          <w:szCs w:val="24"/>
          <w:lang w:val="sr-Cyrl-CS" w:bidi="en-US"/>
        </w:rPr>
        <w:t xml:space="preserve">Регионални центар за управљање муљем би се могао формирати на постројењу за пречишћавање отпадних вода у </w:t>
      </w:r>
      <w:r w:rsidRPr="00E84C93">
        <w:rPr>
          <w:rFonts w:cs="Times New Roman"/>
          <w:szCs w:val="24"/>
          <w:lang w:val="sr-Cyrl-CS" w:bidi="en-US"/>
        </w:rPr>
        <w:t xml:space="preserve">Нишу </w:t>
      </w:r>
      <w:r w:rsidR="00F94C78" w:rsidRPr="00E84C93">
        <w:rPr>
          <w:rFonts w:cs="Times New Roman"/>
          <w:szCs w:val="24"/>
          <w:lang w:val="sr-Cyrl-CS" w:bidi="en-US"/>
        </w:rPr>
        <w:t>као централизован</w:t>
      </w:r>
      <w:r w:rsidRPr="00E84C93">
        <w:rPr>
          <w:rFonts w:cs="Times New Roman"/>
          <w:szCs w:val="24"/>
          <w:lang w:val="sr-Cyrl-CS" w:bidi="en-US"/>
        </w:rPr>
        <w:t>о</w:t>
      </w:r>
      <w:r w:rsidR="00F94C78" w:rsidRPr="00E84C93">
        <w:rPr>
          <w:rFonts w:cs="Times New Roman"/>
          <w:szCs w:val="24"/>
          <w:lang w:val="sr-Cyrl-CS" w:bidi="en-US"/>
        </w:rPr>
        <w:t xml:space="preserve"> решење. </w:t>
      </w:r>
      <w:r w:rsidR="00DA5B44" w:rsidRPr="00E84C93">
        <w:rPr>
          <w:rFonts w:cs="Times New Roman"/>
          <w:szCs w:val="24"/>
          <w:lang w:val="sr-Cyrl-CS" w:bidi="en-US"/>
        </w:rPr>
        <w:t>Само о</w:t>
      </w:r>
      <w:r w:rsidRPr="00E84C93">
        <w:rPr>
          <w:rFonts w:cs="Times New Roman"/>
          <w:szCs w:val="24"/>
          <w:lang w:val="sr-Cyrl-CS" w:bidi="en-US"/>
        </w:rPr>
        <w:t xml:space="preserve">пционо </w:t>
      </w:r>
      <w:r w:rsidR="001A3E2E" w:rsidRPr="00E84C93">
        <w:rPr>
          <w:rFonts w:cs="Times New Roman"/>
          <w:szCs w:val="24"/>
          <w:lang w:val="sr-Cyrl-CS" w:bidi="en-US"/>
        </w:rPr>
        <w:t>је</w:t>
      </w:r>
      <w:r w:rsidRPr="00E84C93">
        <w:rPr>
          <w:rFonts w:cs="Times New Roman"/>
          <w:szCs w:val="24"/>
          <w:lang w:val="sr-Cyrl-CS" w:bidi="en-US"/>
        </w:rPr>
        <w:t xml:space="preserve"> могућ</w:t>
      </w:r>
      <w:r w:rsidR="001A3E2E" w:rsidRPr="00E84C93">
        <w:rPr>
          <w:rFonts w:cs="Times New Roman"/>
          <w:szCs w:val="24"/>
          <w:lang w:val="sr-Cyrl-CS" w:bidi="en-US"/>
        </w:rPr>
        <w:t>а</w:t>
      </w:r>
      <w:r w:rsidRPr="00E84C93">
        <w:rPr>
          <w:rFonts w:cs="Times New Roman"/>
          <w:szCs w:val="24"/>
          <w:lang w:val="sr-Cyrl-CS" w:bidi="en-US"/>
        </w:rPr>
        <w:t xml:space="preserve"> изградњ</w:t>
      </w:r>
      <w:r w:rsidR="001A3E2E" w:rsidRPr="00E84C93">
        <w:rPr>
          <w:rFonts w:cs="Times New Roman"/>
          <w:szCs w:val="24"/>
          <w:lang w:val="sr-Cyrl-CS" w:bidi="en-US"/>
        </w:rPr>
        <w:t>а</w:t>
      </w:r>
      <w:r w:rsidRPr="00E84C93">
        <w:rPr>
          <w:rFonts w:cs="Times New Roman"/>
          <w:szCs w:val="24"/>
          <w:lang w:val="sr-Cyrl-CS" w:bidi="en-US"/>
        </w:rPr>
        <w:t xml:space="preserve"> моноинсинератора у Крагујевцу.</w:t>
      </w:r>
    </w:p>
    <w:p w14:paraId="239EAE29" w14:textId="00B79D0C" w:rsidR="00BE1209" w:rsidRPr="00E84C93" w:rsidRDefault="00BE1209" w:rsidP="00736A5C">
      <w:pPr>
        <w:pStyle w:val="ANormal"/>
        <w:ind w:firstLine="720"/>
        <w:rPr>
          <w:rFonts w:ascii="Times New Roman" w:hAnsi="Times New Roman" w:cs="Times New Roman"/>
          <w:b/>
          <w:bCs w:val="0"/>
          <w:color w:val="2E74B5" w:themeColor="accent1" w:themeShade="BF"/>
          <w:sz w:val="24"/>
          <w:szCs w:val="24"/>
          <w:lang w:val="sr-Cyrl-CS"/>
        </w:rPr>
      </w:pPr>
      <w:bookmarkStart w:id="103" w:name="_Toc95129127"/>
      <w:r w:rsidRPr="00E84C93">
        <w:rPr>
          <w:rFonts w:ascii="Times New Roman" w:hAnsi="Times New Roman" w:cs="Times New Roman"/>
          <w:b/>
          <w:bCs w:val="0"/>
          <w:color w:val="2E74B5" w:themeColor="accent1" w:themeShade="BF"/>
          <w:sz w:val="24"/>
          <w:szCs w:val="24"/>
          <w:lang w:val="sr-Cyrl-CS"/>
        </w:rPr>
        <w:t xml:space="preserve">Потенцијалне краткорочне и </w:t>
      </w:r>
      <w:r w:rsidR="00702D2B" w:rsidRPr="00E84C93">
        <w:rPr>
          <w:rFonts w:ascii="Times New Roman" w:hAnsi="Times New Roman" w:cs="Times New Roman"/>
          <w:b/>
          <w:bCs w:val="0"/>
          <w:color w:val="2E74B5" w:themeColor="accent1" w:themeShade="BF"/>
          <w:sz w:val="24"/>
          <w:szCs w:val="24"/>
          <w:lang w:val="sr-Cyrl-CS"/>
        </w:rPr>
        <w:t xml:space="preserve">средњорочне </w:t>
      </w:r>
      <w:r w:rsidRPr="00E84C93">
        <w:rPr>
          <w:rFonts w:ascii="Times New Roman" w:hAnsi="Times New Roman" w:cs="Times New Roman"/>
          <w:b/>
          <w:bCs w:val="0"/>
          <w:color w:val="2E74B5" w:themeColor="accent1" w:themeShade="BF"/>
          <w:sz w:val="24"/>
          <w:szCs w:val="24"/>
          <w:lang w:val="sr-Cyrl-CS"/>
        </w:rPr>
        <w:t>могућности</w:t>
      </w:r>
      <w:bookmarkEnd w:id="103"/>
      <w:r w:rsidRPr="00E84C93">
        <w:rPr>
          <w:rFonts w:ascii="Times New Roman" w:hAnsi="Times New Roman" w:cs="Times New Roman"/>
          <w:b/>
          <w:bCs w:val="0"/>
          <w:color w:val="2E74B5" w:themeColor="accent1" w:themeShade="BF"/>
          <w:sz w:val="24"/>
          <w:szCs w:val="24"/>
          <w:lang w:val="sr-Cyrl-CS"/>
        </w:rPr>
        <w:t xml:space="preserve"> </w:t>
      </w:r>
    </w:p>
    <w:p w14:paraId="54B9AEBF" w14:textId="508719FA" w:rsidR="00660A52" w:rsidRPr="00E84C93" w:rsidRDefault="00BE1209" w:rsidP="00660A52">
      <w:pPr>
        <w:spacing w:after="0"/>
        <w:ind w:firstLine="720"/>
        <w:jc w:val="both"/>
        <w:rPr>
          <w:rFonts w:cs="Times New Roman"/>
          <w:lang w:val="sr-Cyrl-CS"/>
        </w:rPr>
      </w:pPr>
      <w:r w:rsidRPr="00E84C93">
        <w:rPr>
          <w:rFonts w:cs="Times New Roman"/>
          <w:lang w:val="sr-Cyrl-CS"/>
        </w:rPr>
        <w:t xml:space="preserve">У </w:t>
      </w:r>
      <w:r w:rsidR="00B47866" w:rsidRPr="00E84C93">
        <w:rPr>
          <w:rFonts w:cs="Times New Roman"/>
          <w:lang w:val="sr-Cyrl-CS"/>
        </w:rPr>
        <w:t>Т</w:t>
      </w:r>
      <w:r w:rsidR="00A061AD" w:rsidRPr="00E84C93">
        <w:rPr>
          <w:rFonts w:cs="Times New Roman"/>
          <w:lang w:val="sr-Cyrl-CS"/>
        </w:rPr>
        <w:t>абели</w:t>
      </w:r>
      <w:r w:rsidRPr="00E84C93">
        <w:rPr>
          <w:rFonts w:cs="Times New Roman"/>
          <w:lang w:val="sr-Cyrl-CS"/>
        </w:rPr>
        <w:t xml:space="preserve"> </w:t>
      </w:r>
      <w:r w:rsidR="002B01E5" w:rsidRPr="00E84C93">
        <w:rPr>
          <w:rFonts w:cs="Times New Roman"/>
          <w:lang w:val="sr-Cyrl-CS"/>
        </w:rPr>
        <w:t xml:space="preserve">6.5. </w:t>
      </w:r>
      <w:r w:rsidRPr="00E84C93">
        <w:rPr>
          <w:rFonts w:cs="Times New Roman"/>
          <w:lang w:val="sr-Cyrl-CS"/>
        </w:rPr>
        <w:t xml:space="preserve">приказане су потенцијалне краткорочне и/или средњорочне могућности управљања муљем, а које су идентификоване за постројења </w:t>
      </w:r>
      <w:r w:rsidR="0016531B" w:rsidRPr="00E84C93">
        <w:rPr>
          <w:rFonts w:cs="Times New Roman"/>
          <w:lang w:val="sr-Cyrl-CS"/>
        </w:rPr>
        <w:t>за пречишћавање отпадних вода</w:t>
      </w:r>
      <w:r w:rsidRPr="00E84C93">
        <w:rPr>
          <w:rFonts w:cs="Times New Roman"/>
          <w:lang w:val="sr-Cyrl-CS"/>
        </w:rPr>
        <w:t xml:space="preserve"> која се налазе у региону Јужне и </w:t>
      </w:r>
      <w:r w:rsidR="00DA5B44" w:rsidRPr="00E84C93">
        <w:rPr>
          <w:rFonts w:cs="Times New Roman"/>
          <w:lang w:val="sr-Cyrl-CS"/>
        </w:rPr>
        <w:t>И</w:t>
      </w:r>
      <w:r w:rsidRPr="00E84C93">
        <w:rPr>
          <w:rFonts w:cs="Times New Roman"/>
          <w:lang w:val="sr-Cyrl-CS"/>
        </w:rPr>
        <w:t xml:space="preserve">сточне Србије и које су предложене за имплементацију у периоду спровођења Програма. </w:t>
      </w:r>
      <w:r w:rsidR="00854F2E" w:rsidRPr="00E84C93">
        <w:rPr>
          <w:rFonts w:cs="Times New Roman"/>
          <w:lang w:val="sr-Cyrl-CS"/>
        </w:rPr>
        <w:t>П</w:t>
      </w:r>
      <w:r w:rsidRPr="00E84C93">
        <w:rPr>
          <w:rFonts w:cs="Times New Roman"/>
          <w:lang w:val="sr-Cyrl-CS"/>
        </w:rPr>
        <w:t xml:space="preserve">рименљивост ових опција зависи од превазилажења </w:t>
      </w:r>
      <w:r w:rsidR="003C320D" w:rsidRPr="00E84C93">
        <w:rPr>
          <w:rFonts w:cs="Times New Roman"/>
          <w:lang w:val="sr-Cyrl-CS"/>
        </w:rPr>
        <w:t xml:space="preserve">постојећих </w:t>
      </w:r>
      <w:r w:rsidRPr="00E84C93">
        <w:rPr>
          <w:rFonts w:cs="Times New Roman"/>
          <w:lang w:val="sr-Cyrl-CS"/>
        </w:rPr>
        <w:t>правних, административних и институционалних ограничења</w:t>
      </w:r>
      <w:r w:rsidR="00660A52" w:rsidRPr="00E84C93">
        <w:rPr>
          <w:rFonts w:cs="Times New Roman"/>
          <w:lang w:val="sr-Cyrl-CS"/>
        </w:rPr>
        <w:t xml:space="preserve"> и анализе могућности примене у пољопривреди.</w:t>
      </w:r>
    </w:p>
    <w:p w14:paraId="390E53AE" w14:textId="77777777" w:rsidR="00A061AD" w:rsidRPr="00E84C93" w:rsidRDefault="00A061AD" w:rsidP="00A061AD">
      <w:pPr>
        <w:keepNext/>
        <w:tabs>
          <w:tab w:val="left" w:pos="992"/>
          <w:tab w:val="left" w:pos="3119"/>
        </w:tabs>
        <w:spacing w:after="0"/>
        <w:rPr>
          <w:b/>
          <w:bCs/>
          <w:iCs/>
          <w:szCs w:val="24"/>
          <w:lang w:val="sr-Cyrl-CS"/>
        </w:rPr>
      </w:pPr>
    </w:p>
    <w:p w14:paraId="31B34EC6" w14:textId="46D1DEEE" w:rsidR="00BE1209" w:rsidRPr="00E84C93" w:rsidRDefault="00BE1209" w:rsidP="00A061AD">
      <w:pPr>
        <w:keepNext/>
        <w:tabs>
          <w:tab w:val="left" w:pos="992"/>
          <w:tab w:val="left" w:pos="3119"/>
        </w:tabs>
        <w:spacing w:after="0"/>
        <w:rPr>
          <w:iCs/>
          <w:szCs w:val="24"/>
          <w:lang w:val="sr-Cyrl-CS" w:eastAsia="de-DE"/>
        </w:rPr>
      </w:pPr>
      <w:r w:rsidRPr="00E84C93">
        <w:rPr>
          <w:b/>
          <w:bCs/>
          <w:iCs/>
          <w:szCs w:val="24"/>
          <w:lang w:val="sr-Cyrl-CS"/>
        </w:rPr>
        <w:t xml:space="preserve">Табела </w:t>
      </w:r>
      <w:r w:rsidR="00BE348C" w:rsidRPr="00E84C93">
        <w:rPr>
          <w:b/>
          <w:bCs/>
          <w:iCs/>
          <w:szCs w:val="24"/>
          <w:lang w:val="sr-Cyrl-CS"/>
        </w:rPr>
        <w:t>6</w:t>
      </w:r>
      <w:r w:rsidR="00A061AD" w:rsidRPr="00E84C93">
        <w:rPr>
          <w:b/>
          <w:bCs/>
          <w:iCs/>
          <w:szCs w:val="24"/>
          <w:lang w:val="sr-Cyrl-CS"/>
        </w:rPr>
        <w:t>.5.</w:t>
      </w:r>
      <w:r w:rsidR="00A061AD" w:rsidRPr="00E84C93">
        <w:rPr>
          <w:iCs/>
          <w:szCs w:val="24"/>
          <w:lang w:val="sr-Cyrl-CS"/>
        </w:rPr>
        <w:t xml:space="preserve"> </w:t>
      </w:r>
      <w:r w:rsidRPr="00E84C93">
        <w:rPr>
          <w:iCs/>
          <w:szCs w:val="24"/>
          <w:lang w:val="sr-Cyrl-CS"/>
        </w:rPr>
        <w:t xml:space="preserve">Краткорочне и средњорочне могућности одлагања и употребе муља за постројења </w:t>
      </w:r>
      <w:r w:rsidR="0016531B" w:rsidRPr="00E84C93">
        <w:rPr>
          <w:iCs/>
          <w:szCs w:val="24"/>
          <w:lang w:val="sr-Cyrl-CS"/>
        </w:rPr>
        <w:t>за пречишћавање отпадних вода</w:t>
      </w:r>
      <w:r w:rsidRPr="00E84C93">
        <w:rPr>
          <w:iCs/>
          <w:szCs w:val="24"/>
          <w:lang w:val="sr-Cyrl-CS"/>
        </w:rPr>
        <w:t xml:space="preserve"> у Јужној и </w:t>
      </w:r>
      <w:r w:rsidR="00CA45BD" w:rsidRPr="00E84C93">
        <w:rPr>
          <w:iCs/>
          <w:szCs w:val="24"/>
          <w:lang w:val="sr-Cyrl-CS"/>
        </w:rPr>
        <w:t>И</w:t>
      </w:r>
      <w:r w:rsidRPr="00E84C93">
        <w:rPr>
          <w:iCs/>
          <w:szCs w:val="24"/>
          <w:lang w:val="sr-Cyrl-CS"/>
        </w:rPr>
        <w:t>сточној Србији</w:t>
      </w:r>
    </w:p>
    <w:tbl>
      <w:tblPr>
        <w:tblW w:w="9480" w:type="dxa"/>
        <w:tblInd w:w="55" w:type="dxa"/>
        <w:tblCellMar>
          <w:left w:w="70" w:type="dxa"/>
          <w:right w:w="70" w:type="dxa"/>
        </w:tblCellMar>
        <w:tblLook w:val="04A0" w:firstRow="1" w:lastRow="0" w:firstColumn="1" w:lastColumn="0" w:noHBand="0" w:noVBand="1"/>
      </w:tblPr>
      <w:tblGrid>
        <w:gridCol w:w="1641"/>
        <w:gridCol w:w="1658"/>
        <w:gridCol w:w="1066"/>
        <w:gridCol w:w="1515"/>
        <w:gridCol w:w="1450"/>
        <w:gridCol w:w="2150"/>
      </w:tblGrid>
      <w:tr w:rsidR="00551CE8" w:rsidRPr="00E84C93" w14:paraId="7925B0AC" w14:textId="77777777" w:rsidTr="00BC2D3F">
        <w:trPr>
          <w:trHeight w:val="1322"/>
        </w:trPr>
        <w:tc>
          <w:tcPr>
            <w:tcW w:w="164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6E1CD4F" w14:textId="7C533F89" w:rsidR="00551CE8" w:rsidRPr="00E84C93" w:rsidRDefault="00551CE8" w:rsidP="00551CE8">
            <w:pPr>
              <w:spacing w:after="0"/>
              <w:rPr>
                <w:rFonts w:cs="Times New Roman"/>
                <w:b/>
                <w:sz w:val="22"/>
                <w:lang w:val="sr-Cyrl-CS" w:eastAsia="de-DE"/>
              </w:rPr>
            </w:pPr>
            <w:r w:rsidRPr="00E84C93">
              <w:rPr>
                <w:rFonts w:cs="Times New Roman"/>
                <w:b/>
                <w:sz w:val="22"/>
                <w:lang w:val="sr-Cyrl-CS" w:eastAsia="de-DE"/>
              </w:rPr>
              <w:t>Општина/Град</w:t>
            </w:r>
          </w:p>
        </w:tc>
        <w:tc>
          <w:tcPr>
            <w:tcW w:w="1658" w:type="dxa"/>
            <w:tcBorders>
              <w:top w:val="single" w:sz="4" w:space="0" w:color="auto"/>
              <w:left w:val="nil"/>
              <w:right w:val="single" w:sz="4" w:space="0" w:color="auto"/>
            </w:tcBorders>
            <w:shd w:val="clear" w:color="auto" w:fill="BDD6EE" w:themeFill="accent1" w:themeFillTint="66"/>
            <w:vAlign w:val="center"/>
            <w:hideMark/>
          </w:tcPr>
          <w:p w14:paraId="5F8E1F32" w14:textId="64B90FB4"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Пројектовани капацитет постројења за пречишћавање отпадних вода (ЕС)</w:t>
            </w:r>
          </w:p>
        </w:tc>
        <w:tc>
          <w:tcPr>
            <w:tcW w:w="106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A4FB6A6" w14:textId="4A8C5C98"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Година пуштања у рад</w:t>
            </w:r>
          </w:p>
        </w:tc>
        <w:tc>
          <w:tcPr>
            <w:tcW w:w="1515" w:type="dxa"/>
            <w:tcBorders>
              <w:top w:val="single" w:sz="4" w:space="0" w:color="auto"/>
              <w:left w:val="nil"/>
              <w:right w:val="nil"/>
            </w:tcBorders>
            <w:shd w:val="clear" w:color="auto" w:fill="BDD6EE" w:themeFill="accent1" w:themeFillTint="66"/>
            <w:vAlign w:val="bottom"/>
            <w:hideMark/>
          </w:tcPr>
          <w:p w14:paraId="0CD5EC53" w14:textId="77777777"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Захтев у погледу садржаја суве материје</w:t>
            </w:r>
          </w:p>
          <w:p w14:paraId="0F1EF751" w14:textId="05D7D884"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w:t>
            </w:r>
          </w:p>
        </w:tc>
        <w:tc>
          <w:tcPr>
            <w:tcW w:w="14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2029F51" w14:textId="5E6AB3AB"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Количина и садржај суве материје</w:t>
            </w:r>
          </w:p>
        </w:tc>
        <w:tc>
          <w:tcPr>
            <w:tcW w:w="21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9A6A571" w14:textId="77777777" w:rsidR="00551CE8" w:rsidRPr="00E84C93" w:rsidRDefault="00551CE8" w:rsidP="00551CE8">
            <w:pPr>
              <w:spacing w:after="0"/>
              <w:jc w:val="center"/>
              <w:rPr>
                <w:rFonts w:cs="Times New Roman"/>
                <w:b/>
                <w:sz w:val="22"/>
                <w:lang w:val="sr-Cyrl-CS" w:eastAsia="de-DE"/>
              </w:rPr>
            </w:pPr>
            <w:r w:rsidRPr="00E84C93">
              <w:rPr>
                <w:rFonts w:cs="Times New Roman"/>
                <w:b/>
                <w:sz w:val="22"/>
                <w:lang w:val="sr-Cyrl-CS" w:eastAsia="de-DE"/>
              </w:rPr>
              <w:t>Могућност одлагања/употребе</w:t>
            </w:r>
          </w:p>
        </w:tc>
      </w:tr>
      <w:tr w:rsidR="00702D2B" w:rsidRPr="00E84C93" w14:paraId="0907A06E" w14:textId="77777777" w:rsidTr="00BC2D3F">
        <w:trPr>
          <w:trHeight w:val="300"/>
        </w:trPr>
        <w:tc>
          <w:tcPr>
            <w:tcW w:w="1641" w:type="dxa"/>
            <w:tcBorders>
              <w:top w:val="single" w:sz="4" w:space="0" w:color="auto"/>
              <w:left w:val="single" w:sz="4" w:space="0" w:color="auto"/>
              <w:bottom w:val="single" w:sz="4" w:space="0" w:color="auto"/>
              <w:right w:val="single" w:sz="4" w:space="0" w:color="auto"/>
            </w:tcBorders>
            <w:vAlign w:val="center"/>
          </w:tcPr>
          <w:p w14:paraId="06E162C8" w14:textId="77777777"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Лесковац</w:t>
            </w:r>
          </w:p>
        </w:tc>
        <w:tc>
          <w:tcPr>
            <w:tcW w:w="1658" w:type="dxa"/>
            <w:tcBorders>
              <w:top w:val="single" w:sz="4" w:space="0" w:color="auto"/>
              <w:left w:val="single" w:sz="4" w:space="0" w:color="auto"/>
              <w:bottom w:val="single" w:sz="4" w:space="0" w:color="auto"/>
              <w:right w:val="single" w:sz="4" w:space="0" w:color="auto"/>
            </w:tcBorders>
            <w:vAlign w:val="center"/>
          </w:tcPr>
          <w:p w14:paraId="0F9744A3" w14:textId="77777777"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86.000</w:t>
            </w:r>
          </w:p>
        </w:tc>
        <w:tc>
          <w:tcPr>
            <w:tcW w:w="1066" w:type="dxa"/>
            <w:tcBorders>
              <w:top w:val="single" w:sz="4" w:space="0" w:color="auto"/>
              <w:left w:val="single" w:sz="4" w:space="0" w:color="auto"/>
              <w:bottom w:val="single" w:sz="4" w:space="0" w:color="auto"/>
              <w:right w:val="single" w:sz="4" w:space="0" w:color="auto"/>
            </w:tcBorders>
            <w:vAlign w:val="center"/>
          </w:tcPr>
          <w:p w14:paraId="3930DA9C" w14:textId="3EC4FC0D"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2021</w:t>
            </w:r>
            <w:r w:rsidR="00702D2B" w:rsidRPr="00E84C93">
              <w:rPr>
                <w:rFonts w:cs="Times New Roman"/>
                <w:bCs/>
                <w:sz w:val="22"/>
                <w:lang w:val="sr-Cyrl-CS" w:eastAsia="de-DE"/>
              </w:rPr>
              <w:t>.</w:t>
            </w:r>
          </w:p>
        </w:tc>
        <w:tc>
          <w:tcPr>
            <w:tcW w:w="1515" w:type="dxa"/>
            <w:tcBorders>
              <w:top w:val="single" w:sz="4" w:space="0" w:color="auto"/>
              <w:left w:val="nil"/>
              <w:bottom w:val="single" w:sz="4" w:space="0" w:color="auto"/>
              <w:right w:val="single" w:sz="4" w:space="0" w:color="auto"/>
            </w:tcBorders>
            <w:shd w:val="clear" w:color="auto" w:fill="auto"/>
            <w:vAlign w:val="bottom"/>
          </w:tcPr>
          <w:p w14:paraId="223F71C2" w14:textId="77777777" w:rsidR="00BE1209" w:rsidRPr="00E84C93" w:rsidRDefault="00BE1209" w:rsidP="00064A97">
            <w:pPr>
              <w:spacing w:after="0"/>
              <w:jc w:val="center"/>
              <w:rPr>
                <w:rFonts w:cs="Times New Roman"/>
                <w:bCs/>
                <w:sz w:val="22"/>
                <w:lang w:val="sr-Cyrl-CS" w:eastAsia="de-DE"/>
              </w:rPr>
            </w:pPr>
          </w:p>
        </w:tc>
        <w:tc>
          <w:tcPr>
            <w:tcW w:w="1450" w:type="dxa"/>
            <w:tcBorders>
              <w:top w:val="single" w:sz="4" w:space="0" w:color="auto"/>
              <w:left w:val="nil"/>
              <w:bottom w:val="single" w:sz="4" w:space="0" w:color="auto"/>
              <w:right w:val="single" w:sz="4" w:space="0" w:color="auto"/>
            </w:tcBorders>
            <w:shd w:val="clear" w:color="auto" w:fill="auto"/>
            <w:vAlign w:val="center"/>
          </w:tcPr>
          <w:p w14:paraId="76FBE635" w14:textId="5AB290EE"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23,4 m³ дневно </w:t>
            </w:r>
            <w:r w:rsidR="00551CE8" w:rsidRPr="00E84C93">
              <w:rPr>
                <w:rFonts w:cs="Times New Roman"/>
                <w:bCs/>
                <w:sz w:val="22"/>
                <w:lang w:val="sr-Cyrl-CS" w:eastAsia="de-DE"/>
              </w:rPr>
              <w:t>са</w:t>
            </w:r>
            <w:r w:rsidRPr="00E84C93">
              <w:rPr>
                <w:rFonts w:cs="Times New Roman"/>
                <w:bCs/>
                <w:sz w:val="22"/>
                <w:lang w:val="sr-Cyrl-CS" w:eastAsia="de-DE"/>
              </w:rPr>
              <w:t xml:space="preserve"> 22% </w:t>
            </w:r>
            <w:r w:rsidR="003C320D" w:rsidRPr="00E84C93">
              <w:rPr>
                <w:rFonts w:cs="Times New Roman"/>
                <w:bCs/>
                <w:sz w:val="22"/>
                <w:lang w:val="sr-Cyrl-CS" w:eastAsia="de-DE"/>
              </w:rPr>
              <w:t>СМ</w:t>
            </w:r>
          </w:p>
        </w:tc>
        <w:tc>
          <w:tcPr>
            <w:tcW w:w="2150" w:type="dxa"/>
            <w:tcBorders>
              <w:top w:val="single" w:sz="4" w:space="0" w:color="auto"/>
              <w:left w:val="nil"/>
              <w:bottom w:val="single" w:sz="4" w:space="0" w:color="auto"/>
              <w:right w:val="single" w:sz="4" w:space="0" w:color="auto"/>
            </w:tcBorders>
            <w:shd w:val="clear" w:color="auto" w:fill="auto"/>
            <w:vAlign w:val="center"/>
          </w:tcPr>
          <w:p w14:paraId="38BB6B14" w14:textId="77777777"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Депонија Жељковац</w:t>
            </w:r>
          </w:p>
        </w:tc>
      </w:tr>
      <w:tr w:rsidR="00702D2B" w:rsidRPr="00E84C93" w14:paraId="20CF92D0" w14:textId="77777777" w:rsidTr="00BC2D3F">
        <w:trPr>
          <w:trHeight w:val="300"/>
        </w:trPr>
        <w:tc>
          <w:tcPr>
            <w:tcW w:w="1641" w:type="dxa"/>
            <w:tcBorders>
              <w:top w:val="single" w:sz="4" w:space="0" w:color="auto"/>
              <w:left w:val="single" w:sz="4" w:space="0" w:color="auto"/>
              <w:bottom w:val="single" w:sz="4" w:space="0" w:color="auto"/>
              <w:right w:val="single" w:sz="4" w:space="0" w:color="auto"/>
            </w:tcBorders>
            <w:vAlign w:val="center"/>
          </w:tcPr>
          <w:p w14:paraId="04A25E5A" w14:textId="77777777"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Врање</w:t>
            </w:r>
          </w:p>
        </w:tc>
        <w:tc>
          <w:tcPr>
            <w:tcW w:w="1658" w:type="dxa"/>
            <w:tcBorders>
              <w:top w:val="single" w:sz="4" w:space="0" w:color="auto"/>
              <w:left w:val="single" w:sz="4" w:space="0" w:color="auto"/>
              <w:bottom w:val="single" w:sz="4" w:space="0" w:color="auto"/>
              <w:right w:val="single" w:sz="4" w:space="0" w:color="auto"/>
            </w:tcBorders>
            <w:vAlign w:val="center"/>
          </w:tcPr>
          <w:p w14:paraId="640A539F" w14:textId="77777777"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70.0000</w:t>
            </w:r>
          </w:p>
        </w:tc>
        <w:tc>
          <w:tcPr>
            <w:tcW w:w="1066" w:type="dxa"/>
            <w:tcBorders>
              <w:top w:val="single" w:sz="4" w:space="0" w:color="auto"/>
              <w:left w:val="single" w:sz="4" w:space="0" w:color="auto"/>
              <w:bottom w:val="single" w:sz="4" w:space="0" w:color="auto"/>
              <w:right w:val="single" w:sz="4" w:space="0" w:color="auto"/>
            </w:tcBorders>
            <w:vAlign w:val="center"/>
          </w:tcPr>
          <w:p w14:paraId="7B36EC0D" w14:textId="26064AA0"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2022</w:t>
            </w:r>
            <w:r w:rsidR="00702D2B" w:rsidRPr="00E84C93">
              <w:rPr>
                <w:rFonts w:cs="Times New Roman"/>
                <w:bCs/>
                <w:sz w:val="22"/>
                <w:lang w:val="sr-Cyrl-CS" w:eastAsia="de-DE"/>
              </w:rPr>
              <w:t>.</w:t>
            </w:r>
          </w:p>
        </w:tc>
        <w:tc>
          <w:tcPr>
            <w:tcW w:w="1515" w:type="dxa"/>
            <w:tcBorders>
              <w:top w:val="single" w:sz="4" w:space="0" w:color="auto"/>
              <w:left w:val="nil"/>
              <w:bottom w:val="single" w:sz="4" w:space="0" w:color="auto"/>
              <w:right w:val="single" w:sz="4" w:space="0" w:color="auto"/>
            </w:tcBorders>
            <w:shd w:val="clear" w:color="auto" w:fill="auto"/>
            <w:vAlign w:val="bottom"/>
          </w:tcPr>
          <w:p w14:paraId="050AA124" w14:textId="77777777" w:rsidR="00BE1209" w:rsidRPr="00E84C93" w:rsidRDefault="00BE1209" w:rsidP="00064A97">
            <w:pPr>
              <w:spacing w:after="0"/>
              <w:jc w:val="center"/>
              <w:rPr>
                <w:rFonts w:cs="Times New Roman"/>
                <w:bCs/>
                <w:sz w:val="22"/>
                <w:lang w:val="sr-Cyrl-CS" w:eastAsia="de-DE"/>
              </w:rPr>
            </w:pPr>
          </w:p>
        </w:tc>
        <w:tc>
          <w:tcPr>
            <w:tcW w:w="1450" w:type="dxa"/>
            <w:tcBorders>
              <w:top w:val="single" w:sz="4" w:space="0" w:color="auto"/>
              <w:left w:val="nil"/>
              <w:bottom w:val="single" w:sz="4" w:space="0" w:color="auto"/>
              <w:right w:val="single" w:sz="4" w:space="0" w:color="auto"/>
            </w:tcBorders>
            <w:shd w:val="clear" w:color="auto" w:fill="auto"/>
            <w:vAlign w:val="center"/>
          </w:tcPr>
          <w:p w14:paraId="03D4A3A5" w14:textId="2BD28D6F"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1.800 </w:t>
            </w:r>
            <w:r w:rsidR="006F55C9" w:rsidRPr="00E84C93">
              <w:rPr>
                <w:rFonts w:cs="Times New Roman"/>
                <w:bCs/>
                <w:color w:val="000000"/>
                <w:sz w:val="22"/>
                <w:lang w:val="sr-Cyrl-CS" w:eastAsia="de-DE"/>
              </w:rPr>
              <w:t xml:space="preserve">t/год. </w:t>
            </w:r>
            <w:r w:rsidR="00551CE8" w:rsidRPr="00E84C93">
              <w:rPr>
                <w:rFonts w:cs="Times New Roman"/>
                <w:bCs/>
                <w:sz w:val="22"/>
                <w:lang w:val="sr-Cyrl-CS" w:eastAsia="de-DE"/>
              </w:rPr>
              <w:t>са</w:t>
            </w:r>
            <w:r w:rsidRPr="00E84C93">
              <w:rPr>
                <w:rFonts w:cs="Times New Roman"/>
                <w:bCs/>
                <w:sz w:val="22"/>
                <w:lang w:val="sr-Cyrl-CS" w:eastAsia="de-DE"/>
              </w:rPr>
              <w:t xml:space="preserve"> 28% </w:t>
            </w:r>
            <w:r w:rsidR="00044C5A" w:rsidRPr="00E84C93">
              <w:rPr>
                <w:rFonts w:cs="Times New Roman"/>
                <w:bCs/>
                <w:sz w:val="22"/>
                <w:lang w:val="sr-Cyrl-CS" w:eastAsia="de-DE"/>
              </w:rPr>
              <w:t>СМ</w:t>
            </w:r>
          </w:p>
        </w:tc>
        <w:tc>
          <w:tcPr>
            <w:tcW w:w="2150" w:type="dxa"/>
            <w:tcBorders>
              <w:top w:val="single" w:sz="4" w:space="0" w:color="auto"/>
              <w:left w:val="nil"/>
              <w:bottom w:val="single" w:sz="4" w:space="0" w:color="auto"/>
              <w:right w:val="single" w:sz="4" w:space="0" w:color="auto"/>
            </w:tcBorders>
            <w:shd w:val="clear" w:color="auto" w:fill="auto"/>
            <w:vAlign w:val="center"/>
          </w:tcPr>
          <w:p w14:paraId="0F96A1F3" w14:textId="77777777" w:rsidR="00BE1209" w:rsidRPr="00E84C93" w:rsidRDefault="00BE1209" w:rsidP="00064A97">
            <w:pPr>
              <w:spacing w:after="0"/>
              <w:rPr>
                <w:rFonts w:cs="Times New Roman"/>
                <w:bCs/>
                <w:sz w:val="22"/>
                <w:lang w:val="sr-Cyrl-CS" w:eastAsia="de-DE"/>
              </w:rPr>
            </w:pPr>
          </w:p>
        </w:tc>
      </w:tr>
      <w:tr w:rsidR="00702D2B" w:rsidRPr="00E84C93" w14:paraId="57548BCC" w14:textId="77777777" w:rsidTr="00BC2D3F">
        <w:trPr>
          <w:trHeight w:val="300"/>
        </w:trPr>
        <w:tc>
          <w:tcPr>
            <w:tcW w:w="16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FFD7E" w14:textId="77777777"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Пирот</w:t>
            </w:r>
          </w:p>
        </w:tc>
        <w:tc>
          <w:tcPr>
            <w:tcW w:w="1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ECB2FF" w14:textId="77777777"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52.000</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14:paraId="669BD3E0" w14:textId="5A69B60A"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2025</w:t>
            </w:r>
            <w:r w:rsidR="00702D2B" w:rsidRPr="00E84C93">
              <w:rPr>
                <w:rFonts w:cs="Times New Roman"/>
                <w:bCs/>
                <w:sz w:val="22"/>
                <w:lang w:val="sr-Cyrl-CS" w:eastAsia="de-DE"/>
              </w:rPr>
              <w:t>.</w:t>
            </w:r>
          </w:p>
        </w:tc>
        <w:tc>
          <w:tcPr>
            <w:tcW w:w="1515" w:type="dxa"/>
            <w:tcBorders>
              <w:top w:val="nil"/>
              <w:left w:val="nil"/>
              <w:bottom w:val="single" w:sz="4" w:space="0" w:color="auto"/>
              <w:right w:val="single" w:sz="4" w:space="0" w:color="auto"/>
            </w:tcBorders>
            <w:shd w:val="clear" w:color="auto" w:fill="auto"/>
            <w:vAlign w:val="bottom"/>
            <w:hideMark/>
          </w:tcPr>
          <w:p w14:paraId="031C204E" w14:textId="77777777"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20</w:t>
            </w:r>
          </w:p>
        </w:tc>
        <w:tc>
          <w:tcPr>
            <w:tcW w:w="1450" w:type="dxa"/>
            <w:tcBorders>
              <w:top w:val="nil"/>
              <w:left w:val="nil"/>
              <w:bottom w:val="single" w:sz="4" w:space="0" w:color="auto"/>
              <w:right w:val="single" w:sz="4" w:space="0" w:color="auto"/>
            </w:tcBorders>
            <w:shd w:val="clear" w:color="auto" w:fill="auto"/>
            <w:vAlign w:val="center"/>
            <w:hideMark/>
          </w:tcPr>
          <w:p w14:paraId="69100156" w14:textId="15EFF12F"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4.448 </w:t>
            </w:r>
            <w:r w:rsidR="006F55C9" w:rsidRPr="00E84C93">
              <w:rPr>
                <w:rFonts w:cs="Times New Roman"/>
                <w:bCs/>
                <w:color w:val="000000"/>
                <w:sz w:val="22"/>
                <w:lang w:val="sr-Cyrl-CS" w:eastAsia="de-DE"/>
              </w:rPr>
              <w:t xml:space="preserve">t/год. </w:t>
            </w:r>
            <w:r w:rsidR="00551CE8" w:rsidRPr="00E84C93">
              <w:rPr>
                <w:rFonts w:cs="Times New Roman"/>
                <w:bCs/>
                <w:sz w:val="22"/>
                <w:lang w:val="sr-Cyrl-CS" w:eastAsia="de-DE"/>
              </w:rPr>
              <w:t xml:space="preserve">са </w:t>
            </w:r>
            <w:r w:rsidRPr="00E84C93">
              <w:rPr>
                <w:rFonts w:cs="Times New Roman"/>
                <w:bCs/>
                <w:sz w:val="22"/>
                <w:lang w:val="sr-Cyrl-CS" w:eastAsia="de-DE"/>
              </w:rPr>
              <w:t xml:space="preserve">20% </w:t>
            </w:r>
            <w:r w:rsidR="00044C5A" w:rsidRPr="00E84C93">
              <w:rPr>
                <w:rFonts w:cs="Times New Roman"/>
                <w:bCs/>
                <w:sz w:val="22"/>
                <w:lang w:val="sr-Cyrl-CS" w:eastAsia="de-DE"/>
              </w:rPr>
              <w:t>СМ</w:t>
            </w:r>
          </w:p>
        </w:tc>
        <w:tc>
          <w:tcPr>
            <w:tcW w:w="2150" w:type="dxa"/>
            <w:tcBorders>
              <w:top w:val="nil"/>
              <w:left w:val="nil"/>
              <w:bottom w:val="single" w:sz="4" w:space="0" w:color="auto"/>
              <w:right w:val="single" w:sz="4" w:space="0" w:color="auto"/>
            </w:tcBorders>
            <w:shd w:val="clear" w:color="auto" w:fill="auto"/>
            <w:vAlign w:val="center"/>
            <w:hideMark/>
          </w:tcPr>
          <w:p w14:paraId="26103882" w14:textId="162BC730"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Ко</w:t>
            </w:r>
            <w:r w:rsidR="00A72815" w:rsidRPr="00E84C93">
              <w:rPr>
                <w:rFonts w:cs="Times New Roman"/>
                <w:bCs/>
                <w:sz w:val="22"/>
                <w:lang w:val="sr-Cyrl-CS" w:eastAsia="de-DE"/>
              </w:rPr>
              <w:t>-</w:t>
            </w:r>
            <w:r w:rsidRPr="00E84C93">
              <w:rPr>
                <w:rFonts w:cs="Times New Roman"/>
                <w:bCs/>
                <w:sz w:val="22"/>
                <w:lang w:val="sr-Cyrl-CS" w:eastAsia="de-DE"/>
              </w:rPr>
              <w:t xml:space="preserve">компостирање на депонији </w:t>
            </w:r>
            <w:r w:rsidR="00854F2E" w:rsidRPr="00E84C93">
              <w:rPr>
                <w:rFonts w:cs="Times New Roman"/>
                <w:bCs/>
                <w:sz w:val="22"/>
                <w:lang w:val="sr-Cyrl-CS" w:eastAsia="de-DE"/>
              </w:rPr>
              <w:t xml:space="preserve">у </w:t>
            </w:r>
            <w:r w:rsidRPr="00E84C93">
              <w:rPr>
                <w:rFonts w:cs="Times New Roman"/>
                <w:bCs/>
                <w:sz w:val="22"/>
                <w:lang w:val="sr-Cyrl-CS" w:eastAsia="de-DE"/>
              </w:rPr>
              <w:t>Пирот</w:t>
            </w:r>
            <w:r w:rsidR="00854F2E" w:rsidRPr="00E84C93">
              <w:rPr>
                <w:rFonts w:cs="Times New Roman"/>
                <w:bCs/>
                <w:sz w:val="22"/>
                <w:lang w:val="sr-Cyrl-CS" w:eastAsia="de-DE"/>
              </w:rPr>
              <w:t>у</w:t>
            </w:r>
            <w:r w:rsidRPr="00E84C93">
              <w:rPr>
                <w:rFonts w:cs="Times New Roman"/>
                <w:bCs/>
                <w:sz w:val="22"/>
                <w:lang w:val="sr-Cyrl-CS" w:eastAsia="de-DE"/>
              </w:rPr>
              <w:t xml:space="preserve"> </w:t>
            </w:r>
          </w:p>
        </w:tc>
      </w:tr>
      <w:tr w:rsidR="00702D2B" w:rsidRPr="00E84C93" w14:paraId="379AB4F1" w14:textId="77777777" w:rsidTr="00BC2D3F">
        <w:trPr>
          <w:trHeight w:val="300"/>
        </w:trPr>
        <w:tc>
          <w:tcPr>
            <w:tcW w:w="1641" w:type="dxa"/>
            <w:vMerge/>
            <w:tcBorders>
              <w:top w:val="nil"/>
              <w:left w:val="single" w:sz="4" w:space="0" w:color="auto"/>
              <w:bottom w:val="single" w:sz="4" w:space="0" w:color="auto"/>
              <w:right w:val="single" w:sz="4" w:space="0" w:color="auto"/>
            </w:tcBorders>
            <w:vAlign w:val="center"/>
            <w:hideMark/>
          </w:tcPr>
          <w:p w14:paraId="6183F044" w14:textId="77777777" w:rsidR="00BE1209" w:rsidRPr="00E84C93" w:rsidRDefault="00BE1209" w:rsidP="00064A97">
            <w:pPr>
              <w:spacing w:after="0"/>
              <w:rPr>
                <w:rFonts w:cs="Times New Roman"/>
                <w:bCs/>
                <w:sz w:val="22"/>
                <w:lang w:val="sr-Cyrl-CS" w:eastAsia="de-DE"/>
              </w:rPr>
            </w:pPr>
          </w:p>
        </w:tc>
        <w:tc>
          <w:tcPr>
            <w:tcW w:w="1658" w:type="dxa"/>
            <w:vMerge/>
            <w:tcBorders>
              <w:top w:val="nil"/>
              <w:left w:val="single" w:sz="4" w:space="0" w:color="auto"/>
              <w:bottom w:val="single" w:sz="4" w:space="0" w:color="auto"/>
              <w:right w:val="single" w:sz="4" w:space="0" w:color="auto"/>
            </w:tcBorders>
            <w:vAlign w:val="center"/>
            <w:hideMark/>
          </w:tcPr>
          <w:p w14:paraId="1DA554C5" w14:textId="77777777" w:rsidR="00BE1209" w:rsidRPr="00E84C93" w:rsidRDefault="00BE1209" w:rsidP="00064A97">
            <w:pPr>
              <w:spacing w:after="0"/>
              <w:rPr>
                <w:rFonts w:cs="Times New Roman"/>
                <w:bCs/>
                <w:sz w:val="22"/>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6AB1CAE7" w14:textId="77777777" w:rsidR="00BE1209" w:rsidRPr="00E84C93" w:rsidRDefault="00BE1209" w:rsidP="00064A97">
            <w:pPr>
              <w:spacing w:after="0"/>
              <w:rPr>
                <w:rFonts w:cs="Times New Roman"/>
                <w:bCs/>
                <w:sz w:val="22"/>
                <w:lang w:val="sr-Cyrl-CS" w:eastAsia="de-DE"/>
              </w:rPr>
            </w:pPr>
          </w:p>
        </w:tc>
        <w:tc>
          <w:tcPr>
            <w:tcW w:w="1515" w:type="dxa"/>
            <w:tcBorders>
              <w:top w:val="nil"/>
              <w:left w:val="nil"/>
              <w:bottom w:val="single" w:sz="4" w:space="0" w:color="auto"/>
              <w:right w:val="single" w:sz="4" w:space="0" w:color="auto"/>
            </w:tcBorders>
            <w:shd w:val="clear" w:color="auto" w:fill="auto"/>
            <w:vAlign w:val="bottom"/>
            <w:hideMark/>
          </w:tcPr>
          <w:p w14:paraId="41C1E8BE" w14:textId="77777777" w:rsidR="00BE1209" w:rsidRPr="00E84C93" w:rsidRDefault="00BE1209" w:rsidP="00064A97">
            <w:pPr>
              <w:spacing w:after="0"/>
              <w:jc w:val="center"/>
              <w:rPr>
                <w:rFonts w:cs="Times New Roman"/>
                <w:bCs/>
                <w:sz w:val="22"/>
                <w:lang w:val="sr-Cyrl-CS" w:eastAsia="de-DE"/>
              </w:rPr>
            </w:pPr>
            <w:r w:rsidRPr="00E84C93">
              <w:rPr>
                <w:rFonts w:cs="Times New Roman"/>
                <w:bCs/>
                <w:sz w:val="22"/>
                <w:lang w:val="sr-Cyrl-CS" w:eastAsia="de-DE"/>
              </w:rPr>
              <w:t>20-(30)</w:t>
            </w:r>
          </w:p>
        </w:tc>
        <w:tc>
          <w:tcPr>
            <w:tcW w:w="1450" w:type="dxa"/>
            <w:tcBorders>
              <w:top w:val="nil"/>
              <w:left w:val="nil"/>
              <w:bottom w:val="single" w:sz="4" w:space="0" w:color="auto"/>
              <w:right w:val="single" w:sz="4" w:space="0" w:color="auto"/>
            </w:tcBorders>
            <w:shd w:val="clear" w:color="auto" w:fill="auto"/>
            <w:vAlign w:val="center"/>
            <w:hideMark/>
          </w:tcPr>
          <w:p w14:paraId="470A9F48" w14:textId="5DCA1DAE"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1</w:t>
            </w:r>
            <w:r w:rsidR="006F55C9" w:rsidRPr="00E84C93">
              <w:rPr>
                <w:rFonts w:cs="Times New Roman"/>
                <w:bCs/>
                <w:sz w:val="22"/>
                <w:lang w:val="sr-Cyrl-CS" w:eastAsia="de-DE"/>
              </w:rPr>
              <w:t>.</w:t>
            </w:r>
            <w:r w:rsidRPr="00E84C93">
              <w:rPr>
                <w:rFonts w:cs="Times New Roman"/>
                <w:bCs/>
                <w:sz w:val="22"/>
                <w:lang w:val="sr-Cyrl-CS" w:eastAsia="de-DE"/>
              </w:rPr>
              <w:t xml:space="preserve">537 </w:t>
            </w:r>
            <w:r w:rsidR="006F55C9" w:rsidRPr="00E84C93">
              <w:rPr>
                <w:rFonts w:cs="Times New Roman"/>
                <w:bCs/>
                <w:color w:val="000000"/>
                <w:sz w:val="22"/>
                <w:lang w:val="sr-Cyrl-CS" w:eastAsia="de-DE"/>
              </w:rPr>
              <w:t xml:space="preserve">t/год. </w:t>
            </w:r>
            <w:r w:rsidR="00551CE8" w:rsidRPr="00E84C93">
              <w:rPr>
                <w:rFonts w:cs="Times New Roman"/>
                <w:bCs/>
                <w:sz w:val="22"/>
                <w:lang w:val="sr-Cyrl-CS" w:eastAsia="de-DE"/>
              </w:rPr>
              <w:t>са</w:t>
            </w:r>
            <w:r w:rsidRPr="00E84C93">
              <w:rPr>
                <w:rFonts w:cs="Times New Roman"/>
                <w:bCs/>
                <w:sz w:val="22"/>
                <w:lang w:val="sr-Cyrl-CS" w:eastAsia="de-DE"/>
              </w:rPr>
              <w:t xml:space="preserve"> 60% </w:t>
            </w:r>
            <w:r w:rsidR="00044C5A" w:rsidRPr="00E84C93">
              <w:rPr>
                <w:rFonts w:cs="Times New Roman"/>
                <w:bCs/>
                <w:sz w:val="22"/>
                <w:lang w:val="sr-Cyrl-CS" w:eastAsia="de-DE"/>
              </w:rPr>
              <w:t>СМ</w:t>
            </w:r>
          </w:p>
        </w:tc>
        <w:tc>
          <w:tcPr>
            <w:tcW w:w="2150" w:type="dxa"/>
            <w:tcBorders>
              <w:top w:val="nil"/>
              <w:left w:val="nil"/>
              <w:bottom w:val="single" w:sz="4" w:space="0" w:color="auto"/>
              <w:right w:val="single" w:sz="4" w:space="0" w:color="auto"/>
            </w:tcBorders>
            <w:shd w:val="clear" w:color="auto" w:fill="auto"/>
            <w:vAlign w:val="center"/>
            <w:hideMark/>
          </w:tcPr>
          <w:p w14:paraId="7D8D7A53" w14:textId="6D8693D8"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Употреба у пољопривреди </w:t>
            </w:r>
          </w:p>
        </w:tc>
      </w:tr>
      <w:tr w:rsidR="00702D2B" w:rsidRPr="00E84C93" w14:paraId="61B904BA" w14:textId="77777777" w:rsidTr="00BC2D3F">
        <w:trPr>
          <w:trHeight w:val="300"/>
        </w:trPr>
        <w:tc>
          <w:tcPr>
            <w:tcW w:w="1641" w:type="dxa"/>
            <w:vMerge/>
            <w:tcBorders>
              <w:top w:val="nil"/>
              <w:left w:val="single" w:sz="4" w:space="0" w:color="auto"/>
              <w:bottom w:val="single" w:sz="4" w:space="0" w:color="auto"/>
              <w:right w:val="single" w:sz="4" w:space="0" w:color="auto"/>
            </w:tcBorders>
            <w:vAlign w:val="center"/>
            <w:hideMark/>
          </w:tcPr>
          <w:p w14:paraId="451C65E1" w14:textId="77777777" w:rsidR="00BE1209" w:rsidRPr="00E84C93" w:rsidRDefault="00BE1209" w:rsidP="00064A97">
            <w:pPr>
              <w:spacing w:after="0"/>
              <w:rPr>
                <w:rFonts w:cs="Times New Roman"/>
                <w:bCs/>
                <w:sz w:val="20"/>
                <w:szCs w:val="20"/>
                <w:lang w:val="sr-Cyrl-CS" w:eastAsia="de-DE"/>
              </w:rPr>
            </w:pPr>
          </w:p>
        </w:tc>
        <w:tc>
          <w:tcPr>
            <w:tcW w:w="1658" w:type="dxa"/>
            <w:vMerge/>
            <w:tcBorders>
              <w:top w:val="nil"/>
              <w:left w:val="single" w:sz="4" w:space="0" w:color="auto"/>
              <w:bottom w:val="single" w:sz="4" w:space="0" w:color="auto"/>
              <w:right w:val="single" w:sz="4" w:space="0" w:color="auto"/>
            </w:tcBorders>
            <w:vAlign w:val="center"/>
            <w:hideMark/>
          </w:tcPr>
          <w:p w14:paraId="6D7D4AE4" w14:textId="77777777" w:rsidR="00BE1209" w:rsidRPr="00E84C93" w:rsidRDefault="00BE1209" w:rsidP="00064A97">
            <w:pPr>
              <w:spacing w:after="0"/>
              <w:rPr>
                <w:rFonts w:cs="Times New Roman"/>
                <w:bCs/>
                <w:sz w:val="20"/>
                <w:szCs w:val="20"/>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7AAF0B14" w14:textId="77777777" w:rsidR="00BE1209" w:rsidRPr="00E84C93" w:rsidRDefault="00BE1209" w:rsidP="00064A97">
            <w:pPr>
              <w:spacing w:after="0"/>
              <w:rPr>
                <w:rFonts w:cs="Times New Roman"/>
                <w:bCs/>
                <w:sz w:val="20"/>
                <w:szCs w:val="20"/>
                <w:lang w:val="sr-Cyrl-CS" w:eastAsia="de-DE"/>
              </w:rPr>
            </w:pPr>
          </w:p>
        </w:tc>
        <w:tc>
          <w:tcPr>
            <w:tcW w:w="1515" w:type="dxa"/>
            <w:tcBorders>
              <w:top w:val="nil"/>
              <w:left w:val="nil"/>
              <w:bottom w:val="single" w:sz="4" w:space="0" w:color="auto"/>
              <w:right w:val="single" w:sz="4" w:space="0" w:color="auto"/>
            </w:tcBorders>
            <w:shd w:val="clear" w:color="auto" w:fill="auto"/>
            <w:vAlign w:val="bottom"/>
            <w:hideMark/>
          </w:tcPr>
          <w:p w14:paraId="28490104"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60-70</w:t>
            </w:r>
            <w:r w:rsidRPr="00E84C93">
              <w:rPr>
                <w:rFonts w:cs="Times New Roman"/>
                <w:bCs/>
                <w:sz w:val="20"/>
                <w:szCs w:val="20"/>
                <w:vertAlign w:val="superscript"/>
                <w:lang w:val="sr-Cyrl-CS" w:eastAsia="de-DE"/>
              </w:rPr>
              <w:t>2</w:t>
            </w:r>
          </w:p>
        </w:tc>
        <w:tc>
          <w:tcPr>
            <w:tcW w:w="1450" w:type="dxa"/>
            <w:tcBorders>
              <w:top w:val="nil"/>
              <w:left w:val="nil"/>
              <w:bottom w:val="single" w:sz="4" w:space="0" w:color="auto"/>
              <w:right w:val="single" w:sz="4" w:space="0" w:color="auto"/>
            </w:tcBorders>
            <w:shd w:val="clear" w:color="auto" w:fill="auto"/>
            <w:hideMark/>
          </w:tcPr>
          <w:p w14:paraId="13B8CEF2" w14:textId="77777777" w:rsidR="00BE1209" w:rsidRPr="00E84C93" w:rsidRDefault="00BE1209" w:rsidP="00064A97">
            <w:pPr>
              <w:spacing w:after="0"/>
              <w:rPr>
                <w:rFonts w:cs="Times New Roman"/>
                <w:bCs/>
                <w:sz w:val="22"/>
                <w:lang w:val="sr-Cyrl-CS" w:eastAsia="de-DE"/>
              </w:rPr>
            </w:pPr>
          </w:p>
        </w:tc>
        <w:tc>
          <w:tcPr>
            <w:tcW w:w="2150" w:type="dxa"/>
            <w:tcBorders>
              <w:top w:val="nil"/>
              <w:left w:val="nil"/>
              <w:bottom w:val="single" w:sz="4" w:space="0" w:color="auto"/>
              <w:right w:val="single" w:sz="4" w:space="0" w:color="auto"/>
            </w:tcBorders>
            <w:shd w:val="clear" w:color="auto" w:fill="auto"/>
            <w:vAlign w:val="center"/>
            <w:hideMark/>
          </w:tcPr>
          <w:p w14:paraId="33E7E13F" w14:textId="76B12D1F" w:rsidR="00BE1209" w:rsidRPr="00E84C93" w:rsidRDefault="00517960" w:rsidP="00064A97">
            <w:pPr>
              <w:spacing w:after="0"/>
              <w:rPr>
                <w:rFonts w:cs="Times New Roman"/>
                <w:bCs/>
                <w:sz w:val="22"/>
                <w:lang w:val="sr-Cyrl-CS" w:eastAsia="de-DE"/>
              </w:rPr>
            </w:pPr>
            <w:r w:rsidRPr="00E84C93">
              <w:rPr>
                <w:rFonts w:cs="Times New Roman"/>
                <w:bCs/>
                <w:color w:val="000000"/>
                <w:sz w:val="22"/>
                <w:lang w:val="sr-Cyrl-CS" w:eastAsia="de-DE"/>
              </w:rPr>
              <w:t xml:space="preserve">Коинсинерација </w:t>
            </w:r>
            <w:r w:rsidR="00BE1209" w:rsidRPr="00E84C93">
              <w:rPr>
                <w:rFonts w:cs="Times New Roman"/>
                <w:bCs/>
                <w:sz w:val="22"/>
                <w:lang w:val="sr-Cyrl-CS" w:eastAsia="de-DE"/>
              </w:rPr>
              <w:t xml:space="preserve">у </w:t>
            </w:r>
            <w:r w:rsidR="00A52E1A" w:rsidRPr="00E84C93">
              <w:rPr>
                <w:rFonts w:cs="Times New Roman"/>
                <w:bCs/>
                <w:sz w:val="22"/>
                <w:lang w:val="sr-Cyrl-CS" w:eastAsia="de-DE"/>
              </w:rPr>
              <w:t>фабрици цемента</w:t>
            </w:r>
            <w:r w:rsidR="00BE1209" w:rsidRPr="00E84C93">
              <w:rPr>
                <w:rFonts w:cs="Times New Roman"/>
                <w:bCs/>
                <w:sz w:val="22"/>
                <w:lang w:val="sr-Cyrl-CS" w:eastAsia="de-DE"/>
              </w:rPr>
              <w:t xml:space="preserve"> </w:t>
            </w:r>
            <w:r w:rsidR="00F51ED7" w:rsidRPr="00E84C93">
              <w:rPr>
                <w:rFonts w:cs="Times New Roman"/>
                <w:bCs/>
                <w:color w:val="000000"/>
                <w:sz w:val="22"/>
                <w:lang w:val="sr-Cyrl-CS" w:eastAsia="de-DE"/>
              </w:rPr>
              <w:t>Моравацем</w:t>
            </w:r>
            <w:r w:rsidR="00BE1209" w:rsidRPr="00E84C93">
              <w:rPr>
                <w:rFonts w:cs="Times New Roman"/>
                <w:bCs/>
                <w:sz w:val="22"/>
                <w:lang w:val="sr-Cyrl-CS" w:eastAsia="de-DE"/>
              </w:rPr>
              <w:t>, Поповац</w:t>
            </w:r>
          </w:p>
        </w:tc>
      </w:tr>
      <w:tr w:rsidR="00702D2B" w:rsidRPr="00E84C93" w14:paraId="640D30BD" w14:textId="77777777" w:rsidTr="00BC2D3F">
        <w:trPr>
          <w:trHeight w:val="300"/>
        </w:trPr>
        <w:tc>
          <w:tcPr>
            <w:tcW w:w="16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F7416B" w14:textId="77777777" w:rsidR="00BE1209" w:rsidRPr="00E84C93" w:rsidRDefault="00BE1209" w:rsidP="00064A97">
            <w:pPr>
              <w:spacing w:after="0"/>
              <w:rPr>
                <w:rFonts w:cs="Times New Roman"/>
                <w:bCs/>
                <w:sz w:val="20"/>
                <w:szCs w:val="20"/>
                <w:lang w:val="sr-Cyrl-CS" w:eastAsia="de-DE"/>
              </w:rPr>
            </w:pPr>
            <w:r w:rsidRPr="00E84C93">
              <w:rPr>
                <w:rFonts w:cs="Times New Roman"/>
                <w:bCs/>
                <w:sz w:val="20"/>
                <w:szCs w:val="20"/>
                <w:lang w:val="sr-Cyrl-CS" w:eastAsia="de-DE"/>
              </w:rPr>
              <w:t>Трстеник</w:t>
            </w:r>
          </w:p>
        </w:tc>
        <w:tc>
          <w:tcPr>
            <w:tcW w:w="1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956449"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18.000</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14:paraId="5F352A1F" w14:textId="24797646"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2025</w:t>
            </w:r>
            <w:r w:rsidR="00702D2B" w:rsidRPr="00E84C93">
              <w:rPr>
                <w:rFonts w:cs="Times New Roman"/>
                <w:bCs/>
                <w:sz w:val="20"/>
                <w:szCs w:val="20"/>
                <w:lang w:val="sr-Cyrl-CS" w:eastAsia="de-DE"/>
              </w:rPr>
              <w:t>.</w:t>
            </w:r>
          </w:p>
        </w:tc>
        <w:tc>
          <w:tcPr>
            <w:tcW w:w="1515" w:type="dxa"/>
            <w:tcBorders>
              <w:top w:val="nil"/>
              <w:left w:val="nil"/>
              <w:bottom w:val="single" w:sz="4" w:space="0" w:color="auto"/>
              <w:right w:val="single" w:sz="4" w:space="0" w:color="auto"/>
            </w:tcBorders>
            <w:shd w:val="clear" w:color="auto" w:fill="auto"/>
            <w:vAlign w:val="bottom"/>
            <w:hideMark/>
          </w:tcPr>
          <w:p w14:paraId="159DCCCB"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биће утврђен</w:t>
            </w:r>
            <w:r w:rsidRPr="00E84C93">
              <w:rPr>
                <w:rFonts w:cs="Times New Roman"/>
                <w:bCs/>
                <w:sz w:val="20"/>
                <w:szCs w:val="20"/>
                <w:vertAlign w:val="superscript"/>
                <w:lang w:val="sr-Cyrl-CS" w:eastAsia="de-DE"/>
              </w:rPr>
              <w:t>1</w:t>
            </w:r>
          </w:p>
        </w:tc>
        <w:tc>
          <w:tcPr>
            <w:tcW w:w="1450" w:type="dxa"/>
            <w:tcBorders>
              <w:top w:val="nil"/>
              <w:left w:val="nil"/>
              <w:bottom w:val="single" w:sz="4" w:space="0" w:color="auto"/>
              <w:right w:val="single" w:sz="4" w:space="0" w:color="auto"/>
            </w:tcBorders>
            <w:shd w:val="clear" w:color="auto" w:fill="auto"/>
            <w:vAlign w:val="center"/>
            <w:hideMark/>
          </w:tcPr>
          <w:p w14:paraId="61C63FF1" w14:textId="2CA75CC5"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1</w:t>
            </w:r>
            <w:r w:rsidR="006F55C9" w:rsidRPr="00E84C93">
              <w:rPr>
                <w:rFonts w:cs="Times New Roman"/>
                <w:bCs/>
                <w:sz w:val="22"/>
                <w:lang w:val="sr-Cyrl-CS" w:eastAsia="de-DE"/>
              </w:rPr>
              <w:t>.</w:t>
            </w:r>
            <w:r w:rsidRPr="00E84C93">
              <w:rPr>
                <w:rFonts w:cs="Times New Roman"/>
                <w:bCs/>
                <w:sz w:val="22"/>
                <w:lang w:val="sr-Cyrl-CS" w:eastAsia="de-DE"/>
              </w:rPr>
              <w:t xml:space="preserve">553 </w:t>
            </w:r>
            <w:r w:rsidR="006F55C9" w:rsidRPr="00E84C93">
              <w:rPr>
                <w:rFonts w:cs="Times New Roman"/>
                <w:bCs/>
                <w:color w:val="000000"/>
                <w:sz w:val="22"/>
                <w:lang w:val="sr-Cyrl-CS" w:eastAsia="de-DE"/>
              </w:rPr>
              <w:t xml:space="preserve">t/год. </w:t>
            </w:r>
            <w:r w:rsidR="00551CE8" w:rsidRPr="00E84C93">
              <w:rPr>
                <w:rFonts w:cs="Times New Roman"/>
                <w:bCs/>
                <w:sz w:val="22"/>
                <w:lang w:val="sr-Cyrl-CS" w:eastAsia="de-DE"/>
              </w:rPr>
              <w:t xml:space="preserve">са </w:t>
            </w:r>
            <w:r w:rsidRPr="00E84C93">
              <w:rPr>
                <w:rFonts w:cs="Times New Roman"/>
                <w:bCs/>
                <w:sz w:val="22"/>
                <w:lang w:val="sr-Cyrl-CS" w:eastAsia="de-DE"/>
              </w:rPr>
              <w:t xml:space="preserve">20% </w:t>
            </w:r>
            <w:r w:rsidR="00044C5A" w:rsidRPr="00E84C93">
              <w:rPr>
                <w:rFonts w:cs="Times New Roman"/>
                <w:bCs/>
                <w:sz w:val="22"/>
                <w:lang w:val="sr-Cyrl-CS" w:eastAsia="de-DE"/>
              </w:rPr>
              <w:t>СМ</w:t>
            </w:r>
          </w:p>
        </w:tc>
        <w:tc>
          <w:tcPr>
            <w:tcW w:w="2150" w:type="dxa"/>
            <w:tcBorders>
              <w:top w:val="nil"/>
              <w:left w:val="nil"/>
              <w:bottom w:val="single" w:sz="4" w:space="0" w:color="auto"/>
              <w:right w:val="single" w:sz="4" w:space="0" w:color="auto"/>
            </w:tcBorders>
            <w:shd w:val="clear" w:color="auto" w:fill="auto"/>
            <w:vAlign w:val="center"/>
            <w:hideMark/>
          </w:tcPr>
          <w:p w14:paraId="0D8FE33C" w14:textId="13B1B0FF"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Материјал за прекривање депоније </w:t>
            </w:r>
          </w:p>
        </w:tc>
      </w:tr>
      <w:tr w:rsidR="00702D2B" w:rsidRPr="00E84C93" w14:paraId="1B8550A1" w14:textId="77777777" w:rsidTr="00BC2D3F">
        <w:trPr>
          <w:trHeight w:val="300"/>
        </w:trPr>
        <w:tc>
          <w:tcPr>
            <w:tcW w:w="1641" w:type="dxa"/>
            <w:vMerge/>
            <w:tcBorders>
              <w:top w:val="nil"/>
              <w:left w:val="single" w:sz="4" w:space="0" w:color="auto"/>
              <w:bottom w:val="single" w:sz="4" w:space="0" w:color="auto"/>
              <w:right w:val="single" w:sz="4" w:space="0" w:color="auto"/>
            </w:tcBorders>
            <w:vAlign w:val="center"/>
            <w:hideMark/>
          </w:tcPr>
          <w:p w14:paraId="6913A87C" w14:textId="77777777" w:rsidR="00BE1209" w:rsidRPr="00E84C93" w:rsidRDefault="00BE1209" w:rsidP="00064A97">
            <w:pPr>
              <w:spacing w:after="0"/>
              <w:rPr>
                <w:rFonts w:cs="Times New Roman"/>
                <w:bCs/>
                <w:sz w:val="20"/>
                <w:szCs w:val="20"/>
                <w:lang w:val="sr-Cyrl-CS" w:eastAsia="de-DE"/>
              </w:rPr>
            </w:pPr>
          </w:p>
        </w:tc>
        <w:tc>
          <w:tcPr>
            <w:tcW w:w="1658" w:type="dxa"/>
            <w:vMerge/>
            <w:tcBorders>
              <w:top w:val="nil"/>
              <w:left w:val="single" w:sz="4" w:space="0" w:color="auto"/>
              <w:bottom w:val="single" w:sz="4" w:space="0" w:color="auto"/>
              <w:right w:val="single" w:sz="4" w:space="0" w:color="auto"/>
            </w:tcBorders>
            <w:vAlign w:val="center"/>
            <w:hideMark/>
          </w:tcPr>
          <w:p w14:paraId="3233977B" w14:textId="77777777" w:rsidR="00BE1209" w:rsidRPr="00E84C93" w:rsidRDefault="00BE1209" w:rsidP="00064A97">
            <w:pPr>
              <w:spacing w:after="0"/>
              <w:rPr>
                <w:rFonts w:cs="Times New Roman"/>
                <w:bCs/>
                <w:sz w:val="20"/>
                <w:szCs w:val="20"/>
                <w:lang w:val="sr-Cyrl-CS" w:eastAsia="de-DE"/>
              </w:rPr>
            </w:pPr>
          </w:p>
        </w:tc>
        <w:tc>
          <w:tcPr>
            <w:tcW w:w="1066" w:type="dxa"/>
            <w:vMerge/>
            <w:tcBorders>
              <w:top w:val="nil"/>
              <w:left w:val="single" w:sz="4" w:space="0" w:color="auto"/>
              <w:bottom w:val="single" w:sz="4" w:space="0" w:color="auto"/>
              <w:right w:val="single" w:sz="4" w:space="0" w:color="auto"/>
            </w:tcBorders>
            <w:vAlign w:val="center"/>
            <w:hideMark/>
          </w:tcPr>
          <w:p w14:paraId="00471BE2" w14:textId="77777777" w:rsidR="00BE1209" w:rsidRPr="00E84C93" w:rsidRDefault="00BE1209" w:rsidP="00064A97">
            <w:pPr>
              <w:spacing w:after="0"/>
              <w:rPr>
                <w:rFonts w:cs="Times New Roman"/>
                <w:bCs/>
                <w:sz w:val="20"/>
                <w:szCs w:val="20"/>
                <w:lang w:val="sr-Cyrl-CS" w:eastAsia="de-DE"/>
              </w:rPr>
            </w:pPr>
          </w:p>
        </w:tc>
        <w:tc>
          <w:tcPr>
            <w:tcW w:w="1515" w:type="dxa"/>
            <w:tcBorders>
              <w:top w:val="nil"/>
              <w:left w:val="nil"/>
              <w:bottom w:val="single" w:sz="4" w:space="0" w:color="auto"/>
              <w:right w:val="single" w:sz="4" w:space="0" w:color="auto"/>
            </w:tcBorders>
            <w:shd w:val="clear" w:color="auto" w:fill="auto"/>
            <w:vAlign w:val="bottom"/>
            <w:hideMark/>
          </w:tcPr>
          <w:p w14:paraId="43056A8B" w14:textId="77777777" w:rsidR="00BE1209" w:rsidRPr="00E84C93" w:rsidRDefault="00BE1209" w:rsidP="00064A97">
            <w:pPr>
              <w:spacing w:after="0"/>
              <w:jc w:val="center"/>
              <w:rPr>
                <w:rFonts w:cs="Times New Roman"/>
                <w:bCs/>
                <w:sz w:val="20"/>
                <w:szCs w:val="20"/>
                <w:lang w:val="sr-Cyrl-CS" w:eastAsia="de-DE"/>
              </w:rPr>
            </w:pPr>
            <w:r w:rsidRPr="00E84C93">
              <w:rPr>
                <w:rFonts w:cs="Times New Roman"/>
                <w:bCs/>
                <w:sz w:val="20"/>
                <w:szCs w:val="20"/>
                <w:lang w:val="sr-Cyrl-CS" w:eastAsia="de-DE"/>
              </w:rPr>
              <w:t>60-70</w:t>
            </w:r>
            <w:r w:rsidRPr="00E84C93">
              <w:rPr>
                <w:rFonts w:cs="Times New Roman"/>
                <w:bCs/>
                <w:sz w:val="20"/>
                <w:szCs w:val="20"/>
                <w:vertAlign w:val="superscript"/>
                <w:lang w:val="sr-Cyrl-CS" w:eastAsia="de-DE"/>
              </w:rPr>
              <w:t>2</w:t>
            </w:r>
          </w:p>
        </w:tc>
        <w:tc>
          <w:tcPr>
            <w:tcW w:w="1450" w:type="dxa"/>
            <w:tcBorders>
              <w:top w:val="nil"/>
              <w:left w:val="nil"/>
              <w:bottom w:val="single" w:sz="4" w:space="0" w:color="auto"/>
              <w:right w:val="single" w:sz="4" w:space="0" w:color="auto"/>
            </w:tcBorders>
            <w:shd w:val="clear" w:color="auto" w:fill="auto"/>
            <w:vAlign w:val="center"/>
            <w:hideMark/>
          </w:tcPr>
          <w:p w14:paraId="41D52E3D" w14:textId="0192D8A3" w:rsidR="00BE1209" w:rsidRPr="00E84C93" w:rsidRDefault="00BE1209" w:rsidP="00064A97">
            <w:pPr>
              <w:spacing w:after="0"/>
              <w:rPr>
                <w:rFonts w:cs="Times New Roman"/>
                <w:bCs/>
                <w:sz w:val="22"/>
                <w:lang w:val="sr-Cyrl-CS" w:eastAsia="de-DE"/>
              </w:rPr>
            </w:pPr>
            <w:r w:rsidRPr="00E84C93">
              <w:rPr>
                <w:rFonts w:cs="Times New Roman"/>
                <w:bCs/>
                <w:sz w:val="22"/>
                <w:lang w:val="sr-Cyrl-CS" w:eastAsia="de-DE"/>
              </w:rPr>
              <w:t xml:space="preserve">536 </w:t>
            </w:r>
            <w:r w:rsidR="006F55C9" w:rsidRPr="00E84C93">
              <w:rPr>
                <w:rFonts w:cs="Times New Roman"/>
                <w:bCs/>
                <w:color w:val="000000"/>
                <w:sz w:val="22"/>
                <w:lang w:val="sr-Cyrl-CS" w:eastAsia="de-DE"/>
              </w:rPr>
              <w:t xml:space="preserve">t/год. </w:t>
            </w:r>
            <w:r w:rsidR="00551CE8" w:rsidRPr="00E84C93">
              <w:rPr>
                <w:rFonts w:cs="Times New Roman"/>
                <w:bCs/>
                <w:sz w:val="22"/>
                <w:lang w:val="sr-Cyrl-CS" w:eastAsia="de-DE"/>
              </w:rPr>
              <w:t xml:space="preserve">са </w:t>
            </w:r>
            <w:r w:rsidRPr="00E84C93">
              <w:rPr>
                <w:rFonts w:cs="Times New Roman"/>
                <w:bCs/>
                <w:sz w:val="22"/>
                <w:lang w:val="sr-Cyrl-CS" w:eastAsia="de-DE"/>
              </w:rPr>
              <w:t xml:space="preserve">60% </w:t>
            </w:r>
            <w:r w:rsidR="00044C5A" w:rsidRPr="00E84C93">
              <w:rPr>
                <w:rFonts w:cs="Times New Roman"/>
                <w:bCs/>
                <w:sz w:val="22"/>
                <w:lang w:val="sr-Cyrl-CS" w:eastAsia="de-DE"/>
              </w:rPr>
              <w:t>СМ</w:t>
            </w:r>
          </w:p>
        </w:tc>
        <w:tc>
          <w:tcPr>
            <w:tcW w:w="2150" w:type="dxa"/>
            <w:tcBorders>
              <w:top w:val="nil"/>
              <w:left w:val="nil"/>
              <w:bottom w:val="single" w:sz="4" w:space="0" w:color="auto"/>
              <w:right w:val="single" w:sz="4" w:space="0" w:color="auto"/>
            </w:tcBorders>
            <w:shd w:val="clear" w:color="auto" w:fill="auto"/>
            <w:vAlign w:val="center"/>
            <w:hideMark/>
          </w:tcPr>
          <w:p w14:paraId="2A5BB6EC" w14:textId="061CE870" w:rsidR="00BE1209" w:rsidRPr="00E84C93" w:rsidRDefault="00517960" w:rsidP="00064A97">
            <w:pPr>
              <w:spacing w:after="0"/>
              <w:rPr>
                <w:rFonts w:cs="Times New Roman"/>
                <w:bCs/>
                <w:sz w:val="22"/>
                <w:lang w:val="sr-Cyrl-CS" w:eastAsia="de-DE"/>
              </w:rPr>
            </w:pPr>
            <w:r w:rsidRPr="00E84C93">
              <w:rPr>
                <w:rFonts w:cs="Times New Roman"/>
                <w:bCs/>
                <w:color w:val="000000"/>
                <w:sz w:val="22"/>
                <w:lang w:val="sr-Cyrl-CS" w:eastAsia="de-DE"/>
              </w:rPr>
              <w:t xml:space="preserve">Коинсинерација </w:t>
            </w:r>
            <w:r w:rsidR="00BE1209" w:rsidRPr="00E84C93">
              <w:rPr>
                <w:rFonts w:cs="Times New Roman"/>
                <w:bCs/>
                <w:sz w:val="22"/>
                <w:lang w:val="sr-Cyrl-CS" w:eastAsia="de-DE"/>
              </w:rPr>
              <w:t xml:space="preserve">у </w:t>
            </w:r>
            <w:r w:rsidR="00A52E1A" w:rsidRPr="00E84C93">
              <w:rPr>
                <w:rFonts w:cs="Times New Roman"/>
                <w:bCs/>
                <w:sz w:val="22"/>
                <w:lang w:val="sr-Cyrl-CS" w:eastAsia="de-DE"/>
              </w:rPr>
              <w:t>фабрици цемента</w:t>
            </w:r>
            <w:r w:rsidR="00BE1209" w:rsidRPr="00E84C93">
              <w:rPr>
                <w:rFonts w:cs="Times New Roman"/>
                <w:bCs/>
                <w:sz w:val="22"/>
                <w:lang w:val="sr-Cyrl-CS" w:eastAsia="de-DE"/>
              </w:rPr>
              <w:t xml:space="preserve"> </w:t>
            </w:r>
            <w:r w:rsidR="00F51ED7" w:rsidRPr="00E84C93">
              <w:rPr>
                <w:rFonts w:cs="Times New Roman"/>
                <w:bCs/>
                <w:color w:val="000000"/>
                <w:sz w:val="22"/>
                <w:lang w:val="sr-Cyrl-CS" w:eastAsia="de-DE"/>
              </w:rPr>
              <w:t>Моравацем</w:t>
            </w:r>
            <w:r w:rsidR="00BE1209" w:rsidRPr="00E84C93">
              <w:rPr>
                <w:rFonts w:cs="Times New Roman"/>
                <w:bCs/>
                <w:sz w:val="22"/>
                <w:lang w:val="sr-Cyrl-CS" w:eastAsia="de-DE"/>
              </w:rPr>
              <w:t>, Поповац</w:t>
            </w:r>
          </w:p>
        </w:tc>
      </w:tr>
    </w:tbl>
    <w:p w14:paraId="6473029C" w14:textId="77777777" w:rsidR="00BE1209" w:rsidRPr="00E84C93" w:rsidRDefault="00BE1209" w:rsidP="00BE1209">
      <w:pPr>
        <w:spacing w:after="0"/>
        <w:rPr>
          <w:sz w:val="20"/>
          <w:szCs w:val="20"/>
          <w:lang w:val="sr-Cyrl-CS" w:bidi="en-US"/>
        </w:rPr>
      </w:pPr>
      <w:r w:rsidRPr="00E84C93">
        <w:rPr>
          <w:sz w:val="20"/>
          <w:szCs w:val="20"/>
          <w:vertAlign w:val="superscript"/>
          <w:lang w:val="sr-Cyrl-CS" w:bidi="en-US"/>
        </w:rPr>
        <w:t>1</w:t>
      </w:r>
      <w:r w:rsidRPr="00E84C93">
        <w:rPr>
          <w:sz w:val="20"/>
          <w:szCs w:val="20"/>
          <w:lang w:val="sr-Cyrl-CS" w:bidi="en-US"/>
        </w:rPr>
        <w:t xml:space="preserve"> – захтева појашњење са оператером депоније</w:t>
      </w:r>
    </w:p>
    <w:p w14:paraId="2B37F782" w14:textId="2D49AB3F" w:rsidR="00BE1209" w:rsidRPr="00E84C93" w:rsidRDefault="00BE1209" w:rsidP="00BE1209">
      <w:pPr>
        <w:spacing w:after="0"/>
        <w:rPr>
          <w:sz w:val="20"/>
          <w:szCs w:val="20"/>
          <w:lang w:val="sr-Cyrl-CS" w:bidi="en-US"/>
        </w:rPr>
      </w:pPr>
      <w:r w:rsidRPr="00E84C93">
        <w:rPr>
          <w:sz w:val="20"/>
          <w:szCs w:val="20"/>
          <w:vertAlign w:val="superscript"/>
          <w:lang w:val="sr-Cyrl-CS" w:bidi="en-US"/>
        </w:rPr>
        <w:t>2</w:t>
      </w:r>
      <w:r w:rsidRPr="00E84C93">
        <w:rPr>
          <w:sz w:val="20"/>
          <w:szCs w:val="20"/>
          <w:lang w:val="sr-Cyrl-CS" w:bidi="en-US"/>
        </w:rPr>
        <w:t xml:space="preserve"> – </w:t>
      </w:r>
      <w:r w:rsidR="00551CE8" w:rsidRPr="00E84C93">
        <w:rPr>
          <w:sz w:val="20"/>
          <w:szCs w:val="20"/>
          <w:lang w:val="sr-Cyrl-CS" w:bidi="en-US"/>
        </w:rPr>
        <w:t>калоријска</w:t>
      </w:r>
      <w:r w:rsidRPr="00E84C93">
        <w:rPr>
          <w:sz w:val="20"/>
          <w:szCs w:val="20"/>
          <w:lang w:val="sr-Cyrl-CS" w:bidi="en-US"/>
        </w:rPr>
        <w:t xml:space="preserve"> вредност од 8 GJ/t </w:t>
      </w:r>
      <w:r w:rsidR="00D449C1" w:rsidRPr="00E84C93">
        <w:rPr>
          <w:sz w:val="20"/>
          <w:szCs w:val="20"/>
          <w:lang w:val="sr-Cyrl-CS" w:bidi="en-US"/>
        </w:rPr>
        <w:t>СМ</w:t>
      </w:r>
    </w:p>
    <w:p w14:paraId="474ED96B" w14:textId="3ADD45DE" w:rsidR="00660A52" w:rsidRPr="00E84C93" w:rsidRDefault="00660A52" w:rsidP="0002705B">
      <w:pPr>
        <w:spacing w:after="0"/>
        <w:jc w:val="both"/>
        <w:rPr>
          <w:rFonts w:cs="Times New Roman"/>
          <w:szCs w:val="24"/>
          <w:lang w:val="sr-Cyrl-CS" w:bidi="en-US"/>
        </w:rPr>
      </w:pPr>
    </w:p>
    <w:p w14:paraId="55CE30C3" w14:textId="440F0139" w:rsidR="0002705B" w:rsidRPr="00E84C93" w:rsidRDefault="0002705B" w:rsidP="0002705B">
      <w:pPr>
        <w:spacing w:after="0"/>
        <w:jc w:val="both"/>
        <w:rPr>
          <w:rFonts w:cs="Times New Roman"/>
          <w:szCs w:val="24"/>
          <w:lang w:val="sr-Cyrl-CS" w:bidi="en-US"/>
        </w:rPr>
      </w:pPr>
    </w:p>
    <w:p w14:paraId="0EAEC67F" w14:textId="0FE41459" w:rsidR="0002705B" w:rsidRPr="00E84C93" w:rsidRDefault="0002705B" w:rsidP="0002705B">
      <w:pPr>
        <w:spacing w:after="0"/>
        <w:jc w:val="both"/>
        <w:rPr>
          <w:rFonts w:cs="Times New Roman"/>
          <w:szCs w:val="24"/>
          <w:lang w:val="sr-Cyrl-CS" w:bidi="en-US"/>
        </w:rPr>
      </w:pPr>
    </w:p>
    <w:p w14:paraId="3BED46EA" w14:textId="08333124" w:rsidR="0002705B" w:rsidRPr="00E84C93" w:rsidRDefault="0002705B" w:rsidP="0002705B">
      <w:pPr>
        <w:spacing w:after="0"/>
        <w:jc w:val="both"/>
        <w:rPr>
          <w:rFonts w:cs="Times New Roman"/>
          <w:szCs w:val="24"/>
          <w:lang w:val="sr-Cyrl-CS" w:bidi="en-US"/>
        </w:rPr>
      </w:pPr>
    </w:p>
    <w:p w14:paraId="2EF0EB2D" w14:textId="77777777" w:rsidR="0002705B" w:rsidRPr="00E84C93" w:rsidRDefault="0002705B" w:rsidP="0002705B">
      <w:pPr>
        <w:spacing w:after="0"/>
        <w:jc w:val="both"/>
        <w:rPr>
          <w:rFonts w:cs="Times New Roman"/>
          <w:szCs w:val="24"/>
          <w:lang w:val="sr-Cyrl-CS" w:bidi="en-US"/>
        </w:rPr>
      </w:pPr>
    </w:p>
    <w:p w14:paraId="7F215E79" w14:textId="514ACE68" w:rsidR="006E7EA4" w:rsidRPr="00E84C93" w:rsidRDefault="006E7EA4" w:rsidP="000C54C0">
      <w:pPr>
        <w:pStyle w:val="Heading1"/>
        <w:numPr>
          <w:ilvl w:val="0"/>
          <w:numId w:val="8"/>
        </w:numPr>
        <w:spacing w:before="0"/>
        <w:rPr>
          <w:lang w:val="sr-Cyrl-CS"/>
        </w:rPr>
      </w:pPr>
      <w:bookmarkStart w:id="104" w:name="_Toc99920911"/>
      <w:r w:rsidRPr="00E84C93">
        <w:rPr>
          <w:lang w:val="sr-Cyrl-CS"/>
        </w:rPr>
        <w:lastRenderedPageBreak/>
        <w:t xml:space="preserve">МЕРЕ ЗА ОСТВАРИВАЊЕ ЦИЉЕВА И </w:t>
      </w:r>
      <w:r w:rsidR="00C81136" w:rsidRPr="00E84C93">
        <w:rPr>
          <w:lang w:val="sr-Cyrl-CS"/>
        </w:rPr>
        <w:t>АНАЛИЗА ЊИХОВИХ ЕФЕКАТА</w:t>
      </w:r>
      <w:bookmarkEnd w:id="104"/>
      <w:r w:rsidRPr="00E84C93">
        <w:rPr>
          <w:lang w:val="sr-Cyrl-CS"/>
        </w:rPr>
        <w:t xml:space="preserve"> </w:t>
      </w:r>
    </w:p>
    <w:p w14:paraId="3E324FA7" w14:textId="77777777" w:rsidR="006E7EA4" w:rsidRPr="00E84C93" w:rsidRDefault="006E7EA4" w:rsidP="006E7EA4">
      <w:pPr>
        <w:pStyle w:val="Default"/>
        <w:rPr>
          <w:rFonts w:ascii="Times New Roman" w:hAnsi="Times New Roman" w:cs="Times New Roman"/>
          <w:lang w:val="sr-Cyrl-CS"/>
        </w:rPr>
      </w:pPr>
    </w:p>
    <w:p w14:paraId="2B2691B6" w14:textId="4ADB73D0" w:rsidR="006E7EA4" w:rsidRPr="00E84C93" w:rsidRDefault="006E7EA4" w:rsidP="000C54C0">
      <w:pPr>
        <w:pStyle w:val="Heading2"/>
        <w:numPr>
          <w:ilvl w:val="1"/>
          <w:numId w:val="8"/>
        </w:numPr>
        <w:spacing w:before="0"/>
        <w:ind w:left="1350" w:hanging="630"/>
        <w:rPr>
          <w:lang w:val="sr-Cyrl-CS"/>
        </w:rPr>
      </w:pPr>
      <w:bookmarkStart w:id="105" w:name="_Toc99920912"/>
      <w:r w:rsidRPr="00E84C93">
        <w:rPr>
          <w:lang w:val="sr-Cyrl-CS"/>
        </w:rPr>
        <w:t>Мере за остваривање посебних циљева</w:t>
      </w:r>
      <w:bookmarkEnd w:id="105"/>
      <w:r w:rsidRPr="00E84C93">
        <w:rPr>
          <w:lang w:val="sr-Cyrl-CS"/>
        </w:rPr>
        <w:t xml:space="preserve"> </w:t>
      </w:r>
    </w:p>
    <w:p w14:paraId="275233CC" w14:textId="1799D607" w:rsidR="00FC6BAA" w:rsidRPr="00E84C93" w:rsidRDefault="00FC6BAA" w:rsidP="00672F08">
      <w:pPr>
        <w:rPr>
          <w:rFonts w:cs="Times New Roman"/>
          <w:b/>
          <w:bCs/>
          <w:noProof/>
          <w:szCs w:val="24"/>
          <w:lang w:val="sr-Cyrl-CS"/>
        </w:rPr>
      </w:pPr>
    </w:p>
    <w:p w14:paraId="7A33F856" w14:textId="74C4BE50" w:rsidR="00971EE6" w:rsidRPr="00E84C93" w:rsidRDefault="00CC3EFA" w:rsidP="00971EE6">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Мере за остваривање посебних циљева су утврђене на основу концепције управљања муљем представљене у поглављу 5. Програма, базиране на краткорочним и дугорочним решењима постојеће ситуације и постојећим пројекцијама количина муља у наредним годинама како би поступање са муљем било усклађено са постављеним стандардима ЕУ</w:t>
      </w:r>
      <w:r w:rsidR="00971EE6" w:rsidRPr="00E84C93">
        <w:rPr>
          <w:rFonts w:ascii="Times New Roman" w:hAnsi="Times New Roman" w:cs="Times New Roman"/>
          <w:lang w:val="sr-Cyrl-CS"/>
        </w:rPr>
        <w:t xml:space="preserve">. </w:t>
      </w:r>
    </w:p>
    <w:p w14:paraId="51D4C117" w14:textId="58AC0177" w:rsidR="006E7EA4" w:rsidRPr="00E84C93" w:rsidRDefault="00971EE6" w:rsidP="00971EE6">
      <w:pPr>
        <w:pStyle w:val="Default"/>
        <w:ind w:firstLine="720"/>
        <w:jc w:val="both"/>
        <w:rPr>
          <w:rFonts w:ascii="Times New Roman" w:hAnsi="Times New Roman" w:cs="Times New Roman"/>
          <w:lang w:val="sr-Cyrl-CS"/>
        </w:rPr>
      </w:pPr>
      <w:r w:rsidRPr="00E84C93">
        <w:rPr>
          <w:rFonts w:ascii="Times New Roman" w:hAnsi="Times New Roman" w:cs="Times New Roman"/>
          <w:lang w:val="sr-Cyrl-CS"/>
        </w:rPr>
        <w:t>У складу с тим, краткорочно је дат приоритет обезбеђивању безбедног третмана и одлагања муља ради заштите животне средине и здравља људи, док су дугорочне мере усмерене за успостављање одрживог система који омогућава искоришћење муља применом најбољих доступних техника и праћењем регулативе ЕУ која ће временом бити унапређивана. Након периода важења Програма одређене мере за успостављање система за дугорочно управљање муљем треба да буду настављене.</w:t>
      </w:r>
    </w:p>
    <w:p w14:paraId="78FF1671" w14:textId="2B49DB01" w:rsidR="00EB0D0C" w:rsidRPr="00E84C93" w:rsidRDefault="00EB0D0C" w:rsidP="006E7EA4">
      <w:pPr>
        <w:pStyle w:val="Default"/>
        <w:ind w:firstLine="720"/>
        <w:jc w:val="both"/>
        <w:rPr>
          <w:rFonts w:ascii="Times New Roman" w:hAnsi="Times New Roman" w:cs="Times New Roman"/>
          <w:highlight w:val="cyan"/>
          <w:lang w:val="sr-Cyrl-CS"/>
        </w:rPr>
      </w:pPr>
    </w:p>
    <w:p w14:paraId="5E6FDEDD" w14:textId="08196189" w:rsidR="008915DE" w:rsidRPr="00E84C93" w:rsidRDefault="008915DE" w:rsidP="008915DE">
      <w:pPr>
        <w:pBdr>
          <w:top w:val="single" w:sz="4" w:space="1" w:color="auto"/>
          <w:left w:val="single" w:sz="4" w:space="4" w:color="auto"/>
          <w:bottom w:val="single" w:sz="4" w:space="1" w:color="auto"/>
          <w:right w:val="single" w:sz="4" w:space="4" w:color="auto"/>
        </w:pBdr>
        <w:spacing w:after="0"/>
        <w:rPr>
          <w:b/>
          <w:color w:val="2E74B5" w:themeColor="accent1" w:themeShade="BF"/>
          <w:szCs w:val="24"/>
          <w:lang w:val="sr-Cyrl-CS"/>
        </w:rPr>
      </w:pPr>
      <w:r w:rsidRPr="00E84C93">
        <w:rPr>
          <w:b/>
          <w:color w:val="2E74B5" w:themeColor="accent1" w:themeShade="BF"/>
          <w:szCs w:val="24"/>
          <w:lang w:val="sr-Cyrl-CS"/>
        </w:rPr>
        <w:t xml:space="preserve">Посебан циљ 1. </w:t>
      </w:r>
      <w:r w:rsidR="005353A4" w:rsidRPr="00E84C93">
        <w:rPr>
          <w:b/>
          <w:color w:val="2E74B5" w:themeColor="accent1" w:themeShade="BF"/>
          <w:szCs w:val="24"/>
          <w:lang w:val="sr-Cyrl-CS"/>
        </w:rPr>
        <w:t>Усклађена национална регулатива са прописима ЕУ у области управљања муљем из постројења за пречишћавање отпадних вода</w:t>
      </w:r>
    </w:p>
    <w:p w14:paraId="3FE4E31B" w14:textId="77777777" w:rsidR="008915DE" w:rsidRPr="00E84C93" w:rsidRDefault="008915DE" w:rsidP="008915DE">
      <w:pPr>
        <w:keepNext/>
        <w:suppressAutoHyphens/>
        <w:spacing w:after="0"/>
        <w:ind w:firstLine="720"/>
        <w:jc w:val="both"/>
        <w:outlineLvl w:val="3"/>
        <w:rPr>
          <w:rFonts w:cs="Times New Roman"/>
          <w:bCs/>
          <w:szCs w:val="24"/>
          <w:lang w:val="sr-Cyrl-CS"/>
        </w:rPr>
      </w:pPr>
    </w:p>
    <w:p w14:paraId="1136400B" w14:textId="3D2E4D2F" w:rsidR="008915DE" w:rsidRPr="00E84C93" w:rsidRDefault="008915DE" w:rsidP="008915DE">
      <w:pPr>
        <w:pBdr>
          <w:top w:val="single" w:sz="4" w:space="1" w:color="auto"/>
          <w:left w:val="single" w:sz="4" w:space="4" w:color="auto"/>
          <w:bottom w:val="single" w:sz="4" w:space="1" w:color="auto"/>
          <w:right w:val="single" w:sz="4" w:space="4" w:color="auto"/>
        </w:pBdr>
        <w:spacing w:after="0" w:line="264" w:lineRule="auto"/>
        <w:jc w:val="both"/>
        <w:rPr>
          <w:szCs w:val="24"/>
          <w:highlight w:val="yellow"/>
          <w:lang w:val="sr-Cyrl-CS" w:eastAsia="en-GB"/>
        </w:rPr>
      </w:pPr>
      <w:r w:rsidRPr="00E84C93">
        <w:rPr>
          <w:b/>
          <w:bCs/>
          <w:szCs w:val="24"/>
          <w:lang w:val="sr-Cyrl-CS" w:eastAsia="en-GB"/>
        </w:rPr>
        <w:t xml:space="preserve">Мера 1.1. </w:t>
      </w:r>
      <w:r w:rsidRPr="00E84C93">
        <w:rPr>
          <w:b/>
          <w:bCs/>
          <w:lang w:val="sr-Cyrl-CS"/>
        </w:rPr>
        <w:t xml:space="preserve">Усклађивање правног оквира са Директивом </w:t>
      </w:r>
      <w:r w:rsidR="00EE27D6" w:rsidRPr="00E84C93">
        <w:rPr>
          <w:b/>
          <w:bCs/>
          <w:lang w:val="sr-Cyrl-CS"/>
        </w:rPr>
        <w:t xml:space="preserve">ЕУ </w:t>
      </w:r>
      <w:r w:rsidRPr="00E84C93">
        <w:rPr>
          <w:b/>
          <w:bCs/>
          <w:lang w:val="sr-Cyrl-CS"/>
        </w:rPr>
        <w:t>о муљу из постројења за пречишћавање отпадних вода</w:t>
      </w:r>
    </w:p>
    <w:p w14:paraId="06B15C62" w14:textId="77777777" w:rsidR="000262D3" w:rsidRPr="00E84C93" w:rsidRDefault="000262D3" w:rsidP="00871451">
      <w:pPr>
        <w:keepNext/>
        <w:suppressAutoHyphens/>
        <w:spacing w:after="0"/>
        <w:ind w:firstLine="720"/>
        <w:jc w:val="both"/>
        <w:outlineLvl w:val="3"/>
        <w:rPr>
          <w:rFonts w:cs="Times New Roman"/>
          <w:bCs/>
          <w:szCs w:val="24"/>
          <w:lang w:val="sr-Cyrl-CS"/>
        </w:rPr>
      </w:pPr>
    </w:p>
    <w:p w14:paraId="7975831A" w14:textId="3BDDCEA9" w:rsidR="00AF053B" w:rsidRPr="00E84C93" w:rsidRDefault="00BC0EB7" w:rsidP="00871451">
      <w:pPr>
        <w:keepNext/>
        <w:suppressAutoHyphens/>
        <w:spacing w:after="0"/>
        <w:ind w:firstLine="720"/>
        <w:jc w:val="both"/>
        <w:outlineLvl w:val="3"/>
        <w:rPr>
          <w:rFonts w:cs="Times New Roman"/>
          <w:bCs/>
          <w:lang w:val="sr-Cyrl-CS" w:bidi="en-US"/>
        </w:rPr>
      </w:pPr>
      <w:r w:rsidRPr="00E84C93">
        <w:rPr>
          <w:rFonts w:cs="Times New Roman"/>
          <w:bCs/>
          <w:szCs w:val="24"/>
          <w:lang w:val="sr-Cyrl-CS"/>
        </w:rPr>
        <w:t>Неопходно је у</w:t>
      </w:r>
      <w:r w:rsidRPr="00E84C93">
        <w:rPr>
          <w:rFonts w:cs="Times New Roman"/>
          <w:bCs/>
          <w:noProof/>
          <w:szCs w:val="24"/>
          <w:lang w:val="sr-Cyrl-CS"/>
        </w:rPr>
        <w:t>склађивање правног оквира</w:t>
      </w:r>
      <w:r w:rsidR="00871451" w:rsidRPr="00E84C93">
        <w:rPr>
          <w:rFonts w:cs="Times New Roman"/>
          <w:bCs/>
          <w:noProof/>
          <w:szCs w:val="24"/>
          <w:lang w:val="sr-Cyrl-CS"/>
        </w:rPr>
        <w:t xml:space="preserve"> за управљање муљем из постројења за пречишћавање отпадних вода </w:t>
      </w:r>
      <w:r w:rsidRPr="00E84C93">
        <w:rPr>
          <w:rFonts w:cs="Times New Roman"/>
          <w:bCs/>
          <w:noProof/>
          <w:szCs w:val="24"/>
          <w:lang w:val="sr-Cyrl-CS"/>
        </w:rPr>
        <w:t>са правним тековинама ЕУ</w:t>
      </w:r>
      <w:r w:rsidR="005353A4" w:rsidRPr="00E84C93">
        <w:rPr>
          <w:bCs/>
          <w:szCs w:val="24"/>
          <w:lang w:val="sr-Cyrl-CS"/>
        </w:rPr>
        <w:t xml:space="preserve"> у циљу коришћења муља из постројења за пречишћавање отпадних вода у пољопривреди, за производњу компоста, прекривање депонија, ремедијацију јаловишта и пепелишта и сл.</w:t>
      </w:r>
      <w:r w:rsidR="00871451" w:rsidRPr="00E84C93">
        <w:rPr>
          <w:rFonts w:cs="Times New Roman"/>
          <w:bCs/>
          <w:noProof/>
          <w:szCs w:val="24"/>
          <w:lang w:val="sr-Cyrl-CS"/>
        </w:rPr>
        <w:t xml:space="preserve"> П</w:t>
      </w:r>
      <w:r w:rsidRPr="00E84C93">
        <w:rPr>
          <w:rFonts w:cs="Times New Roman"/>
          <w:bCs/>
          <w:lang w:val="sr-Cyrl-CS" w:bidi="en-US"/>
        </w:rPr>
        <w:t>реношење Директиве</w:t>
      </w:r>
      <w:r w:rsidR="007868F4" w:rsidRPr="00E84C93">
        <w:rPr>
          <w:rFonts w:cs="Times New Roman"/>
          <w:bCs/>
          <w:lang w:val="sr-Cyrl-CS" w:bidi="en-US"/>
        </w:rPr>
        <w:t xml:space="preserve"> </w:t>
      </w:r>
      <w:r w:rsidR="00871451" w:rsidRPr="00E84C93">
        <w:rPr>
          <w:rFonts w:cs="Times New Roman"/>
          <w:bCs/>
          <w:lang w:val="sr-Cyrl-CS" w:bidi="en-US"/>
        </w:rPr>
        <w:t xml:space="preserve">ЕУ </w:t>
      </w:r>
      <w:r w:rsidRPr="00E84C93">
        <w:rPr>
          <w:rFonts w:cs="Times New Roman"/>
          <w:bCs/>
          <w:lang w:val="sr-Cyrl-CS" w:bidi="en-US"/>
        </w:rPr>
        <w:t xml:space="preserve">о </w:t>
      </w:r>
      <w:r w:rsidRPr="00E84C93">
        <w:rPr>
          <w:rFonts w:cs="Times New Roman"/>
          <w:szCs w:val="24"/>
          <w:lang w:val="sr-Cyrl-CS"/>
        </w:rPr>
        <w:t xml:space="preserve">муљу из постројења за пречишћавање отпадних вода </w:t>
      </w:r>
      <w:r w:rsidRPr="00E84C93">
        <w:rPr>
          <w:rFonts w:cs="Times New Roman"/>
          <w:bCs/>
          <w:lang w:val="sr-Cyrl-CS" w:bidi="en-US"/>
        </w:rPr>
        <w:t xml:space="preserve">у законодавство Републике Србије за сада </w:t>
      </w:r>
      <w:r w:rsidR="00B441C2" w:rsidRPr="00E84C93">
        <w:rPr>
          <w:rFonts w:cs="Times New Roman"/>
          <w:bCs/>
          <w:lang w:val="sr-Cyrl-CS" w:bidi="en-US"/>
        </w:rPr>
        <w:t xml:space="preserve">је </w:t>
      </w:r>
      <w:r w:rsidRPr="00E84C93">
        <w:rPr>
          <w:rFonts w:cs="Times New Roman"/>
          <w:bCs/>
          <w:lang w:val="sr-Cyrl-CS" w:bidi="en-US"/>
        </w:rPr>
        <w:t xml:space="preserve">још увек у раној фази. </w:t>
      </w:r>
      <w:r w:rsidR="00C31BE2" w:rsidRPr="00E84C93">
        <w:rPr>
          <w:rFonts w:cs="Times New Roman"/>
          <w:bCs/>
          <w:lang w:val="sr-Cyrl-CS" w:bidi="en-US"/>
        </w:rPr>
        <w:t>П</w:t>
      </w:r>
      <w:r w:rsidRPr="00E84C93">
        <w:rPr>
          <w:rFonts w:cs="Times New Roman"/>
          <w:bCs/>
          <w:lang w:val="sr-Cyrl-CS" w:bidi="en-US"/>
        </w:rPr>
        <w:t xml:space="preserve">реношење Директиве </w:t>
      </w:r>
      <w:r w:rsidR="00871451" w:rsidRPr="00E84C93">
        <w:rPr>
          <w:rFonts w:cs="Times New Roman"/>
          <w:bCs/>
          <w:lang w:val="sr-Cyrl-CS" w:bidi="en-US"/>
        </w:rPr>
        <w:t xml:space="preserve">ЕУ </w:t>
      </w:r>
      <w:r w:rsidRPr="00E84C93">
        <w:rPr>
          <w:rFonts w:cs="Times New Roman"/>
          <w:bCs/>
          <w:lang w:val="sr-Cyrl-CS" w:bidi="en-US"/>
        </w:rPr>
        <w:t xml:space="preserve">о </w:t>
      </w:r>
      <w:r w:rsidRPr="00E84C93">
        <w:rPr>
          <w:rFonts w:cs="Times New Roman"/>
          <w:szCs w:val="24"/>
          <w:lang w:val="sr-Cyrl-CS"/>
        </w:rPr>
        <w:t xml:space="preserve">муљу из постројења за пречишћавање отпадних вода </w:t>
      </w:r>
      <w:r w:rsidRPr="00E84C93">
        <w:rPr>
          <w:rFonts w:cs="Times New Roman"/>
          <w:bCs/>
          <w:lang w:val="sr-Cyrl-CS" w:bidi="en-US"/>
        </w:rPr>
        <w:t>захтева дефинисање правн</w:t>
      </w:r>
      <w:r w:rsidR="00871451" w:rsidRPr="00E84C93">
        <w:rPr>
          <w:rFonts w:cs="Times New Roman"/>
          <w:bCs/>
          <w:lang w:val="sr-Cyrl-CS" w:bidi="en-US"/>
        </w:rPr>
        <w:t>ог</w:t>
      </w:r>
      <w:r w:rsidRPr="00E84C93">
        <w:rPr>
          <w:rFonts w:cs="Times New Roman"/>
          <w:bCs/>
          <w:lang w:val="sr-Cyrl-CS" w:bidi="en-US"/>
        </w:rPr>
        <w:t xml:space="preserve"> основ</w:t>
      </w:r>
      <w:r w:rsidR="00871451" w:rsidRPr="00E84C93">
        <w:rPr>
          <w:rFonts w:cs="Times New Roman"/>
          <w:bCs/>
          <w:lang w:val="sr-Cyrl-CS" w:bidi="en-US"/>
        </w:rPr>
        <w:t>а у важећим прописима,</w:t>
      </w:r>
      <w:r w:rsidRPr="00E84C93">
        <w:rPr>
          <w:rFonts w:cs="Times New Roman"/>
          <w:bCs/>
          <w:lang w:val="sr-Cyrl-CS" w:bidi="en-US"/>
        </w:rPr>
        <w:t xml:space="preserve"> </w:t>
      </w:r>
      <w:r w:rsidR="00667BD3" w:rsidRPr="00E84C93">
        <w:rPr>
          <w:rFonts w:cs="Times New Roman"/>
          <w:bCs/>
          <w:lang w:val="sr-Cyrl-CS" w:bidi="en-US"/>
        </w:rPr>
        <w:t xml:space="preserve">с </w:t>
      </w:r>
      <w:r w:rsidRPr="00E84C93">
        <w:rPr>
          <w:rFonts w:cs="Times New Roman"/>
          <w:bCs/>
          <w:lang w:val="sr-Cyrl-CS" w:bidi="en-US"/>
        </w:rPr>
        <w:t>обзиром</w:t>
      </w:r>
      <w:r w:rsidR="00667BD3" w:rsidRPr="00E84C93">
        <w:rPr>
          <w:rFonts w:cs="Times New Roman"/>
          <w:bCs/>
          <w:lang w:val="sr-Cyrl-CS" w:bidi="en-US"/>
        </w:rPr>
        <w:t xml:space="preserve"> на то</w:t>
      </w:r>
      <w:r w:rsidRPr="00E84C93">
        <w:rPr>
          <w:rFonts w:cs="Times New Roman"/>
          <w:bCs/>
          <w:lang w:val="sr-Cyrl-CS" w:bidi="en-US"/>
        </w:rPr>
        <w:t xml:space="preserve"> да Законом о управљању отпадом и Законом о водама није препознато управљање муљем </w:t>
      </w:r>
      <w:r w:rsidRPr="00E84C93">
        <w:rPr>
          <w:rFonts w:cs="Times New Roman"/>
          <w:szCs w:val="24"/>
          <w:lang w:val="sr-Cyrl-CS"/>
        </w:rPr>
        <w:t>из постројења за пречишћавање отпадних вода</w:t>
      </w:r>
      <w:r w:rsidRPr="00E84C93">
        <w:rPr>
          <w:rFonts w:cs="Times New Roman"/>
          <w:bCs/>
          <w:lang w:val="sr-Cyrl-CS" w:bidi="en-US"/>
        </w:rPr>
        <w:t xml:space="preserve">, те стога не постоји правни основ за потпуно </w:t>
      </w:r>
      <w:r w:rsidR="00726E1A" w:rsidRPr="00E84C93">
        <w:rPr>
          <w:rFonts w:cs="Times New Roman"/>
          <w:bCs/>
          <w:lang w:val="sr-Cyrl-CS" w:bidi="en-US"/>
        </w:rPr>
        <w:t>преношење</w:t>
      </w:r>
      <w:r w:rsidRPr="00E84C93">
        <w:rPr>
          <w:rFonts w:cs="Times New Roman"/>
          <w:bCs/>
          <w:lang w:val="sr-Cyrl-CS" w:bidi="en-US"/>
        </w:rPr>
        <w:t xml:space="preserve"> ове Директиве.</w:t>
      </w:r>
      <w:r w:rsidR="00B441C2" w:rsidRPr="00E84C93">
        <w:rPr>
          <w:rFonts w:cs="Times New Roman"/>
          <w:bCs/>
          <w:lang w:val="sr-Cyrl-CS" w:bidi="en-US"/>
        </w:rPr>
        <w:t xml:space="preserve"> </w:t>
      </w:r>
    </w:p>
    <w:p w14:paraId="4EBD274E" w14:textId="319AADF7" w:rsidR="00BC0EB7" w:rsidRPr="00E84C93" w:rsidRDefault="00B441C2" w:rsidP="00871451">
      <w:pPr>
        <w:keepNext/>
        <w:suppressAutoHyphens/>
        <w:spacing w:after="0"/>
        <w:ind w:firstLine="720"/>
        <w:jc w:val="both"/>
        <w:outlineLvl w:val="3"/>
        <w:rPr>
          <w:rFonts w:cs="Times New Roman"/>
          <w:bCs/>
          <w:lang w:val="sr-Cyrl-CS" w:bidi="en-US"/>
        </w:rPr>
      </w:pPr>
      <w:r w:rsidRPr="00E84C93">
        <w:rPr>
          <w:rFonts w:cs="Times New Roman"/>
          <w:bCs/>
          <w:lang w:val="sr-Cyrl-CS" w:bidi="en-US"/>
        </w:rPr>
        <w:t xml:space="preserve">Потребно је доношење нове уредбе којом ће се регулисати ближи услови које треба да испуњава муљ из постројења за пречишћавање отпадних вода, </w:t>
      </w:r>
      <w:r w:rsidRPr="00E84C93">
        <w:rPr>
          <w:lang w:val="sr-Cyrl-CS"/>
        </w:rPr>
        <w:t>количине, учесталост и методе анализе муља за дозвољене намене и услове које треба да испуњава земљиште планирано за његову примену</w:t>
      </w:r>
      <w:r w:rsidRPr="00E84C93">
        <w:rPr>
          <w:rFonts w:cs="Times New Roman"/>
          <w:bCs/>
          <w:lang w:val="sr-Cyrl-CS" w:bidi="en-US"/>
        </w:rPr>
        <w:t>.</w:t>
      </w:r>
      <w:r w:rsidR="000C32D4" w:rsidRPr="00E84C93">
        <w:rPr>
          <w:rFonts w:cs="Times New Roman"/>
          <w:bCs/>
          <w:lang w:val="sr-Cyrl-CS" w:bidi="en-US"/>
        </w:rPr>
        <w:t xml:space="preserve"> Правни основ за доношење наведене уредбе </w:t>
      </w:r>
      <w:r w:rsidR="00667BD3" w:rsidRPr="00E84C93">
        <w:rPr>
          <w:rFonts w:cs="Times New Roman"/>
          <w:bCs/>
          <w:lang w:val="sr-Cyrl-CS" w:bidi="en-US"/>
        </w:rPr>
        <w:t>предвиђен је</w:t>
      </w:r>
      <w:r w:rsidR="000C32D4" w:rsidRPr="00E84C93">
        <w:rPr>
          <w:rFonts w:cs="Times New Roman"/>
          <w:bCs/>
          <w:lang w:val="sr-Cyrl-CS" w:bidi="en-US"/>
        </w:rPr>
        <w:t xml:space="preserve"> изменама и допунама Закона о управљању отпадом, у који је потребно унети одредбе о управљању му</w:t>
      </w:r>
      <w:r w:rsidR="003077DC" w:rsidRPr="00E84C93">
        <w:rPr>
          <w:rFonts w:cs="Times New Roman"/>
          <w:bCs/>
          <w:lang w:val="sr-Cyrl-CS" w:bidi="en-US"/>
        </w:rPr>
        <w:t>љ</w:t>
      </w:r>
      <w:r w:rsidR="000C32D4" w:rsidRPr="00E84C93">
        <w:rPr>
          <w:rFonts w:cs="Times New Roman"/>
          <w:bCs/>
          <w:lang w:val="sr-Cyrl-CS" w:bidi="en-US"/>
        </w:rPr>
        <w:t>ем из построје</w:t>
      </w:r>
      <w:r w:rsidR="003077DC" w:rsidRPr="00E84C93">
        <w:rPr>
          <w:rFonts w:cs="Times New Roman"/>
          <w:bCs/>
          <w:lang w:val="sr-Cyrl-CS" w:bidi="en-US"/>
        </w:rPr>
        <w:t>њ</w:t>
      </w:r>
      <w:r w:rsidR="000C32D4" w:rsidRPr="00E84C93">
        <w:rPr>
          <w:rFonts w:cs="Times New Roman"/>
          <w:bCs/>
          <w:lang w:val="sr-Cyrl-CS" w:bidi="en-US"/>
        </w:rPr>
        <w:t>а</w:t>
      </w:r>
      <w:r w:rsidR="003077DC" w:rsidRPr="00E84C93">
        <w:rPr>
          <w:rFonts w:cs="Times New Roman"/>
          <w:bCs/>
          <w:lang w:val="sr-Cyrl-CS" w:bidi="en-US"/>
        </w:rPr>
        <w:t xml:space="preserve"> </w:t>
      </w:r>
      <w:r w:rsidR="000C32D4" w:rsidRPr="00E84C93">
        <w:rPr>
          <w:rFonts w:cs="Times New Roman"/>
          <w:bCs/>
          <w:lang w:val="sr-Cyrl-CS" w:bidi="en-US"/>
        </w:rPr>
        <w:t>за пречишћавање отп</w:t>
      </w:r>
      <w:r w:rsidR="003077DC" w:rsidRPr="00E84C93">
        <w:rPr>
          <w:rFonts w:cs="Times New Roman"/>
          <w:bCs/>
          <w:lang w:val="sr-Cyrl-CS" w:bidi="en-US"/>
        </w:rPr>
        <w:t>а</w:t>
      </w:r>
      <w:r w:rsidR="000C32D4" w:rsidRPr="00E84C93">
        <w:rPr>
          <w:rFonts w:cs="Times New Roman"/>
          <w:bCs/>
          <w:lang w:val="sr-Cyrl-CS" w:bidi="en-US"/>
        </w:rPr>
        <w:t xml:space="preserve">дних вода. </w:t>
      </w:r>
    </w:p>
    <w:p w14:paraId="6F9777B8" w14:textId="77777777" w:rsidR="001422B7" w:rsidRPr="00E84C93" w:rsidRDefault="001422B7" w:rsidP="001422B7">
      <w:pPr>
        <w:spacing w:after="0"/>
        <w:ind w:firstLine="720"/>
        <w:jc w:val="both"/>
        <w:rPr>
          <w:rFonts w:cs="Times New Roman"/>
          <w:szCs w:val="24"/>
          <w:lang w:val="sr-Cyrl-CS" w:bidi="en-US"/>
        </w:rPr>
      </w:pPr>
      <w:r w:rsidRPr="00E84C93">
        <w:rPr>
          <w:rFonts w:cs="Times New Roman"/>
          <w:szCs w:val="24"/>
          <w:lang w:val="sr-Cyrl-CS" w:bidi="en-US"/>
        </w:rPr>
        <w:t>У сврху праћења количина и квалитета муља, биће успостављена база података о муљу.</w:t>
      </w:r>
    </w:p>
    <w:p w14:paraId="7F6DFF88" w14:textId="21562431" w:rsidR="00E4011D" w:rsidRPr="00E84C93" w:rsidRDefault="00971EE6" w:rsidP="00E4011D">
      <w:pPr>
        <w:spacing w:after="0"/>
        <w:ind w:firstLine="720"/>
        <w:jc w:val="both"/>
        <w:rPr>
          <w:rFonts w:cs="Times New Roman"/>
          <w:szCs w:val="24"/>
          <w:lang w:val="sr-Cyrl-CS" w:eastAsia="en-GB"/>
        </w:rPr>
      </w:pPr>
      <w:r w:rsidRPr="00E84C93">
        <w:rPr>
          <w:b/>
          <w:bCs/>
          <w:szCs w:val="24"/>
          <w:lang w:val="sr-Cyrl-CS" w:eastAsia="en-GB"/>
        </w:rPr>
        <w:t>Институција одговорна за реализацију</w:t>
      </w:r>
      <w:r w:rsidR="008915DE" w:rsidRPr="00E84C93">
        <w:rPr>
          <w:b/>
          <w:bCs/>
          <w:szCs w:val="24"/>
          <w:lang w:val="sr-Cyrl-CS" w:eastAsia="en-GB"/>
        </w:rPr>
        <w:t>:</w:t>
      </w:r>
      <w:r w:rsidR="00E4011D" w:rsidRPr="00E84C93">
        <w:rPr>
          <w:rFonts w:cs="Times New Roman"/>
          <w:szCs w:val="24"/>
          <w:lang w:val="sr-Cyrl-CS" w:eastAsia="en-GB"/>
        </w:rPr>
        <w:t xml:space="preserve"> </w:t>
      </w:r>
      <w:r w:rsidR="005D22D8" w:rsidRPr="00E84C93">
        <w:rPr>
          <w:rFonts w:cs="Times New Roman"/>
          <w:szCs w:val="24"/>
          <w:lang w:val="sr-Cyrl-CS" w:eastAsia="en-GB"/>
        </w:rPr>
        <w:t>Министарство пољопривреде, шумарства и водопривреде</w:t>
      </w:r>
      <w:r w:rsidR="002B4F75" w:rsidRPr="00E84C93">
        <w:rPr>
          <w:rFonts w:cs="Times New Roman"/>
          <w:szCs w:val="24"/>
          <w:lang w:val="sr-Cyrl-CS" w:eastAsia="en-GB"/>
        </w:rPr>
        <w:t xml:space="preserve">, Министарство </w:t>
      </w:r>
      <w:r w:rsidR="002B4F75" w:rsidRPr="00E84C93">
        <w:rPr>
          <w:szCs w:val="24"/>
          <w:lang w:val="sr-Cyrl-CS" w:eastAsia="en-GB"/>
        </w:rPr>
        <w:t>заштите животне средине</w:t>
      </w:r>
    </w:p>
    <w:p w14:paraId="61B3BBDF" w14:textId="0DCAA336" w:rsidR="008915DE" w:rsidRPr="00E84C93" w:rsidRDefault="008915DE" w:rsidP="00BC0EB7">
      <w:pPr>
        <w:spacing w:after="0"/>
        <w:ind w:firstLine="720"/>
        <w:jc w:val="both"/>
        <w:rPr>
          <w:szCs w:val="24"/>
          <w:lang w:val="sr-Cyrl-CS" w:eastAsia="en-GB"/>
        </w:rPr>
      </w:pPr>
      <w:r w:rsidRPr="00E84C93">
        <w:rPr>
          <w:b/>
          <w:bCs/>
          <w:szCs w:val="24"/>
          <w:lang w:val="sr-Cyrl-CS" w:eastAsia="en-GB"/>
        </w:rPr>
        <w:t>Партнери</w:t>
      </w:r>
      <w:r w:rsidRPr="00E84C93">
        <w:rPr>
          <w:szCs w:val="24"/>
          <w:lang w:val="sr-Cyrl-CS" w:eastAsia="en-GB"/>
        </w:rPr>
        <w:t xml:space="preserve"> </w:t>
      </w:r>
      <w:r w:rsidRPr="00E84C93">
        <w:rPr>
          <w:b/>
          <w:bCs/>
          <w:szCs w:val="24"/>
          <w:lang w:val="sr-Cyrl-CS" w:eastAsia="en-GB"/>
        </w:rPr>
        <w:t>у спровођењу</w:t>
      </w:r>
      <w:r w:rsidRPr="00E84C93">
        <w:rPr>
          <w:szCs w:val="24"/>
          <w:lang w:val="sr-Cyrl-CS" w:eastAsia="en-GB"/>
        </w:rPr>
        <w:t>:</w:t>
      </w:r>
      <w:r w:rsidR="00B47866" w:rsidRPr="00E84C93">
        <w:rPr>
          <w:rFonts w:cs="Times New Roman"/>
          <w:szCs w:val="24"/>
          <w:lang w:val="sr-Cyrl-CS" w:eastAsia="en-GB"/>
        </w:rPr>
        <w:t xml:space="preserve"> АП</w:t>
      </w:r>
    </w:p>
    <w:p w14:paraId="473B5186" w14:textId="7F27C9E0" w:rsidR="008915DE" w:rsidRPr="00E84C93" w:rsidRDefault="008915DE" w:rsidP="00BC0EB7">
      <w:pPr>
        <w:spacing w:after="0"/>
        <w:ind w:firstLine="720"/>
        <w:jc w:val="both"/>
        <w:rPr>
          <w:szCs w:val="24"/>
          <w:lang w:val="sr-Cyrl-CS" w:eastAsia="en-GB"/>
        </w:rPr>
      </w:pPr>
      <w:r w:rsidRPr="00E84C93">
        <w:rPr>
          <w:b/>
          <w:bCs/>
          <w:szCs w:val="24"/>
          <w:lang w:val="sr-Cyrl-CS" w:eastAsia="en-GB"/>
        </w:rPr>
        <w:t>Врста мере</w:t>
      </w:r>
      <w:r w:rsidRPr="00E84C93">
        <w:rPr>
          <w:szCs w:val="24"/>
          <w:lang w:val="sr-Cyrl-CS" w:eastAsia="en-GB"/>
        </w:rPr>
        <w:t xml:space="preserve">: </w:t>
      </w:r>
      <w:r w:rsidR="00971EE6" w:rsidRPr="00E84C93">
        <w:rPr>
          <w:szCs w:val="24"/>
          <w:lang w:val="sr-Cyrl-CS" w:eastAsia="en-GB"/>
        </w:rPr>
        <w:t>Регулаторна</w:t>
      </w:r>
      <w:r w:rsidR="007868F4" w:rsidRPr="00E84C93">
        <w:rPr>
          <w:szCs w:val="24"/>
          <w:lang w:val="sr-Cyrl-CS" w:eastAsia="en-GB"/>
        </w:rPr>
        <w:t xml:space="preserve"> </w:t>
      </w:r>
      <w:r w:rsidR="00971EE6" w:rsidRPr="00E84C93">
        <w:rPr>
          <w:szCs w:val="24"/>
          <w:lang w:val="sr-Cyrl-CS" w:eastAsia="en-GB"/>
        </w:rPr>
        <w:t>(Р)</w:t>
      </w:r>
    </w:p>
    <w:p w14:paraId="3478957E" w14:textId="77777777" w:rsidR="00C57A19" w:rsidRPr="00E84C93" w:rsidRDefault="00C57A19" w:rsidP="00BC0EB7">
      <w:pPr>
        <w:spacing w:after="0"/>
        <w:ind w:firstLine="720"/>
        <w:jc w:val="both"/>
        <w:rPr>
          <w:szCs w:val="24"/>
          <w:lang w:val="sr-Cyrl-CS" w:eastAsia="en-GB"/>
        </w:rPr>
      </w:pPr>
    </w:p>
    <w:p w14:paraId="730372CC" w14:textId="77777777" w:rsidR="00F90CE2" w:rsidRPr="00E84C93" w:rsidRDefault="00F90CE2" w:rsidP="00F90CE2">
      <w:pPr>
        <w:spacing w:after="0"/>
        <w:jc w:val="both"/>
        <w:rPr>
          <w:rFonts w:cs="Times New Roman"/>
          <w:b/>
          <w:szCs w:val="24"/>
          <w:lang w:val="sr-Cyrl-CS"/>
        </w:rPr>
      </w:pPr>
    </w:p>
    <w:p w14:paraId="6657FA83" w14:textId="44D464E7" w:rsidR="00F90CE2" w:rsidRPr="00E84C93" w:rsidRDefault="00F90CE2" w:rsidP="00F90CE2">
      <w:pPr>
        <w:keepNext/>
        <w:pBdr>
          <w:top w:val="single" w:sz="4" w:space="1" w:color="auto"/>
          <w:left w:val="single" w:sz="4" w:space="4" w:color="auto"/>
          <w:bottom w:val="single" w:sz="4" w:space="1" w:color="auto"/>
          <w:right w:val="single" w:sz="4" w:space="4" w:color="auto"/>
        </w:pBdr>
        <w:suppressAutoHyphens/>
        <w:spacing w:after="0"/>
        <w:jc w:val="both"/>
        <w:outlineLvl w:val="3"/>
        <w:rPr>
          <w:rFonts w:cs="Times New Roman"/>
          <w:b/>
          <w:szCs w:val="24"/>
          <w:lang w:val="sr-Cyrl-CS"/>
        </w:rPr>
      </w:pPr>
      <w:r w:rsidRPr="00E84C93">
        <w:rPr>
          <w:rFonts w:cs="Times New Roman"/>
          <w:b/>
          <w:szCs w:val="24"/>
          <w:lang w:val="sr-Cyrl-CS"/>
        </w:rPr>
        <w:t>Мера 1.2. Испитивање могућности коришћења муља у пољопривреди</w:t>
      </w:r>
    </w:p>
    <w:p w14:paraId="58325DE9" w14:textId="77777777" w:rsidR="00F90CE2" w:rsidRPr="00E84C93" w:rsidRDefault="00F90CE2" w:rsidP="00F90CE2">
      <w:pPr>
        <w:spacing w:after="0"/>
        <w:ind w:firstLine="720"/>
        <w:jc w:val="both"/>
        <w:rPr>
          <w:rFonts w:cs="Times New Roman"/>
          <w:bCs/>
          <w:szCs w:val="24"/>
          <w:lang w:val="sr-Cyrl-CS" w:bidi="en-US"/>
        </w:rPr>
      </w:pPr>
    </w:p>
    <w:p w14:paraId="1F49AA2F" w14:textId="0624ED5A" w:rsidR="00F90CE2" w:rsidRPr="00E84C93" w:rsidRDefault="00F90CE2" w:rsidP="00F90CE2">
      <w:pPr>
        <w:spacing w:after="0"/>
        <w:ind w:firstLine="720"/>
        <w:jc w:val="both"/>
        <w:rPr>
          <w:rFonts w:cs="Times New Roman"/>
          <w:bCs/>
          <w:szCs w:val="24"/>
          <w:lang w:val="sr-Cyrl-CS" w:bidi="en-US"/>
        </w:rPr>
      </w:pPr>
      <w:r w:rsidRPr="00E84C93">
        <w:rPr>
          <w:rFonts w:cs="Times New Roman"/>
          <w:bCs/>
          <w:szCs w:val="24"/>
          <w:lang w:val="sr-Cyrl-CS" w:bidi="en-US"/>
        </w:rPr>
        <w:t>Један од начина дугорочног реш</w:t>
      </w:r>
      <w:r w:rsidR="001015C5" w:rsidRPr="00E84C93">
        <w:rPr>
          <w:rFonts w:cs="Times New Roman"/>
          <w:bCs/>
          <w:szCs w:val="24"/>
          <w:lang w:val="sr-Cyrl-CS" w:bidi="en-US"/>
        </w:rPr>
        <w:t>а</w:t>
      </w:r>
      <w:r w:rsidRPr="00E84C93">
        <w:rPr>
          <w:rFonts w:cs="Times New Roman"/>
          <w:bCs/>
          <w:szCs w:val="24"/>
          <w:lang w:val="sr-Cyrl-CS" w:bidi="en-US"/>
        </w:rPr>
        <w:t xml:space="preserve">вања питања искоришћења муља је и његово коришћење у пољопривреди, као пракса која се примењује у појединим земљама ЕУ. За коришћење муља у пољопривреди у Републици Србији, неопходно је ту могућност пажљиво размотрити, </w:t>
      </w:r>
      <w:r w:rsidRPr="00E84C93">
        <w:rPr>
          <w:rFonts w:cs="Times New Roman"/>
          <w:szCs w:val="24"/>
          <w:lang w:val="sr-Cyrl-CS" w:bidi="en-US"/>
        </w:rPr>
        <w:t>с обзиром</w:t>
      </w:r>
      <w:r w:rsidR="00FF70AE" w:rsidRPr="00E84C93">
        <w:rPr>
          <w:rFonts w:cs="Times New Roman"/>
          <w:szCs w:val="24"/>
          <w:lang w:val="sr-Cyrl-CS" w:bidi="en-US"/>
        </w:rPr>
        <w:t xml:space="preserve"> на то</w:t>
      </w:r>
      <w:r w:rsidRPr="00E84C93">
        <w:rPr>
          <w:rFonts w:cs="Times New Roman"/>
          <w:szCs w:val="24"/>
          <w:lang w:val="sr-Cyrl-CS" w:bidi="en-US"/>
        </w:rPr>
        <w:t xml:space="preserve"> да употреба муља у пољопривреди тренутно није применљива из правних, административних и институционалних разлога</w:t>
      </w:r>
      <w:r w:rsidRPr="00E84C93">
        <w:rPr>
          <w:rFonts w:cs="Times New Roman"/>
          <w:bCs/>
          <w:szCs w:val="24"/>
          <w:lang w:val="sr-Cyrl-CS" w:bidi="en-US"/>
        </w:rPr>
        <w:t xml:space="preserve">. </w:t>
      </w:r>
    </w:p>
    <w:p w14:paraId="68128E2F" w14:textId="77777777" w:rsidR="00F90CE2" w:rsidRPr="00E84C93" w:rsidRDefault="00F90CE2" w:rsidP="00F90CE2">
      <w:pPr>
        <w:spacing w:after="0"/>
        <w:ind w:firstLine="720"/>
        <w:jc w:val="both"/>
        <w:rPr>
          <w:rFonts w:cs="Times New Roman"/>
          <w:szCs w:val="24"/>
          <w:lang w:val="sr-Cyrl-CS" w:bidi="en-US"/>
        </w:rPr>
      </w:pPr>
      <w:r w:rsidRPr="00E84C93">
        <w:rPr>
          <w:rFonts w:cs="Times New Roman"/>
          <w:bCs/>
          <w:szCs w:val="24"/>
          <w:lang w:val="sr-Cyrl-CS" w:bidi="en-US"/>
        </w:rPr>
        <w:t>У складу са добром праксом у ЕУ</w:t>
      </w:r>
      <w:r w:rsidRPr="00E84C93">
        <w:rPr>
          <w:rFonts w:cs="Times New Roman"/>
          <w:szCs w:val="24"/>
          <w:lang w:val="sr-Cyrl-CS" w:bidi="en-US"/>
        </w:rPr>
        <w:t xml:space="preserve">, </w:t>
      </w:r>
      <w:r w:rsidRPr="00E84C93">
        <w:rPr>
          <w:rFonts w:cs="Times New Roman"/>
          <w:bCs/>
          <w:szCs w:val="24"/>
          <w:lang w:val="sr-Cyrl-CS" w:bidi="en-US"/>
        </w:rPr>
        <w:t>у</w:t>
      </w:r>
      <w:r w:rsidRPr="00E84C93">
        <w:rPr>
          <w:rFonts w:cs="Times New Roman"/>
          <w:szCs w:val="24"/>
          <w:lang w:val="sr-Cyrl-CS" w:bidi="en-US"/>
        </w:rPr>
        <w:t xml:space="preserve">потребу муља у пољопривреди би требало дозволити где је то изводљиво и ускладити са одговарајућим стандардима квалитета који штите животну средину и здравље људи, након спроведених додатних анализа муља и земљишта, додатних разматрања и општег усклађивања. </w:t>
      </w:r>
    </w:p>
    <w:p w14:paraId="2AE59B5C" w14:textId="77777777" w:rsidR="00F90CE2" w:rsidRPr="00E84C93" w:rsidRDefault="00F90CE2" w:rsidP="00F90CE2">
      <w:pPr>
        <w:spacing w:after="0"/>
        <w:ind w:firstLine="720"/>
        <w:jc w:val="both"/>
        <w:rPr>
          <w:rFonts w:cs="Times New Roman"/>
          <w:szCs w:val="24"/>
          <w:lang w:val="sr-Cyrl-CS"/>
        </w:rPr>
      </w:pPr>
      <w:r w:rsidRPr="00E84C93">
        <w:rPr>
          <w:rFonts w:cs="Times New Roman"/>
          <w:szCs w:val="24"/>
          <w:lang w:val="sr-Cyrl-CS"/>
        </w:rPr>
        <w:t xml:space="preserve">Предности примене ове опције су: </w:t>
      </w:r>
    </w:p>
    <w:p w14:paraId="4585DCAE" w14:textId="6D31942C" w:rsidR="00F90CE2" w:rsidRPr="00E84C93" w:rsidRDefault="00F90CE2" w:rsidP="00B47866">
      <w:pPr>
        <w:pStyle w:val="ListParagraph"/>
        <w:numPr>
          <w:ilvl w:val="0"/>
          <w:numId w:val="29"/>
        </w:numPr>
        <w:tabs>
          <w:tab w:val="left" w:pos="1134"/>
        </w:tabs>
        <w:spacing w:after="0"/>
        <w:ind w:left="0" w:firstLine="720"/>
        <w:jc w:val="both"/>
        <w:rPr>
          <w:rFonts w:cs="Times New Roman"/>
          <w:szCs w:val="24"/>
          <w:lang w:val="sr-Cyrl-CS" w:bidi="en-US"/>
        </w:rPr>
      </w:pPr>
      <w:r w:rsidRPr="00E84C93">
        <w:rPr>
          <w:rFonts w:cs="Times New Roman"/>
          <w:szCs w:val="24"/>
          <w:lang w:val="sr-Cyrl-CS" w:bidi="en-US"/>
        </w:rPr>
        <w:t xml:space="preserve">транспортна удаљеност је углавном мала </w:t>
      </w:r>
      <w:r w:rsidR="00FF70AE" w:rsidRPr="00E84C93">
        <w:rPr>
          <w:rFonts w:cs="Times New Roman"/>
          <w:szCs w:val="24"/>
          <w:lang w:val="sr-Cyrl-CS" w:bidi="en-US"/>
        </w:rPr>
        <w:t xml:space="preserve"> с </w:t>
      </w:r>
      <w:r w:rsidRPr="00E84C93">
        <w:rPr>
          <w:rFonts w:cs="Times New Roman"/>
          <w:szCs w:val="24"/>
          <w:lang w:val="sr-Cyrl-CS" w:bidi="en-US"/>
        </w:rPr>
        <w:t xml:space="preserve">обзиром </w:t>
      </w:r>
      <w:r w:rsidR="00FF70AE" w:rsidRPr="00E84C93">
        <w:rPr>
          <w:rFonts w:cs="Times New Roman"/>
          <w:szCs w:val="24"/>
          <w:lang w:val="sr-Cyrl-CS" w:bidi="en-US"/>
        </w:rPr>
        <w:t xml:space="preserve">на то </w:t>
      </w:r>
      <w:r w:rsidRPr="00E84C93">
        <w:rPr>
          <w:rFonts w:cs="Times New Roman"/>
          <w:szCs w:val="24"/>
          <w:lang w:val="sr-Cyrl-CS" w:bidi="en-US"/>
        </w:rPr>
        <w:t>да пољопривредне површине практично окружују постројења за пречишћавање отпадних вода и/или привремена складишта муља</w:t>
      </w:r>
      <w:r w:rsidR="00B47866" w:rsidRPr="00E84C93">
        <w:rPr>
          <w:rFonts w:cs="Times New Roman"/>
          <w:szCs w:val="24"/>
          <w:lang w:val="sr-Cyrl-CS" w:bidi="en-US"/>
        </w:rPr>
        <w:t>;</w:t>
      </w:r>
    </w:p>
    <w:p w14:paraId="3B6FEB42" w14:textId="688B411E" w:rsidR="00F90CE2" w:rsidRPr="00E84C93" w:rsidRDefault="00F90CE2" w:rsidP="00D75873">
      <w:pPr>
        <w:pStyle w:val="ListParagraph"/>
        <w:numPr>
          <w:ilvl w:val="0"/>
          <w:numId w:val="29"/>
        </w:numPr>
        <w:spacing w:after="0"/>
        <w:contextualSpacing w:val="0"/>
        <w:jc w:val="both"/>
        <w:rPr>
          <w:rFonts w:cs="Times New Roman"/>
          <w:szCs w:val="24"/>
          <w:lang w:val="sr-Cyrl-CS" w:bidi="en-US"/>
        </w:rPr>
      </w:pPr>
      <w:r w:rsidRPr="00E84C93">
        <w:rPr>
          <w:rFonts w:cs="Times New Roman"/>
          <w:szCs w:val="24"/>
          <w:lang w:val="sr-Cyrl-CS" w:bidi="en-US"/>
        </w:rPr>
        <w:t>поновно искоришћење азота и фосфора; а тиме и замена минералног ђубрива</w:t>
      </w:r>
      <w:r w:rsidR="00B47866" w:rsidRPr="00E84C93">
        <w:rPr>
          <w:rFonts w:cs="Times New Roman"/>
          <w:szCs w:val="24"/>
          <w:lang w:val="sr-Cyrl-CS" w:bidi="en-US"/>
        </w:rPr>
        <w:t>;</w:t>
      </w:r>
    </w:p>
    <w:p w14:paraId="4FA119F8" w14:textId="5A546639" w:rsidR="00F90CE2" w:rsidRPr="00E84C93" w:rsidRDefault="00F90CE2" w:rsidP="00B47866">
      <w:pPr>
        <w:pStyle w:val="ListParagraph"/>
        <w:numPr>
          <w:ilvl w:val="0"/>
          <w:numId w:val="29"/>
        </w:numPr>
        <w:tabs>
          <w:tab w:val="left" w:pos="1134"/>
        </w:tabs>
        <w:spacing w:after="0"/>
        <w:ind w:left="142" w:firstLine="578"/>
        <w:contextualSpacing w:val="0"/>
        <w:jc w:val="both"/>
        <w:rPr>
          <w:rFonts w:cs="Times New Roman"/>
          <w:szCs w:val="24"/>
          <w:lang w:val="sr-Cyrl-CS" w:bidi="en-US"/>
        </w:rPr>
      </w:pPr>
      <w:r w:rsidRPr="00E84C93">
        <w:rPr>
          <w:rFonts w:cs="Times New Roman"/>
          <w:szCs w:val="24"/>
          <w:lang w:val="sr-Cyrl-CS" w:bidi="en-US"/>
        </w:rPr>
        <w:t>садржај органских материја у муљу (40-70%) иде у прилог када је у питању плодност земљишта и/или обнављање садржаја хумуса</w:t>
      </w:r>
      <w:r w:rsidR="00B47866" w:rsidRPr="00E84C93">
        <w:rPr>
          <w:rFonts w:cs="Times New Roman"/>
          <w:szCs w:val="24"/>
          <w:lang w:val="sr-Cyrl-CS" w:bidi="en-US"/>
        </w:rPr>
        <w:t>;</w:t>
      </w:r>
    </w:p>
    <w:p w14:paraId="726E1482" w14:textId="1BC927C2" w:rsidR="00F90CE2" w:rsidRPr="00E84C93" w:rsidRDefault="00B47866" w:rsidP="00B47866">
      <w:pPr>
        <w:pStyle w:val="ListParagraph"/>
        <w:numPr>
          <w:ilvl w:val="0"/>
          <w:numId w:val="29"/>
        </w:numPr>
        <w:tabs>
          <w:tab w:val="left" w:pos="993"/>
        </w:tabs>
        <w:spacing w:after="0"/>
        <w:ind w:left="0" w:firstLine="720"/>
        <w:contextualSpacing w:val="0"/>
        <w:jc w:val="both"/>
        <w:rPr>
          <w:rFonts w:cs="Times New Roman"/>
          <w:szCs w:val="24"/>
          <w:lang w:val="sr-Cyrl-CS" w:bidi="en-US"/>
        </w:rPr>
      </w:pPr>
      <w:r w:rsidRPr="00E84C93">
        <w:rPr>
          <w:rFonts w:cs="Times New Roman"/>
          <w:szCs w:val="24"/>
          <w:lang w:val="sr-Cyrl-CS" w:bidi="en-US"/>
        </w:rPr>
        <w:t xml:space="preserve">  </w:t>
      </w:r>
      <w:r w:rsidR="00F90CE2" w:rsidRPr="00E84C93">
        <w:rPr>
          <w:rFonts w:cs="Times New Roman"/>
          <w:szCs w:val="24"/>
          <w:lang w:val="sr-Cyrl-CS" w:bidi="en-US"/>
        </w:rPr>
        <w:t>уз правилно управљање (стандарди високог квалитета), нуди оператерима постројења за пречишћавање отпадних вода додатни извор прихода</w:t>
      </w:r>
      <w:r w:rsidRPr="00E84C93">
        <w:rPr>
          <w:rFonts w:cs="Times New Roman"/>
          <w:szCs w:val="24"/>
          <w:lang w:val="sr-Cyrl-CS" w:bidi="en-US"/>
        </w:rPr>
        <w:t>;</w:t>
      </w:r>
    </w:p>
    <w:p w14:paraId="0415C221" w14:textId="51DA5E37" w:rsidR="00F90CE2" w:rsidRPr="00E84C93" w:rsidRDefault="00F90CE2" w:rsidP="00B47866">
      <w:pPr>
        <w:pStyle w:val="ListParagraph"/>
        <w:numPr>
          <w:ilvl w:val="0"/>
          <w:numId w:val="29"/>
        </w:numPr>
        <w:tabs>
          <w:tab w:val="left" w:pos="1134"/>
        </w:tabs>
        <w:spacing w:after="0"/>
        <w:ind w:left="0" w:firstLine="720"/>
        <w:contextualSpacing w:val="0"/>
        <w:jc w:val="both"/>
        <w:rPr>
          <w:rFonts w:cs="Times New Roman"/>
          <w:i/>
          <w:szCs w:val="24"/>
          <w:u w:val="single"/>
          <w:lang w:val="sr-Cyrl-CS"/>
        </w:rPr>
      </w:pPr>
      <w:r w:rsidRPr="00E84C93">
        <w:rPr>
          <w:rFonts w:cs="Times New Roman"/>
          <w:szCs w:val="24"/>
          <w:lang w:val="sr-Cyrl-CS" w:bidi="en-US"/>
        </w:rPr>
        <w:t xml:space="preserve">велико практично искуство у поновној употреби муља у пољопривреди </w:t>
      </w:r>
      <w:r w:rsidR="00FF70AE" w:rsidRPr="00E84C93">
        <w:rPr>
          <w:rFonts w:cs="Times New Roman"/>
          <w:szCs w:val="24"/>
          <w:lang w:val="sr-Cyrl-CS" w:bidi="en-US"/>
        </w:rPr>
        <w:t xml:space="preserve">с </w:t>
      </w:r>
      <w:r w:rsidRPr="00E84C93">
        <w:rPr>
          <w:rFonts w:cs="Times New Roman"/>
          <w:szCs w:val="24"/>
          <w:lang w:val="sr-Cyrl-CS" w:bidi="en-US"/>
        </w:rPr>
        <w:t xml:space="preserve">обзиром </w:t>
      </w:r>
      <w:r w:rsidR="00FF70AE" w:rsidRPr="00E84C93">
        <w:rPr>
          <w:rFonts w:cs="Times New Roman"/>
          <w:szCs w:val="24"/>
          <w:lang w:val="sr-Cyrl-CS" w:bidi="en-US"/>
        </w:rPr>
        <w:t xml:space="preserve">на то </w:t>
      </w:r>
      <w:r w:rsidRPr="00E84C93">
        <w:rPr>
          <w:rFonts w:cs="Times New Roman"/>
          <w:szCs w:val="24"/>
          <w:lang w:val="sr-Cyrl-CS" w:bidi="en-US"/>
        </w:rPr>
        <w:t>да се (још увек) практикује у многим земљама чланицама ЕУ.</w:t>
      </w:r>
    </w:p>
    <w:p w14:paraId="51C52C0D" w14:textId="1D5ECC9D" w:rsidR="00F90CE2" w:rsidRPr="00E84C93" w:rsidRDefault="00F90CE2" w:rsidP="00F90CE2">
      <w:pPr>
        <w:spacing w:after="0"/>
        <w:ind w:firstLine="720"/>
        <w:jc w:val="both"/>
        <w:rPr>
          <w:rFonts w:cs="Times New Roman"/>
          <w:bCs/>
          <w:iCs/>
          <w:szCs w:val="24"/>
          <w:lang w:val="sr-Cyrl-CS" w:bidi="en-US"/>
        </w:rPr>
      </w:pPr>
      <w:r w:rsidRPr="00E84C93">
        <w:rPr>
          <w:rFonts w:cs="Times New Roman"/>
          <w:bCs/>
          <w:iCs/>
          <w:szCs w:val="24"/>
          <w:lang w:val="sr-Cyrl-CS" w:bidi="en-US"/>
        </w:rPr>
        <w:t xml:space="preserve"> </w:t>
      </w:r>
      <w:r w:rsidR="00CC1D0C" w:rsidRPr="00E84C93">
        <w:rPr>
          <w:rFonts w:cs="Times New Roman"/>
          <w:bCs/>
          <w:iCs/>
          <w:szCs w:val="24"/>
          <w:lang w:val="sr-Cyrl-CS" w:bidi="en-US"/>
        </w:rPr>
        <w:t xml:space="preserve">Изазови </w:t>
      </w:r>
      <w:r w:rsidRPr="00E84C93">
        <w:rPr>
          <w:rFonts w:cs="Times New Roman"/>
          <w:bCs/>
          <w:iCs/>
          <w:szCs w:val="24"/>
          <w:lang w:val="sr-Cyrl-CS" w:bidi="en-US"/>
        </w:rPr>
        <w:t xml:space="preserve"> </w:t>
      </w:r>
      <w:r w:rsidR="00CC1D0C" w:rsidRPr="00E84C93">
        <w:rPr>
          <w:rFonts w:cs="Times New Roman"/>
          <w:bCs/>
          <w:iCs/>
          <w:szCs w:val="24"/>
          <w:lang w:val="sr-Cyrl-CS" w:bidi="en-US"/>
        </w:rPr>
        <w:t xml:space="preserve">примене </w:t>
      </w:r>
      <w:r w:rsidR="00CD16AB" w:rsidRPr="00E84C93">
        <w:rPr>
          <w:rFonts w:cs="Times New Roman"/>
          <w:bCs/>
          <w:iCs/>
          <w:szCs w:val="24"/>
          <w:lang w:val="sr-Cyrl-CS" w:bidi="en-US"/>
        </w:rPr>
        <w:t xml:space="preserve">овог решења за </w:t>
      </w:r>
      <w:r w:rsidRPr="00E84C93">
        <w:rPr>
          <w:rFonts w:cs="Times New Roman"/>
          <w:bCs/>
          <w:iCs/>
          <w:szCs w:val="24"/>
          <w:lang w:val="sr-Cyrl-CS" w:bidi="en-US"/>
        </w:rPr>
        <w:t>управљањ</w:t>
      </w:r>
      <w:r w:rsidR="00CD16AB" w:rsidRPr="00E84C93">
        <w:rPr>
          <w:rFonts w:cs="Times New Roman"/>
          <w:bCs/>
          <w:iCs/>
          <w:szCs w:val="24"/>
          <w:lang w:val="sr-Cyrl-CS" w:bidi="en-US"/>
        </w:rPr>
        <w:t>е</w:t>
      </w:r>
      <w:r w:rsidRPr="00E84C93">
        <w:rPr>
          <w:rFonts w:cs="Times New Roman"/>
          <w:bCs/>
          <w:iCs/>
          <w:szCs w:val="24"/>
          <w:lang w:val="sr-Cyrl-CS" w:bidi="en-US"/>
        </w:rPr>
        <w:t xml:space="preserve"> муљем су следећи: </w:t>
      </w:r>
    </w:p>
    <w:p w14:paraId="1437D42E" w14:textId="429AD685" w:rsidR="00F90CE2" w:rsidRPr="00E84C93" w:rsidRDefault="00F90CE2" w:rsidP="00461D6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употреба муља у пољопривреди у Републици Србији је у великој мери непозната</w:t>
      </w:r>
      <w:r w:rsidR="00BC5B33" w:rsidRPr="00E84C93">
        <w:rPr>
          <w:rFonts w:cs="Times New Roman"/>
          <w:szCs w:val="24"/>
          <w:lang w:val="sr-Cyrl-CS" w:bidi="en-US"/>
        </w:rPr>
        <w:t>;</w:t>
      </w:r>
    </w:p>
    <w:p w14:paraId="4AE3C55B" w14:textId="05FBF55A" w:rsidR="0052143F" w:rsidRPr="00E84C93" w:rsidRDefault="00E80BF0" w:rsidP="00461D6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пољопривредн</w:t>
      </w:r>
      <w:r w:rsidR="0052143F" w:rsidRPr="00E84C93">
        <w:rPr>
          <w:rFonts w:cs="Times New Roman"/>
          <w:szCs w:val="24"/>
          <w:lang w:val="sr-Cyrl-CS" w:bidi="en-US"/>
        </w:rPr>
        <w:t>е површине су у</w:t>
      </w:r>
      <w:r w:rsidRPr="00E84C93">
        <w:rPr>
          <w:rFonts w:cs="Times New Roman"/>
          <w:szCs w:val="24"/>
          <w:lang w:val="sr-Cyrl-CS" w:bidi="en-US"/>
        </w:rPr>
        <w:t>ситњен</w:t>
      </w:r>
      <w:r w:rsidR="0052143F" w:rsidRPr="00E84C93">
        <w:rPr>
          <w:rFonts w:cs="Times New Roman"/>
          <w:szCs w:val="24"/>
          <w:lang w:val="sr-Cyrl-CS" w:bidi="en-US"/>
        </w:rPr>
        <w:t>е</w:t>
      </w:r>
      <w:r w:rsidRPr="00E84C93">
        <w:rPr>
          <w:rFonts w:cs="Times New Roman"/>
          <w:szCs w:val="24"/>
          <w:lang w:val="sr-Cyrl-CS" w:bidi="en-US"/>
        </w:rPr>
        <w:t xml:space="preserve"> и разбацан</w:t>
      </w:r>
      <w:r w:rsidR="0052143F" w:rsidRPr="00E84C93">
        <w:rPr>
          <w:rFonts w:cs="Times New Roman"/>
          <w:szCs w:val="24"/>
          <w:lang w:val="sr-Cyrl-CS" w:bidi="en-US"/>
        </w:rPr>
        <w:t xml:space="preserve">е што </w:t>
      </w:r>
      <w:r w:rsidR="00646DEF" w:rsidRPr="00E84C93">
        <w:rPr>
          <w:rFonts w:cs="Times New Roman"/>
          <w:szCs w:val="24"/>
          <w:lang w:val="sr-Cyrl-CS" w:bidi="en-US"/>
        </w:rPr>
        <w:t xml:space="preserve">може </w:t>
      </w:r>
      <w:r w:rsidR="0052143F" w:rsidRPr="00E84C93">
        <w:rPr>
          <w:rFonts w:cs="Times New Roman"/>
          <w:szCs w:val="24"/>
          <w:lang w:val="sr-Cyrl-CS" w:bidi="en-US"/>
        </w:rPr>
        <w:t>чини</w:t>
      </w:r>
      <w:r w:rsidR="00646DEF" w:rsidRPr="00E84C93">
        <w:rPr>
          <w:rFonts w:cs="Times New Roman"/>
          <w:szCs w:val="24"/>
          <w:lang w:val="sr-Cyrl-CS" w:bidi="en-US"/>
        </w:rPr>
        <w:t>ти</w:t>
      </w:r>
      <w:r w:rsidR="0052143F" w:rsidRPr="00E84C93">
        <w:rPr>
          <w:rFonts w:cs="Times New Roman"/>
          <w:szCs w:val="24"/>
          <w:lang w:val="sr-Cyrl-CS" w:bidi="en-US"/>
        </w:rPr>
        <w:t xml:space="preserve"> ефикасну примену муља и пратећи мониторинг </w:t>
      </w:r>
      <w:r w:rsidR="00140090" w:rsidRPr="00E84C93">
        <w:rPr>
          <w:rFonts w:cs="Times New Roman"/>
          <w:szCs w:val="24"/>
          <w:lang w:val="sr-Cyrl-CS" w:bidi="en-US"/>
        </w:rPr>
        <w:t>економски неодрживим</w:t>
      </w:r>
      <w:r w:rsidR="00BC5B33" w:rsidRPr="00E84C93">
        <w:rPr>
          <w:rFonts w:cs="Times New Roman"/>
          <w:szCs w:val="24"/>
          <w:lang w:val="sr-Cyrl-CS" w:bidi="en-US"/>
        </w:rPr>
        <w:t>;</w:t>
      </w:r>
    </w:p>
    <w:p w14:paraId="3CD399F0" w14:textId="711CD5FF" w:rsidR="00F90CE2" w:rsidRPr="00E84C93" w:rsidRDefault="00F90CE2" w:rsidP="00461D6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pH вредности земљишта у одређеним регионима су испод прописаног стандарда у Директиви ЕУ о муљу</w:t>
      </w:r>
      <w:r w:rsidR="00980A41" w:rsidRPr="00E84C93">
        <w:rPr>
          <w:rFonts w:cs="Times New Roman"/>
          <w:szCs w:val="24"/>
          <w:lang w:val="sr-Cyrl-CS" w:bidi="en-US"/>
        </w:rPr>
        <w:t xml:space="preserve"> </w:t>
      </w:r>
      <w:r w:rsidR="00980A41" w:rsidRPr="00E84C93">
        <w:rPr>
          <w:rFonts w:cs="Times New Roman"/>
          <w:szCs w:val="24"/>
          <w:lang w:val="sr-Cyrl-CS"/>
        </w:rPr>
        <w:t>из постројења за пречишћавање отпадних вода</w:t>
      </w:r>
      <w:r w:rsidR="00BC5B33" w:rsidRPr="00E84C93">
        <w:rPr>
          <w:rFonts w:cs="Times New Roman"/>
          <w:szCs w:val="24"/>
          <w:lang w:val="sr-Cyrl-CS" w:bidi="en-US"/>
        </w:rPr>
        <w:t>;</w:t>
      </w:r>
    </w:p>
    <w:p w14:paraId="1CC572FE" w14:textId="03E74EA5" w:rsidR="00F90CE2" w:rsidRPr="00E84C93" w:rsidRDefault="00F90CE2" w:rsidP="00461D6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присуство тешких метала у земљишту у појединим регионима Републике Србије</w:t>
      </w:r>
      <w:r w:rsidR="00BC5B33" w:rsidRPr="00E84C93">
        <w:rPr>
          <w:rFonts w:cs="Times New Roman"/>
          <w:szCs w:val="24"/>
          <w:lang w:val="sr-Cyrl-CS" w:bidi="en-US"/>
        </w:rPr>
        <w:t>;</w:t>
      </w:r>
    </w:p>
    <w:p w14:paraId="78AD03F4" w14:textId="18494619" w:rsidR="008E3C23" w:rsidRPr="00E84C93" w:rsidRDefault="00F90CE2" w:rsidP="00CD002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 xml:space="preserve">присуство арсена у земљишту (и води за пиће) у </w:t>
      </w:r>
      <w:r w:rsidR="00461D66" w:rsidRPr="00E84C93">
        <w:rPr>
          <w:rFonts w:cs="Times New Roman"/>
          <w:szCs w:val="24"/>
          <w:lang w:val="sr-Cyrl-CS" w:bidi="en-US"/>
        </w:rPr>
        <w:t>АП</w:t>
      </w:r>
      <w:r w:rsidR="00FF70AE" w:rsidRPr="00E84C93">
        <w:rPr>
          <w:rFonts w:cs="Times New Roman"/>
          <w:szCs w:val="24"/>
          <w:lang w:val="sr-Cyrl-CS" w:bidi="en-US"/>
        </w:rPr>
        <w:t xml:space="preserve"> </w:t>
      </w:r>
      <w:r w:rsidRPr="00E84C93">
        <w:rPr>
          <w:rFonts w:cs="Times New Roman"/>
          <w:szCs w:val="24"/>
          <w:lang w:val="sr-Cyrl-CS" w:bidi="en-US"/>
        </w:rPr>
        <w:t xml:space="preserve">Војводини као једној од најинтензивније коришћених пољопривредних површина у </w:t>
      </w:r>
      <w:r w:rsidRPr="00E84C93">
        <w:rPr>
          <w:lang w:val="sr-Cyrl-CS"/>
        </w:rPr>
        <w:t>Републици</w:t>
      </w:r>
      <w:r w:rsidRPr="00E84C93">
        <w:rPr>
          <w:rFonts w:cs="Times New Roman"/>
          <w:szCs w:val="24"/>
          <w:lang w:val="sr-Cyrl-CS" w:bidi="en-US"/>
        </w:rPr>
        <w:t xml:space="preserve"> Србији;</w:t>
      </w:r>
    </w:p>
    <w:p w14:paraId="5DD935D7" w14:textId="4444F35C" w:rsidR="00F90CE2" w:rsidRPr="00E84C93" w:rsidRDefault="004C7564" w:rsidP="00CD002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додатни трошкови за контролу квалитета муља и земљишта на које се примењује</w:t>
      </w:r>
      <w:r w:rsidR="00BC5B33" w:rsidRPr="00E84C93">
        <w:rPr>
          <w:rFonts w:cs="Times New Roman"/>
          <w:szCs w:val="24"/>
          <w:lang w:val="sr-Cyrl-CS" w:bidi="en-US"/>
        </w:rPr>
        <w:t>;</w:t>
      </w:r>
    </w:p>
    <w:p w14:paraId="70F36274" w14:textId="3BB442B3" w:rsidR="00F90CE2" w:rsidRPr="00E84C93" w:rsidRDefault="00F90CE2" w:rsidP="00CD0026">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 xml:space="preserve">захтева привремено складиштење муља (око </w:t>
      </w:r>
      <w:r w:rsidR="00FF70AE" w:rsidRPr="00E84C93">
        <w:rPr>
          <w:rFonts w:cs="Times New Roman"/>
          <w:szCs w:val="24"/>
          <w:lang w:val="sr-Cyrl-CS" w:bidi="en-US"/>
        </w:rPr>
        <w:t>шест</w:t>
      </w:r>
      <w:r w:rsidRPr="00E84C93">
        <w:rPr>
          <w:rFonts w:cs="Times New Roman"/>
          <w:szCs w:val="24"/>
          <w:lang w:val="sr-Cyrl-CS" w:bidi="en-US"/>
        </w:rPr>
        <w:t xml:space="preserve"> месеци) како би се премостили периоди у којима примена муља није могућа</w:t>
      </w:r>
      <w:r w:rsidR="00BC5B33" w:rsidRPr="00E84C93">
        <w:rPr>
          <w:rFonts w:cs="Times New Roman"/>
          <w:szCs w:val="24"/>
          <w:lang w:val="sr-Cyrl-CS" w:bidi="en-US"/>
        </w:rPr>
        <w:t>;</w:t>
      </w:r>
    </w:p>
    <w:p w14:paraId="457FD9E5" w14:textId="77777777" w:rsidR="0065472F" w:rsidRPr="00E84C93" w:rsidRDefault="004C7564" w:rsidP="0065472F">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 xml:space="preserve">ограничена примена </w:t>
      </w:r>
      <w:r w:rsidRPr="00E84C93">
        <w:rPr>
          <w:rFonts w:cs="Times New Roman"/>
          <w:szCs w:val="24"/>
          <w:lang w:val="sr-Cyrl-CS"/>
        </w:rPr>
        <w:t xml:space="preserve">муља из постројења за пречишћавање отпадних вода </w:t>
      </w:r>
      <w:r w:rsidRPr="00E84C93">
        <w:rPr>
          <w:rFonts w:cs="Times New Roman"/>
          <w:szCs w:val="24"/>
          <w:lang w:val="sr-Cyrl-CS" w:bidi="en-US"/>
        </w:rPr>
        <w:t>у зонама изложеним ризику од продора нитрата у површинске и подземне воде</w:t>
      </w:r>
      <w:r w:rsidR="00BC5B33" w:rsidRPr="00E84C93">
        <w:rPr>
          <w:rFonts w:cs="Times New Roman"/>
          <w:szCs w:val="24"/>
          <w:lang w:val="sr-Cyrl-CS" w:bidi="en-US"/>
        </w:rPr>
        <w:t>;</w:t>
      </w:r>
      <w:r w:rsidR="0065472F" w:rsidRPr="00E84C93">
        <w:rPr>
          <w:rFonts w:cs="Times New Roman"/>
          <w:szCs w:val="24"/>
          <w:lang w:val="sr-Cyrl-CS" w:bidi="en-US"/>
        </w:rPr>
        <w:t xml:space="preserve"> </w:t>
      </w:r>
    </w:p>
    <w:p w14:paraId="6389B339" w14:textId="0CE14C7D" w:rsidR="008E3C23" w:rsidRPr="00E84C93" w:rsidRDefault="005C3720" w:rsidP="0065472F">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t xml:space="preserve">неопходан је </w:t>
      </w:r>
      <w:r w:rsidR="00F90CE2" w:rsidRPr="00E84C93">
        <w:rPr>
          <w:rFonts w:cs="Times New Roman"/>
          <w:szCs w:val="24"/>
          <w:lang w:val="sr-Cyrl-CS" w:bidi="en-US"/>
        </w:rPr>
        <w:t xml:space="preserve">додатни третман, односно дугорочно складиштење на локацији постројења за пречишћавање отпадних вода, </w:t>
      </w:r>
      <w:r w:rsidRPr="00E84C93">
        <w:rPr>
          <w:rFonts w:cs="Times New Roman"/>
          <w:szCs w:val="24"/>
          <w:lang w:val="sr-Cyrl-CS" w:bidi="en-US"/>
        </w:rPr>
        <w:t xml:space="preserve">чиме би се постигао садржај суве материје од минимум 30% и контрола патогена. </w:t>
      </w:r>
      <w:r w:rsidR="004D796B" w:rsidRPr="00E84C93">
        <w:rPr>
          <w:rFonts w:cs="Times New Roman"/>
          <w:szCs w:val="24"/>
          <w:lang w:val="sr-Cyrl-CS" w:bidi="en-US"/>
        </w:rPr>
        <w:t xml:space="preserve">Потребна је </w:t>
      </w:r>
      <w:r w:rsidR="004D796B" w:rsidRPr="00E84C93">
        <w:rPr>
          <w:lang w:val="sr-Cyrl-CS"/>
        </w:rPr>
        <w:t>дезинфекција кречом и сушење муља којим се постиже деактивација патогена.</w:t>
      </w:r>
      <w:r w:rsidR="004D796B" w:rsidRPr="00E84C93">
        <w:rPr>
          <w:rFonts w:cs="Times New Roman"/>
          <w:szCs w:val="24"/>
          <w:lang w:val="sr-Cyrl-CS" w:bidi="en-US"/>
        </w:rPr>
        <w:t xml:space="preserve"> </w:t>
      </w:r>
      <w:r w:rsidRPr="00E84C93">
        <w:rPr>
          <w:rFonts w:cs="Times New Roman"/>
          <w:szCs w:val="24"/>
          <w:lang w:val="sr-Cyrl-CS" w:bidi="en-US"/>
        </w:rPr>
        <w:t xml:space="preserve">У овом контексту треба напоменути да механички обезводњени муљ (тракаста преса </w:t>
      </w:r>
      <w:r w:rsidR="00752626" w:rsidRPr="00E84C93">
        <w:rPr>
          <w:rFonts w:ascii="Courier New" w:hAnsi="Courier New" w:cs="Courier New"/>
          <w:szCs w:val="24"/>
          <w:lang w:val="sr-Cyrl-CS"/>
        </w:rPr>
        <w:t>–</w:t>
      </w:r>
      <w:r w:rsidR="00752626" w:rsidRPr="00E84C93">
        <w:rPr>
          <w:rFonts w:cs="Times New Roman"/>
          <w:szCs w:val="24"/>
          <w:lang w:val="sr-Cyrl-CS"/>
        </w:rPr>
        <w:t xml:space="preserve"> </w:t>
      </w:r>
      <w:r w:rsidRPr="00E84C93">
        <w:rPr>
          <w:rFonts w:cs="Times New Roman"/>
          <w:szCs w:val="24"/>
          <w:lang w:val="sr-Cyrl-CS" w:bidi="en-US"/>
        </w:rPr>
        <w:t xml:space="preserve">18-20%-тни садржај суве материје, центрифуга </w:t>
      </w:r>
      <w:r w:rsidR="00752626" w:rsidRPr="00E84C93">
        <w:rPr>
          <w:rFonts w:ascii="Courier New" w:hAnsi="Courier New" w:cs="Courier New"/>
          <w:szCs w:val="24"/>
          <w:lang w:val="sr-Cyrl-CS"/>
        </w:rPr>
        <w:t>–</w:t>
      </w:r>
      <w:r w:rsidR="00752626" w:rsidRPr="00E84C93">
        <w:rPr>
          <w:rFonts w:cs="Times New Roman"/>
          <w:szCs w:val="24"/>
          <w:lang w:val="sr-Cyrl-CS"/>
        </w:rPr>
        <w:t xml:space="preserve"> </w:t>
      </w:r>
      <w:r w:rsidRPr="00E84C93">
        <w:rPr>
          <w:rFonts w:cs="Times New Roman"/>
          <w:szCs w:val="24"/>
          <w:lang w:val="sr-Cyrl-CS" w:bidi="en-US"/>
        </w:rPr>
        <w:t>20-22%-тни садржај суве материје) не задовољава санитарне услове за примену на земљиште</w:t>
      </w:r>
      <w:r w:rsidR="00BC5B33" w:rsidRPr="00E84C93">
        <w:rPr>
          <w:rFonts w:cs="Times New Roman"/>
          <w:szCs w:val="24"/>
          <w:lang w:val="sr-Cyrl-CS" w:bidi="en-US"/>
        </w:rPr>
        <w:t>;</w:t>
      </w:r>
      <w:r w:rsidR="00FF70AE" w:rsidRPr="00E84C93">
        <w:rPr>
          <w:rFonts w:cs="Times New Roman"/>
          <w:szCs w:val="24"/>
          <w:lang w:val="sr-Cyrl-CS" w:bidi="en-US"/>
        </w:rPr>
        <w:t xml:space="preserve"> </w:t>
      </w:r>
      <w:r w:rsidR="008E3C23" w:rsidRPr="00E84C93">
        <w:rPr>
          <w:rFonts w:cs="Times New Roman"/>
          <w:szCs w:val="24"/>
          <w:lang w:val="sr-Cyrl-CS" w:bidi="en-US"/>
        </w:rPr>
        <w:t xml:space="preserve"> </w:t>
      </w:r>
    </w:p>
    <w:p w14:paraId="03E8A42D" w14:textId="4C29E3C5" w:rsidR="00F90CE2" w:rsidRPr="00E84C93" w:rsidRDefault="00F90CE2" w:rsidP="00124979">
      <w:pPr>
        <w:pStyle w:val="ListParagraph"/>
        <w:numPr>
          <w:ilvl w:val="0"/>
          <w:numId w:val="30"/>
        </w:numPr>
        <w:spacing w:after="0"/>
        <w:ind w:left="0" w:firstLine="810"/>
        <w:contextualSpacing w:val="0"/>
        <w:jc w:val="both"/>
        <w:rPr>
          <w:rFonts w:cs="Times New Roman"/>
          <w:szCs w:val="24"/>
          <w:lang w:val="sr-Cyrl-CS" w:bidi="en-US"/>
        </w:rPr>
      </w:pPr>
      <w:r w:rsidRPr="00E84C93">
        <w:rPr>
          <w:rFonts w:cs="Times New Roman"/>
          <w:szCs w:val="24"/>
          <w:lang w:val="sr-Cyrl-CS" w:bidi="en-US"/>
        </w:rPr>
        <w:lastRenderedPageBreak/>
        <w:t>оператер постројења за пречишћавање отпадних вода мора да уложи значајне напоре како би се омогућила употреба муља у пољопривреди:</w:t>
      </w:r>
    </w:p>
    <w:p w14:paraId="0EEEF38B" w14:textId="7DD35E37" w:rsidR="00F90CE2" w:rsidRPr="00E84C93" w:rsidRDefault="00F90CE2" w:rsidP="009B6460">
      <w:pPr>
        <w:pStyle w:val="ListParagraph"/>
        <w:numPr>
          <w:ilvl w:val="0"/>
          <w:numId w:val="41"/>
        </w:numPr>
        <w:spacing w:after="0"/>
        <w:jc w:val="both"/>
        <w:rPr>
          <w:rFonts w:cs="Times New Roman"/>
          <w:szCs w:val="24"/>
          <w:lang w:val="sr-Cyrl-CS" w:bidi="en-US"/>
        </w:rPr>
      </w:pPr>
      <w:r w:rsidRPr="00E84C93">
        <w:rPr>
          <w:rFonts w:cs="Times New Roman"/>
          <w:szCs w:val="24"/>
          <w:lang w:val="sr-Cyrl-CS" w:bidi="en-US"/>
        </w:rPr>
        <w:t>праћење квалитета муља (преко акредитованих лабораторија)</w:t>
      </w:r>
      <w:r w:rsidR="00FF70AE" w:rsidRPr="00E84C93">
        <w:rPr>
          <w:rFonts w:cs="Times New Roman"/>
          <w:szCs w:val="24"/>
          <w:lang w:val="sr-Cyrl-CS" w:bidi="en-US"/>
        </w:rPr>
        <w:t>,</w:t>
      </w:r>
    </w:p>
    <w:p w14:paraId="0001E0E2" w14:textId="3C98DE51" w:rsidR="00F90CE2" w:rsidRPr="00E84C93" w:rsidRDefault="00F90CE2" w:rsidP="009B6460">
      <w:pPr>
        <w:pStyle w:val="ListParagraph"/>
        <w:numPr>
          <w:ilvl w:val="0"/>
          <w:numId w:val="41"/>
        </w:numPr>
        <w:spacing w:after="0"/>
        <w:jc w:val="both"/>
        <w:rPr>
          <w:rFonts w:cs="Times New Roman"/>
          <w:szCs w:val="24"/>
          <w:lang w:val="sr-Cyrl-CS" w:bidi="en-US"/>
        </w:rPr>
      </w:pPr>
      <w:r w:rsidRPr="00E84C93">
        <w:rPr>
          <w:rFonts w:cs="Times New Roman"/>
          <w:szCs w:val="24"/>
          <w:lang w:val="sr-Cyrl-CS" w:bidi="en-US"/>
        </w:rPr>
        <w:t>праћење квалитета земљишта (пре прве примене муља)</w:t>
      </w:r>
      <w:r w:rsidR="00FF70AE" w:rsidRPr="00E84C93">
        <w:rPr>
          <w:rFonts w:cs="Times New Roman"/>
          <w:szCs w:val="24"/>
          <w:lang w:val="sr-Cyrl-CS" w:bidi="en-US"/>
        </w:rPr>
        <w:t>,</w:t>
      </w:r>
    </w:p>
    <w:p w14:paraId="631CF938" w14:textId="7FB4D08A" w:rsidR="00F90CE2" w:rsidRPr="00E84C93" w:rsidRDefault="00F90CE2" w:rsidP="009B6460">
      <w:pPr>
        <w:pStyle w:val="ListParagraph"/>
        <w:numPr>
          <w:ilvl w:val="0"/>
          <w:numId w:val="41"/>
        </w:numPr>
        <w:spacing w:after="0"/>
        <w:jc w:val="both"/>
        <w:rPr>
          <w:rFonts w:cs="Times New Roman"/>
          <w:szCs w:val="24"/>
          <w:lang w:val="sr-Cyrl-CS" w:bidi="en-US"/>
        </w:rPr>
      </w:pPr>
      <w:r w:rsidRPr="00E84C93">
        <w:rPr>
          <w:rFonts w:cs="Times New Roman"/>
          <w:szCs w:val="24"/>
          <w:lang w:val="sr-Cyrl-CS" w:bidi="en-US"/>
        </w:rPr>
        <w:t>идентификација погодних пољопривредних површина</w:t>
      </w:r>
      <w:r w:rsidR="00FF70AE" w:rsidRPr="00E84C93">
        <w:rPr>
          <w:rFonts w:cs="Times New Roman"/>
          <w:szCs w:val="24"/>
          <w:lang w:val="sr-Cyrl-CS" w:bidi="en-US"/>
        </w:rPr>
        <w:t>,</w:t>
      </w:r>
    </w:p>
    <w:p w14:paraId="6991BF3F" w14:textId="576CE087" w:rsidR="00F90CE2" w:rsidRPr="00E84C93" w:rsidRDefault="00F90CE2" w:rsidP="009B6460">
      <w:pPr>
        <w:pStyle w:val="ListParagraph"/>
        <w:numPr>
          <w:ilvl w:val="0"/>
          <w:numId w:val="41"/>
        </w:numPr>
        <w:spacing w:after="0"/>
        <w:jc w:val="both"/>
        <w:rPr>
          <w:rFonts w:cs="Times New Roman"/>
          <w:szCs w:val="24"/>
          <w:lang w:val="sr-Cyrl-CS" w:bidi="en-US"/>
        </w:rPr>
      </w:pPr>
      <w:r w:rsidRPr="00E84C93">
        <w:rPr>
          <w:rFonts w:cs="Times New Roman"/>
          <w:szCs w:val="24"/>
          <w:lang w:val="sr-Cyrl-CS" w:bidi="en-US"/>
        </w:rPr>
        <w:t>транспорт и распростирање муља</w:t>
      </w:r>
      <w:r w:rsidR="00FF70AE" w:rsidRPr="00E84C93">
        <w:rPr>
          <w:rFonts w:cs="Times New Roman"/>
          <w:szCs w:val="24"/>
          <w:lang w:val="sr-Cyrl-CS" w:bidi="en-US"/>
        </w:rPr>
        <w:t>,</w:t>
      </w:r>
    </w:p>
    <w:p w14:paraId="1762BCCA" w14:textId="284DD5A5" w:rsidR="00F90CE2" w:rsidRPr="00E84C93" w:rsidRDefault="00F90CE2" w:rsidP="00E335B7">
      <w:pPr>
        <w:pStyle w:val="ListParagraph"/>
        <w:numPr>
          <w:ilvl w:val="0"/>
          <w:numId w:val="41"/>
        </w:numPr>
        <w:spacing w:after="0"/>
        <w:ind w:left="0" w:firstLine="2520"/>
        <w:jc w:val="both"/>
        <w:rPr>
          <w:rFonts w:cs="Times New Roman"/>
          <w:szCs w:val="24"/>
          <w:lang w:val="sr-Cyrl-CS" w:bidi="en-US"/>
        </w:rPr>
      </w:pPr>
      <w:r w:rsidRPr="00E84C93">
        <w:rPr>
          <w:rFonts w:cs="Times New Roman"/>
          <w:szCs w:val="24"/>
          <w:lang w:val="sr-Cyrl-CS" w:bidi="en-US"/>
        </w:rPr>
        <w:t>упознавање пољопривредне заједнице (подизање свести и обуке, итд)</w:t>
      </w:r>
      <w:r w:rsidR="009B6460" w:rsidRPr="00E84C93">
        <w:rPr>
          <w:rFonts w:cs="Times New Roman"/>
          <w:szCs w:val="24"/>
          <w:lang w:val="sr-Cyrl-CS" w:bidi="en-US"/>
        </w:rPr>
        <w:t>,</w:t>
      </w:r>
    </w:p>
    <w:p w14:paraId="41F1503F" w14:textId="11D856E0" w:rsidR="00F90CE2" w:rsidRPr="00E84C93" w:rsidRDefault="00F90CE2" w:rsidP="009B6460">
      <w:pPr>
        <w:pStyle w:val="ListParagraph"/>
        <w:numPr>
          <w:ilvl w:val="0"/>
          <w:numId w:val="41"/>
        </w:numPr>
        <w:spacing w:after="0"/>
        <w:jc w:val="both"/>
        <w:rPr>
          <w:rFonts w:cs="Times New Roman"/>
          <w:szCs w:val="24"/>
          <w:lang w:val="sr-Cyrl-CS" w:bidi="en-US"/>
        </w:rPr>
      </w:pPr>
      <w:r w:rsidRPr="00E84C93">
        <w:rPr>
          <w:rFonts w:cs="Times New Roman"/>
          <w:szCs w:val="24"/>
          <w:lang w:val="sr-Cyrl-CS" w:bidi="en-US"/>
        </w:rPr>
        <w:t>успостављање базе података о муљу.</w:t>
      </w:r>
    </w:p>
    <w:p w14:paraId="38215373" w14:textId="0BA262FC" w:rsidR="005C3720" w:rsidRPr="00E84C93" w:rsidRDefault="005A4A7A" w:rsidP="005C3720">
      <w:pPr>
        <w:spacing w:after="0"/>
        <w:ind w:firstLine="720"/>
        <w:jc w:val="both"/>
        <w:rPr>
          <w:szCs w:val="24"/>
          <w:lang w:val="sr-Cyrl-CS"/>
        </w:rPr>
      </w:pPr>
      <w:r w:rsidRPr="00E84C93">
        <w:rPr>
          <w:szCs w:val="24"/>
          <w:lang w:val="sr-Cyrl-CS"/>
        </w:rPr>
        <w:t>Потребно је</w:t>
      </w:r>
      <w:r w:rsidR="005C3720" w:rsidRPr="00E84C93">
        <w:rPr>
          <w:szCs w:val="24"/>
          <w:lang w:val="sr-Cyrl-CS"/>
        </w:rPr>
        <w:t xml:space="preserve"> приступити</w:t>
      </w:r>
      <w:r w:rsidR="00D010D1" w:rsidRPr="00E84C93">
        <w:rPr>
          <w:szCs w:val="24"/>
          <w:lang w:val="sr-Cyrl-CS"/>
        </w:rPr>
        <w:t xml:space="preserve"> </w:t>
      </w:r>
      <w:r w:rsidR="005C3720" w:rsidRPr="00E84C93">
        <w:rPr>
          <w:szCs w:val="24"/>
          <w:lang w:val="sr-Cyrl-CS"/>
        </w:rPr>
        <w:t>изради наменске студије којом би се дефинисале очекиване карактеристике муља из постројења за пречишћавање отпадних вода, на основу испитивања квалитета муља насталог на постојећим оперативним постројењима за пречишћавање</w:t>
      </w:r>
      <w:r w:rsidR="00B8138B" w:rsidRPr="00E84C93">
        <w:rPr>
          <w:szCs w:val="24"/>
          <w:lang w:val="sr-Cyrl-CS"/>
        </w:rPr>
        <w:t>,</w:t>
      </w:r>
      <w:r w:rsidR="00D010D1" w:rsidRPr="00E84C93">
        <w:rPr>
          <w:szCs w:val="24"/>
          <w:lang w:val="sr-Cyrl-CS"/>
        </w:rPr>
        <w:t xml:space="preserve"> </w:t>
      </w:r>
      <w:r w:rsidR="005C3720" w:rsidRPr="00E84C93">
        <w:rPr>
          <w:szCs w:val="24"/>
          <w:lang w:val="sr-Cyrl-CS"/>
        </w:rPr>
        <w:t xml:space="preserve">као и квалитета отпадних вода у агломерацијама за које се планира њихова изградња у наредних </w:t>
      </w:r>
      <w:r w:rsidR="00B8138B" w:rsidRPr="00E84C93">
        <w:rPr>
          <w:szCs w:val="24"/>
          <w:lang w:val="sr-Cyrl-CS"/>
        </w:rPr>
        <w:t>пет</w:t>
      </w:r>
      <w:r w:rsidR="005C3720" w:rsidRPr="00E84C93">
        <w:rPr>
          <w:szCs w:val="24"/>
          <w:lang w:val="sr-Cyrl-CS"/>
        </w:rPr>
        <w:t xml:space="preserve"> до </w:t>
      </w:r>
      <w:r w:rsidR="00B8138B" w:rsidRPr="00E84C93">
        <w:rPr>
          <w:szCs w:val="24"/>
          <w:lang w:val="sr-Cyrl-CS"/>
        </w:rPr>
        <w:t>десет</w:t>
      </w:r>
      <w:r w:rsidR="005C3720" w:rsidRPr="00E84C93">
        <w:rPr>
          <w:szCs w:val="24"/>
          <w:lang w:val="sr-Cyrl-CS"/>
        </w:rPr>
        <w:t xml:space="preserve"> година. За сваку од ових локација у оквиру исте студије неопходно је идентификовати потенцијалне пољопривредне површине, њихову величину и власничку структуру и</w:t>
      </w:r>
      <w:r w:rsidR="00D010D1" w:rsidRPr="00E84C93">
        <w:rPr>
          <w:szCs w:val="24"/>
          <w:lang w:val="sr-Cyrl-CS"/>
        </w:rPr>
        <w:t xml:space="preserve"> </w:t>
      </w:r>
      <w:r w:rsidR="005C3720" w:rsidRPr="00E84C93">
        <w:rPr>
          <w:szCs w:val="24"/>
          <w:lang w:val="sr-Cyrl-CS"/>
        </w:rPr>
        <w:t>испитати карактеристике земљишта</w:t>
      </w:r>
      <w:r w:rsidR="00D010D1" w:rsidRPr="00E84C93">
        <w:rPr>
          <w:szCs w:val="24"/>
          <w:lang w:val="sr-Cyrl-CS"/>
        </w:rPr>
        <w:t xml:space="preserve"> </w:t>
      </w:r>
      <w:r w:rsidR="005C3720" w:rsidRPr="00E84C93">
        <w:rPr>
          <w:szCs w:val="24"/>
          <w:lang w:val="sr-Cyrl-CS"/>
        </w:rPr>
        <w:t>у циљу оцене погодност</w:t>
      </w:r>
      <w:r w:rsidRPr="00E84C93">
        <w:rPr>
          <w:szCs w:val="24"/>
          <w:lang w:val="sr-Cyrl-CS"/>
        </w:rPr>
        <w:t>и</w:t>
      </w:r>
      <w:r w:rsidR="005C3720" w:rsidRPr="00E84C93">
        <w:rPr>
          <w:szCs w:val="24"/>
          <w:lang w:val="sr-Cyrl-CS"/>
        </w:rPr>
        <w:t xml:space="preserve"> примене муља. </w:t>
      </w:r>
    </w:p>
    <w:p w14:paraId="620CE8FD" w14:textId="15FCB122" w:rsidR="00F90CE2" w:rsidRPr="00E84C93" w:rsidRDefault="005C3720" w:rsidP="005C3720">
      <w:pPr>
        <w:spacing w:after="0"/>
        <w:ind w:firstLine="720"/>
        <w:jc w:val="both"/>
        <w:rPr>
          <w:rFonts w:cs="Times New Roman"/>
          <w:szCs w:val="24"/>
          <w:lang w:val="sr-Cyrl-CS" w:bidi="en-US"/>
        </w:rPr>
      </w:pPr>
      <w:r w:rsidRPr="00E84C93">
        <w:rPr>
          <w:rFonts w:cs="Times New Roman"/>
          <w:szCs w:val="24"/>
          <w:lang w:val="sr-Cyrl-CS" w:bidi="en-US"/>
        </w:rPr>
        <w:t>Имајући у виду да је примена наведеног решења за искоришћење муља непозната у Републици Србији, потребно је у оквиру ове мере припремити програме за информисање и едукацију свих релевантних субјеката у погледу безбедности коришћења муља у пољопривреди и утицаја на квалитет земљишта и хране. У првом реду, потребно је успоставити механизам консултације и информисања пољопривредника, као и становника на одређеним подручјима на којима постоји могућност коришћења муља у пољопривреди</w:t>
      </w:r>
      <w:r w:rsidR="00F90CE2" w:rsidRPr="00E84C93">
        <w:rPr>
          <w:rFonts w:cs="Times New Roman"/>
          <w:szCs w:val="24"/>
          <w:lang w:val="sr-Cyrl-CS" w:bidi="en-US"/>
        </w:rPr>
        <w:t xml:space="preserve">. </w:t>
      </w:r>
    </w:p>
    <w:p w14:paraId="78112325" w14:textId="10E52E75" w:rsidR="00CF27A7" w:rsidRPr="00E84C93" w:rsidRDefault="00CF27A7" w:rsidP="00F90CE2">
      <w:pPr>
        <w:spacing w:after="0"/>
        <w:ind w:firstLine="720"/>
        <w:jc w:val="both"/>
        <w:rPr>
          <w:szCs w:val="24"/>
          <w:lang w:val="sr-Cyrl-CS"/>
        </w:rPr>
      </w:pPr>
      <w:r w:rsidRPr="00E84C93">
        <w:rPr>
          <w:szCs w:val="24"/>
          <w:lang w:val="sr-Cyrl-CS"/>
        </w:rPr>
        <w:t>У случају да анализе покажу да је коришћење муља у пољопривреди прихватљиво, акционим планом за спровођење Програма биће дефинисане додатне активности потребне за спровођење донете одлуке о примени муља у ове сврхе.</w:t>
      </w:r>
    </w:p>
    <w:p w14:paraId="245312B8" w14:textId="33776F67" w:rsidR="00F90CE2" w:rsidRPr="00E84C93" w:rsidRDefault="00F90CE2" w:rsidP="00F90CE2">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реализацију:</w:t>
      </w:r>
      <w:r w:rsidRPr="00E84C93">
        <w:rPr>
          <w:rFonts w:cs="Times New Roman"/>
          <w:szCs w:val="24"/>
          <w:lang w:val="sr-Cyrl-CS" w:eastAsia="en-GB"/>
        </w:rPr>
        <w:t xml:space="preserve"> </w:t>
      </w:r>
      <w:r w:rsidR="000C1771" w:rsidRPr="00E84C93">
        <w:rPr>
          <w:rFonts w:cs="Times New Roman"/>
          <w:szCs w:val="24"/>
          <w:lang w:val="sr-Cyrl-CS" w:eastAsia="en-GB"/>
        </w:rPr>
        <w:t xml:space="preserve">Министарство пољопривреде, шумарства и водопривреде, </w:t>
      </w:r>
      <w:r w:rsidRPr="00E84C93">
        <w:rPr>
          <w:rFonts w:cs="Times New Roman"/>
          <w:szCs w:val="24"/>
          <w:lang w:val="sr-Cyrl-CS" w:eastAsia="en-GB"/>
        </w:rPr>
        <w:t xml:space="preserve">Министарство </w:t>
      </w:r>
      <w:r w:rsidRPr="00E84C93">
        <w:rPr>
          <w:szCs w:val="24"/>
          <w:lang w:val="sr-Cyrl-CS" w:eastAsia="en-GB"/>
        </w:rPr>
        <w:t>заштите животне средине</w:t>
      </w:r>
    </w:p>
    <w:p w14:paraId="2201EA66" w14:textId="4EF5D3E7" w:rsidR="00F90CE2" w:rsidRPr="00E84C93" w:rsidRDefault="00F90CE2" w:rsidP="00F90CE2">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Cs/>
          <w:sz w:val="24"/>
          <w:szCs w:val="24"/>
          <w:lang w:val="sr-Cyrl-CS" w:eastAsia="en-GB"/>
        </w:rPr>
        <w:t xml:space="preserve">Министарство финансија, </w:t>
      </w:r>
      <w:r w:rsidR="000116DA" w:rsidRPr="00E84C93">
        <w:rPr>
          <w:rFonts w:ascii="Times New Roman" w:hAnsi="Times New Roman" w:cs="Times New Roman"/>
          <w:sz w:val="24"/>
          <w:szCs w:val="24"/>
          <w:lang w:val="sr-Cyrl-CS" w:eastAsia="en-GB"/>
        </w:rPr>
        <w:t>АП</w:t>
      </w:r>
      <w:r w:rsidRPr="00E84C93">
        <w:rPr>
          <w:rFonts w:ascii="Times New Roman" w:hAnsi="Times New Roman" w:cs="Times New Roman"/>
          <w:sz w:val="24"/>
          <w:szCs w:val="24"/>
          <w:lang w:val="sr-Cyrl-CS" w:eastAsia="en-GB"/>
        </w:rPr>
        <w:t>, јединице локалне самоуправе</w:t>
      </w:r>
      <w:r w:rsidR="005A4A7A" w:rsidRPr="00E84C93">
        <w:rPr>
          <w:rFonts w:ascii="Times New Roman" w:hAnsi="Times New Roman" w:cs="Times New Roman"/>
          <w:sz w:val="24"/>
          <w:szCs w:val="24"/>
          <w:lang w:val="sr-Cyrl-CS" w:eastAsia="en-GB"/>
        </w:rPr>
        <w:t>, институти, факултети</w:t>
      </w:r>
    </w:p>
    <w:p w14:paraId="3E89FE75" w14:textId="6D22EF7D" w:rsidR="00F90CE2" w:rsidRPr="00E84C93" w:rsidRDefault="00F90CE2" w:rsidP="00F90CE2">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xml:space="preserve">: </w:t>
      </w:r>
      <w:r w:rsidR="002529AA" w:rsidRPr="00E84C93">
        <w:rPr>
          <w:rFonts w:cs="Times New Roman"/>
          <w:szCs w:val="24"/>
          <w:lang w:val="sr-Cyrl-CS" w:eastAsia="en-GB"/>
        </w:rPr>
        <w:t>Обезбеђивање добара и пружање услуга</w:t>
      </w:r>
      <w:r w:rsidRPr="00E84C93">
        <w:rPr>
          <w:rFonts w:cs="Times New Roman"/>
          <w:szCs w:val="24"/>
          <w:lang w:val="sr-Cyrl-CS" w:eastAsia="en-GB"/>
        </w:rPr>
        <w:t xml:space="preserve"> (О</w:t>
      </w:r>
      <w:r w:rsidR="002529AA" w:rsidRPr="00E84C93">
        <w:rPr>
          <w:rFonts w:cs="Times New Roman"/>
          <w:szCs w:val="24"/>
          <w:lang w:val="sr-Cyrl-CS" w:eastAsia="en-GB"/>
        </w:rPr>
        <w:t>ДПУ</w:t>
      </w:r>
      <w:r w:rsidRPr="00E84C93">
        <w:rPr>
          <w:rFonts w:cs="Times New Roman"/>
          <w:szCs w:val="24"/>
          <w:lang w:val="sr-Cyrl-CS" w:eastAsia="en-GB"/>
        </w:rPr>
        <w:t>)</w:t>
      </w:r>
    </w:p>
    <w:p w14:paraId="6FC8A2D2" w14:textId="77777777" w:rsidR="00CC5FEE" w:rsidRPr="00E84C93" w:rsidRDefault="00CC5FEE" w:rsidP="00BC0EB7">
      <w:pPr>
        <w:pStyle w:val="ListParagraph"/>
        <w:spacing w:after="0"/>
        <w:ind w:left="1440"/>
        <w:rPr>
          <w:rFonts w:cs="Times New Roman"/>
          <w:bCs/>
          <w:lang w:val="sr-Cyrl-CS" w:bidi="en-US"/>
        </w:rPr>
      </w:pPr>
    </w:p>
    <w:p w14:paraId="323B57DB" w14:textId="77777777" w:rsidR="00A66922" w:rsidRPr="00E84C93" w:rsidRDefault="00A66922" w:rsidP="00A66922">
      <w:pPr>
        <w:spacing w:after="0"/>
        <w:ind w:firstLine="720"/>
        <w:rPr>
          <w:b/>
          <w:color w:val="2E74B5" w:themeColor="accent1" w:themeShade="BF"/>
          <w:szCs w:val="24"/>
          <w:lang w:val="sr-Cyrl-CS"/>
        </w:rPr>
      </w:pPr>
    </w:p>
    <w:p w14:paraId="29A62A9A" w14:textId="1E2551D6" w:rsidR="00A66922" w:rsidRPr="00E84C93" w:rsidRDefault="00A66922" w:rsidP="00A66922">
      <w:pPr>
        <w:pBdr>
          <w:top w:val="single" w:sz="4" w:space="1" w:color="auto"/>
          <w:left w:val="single" w:sz="4" w:space="4" w:color="auto"/>
          <w:bottom w:val="single" w:sz="4" w:space="1" w:color="auto"/>
          <w:right w:val="single" w:sz="4" w:space="4" w:color="auto"/>
        </w:pBdr>
        <w:spacing w:after="0"/>
        <w:rPr>
          <w:b/>
          <w:color w:val="2E74B5" w:themeColor="accent1" w:themeShade="BF"/>
          <w:szCs w:val="24"/>
          <w:lang w:val="sr-Cyrl-CS"/>
        </w:rPr>
      </w:pPr>
      <w:r w:rsidRPr="00E84C93">
        <w:rPr>
          <w:b/>
          <w:color w:val="2E74B5" w:themeColor="accent1" w:themeShade="BF"/>
          <w:szCs w:val="24"/>
          <w:lang w:val="sr-Cyrl-CS"/>
        </w:rPr>
        <w:t xml:space="preserve">Посебан циљ 2. </w:t>
      </w:r>
      <w:r w:rsidR="000C2D68" w:rsidRPr="00E84C93">
        <w:rPr>
          <w:b/>
          <w:color w:val="2E74B5" w:themeColor="accent1" w:themeShade="BF"/>
          <w:szCs w:val="24"/>
          <w:lang w:val="sr-Cyrl-CS"/>
        </w:rPr>
        <w:t xml:space="preserve">Примењен привремени систем за третман и одлагање муља примарно кроз коинсинерацију у цементарама и искоришћење муља за рекултивацију </w:t>
      </w:r>
      <w:r w:rsidR="00041949" w:rsidRPr="00E84C93">
        <w:rPr>
          <w:rFonts w:cs="Times New Roman"/>
          <w:b/>
          <w:szCs w:val="24"/>
          <w:lang w:val="sr-Cyrl-CS"/>
        </w:rPr>
        <w:t>девастираних локација</w:t>
      </w:r>
    </w:p>
    <w:p w14:paraId="66BD18B4" w14:textId="60B026DB" w:rsidR="00A66922" w:rsidRPr="00E84C93" w:rsidRDefault="00A66922" w:rsidP="00A66922">
      <w:pPr>
        <w:spacing w:after="0"/>
        <w:rPr>
          <w:rFonts w:cs="Times New Roman"/>
          <w:bCs/>
          <w:lang w:val="sr-Cyrl-CS" w:bidi="en-US"/>
        </w:rPr>
      </w:pPr>
    </w:p>
    <w:p w14:paraId="5ECEC0F4" w14:textId="71532E4D" w:rsidR="00FF4ABD" w:rsidRPr="00E84C93" w:rsidRDefault="00FF4ABD" w:rsidP="000B0E40">
      <w:pPr>
        <w:pBdr>
          <w:top w:val="single" w:sz="4" w:space="1" w:color="auto"/>
          <w:left w:val="single" w:sz="4" w:space="4" w:color="auto"/>
          <w:bottom w:val="single" w:sz="4" w:space="1" w:color="auto"/>
          <w:right w:val="single" w:sz="4" w:space="4" w:color="auto"/>
        </w:pBdr>
        <w:spacing w:after="0"/>
        <w:jc w:val="both"/>
        <w:rPr>
          <w:rFonts w:cs="Times New Roman"/>
          <w:b/>
          <w:lang w:val="sr-Cyrl-CS" w:bidi="en-US"/>
        </w:rPr>
      </w:pPr>
      <w:r w:rsidRPr="00E84C93">
        <w:rPr>
          <w:rFonts w:cs="Times New Roman"/>
          <w:b/>
          <w:lang w:val="sr-Cyrl-CS" w:bidi="en-US"/>
        </w:rPr>
        <w:t>Мера 2.1.</w:t>
      </w:r>
      <w:r w:rsidR="004F5681" w:rsidRPr="00E84C93">
        <w:rPr>
          <w:rFonts w:cs="Times New Roman"/>
          <w:bCs/>
          <w:lang w:val="sr-Cyrl-CS" w:bidi="en-US"/>
        </w:rPr>
        <w:t xml:space="preserve"> </w:t>
      </w:r>
      <w:r w:rsidR="004F5681" w:rsidRPr="00E84C93">
        <w:rPr>
          <w:rFonts w:cs="Times New Roman"/>
          <w:b/>
          <w:lang w:val="sr-Cyrl-CS" w:bidi="en-US"/>
        </w:rPr>
        <w:t xml:space="preserve">Збрињавање муља </w:t>
      </w:r>
      <w:r w:rsidRPr="00E84C93">
        <w:rPr>
          <w:rFonts w:cs="Times New Roman"/>
          <w:b/>
          <w:lang w:val="sr-Cyrl-CS" w:bidi="en-US"/>
        </w:rPr>
        <w:t>одлагање</w:t>
      </w:r>
      <w:r w:rsidR="004F5681" w:rsidRPr="00E84C93">
        <w:rPr>
          <w:rFonts w:cs="Times New Roman"/>
          <w:b/>
          <w:lang w:val="sr-Cyrl-CS" w:bidi="en-US"/>
        </w:rPr>
        <w:t>м</w:t>
      </w:r>
      <w:r w:rsidRPr="00E84C93">
        <w:rPr>
          <w:rFonts w:cs="Times New Roman"/>
          <w:b/>
          <w:lang w:val="sr-Cyrl-CS" w:bidi="en-US"/>
        </w:rPr>
        <w:t xml:space="preserve"> на </w:t>
      </w:r>
      <w:r w:rsidR="004F5681" w:rsidRPr="00E84C93">
        <w:rPr>
          <w:rFonts w:cs="Times New Roman"/>
          <w:b/>
          <w:szCs w:val="24"/>
          <w:lang w:val="sr-Cyrl-CS"/>
        </w:rPr>
        <w:t>индустријске депоније, депоније пепела и</w:t>
      </w:r>
      <w:r w:rsidR="009A6E0B" w:rsidRPr="00E84C93">
        <w:rPr>
          <w:rFonts w:cs="Times New Roman"/>
          <w:b/>
          <w:szCs w:val="24"/>
          <w:lang w:val="sr-Cyrl-CS"/>
        </w:rPr>
        <w:t>ли рекултивацијом</w:t>
      </w:r>
      <w:r w:rsidR="004F5681" w:rsidRPr="00E84C93">
        <w:rPr>
          <w:rFonts w:cs="Times New Roman"/>
          <w:b/>
          <w:szCs w:val="24"/>
          <w:lang w:val="sr-Cyrl-CS"/>
        </w:rPr>
        <w:t xml:space="preserve"> девастиран</w:t>
      </w:r>
      <w:r w:rsidR="009A6E0B" w:rsidRPr="00E84C93">
        <w:rPr>
          <w:rFonts w:cs="Times New Roman"/>
          <w:b/>
          <w:szCs w:val="24"/>
          <w:lang w:val="sr-Cyrl-CS"/>
        </w:rPr>
        <w:t>их</w:t>
      </w:r>
      <w:r w:rsidR="004F5681" w:rsidRPr="00E84C93">
        <w:rPr>
          <w:rFonts w:cs="Times New Roman"/>
          <w:b/>
          <w:szCs w:val="24"/>
          <w:lang w:val="sr-Cyrl-CS"/>
        </w:rPr>
        <w:t xml:space="preserve"> </w:t>
      </w:r>
      <w:r w:rsidR="00113638" w:rsidRPr="00E84C93">
        <w:rPr>
          <w:rFonts w:cs="Times New Roman"/>
          <w:b/>
          <w:szCs w:val="24"/>
          <w:lang w:val="sr-Cyrl-CS"/>
        </w:rPr>
        <w:t>локациј</w:t>
      </w:r>
      <w:r w:rsidR="009A6E0B" w:rsidRPr="00E84C93">
        <w:rPr>
          <w:rFonts w:cs="Times New Roman"/>
          <w:b/>
          <w:szCs w:val="24"/>
          <w:lang w:val="sr-Cyrl-CS"/>
        </w:rPr>
        <w:t>а</w:t>
      </w:r>
      <w:r w:rsidR="001371C5" w:rsidRPr="00E84C93">
        <w:rPr>
          <w:rFonts w:cs="Times New Roman"/>
          <w:b/>
          <w:szCs w:val="24"/>
          <w:lang w:val="sr-Cyrl-CS"/>
        </w:rPr>
        <w:t xml:space="preserve"> </w:t>
      </w:r>
    </w:p>
    <w:p w14:paraId="2622BF83" w14:textId="77777777" w:rsidR="00FF4ABD" w:rsidRPr="00E84C93" w:rsidRDefault="00FF4ABD" w:rsidP="006A2A4F">
      <w:pPr>
        <w:spacing w:after="0"/>
        <w:jc w:val="both"/>
        <w:rPr>
          <w:rFonts w:cs="Times New Roman"/>
          <w:bCs/>
          <w:lang w:val="sr-Cyrl-CS" w:bidi="en-US"/>
        </w:rPr>
      </w:pPr>
    </w:p>
    <w:p w14:paraId="576C0AE3" w14:textId="554C9EFF" w:rsidR="000B0E40" w:rsidRPr="00E84C93" w:rsidRDefault="00481527" w:rsidP="000B0E40">
      <w:pPr>
        <w:spacing w:after="0"/>
        <w:ind w:firstLine="720"/>
        <w:jc w:val="both"/>
        <w:rPr>
          <w:rFonts w:cs="Times New Roman"/>
          <w:bCs/>
          <w:lang w:val="sr-Cyrl-CS" w:bidi="en-US"/>
        </w:rPr>
      </w:pPr>
      <w:r w:rsidRPr="00E84C93">
        <w:rPr>
          <w:rFonts w:cs="Times New Roman"/>
          <w:bCs/>
          <w:lang w:val="sr-Cyrl-CS" w:bidi="en-US"/>
        </w:rPr>
        <w:t xml:space="preserve">Муљ из постројења за пречишћавање отпадних вода може </w:t>
      </w:r>
      <w:r w:rsidR="00B8138B" w:rsidRPr="00E84C93">
        <w:rPr>
          <w:rFonts w:cs="Times New Roman"/>
          <w:bCs/>
          <w:lang w:val="sr-Cyrl-CS" w:bidi="en-US"/>
        </w:rPr>
        <w:t xml:space="preserve">се </w:t>
      </w:r>
      <w:r w:rsidR="000B0E40" w:rsidRPr="00E84C93">
        <w:rPr>
          <w:rFonts w:cs="Times New Roman"/>
          <w:bCs/>
          <w:lang w:val="sr-Cyrl-CS" w:bidi="en-US"/>
        </w:rPr>
        <w:t>одлагати на индустријске депоније</w:t>
      </w:r>
      <w:r w:rsidR="0087506B" w:rsidRPr="00E84C93">
        <w:rPr>
          <w:rFonts w:cs="Times New Roman"/>
          <w:bCs/>
          <w:lang w:val="sr-Cyrl-CS" w:bidi="en-US"/>
        </w:rPr>
        <w:t xml:space="preserve"> или</w:t>
      </w:r>
      <w:r w:rsidR="000B0E40" w:rsidRPr="00E84C93">
        <w:rPr>
          <w:rFonts w:cs="Times New Roman"/>
          <w:bCs/>
          <w:lang w:val="sr-Cyrl-CS" w:bidi="en-US"/>
        </w:rPr>
        <w:t xml:space="preserve"> депоније пепела</w:t>
      </w:r>
      <w:r w:rsidR="00FF1A8F" w:rsidRPr="00E84C93">
        <w:rPr>
          <w:rFonts w:cs="Times New Roman"/>
          <w:bCs/>
          <w:lang w:val="sr-Cyrl-CS" w:bidi="en-US"/>
        </w:rPr>
        <w:t>. Такође</w:t>
      </w:r>
      <w:r w:rsidR="00B8138B" w:rsidRPr="00E84C93">
        <w:rPr>
          <w:rFonts w:cs="Times New Roman"/>
          <w:bCs/>
          <w:lang w:val="sr-Cyrl-CS" w:bidi="en-US"/>
        </w:rPr>
        <w:t>,</w:t>
      </w:r>
      <w:r w:rsidR="00FF1A8F" w:rsidRPr="00E84C93">
        <w:rPr>
          <w:rFonts w:cs="Times New Roman"/>
          <w:bCs/>
          <w:lang w:val="sr-Cyrl-CS" w:bidi="en-US"/>
        </w:rPr>
        <w:t xml:space="preserve"> потребно</w:t>
      </w:r>
      <w:r w:rsidR="00B8138B" w:rsidRPr="00E84C93">
        <w:rPr>
          <w:rFonts w:cs="Times New Roman"/>
          <w:bCs/>
          <w:lang w:val="sr-Cyrl-CS" w:bidi="en-US"/>
        </w:rPr>
        <w:t xml:space="preserve"> је</w:t>
      </w:r>
      <w:r w:rsidR="00FF1A8F" w:rsidRPr="00E84C93">
        <w:rPr>
          <w:rFonts w:cs="Times New Roman"/>
          <w:bCs/>
          <w:lang w:val="sr-Cyrl-CS" w:bidi="en-US"/>
        </w:rPr>
        <w:t xml:space="preserve"> анализирати могућности примене муља за </w:t>
      </w:r>
      <w:r w:rsidR="00145054" w:rsidRPr="00E84C93">
        <w:rPr>
          <w:rFonts w:cs="Times New Roman"/>
          <w:bCs/>
          <w:lang w:val="sr-Cyrl-CS" w:bidi="en-US"/>
        </w:rPr>
        <w:t>рекултивацију</w:t>
      </w:r>
      <w:r w:rsidR="000B0E40" w:rsidRPr="00E84C93">
        <w:rPr>
          <w:rFonts w:cs="Times New Roman"/>
          <w:bCs/>
          <w:lang w:val="sr-Cyrl-CS" w:bidi="en-US"/>
        </w:rPr>
        <w:t xml:space="preserve"> девастираних </w:t>
      </w:r>
      <w:r w:rsidR="00113638" w:rsidRPr="00E84C93">
        <w:rPr>
          <w:rFonts w:cs="Times New Roman"/>
          <w:bCs/>
          <w:lang w:val="sr-Cyrl-CS" w:bidi="en-US"/>
        </w:rPr>
        <w:t>локација</w:t>
      </w:r>
      <w:r w:rsidR="000B0E40" w:rsidRPr="00E84C93">
        <w:rPr>
          <w:rFonts w:cs="Times New Roman"/>
          <w:bCs/>
          <w:lang w:val="sr-Cyrl-CS" w:bidi="en-US"/>
        </w:rPr>
        <w:t xml:space="preserve">, као што су </w:t>
      </w:r>
      <w:r w:rsidR="00771A23" w:rsidRPr="00E84C93">
        <w:rPr>
          <w:lang w:val="sr-Cyrl-CS"/>
        </w:rPr>
        <w:t>јаловишта, напуштени рударски објекти и др.</w:t>
      </w:r>
      <w:r w:rsidR="000B0E40" w:rsidRPr="00E84C93">
        <w:rPr>
          <w:rFonts w:cs="Times New Roman"/>
          <w:bCs/>
          <w:lang w:val="sr-Cyrl-CS" w:bidi="en-US"/>
        </w:rPr>
        <w:t xml:space="preserve"> </w:t>
      </w:r>
    </w:p>
    <w:p w14:paraId="779D31BC" w14:textId="46D5E311" w:rsidR="004F5681" w:rsidRPr="00E84C93" w:rsidRDefault="004F5681" w:rsidP="004F5681">
      <w:pPr>
        <w:spacing w:after="0"/>
        <w:ind w:firstLine="720"/>
        <w:jc w:val="both"/>
        <w:rPr>
          <w:lang w:val="sr-Cyrl-CS"/>
        </w:rPr>
      </w:pPr>
      <w:r w:rsidRPr="00E84C93">
        <w:rPr>
          <w:lang w:val="sr-Cyrl-CS"/>
        </w:rPr>
        <w:t xml:space="preserve">Потребно је да </w:t>
      </w:r>
      <w:r w:rsidR="00BF3D73" w:rsidRPr="00E84C93">
        <w:rPr>
          <w:lang w:val="sr-Cyrl-CS"/>
        </w:rPr>
        <w:t xml:space="preserve">оператери </w:t>
      </w:r>
      <w:r w:rsidRPr="00E84C93">
        <w:rPr>
          <w:lang w:val="sr-Cyrl-CS"/>
        </w:rPr>
        <w:t>постројења за пречишћавање отпадних вода обезбеде објекте за соларно сушењ</w:t>
      </w:r>
      <w:r w:rsidR="00BF3D73" w:rsidRPr="00E84C93">
        <w:rPr>
          <w:lang w:val="sr-Cyrl-CS"/>
        </w:rPr>
        <w:t>е муља</w:t>
      </w:r>
      <w:r w:rsidRPr="00E84C93">
        <w:rPr>
          <w:lang w:val="sr-Cyrl-CS"/>
        </w:rPr>
        <w:t>.</w:t>
      </w:r>
    </w:p>
    <w:p w14:paraId="0EF38DDA" w14:textId="1E0F8C7C" w:rsidR="004F5681" w:rsidRPr="00E84C93" w:rsidRDefault="004F5681" w:rsidP="004F5681">
      <w:pPr>
        <w:spacing w:after="0"/>
        <w:ind w:firstLine="720"/>
        <w:jc w:val="both"/>
        <w:rPr>
          <w:rFonts w:cs="Times New Roman"/>
          <w:szCs w:val="24"/>
          <w:lang w:val="sr-Cyrl-CS"/>
        </w:rPr>
      </w:pPr>
      <w:r w:rsidRPr="00E84C93">
        <w:rPr>
          <w:rFonts w:cs="Times New Roman"/>
          <w:szCs w:val="24"/>
          <w:lang w:val="sr-Cyrl-CS"/>
        </w:rPr>
        <w:lastRenderedPageBreak/>
        <w:t>Потребно је уради</w:t>
      </w:r>
      <w:r w:rsidR="00E84C93">
        <w:rPr>
          <w:rFonts w:cs="Times New Roman"/>
          <w:szCs w:val="24"/>
          <w:lang w:val="sr-Cyrl-CS"/>
        </w:rPr>
        <w:t>ти поновну процену параметара к</w:t>
      </w:r>
      <w:r w:rsidRPr="00E84C93">
        <w:rPr>
          <w:rFonts w:cs="Times New Roman"/>
          <w:szCs w:val="24"/>
          <w:lang w:val="sr-Cyrl-CS"/>
        </w:rPr>
        <w:t xml:space="preserve">валитета муља, који треба да буду достигнути ради </w:t>
      </w:r>
      <w:r w:rsidR="00481527" w:rsidRPr="00E84C93">
        <w:rPr>
          <w:rFonts w:cs="Times New Roman"/>
          <w:szCs w:val="24"/>
          <w:lang w:val="sr-Cyrl-CS"/>
        </w:rPr>
        <w:t>одлагања на</w:t>
      </w:r>
      <w:r w:rsidRPr="00E84C93">
        <w:rPr>
          <w:rFonts w:cs="Times New Roman"/>
          <w:szCs w:val="24"/>
          <w:lang w:val="sr-Cyrl-CS"/>
        </w:rPr>
        <w:t xml:space="preserve"> индустријск</w:t>
      </w:r>
      <w:r w:rsidR="00481527" w:rsidRPr="00E84C93">
        <w:rPr>
          <w:rFonts w:cs="Times New Roman"/>
          <w:szCs w:val="24"/>
          <w:lang w:val="sr-Cyrl-CS"/>
        </w:rPr>
        <w:t>е</w:t>
      </w:r>
      <w:r w:rsidRPr="00E84C93">
        <w:rPr>
          <w:rFonts w:cs="Times New Roman"/>
          <w:szCs w:val="24"/>
          <w:lang w:val="sr-Cyrl-CS"/>
        </w:rPr>
        <w:t xml:space="preserve"> депониј</w:t>
      </w:r>
      <w:r w:rsidR="00481527" w:rsidRPr="00E84C93">
        <w:rPr>
          <w:rFonts w:cs="Times New Roman"/>
          <w:szCs w:val="24"/>
          <w:lang w:val="sr-Cyrl-CS"/>
        </w:rPr>
        <w:t>е</w:t>
      </w:r>
      <w:r w:rsidRPr="00E84C93">
        <w:rPr>
          <w:rFonts w:cs="Times New Roman"/>
          <w:szCs w:val="24"/>
          <w:lang w:val="sr-Cyrl-CS"/>
        </w:rPr>
        <w:t xml:space="preserve">, </w:t>
      </w:r>
      <w:r w:rsidR="00040F30" w:rsidRPr="00E84C93">
        <w:rPr>
          <w:rFonts w:cs="Times New Roman"/>
          <w:szCs w:val="24"/>
          <w:lang w:val="sr-Cyrl-CS"/>
        </w:rPr>
        <w:t>депоније пепела</w:t>
      </w:r>
      <w:r w:rsidRPr="00E84C93">
        <w:rPr>
          <w:rFonts w:cs="Times New Roman"/>
          <w:szCs w:val="24"/>
          <w:lang w:val="sr-Cyrl-CS"/>
        </w:rPr>
        <w:t xml:space="preserve"> </w:t>
      </w:r>
      <w:r w:rsidR="00481527" w:rsidRPr="00E84C93">
        <w:rPr>
          <w:rFonts w:cs="Times New Roman"/>
          <w:szCs w:val="24"/>
          <w:lang w:val="sr-Cyrl-CS"/>
        </w:rPr>
        <w:t>или у друге сврхе</w:t>
      </w:r>
      <w:r w:rsidR="00B8138B" w:rsidRPr="00E84C93">
        <w:rPr>
          <w:rFonts w:cs="Times New Roman"/>
          <w:szCs w:val="24"/>
          <w:lang w:val="sr-Cyrl-CS"/>
        </w:rPr>
        <w:t>,</w:t>
      </w:r>
      <w:r w:rsidR="00481527" w:rsidRPr="00E84C93">
        <w:rPr>
          <w:rFonts w:cs="Times New Roman"/>
          <w:szCs w:val="24"/>
          <w:lang w:val="sr-Cyrl-CS"/>
        </w:rPr>
        <w:t xml:space="preserve"> као што је примена муља</w:t>
      </w:r>
      <w:r w:rsidR="009322FA" w:rsidRPr="00E84C93">
        <w:rPr>
          <w:rFonts w:cs="Times New Roman"/>
          <w:szCs w:val="24"/>
          <w:lang w:val="sr-Cyrl-CS"/>
        </w:rPr>
        <w:t xml:space="preserve"> за </w:t>
      </w:r>
      <w:r w:rsidR="00481527" w:rsidRPr="00E84C93">
        <w:rPr>
          <w:rFonts w:cs="Times New Roman"/>
          <w:szCs w:val="24"/>
          <w:lang w:val="sr-Cyrl-CS"/>
        </w:rPr>
        <w:t>санациј</w:t>
      </w:r>
      <w:r w:rsidR="009322FA" w:rsidRPr="00E84C93">
        <w:rPr>
          <w:rFonts w:cs="Times New Roman"/>
          <w:szCs w:val="24"/>
          <w:lang w:val="sr-Cyrl-CS"/>
        </w:rPr>
        <w:t>у</w:t>
      </w:r>
      <w:r w:rsidR="00481527" w:rsidRPr="00E84C93">
        <w:rPr>
          <w:rFonts w:cs="Times New Roman"/>
          <w:szCs w:val="24"/>
          <w:lang w:val="sr-Cyrl-CS"/>
        </w:rPr>
        <w:t xml:space="preserve"> </w:t>
      </w:r>
      <w:r w:rsidR="00145054" w:rsidRPr="00E84C93">
        <w:rPr>
          <w:rFonts w:cs="Times New Roman"/>
          <w:szCs w:val="24"/>
          <w:lang w:val="sr-Cyrl-CS"/>
        </w:rPr>
        <w:t>и рекултивацију</w:t>
      </w:r>
      <w:r w:rsidR="00481527" w:rsidRPr="00E84C93">
        <w:rPr>
          <w:rFonts w:cs="Times New Roman"/>
          <w:szCs w:val="24"/>
          <w:lang w:val="sr-Cyrl-CS"/>
        </w:rPr>
        <w:t xml:space="preserve"> девастираних </w:t>
      </w:r>
      <w:r w:rsidR="00113638" w:rsidRPr="00E84C93">
        <w:rPr>
          <w:rFonts w:cs="Times New Roman"/>
          <w:szCs w:val="24"/>
          <w:lang w:val="sr-Cyrl-CS"/>
        </w:rPr>
        <w:t>локација</w:t>
      </w:r>
      <w:r w:rsidR="00481527" w:rsidRPr="00E84C93">
        <w:rPr>
          <w:rFonts w:cs="Times New Roman"/>
          <w:szCs w:val="24"/>
          <w:lang w:val="sr-Cyrl-CS"/>
        </w:rPr>
        <w:t>.</w:t>
      </w:r>
    </w:p>
    <w:p w14:paraId="21469EF3" w14:textId="1213EB83" w:rsidR="008E0B55" w:rsidRPr="00E84C93" w:rsidRDefault="008E0B55" w:rsidP="008E0B55">
      <w:pPr>
        <w:spacing w:after="0"/>
        <w:ind w:firstLine="714"/>
        <w:jc w:val="both"/>
        <w:rPr>
          <w:rFonts w:cs="Times New Roman"/>
          <w:b/>
          <w:bCs/>
          <w:szCs w:val="24"/>
          <w:lang w:val="sr-Cyrl-CS" w:bidi="en-US"/>
        </w:rPr>
      </w:pPr>
      <w:r w:rsidRPr="00E84C93">
        <w:rPr>
          <w:rFonts w:cs="Times New Roman"/>
          <w:color w:val="000000"/>
          <w:szCs w:val="24"/>
          <w:lang w:val="sr-Cyrl-CS"/>
        </w:rPr>
        <w:t xml:space="preserve">Уколико се покаже, у краткорочном периоду, да ни одлагање </w:t>
      </w:r>
      <w:r w:rsidR="00757EBC" w:rsidRPr="00E84C93">
        <w:rPr>
          <w:rFonts w:cs="Times New Roman"/>
          <w:color w:val="000000"/>
          <w:szCs w:val="24"/>
          <w:lang w:val="sr-Cyrl-CS"/>
        </w:rPr>
        <w:t xml:space="preserve">на индустријске депоније или примена муља за санацију </w:t>
      </w:r>
      <w:r w:rsidR="00113638" w:rsidRPr="00E84C93">
        <w:rPr>
          <w:rFonts w:cs="Times New Roman"/>
          <w:color w:val="000000"/>
          <w:szCs w:val="24"/>
          <w:lang w:val="sr-Cyrl-CS"/>
        </w:rPr>
        <w:t>локација</w:t>
      </w:r>
      <w:r w:rsidR="00757EBC" w:rsidRPr="00E84C93">
        <w:rPr>
          <w:rFonts w:cs="Times New Roman"/>
          <w:color w:val="000000"/>
          <w:szCs w:val="24"/>
          <w:lang w:val="sr-Cyrl-CS"/>
        </w:rPr>
        <w:t xml:space="preserve"> нема довољно капацитета</w:t>
      </w:r>
      <w:r w:rsidRPr="00E84C93">
        <w:rPr>
          <w:rFonts w:cs="Times New Roman"/>
          <w:color w:val="000000"/>
          <w:szCs w:val="24"/>
          <w:lang w:val="sr-Cyrl-CS"/>
        </w:rPr>
        <w:t>, може се</w:t>
      </w:r>
      <w:r w:rsidR="00A61448" w:rsidRPr="00E84C93">
        <w:rPr>
          <w:rFonts w:cs="Times New Roman"/>
          <w:color w:val="000000"/>
          <w:szCs w:val="24"/>
          <w:lang w:val="sr-Cyrl-CS"/>
        </w:rPr>
        <w:t xml:space="preserve"> </w:t>
      </w:r>
      <w:r w:rsidRPr="00E84C93">
        <w:rPr>
          <w:rFonts w:cs="Times New Roman"/>
          <w:color w:val="000000"/>
          <w:szCs w:val="24"/>
          <w:lang w:val="sr-Cyrl-CS"/>
        </w:rPr>
        <w:t xml:space="preserve">размотрити </w:t>
      </w:r>
      <w:r w:rsidRPr="00E84C93">
        <w:rPr>
          <w:lang w:val="sr-Cyrl-CS"/>
        </w:rPr>
        <w:t>одлагање отпадног муља на</w:t>
      </w:r>
      <w:r w:rsidR="00757EBC" w:rsidRPr="00E84C93">
        <w:rPr>
          <w:lang w:val="sr-Cyrl-CS"/>
        </w:rPr>
        <w:t xml:space="preserve"> </w:t>
      </w:r>
      <w:r w:rsidRPr="00E84C93">
        <w:rPr>
          <w:lang w:val="sr-Cyrl-CS"/>
        </w:rPr>
        <w:t>локацијама постојећих постројења за пречишћавање отпадних вода</w:t>
      </w:r>
      <w:r w:rsidRPr="00E84C93">
        <w:rPr>
          <w:rFonts w:cs="Times New Roman"/>
          <w:color w:val="000000"/>
          <w:szCs w:val="24"/>
          <w:lang w:val="sr-Cyrl-CS"/>
        </w:rPr>
        <w:t xml:space="preserve">. </w:t>
      </w:r>
    </w:p>
    <w:p w14:paraId="710AA925" w14:textId="10E71450" w:rsidR="008E0B55" w:rsidRPr="00E84C93" w:rsidRDefault="008E0B55" w:rsidP="008E0B55">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реализацију: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Pr="00E84C93">
        <w:rPr>
          <w:rFonts w:cs="Times New Roman"/>
          <w:szCs w:val="24"/>
          <w:lang w:val="sr-Cyrl-CS" w:eastAsia="en-GB"/>
        </w:rPr>
        <w:t xml:space="preserve">, </w:t>
      </w:r>
      <w:r w:rsidR="00145054" w:rsidRPr="00E84C93">
        <w:rPr>
          <w:rFonts w:cs="Times New Roman"/>
          <w:szCs w:val="24"/>
          <w:lang w:val="sr-Cyrl-CS" w:eastAsia="en-GB"/>
        </w:rPr>
        <w:t xml:space="preserve">Министарство рударства и енергетике, </w:t>
      </w:r>
      <w:r w:rsidR="009125F4" w:rsidRPr="00E84C93">
        <w:rPr>
          <w:rFonts w:cs="Times New Roman"/>
          <w:szCs w:val="24"/>
          <w:lang w:val="sr-Cyrl-CS" w:eastAsia="en-GB"/>
        </w:rPr>
        <w:t>АП</w:t>
      </w:r>
      <w:r w:rsidRPr="00E84C93">
        <w:rPr>
          <w:rFonts w:cs="Times New Roman"/>
          <w:szCs w:val="24"/>
          <w:lang w:val="sr-Cyrl-CS" w:eastAsia="en-GB"/>
        </w:rPr>
        <w:t xml:space="preserve">, јединице локалне самоуправе </w:t>
      </w:r>
    </w:p>
    <w:p w14:paraId="4107ED0C" w14:textId="77777777" w:rsidR="008E0B55" w:rsidRPr="00E84C93" w:rsidRDefault="008E0B55" w:rsidP="008E0B55">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Cs/>
          <w:sz w:val="24"/>
          <w:szCs w:val="24"/>
          <w:lang w:val="sr-Cyrl-CS" w:eastAsia="en-GB"/>
        </w:rPr>
        <w:t>Министарство финансија</w:t>
      </w:r>
    </w:p>
    <w:p w14:paraId="00C0AAD1" w14:textId="681DC1E5" w:rsidR="004F5681" w:rsidRPr="00E84C93" w:rsidRDefault="008E0B55" w:rsidP="008E0B55">
      <w:pPr>
        <w:spacing w:after="0"/>
        <w:ind w:firstLine="720"/>
        <w:jc w:val="both"/>
        <w:rPr>
          <w:rFonts w:cs="Times New Roman"/>
          <w:szCs w:val="24"/>
          <w:lang w:val="sr-Cyrl-CS"/>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пружање услуга (ОДПУ)</w:t>
      </w:r>
    </w:p>
    <w:p w14:paraId="3640FFFF" w14:textId="7B365282" w:rsidR="009322FA" w:rsidRPr="00E84C93" w:rsidRDefault="009322FA" w:rsidP="00A66922">
      <w:pPr>
        <w:spacing w:after="0"/>
        <w:rPr>
          <w:rFonts w:cs="Times New Roman"/>
          <w:bCs/>
          <w:lang w:val="sr-Cyrl-CS" w:bidi="en-US"/>
        </w:rPr>
      </w:pPr>
    </w:p>
    <w:p w14:paraId="6E083F82" w14:textId="77777777" w:rsidR="00C937FF" w:rsidRPr="00E84C93" w:rsidRDefault="00C937FF" w:rsidP="00A66922">
      <w:pPr>
        <w:spacing w:after="0"/>
        <w:rPr>
          <w:rFonts w:cs="Times New Roman"/>
          <w:bCs/>
          <w:lang w:val="sr-Cyrl-CS" w:bidi="en-US"/>
        </w:rPr>
      </w:pPr>
    </w:p>
    <w:p w14:paraId="45A5B0BC" w14:textId="75144751" w:rsidR="00A66922" w:rsidRPr="00E84C93" w:rsidRDefault="00A66922" w:rsidP="00A66922">
      <w:pPr>
        <w:pBdr>
          <w:top w:val="single" w:sz="4" w:space="1" w:color="auto"/>
          <w:left w:val="single" w:sz="4" w:space="4" w:color="auto"/>
          <w:bottom w:val="single" w:sz="4" w:space="1" w:color="auto"/>
          <w:right w:val="single" w:sz="4" w:space="4" w:color="auto"/>
        </w:pBdr>
        <w:spacing w:after="0" w:line="264" w:lineRule="auto"/>
        <w:jc w:val="both"/>
        <w:rPr>
          <w:szCs w:val="24"/>
          <w:lang w:val="sr-Cyrl-CS" w:eastAsia="en-GB"/>
        </w:rPr>
      </w:pPr>
      <w:r w:rsidRPr="00E84C93">
        <w:rPr>
          <w:b/>
          <w:bCs/>
          <w:szCs w:val="24"/>
          <w:lang w:val="sr-Cyrl-CS" w:eastAsia="en-GB"/>
        </w:rPr>
        <w:t xml:space="preserve">Мера 2.2. </w:t>
      </w:r>
      <w:r w:rsidRPr="00E84C93">
        <w:rPr>
          <w:rFonts w:cs="Times New Roman"/>
          <w:b/>
          <w:lang w:val="sr-Cyrl-CS" w:bidi="en-US"/>
        </w:rPr>
        <w:t>Поновн</w:t>
      </w:r>
      <w:r w:rsidR="00343719" w:rsidRPr="00E84C93">
        <w:rPr>
          <w:rFonts w:cs="Times New Roman"/>
          <w:b/>
          <w:lang w:val="sr-Cyrl-CS" w:bidi="en-US"/>
        </w:rPr>
        <w:t xml:space="preserve">о искоришћење </w:t>
      </w:r>
      <w:r w:rsidRPr="00E84C93">
        <w:rPr>
          <w:rFonts w:cs="Times New Roman"/>
          <w:b/>
          <w:lang w:val="sr-Cyrl-CS" w:bidi="en-US"/>
        </w:rPr>
        <w:t xml:space="preserve">муља за </w:t>
      </w:r>
      <w:r w:rsidR="00980A41" w:rsidRPr="00E84C93">
        <w:rPr>
          <w:rFonts w:cs="Times New Roman"/>
          <w:b/>
          <w:lang w:val="sr-Cyrl-CS" w:bidi="en-US"/>
        </w:rPr>
        <w:t xml:space="preserve">дневно </w:t>
      </w:r>
      <w:r w:rsidRPr="00E84C93">
        <w:rPr>
          <w:rFonts w:cs="Times New Roman"/>
          <w:b/>
          <w:lang w:val="sr-Cyrl-CS" w:bidi="en-US"/>
        </w:rPr>
        <w:t>прекривање</w:t>
      </w:r>
      <w:r w:rsidR="00457E94" w:rsidRPr="00E84C93">
        <w:rPr>
          <w:rFonts w:cs="Times New Roman"/>
          <w:b/>
          <w:lang w:val="sr-Cyrl-CS" w:bidi="en-US"/>
        </w:rPr>
        <w:t xml:space="preserve"> санитарних</w:t>
      </w:r>
      <w:r w:rsidRPr="00E84C93">
        <w:rPr>
          <w:rFonts w:cs="Times New Roman"/>
          <w:b/>
          <w:lang w:val="sr-Cyrl-CS" w:bidi="en-US"/>
        </w:rPr>
        <w:t xml:space="preserve"> депонија</w:t>
      </w:r>
      <w:r w:rsidRPr="00E84C93">
        <w:rPr>
          <w:b/>
          <w:bCs/>
          <w:lang w:val="sr-Cyrl-CS"/>
        </w:rPr>
        <w:t xml:space="preserve"> </w:t>
      </w:r>
      <w:r w:rsidR="00980A41" w:rsidRPr="00E84C93">
        <w:rPr>
          <w:b/>
          <w:bCs/>
          <w:lang w:val="sr-Cyrl-CS"/>
        </w:rPr>
        <w:t>у краткорочном периоду, мешањем са инертним материјалом</w:t>
      </w:r>
    </w:p>
    <w:p w14:paraId="007A044D" w14:textId="77777777" w:rsidR="00A66922" w:rsidRPr="00E84C93" w:rsidRDefault="00A66922" w:rsidP="00A66922">
      <w:pPr>
        <w:spacing w:after="0"/>
        <w:jc w:val="both"/>
        <w:rPr>
          <w:rFonts w:cs="Times New Roman"/>
          <w:szCs w:val="24"/>
          <w:lang w:val="sr-Cyrl-CS" w:bidi="en-US"/>
        </w:rPr>
      </w:pPr>
    </w:p>
    <w:p w14:paraId="414C396A" w14:textId="0017AD91" w:rsidR="00006718" w:rsidRPr="00E84C93" w:rsidRDefault="00980A41" w:rsidP="00006718">
      <w:pPr>
        <w:spacing w:after="0"/>
        <w:ind w:firstLine="720"/>
        <w:jc w:val="both"/>
        <w:rPr>
          <w:rFonts w:cs="Times New Roman"/>
          <w:lang w:val="sr-Cyrl-CS" w:bidi="en-US"/>
        </w:rPr>
      </w:pPr>
      <w:r w:rsidRPr="00E84C93">
        <w:rPr>
          <w:rFonts w:cs="Times New Roman"/>
          <w:szCs w:val="24"/>
          <w:lang w:val="sr-Cyrl-CS" w:bidi="en-US"/>
        </w:rPr>
        <w:t>П</w:t>
      </w:r>
      <w:r w:rsidR="00A66922" w:rsidRPr="00E84C93">
        <w:rPr>
          <w:rFonts w:cs="Times New Roman"/>
          <w:szCs w:val="24"/>
          <w:lang w:val="sr-Cyrl-CS" w:bidi="en-US"/>
        </w:rPr>
        <w:t>римена муља за прекривање депонија није довољно позната у Републици Србији</w:t>
      </w:r>
      <w:r w:rsidR="00006718" w:rsidRPr="00E84C93">
        <w:rPr>
          <w:rFonts w:cs="Times New Roman"/>
          <w:szCs w:val="24"/>
          <w:lang w:val="sr-Cyrl-CS" w:bidi="en-US"/>
        </w:rPr>
        <w:t>.</w:t>
      </w:r>
      <w:r w:rsidR="00A66922" w:rsidRPr="00E84C93">
        <w:rPr>
          <w:rFonts w:cs="Times New Roman"/>
          <w:szCs w:val="24"/>
          <w:lang w:val="sr-Cyrl-CS" w:bidi="en-US"/>
        </w:rPr>
        <w:t xml:space="preserve"> </w:t>
      </w:r>
      <w:r w:rsidR="00006718" w:rsidRPr="00E84C93">
        <w:rPr>
          <w:rFonts w:cs="Times New Roman"/>
          <w:szCs w:val="24"/>
          <w:lang w:val="sr-Cyrl-CS"/>
        </w:rPr>
        <w:t xml:space="preserve">Муљ са високим садржајем влаге (20-25%-тни садржај </w:t>
      </w:r>
      <w:r w:rsidR="00006718" w:rsidRPr="00E84C93">
        <w:rPr>
          <w:rFonts w:cs="Times New Roman"/>
          <w:szCs w:val="24"/>
          <w:lang w:val="sr-Cyrl-CS" w:bidi="en-US"/>
        </w:rPr>
        <w:t>суве материје</w:t>
      </w:r>
      <w:r w:rsidR="00006718" w:rsidRPr="00E84C93">
        <w:rPr>
          <w:rFonts w:cs="Times New Roman"/>
          <w:szCs w:val="24"/>
          <w:lang w:val="sr-Cyrl-CS"/>
        </w:rPr>
        <w:t xml:space="preserve">) има лоша физичка својства која могу бити узрок нестабилност тела депоније. Минимални садржај суве материје која се у редовним околностима сматра безбедном за одлагање је 35%, али препорука је да се усвоји 50% садржаја </w:t>
      </w:r>
      <w:r w:rsidR="00006718" w:rsidRPr="00E84C93">
        <w:rPr>
          <w:rFonts w:cs="Times New Roman"/>
          <w:szCs w:val="24"/>
          <w:lang w:val="sr-Cyrl-CS" w:bidi="en-US"/>
        </w:rPr>
        <w:t>суве материје</w:t>
      </w:r>
      <w:r w:rsidR="00006718" w:rsidRPr="00E84C93">
        <w:rPr>
          <w:rFonts w:cs="Times New Roman"/>
          <w:szCs w:val="24"/>
          <w:lang w:val="sr-Cyrl-CS"/>
        </w:rPr>
        <w:t>, јер се таквим садржајем обезбеђује знатно боља физичка стабилност и збијеност. У том случају</w:t>
      </w:r>
      <w:r w:rsidR="00006718" w:rsidRPr="00E84C93">
        <w:rPr>
          <w:rFonts w:cs="Times New Roman"/>
          <w:lang w:val="sr-Cyrl-CS" w:bidi="en-US"/>
        </w:rPr>
        <w:t xml:space="preserve">, спровођење технолошких интервенција је неопходно за повећање садржаја суве материје на прописани ниво у постројењима </w:t>
      </w:r>
      <w:r w:rsidR="00006718" w:rsidRPr="00E84C93">
        <w:rPr>
          <w:rFonts w:cs="Times New Roman"/>
          <w:lang w:val="sr-Cyrl-CS"/>
        </w:rPr>
        <w:t>за пречишћавање отпадних вода</w:t>
      </w:r>
      <w:r w:rsidR="00006718" w:rsidRPr="00E84C93">
        <w:rPr>
          <w:rFonts w:cs="Times New Roman"/>
          <w:lang w:val="sr-Cyrl-CS" w:bidi="en-US"/>
        </w:rPr>
        <w:t xml:space="preserve"> </w:t>
      </w:r>
      <w:r w:rsidR="00006718" w:rsidRPr="00E84C93">
        <w:rPr>
          <w:rFonts w:cs="Times New Roman"/>
          <w:lang w:val="sr-Cyrl-CS"/>
        </w:rPr>
        <w:t>средње величине</w:t>
      </w:r>
      <w:r w:rsidR="00006718" w:rsidRPr="00E84C93">
        <w:rPr>
          <w:rFonts w:cs="Times New Roman"/>
          <w:lang w:val="sr-Cyrl-CS" w:bidi="en-US"/>
        </w:rPr>
        <w:t xml:space="preserve"> која су опремљена само са системом механичког обезводњавања (центрифуге, тракаста преса), (нпр. </w:t>
      </w:r>
      <w:r w:rsidR="004A1C75" w:rsidRPr="00E84C93">
        <w:rPr>
          <w:rFonts w:cs="Times New Roman"/>
          <w:lang w:val="sr-Cyrl-CS" w:bidi="en-US"/>
        </w:rPr>
        <w:t xml:space="preserve">постројење </w:t>
      </w:r>
      <w:r w:rsidR="00006718" w:rsidRPr="00E84C93">
        <w:rPr>
          <w:rFonts w:cs="Times New Roman"/>
          <w:lang w:val="sr-Cyrl-CS" w:bidi="en-US"/>
        </w:rPr>
        <w:t xml:space="preserve">за пречишћавање отпадних вода у Шапцу). </w:t>
      </w:r>
    </w:p>
    <w:p w14:paraId="2637FC48" w14:textId="1CBAAD95" w:rsidR="009B4A17" w:rsidRPr="00E84C93" w:rsidRDefault="00A66922" w:rsidP="009B4A17">
      <w:pPr>
        <w:spacing w:after="0"/>
        <w:ind w:firstLine="720"/>
        <w:jc w:val="both"/>
        <w:rPr>
          <w:rFonts w:cs="Times New Roman"/>
          <w:szCs w:val="24"/>
          <w:lang w:val="sr-Cyrl-CS" w:bidi="en-US"/>
        </w:rPr>
      </w:pPr>
      <w:r w:rsidRPr="00E84C93">
        <w:rPr>
          <w:rFonts w:eastAsia="Calibri" w:cs="Times New Roman"/>
          <w:szCs w:val="24"/>
          <w:lang w:val="sr-Cyrl-CS"/>
        </w:rPr>
        <w:t xml:space="preserve">Оператери </w:t>
      </w:r>
      <w:r w:rsidRPr="00E84C93">
        <w:rPr>
          <w:rFonts w:cs="Times New Roman"/>
          <w:szCs w:val="24"/>
          <w:lang w:val="sr-Cyrl-CS" w:bidi="en-US"/>
        </w:rPr>
        <w:t xml:space="preserve">имају потребу за материјалом за прекривање депонија током целе године и у складу с тим потребно је обезбедити редовну испоруку муља, јер регионални центри за управљање отпадом немају објекте за складиштење тих врста материјала. У претходном периоду, потврђена је потреба за </w:t>
      </w:r>
      <w:r w:rsidR="003672FC" w:rsidRPr="00E84C93">
        <w:rPr>
          <w:rFonts w:cs="Times New Roman"/>
          <w:szCs w:val="24"/>
          <w:lang w:val="sr-Cyrl-CS" w:bidi="en-US"/>
        </w:rPr>
        <w:t>осушеним</w:t>
      </w:r>
      <w:r w:rsidRPr="00E84C93">
        <w:rPr>
          <w:rFonts w:cs="Times New Roman"/>
          <w:szCs w:val="24"/>
          <w:lang w:val="sr-Cyrl-CS" w:bidi="en-US"/>
        </w:rPr>
        <w:t xml:space="preserve"> муљем</w:t>
      </w:r>
      <w:r w:rsidR="004D796B" w:rsidRPr="00E84C93">
        <w:rPr>
          <w:rFonts w:cs="Times New Roman"/>
          <w:szCs w:val="24"/>
          <w:lang w:val="sr-Cyrl-CS" w:bidi="en-US"/>
        </w:rPr>
        <w:t xml:space="preserve"> са 60% суве материје, </w:t>
      </w:r>
      <w:r w:rsidRPr="00E84C93">
        <w:rPr>
          <w:rFonts w:cs="Times New Roman"/>
          <w:szCs w:val="24"/>
          <w:lang w:val="sr-Cyrl-CS" w:bidi="en-US"/>
        </w:rPr>
        <w:t>за прекривање регионалних санитарних депонија</w:t>
      </w:r>
      <w:r w:rsidR="00980A41" w:rsidRPr="00E84C93">
        <w:rPr>
          <w:rFonts w:cs="Times New Roman"/>
          <w:szCs w:val="24"/>
          <w:lang w:val="sr-Cyrl-CS" w:bidi="en-US"/>
        </w:rPr>
        <w:t>.</w:t>
      </w:r>
      <w:r w:rsidR="009B4A17" w:rsidRPr="00E84C93">
        <w:rPr>
          <w:rFonts w:cs="Times New Roman"/>
          <w:szCs w:val="24"/>
          <w:lang w:val="sr-Cyrl-CS" w:bidi="en-US"/>
        </w:rPr>
        <w:t xml:space="preserve"> У складу са пакетом ЕУ Директива за циркуларну економију, </w:t>
      </w:r>
      <w:r w:rsidR="009B4A17" w:rsidRPr="00E84C93">
        <w:rPr>
          <w:rFonts w:cs="Times New Roman"/>
          <w:szCs w:val="24"/>
          <w:lang w:val="sr-Cyrl-CS"/>
        </w:rPr>
        <w:t>осушени муљ помешан са интерним материјалом</w:t>
      </w:r>
      <w:r w:rsidR="004A1C75" w:rsidRPr="00E84C93">
        <w:rPr>
          <w:rFonts w:cs="Times New Roman"/>
          <w:szCs w:val="24"/>
          <w:lang w:val="sr-Cyrl-CS"/>
        </w:rPr>
        <w:t xml:space="preserve"> (земљом)</w:t>
      </w:r>
      <w:r w:rsidR="009B4A17" w:rsidRPr="00E84C93">
        <w:rPr>
          <w:rFonts w:cs="Times New Roman"/>
          <w:szCs w:val="24"/>
          <w:lang w:val="sr-Cyrl-CS"/>
        </w:rPr>
        <w:t xml:space="preserve"> ће се користити за дневно прекривање депонија</w:t>
      </w:r>
      <w:r w:rsidR="009B4A17" w:rsidRPr="00E84C93">
        <w:rPr>
          <w:rFonts w:cs="Times New Roman"/>
          <w:szCs w:val="24"/>
          <w:lang w:val="sr-Cyrl-CS" w:bidi="en-US"/>
        </w:rPr>
        <w:t>.</w:t>
      </w:r>
      <w:r w:rsidR="009B4A17" w:rsidRPr="00E84C93">
        <w:rPr>
          <w:lang w:val="sr-Cyrl-CS"/>
        </w:rPr>
        <w:t xml:space="preserve"> Неопходно је да регионални центри буду опремљени постројењима за предтретман (додатно сушење) муља.</w:t>
      </w:r>
    </w:p>
    <w:p w14:paraId="0D961F7E" w14:textId="1546EB87" w:rsidR="004E6F27" w:rsidRPr="00E84C93" w:rsidRDefault="00A66922" w:rsidP="00040F30">
      <w:pPr>
        <w:spacing w:after="0"/>
        <w:ind w:firstLine="720"/>
        <w:jc w:val="both"/>
        <w:rPr>
          <w:rFonts w:cs="Times New Roman"/>
          <w:szCs w:val="24"/>
          <w:lang w:val="sr-Cyrl-CS"/>
        </w:rPr>
      </w:pPr>
      <w:r w:rsidRPr="00E84C93">
        <w:rPr>
          <w:rFonts w:cs="Times New Roman"/>
          <w:szCs w:val="24"/>
          <w:lang w:val="sr-Cyrl-CS" w:bidi="en-US"/>
        </w:rPr>
        <w:t xml:space="preserve">За примену муља за прекривање депонија потребно је </w:t>
      </w:r>
      <w:r w:rsidRPr="00E84C93">
        <w:rPr>
          <w:rFonts w:cs="Times New Roman"/>
          <w:color w:val="000000"/>
          <w:szCs w:val="24"/>
          <w:lang w:val="sr-Cyrl-CS"/>
        </w:rPr>
        <w:t>усаглашавање</w:t>
      </w:r>
      <w:r w:rsidRPr="00E84C93">
        <w:rPr>
          <w:rFonts w:cs="Times New Roman"/>
          <w:szCs w:val="24"/>
          <w:lang w:val="sr-Cyrl-CS"/>
        </w:rPr>
        <w:t xml:space="preserve"> прописа</w:t>
      </w:r>
      <w:r w:rsidR="009E277C" w:rsidRPr="00E84C93">
        <w:rPr>
          <w:rFonts w:cs="Times New Roman"/>
          <w:szCs w:val="24"/>
          <w:lang w:val="sr-Cyrl-CS"/>
        </w:rPr>
        <w:t xml:space="preserve"> у вези материјала за прекривање депонија</w:t>
      </w:r>
      <w:r w:rsidRPr="00E84C93">
        <w:rPr>
          <w:rFonts w:cs="Times New Roman"/>
          <w:szCs w:val="24"/>
          <w:lang w:val="sr-Cyrl-CS"/>
        </w:rPr>
        <w:t xml:space="preserve">. </w:t>
      </w:r>
    </w:p>
    <w:p w14:paraId="1A14D41A" w14:textId="5C542FB4" w:rsidR="00D56B46" w:rsidRPr="00E84C93" w:rsidRDefault="00D56B46" w:rsidP="00D56B46">
      <w:pPr>
        <w:shd w:val="clear" w:color="auto" w:fill="FFFFFF"/>
        <w:spacing w:after="0" w:line="0" w:lineRule="auto"/>
        <w:rPr>
          <w:rFonts w:ascii="ff1" w:eastAsia="Times New Roman" w:hAnsi="ff1" w:cs="Times New Roman"/>
          <w:color w:val="000000"/>
          <w:sz w:val="60"/>
          <w:szCs w:val="60"/>
          <w:lang w:val="sr-Cyrl-CS"/>
        </w:rPr>
      </w:pPr>
      <w:r w:rsidRPr="00E84C93">
        <w:rPr>
          <w:rFonts w:ascii="ff1" w:eastAsia="Times New Roman" w:hAnsi="ff1" w:cs="Times New Roman"/>
          <w:color w:val="000000"/>
          <w:sz w:val="60"/>
          <w:szCs w:val="60"/>
          <w:lang w:val="sr-Cyrl-CS"/>
        </w:rPr>
        <w:t>odiﬁed with cement, lime, slag, mineralized refuse, and</w:t>
      </w:r>
    </w:p>
    <w:p w14:paraId="2C19B101" w14:textId="77777777" w:rsidR="00D56B46" w:rsidRPr="00E84C93" w:rsidRDefault="00D56B46" w:rsidP="00D56B46">
      <w:pPr>
        <w:shd w:val="clear" w:color="auto" w:fill="FFFFFF"/>
        <w:spacing w:after="0" w:line="0" w:lineRule="auto"/>
        <w:rPr>
          <w:rFonts w:ascii="ff1" w:eastAsia="Times New Roman" w:hAnsi="ff1" w:cs="Times New Roman"/>
          <w:color w:val="000000"/>
          <w:sz w:val="60"/>
          <w:szCs w:val="60"/>
          <w:lang w:val="sr-Cyrl-CS"/>
        </w:rPr>
      </w:pPr>
      <w:r w:rsidRPr="00E84C93">
        <w:rPr>
          <w:rFonts w:ascii="ff1" w:eastAsia="Times New Roman" w:hAnsi="ff1" w:cs="Times New Roman"/>
          <w:color w:val="000000"/>
          <w:sz w:val="60"/>
          <w:szCs w:val="60"/>
          <w:lang w:val="sr-Cyrl-CS"/>
        </w:rPr>
        <w:t xml:space="preserve">construction waste </w:t>
      </w:r>
    </w:p>
    <w:p w14:paraId="408C6BA6" w14:textId="4F822094" w:rsidR="00A66922" w:rsidRPr="00E84C93" w:rsidRDefault="00A66922" w:rsidP="00A66922">
      <w:pPr>
        <w:spacing w:after="0"/>
        <w:ind w:firstLine="720"/>
        <w:jc w:val="both"/>
        <w:rPr>
          <w:rFonts w:cs="Times New Roman"/>
          <w:szCs w:val="24"/>
          <w:lang w:val="sr-Cyrl-CS" w:bidi="en-US"/>
        </w:rPr>
      </w:pPr>
      <w:r w:rsidRPr="00E84C93">
        <w:rPr>
          <w:rFonts w:cs="Times New Roman"/>
          <w:szCs w:val="24"/>
          <w:lang w:val="sr-Cyrl-CS" w:bidi="en-US"/>
        </w:rPr>
        <w:t xml:space="preserve">Потребно је израдити </w:t>
      </w:r>
      <w:r w:rsidRPr="00E84C93">
        <w:rPr>
          <w:rFonts w:cs="Times New Roman"/>
          <w:szCs w:val="24"/>
          <w:lang w:val="sr-Cyrl-CS"/>
        </w:rPr>
        <w:t>оперативне процедуре (количине</w:t>
      </w:r>
      <w:r w:rsidR="00215DB1" w:rsidRPr="00E84C93">
        <w:rPr>
          <w:rFonts w:cs="Times New Roman"/>
          <w:szCs w:val="24"/>
          <w:lang w:val="sr-Cyrl-CS"/>
        </w:rPr>
        <w:t xml:space="preserve"> муља</w:t>
      </w:r>
      <w:r w:rsidRPr="00E84C93">
        <w:rPr>
          <w:rFonts w:cs="Times New Roman"/>
          <w:szCs w:val="24"/>
          <w:lang w:val="sr-Cyrl-CS"/>
        </w:rPr>
        <w:t>,</w:t>
      </w:r>
      <w:r w:rsidR="00215DB1" w:rsidRPr="00E84C93">
        <w:rPr>
          <w:rFonts w:cs="Times New Roman"/>
          <w:szCs w:val="24"/>
          <w:lang w:val="sr-Cyrl-CS"/>
        </w:rPr>
        <w:t xml:space="preserve"> </w:t>
      </w:r>
      <w:r w:rsidRPr="00E84C93">
        <w:rPr>
          <w:rFonts w:cs="Times New Roman"/>
          <w:szCs w:val="24"/>
          <w:lang w:val="sr-Cyrl-CS"/>
        </w:rPr>
        <w:t>испитивања</w:t>
      </w:r>
      <w:r w:rsidR="00215DB1" w:rsidRPr="00E84C93">
        <w:rPr>
          <w:rFonts w:cs="Times New Roman"/>
          <w:szCs w:val="24"/>
          <w:lang w:val="sr-Cyrl-CS"/>
        </w:rPr>
        <w:t xml:space="preserve"> квалитета муља, однос муља и инертног материјала</w:t>
      </w:r>
      <w:r w:rsidRPr="00E84C93">
        <w:rPr>
          <w:rFonts w:cs="Times New Roman"/>
          <w:szCs w:val="24"/>
          <w:lang w:val="sr-Cyrl-CS"/>
        </w:rPr>
        <w:t xml:space="preserve">) и упутства за кориснике. </w:t>
      </w:r>
      <w:r w:rsidRPr="00E84C93">
        <w:rPr>
          <w:rFonts w:cs="Times New Roman"/>
          <w:szCs w:val="24"/>
          <w:lang w:val="sr-Cyrl-CS" w:bidi="en-US"/>
        </w:rPr>
        <w:t>Потребно је дефинисати све кораке које треба да предузму оператер постројења за пречишћавање отпадних вода или ЈКП и оператер депоније у циљу развоја и успостављања поузданих и изводљивих процедура за рад.</w:t>
      </w:r>
    </w:p>
    <w:p w14:paraId="660A9F10" w14:textId="64968EEF" w:rsidR="00A66922" w:rsidRPr="00E84C93" w:rsidRDefault="00A66922" w:rsidP="00A66922">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реализацију: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Pr="00E84C93">
        <w:rPr>
          <w:rFonts w:cs="Times New Roman"/>
          <w:szCs w:val="24"/>
          <w:lang w:val="sr-Cyrl-CS" w:eastAsia="en-GB"/>
        </w:rPr>
        <w:t xml:space="preserve">, Аутономна покрајина, јединице локалне самоуправе </w:t>
      </w:r>
    </w:p>
    <w:p w14:paraId="408507E6" w14:textId="77777777" w:rsidR="00A66922" w:rsidRPr="00E84C93" w:rsidRDefault="00A66922" w:rsidP="00A66922">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Cs/>
          <w:sz w:val="24"/>
          <w:szCs w:val="24"/>
          <w:lang w:val="sr-Cyrl-CS" w:eastAsia="en-GB"/>
        </w:rPr>
        <w:t>Министарство финансија</w:t>
      </w:r>
    </w:p>
    <w:p w14:paraId="4A8CC949" w14:textId="77777777" w:rsidR="00A66922" w:rsidRPr="00E84C93" w:rsidRDefault="00A66922" w:rsidP="00A66922">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пружање услуга (ОДПУ)</w:t>
      </w:r>
    </w:p>
    <w:p w14:paraId="1612E158" w14:textId="77777777" w:rsidR="00A66922" w:rsidRPr="00E84C93" w:rsidRDefault="00A66922" w:rsidP="00A66922">
      <w:pPr>
        <w:spacing w:after="0"/>
        <w:rPr>
          <w:rFonts w:cs="Times New Roman"/>
          <w:bCs/>
          <w:lang w:val="sr-Cyrl-CS" w:bidi="en-US"/>
        </w:rPr>
      </w:pPr>
    </w:p>
    <w:p w14:paraId="57E84D5F" w14:textId="77777777" w:rsidR="00A66922" w:rsidRPr="00E84C93" w:rsidRDefault="00A66922" w:rsidP="00BC0EB7">
      <w:pPr>
        <w:pStyle w:val="ListParagraph"/>
        <w:spacing w:after="0"/>
        <w:ind w:left="1440"/>
        <w:rPr>
          <w:rFonts w:cs="Times New Roman"/>
          <w:bCs/>
          <w:lang w:val="sr-Cyrl-CS" w:bidi="en-US"/>
        </w:rPr>
      </w:pPr>
    </w:p>
    <w:p w14:paraId="3E4FAFB9" w14:textId="69CC1DA7" w:rsidR="008274EC" w:rsidRPr="00E84C93" w:rsidRDefault="008274EC" w:rsidP="008274EC">
      <w:pPr>
        <w:pBdr>
          <w:top w:val="single" w:sz="4" w:space="1" w:color="auto"/>
          <w:left w:val="single" w:sz="4" w:space="4" w:color="auto"/>
          <w:bottom w:val="single" w:sz="4" w:space="1" w:color="auto"/>
          <w:right w:val="single" w:sz="4" w:space="4" w:color="auto"/>
        </w:pBdr>
        <w:spacing w:after="0" w:line="264" w:lineRule="auto"/>
        <w:jc w:val="both"/>
        <w:rPr>
          <w:b/>
          <w:szCs w:val="24"/>
          <w:highlight w:val="yellow"/>
          <w:lang w:val="sr-Cyrl-CS" w:eastAsia="en-GB"/>
        </w:rPr>
      </w:pPr>
      <w:r w:rsidRPr="00E84C93">
        <w:rPr>
          <w:b/>
          <w:bCs/>
          <w:szCs w:val="24"/>
          <w:lang w:val="sr-Cyrl-CS" w:eastAsia="en-GB"/>
        </w:rPr>
        <w:t>Мера 2.</w:t>
      </w:r>
      <w:r w:rsidR="000B0E40" w:rsidRPr="00E84C93">
        <w:rPr>
          <w:b/>
          <w:bCs/>
          <w:szCs w:val="24"/>
          <w:lang w:val="sr-Cyrl-CS" w:eastAsia="en-GB"/>
        </w:rPr>
        <w:t>3</w:t>
      </w:r>
      <w:r w:rsidRPr="00E84C93">
        <w:rPr>
          <w:b/>
          <w:bCs/>
          <w:szCs w:val="24"/>
          <w:lang w:val="sr-Cyrl-CS" w:eastAsia="en-GB"/>
        </w:rPr>
        <w:t xml:space="preserve">. Искоришћење муља </w:t>
      </w:r>
      <w:r w:rsidRPr="00E84C93">
        <w:rPr>
          <w:rFonts w:cs="Times New Roman"/>
          <w:b/>
          <w:lang w:val="sr-Cyrl-CS" w:bidi="en-US"/>
        </w:rPr>
        <w:t>коинсинерацијом у цементарама и термоелектранама</w:t>
      </w:r>
    </w:p>
    <w:p w14:paraId="1215279F" w14:textId="77777777" w:rsidR="008274EC" w:rsidRPr="00E84C93" w:rsidRDefault="008274EC" w:rsidP="008274EC">
      <w:pPr>
        <w:spacing w:after="0"/>
        <w:ind w:firstLine="720"/>
        <w:jc w:val="both"/>
        <w:rPr>
          <w:rFonts w:cs="Times New Roman"/>
          <w:szCs w:val="24"/>
          <w:lang w:val="sr-Cyrl-CS" w:bidi="en-US"/>
        </w:rPr>
      </w:pPr>
    </w:p>
    <w:p w14:paraId="5040F800" w14:textId="7BF51C30" w:rsidR="008274EC" w:rsidRPr="00E84C93" w:rsidRDefault="008274EC" w:rsidP="008274EC">
      <w:pPr>
        <w:spacing w:after="0"/>
        <w:ind w:firstLine="720"/>
        <w:jc w:val="both"/>
        <w:rPr>
          <w:rFonts w:cs="Times New Roman"/>
          <w:szCs w:val="24"/>
          <w:lang w:val="sr-Cyrl-CS"/>
        </w:rPr>
      </w:pPr>
      <w:r w:rsidRPr="00E84C93">
        <w:rPr>
          <w:rFonts w:cs="Times New Roman"/>
          <w:szCs w:val="24"/>
          <w:lang w:val="sr-Cyrl-CS" w:bidi="en-US"/>
        </w:rPr>
        <w:t xml:space="preserve">Искоришћење муља коинсинерацијом у фабрикама цемента представља увођење алтернативних горива и сировина у стандардни процес производње цемента, чиме се замењују конвенционална горива и сировине. Максимална количина </w:t>
      </w:r>
      <w:r w:rsidRPr="00E84C93">
        <w:rPr>
          <w:rFonts w:cs="Times New Roman"/>
          <w:szCs w:val="24"/>
          <w:lang w:val="sr-Cyrl-CS"/>
        </w:rPr>
        <w:t xml:space="preserve">муља из постројења за пречишћавање отпадних вода, </w:t>
      </w:r>
      <w:r w:rsidRPr="00E84C93">
        <w:rPr>
          <w:rFonts w:cs="Times New Roman"/>
          <w:szCs w:val="24"/>
          <w:lang w:val="sr-Cyrl-CS" w:bidi="en-US"/>
        </w:rPr>
        <w:t>искључиво одговарајућег квалитета,</w:t>
      </w:r>
      <w:r w:rsidRPr="00E84C93">
        <w:rPr>
          <w:rFonts w:cs="Times New Roman"/>
          <w:szCs w:val="24"/>
          <w:lang w:val="sr-Cyrl-CS"/>
        </w:rPr>
        <w:t xml:space="preserve"> коју фабрике цемента могу прихватити </w:t>
      </w:r>
      <w:r w:rsidRPr="00E84C93">
        <w:rPr>
          <w:rFonts w:cs="Times New Roman"/>
          <w:szCs w:val="24"/>
          <w:lang w:val="sr-Cyrl-CS" w:bidi="en-US"/>
        </w:rPr>
        <w:t xml:space="preserve">не би требало да буде већа од 5% капацитета производње клинкера. У Републици Србији послују три цементаре: </w:t>
      </w:r>
      <w:r w:rsidRPr="00E84C93">
        <w:rPr>
          <w:rFonts w:cs="Times New Roman"/>
          <w:szCs w:val="24"/>
          <w:lang w:val="sr-Cyrl-CS"/>
        </w:rPr>
        <w:t xml:space="preserve">Lafarge Србија, Беочин, </w:t>
      </w:r>
      <w:r w:rsidRPr="00E84C93">
        <w:rPr>
          <w:rFonts w:cs="Times New Roman"/>
          <w:bCs/>
          <w:color w:val="000000"/>
          <w:szCs w:val="24"/>
          <w:lang w:val="sr-Cyrl-CS" w:eastAsia="de-DE"/>
        </w:rPr>
        <w:t>Моравацем</w:t>
      </w:r>
      <w:r w:rsidRPr="00E84C93">
        <w:rPr>
          <w:rFonts w:cs="Times New Roman"/>
          <w:szCs w:val="24"/>
          <w:lang w:val="sr-Cyrl-CS"/>
        </w:rPr>
        <w:t>, Поповац код Параћина и Титан, Косјерић.</w:t>
      </w:r>
    </w:p>
    <w:p w14:paraId="6776EE17" w14:textId="738CCACE" w:rsidR="008274EC" w:rsidRPr="00E84C93" w:rsidRDefault="008274EC" w:rsidP="008274EC">
      <w:pPr>
        <w:spacing w:after="0"/>
        <w:ind w:firstLine="720"/>
        <w:jc w:val="both"/>
        <w:rPr>
          <w:rFonts w:cs="Times New Roman"/>
          <w:szCs w:val="24"/>
          <w:lang w:val="sr-Cyrl-CS"/>
        </w:rPr>
      </w:pPr>
      <w:r w:rsidRPr="00E84C93">
        <w:rPr>
          <w:rFonts w:cs="Times New Roman"/>
          <w:szCs w:val="24"/>
          <w:lang w:val="sr-Cyrl-CS" w:bidi="en-US"/>
        </w:rPr>
        <w:t>За коинсинерацију муља у фабрикама цемента или термоелектранама потребно је претходно испитивање квалитета муља. К</w:t>
      </w:r>
      <w:r w:rsidRPr="00E84C93">
        <w:rPr>
          <w:rFonts w:cs="Times New Roman"/>
          <w:szCs w:val="24"/>
          <w:lang w:val="sr-Cyrl-CS"/>
        </w:rPr>
        <w:t xml:space="preserve">валитет муља мора бити усклађен </w:t>
      </w:r>
      <w:r w:rsidR="009C2E34" w:rsidRPr="00E84C93">
        <w:rPr>
          <w:rFonts w:cs="Times New Roman"/>
          <w:szCs w:val="24"/>
          <w:lang w:val="sr-Cyrl-CS"/>
        </w:rPr>
        <w:t xml:space="preserve">са Правилником о категоријама, испитивању и класификацији отпада („Службени гласник РС”, бр. 56/10, 93/19 и </w:t>
      </w:r>
      <w:r w:rsidR="009125F4" w:rsidRPr="00E84C93">
        <w:rPr>
          <w:rFonts w:cs="Times New Roman"/>
          <w:szCs w:val="24"/>
          <w:lang w:val="sr-Cyrl-CS"/>
        </w:rPr>
        <w:t>39/</w:t>
      </w:r>
      <w:r w:rsidR="009C2E34" w:rsidRPr="00E84C93">
        <w:rPr>
          <w:rFonts w:cs="Times New Roman"/>
          <w:szCs w:val="24"/>
          <w:lang w:val="sr-Cyrl-CS"/>
        </w:rPr>
        <w:t>21). У Прилогу 9. Правилника (Листа параметара за испитивање отпада за потребе термичког третмана) садржани су параметри и припадајуће граничне вредности у отпаду дате у односу на калоријску вредност каменог угља</w:t>
      </w:r>
      <w:r w:rsidRPr="00E84C93">
        <w:rPr>
          <w:rFonts w:cs="Times New Roman"/>
          <w:szCs w:val="24"/>
          <w:lang w:val="sr-Cyrl-CS"/>
        </w:rPr>
        <w:t xml:space="preserve">. Потребно је да се унапреди регулатива, како би се прецизније утврдила </w:t>
      </w:r>
      <w:r w:rsidRPr="00E84C93">
        <w:rPr>
          <w:lang w:val="sr-Cyrl-CS"/>
        </w:rPr>
        <w:t>калоријска вредност муља који се може спаљивати и у којим условима.</w:t>
      </w:r>
    </w:p>
    <w:p w14:paraId="5898DD3E" w14:textId="7FD1E10C" w:rsidR="008274EC" w:rsidRPr="00E84C93" w:rsidRDefault="008274EC" w:rsidP="008274EC">
      <w:pPr>
        <w:spacing w:after="0"/>
        <w:ind w:firstLine="720"/>
        <w:jc w:val="both"/>
        <w:rPr>
          <w:rFonts w:cs="Times New Roman"/>
          <w:szCs w:val="24"/>
          <w:lang w:val="sr-Cyrl-CS" w:bidi="en-US"/>
        </w:rPr>
      </w:pPr>
      <w:r w:rsidRPr="00E84C93">
        <w:rPr>
          <w:lang w:val="sr-Cyrl-CS"/>
        </w:rPr>
        <w:t>Оператери постројења за пречишћавање отпадних вода треба да обезбеде одгов</w:t>
      </w:r>
      <w:r w:rsidR="00E84C93">
        <w:rPr>
          <w:lang w:val="sr-Cyrl-CS"/>
        </w:rPr>
        <w:t>а</w:t>
      </w:r>
      <w:r w:rsidRPr="00E84C93">
        <w:rPr>
          <w:lang w:val="sr-Cyrl-CS"/>
        </w:rPr>
        <w:t xml:space="preserve">рајућу припрему, односно сушење муља. </w:t>
      </w:r>
      <w:r w:rsidRPr="00E84C93">
        <w:rPr>
          <w:rFonts w:cs="Times New Roman"/>
          <w:szCs w:val="24"/>
          <w:lang w:val="sr-Cyrl-CS" w:bidi="en-US"/>
        </w:rPr>
        <w:t xml:space="preserve">Муљ захтева интензивно сушење да би се постигла топлотна вредност од 8 MJ/kg СМ. </w:t>
      </w:r>
      <w:r w:rsidRPr="00E84C93">
        <w:rPr>
          <w:rFonts w:cs="Times New Roman"/>
          <w:lang w:val="sr-Cyrl-CS"/>
        </w:rPr>
        <w:t>Како су постројења за пречишћавање отпадних вода</w:t>
      </w:r>
      <w:r w:rsidRPr="00E84C93">
        <w:rPr>
          <w:rFonts w:cs="Times New Roman"/>
          <w:lang w:val="sr-Cyrl-CS" w:bidi="en-US"/>
        </w:rPr>
        <w:t xml:space="preserve"> </w:t>
      </w:r>
      <w:r w:rsidRPr="00E84C93">
        <w:rPr>
          <w:rFonts w:cs="Times New Roman"/>
          <w:lang w:val="sr-Cyrl-CS"/>
        </w:rPr>
        <w:t>средње величине</w:t>
      </w:r>
      <w:r w:rsidRPr="00E84C93">
        <w:rPr>
          <w:rFonts w:cs="Times New Roman"/>
          <w:lang w:val="sr-Cyrl-CS" w:bidi="en-US"/>
        </w:rPr>
        <w:t xml:space="preserve"> опремљена само системом механичког о</w:t>
      </w:r>
      <w:r w:rsidR="003672FC" w:rsidRPr="00E84C93">
        <w:rPr>
          <w:rFonts w:cs="Times New Roman"/>
          <w:lang w:val="sr-Cyrl-CS" w:bidi="en-US"/>
        </w:rPr>
        <w:t>без</w:t>
      </w:r>
      <w:r w:rsidRPr="00E84C93">
        <w:rPr>
          <w:rFonts w:cs="Times New Roman"/>
          <w:lang w:val="sr-Cyrl-CS" w:bidi="en-US"/>
        </w:rPr>
        <w:t xml:space="preserve">дводњавања (центрифуге, тракаста преса) и при томе остварују 20-25%-тни садржај </w:t>
      </w:r>
      <w:r w:rsidRPr="00E84C93">
        <w:rPr>
          <w:rFonts w:cs="Times New Roman"/>
          <w:szCs w:val="24"/>
          <w:lang w:val="sr-Cyrl-CS" w:bidi="en-US"/>
        </w:rPr>
        <w:t>суве материје</w:t>
      </w:r>
      <w:r w:rsidRPr="00E84C93">
        <w:rPr>
          <w:rFonts w:cs="Times New Roman"/>
          <w:lang w:val="sr-Cyrl-CS" w:bidi="en-US"/>
        </w:rPr>
        <w:t xml:space="preserve"> (нпр. постројења за пречишћавање отпадних вода у Рашкој и Шапцу), за коинсинерацију муља у цементарама потребна је технолошка надоградња за соларно и/или термичко сушење како би постигао садржај од 60-70% СМ, што је једнако 8 </w:t>
      </w:r>
      <w:r w:rsidRPr="00E84C93">
        <w:rPr>
          <w:rFonts w:cs="Times New Roman"/>
          <w:lang w:val="sr-Cyrl-CS"/>
        </w:rPr>
        <w:t xml:space="preserve">МJ/kg </w:t>
      </w:r>
      <w:r w:rsidRPr="00E84C93">
        <w:rPr>
          <w:rFonts w:cs="Times New Roman"/>
          <w:lang w:val="sr-Cyrl-CS" w:bidi="en-US"/>
        </w:rPr>
        <w:t xml:space="preserve">СМ. </w:t>
      </w:r>
    </w:p>
    <w:p w14:paraId="7B6C7B25" w14:textId="0E64017C" w:rsidR="008274EC" w:rsidRPr="00E84C93" w:rsidRDefault="008274EC" w:rsidP="008274EC">
      <w:pPr>
        <w:spacing w:after="0"/>
        <w:ind w:firstLine="720"/>
        <w:jc w:val="both"/>
        <w:rPr>
          <w:rFonts w:cs="Times New Roman"/>
          <w:color w:val="000000"/>
          <w:szCs w:val="24"/>
          <w:lang w:val="sr-Cyrl-CS"/>
        </w:rPr>
      </w:pPr>
      <w:r w:rsidRPr="00E84C93">
        <w:rPr>
          <w:rFonts w:cs="Times New Roman"/>
          <w:color w:val="000000"/>
          <w:szCs w:val="24"/>
          <w:lang w:val="sr-Cyrl-CS"/>
        </w:rPr>
        <w:t xml:space="preserve">Потврђена је заинтересованост две фабрике цемента </w:t>
      </w:r>
      <w:r w:rsidRPr="00E84C93">
        <w:rPr>
          <w:rFonts w:cs="Times New Roman"/>
          <w:szCs w:val="24"/>
          <w:lang w:val="sr-Cyrl-CS"/>
        </w:rPr>
        <w:t xml:space="preserve">за коинсинерацију муља. </w:t>
      </w:r>
      <w:r w:rsidRPr="00E84C93">
        <w:rPr>
          <w:iCs/>
          <w:lang w:val="sr-Cyrl-CS"/>
        </w:rPr>
        <w:t>Недавно су започете припреме за мању пробну инсинерацију сувог муља. П</w:t>
      </w:r>
      <w:r w:rsidRPr="00E84C93">
        <w:rPr>
          <w:rFonts w:cs="Times New Roman"/>
          <w:szCs w:val="24"/>
          <w:lang w:val="sr-Cyrl-CS" w:bidi="en-US"/>
        </w:rPr>
        <w:t>от</w:t>
      </w:r>
      <w:r w:rsidRPr="00E84C93">
        <w:rPr>
          <w:lang w:val="sr-Cyrl-CS"/>
        </w:rPr>
        <w:t>ребно је да заинтересоване цементаре прибаве дозволе</w:t>
      </w:r>
      <w:r w:rsidRPr="00E84C93">
        <w:rPr>
          <w:rFonts w:cs="Times New Roman"/>
          <w:szCs w:val="24"/>
          <w:lang w:val="sr-Cyrl-CS" w:bidi="en-US"/>
        </w:rPr>
        <w:t xml:space="preserve"> за употребу муља у свом производном процесу. </w:t>
      </w:r>
      <w:r w:rsidRPr="00E84C93">
        <w:rPr>
          <w:rFonts w:cs="Times New Roman"/>
          <w:color w:val="000000"/>
          <w:szCs w:val="24"/>
          <w:lang w:val="sr-Cyrl-CS"/>
        </w:rPr>
        <w:t>Потребно је спровести процес спровођења процене утицаја на животну средину и процес исходовања интегрисане дозволе у области спречавања и контроле загађења. Потребно је подржати процес исходовања лиценце за спаљивање сувог муља (шифра отпада 19</w:t>
      </w:r>
      <w:r w:rsidR="00095A30" w:rsidRPr="00E84C93">
        <w:rPr>
          <w:rFonts w:cs="Times New Roman"/>
          <w:color w:val="000000"/>
          <w:szCs w:val="24"/>
          <w:lang w:val="sr-Cyrl-CS"/>
        </w:rPr>
        <w:t xml:space="preserve"> </w:t>
      </w:r>
      <w:r w:rsidRPr="00E84C93">
        <w:rPr>
          <w:rFonts w:cs="Times New Roman"/>
          <w:color w:val="000000"/>
          <w:szCs w:val="24"/>
          <w:lang w:val="sr-Cyrl-CS"/>
        </w:rPr>
        <w:t>08</w:t>
      </w:r>
      <w:r w:rsidR="00095A30" w:rsidRPr="00E84C93">
        <w:rPr>
          <w:rFonts w:cs="Times New Roman"/>
          <w:color w:val="000000"/>
          <w:szCs w:val="24"/>
          <w:lang w:val="sr-Cyrl-CS"/>
        </w:rPr>
        <w:t xml:space="preserve"> </w:t>
      </w:r>
      <w:r w:rsidRPr="00E84C93">
        <w:rPr>
          <w:rFonts w:cs="Times New Roman"/>
          <w:color w:val="000000"/>
          <w:szCs w:val="24"/>
          <w:lang w:val="sr-Cyrl-CS"/>
        </w:rPr>
        <w:t xml:space="preserve">05). </w:t>
      </w:r>
    </w:p>
    <w:p w14:paraId="0BBD42AA" w14:textId="4D4183E5" w:rsidR="008274EC" w:rsidRPr="00E84C93" w:rsidRDefault="008274EC" w:rsidP="008274EC">
      <w:pPr>
        <w:spacing w:after="0"/>
        <w:ind w:firstLine="720"/>
        <w:jc w:val="both"/>
        <w:rPr>
          <w:rFonts w:cs="Times New Roman"/>
          <w:szCs w:val="24"/>
          <w:lang w:val="sr-Cyrl-CS" w:bidi="en-US"/>
        </w:rPr>
      </w:pPr>
      <w:r w:rsidRPr="00E84C93">
        <w:rPr>
          <w:rFonts w:cs="Times New Roman"/>
          <w:szCs w:val="24"/>
          <w:lang w:val="sr-Cyrl-CS"/>
        </w:rPr>
        <w:t>Потребна је сарадња Министарства заштите животне средине, Аутономне покрајине</w:t>
      </w:r>
      <w:r w:rsidR="008B5FA6" w:rsidRPr="00E84C93">
        <w:rPr>
          <w:rFonts w:cs="Times New Roman"/>
          <w:szCs w:val="24"/>
          <w:lang w:val="sr-Cyrl-CS"/>
        </w:rPr>
        <w:t xml:space="preserve"> </w:t>
      </w:r>
      <w:r w:rsidRPr="00E84C93">
        <w:rPr>
          <w:rFonts w:cs="Times New Roman"/>
          <w:szCs w:val="24"/>
          <w:lang w:val="sr-Cyrl-CS"/>
        </w:rPr>
        <w:t>и јединица локалне самоуправе са оператерима ради праћења спровођења одговaрајућих мера за збрињавање отпада на овај начин.</w:t>
      </w:r>
    </w:p>
    <w:p w14:paraId="76B32FEC" w14:textId="77777777" w:rsidR="008274EC" w:rsidRPr="00E84C93" w:rsidRDefault="008274EC" w:rsidP="008274EC">
      <w:pPr>
        <w:spacing w:after="0"/>
        <w:ind w:firstLine="720"/>
        <w:jc w:val="both"/>
        <w:rPr>
          <w:rFonts w:cs="Times New Roman"/>
          <w:szCs w:val="24"/>
          <w:lang w:val="sr-Cyrl-CS" w:bidi="en-US"/>
        </w:rPr>
      </w:pPr>
      <w:r w:rsidRPr="00E84C93">
        <w:rPr>
          <w:rFonts w:cs="Times New Roman"/>
          <w:szCs w:val="24"/>
          <w:lang w:val="sr-Cyrl-CS" w:bidi="en-US"/>
        </w:rPr>
        <w:t>Потребно је наставити комуникацију са надлежним субјектима и уколико се створе услови за коинсинерацију муља у термоелектранама, то може бити још једна могућност коришћења муља у краткорочном периоду.</w:t>
      </w:r>
    </w:p>
    <w:p w14:paraId="53426B77" w14:textId="24266D19" w:rsidR="008274EC" w:rsidRPr="00E84C93" w:rsidRDefault="008274EC" w:rsidP="008274EC">
      <w:pPr>
        <w:spacing w:after="0"/>
        <w:ind w:firstLine="720"/>
        <w:jc w:val="both"/>
        <w:rPr>
          <w:rFonts w:cs="Times New Roman"/>
          <w:lang w:val="sr-Cyrl-CS" w:bidi="en-US"/>
        </w:rPr>
      </w:pPr>
      <w:r w:rsidRPr="00E84C93">
        <w:rPr>
          <w:rFonts w:cs="Times New Roman"/>
          <w:lang w:val="sr-Cyrl-CS" w:bidi="en-US"/>
        </w:rPr>
        <w:t xml:space="preserve">Како би се проблеми (у будућности) свели на минимум или избегли и како би се гарантовала висока оперативна флексибилност управљања муљем, за планирана постројења за пречишћавање отпадних вода у Кикинди, Пожаревцу, Јагодини, Трстенику, Пироту, Смедереву и Панчеву предвиђено </w:t>
      </w:r>
      <w:r w:rsidR="008B5FA6" w:rsidRPr="00E84C93">
        <w:rPr>
          <w:rFonts w:cs="Times New Roman"/>
          <w:lang w:val="sr-Cyrl-CS" w:bidi="en-US"/>
        </w:rPr>
        <w:t xml:space="preserve">је </w:t>
      </w:r>
      <w:r w:rsidRPr="00E84C93">
        <w:rPr>
          <w:rFonts w:cs="Times New Roman"/>
          <w:lang w:val="sr-Cyrl-CS" w:bidi="en-US"/>
        </w:rPr>
        <w:t xml:space="preserve">да буду опремљена објектима за соларно сушење. </w:t>
      </w:r>
    </w:p>
    <w:p w14:paraId="3621A273" w14:textId="77777777" w:rsidR="008274EC" w:rsidRPr="00E84C93" w:rsidRDefault="008274EC" w:rsidP="008274EC">
      <w:pPr>
        <w:spacing w:after="0"/>
        <w:ind w:firstLine="720"/>
        <w:jc w:val="both"/>
        <w:rPr>
          <w:rFonts w:cs="Times New Roman"/>
          <w:szCs w:val="24"/>
          <w:lang w:val="sr-Cyrl-CS" w:bidi="en-US"/>
        </w:rPr>
      </w:pPr>
      <w:r w:rsidRPr="00E84C93">
        <w:rPr>
          <w:rFonts w:cs="Times New Roman"/>
          <w:szCs w:val="24"/>
          <w:lang w:val="sr-Cyrl-CS" w:bidi="en-US"/>
        </w:rPr>
        <w:t xml:space="preserve">Потребно је </w:t>
      </w:r>
      <w:r w:rsidRPr="00E84C93">
        <w:rPr>
          <w:rFonts w:cs="Times New Roman"/>
          <w:color w:val="000000"/>
          <w:szCs w:val="24"/>
          <w:lang w:val="sr-Cyrl-CS"/>
        </w:rPr>
        <w:t>дефинисати све кораке које треба да предузму оператер постројења за пречишћавање отпадних вода или ЈКП и фабрика цемента у циљу спровођења коинсинерације муља.</w:t>
      </w:r>
    </w:p>
    <w:p w14:paraId="4361F709" w14:textId="656DB956" w:rsidR="008274EC" w:rsidRPr="00E84C93" w:rsidRDefault="008274EC" w:rsidP="008274EC">
      <w:pPr>
        <w:spacing w:after="0"/>
        <w:ind w:firstLine="720"/>
        <w:jc w:val="both"/>
        <w:rPr>
          <w:rFonts w:cs="Times New Roman"/>
          <w:szCs w:val="24"/>
          <w:lang w:val="sr-Cyrl-CS" w:eastAsia="en-GB"/>
        </w:rPr>
      </w:pPr>
      <w:r w:rsidRPr="00E84C93">
        <w:rPr>
          <w:rFonts w:cs="Times New Roman"/>
          <w:b/>
          <w:bCs/>
          <w:szCs w:val="24"/>
          <w:lang w:val="sr-Cyrl-CS" w:eastAsia="en-GB"/>
        </w:rPr>
        <w:lastRenderedPageBreak/>
        <w:t>Институције одговорне за реализацију:</w:t>
      </w:r>
      <w:r w:rsidRPr="00E84C93">
        <w:rPr>
          <w:rFonts w:cs="Times New Roman"/>
          <w:szCs w:val="24"/>
          <w:lang w:val="sr-Cyrl-CS" w:eastAsia="en-GB"/>
        </w:rPr>
        <w:t xml:space="preserve"> Министарство</w:t>
      </w:r>
      <w:r w:rsidRPr="00E84C93">
        <w:rPr>
          <w:szCs w:val="24"/>
          <w:lang w:val="sr-Cyrl-CS" w:eastAsia="en-GB"/>
        </w:rPr>
        <w:t xml:space="preserve"> заштите животне средине</w:t>
      </w:r>
      <w:r w:rsidRPr="00E84C93">
        <w:rPr>
          <w:rFonts w:cs="Times New Roman"/>
          <w:szCs w:val="24"/>
          <w:lang w:val="sr-Cyrl-CS" w:eastAsia="en-GB"/>
        </w:rPr>
        <w:t>, Аутономна покрајина, јединице локалне самоуправе.</w:t>
      </w:r>
    </w:p>
    <w:p w14:paraId="204EE545" w14:textId="77777777" w:rsidR="008274EC" w:rsidRPr="00E84C93" w:rsidRDefault="008274EC" w:rsidP="008274EC">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јавна комунална предузећа,</w:t>
      </w:r>
      <w:r w:rsidRPr="00E84C93">
        <w:rPr>
          <w:rFonts w:ascii="Times New Roman" w:hAnsi="Times New Roman" w:cs="Times New Roman"/>
          <w:bCs/>
          <w:sz w:val="24"/>
          <w:szCs w:val="24"/>
          <w:lang w:val="sr-Cyrl-CS" w:eastAsia="en-GB"/>
        </w:rPr>
        <w:t xml:space="preserve"> оператери постројења за пречишћавање отпадних вода, фабрике цемента</w:t>
      </w:r>
      <w:r w:rsidRPr="00E84C93">
        <w:rPr>
          <w:rFonts w:ascii="Times New Roman" w:hAnsi="Times New Roman" w:cs="Times New Roman"/>
          <w:b/>
          <w:bCs/>
          <w:sz w:val="24"/>
          <w:szCs w:val="24"/>
          <w:lang w:val="sr-Cyrl-CS" w:eastAsia="en-GB"/>
        </w:rPr>
        <w:t xml:space="preserve"> </w:t>
      </w:r>
    </w:p>
    <w:p w14:paraId="0DBE491C" w14:textId="25EEB205" w:rsidR="008274EC" w:rsidRPr="00E84C93" w:rsidRDefault="008274EC" w:rsidP="008274EC">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пружање услуга (ОДПУ)</w:t>
      </w:r>
    </w:p>
    <w:p w14:paraId="0C7B9516" w14:textId="6AF67639" w:rsidR="000B0E40" w:rsidRPr="00E84C93" w:rsidRDefault="000B0E40" w:rsidP="000B0E40">
      <w:pPr>
        <w:spacing w:after="0"/>
        <w:rPr>
          <w:rFonts w:cs="Times New Roman"/>
          <w:bCs/>
          <w:lang w:val="sr-Cyrl-CS" w:bidi="en-US"/>
        </w:rPr>
      </w:pPr>
    </w:p>
    <w:p w14:paraId="7C131DB1" w14:textId="77777777" w:rsidR="000B0E40" w:rsidRPr="00E84C93" w:rsidRDefault="000B0E40" w:rsidP="000B0E40">
      <w:pPr>
        <w:pBdr>
          <w:top w:val="single" w:sz="4" w:space="1" w:color="auto"/>
          <w:left w:val="single" w:sz="4" w:space="4" w:color="auto"/>
          <w:bottom w:val="single" w:sz="4" w:space="1" w:color="auto"/>
          <w:right w:val="single" w:sz="4" w:space="4" w:color="auto"/>
        </w:pBdr>
        <w:spacing w:after="0" w:line="264" w:lineRule="auto"/>
        <w:jc w:val="both"/>
        <w:rPr>
          <w:szCs w:val="24"/>
          <w:lang w:val="sr-Cyrl-CS" w:eastAsia="en-GB"/>
        </w:rPr>
      </w:pPr>
      <w:r w:rsidRPr="00E84C93">
        <w:rPr>
          <w:b/>
          <w:bCs/>
          <w:szCs w:val="24"/>
          <w:lang w:val="sr-Cyrl-CS" w:eastAsia="en-GB"/>
        </w:rPr>
        <w:t xml:space="preserve">Мера 2.4. Збрињавање муља </w:t>
      </w:r>
      <w:r w:rsidRPr="00E84C93">
        <w:rPr>
          <w:rFonts w:cs="Times New Roman"/>
          <w:b/>
          <w:lang w:val="sr-Cyrl-CS" w:bidi="en-US"/>
        </w:rPr>
        <w:t xml:space="preserve">одлагањем у посебним касетама на регионалним санитарним депонијама </w:t>
      </w:r>
    </w:p>
    <w:p w14:paraId="0467120E" w14:textId="77777777" w:rsidR="000B0E40" w:rsidRPr="00E84C93" w:rsidRDefault="000B0E40" w:rsidP="000B0E40">
      <w:pPr>
        <w:pStyle w:val="ListParagraph"/>
        <w:spacing w:after="0"/>
        <w:ind w:left="1791"/>
        <w:contextualSpacing w:val="0"/>
        <w:jc w:val="both"/>
        <w:rPr>
          <w:rFonts w:cs="Times New Roman"/>
          <w:lang w:val="sr-Cyrl-CS" w:bidi="en-US"/>
        </w:rPr>
      </w:pPr>
    </w:p>
    <w:p w14:paraId="012C5538" w14:textId="5608693E" w:rsidR="000B0E40" w:rsidRPr="00E84C93" w:rsidRDefault="000B0E40" w:rsidP="000B0E40">
      <w:pPr>
        <w:spacing w:after="0"/>
        <w:ind w:firstLine="714"/>
        <w:jc w:val="both"/>
        <w:rPr>
          <w:rFonts w:cs="Times New Roman"/>
          <w:szCs w:val="24"/>
          <w:lang w:val="sr-Cyrl-CS"/>
        </w:rPr>
      </w:pPr>
      <w:r w:rsidRPr="00E84C93">
        <w:rPr>
          <w:rFonts w:cs="Times New Roman"/>
          <w:szCs w:val="24"/>
          <w:lang w:val="sr-Cyrl-CS"/>
        </w:rPr>
        <w:t xml:space="preserve">Одлагање муља из постројења за пречишћавање отпадних вода се постепено укида у већини земаља чланица ЕУ. Међутим, у Републици Србији одлагање муља на депоније може представљати </w:t>
      </w:r>
      <w:r w:rsidR="007E3E37" w:rsidRPr="00E84C93">
        <w:rPr>
          <w:rFonts w:cs="Times New Roman"/>
          <w:szCs w:val="24"/>
          <w:lang w:val="sr-Cyrl-CS"/>
        </w:rPr>
        <w:t xml:space="preserve">само </w:t>
      </w:r>
      <w:r w:rsidRPr="00E84C93">
        <w:rPr>
          <w:rFonts w:cs="Times New Roman"/>
          <w:szCs w:val="24"/>
          <w:lang w:val="sr-Cyrl-CS"/>
        </w:rPr>
        <w:t>краткорочну привремену меру за збрињавање муља, у случају да:</w:t>
      </w:r>
    </w:p>
    <w:p w14:paraId="1CCDE651" w14:textId="5197B167" w:rsidR="000B0E40" w:rsidRPr="00E84C93" w:rsidRDefault="000B0E40" w:rsidP="00DD44A4">
      <w:pPr>
        <w:pStyle w:val="ListParagraph"/>
        <w:numPr>
          <w:ilvl w:val="0"/>
          <w:numId w:val="31"/>
        </w:numPr>
        <w:spacing w:after="0"/>
        <w:ind w:left="0" w:firstLine="720"/>
        <w:contextualSpacing w:val="0"/>
        <w:jc w:val="both"/>
        <w:rPr>
          <w:rFonts w:cs="Times New Roman"/>
          <w:szCs w:val="24"/>
          <w:lang w:val="sr-Cyrl-CS" w:bidi="en-US"/>
        </w:rPr>
      </w:pPr>
      <w:r w:rsidRPr="00E84C93">
        <w:rPr>
          <w:rFonts w:cs="Times New Roman"/>
          <w:szCs w:val="24"/>
          <w:lang w:val="sr-Cyrl-CS" w:bidi="en-US"/>
        </w:rPr>
        <w:t xml:space="preserve">још увек није могуће спровести друге могућности управљања муљем, нпр. у случају неспремности </w:t>
      </w:r>
      <w:r w:rsidR="00D010D1" w:rsidRPr="00E84C93">
        <w:rPr>
          <w:rFonts w:cs="Times New Roman"/>
          <w:szCs w:val="24"/>
          <w:lang w:val="sr-Cyrl-CS" w:bidi="en-US"/>
        </w:rPr>
        <w:t>моно</w:t>
      </w:r>
      <w:r w:rsidRPr="00E84C93">
        <w:rPr>
          <w:rFonts w:cs="Times New Roman"/>
          <w:szCs w:val="24"/>
          <w:lang w:val="sr-Cyrl-CS" w:bidi="en-US"/>
        </w:rPr>
        <w:t>депонија или других опција</w:t>
      </w:r>
      <w:r w:rsidR="00B5132E" w:rsidRPr="00E84C93">
        <w:rPr>
          <w:rFonts w:cs="Times New Roman"/>
          <w:szCs w:val="24"/>
          <w:lang w:val="sr-Cyrl-CS" w:bidi="en-US"/>
        </w:rPr>
        <w:t>;</w:t>
      </w:r>
    </w:p>
    <w:p w14:paraId="220961E8" w14:textId="34F88588" w:rsidR="000B0E40" w:rsidRPr="00E84C93" w:rsidRDefault="000B0E40" w:rsidP="00DD44A4">
      <w:pPr>
        <w:pStyle w:val="ListParagraph"/>
        <w:numPr>
          <w:ilvl w:val="0"/>
          <w:numId w:val="31"/>
        </w:numPr>
        <w:spacing w:after="0"/>
        <w:ind w:left="0" w:firstLine="720"/>
        <w:contextualSpacing w:val="0"/>
        <w:jc w:val="both"/>
        <w:rPr>
          <w:rFonts w:cs="Times New Roman"/>
          <w:szCs w:val="24"/>
          <w:lang w:val="sr-Cyrl-CS" w:bidi="en-US"/>
        </w:rPr>
      </w:pPr>
      <w:r w:rsidRPr="00E84C93">
        <w:rPr>
          <w:rFonts w:cs="Times New Roman"/>
          <w:szCs w:val="24"/>
          <w:lang w:val="sr-Cyrl-CS" w:bidi="en-US"/>
        </w:rPr>
        <w:t>квалитет муља не одговара дефинисаним параметрима, посебно у случају употребе у пољопривреди</w:t>
      </w:r>
      <w:r w:rsidR="00B5132E" w:rsidRPr="00E84C93">
        <w:rPr>
          <w:rFonts w:cs="Times New Roman"/>
          <w:szCs w:val="24"/>
          <w:lang w:val="sr-Cyrl-CS" w:bidi="en-US"/>
        </w:rPr>
        <w:t>;</w:t>
      </w:r>
    </w:p>
    <w:p w14:paraId="5CFDD443" w14:textId="2C0B7416" w:rsidR="000B0E40" w:rsidRPr="00E84C93" w:rsidRDefault="000B0E40" w:rsidP="00DD44A4">
      <w:pPr>
        <w:pStyle w:val="ListParagraph"/>
        <w:numPr>
          <w:ilvl w:val="0"/>
          <w:numId w:val="31"/>
        </w:numPr>
        <w:spacing w:after="0"/>
        <w:ind w:left="0" w:firstLine="720"/>
        <w:contextualSpacing w:val="0"/>
        <w:jc w:val="both"/>
        <w:rPr>
          <w:rFonts w:cs="Times New Roman"/>
          <w:szCs w:val="24"/>
          <w:lang w:val="sr-Cyrl-CS" w:bidi="en-US"/>
        </w:rPr>
      </w:pPr>
      <w:r w:rsidRPr="00E84C93">
        <w:rPr>
          <w:rFonts w:cs="Times New Roman"/>
          <w:szCs w:val="24"/>
          <w:lang w:val="sr-Cyrl-CS" w:bidi="en-US"/>
        </w:rPr>
        <w:t xml:space="preserve">неприхватање </w:t>
      </w:r>
      <w:r w:rsidRPr="00E84C93">
        <w:rPr>
          <w:rFonts w:cs="Times New Roman"/>
          <w:szCs w:val="24"/>
          <w:lang w:val="sr-Cyrl-CS"/>
        </w:rPr>
        <w:t xml:space="preserve">муља из постројења за пречишћавање отпадних вода </w:t>
      </w:r>
      <w:r w:rsidRPr="00E84C93">
        <w:rPr>
          <w:rFonts w:cs="Times New Roman"/>
          <w:szCs w:val="24"/>
          <w:lang w:val="sr-Cyrl-CS" w:bidi="en-US"/>
        </w:rPr>
        <w:t>од стране пољопривредне заједнице</w:t>
      </w:r>
      <w:r w:rsidR="00B5132E" w:rsidRPr="00E84C93">
        <w:rPr>
          <w:rFonts w:cs="Times New Roman"/>
          <w:szCs w:val="24"/>
          <w:lang w:val="sr-Cyrl-CS" w:bidi="en-US"/>
        </w:rPr>
        <w:t>;</w:t>
      </w:r>
    </w:p>
    <w:p w14:paraId="10C501C5" w14:textId="77777777" w:rsidR="000B0E40" w:rsidRPr="00E84C93" w:rsidRDefault="000B0E40" w:rsidP="00DD44A4">
      <w:pPr>
        <w:pStyle w:val="ListParagraph"/>
        <w:numPr>
          <w:ilvl w:val="0"/>
          <w:numId w:val="31"/>
        </w:numPr>
        <w:spacing w:after="0"/>
        <w:ind w:left="0" w:firstLine="720"/>
        <w:contextualSpacing w:val="0"/>
        <w:jc w:val="both"/>
        <w:rPr>
          <w:rFonts w:cs="Times New Roman"/>
          <w:szCs w:val="24"/>
          <w:lang w:val="sr-Cyrl-CS" w:bidi="en-US"/>
        </w:rPr>
      </w:pPr>
      <w:r w:rsidRPr="00E84C93">
        <w:rPr>
          <w:rFonts w:cs="Times New Roman"/>
          <w:szCs w:val="24"/>
          <w:lang w:val="sr-Cyrl-CS" w:bidi="en-US"/>
        </w:rPr>
        <w:t>недостатак привремених складишних капацитета на локацији постројења за пречишћавање отпадних вода.</w:t>
      </w:r>
    </w:p>
    <w:p w14:paraId="70E1A241" w14:textId="77777777" w:rsidR="000B0E40" w:rsidRPr="00E84C93" w:rsidRDefault="000B0E40" w:rsidP="000B0E40">
      <w:pPr>
        <w:spacing w:after="0"/>
        <w:ind w:firstLine="720"/>
        <w:jc w:val="both"/>
        <w:rPr>
          <w:rFonts w:cs="Times New Roman"/>
          <w:szCs w:val="24"/>
          <w:lang w:val="sr-Cyrl-CS"/>
        </w:rPr>
      </w:pPr>
      <w:r w:rsidRPr="00E84C93">
        <w:rPr>
          <w:rFonts w:cs="Times New Roman"/>
          <w:szCs w:val="24"/>
          <w:lang w:val="sr-Cyrl-CS"/>
        </w:rPr>
        <w:t xml:space="preserve">За одлагање муља на депонију, уместо његовог искоришћења, потребно је показати да је ова опција последње решење и да су све друге потенцијалне могућности испитане и недоступне. </w:t>
      </w:r>
    </w:p>
    <w:p w14:paraId="62C3E6C3" w14:textId="65201110" w:rsidR="000B0E40" w:rsidRPr="00E84C93" w:rsidRDefault="00C2753B" w:rsidP="005C3720">
      <w:pPr>
        <w:spacing w:after="0"/>
        <w:ind w:firstLine="720"/>
        <w:jc w:val="both"/>
        <w:rPr>
          <w:rFonts w:cs="Times New Roman"/>
          <w:lang w:val="sr-Cyrl-CS" w:bidi="en-US"/>
        </w:rPr>
      </w:pPr>
      <w:r w:rsidRPr="00E84C93">
        <w:rPr>
          <w:rFonts w:cs="Times New Roman"/>
          <w:szCs w:val="24"/>
          <w:lang w:val="sr-Cyrl-CS" w:bidi="en-US"/>
        </w:rPr>
        <w:t>Потребно</w:t>
      </w:r>
      <w:r w:rsidR="005C3720" w:rsidRPr="00E84C93">
        <w:rPr>
          <w:rFonts w:cs="Times New Roman"/>
          <w:szCs w:val="24"/>
          <w:lang w:val="sr-Cyrl-CS" w:bidi="en-US"/>
        </w:rPr>
        <w:t xml:space="preserve"> je </w:t>
      </w:r>
      <w:r w:rsidRPr="00E84C93">
        <w:rPr>
          <w:rFonts w:cs="Times New Roman"/>
          <w:szCs w:val="24"/>
          <w:lang w:val="sr-Cyrl-CS" w:bidi="en-US"/>
        </w:rPr>
        <w:t xml:space="preserve">размотрити </w:t>
      </w:r>
      <w:r w:rsidR="005C3720" w:rsidRPr="00E84C93">
        <w:rPr>
          <w:rFonts w:cs="Times New Roman"/>
          <w:szCs w:val="24"/>
          <w:lang w:val="sr-Cyrl-CS" w:bidi="en-US"/>
        </w:rPr>
        <w:t>третман муља пре одлагања на депонију у складу са критеријумима за прихватање отпада.</w:t>
      </w:r>
      <w:r w:rsidR="000B0E40" w:rsidRPr="00E84C93">
        <w:rPr>
          <w:rFonts w:cs="Times New Roman"/>
          <w:lang w:val="sr-Cyrl-CS" w:bidi="en-US"/>
        </w:rPr>
        <w:t xml:space="preserve"> </w:t>
      </w:r>
    </w:p>
    <w:p w14:paraId="1078B2BD" w14:textId="77777777" w:rsidR="000B0E40" w:rsidRPr="00E84C93" w:rsidRDefault="000B0E40" w:rsidP="000B0E40">
      <w:pPr>
        <w:pStyle w:val="ListParagraph"/>
        <w:spacing w:after="0"/>
        <w:ind w:left="0" w:firstLine="714"/>
        <w:contextualSpacing w:val="0"/>
        <w:jc w:val="both"/>
        <w:rPr>
          <w:rFonts w:cs="Times New Roman"/>
          <w:szCs w:val="24"/>
          <w:lang w:val="sr-Cyrl-CS" w:bidi="en-US"/>
        </w:rPr>
      </w:pPr>
      <w:r w:rsidRPr="00E84C93">
        <w:rPr>
          <w:rFonts w:eastAsia="Calibri" w:cs="Times New Roman"/>
          <w:szCs w:val="24"/>
          <w:lang w:val="sr-Cyrl-CS"/>
        </w:rPr>
        <w:t xml:space="preserve">Неколико регионалних санитарних депонија већ поседује дозволу за прихват </w:t>
      </w:r>
      <w:r w:rsidRPr="00E84C93">
        <w:rPr>
          <w:rFonts w:cs="Times New Roman"/>
          <w:szCs w:val="24"/>
          <w:lang w:val="sr-Cyrl-CS"/>
        </w:rPr>
        <w:t>муља из постројења за пречишћавање отпадних вода</w:t>
      </w:r>
      <w:r w:rsidRPr="00E84C93">
        <w:rPr>
          <w:rFonts w:eastAsia="Calibri" w:cs="Times New Roman"/>
          <w:szCs w:val="24"/>
          <w:lang w:val="sr-Cyrl-CS"/>
        </w:rPr>
        <w:t>, као на пример:</w:t>
      </w:r>
    </w:p>
    <w:p w14:paraId="016DC5B8" w14:textId="7E94DC71" w:rsidR="000B0E40" w:rsidRPr="00E84C93" w:rsidRDefault="000B0E40" w:rsidP="00D75873">
      <w:pPr>
        <w:pStyle w:val="ListParagraph"/>
        <w:numPr>
          <w:ilvl w:val="0"/>
          <w:numId w:val="28"/>
        </w:numPr>
        <w:spacing w:after="0"/>
        <w:jc w:val="both"/>
        <w:rPr>
          <w:rFonts w:eastAsia="Calibri" w:cs="Times New Roman"/>
          <w:szCs w:val="24"/>
          <w:lang w:val="sr-Cyrl-CS"/>
        </w:rPr>
      </w:pPr>
      <w:r w:rsidRPr="00E84C93">
        <w:rPr>
          <w:rFonts w:cs="Times New Roman"/>
          <w:szCs w:val="24"/>
          <w:lang w:val="sr-Cyrl-CS"/>
        </w:rPr>
        <w:t xml:space="preserve">регионална санитарна депонија </w:t>
      </w:r>
      <w:r w:rsidRPr="00E84C93">
        <w:rPr>
          <w:rFonts w:eastAsia="Calibri" w:cs="Times New Roman"/>
          <w:szCs w:val="24"/>
          <w:lang w:val="sr-Cyrl-CS"/>
        </w:rPr>
        <w:t>„Гигош” Јагодина</w:t>
      </w:r>
      <w:r w:rsidR="00680B9A" w:rsidRPr="00E84C93">
        <w:rPr>
          <w:rFonts w:eastAsia="Calibri" w:cs="Times New Roman"/>
          <w:szCs w:val="24"/>
          <w:lang w:val="sr-Cyrl-CS"/>
        </w:rPr>
        <w:t>;</w:t>
      </w:r>
    </w:p>
    <w:p w14:paraId="6B46DB23" w14:textId="642016DB" w:rsidR="000B0E40" w:rsidRPr="00E84C93" w:rsidRDefault="000B0E40" w:rsidP="00D75873">
      <w:pPr>
        <w:pStyle w:val="ListParagraph"/>
        <w:numPr>
          <w:ilvl w:val="0"/>
          <w:numId w:val="28"/>
        </w:numPr>
        <w:spacing w:after="0"/>
        <w:jc w:val="both"/>
        <w:rPr>
          <w:rFonts w:eastAsia="Calibri" w:cs="Times New Roman"/>
          <w:szCs w:val="24"/>
          <w:lang w:val="sr-Cyrl-CS"/>
        </w:rPr>
      </w:pPr>
      <w:r w:rsidRPr="00E84C93">
        <w:rPr>
          <w:rFonts w:cs="Times New Roman"/>
          <w:szCs w:val="24"/>
          <w:lang w:val="sr-Cyrl-CS"/>
        </w:rPr>
        <w:t xml:space="preserve">регионална санитарна депонија </w:t>
      </w:r>
      <w:r w:rsidRPr="00E84C93">
        <w:rPr>
          <w:rFonts w:eastAsia="Calibri" w:cs="Times New Roman"/>
          <w:szCs w:val="24"/>
          <w:lang w:val="sr-Cyrl-CS"/>
        </w:rPr>
        <w:t>„Врбак”, Лапово</w:t>
      </w:r>
      <w:r w:rsidR="00680B9A" w:rsidRPr="00E84C93">
        <w:rPr>
          <w:rFonts w:eastAsia="Calibri" w:cs="Times New Roman"/>
          <w:szCs w:val="24"/>
          <w:lang w:val="sr-Cyrl-CS"/>
        </w:rPr>
        <w:t>;</w:t>
      </w:r>
    </w:p>
    <w:p w14:paraId="1851CFDF" w14:textId="26A3A0EF" w:rsidR="000B0E40" w:rsidRPr="00E84C93" w:rsidRDefault="000B0E40" w:rsidP="00D75873">
      <w:pPr>
        <w:pStyle w:val="ListParagraph"/>
        <w:numPr>
          <w:ilvl w:val="0"/>
          <w:numId w:val="28"/>
        </w:numPr>
        <w:spacing w:after="0"/>
        <w:jc w:val="both"/>
        <w:rPr>
          <w:rFonts w:eastAsia="Calibri" w:cs="Times New Roman"/>
          <w:szCs w:val="24"/>
          <w:lang w:val="sr-Cyrl-CS"/>
        </w:rPr>
      </w:pPr>
      <w:r w:rsidRPr="00E84C93">
        <w:rPr>
          <w:rFonts w:cs="Times New Roman"/>
          <w:szCs w:val="24"/>
          <w:lang w:val="sr-Cyrl-CS"/>
        </w:rPr>
        <w:t xml:space="preserve">регионална санитарна депонија </w:t>
      </w:r>
      <w:r w:rsidRPr="00E84C93">
        <w:rPr>
          <w:rFonts w:eastAsia="Calibri" w:cs="Times New Roman"/>
          <w:szCs w:val="24"/>
          <w:lang w:val="sr-Cyrl-CS"/>
        </w:rPr>
        <w:t>„Дубоко”, Ужице</w:t>
      </w:r>
      <w:r w:rsidR="00680B9A" w:rsidRPr="00E84C93">
        <w:rPr>
          <w:rFonts w:eastAsia="Calibri" w:cs="Times New Roman"/>
          <w:szCs w:val="24"/>
          <w:lang w:val="sr-Cyrl-CS"/>
        </w:rPr>
        <w:t>;</w:t>
      </w:r>
    </w:p>
    <w:p w14:paraId="15A04A4C" w14:textId="7B3DDCD6" w:rsidR="000B0E40" w:rsidRPr="00E84C93" w:rsidRDefault="000B0E40" w:rsidP="00680B9A">
      <w:pPr>
        <w:pStyle w:val="ListParagraph"/>
        <w:numPr>
          <w:ilvl w:val="0"/>
          <w:numId w:val="28"/>
        </w:numPr>
        <w:spacing w:after="0"/>
        <w:ind w:left="0" w:firstLine="714"/>
        <w:jc w:val="both"/>
        <w:rPr>
          <w:rFonts w:eastAsia="Calibri" w:cs="Times New Roman"/>
          <w:szCs w:val="24"/>
          <w:lang w:val="sr-Cyrl-CS"/>
        </w:rPr>
      </w:pPr>
      <w:r w:rsidRPr="00E84C93">
        <w:rPr>
          <w:rFonts w:cs="Times New Roman"/>
          <w:szCs w:val="24"/>
          <w:lang w:val="sr-Cyrl-CS"/>
        </w:rPr>
        <w:t xml:space="preserve">регионална санитарна депонија </w:t>
      </w:r>
      <w:r w:rsidRPr="00E84C93">
        <w:rPr>
          <w:rFonts w:eastAsia="Calibri" w:cs="Times New Roman"/>
          <w:szCs w:val="24"/>
          <w:lang w:val="sr-Cyrl-CS"/>
        </w:rPr>
        <w:t>„Жељковац-Д2”, Лесковац, (</w:t>
      </w:r>
      <w:r w:rsidRPr="00E84C93">
        <w:rPr>
          <w:rFonts w:cs="Times New Roman"/>
          <w:szCs w:val="24"/>
          <w:lang w:val="sr-Cyrl-CS" w:bidi="en-US"/>
        </w:rPr>
        <w:t>биће изграђен посебан складишни капацитет за одлагање муља)</w:t>
      </w:r>
      <w:r w:rsidR="00680B9A" w:rsidRPr="00E84C93">
        <w:rPr>
          <w:rFonts w:cs="Times New Roman"/>
          <w:szCs w:val="24"/>
          <w:lang w:val="sr-Cyrl-CS" w:bidi="en-US"/>
        </w:rPr>
        <w:t>;</w:t>
      </w:r>
    </w:p>
    <w:p w14:paraId="414F067F" w14:textId="77777777" w:rsidR="000B0E40" w:rsidRPr="00E84C93" w:rsidRDefault="000B0E40" w:rsidP="00D75873">
      <w:pPr>
        <w:pStyle w:val="ListParagraph"/>
        <w:numPr>
          <w:ilvl w:val="0"/>
          <w:numId w:val="28"/>
        </w:numPr>
        <w:spacing w:after="0"/>
        <w:jc w:val="both"/>
        <w:rPr>
          <w:rFonts w:eastAsia="Calibri" w:cs="Times New Roman"/>
          <w:szCs w:val="24"/>
          <w:lang w:val="sr-Cyrl-CS"/>
        </w:rPr>
      </w:pPr>
      <w:r w:rsidRPr="00E84C93">
        <w:rPr>
          <w:rFonts w:cs="Times New Roman"/>
          <w:szCs w:val="24"/>
          <w:lang w:val="sr-Cyrl-CS"/>
        </w:rPr>
        <w:t xml:space="preserve">регионална санитарна депонија </w:t>
      </w:r>
      <w:r w:rsidRPr="00E84C93">
        <w:rPr>
          <w:rFonts w:eastAsia="Calibri" w:cs="Times New Roman"/>
          <w:szCs w:val="24"/>
          <w:lang w:val="sr-Cyrl-CS"/>
        </w:rPr>
        <w:t>„Мунтина падина”, Пирот.</w:t>
      </w:r>
    </w:p>
    <w:p w14:paraId="7FF6AC40" w14:textId="77777777" w:rsidR="000B0E40" w:rsidRPr="00E84C93" w:rsidRDefault="000B0E40" w:rsidP="000B0E40">
      <w:pPr>
        <w:spacing w:after="0"/>
        <w:ind w:firstLine="714"/>
        <w:jc w:val="both"/>
        <w:rPr>
          <w:rFonts w:cs="Times New Roman"/>
          <w:color w:val="000000"/>
          <w:szCs w:val="24"/>
          <w:lang w:val="sr-Cyrl-CS"/>
        </w:rPr>
      </w:pPr>
      <w:r w:rsidRPr="00E84C93">
        <w:rPr>
          <w:rFonts w:cs="Times New Roman"/>
          <w:color w:val="000000"/>
          <w:szCs w:val="24"/>
          <w:lang w:val="sr-Cyrl-CS"/>
        </w:rPr>
        <w:t>За примену овог решења, потребно је да оператери постројења за пречишћавање отпадних вода закључе споразуме са оператерима депонија.</w:t>
      </w:r>
    </w:p>
    <w:p w14:paraId="353B18D9" w14:textId="35FED8FC" w:rsidR="000B0E40" w:rsidRPr="00E84C93" w:rsidRDefault="000B0E40" w:rsidP="000B0E40">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реализацију: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00680B9A" w:rsidRPr="00E84C93">
        <w:rPr>
          <w:rFonts w:cs="Times New Roman"/>
          <w:szCs w:val="24"/>
          <w:lang w:val="sr-Cyrl-CS" w:eastAsia="en-GB"/>
        </w:rPr>
        <w:t>, АП</w:t>
      </w:r>
      <w:r w:rsidRPr="00E84C93">
        <w:rPr>
          <w:rFonts w:cs="Times New Roman"/>
          <w:szCs w:val="24"/>
          <w:lang w:val="sr-Cyrl-CS" w:eastAsia="en-GB"/>
        </w:rPr>
        <w:t xml:space="preserve">, јединице локалне самоуправе </w:t>
      </w:r>
    </w:p>
    <w:p w14:paraId="37351194" w14:textId="77777777" w:rsidR="000B0E40" w:rsidRPr="00E84C93" w:rsidRDefault="000B0E40" w:rsidP="000B0E40">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Cs/>
          <w:sz w:val="24"/>
          <w:szCs w:val="24"/>
          <w:lang w:val="sr-Cyrl-CS" w:eastAsia="en-GB"/>
        </w:rPr>
        <w:t>Министарство финансија</w:t>
      </w:r>
      <w:r w:rsidRPr="00E84C93">
        <w:rPr>
          <w:rFonts w:ascii="Times New Roman" w:hAnsi="Times New Roman" w:cs="Times New Roman"/>
          <w:b/>
          <w:bCs/>
          <w:sz w:val="24"/>
          <w:szCs w:val="24"/>
          <w:lang w:val="sr-Cyrl-CS" w:eastAsia="en-GB"/>
        </w:rPr>
        <w:t xml:space="preserve"> </w:t>
      </w:r>
    </w:p>
    <w:p w14:paraId="09F01EF4" w14:textId="77777777" w:rsidR="000B0E40" w:rsidRPr="00E84C93" w:rsidRDefault="000B0E40" w:rsidP="000B0E40">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пружање услуга (ОДПУ)</w:t>
      </w:r>
    </w:p>
    <w:p w14:paraId="44D6E5F6" w14:textId="6CF8D875" w:rsidR="000B0E40" w:rsidRPr="00E84C93" w:rsidRDefault="000B0E40" w:rsidP="00347E2C">
      <w:pPr>
        <w:spacing w:after="0"/>
        <w:rPr>
          <w:rFonts w:cs="Times New Roman"/>
          <w:bCs/>
          <w:lang w:val="sr-Cyrl-CS" w:bidi="en-US"/>
        </w:rPr>
      </w:pPr>
    </w:p>
    <w:p w14:paraId="6A04986A" w14:textId="1CA1B4D0" w:rsidR="008915DE" w:rsidRPr="00E84C93" w:rsidRDefault="008915DE" w:rsidP="00BC0EB7">
      <w:pPr>
        <w:keepNext/>
        <w:pBdr>
          <w:top w:val="single" w:sz="4" w:space="1" w:color="auto"/>
          <w:left w:val="single" w:sz="4" w:space="4" w:color="auto"/>
          <w:bottom w:val="single" w:sz="4" w:space="1" w:color="auto"/>
          <w:right w:val="single" w:sz="4" w:space="4" w:color="auto"/>
        </w:pBdr>
        <w:tabs>
          <w:tab w:val="left" w:pos="720"/>
          <w:tab w:val="left" w:pos="3119"/>
        </w:tabs>
        <w:spacing w:after="60"/>
        <w:jc w:val="both"/>
        <w:rPr>
          <w:rFonts w:cs="Times New Roman"/>
          <w:b/>
          <w:bCs/>
          <w:iCs/>
          <w:color w:val="2E74B5" w:themeColor="accent1" w:themeShade="BF"/>
          <w:szCs w:val="24"/>
          <w:lang w:val="sr-Cyrl-CS"/>
        </w:rPr>
      </w:pPr>
      <w:r w:rsidRPr="00E84C93">
        <w:rPr>
          <w:rFonts w:cs="Times New Roman"/>
          <w:b/>
          <w:bCs/>
          <w:iCs/>
          <w:color w:val="2E74B5" w:themeColor="accent1" w:themeShade="BF"/>
          <w:szCs w:val="24"/>
          <w:lang w:val="sr-Cyrl-CS"/>
        </w:rPr>
        <w:t xml:space="preserve">Посебан циљ </w:t>
      </w:r>
      <w:r w:rsidR="00A66922" w:rsidRPr="00E84C93">
        <w:rPr>
          <w:rFonts w:cs="Times New Roman"/>
          <w:b/>
          <w:bCs/>
          <w:iCs/>
          <w:color w:val="2E74B5" w:themeColor="accent1" w:themeShade="BF"/>
          <w:szCs w:val="24"/>
          <w:lang w:val="sr-Cyrl-CS"/>
        </w:rPr>
        <w:t>3</w:t>
      </w:r>
      <w:r w:rsidRPr="00E84C93">
        <w:rPr>
          <w:rFonts w:cs="Times New Roman"/>
          <w:b/>
          <w:bCs/>
          <w:iCs/>
          <w:color w:val="2E74B5" w:themeColor="accent1" w:themeShade="BF"/>
          <w:szCs w:val="24"/>
          <w:lang w:val="sr-Cyrl-CS"/>
        </w:rPr>
        <w:t xml:space="preserve">. Успостављене основе система </w:t>
      </w:r>
      <w:r w:rsidR="0000703C" w:rsidRPr="00E84C93">
        <w:rPr>
          <w:rFonts w:cs="Times New Roman"/>
          <w:b/>
          <w:bCs/>
          <w:iCs/>
          <w:color w:val="2E74B5" w:themeColor="accent1" w:themeShade="BF"/>
          <w:szCs w:val="24"/>
          <w:lang w:val="sr-Cyrl-CS"/>
        </w:rPr>
        <w:t xml:space="preserve">за дугорочно </w:t>
      </w:r>
      <w:r w:rsidRPr="00E84C93">
        <w:rPr>
          <w:rFonts w:cs="Times New Roman"/>
          <w:b/>
          <w:bCs/>
          <w:iCs/>
          <w:color w:val="2E74B5" w:themeColor="accent1" w:themeShade="BF"/>
          <w:szCs w:val="24"/>
          <w:lang w:val="sr-Cyrl-CS"/>
        </w:rPr>
        <w:t>управљањ</w:t>
      </w:r>
      <w:r w:rsidR="0000703C" w:rsidRPr="00E84C93">
        <w:rPr>
          <w:rFonts w:cs="Times New Roman"/>
          <w:b/>
          <w:bCs/>
          <w:iCs/>
          <w:color w:val="2E74B5" w:themeColor="accent1" w:themeShade="BF"/>
          <w:szCs w:val="24"/>
          <w:lang w:val="sr-Cyrl-CS"/>
        </w:rPr>
        <w:t>е</w:t>
      </w:r>
      <w:r w:rsidRPr="00E84C93">
        <w:rPr>
          <w:rFonts w:cs="Times New Roman"/>
          <w:b/>
          <w:bCs/>
          <w:iCs/>
          <w:color w:val="2E74B5" w:themeColor="accent1" w:themeShade="BF"/>
          <w:szCs w:val="24"/>
          <w:lang w:val="sr-Cyrl-CS"/>
        </w:rPr>
        <w:t xml:space="preserve"> муљем </w:t>
      </w:r>
      <w:r w:rsidR="005353A4" w:rsidRPr="00E84C93">
        <w:rPr>
          <w:rFonts w:cs="Times New Roman"/>
          <w:b/>
          <w:bCs/>
          <w:iCs/>
          <w:color w:val="2E74B5" w:themeColor="accent1" w:themeShade="BF"/>
          <w:szCs w:val="24"/>
          <w:lang w:val="sr-Cyrl-CS"/>
        </w:rPr>
        <w:t>и</w:t>
      </w:r>
      <w:r w:rsidR="005353A4" w:rsidRPr="00E84C93">
        <w:rPr>
          <w:b/>
          <w:color w:val="2E74B5" w:themeColor="accent1" w:themeShade="BF"/>
          <w:szCs w:val="24"/>
          <w:lang w:val="sr-Cyrl-CS"/>
        </w:rPr>
        <w:t>з постројења за пречишћавање отпадних вода</w:t>
      </w:r>
    </w:p>
    <w:p w14:paraId="32944B48" w14:textId="1C617B75" w:rsidR="005353A4" w:rsidRPr="00E84C93" w:rsidRDefault="005353A4" w:rsidP="005353A4">
      <w:pPr>
        <w:spacing w:after="0"/>
        <w:ind w:firstLine="720"/>
        <w:rPr>
          <w:b/>
          <w:color w:val="2E74B5" w:themeColor="accent1" w:themeShade="BF"/>
          <w:szCs w:val="24"/>
          <w:lang w:val="sr-Cyrl-CS"/>
        </w:rPr>
      </w:pPr>
    </w:p>
    <w:p w14:paraId="6CDC6928" w14:textId="7426B62D" w:rsidR="00BC0EB7" w:rsidRPr="00E84C93" w:rsidRDefault="00BC0EB7" w:rsidP="00BC0EB7">
      <w:pPr>
        <w:pBdr>
          <w:top w:val="single" w:sz="4" w:space="1" w:color="auto"/>
          <w:left w:val="single" w:sz="4" w:space="4" w:color="auto"/>
          <w:bottom w:val="single" w:sz="4" w:space="1" w:color="auto"/>
          <w:right w:val="single" w:sz="4" w:space="4" w:color="auto"/>
        </w:pBdr>
        <w:spacing w:after="0" w:line="264" w:lineRule="auto"/>
        <w:jc w:val="both"/>
        <w:rPr>
          <w:b/>
          <w:szCs w:val="24"/>
          <w:highlight w:val="yellow"/>
          <w:lang w:val="sr-Cyrl-CS" w:eastAsia="en-GB"/>
        </w:rPr>
      </w:pPr>
      <w:r w:rsidRPr="00E84C93">
        <w:rPr>
          <w:b/>
          <w:szCs w:val="24"/>
          <w:lang w:val="sr-Cyrl-CS" w:eastAsia="en-GB"/>
        </w:rPr>
        <w:t xml:space="preserve">Мера </w:t>
      </w:r>
      <w:r w:rsidR="00A66922" w:rsidRPr="00E84C93">
        <w:rPr>
          <w:b/>
          <w:szCs w:val="24"/>
          <w:lang w:val="sr-Cyrl-CS" w:eastAsia="en-GB"/>
        </w:rPr>
        <w:t>3</w:t>
      </w:r>
      <w:r w:rsidRPr="00E84C93">
        <w:rPr>
          <w:b/>
          <w:szCs w:val="24"/>
          <w:lang w:val="sr-Cyrl-CS" w:eastAsia="en-GB"/>
        </w:rPr>
        <w:t>.</w:t>
      </w:r>
      <w:r w:rsidR="00F90CE2" w:rsidRPr="00E84C93">
        <w:rPr>
          <w:b/>
          <w:szCs w:val="24"/>
          <w:lang w:val="sr-Cyrl-CS" w:eastAsia="en-GB"/>
        </w:rPr>
        <w:t>1</w:t>
      </w:r>
      <w:r w:rsidRPr="00E84C93">
        <w:rPr>
          <w:b/>
          <w:szCs w:val="24"/>
          <w:lang w:val="sr-Cyrl-CS" w:eastAsia="en-GB"/>
        </w:rPr>
        <w:t xml:space="preserve">. </w:t>
      </w:r>
      <w:r w:rsidRPr="00E84C93">
        <w:rPr>
          <w:rFonts w:cs="Times New Roman"/>
          <w:b/>
          <w:lang w:val="sr-Cyrl-CS" w:bidi="en-US"/>
        </w:rPr>
        <w:t>Формирање</w:t>
      </w:r>
      <w:r w:rsidR="003D73CB" w:rsidRPr="00E84C93">
        <w:rPr>
          <w:rFonts w:cs="Times New Roman"/>
          <w:b/>
          <w:lang w:val="sr-Cyrl-CS" w:bidi="en-US"/>
        </w:rPr>
        <w:t xml:space="preserve"> система</w:t>
      </w:r>
      <w:r w:rsidRPr="00E84C93">
        <w:rPr>
          <w:rFonts w:cs="Times New Roman"/>
          <w:b/>
          <w:lang w:val="sr-Cyrl-CS" w:bidi="en-US"/>
        </w:rPr>
        <w:t xml:space="preserve"> регионалних центара</w:t>
      </w:r>
      <w:r w:rsidR="00075312" w:rsidRPr="00E84C93">
        <w:rPr>
          <w:rFonts w:cs="Times New Roman"/>
          <w:b/>
          <w:lang w:val="sr-Cyrl-CS" w:bidi="en-US"/>
        </w:rPr>
        <w:t xml:space="preserve"> за управљање муљем</w:t>
      </w:r>
    </w:p>
    <w:p w14:paraId="2475459E" w14:textId="77777777" w:rsidR="00AB127C" w:rsidRPr="00E84C93" w:rsidRDefault="00AB127C" w:rsidP="00AB127C">
      <w:pPr>
        <w:pStyle w:val="ListParagraph"/>
        <w:spacing w:after="0"/>
        <w:ind w:left="0" w:firstLine="720"/>
        <w:jc w:val="both"/>
        <w:rPr>
          <w:rFonts w:cs="Times New Roman"/>
          <w:szCs w:val="24"/>
          <w:lang w:val="sr-Cyrl-CS"/>
        </w:rPr>
      </w:pPr>
    </w:p>
    <w:p w14:paraId="071E3C8A" w14:textId="1C8B1497" w:rsidR="00AB127C" w:rsidRPr="00E84C93" w:rsidRDefault="00291322" w:rsidP="00AB127C">
      <w:pPr>
        <w:pStyle w:val="ListParagraph"/>
        <w:spacing w:after="0"/>
        <w:ind w:left="0" w:firstLine="720"/>
        <w:jc w:val="both"/>
        <w:rPr>
          <w:rFonts w:cs="Times New Roman"/>
          <w:szCs w:val="24"/>
          <w:lang w:val="sr-Cyrl-CS"/>
        </w:rPr>
      </w:pPr>
      <w:r w:rsidRPr="00E84C93">
        <w:rPr>
          <w:rFonts w:cs="Times New Roman"/>
          <w:szCs w:val="24"/>
          <w:lang w:val="sr-Cyrl-CS"/>
        </w:rPr>
        <w:lastRenderedPageBreak/>
        <w:t>За успостављање дугорочног система за уп</w:t>
      </w:r>
      <w:r w:rsidR="001B1F4A" w:rsidRPr="00E84C93">
        <w:rPr>
          <w:rFonts w:cs="Times New Roman"/>
          <w:szCs w:val="24"/>
          <w:lang w:val="sr-Cyrl-CS"/>
        </w:rPr>
        <w:t>р</w:t>
      </w:r>
      <w:r w:rsidRPr="00E84C93">
        <w:rPr>
          <w:rFonts w:cs="Times New Roman"/>
          <w:szCs w:val="24"/>
          <w:lang w:val="sr-Cyrl-CS"/>
        </w:rPr>
        <w:t>ављање муљем, п</w:t>
      </w:r>
      <w:r w:rsidR="00AB127C" w:rsidRPr="00E84C93">
        <w:rPr>
          <w:rFonts w:cs="Times New Roman"/>
          <w:szCs w:val="24"/>
          <w:lang w:val="sr-Cyrl-CS"/>
        </w:rPr>
        <w:t xml:space="preserve">ланира се успостављање четири </w:t>
      </w:r>
      <w:r w:rsidR="00EF7CED" w:rsidRPr="00E84C93">
        <w:rPr>
          <w:rFonts w:cs="Times New Roman"/>
          <w:szCs w:val="24"/>
          <w:lang w:val="sr-Cyrl-CS"/>
        </w:rPr>
        <w:t>Ре</w:t>
      </w:r>
      <w:r w:rsidR="00AB127C" w:rsidRPr="00E84C93">
        <w:rPr>
          <w:rFonts w:cs="Times New Roman"/>
          <w:szCs w:val="24"/>
          <w:lang w:val="sr-Cyrl-CS"/>
        </w:rPr>
        <w:t xml:space="preserve">гионална </w:t>
      </w:r>
      <w:r w:rsidR="00EF7CED" w:rsidRPr="00E84C93">
        <w:rPr>
          <w:rFonts w:cs="Times New Roman"/>
          <w:szCs w:val="24"/>
          <w:lang w:val="sr-Cyrl-CS"/>
        </w:rPr>
        <w:t>ц</w:t>
      </w:r>
      <w:r w:rsidR="00AB127C" w:rsidRPr="00E84C93">
        <w:rPr>
          <w:rFonts w:cs="Times New Roman"/>
          <w:szCs w:val="24"/>
          <w:lang w:val="sr-Cyrl-CS"/>
        </w:rPr>
        <w:t xml:space="preserve">ентра за управљање муљем: Војводина, подручје града Београда, Шумадија и </w:t>
      </w:r>
      <w:r w:rsidR="00CA45BD" w:rsidRPr="00E84C93">
        <w:rPr>
          <w:rFonts w:cs="Times New Roman"/>
          <w:szCs w:val="24"/>
          <w:lang w:val="sr-Cyrl-CS"/>
        </w:rPr>
        <w:t>З</w:t>
      </w:r>
      <w:r w:rsidR="00AB127C" w:rsidRPr="00E84C93">
        <w:rPr>
          <w:rFonts w:cs="Times New Roman"/>
          <w:szCs w:val="24"/>
          <w:lang w:val="sr-Cyrl-CS"/>
        </w:rPr>
        <w:t xml:space="preserve">ападна Србија и Јужна и </w:t>
      </w:r>
      <w:r w:rsidR="00CA45BD" w:rsidRPr="00E84C93">
        <w:rPr>
          <w:rFonts w:cs="Times New Roman"/>
          <w:szCs w:val="24"/>
          <w:lang w:val="sr-Cyrl-CS"/>
        </w:rPr>
        <w:t>И</w:t>
      </w:r>
      <w:r w:rsidR="00AB127C" w:rsidRPr="00E84C93">
        <w:rPr>
          <w:rFonts w:cs="Times New Roman"/>
          <w:szCs w:val="24"/>
          <w:lang w:val="sr-Cyrl-CS"/>
        </w:rPr>
        <w:t>сточна Србија. Сваки регион ће претежно производити сличне количине муља.</w:t>
      </w:r>
    </w:p>
    <w:p w14:paraId="2E051B7A" w14:textId="73B59E02" w:rsidR="00AB127C" w:rsidRPr="00E84C93" w:rsidRDefault="00AB127C" w:rsidP="00AB127C">
      <w:pPr>
        <w:pStyle w:val="ListParagraph"/>
        <w:spacing w:after="0"/>
        <w:ind w:left="0" w:firstLine="720"/>
        <w:jc w:val="both"/>
        <w:rPr>
          <w:rFonts w:cs="Times New Roman"/>
          <w:szCs w:val="24"/>
          <w:lang w:val="sr-Cyrl-CS"/>
        </w:rPr>
      </w:pPr>
      <w:r w:rsidRPr="00E84C93">
        <w:rPr>
          <w:rFonts w:cs="Times New Roman"/>
          <w:szCs w:val="24"/>
          <w:lang w:val="sr-Cyrl-CS"/>
        </w:rPr>
        <w:t xml:space="preserve">Концептом се предвиђа производња гранула (или пелета) муља ради складиштења на </w:t>
      </w:r>
      <w:r w:rsidR="00D010D1" w:rsidRPr="00E84C93">
        <w:rPr>
          <w:rFonts w:cs="Times New Roman"/>
          <w:szCs w:val="24"/>
          <w:lang w:val="sr-Cyrl-CS"/>
        </w:rPr>
        <w:t>моно</w:t>
      </w:r>
      <w:r w:rsidRPr="00E84C93">
        <w:rPr>
          <w:rFonts w:cs="Times New Roman"/>
          <w:szCs w:val="24"/>
          <w:lang w:val="sr-Cyrl-CS"/>
        </w:rPr>
        <w:t xml:space="preserve">депоније (намењене једној врсти отпада), али ниједно од постројења за пречишћавање отпадних вода која је тренутно у раду или је у процесу планирања не предвиђа ову технологију (колач као готов производ). </w:t>
      </w:r>
    </w:p>
    <w:p w14:paraId="14FBEAA5" w14:textId="77777777" w:rsidR="00AB127C" w:rsidRPr="00E84C93" w:rsidRDefault="00AB127C" w:rsidP="00AB127C">
      <w:pPr>
        <w:pStyle w:val="ListParagraph"/>
        <w:spacing w:after="0"/>
        <w:ind w:left="0" w:firstLine="720"/>
        <w:jc w:val="both"/>
        <w:rPr>
          <w:rFonts w:cs="Times New Roman"/>
          <w:szCs w:val="24"/>
          <w:lang w:val="sr-Cyrl-CS"/>
        </w:rPr>
      </w:pPr>
      <w:r w:rsidRPr="00E84C93">
        <w:rPr>
          <w:rFonts w:cs="Times New Roman"/>
          <w:szCs w:val="24"/>
          <w:lang w:val="sr-Cyrl-CS"/>
        </w:rPr>
        <w:t xml:space="preserve">Потребно је </w:t>
      </w:r>
      <w:bookmarkStart w:id="106" w:name="_Hlk96727179"/>
      <w:r w:rsidRPr="00E84C93">
        <w:rPr>
          <w:rFonts w:cs="Times New Roman"/>
          <w:szCs w:val="24"/>
          <w:lang w:val="sr-Cyrl-CS"/>
        </w:rPr>
        <w:t xml:space="preserve">израдити регионалне планове управљања муљем са детаљним плановима неопходним за прилагођавање локалним условима, избором најбољих могућности управљања или комбинацијом могућности и изводљивим плановима имплементације. </w:t>
      </w:r>
    </w:p>
    <w:bookmarkEnd w:id="106"/>
    <w:p w14:paraId="1F656ED2" w14:textId="77777777" w:rsidR="00AB127C" w:rsidRPr="00E84C93" w:rsidRDefault="00AB127C" w:rsidP="00AB127C">
      <w:pPr>
        <w:spacing w:after="0"/>
        <w:ind w:firstLine="720"/>
        <w:jc w:val="both"/>
        <w:rPr>
          <w:rFonts w:cs="Times New Roman"/>
          <w:szCs w:val="24"/>
          <w:lang w:val="sr-Cyrl-CS"/>
        </w:rPr>
      </w:pPr>
      <w:r w:rsidRPr="00E84C93">
        <w:rPr>
          <w:rFonts w:cs="Times New Roman"/>
          <w:szCs w:val="24"/>
          <w:lang w:val="sr-Cyrl-CS"/>
        </w:rPr>
        <w:t>Динамика имплементације узима у обзир следеће претпоставке:</w:t>
      </w:r>
    </w:p>
    <w:p w14:paraId="11592E95" w14:textId="6583F220" w:rsidR="00AB127C" w:rsidRPr="00E84C93" w:rsidRDefault="00AB127C" w:rsidP="00680B9A">
      <w:pPr>
        <w:pStyle w:val="ListParagraph"/>
        <w:numPr>
          <w:ilvl w:val="0"/>
          <w:numId w:val="36"/>
        </w:numPr>
        <w:spacing w:after="0"/>
        <w:ind w:left="0" w:firstLine="720"/>
        <w:jc w:val="both"/>
        <w:rPr>
          <w:rFonts w:cs="Times New Roman"/>
          <w:szCs w:val="24"/>
          <w:lang w:val="sr-Cyrl-CS"/>
        </w:rPr>
      </w:pPr>
      <w:r w:rsidRPr="00E84C93">
        <w:rPr>
          <w:rFonts w:cs="Times New Roman"/>
          <w:szCs w:val="24"/>
          <w:lang w:val="sr-Cyrl-CS"/>
        </w:rPr>
        <w:t>третман (дигестију) и о</w:t>
      </w:r>
      <w:r w:rsidR="003672FC" w:rsidRPr="00E84C93">
        <w:rPr>
          <w:rFonts w:cs="Times New Roman"/>
          <w:szCs w:val="24"/>
          <w:lang w:val="sr-Cyrl-CS"/>
        </w:rPr>
        <w:t>без</w:t>
      </w:r>
      <w:r w:rsidRPr="00E84C93">
        <w:rPr>
          <w:rFonts w:cs="Times New Roman"/>
          <w:szCs w:val="24"/>
          <w:lang w:val="sr-Cyrl-CS"/>
        </w:rPr>
        <w:t>водњавање муља, као и</w:t>
      </w:r>
      <w:r w:rsidR="00A61448" w:rsidRPr="00E84C93">
        <w:rPr>
          <w:rFonts w:cs="Times New Roman"/>
          <w:szCs w:val="24"/>
          <w:lang w:val="sr-Cyrl-CS"/>
        </w:rPr>
        <w:t xml:space="preserve"> </w:t>
      </w:r>
      <w:r w:rsidRPr="00E84C93">
        <w:rPr>
          <w:rFonts w:cs="Times New Roman"/>
          <w:szCs w:val="24"/>
          <w:lang w:val="sr-Cyrl-CS"/>
        </w:rPr>
        <w:t>смањење производње муља (додатна имплементација анаеробне стабилизације муља са когенерацијом)</w:t>
      </w:r>
      <w:r w:rsidR="00781CE4" w:rsidRPr="00E84C93">
        <w:rPr>
          <w:rFonts w:cs="Times New Roman"/>
          <w:szCs w:val="24"/>
          <w:lang w:val="sr-Cyrl-CS"/>
        </w:rPr>
        <w:t>,</w:t>
      </w:r>
      <w:r w:rsidRPr="00E84C93">
        <w:rPr>
          <w:rFonts w:cs="Times New Roman"/>
          <w:szCs w:val="24"/>
          <w:lang w:val="sr-Cyrl-CS"/>
        </w:rPr>
        <w:t xml:space="preserve"> као и додатне мере за дезинтеграцију муља</w:t>
      </w:r>
      <w:r w:rsidR="00781CE4" w:rsidRPr="00E84C93">
        <w:rPr>
          <w:rFonts w:cs="Times New Roman"/>
          <w:szCs w:val="24"/>
          <w:lang w:val="sr-Cyrl-CS"/>
        </w:rPr>
        <w:t xml:space="preserve"> које ће</w:t>
      </w:r>
      <w:r w:rsidRPr="00E84C93">
        <w:rPr>
          <w:rFonts w:cs="Times New Roman"/>
          <w:szCs w:val="24"/>
          <w:lang w:val="sr-Cyrl-CS"/>
        </w:rPr>
        <w:t xml:space="preserve"> би</w:t>
      </w:r>
      <w:r w:rsidR="00781CE4" w:rsidRPr="00E84C93">
        <w:rPr>
          <w:rFonts w:cs="Times New Roman"/>
          <w:szCs w:val="24"/>
          <w:lang w:val="sr-Cyrl-CS"/>
        </w:rPr>
        <w:t>ти</w:t>
      </w:r>
      <w:r w:rsidRPr="00E84C93">
        <w:rPr>
          <w:rFonts w:cs="Times New Roman"/>
          <w:szCs w:val="24"/>
          <w:lang w:val="sr-Cyrl-CS"/>
        </w:rPr>
        <w:t xml:space="preserve"> укључене у обим радова за изградњу појединачних постројења за пречишћавање отпадних вода (са којих ће се о</w:t>
      </w:r>
      <w:r w:rsidR="003672FC" w:rsidRPr="00E84C93">
        <w:rPr>
          <w:rFonts w:cs="Times New Roman"/>
          <w:szCs w:val="24"/>
          <w:lang w:val="sr-Cyrl-CS"/>
        </w:rPr>
        <w:t>без</w:t>
      </w:r>
      <w:r w:rsidRPr="00E84C93">
        <w:rPr>
          <w:rFonts w:cs="Times New Roman"/>
          <w:szCs w:val="24"/>
          <w:lang w:val="sr-Cyrl-CS"/>
        </w:rPr>
        <w:t>дводњени колач и суве грануле муља одлагати/транспортовати до Центара за третман муља/</w:t>
      </w:r>
      <w:r w:rsidR="00EF7CED" w:rsidRPr="00E84C93">
        <w:rPr>
          <w:rFonts w:cs="Times New Roman"/>
          <w:szCs w:val="24"/>
          <w:lang w:val="sr-Cyrl-CS"/>
        </w:rPr>
        <w:t>Регионалних ц</w:t>
      </w:r>
      <w:r w:rsidRPr="00E84C93">
        <w:rPr>
          <w:rFonts w:cs="Times New Roman"/>
          <w:szCs w:val="24"/>
          <w:lang w:val="sr-Cyrl-CS"/>
        </w:rPr>
        <w:t>ентара за управљање муљем)</w:t>
      </w:r>
      <w:r w:rsidR="00680B9A" w:rsidRPr="00E84C93">
        <w:rPr>
          <w:rFonts w:cs="Times New Roman"/>
          <w:szCs w:val="24"/>
          <w:lang w:val="sr-Cyrl-CS"/>
        </w:rPr>
        <w:t>;</w:t>
      </w:r>
    </w:p>
    <w:p w14:paraId="255CB7C3" w14:textId="548A04EA" w:rsidR="00AB127C" w:rsidRPr="00E84C93" w:rsidRDefault="009D33A7" w:rsidP="00680B9A">
      <w:pPr>
        <w:pStyle w:val="ListParagraph"/>
        <w:numPr>
          <w:ilvl w:val="0"/>
          <w:numId w:val="36"/>
        </w:numPr>
        <w:tabs>
          <w:tab w:val="left" w:pos="1134"/>
        </w:tabs>
        <w:spacing w:after="0"/>
        <w:ind w:left="0" w:firstLine="720"/>
        <w:jc w:val="both"/>
        <w:rPr>
          <w:rFonts w:cs="Times New Roman"/>
          <w:szCs w:val="24"/>
          <w:lang w:val="sr-Cyrl-CS"/>
        </w:rPr>
      </w:pPr>
      <w:r w:rsidRPr="00E84C93">
        <w:rPr>
          <w:rFonts w:cs="Times New Roman"/>
          <w:szCs w:val="24"/>
          <w:lang w:val="sr-Cyrl-CS"/>
        </w:rPr>
        <w:t>с</w:t>
      </w:r>
      <w:r w:rsidR="00AB127C" w:rsidRPr="00E84C93">
        <w:rPr>
          <w:rFonts w:cs="Times New Roman"/>
          <w:szCs w:val="24"/>
          <w:lang w:val="sr-Cyrl-CS"/>
        </w:rPr>
        <w:t>мањење производње муља (додатна имплементација анаеробне стабилизације муља са когенерацијом)</w:t>
      </w:r>
      <w:r w:rsidR="00781CE4" w:rsidRPr="00E84C93">
        <w:rPr>
          <w:rFonts w:cs="Times New Roman"/>
          <w:szCs w:val="24"/>
          <w:lang w:val="sr-Cyrl-CS"/>
        </w:rPr>
        <w:t>,</w:t>
      </w:r>
      <w:r w:rsidR="00AB127C" w:rsidRPr="00E84C93">
        <w:rPr>
          <w:rFonts w:cs="Times New Roman"/>
          <w:szCs w:val="24"/>
          <w:lang w:val="sr-Cyrl-CS"/>
        </w:rPr>
        <w:t xml:space="preserve"> као и додатне мере за дезинтеграцију муља </w:t>
      </w:r>
      <w:r w:rsidR="00781CE4" w:rsidRPr="00E84C93">
        <w:rPr>
          <w:rFonts w:cs="Times New Roman"/>
          <w:szCs w:val="24"/>
          <w:lang w:val="sr-Cyrl-CS"/>
        </w:rPr>
        <w:t xml:space="preserve">које ће </w:t>
      </w:r>
      <w:r w:rsidR="00AB127C" w:rsidRPr="00E84C93">
        <w:rPr>
          <w:rFonts w:cs="Times New Roman"/>
          <w:szCs w:val="24"/>
          <w:lang w:val="sr-Cyrl-CS"/>
        </w:rPr>
        <w:t>би</w:t>
      </w:r>
      <w:r w:rsidR="00781CE4" w:rsidRPr="00E84C93">
        <w:rPr>
          <w:rFonts w:cs="Times New Roman"/>
          <w:szCs w:val="24"/>
          <w:lang w:val="sr-Cyrl-CS"/>
        </w:rPr>
        <w:t>ти</w:t>
      </w:r>
      <w:r w:rsidR="00AB127C" w:rsidRPr="00E84C93">
        <w:rPr>
          <w:rFonts w:cs="Times New Roman"/>
          <w:szCs w:val="24"/>
          <w:lang w:val="sr-Cyrl-CS"/>
        </w:rPr>
        <w:t xml:space="preserve"> укључене у обим радова за завршну изградњу постројења за пречишћавање отпадних вода</w:t>
      </w:r>
      <w:r w:rsidR="00680B9A" w:rsidRPr="00E84C93">
        <w:rPr>
          <w:rFonts w:cs="Times New Roman"/>
          <w:szCs w:val="24"/>
          <w:lang w:val="sr-Cyrl-CS"/>
        </w:rPr>
        <w:t>;</w:t>
      </w:r>
    </w:p>
    <w:p w14:paraId="71027F11" w14:textId="41FB5EF4" w:rsidR="00AB127C" w:rsidRPr="00E84C93" w:rsidRDefault="009D33A7" w:rsidP="00680B9A">
      <w:pPr>
        <w:pStyle w:val="ListParagraph"/>
        <w:numPr>
          <w:ilvl w:val="0"/>
          <w:numId w:val="36"/>
        </w:numPr>
        <w:tabs>
          <w:tab w:val="left" w:pos="1134"/>
        </w:tabs>
        <w:spacing w:after="0"/>
        <w:ind w:left="0" w:firstLine="720"/>
        <w:jc w:val="both"/>
        <w:rPr>
          <w:rFonts w:cs="Times New Roman"/>
          <w:szCs w:val="24"/>
          <w:lang w:val="sr-Cyrl-CS"/>
        </w:rPr>
      </w:pPr>
      <w:r w:rsidRPr="00E84C93">
        <w:rPr>
          <w:rFonts w:cs="Times New Roman"/>
          <w:szCs w:val="24"/>
          <w:lang w:val="sr-Cyrl-CS"/>
        </w:rPr>
        <w:t>х</w:t>
      </w:r>
      <w:r w:rsidR="00AB127C" w:rsidRPr="00E84C93">
        <w:rPr>
          <w:rFonts w:cs="Times New Roman"/>
          <w:szCs w:val="24"/>
          <w:lang w:val="sr-Cyrl-CS"/>
        </w:rPr>
        <w:t xml:space="preserve">умификација муља (мала постројења за пречишћавање отпадних вода) </w:t>
      </w:r>
      <w:r w:rsidR="00822768" w:rsidRPr="00E84C93">
        <w:rPr>
          <w:rFonts w:cs="Times New Roman"/>
          <w:szCs w:val="24"/>
          <w:lang w:val="sr-Cyrl-CS"/>
        </w:rPr>
        <w:t>као</w:t>
      </w:r>
      <w:r w:rsidR="00AB127C" w:rsidRPr="00E84C93">
        <w:rPr>
          <w:rFonts w:cs="Times New Roman"/>
          <w:szCs w:val="24"/>
          <w:lang w:val="sr-Cyrl-CS"/>
        </w:rPr>
        <w:t xml:space="preserve"> додатн</w:t>
      </w:r>
      <w:r w:rsidR="001B1F4A" w:rsidRPr="00E84C93">
        <w:rPr>
          <w:rFonts w:cs="Times New Roman"/>
          <w:szCs w:val="24"/>
          <w:lang w:val="sr-Cyrl-CS"/>
        </w:rPr>
        <w:t>а</w:t>
      </w:r>
      <w:r w:rsidR="00AB127C" w:rsidRPr="00E84C93">
        <w:rPr>
          <w:rFonts w:cs="Times New Roman"/>
          <w:szCs w:val="24"/>
          <w:lang w:val="sr-Cyrl-CS"/>
        </w:rPr>
        <w:t xml:space="preserve"> </w:t>
      </w:r>
      <w:r w:rsidR="001B1F4A" w:rsidRPr="00E84C93">
        <w:rPr>
          <w:rFonts w:cs="Times New Roman"/>
          <w:szCs w:val="24"/>
          <w:lang w:val="sr-Cyrl-CS"/>
        </w:rPr>
        <w:t>потреба</w:t>
      </w:r>
      <w:r w:rsidR="00680B9A" w:rsidRPr="00E84C93">
        <w:rPr>
          <w:rFonts w:cs="Times New Roman"/>
          <w:szCs w:val="24"/>
          <w:lang w:val="sr-Cyrl-CS"/>
        </w:rPr>
        <w:t>;</w:t>
      </w:r>
    </w:p>
    <w:p w14:paraId="07D1971B" w14:textId="02CBBA48" w:rsidR="00AB127C" w:rsidRPr="00E84C93" w:rsidRDefault="009D33A7" w:rsidP="00680B9A">
      <w:pPr>
        <w:pStyle w:val="ListParagraph"/>
        <w:numPr>
          <w:ilvl w:val="0"/>
          <w:numId w:val="36"/>
        </w:numPr>
        <w:tabs>
          <w:tab w:val="left" w:pos="1134"/>
        </w:tabs>
        <w:spacing w:after="0"/>
        <w:jc w:val="both"/>
        <w:rPr>
          <w:rFonts w:cs="Times New Roman"/>
          <w:szCs w:val="24"/>
          <w:lang w:val="sr-Cyrl-CS"/>
        </w:rPr>
      </w:pPr>
      <w:r w:rsidRPr="00E84C93">
        <w:rPr>
          <w:rFonts w:cs="Times New Roman"/>
          <w:szCs w:val="24"/>
          <w:lang w:val="sr-Cyrl-CS"/>
        </w:rPr>
        <w:t>п</w:t>
      </w:r>
      <w:r w:rsidR="00AB127C" w:rsidRPr="00E84C93">
        <w:rPr>
          <w:rFonts w:cs="Times New Roman"/>
          <w:szCs w:val="24"/>
          <w:lang w:val="sr-Cyrl-CS"/>
        </w:rPr>
        <w:t xml:space="preserve">остројења за сушење муља </w:t>
      </w:r>
      <w:r w:rsidR="00822768" w:rsidRPr="00E84C93">
        <w:rPr>
          <w:rFonts w:cs="Times New Roman"/>
          <w:szCs w:val="24"/>
          <w:lang w:val="sr-Cyrl-CS"/>
        </w:rPr>
        <w:t>као</w:t>
      </w:r>
      <w:r w:rsidR="00AB127C" w:rsidRPr="00E84C93">
        <w:rPr>
          <w:rFonts w:cs="Times New Roman"/>
          <w:szCs w:val="24"/>
          <w:lang w:val="sr-Cyrl-CS"/>
        </w:rPr>
        <w:t xml:space="preserve"> додатн</w:t>
      </w:r>
      <w:r w:rsidR="001B1F4A" w:rsidRPr="00E84C93">
        <w:rPr>
          <w:rFonts w:cs="Times New Roman"/>
          <w:szCs w:val="24"/>
          <w:lang w:val="sr-Cyrl-CS"/>
        </w:rPr>
        <w:t>а</w:t>
      </w:r>
      <w:r w:rsidR="00AB127C" w:rsidRPr="00E84C93">
        <w:rPr>
          <w:rFonts w:cs="Times New Roman"/>
          <w:szCs w:val="24"/>
          <w:lang w:val="sr-Cyrl-CS"/>
        </w:rPr>
        <w:t xml:space="preserve"> </w:t>
      </w:r>
      <w:r w:rsidR="001B1F4A" w:rsidRPr="00E84C93">
        <w:rPr>
          <w:rFonts w:cs="Times New Roman"/>
          <w:szCs w:val="24"/>
          <w:lang w:val="sr-Cyrl-CS"/>
        </w:rPr>
        <w:t>потреба</w:t>
      </w:r>
      <w:r w:rsidR="00680B9A" w:rsidRPr="00E84C93">
        <w:rPr>
          <w:rFonts w:cs="Times New Roman"/>
          <w:szCs w:val="24"/>
          <w:lang w:val="sr-Cyrl-CS"/>
        </w:rPr>
        <w:t>;</w:t>
      </w:r>
    </w:p>
    <w:p w14:paraId="0E9E97E4" w14:textId="20055B58" w:rsidR="00AB127C" w:rsidRPr="00E84C93" w:rsidRDefault="009D33A7" w:rsidP="00680B9A">
      <w:pPr>
        <w:pStyle w:val="ListParagraph"/>
        <w:numPr>
          <w:ilvl w:val="0"/>
          <w:numId w:val="36"/>
        </w:numPr>
        <w:tabs>
          <w:tab w:val="left" w:pos="1134"/>
        </w:tabs>
        <w:spacing w:after="0"/>
        <w:ind w:left="0" w:firstLine="720"/>
        <w:jc w:val="both"/>
        <w:rPr>
          <w:rFonts w:cs="Times New Roman"/>
          <w:szCs w:val="24"/>
          <w:lang w:val="sr-Cyrl-CS"/>
        </w:rPr>
      </w:pPr>
      <w:r w:rsidRPr="00E84C93">
        <w:rPr>
          <w:rFonts w:cs="Times New Roman"/>
          <w:szCs w:val="24"/>
          <w:lang w:val="sr-Cyrl-CS"/>
        </w:rPr>
        <w:t>з</w:t>
      </w:r>
      <w:r w:rsidR="00AB127C" w:rsidRPr="00E84C93">
        <w:rPr>
          <w:rFonts w:cs="Times New Roman"/>
          <w:szCs w:val="24"/>
          <w:lang w:val="sr-Cyrl-CS"/>
        </w:rPr>
        <w:t>аврш</w:t>
      </w:r>
      <w:r w:rsidR="001B1F4A" w:rsidRPr="00E84C93">
        <w:rPr>
          <w:rFonts w:cs="Times New Roman"/>
          <w:szCs w:val="24"/>
          <w:lang w:val="sr-Cyrl-CS"/>
        </w:rPr>
        <w:t>е</w:t>
      </w:r>
      <w:r w:rsidR="00AB127C" w:rsidRPr="00E84C93">
        <w:rPr>
          <w:rFonts w:cs="Times New Roman"/>
          <w:szCs w:val="24"/>
          <w:lang w:val="sr-Cyrl-CS"/>
        </w:rPr>
        <w:t xml:space="preserve">на изградња капацитета </w:t>
      </w:r>
      <w:r w:rsidR="00D010D1" w:rsidRPr="00E84C93">
        <w:rPr>
          <w:rFonts w:cs="Times New Roman"/>
          <w:szCs w:val="24"/>
          <w:lang w:val="sr-Cyrl-CS"/>
        </w:rPr>
        <w:t>моно</w:t>
      </w:r>
      <w:r w:rsidR="00AB127C" w:rsidRPr="00E84C93">
        <w:rPr>
          <w:rFonts w:cs="Times New Roman"/>
          <w:szCs w:val="24"/>
          <w:lang w:val="sr-Cyrl-CS"/>
        </w:rPr>
        <w:t>депонија на окружном и регионалном нивоу, а која су додељена Центрима за третман муља</w:t>
      </w:r>
      <w:r w:rsidR="00F31426" w:rsidRPr="00E84C93">
        <w:rPr>
          <w:rFonts w:cs="Times New Roman"/>
          <w:szCs w:val="24"/>
          <w:lang w:val="sr-Cyrl-CS"/>
        </w:rPr>
        <w:t>;</w:t>
      </w:r>
    </w:p>
    <w:p w14:paraId="7535B854" w14:textId="49714387" w:rsidR="00AB127C" w:rsidRPr="00E84C93" w:rsidRDefault="009D33A7" w:rsidP="00071826">
      <w:pPr>
        <w:pStyle w:val="ListParagraph"/>
        <w:numPr>
          <w:ilvl w:val="0"/>
          <w:numId w:val="36"/>
        </w:numPr>
        <w:tabs>
          <w:tab w:val="left" w:pos="1134"/>
        </w:tabs>
        <w:spacing w:after="0"/>
        <w:ind w:left="0" w:firstLine="720"/>
        <w:jc w:val="both"/>
        <w:rPr>
          <w:rFonts w:cs="Times New Roman"/>
          <w:szCs w:val="24"/>
          <w:lang w:val="sr-Cyrl-CS"/>
        </w:rPr>
      </w:pPr>
      <w:r w:rsidRPr="00E84C93">
        <w:rPr>
          <w:rFonts w:cs="Times New Roman"/>
          <w:szCs w:val="24"/>
          <w:lang w:val="sr-Cyrl-CS"/>
        </w:rPr>
        <w:t>з</w:t>
      </w:r>
      <w:r w:rsidR="00AB127C" w:rsidRPr="00E84C93">
        <w:rPr>
          <w:rFonts w:cs="Times New Roman"/>
          <w:szCs w:val="24"/>
          <w:lang w:val="sr-Cyrl-CS"/>
        </w:rPr>
        <w:t>аврше</w:t>
      </w:r>
      <w:r w:rsidR="001B1F4A" w:rsidRPr="00E84C93">
        <w:rPr>
          <w:rFonts w:cs="Times New Roman"/>
          <w:szCs w:val="24"/>
          <w:lang w:val="sr-Cyrl-CS"/>
        </w:rPr>
        <w:t>на</w:t>
      </w:r>
      <w:r w:rsidR="00AB127C" w:rsidRPr="00E84C93">
        <w:rPr>
          <w:rFonts w:cs="Times New Roman"/>
          <w:szCs w:val="24"/>
          <w:lang w:val="sr-Cyrl-CS"/>
        </w:rPr>
        <w:t xml:space="preserve"> </w:t>
      </w:r>
      <w:r w:rsidR="001B1F4A" w:rsidRPr="00E84C93">
        <w:rPr>
          <w:rFonts w:cs="Times New Roman"/>
          <w:szCs w:val="24"/>
          <w:lang w:val="sr-Cyrl-CS"/>
        </w:rPr>
        <w:t xml:space="preserve">изградња </w:t>
      </w:r>
      <w:r w:rsidR="00AB127C" w:rsidRPr="00E84C93">
        <w:rPr>
          <w:rFonts w:cs="Times New Roman"/>
          <w:szCs w:val="24"/>
          <w:lang w:val="sr-Cyrl-CS"/>
        </w:rPr>
        <w:t xml:space="preserve">постројења за </w:t>
      </w:r>
      <w:r w:rsidR="00D010D1" w:rsidRPr="00E84C93">
        <w:rPr>
          <w:rFonts w:cs="Times New Roman"/>
          <w:szCs w:val="24"/>
          <w:lang w:val="sr-Cyrl-CS"/>
        </w:rPr>
        <w:t>моно</w:t>
      </w:r>
      <w:r w:rsidR="00454447" w:rsidRPr="00E84C93">
        <w:rPr>
          <w:rFonts w:cs="Times New Roman"/>
          <w:szCs w:val="24"/>
          <w:lang w:val="sr-Cyrl-CS"/>
        </w:rPr>
        <w:t>инсинерацију</w:t>
      </w:r>
      <w:r w:rsidR="00AB127C" w:rsidRPr="00E84C93">
        <w:rPr>
          <w:rFonts w:cs="Times New Roman"/>
          <w:szCs w:val="24"/>
          <w:lang w:val="sr-Cyrl-CS"/>
        </w:rPr>
        <w:t xml:space="preserve"> у </w:t>
      </w:r>
      <w:r w:rsidR="00CA45BD" w:rsidRPr="00E84C93">
        <w:rPr>
          <w:rFonts w:cs="Times New Roman"/>
          <w:szCs w:val="24"/>
          <w:lang w:val="sr-Cyrl-CS"/>
        </w:rPr>
        <w:t>Београду, Новом Саду и Нишу</w:t>
      </w:r>
      <w:r w:rsidR="00AB127C" w:rsidRPr="00E84C93">
        <w:rPr>
          <w:rFonts w:cs="Times New Roman"/>
          <w:szCs w:val="24"/>
          <w:lang w:val="sr-Cyrl-CS"/>
        </w:rPr>
        <w:t xml:space="preserve"> за коначно одлагање пепела или гранула муља</w:t>
      </w:r>
      <w:r w:rsidR="00F31426" w:rsidRPr="00E84C93">
        <w:rPr>
          <w:rFonts w:cs="Times New Roman"/>
          <w:szCs w:val="24"/>
          <w:lang w:val="sr-Cyrl-CS"/>
        </w:rPr>
        <w:t>;</w:t>
      </w:r>
    </w:p>
    <w:p w14:paraId="28ED58B1" w14:textId="0AD9FB96" w:rsidR="00AB127C" w:rsidRPr="00E84C93" w:rsidRDefault="009D33A7" w:rsidP="00071826">
      <w:pPr>
        <w:pStyle w:val="ListParagraph"/>
        <w:numPr>
          <w:ilvl w:val="0"/>
          <w:numId w:val="36"/>
        </w:numPr>
        <w:tabs>
          <w:tab w:val="left" w:pos="993"/>
        </w:tabs>
        <w:spacing w:after="0"/>
        <w:ind w:left="0" w:firstLine="720"/>
        <w:jc w:val="both"/>
        <w:rPr>
          <w:rFonts w:cs="Times New Roman"/>
          <w:szCs w:val="24"/>
          <w:lang w:val="sr-Cyrl-CS"/>
        </w:rPr>
      </w:pPr>
      <w:r w:rsidRPr="00E84C93">
        <w:rPr>
          <w:rFonts w:cs="Times New Roman"/>
          <w:szCs w:val="24"/>
          <w:lang w:val="sr-Cyrl-CS"/>
        </w:rPr>
        <w:t>р</w:t>
      </w:r>
      <w:r w:rsidR="00AB127C" w:rsidRPr="00E84C93">
        <w:rPr>
          <w:rFonts w:cs="Times New Roman"/>
          <w:szCs w:val="24"/>
          <w:lang w:val="sr-Cyrl-CS"/>
        </w:rPr>
        <w:t xml:space="preserve">азмотрени детаљи пројекта за завршетак изградње постројења за пречишћавање отпадних вода у Београду и повезаног објекта за </w:t>
      </w:r>
      <w:r w:rsidR="00D010D1" w:rsidRPr="00E84C93">
        <w:rPr>
          <w:rFonts w:cs="Times New Roman"/>
          <w:szCs w:val="24"/>
          <w:lang w:val="sr-Cyrl-CS"/>
        </w:rPr>
        <w:t>моно</w:t>
      </w:r>
      <w:r w:rsidR="00A50FEF" w:rsidRPr="00E84C93">
        <w:rPr>
          <w:rFonts w:cs="Times New Roman"/>
          <w:szCs w:val="24"/>
          <w:lang w:val="sr-Cyrl-CS"/>
        </w:rPr>
        <w:t>инсинерацију</w:t>
      </w:r>
      <w:r w:rsidR="00AB127C" w:rsidRPr="00E84C93">
        <w:rPr>
          <w:rFonts w:cs="Times New Roman"/>
          <w:szCs w:val="24"/>
          <w:lang w:val="sr-Cyrl-CS"/>
        </w:rPr>
        <w:t>.</w:t>
      </w:r>
    </w:p>
    <w:p w14:paraId="2921EDC9" w14:textId="3DFC476A" w:rsidR="00AB127C" w:rsidRPr="00E84C93" w:rsidRDefault="00F34578" w:rsidP="00AB127C">
      <w:pPr>
        <w:pStyle w:val="ListParagraph"/>
        <w:spacing w:after="0"/>
        <w:jc w:val="both"/>
        <w:rPr>
          <w:rFonts w:cs="Times New Roman"/>
          <w:szCs w:val="24"/>
          <w:lang w:val="sr-Cyrl-CS"/>
        </w:rPr>
      </w:pPr>
      <w:r w:rsidRPr="00E84C93">
        <w:rPr>
          <w:rFonts w:cs="Times New Roman"/>
          <w:szCs w:val="24"/>
          <w:lang w:val="sr-Cyrl-CS"/>
        </w:rPr>
        <w:t>За спровођење ове мере п</w:t>
      </w:r>
      <w:r w:rsidR="00AB127C" w:rsidRPr="00E84C93">
        <w:rPr>
          <w:rFonts w:cs="Times New Roman"/>
          <w:szCs w:val="24"/>
          <w:lang w:val="sr-Cyrl-CS"/>
        </w:rPr>
        <w:t>отребно је спровести следеће активности:</w:t>
      </w:r>
    </w:p>
    <w:p w14:paraId="15AC1336" w14:textId="5C8CCF40" w:rsidR="00AB127C" w:rsidRPr="00E84C93" w:rsidRDefault="009D33A7" w:rsidP="00454348">
      <w:pPr>
        <w:pStyle w:val="ListParagraph"/>
        <w:numPr>
          <w:ilvl w:val="0"/>
          <w:numId w:val="25"/>
        </w:numPr>
        <w:spacing w:after="0"/>
        <w:ind w:left="0" w:firstLine="720"/>
        <w:jc w:val="both"/>
        <w:rPr>
          <w:rFonts w:cs="Times New Roman"/>
          <w:szCs w:val="24"/>
          <w:lang w:val="sr-Cyrl-CS"/>
        </w:rPr>
      </w:pPr>
      <w:bookmarkStart w:id="107" w:name="_Hlk96727257"/>
      <w:r w:rsidRPr="00E84C93">
        <w:rPr>
          <w:rFonts w:cs="Times New Roman"/>
          <w:szCs w:val="24"/>
          <w:lang w:val="sr-Cyrl-CS"/>
        </w:rPr>
        <w:t>и</w:t>
      </w:r>
      <w:r w:rsidR="00AB127C" w:rsidRPr="00E84C93">
        <w:rPr>
          <w:rFonts w:cs="Times New Roman"/>
          <w:szCs w:val="24"/>
          <w:lang w:val="sr-Cyrl-CS"/>
        </w:rPr>
        <w:t>дентификовати локације депонија намењених једној врсти отпада (додељене Центрима за третман муља) ради одлагања сувог муља на нивоу округа</w:t>
      </w:r>
      <w:r w:rsidR="00AB6A44" w:rsidRPr="00E84C93">
        <w:rPr>
          <w:rFonts w:cs="Times New Roman"/>
          <w:szCs w:val="24"/>
          <w:lang w:val="sr-Cyrl-CS"/>
        </w:rPr>
        <w:t>;</w:t>
      </w:r>
    </w:p>
    <w:p w14:paraId="0569B445" w14:textId="378A1AAF" w:rsidR="00AB127C" w:rsidRPr="00E84C93" w:rsidRDefault="009D33A7" w:rsidP="00454348">
      <w:pPr>
        <w:pStyle w:val="ListParagraph"/>
        <w:numPr>
          <w:ilvl w:val="0"/>
          <w:numId w:val="25"/>
        </w:numPr>
        <w:tabs>
          <w:tab w:val="left" w:pos="0"/>
        </w:tabs>
        <w:spacing w:after="0"/>
        <w:ind w:left="0" w:firstLine="720"/>
        <w:jc w:val="both"/>
        <w:rPr>
          <w:rFonts w:cs="Times New Roman"/>
          <w:szCs w:val="24"/>
          <w:lang w:val="sr-Cyrl-CS"/>
        </w:rPr>
      </w:pPr>
      <w:r w:rsidRPr="00E84C93">
        <w:rPr>
          <w:rFonts w:cs="Times New Roman"/>
          <w:szCs w:val="24"/>
          <w:lang w:val="sr-Cyrl-CS"/>
        </w:rPr>
        <w:t>и</w:t>
      </w:r>
      <w:r w:rsidR="00AB127C" w:rsidRPr="00E84C93">
        <w:rPr>
          <w:rFonts w:cs="Times New Roman"/>
          <w:szCs w:val="24"/>
          <w:lang w:val="sr-Cyrl-CS"/>
        </w:rPr>
        <w:t>дентификовати транспортне коридоре за о</w:t>
      </w:r>
      <w:r w:rsidR="003672FC" w:rsidRPr="00E84C93">
        <w:rPr>
          <w:rFonts w:cs="Times New Roman"/>
          <w:szCs w:val="24"/>
          <w:lang w:val="sr-Cyrl-CS"/>
        </w:rPr>
        <w:t>без</w:t>
      </w:r>
      <w:r w:rsidR="00AB127C" w:rsidRPr="00E84C93">
        <w:rPr>
          <w:rFonts w:cs="Times New Roman"/>
          <w:szCs w:val="24"/>
          <w:lang w:val="sr-Cyrl-CS"/>
        </w:rPr>
        <w:t xml:space="preserve">водњени и </w:t>
      </w:r>
      <w:r w:rsidR="003672FC" w:rsidRPr="00E84C93">
        <w:rPr>
          <w:rFonts w:cs="Times New Roman"/>
          <w:szCs w:val="24"/>
          <w:lang w:val="sr-Cyrl-CS"/>
        </w:rPr>
        <w:t>осушени</w:t>
      </w:r>
      <w:r w:rsidR="00AB127C" w:rsidRPr="00E84C93">
        <w:rPr>
          <w:rFonts w:cs="Times New Roman"/>
          <w:szCs w:val="24"/>
          <w:lang w:val="sr-Cyrl-CS"/>
        </w:rPr>
        <w:t xml:space="preserve"> муљ на међуокружном/међуопштинском и регионалном нивоу</w:t>
      </w:r>
      <w:r w:rsidR="00AB6A44" w:rsidRPr="00E84C93">
        <w:rPr>
          <w:rFonts w:cs="Times New Roman"/>
          <w:szCs w:val="24"/>
          <w:lang w:val="sr-Cyrl-CS"/>
        </w:rPr>
        <w:t>;</w:t>
      </w:r>
    </w:p>
    <w:p w14:paraId="433570A4" w14:textId="6687AAA3" w:rsidR="00AB127C" w:rsidRPr="00E84C93" w:rsidRDefault="009D33A7" w:rsidP="00454348">
      <w:pPr>
        <w:pStyle w:val="ListParagraph"/>
        <w:numPr>
          <w:ilvl w:val="0"/>
          <w:numId w:val="25"/>
        </w:numPr>
        <w:tabs>
          <w:tab w:val="left" w:pos="0"/>
        </w:tabs>
        <w:spacing w:after="0"/>
        <w:ind w:left="0" w:firstLine="720"/>
        <w:jc w:val="both"/>
        <w:rPr>
          <w:rFonts w:cs="Times New Roman"/>
          <w:szCs w:val="24"/>
          <w:lang w:val="sr-Cyrl-CS"/>
        </w:rPr>
      </w:pPr>
      <w:r w:rsidRPr="00E84C93">
        <w:rPr>
          <w:rFonts w:cs="Times New Roman"/>
          <w:szCs w:val="24"/>
          <w:lang w:val="sr-Cyrl-CS"/>
        </w:rPr>
        <w:t>и</w:t>
      </w:r>
      <w:r w:rsidR="00AB127C" w:rsidRPr="00E84C93">
        <w:rPr>
          <w:rFonts w:cs="Times New Roman"/>
          <w:szCs w:val="24"/>
          <w:lang w:val="sr-Cyrl-CS"/>
        </w:rPr>
        <w:t xml:space="preserve">дентификовати/потврдити </w:t>
      </w:r>
      <w:r w:rsidR="00EF7CED" w:rsidRPr="00E84C93">
        <w:rPr>
          <w:rFonts w:cs="Times New Roman"/>
          <w:szCs w:val="24"/>
          <w:lang w:val="sr-Cyrl-CS"/>
        </w:rPr>
        <w:t>Регионалне ц</w:t>
      </w:r>
      <w:r w:rsidR="00AB127C" w:rsidRPr="00E84C93">
        <w:rPr>
          <w:rFonts w:cs="Times New Roman"/>
          <w:szCs w:val="24"/>
          <w:lang w:val="sr-Cyrl-CS"/>
        </w:rPr>
        <w:t>ентре за управљање муљем ради груписања Центара за третман муља</w:t>
      </w:r>
      <w:r w:rsidR="00AB6A44" w:rsidRPr="00E84C93">
        <w:rPr>
          <w:rFonts w:cs="Times New Roman"/>
          <w:szCs w:val="24"/>
          <w:lang w:val="sr-Cyrl-CS"/>
        </w:rPr>
        <w:t>;</w:t>
      </w:r>
    </w:p>
    <w:p w14:paraId="742F188B" w14:textId="249E07D6" w:rsidR="00AB127C" w:rsidRPr="00E84C93" w:rsidRDefault="009D33A7" w:rsidP="00454348">
      <w:pPr>
        <w:pStyle w:val="ListParagraph"/>
        <w:numPr>
          <w:ilvl w:val="0"/>
          <w:numId w:val="25"/>
        </w:numPr>
        <w:spacing w:after="0"/>
        <w:ind w:left="0" w:firstLine="720"/>
        <w:jc w:val="both"/>
        <w:rPr>
          <w:rFonts w:cs="Times New Roman"/>
          <w:szCs w:val="24"/>
          <w:lang w:val="sr-Cyrl-CS"/>
        </w:rPr>
      </w:pPr>
      <w:r w:rsidRPr="00E84C93">
        <w:rPr>
          <w:rFonts w:cs="Times New Roman"/>
          <w:szCs w:val="24"/>
          <w:lang w:val="sr-Cyrl-CS"/>
        </w:rPr>
        <w:t>д</w:t>
      </w:r>
      <w:r w:rsidR="00AB127C" w:rsidRPr="00E84C93">
        <w:rPr>
          <w:rFonts w:cs="Times New Roman"/>
          <w:szCs w:val="24"/>
          <w:lang w:val="sr-Cyrl-CS"/>
        </w:rPr>
        <w:t>ефинисати/потврдити укупан третман муља и капацитете спаљивања за Центре управљања муљем</w:t>
      </w:r>
      <w:r w:rsidR="00AB6A44" w:rsidRPr="00E84C93">
        <w:rPr>
          <w:rFonts w:cs="Times New Roman"/>
          <w:szCs w:val="24"/>
          <w:lang w:val="sr-Cyrl-CS"/>
        </w:rPr>
        <w:t>;</w:t>
      </w:r>
    </w:p>
    <w:p w14:paraId="4DCD8BF3" w14:textId="2ED73E37" w:rsidR="00AB127C" w:rsidRPr="00E84C93" w:rsidRDefault="009D33A7" w:rsidP="002D3D85">
      <w:pPr>
        <w:pStyle w:val="ListParagraph"/>
        <w:numPr>
          <w:ilvl w:val="0"/>
          <w:numId w:val="25"/>
        </w:numPr>
        <w:spacing w:after="0"/>
        <w:ind w:left="0" w:firstLine="720"/>
        <w:jc w:val="both"/>
        <w:rPr>
          <w:rFonts w:cs="Times New Roman"/>
          <w:szCs w:val="24"/>
          <w:lang w:val="sr-Cyrl-CS"/>
        </w:rPr>
      </w:pPr>
      <w:r w:rsidRPr="00E84C93">
        <w:rPr>
          <w:rFonts w:cs="Times New Roman"/>
          <w:szCs w:val="24"/>
          <w:lang w:val="sr-Cyrl-CS"/>
        </w:rPr>
        <w:t>и</w:t>
      </w:r>
      <w:r w:rsidR="00AB127C" w:rsidRPr="00E84C93">
        <w:rPr>
          <w:rFonts w:cs="Times New Roman"/>
          <w:szCs w:val="24"/>
          <w:lang w:val="sr-Cyrl-CS"/>
        </w:rPr>
        <w:t xml:space="preserve">дентификовати/потврдити локације депонија намењених једној врсти отпада за коначно одлагање муља и пепела из </w:t>
      </w:r>
      <w:r w:rsidR="00EF7CED" w:rsidRPr="00E84C93">
        <w:rPr>
          <w:rFonts w:cs="Times New Roman"/>
          <w:szCs w:val="24"/>
          <w:lang w:val="sr-Cyrl-CS"/>
        </w:rPr>
        <w:t>Регионалних ц</w:t>
      </w:r>
      <w:r w:rsidR="00AB127C" w:rsidRPr="00E84C93">
        <w:rPr>
          <w:rFonts w:cs="Times New Roman"/>
          <w:szCs w:val="24"/>
          <w:lang w:val="sr-Cyrl-CS"/>
        </w:rPr>
        <w:t>ентара за управљање муљем</w:t>
      </w:r>
      <w:bookmarkEnd w:id="107"/>
      <w:r w:rsidR="00AB127C" w:rsidRPr="00E84C93">
        <w:rPr>
          <w:rFonts w:cs="Times New Roman"/>
          <w:szCs w:val="24"/>
          <w:lang w:val="sr-Cyrl-CS"/>
        </w:rPr>
        <w:t xml:space="preserve">. </w:t>
      </w:r>
    </w:p>
    <w:p w14:paraId="55776274" w14:textId="096029D2" w:rsidR="00006403" w:rsidRPr="00E84C93" w:rsidRDefault="00006403" w:rsidP="00006403">
      <w:pPr>
        <w:spacing w:after="0"/>
        <w:ind w:firstLine="720"/>
        <w:jc w:val="both"/>
        <w:rPr>
          <w:rFonts w:cs="Times New Roman"/>
          <w:szCs w:val="24"/>
          <w:lang w:val="sr-Cyrl-CS" w:eastAsia="en-GB"/>
        </w:rPr>
      </w:pPr>
      <w:r w:rsidRPr="00E84C93">
        <w:rPr>
          <w:rFonts w:cs="Times New Roman"/>
          <w:b/>
          <w:bCs/>
          <w:szCs w:val="24"/>
          <w:lang w:val="sr-Cyrl-CS" w:eastAsia="en-GB"/>
        </w:rPr>
        <w:t>Институција одговорна за реализацију: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Pr="00E84C93">
        <w:rPr>
          <w:rFonts w:cs="Times New Roman"/>
          <w:szCs w:val="24"/>
          <w:lang w:val="sr-Cyrl-CS" w:eastAsia="en-GB"/>
        </w:rPr>
        <w:t xml:space="preserve"> </w:t>
      </w:r>
    </w:p>
    <w:p w14:paraId="6008DFA5" w14:textId="70182FA4" w:rsidR="00006403" w:rsidRPr="00E84C93" w:rsidRDefault="00006403" w:rsidP="00006403">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w:t>
      </w:r>
      <w:r w:rsidR="00A61448" w:rsidRPr="00E84C93">
        <w:rPr>
          <w:rFonts w:ascii="Times New Roman" w:hAnsi="Times New Roman" w:cs="Times New Roman"/>
          <w:sz w:val="24"/>
          <w:szCs w:val="24"/>
          <w:lang w:val="sr-Cyrl-CS" w:eastAsia="en-GB"/>
        </w:rPr>
        <w:t xml:space="preserve"> </w:t>
      </w:r>
      <w:r w:rsidR="00AB6A44" w:rsidRPr="00E84C93">
        <w:rPr>
          <w:rFonts w:ascii="Times New Roman" w:hAnsi="Times New Roman" w:cs="Times New Roman"/>
          <w:sz w:val="24"/>
          <w:szCs w:val="24"/>
          <w:lang w:val="sr-Cyrl-CS" w:eastAsia="en-GB"/>
        </w:rPr>
        <w:t>АП</w:t>
      </w:r>
      <w:r w:rsidR="00FE00A9" w:rsidRPr="00E84C93">
        <w:rPr>
          <w:rFonts w:ascii="Times New Roman" w:hAnsi="Times New Roman" w:cs="Times New Roman"/>
          <w:sz w:val="24"/>
          <w:szCs w:val="24"/>
          <w:lang w:val="sr-Cyrl-CS" w:eastAsia="en-GB"/>
        </w:rPr>
        <w:t>, јединице локалне самоуправе</w:t>
      </w:r>
    </w:p>
    <w:p w14:paraId="2A35E6BF" w14:textId="4F789F2C" w:rsidR="00BC0EB7" w:rsidRPr="00E84C93" w:rsidRDefault="00006403" w:rsidP="00006403">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услуга (ОДУ).</w:t>
      </w:r>
    </w:p>
    <w:p w14:paraId="57021480" w14:textId="010495F7" w:rsidR="00BC0EB7" w:rsidRPr="00E84C93" w:rsidRDefault="00BC0EB7" w:rsidP="00BC0EB7">
      <w:pPr>
        <w:spacing w:after="0"/>
        <w:rPr>
          <w:rFonts w:cs="Times New Roman"/>
          <w:bCs/>
          <w:lang w:val="sr-Cyrl-CS" w:bidi="en-US"/>
        </w:rPr>
      </w:pPr>
    </w:p>
    <w:p w14:paraId="14346615" w14:textId="77777777" w:rsidR="008274EC" w:rsidRPr="00E84C93" w:rsidRDefault="008274EC" w:rsidP="00BC0EB7">
      <w:pPr>
        <w:spacing w:after="0"/>
        <w:rPr>
          <w:rFonts w:cs="Times New Roman"/>
          <w:bCs/>
          <w:lang w:val="sr-Cyrl-CS" w:bidi="en-US"/>
        </w:rPr>
      </w:pPr>
    </w:p>
    <w:p w14:paraId="4F1EC50A" w14:textId="518353F3" w:rsidR="00BC0EB7" w:rsidRPr="00E84C93" w:rsidRDefault="00BC0EB7" w:rsidP="00BC0EB7">
      <w:pPr>
        <w:pBdr>
          <w:top w:val="single" w:sz="4" w:space="1" w:color="auto"/>
          <w:left w:val="single" w:sz="4" w:space="4" w:color="auto"/>
          <w:bottom w:val="single" w:sz="4" w:space="1" w:color="auto"/>
          <w:right w:val="single" w:sz="4" w:space="4" w:color="auto"/>
        </w:pBdr>
        <w:spacing w:after="0" w:line="264" w:lineRule="auto"/>
        <w:jc w:val="both"/>
        <w:rPr>
          <w:szCs w:val="24"/>
          <w:highlight w:val="yellow"/>
          <w:lang w:val="sr-Cyrl-CS" w:eastAsia="en-GB"/>
        </w:rPr>
      </w:pPr>
      <w:r w:rsidRPr="00E84C93">
        <w:rPr>
          <w:b/>
          <w:bCs/>
          <w:szCs w:val="24"/>
          <w:lang w:val="sr-Cyrl-CS" w:eastAsia="en-GB"/>
        </w:rPr>
        <w:t xml:space="preserve">Мера </w:t>
      </w:r>
      <w:r w:rsidR="00A66922" w:rsidRPr="00E84C93">
        <w:rPr>
          <w:b/>
          <w:bCs/>
          <w:szCs w:val="24"/>
          <w:lang w:val="sr-Cyrl-CS" w:eastAsia="en-GB"/>
        </w:rPr>
        <w:t>3</w:t>
      </w:r>
      <w:r w:rsidRPr="00E84C93">
        <w:rPr>
          <w:b/>
          <w:bCs/>
          <w:szCs w:val="24"/>
          <w:lang w:val="sr-Cyrl-CS" w:eastAsia="en-GB"/>
        </w:rPr>
        <w:t>.</w:t>
      </w:r>
      <w:r w:rsidR="00F90CE2" w:rsidRPr="00E84C93">
        <w:rPr>
          <w:b/>
          <w:bCs/>
          <w:szCs w:val="24"/>
          <w:lang w:val="sr-Cyrl-CS" w:eastAsia="en-GB"/>
        </w:rPr>
        <w:t>2</w:t>
      </w:r>
      <w:r w:rsidRPr="00E84C93">
        <w:rPr>
          <w:b/>
          <w:bCs/>
          <w:szCs w:val="24"/>
          <w:lang w:val="sr-Cyrl-CS" w:eastAsia="en-GB"/>
        </w:rPr>
        <w:t xml:space="preserve">. </w:t>
      </w:r>
      <w:r w:rsidR="00075312" w:rsidRPr="00E84C93">
        <w:rPr>
          <w:rFonts w:cs="Times New Roman"/>
          <w:b/>
          <w:lang w:val="sr-Cyrl-CS" w:bidi="en-US"/>
        </w:rPr>
        <w:t xml:space="preserve">Изградња постројења за </w:t>
      </w:r>
      <w:r w:rsidR="00D010D1" w:rsidRPr="00E84C93">
        <w:rPr>
          <w:rFonts w:cs="Times New Roman"/>
          <w:b/>
          <w:lang w:val="sr-Cyrl-CS" w:bidi="en-US"/>
        </w:rPr>
        <w:t>моно</w:t>
      </w:r>
      <w:r w:rsidR="00075312" w:rsidRPr="00E84C93">
        <w:rPr>
          <w:rFonts w:cs="Times New Roman"/>
          <w:b/>
          <w:lang w:val="sr-Cyrl-CS" w:bidi="en-US"/>
        </w:rPr>
        <w:t xml:space="preserve">инсинерацију и </w:t>
      </w:r>
      <w:r w:rsidR="00D010D1" w:rsidRPr="00E84C93">
        <w:rPr>
          <w:rFonts w:cs="Times New Roman"/>
          <w:b/>
          <w:lang w:val="sr-Cyrl-CS" w:bidi="en-US"/>
        </w:rPr>
        <w:t>моно</w:t>
      </w:r>
      <w:r w:rsidR="00075312" w:rsidRPr="00E84C93">
        <w:rPr>
          <w:rFonts w:cs="Times New Roman"/>
          <w:b/>
          <w:lang w:val="sr-Cyrl-CS" w:bidi="en-US"/>
        </w:rPr>
        <w:t>депонија</w:t>
      </w:r>
    </w:p>
    <w:p w14:paraId="6FED7BB9" w14:textId="77777777" w:rsidR="005422AB" w:rsidRPr="00E84C93" w:rsidRDefault="005422AB" w:rsidP="00BC0EB7">
      <w:pPr>
        <w:spacing w:after="0"/>
        <w:rPr>
          <w:rFonts w:cs="Times New Roman"/>
          <w:bCs/>
          <w:highlight w:val="yellow"/>
          <w:lang w:val="sr-Cyrl-CS" w:bidi="en-US"/>
        </w:rPr>
      </w:pPr>
    </w:p>
    <w:p w14:paraId="6A79ED9E" w14:textId="61B7BE41" w:rsidR="00BC0EB7" w:rsidRPr="00E84C93" w:rsidRDefault="00291322" w:rsidP="002A1E30">
      <w:pPr>
        <w:spacing w:after="0"/>
        <w:ind w:firstLine="720"/>
        <w:jc w:val="both"/>
        <w:rPr>
          <w:rFonts w:cs="Times New Roman"/>
          <w:bCs/>
          <w:lang w:val="sr-Cyrl-CS" w:bidi="en-US"/>
        </w:rPr>
      </w:pPr>
      <w:r w:rsidRPr="00E84C93">
        <w:rPr>
          <w:rFonts w:cs="Times New Roman"/>
          <w:bCs/>
          <w:lang w:val="sr-Cyrl-CS" w:bidi="en-US"/>
        </w:rPr>
        <w:t>За успостављање дугорочног система управљања муљем из постројења за пречишћавање отпадних вода</w:t>
      </w:r>
      <w:r w:rsidRPr="00E84C93" w:rsidDel="00291322">
        <w:rPr>
          <w:rFonts w:cs="Times New Roman"/>
          <w:bCs/>
          <w:lang w:val="sr-Cyrl-CS" w:bidi="en-US"/>
        </w:rPr>
        <w:t xml:space="preserve"> </w:t>
      </w:r>
      <w:r w:rsidRPr="00E84C93">
        <w:rPr>
          <w:rFonts w:cs="Times New Roman"/>
          <w:bCs/>
          <w:lang w:val="sr-Cyrl-CS" w:bidi="en-US"/>
        </w:rPr>
        <w:t>п</w:t>
      </w:r>
      <w:r w:rsidR="002A1E30" w:rsidRPr="00E84C93">
        <w:rPr>
          <w:rFonts w:cs="Times New Roman"/>
          <w:bCs/>
          <w:lang w:val="sr-Cyrl-CS" w:bidi="en-US"/>
        </w:rPr>
        <w:t xml:space="preserve">отребна је </w:t>
      </w:r>
      <w:r w:rsidRPr="00E84C93">
        <w:rPr>
          <w:rFonts w:cs="Times New Roman"/>
          <w:bCs/>
          <w:lang w:val="sr-Cyrl-CS" w:bidi="en-US"/>
        </w:rPr>
        <w:t xml:space="preserve">и </w:t>
      </w:r>
      <w:r w:rsidR="002A1E30" w:rsidRPr="00E84C93">
        <w:rPr>
          <w:rFonts w:cs="Times New Roman"/>
          <w:bCs/>
          <w:lang w:val="sr-Cyrl-CS" w:bidi="en-US"/>
        </w:rPr>
        <w:t xml:space="preserve">изградња инфраструктуре за управљање муљем. </w:t>
      </w:r>
    </w:p>
    <w:p w14:paraId="3084B29D" w14:textId="6E81BB9E" w:rsidR="002A1E30" w:rsidRPr="00E84C93" w:rsidRDefault="002A1E30" w:rsidP="002A1E30">
      <w:pPr>
        <w:spacing w:after="0"/>
        <w:ind w:firstLine="720"/>
        <w:jc w:val="both"/>
        <w:rPr>
          <w:rFonts w:cs="Times New Roman"/>
          <w:bCs/>
          <w:lang w:val="sr-Cyrl-CS" w:bidi="en-US"/>
        </w:rPr>
      </w:pPr>
      <w:r w:rsidRPr="00E84C93">
        <w:rPr>
          <w:rFonts w:cs="Times New Roman"/>
          <w:bCs/>
          <w:lang w:val="sr-Cyrl-CS" w:bidi="en-US"/>
        </w:rPr>
        <w:t xml:space="preserve">Планира се изградња </w:t>
      </w:r>
      <w:r w:rsidR="00041C34" w:rsidRPr="00E84C93">
        <w:rPr>
          <w:rFonts w:cs="Times New Roman"/>
          <w:bCs/>
          <w:lang w:val="sr-Cyrl-CS" w:bidi="en-US"/>
        </w:rPr>
        <w:t xml:space="preserve">три </w:t>
      </w:r>
      <w:r w:rsidR="00D010D1" w:rsidRPr="00E84C93">
        <w:rPr>
          <w:rFonts w:cs="Times New Roman"/>
          <w:bCs/>
          <w:lang w:val="sr-Cyrl-CS" w:bidi="en-US"/>
        </w:rPr>
        <w:t>моно</w:t>
      </w:r>
      <w:r w:rsidRPr="00E84C93">
        <w:rPr>
          <w:rFonts w:cs="Times New Roman"/>
          <w:bCs/>
          <w:lang w:val="sr-Cyrl-CS" w:bidi="en-US"/>
        </w:rPr>
        <w:t xml:space="preserve">инсинератора са </w:t>
      </w:r>
      <w:r w:rsidR="00D010D1" w:rsidRPr="00E84C93">
        <w:rPr>
          <w:rFonts w:cs="Times New Roman"/>
          <w:bCs/>
          <w:lang w:val="sr-Cyrl-CS" w:bidi="en-US"/>
        </w:rPr>
        <w:t>моно</w:t>
      </w:r>
      <w:r w:rsidRPr="00E84C93">
        <w:rPr>
          <w:rFonts w:cs="Times New Roman"/>
          <w:bCs/>
          <w:lang w:val="sr-Cyrl-CS" w:bidi="en-US"/>
        </w:rPr>
        <w:t xml:space="preserve">депонијама у Београду, Новом Саду и Нишу. </w:t>
      </w:r>
    </w:p>
    <w:p w14:paraId="7DA0951F" w14:textId="333904C0" w:rsidR="006476DC" w:rsidRPr="00E84C93" w:rsidRDefault="00BC5571" w:rsidP="00DB3DFD">
      <w:pPr>
        <w:spacing w:after="0"/>
        <w:ind w:firstLine="720"/>
        <w:jc w:val="both"/>
        <w:rPr>
          <w:rFonts w:cs="Times New Roman"/>
          <w:bCs/>
          <w:lang w:val="sr-Cyrl-CS" w:bidi="en-US"/>
        </w:rPr>
      </w:pPr>
      <w:r w:rsidRPr="00E84C93">
        <w:rPr>
          <w:rFonts w:cs="Times New Roman"/>
          <w:bCs/>
          <w:lang w:val="sr-Cyrl-CS" w:bidi="en-US"/>
        </w:rPr>
        <w:t>Моноспаљивање муља (без мешања са другим отпадом) је оптимално решење за смањење масе и на тај начин минимизирање трошкова транспорта и/или коначног одлагања муља, сагоревањем у високо-температурном инсинератору на температури између 850°C и 950°C.</w:t>
      </w:r>
    </w:p>
    <w:p w14:paraId="0958ED7D" w14:textId="2D780701" w:rsidR="003E58B4" w:rsidRPr="00E84C93" w:rsidRDefault="002A1E30" w:rsidP="002A1E30">
      <w:pPr>
        <w:spacing w:after="0"/>
        <w:ind w:firstLine="720"/>
        <w:jc w:val="both"/>
        <w:rPr>
          <w:rFonts w:cs="Times New Roman"/>
          <w:bCs/>
          <w:lang w:val="sr-Cyrl-CS" w:bidi="en-US"/>
        </w:rPr>
      </w:pPr>
      <w:r w:rsidRPr="00E84C93">
        <w:rPr>
          <w:rFonts w:cs="Times New Roman"/>
          <w:bCs/>
          <w:lang w:val="sr-Cyrl-CS" w:bidi="en-US"/>
        </w:rPr>
        <w:t xml:space="preserve">Потребно је на нивоу округа изградити Центре за третман муља који ће прихватати на третман муљ из постројења за пречишћавање отпадних вода у округу. </w:t>
      </w:r>
    </w:p>
    <w:p w14:paraId="2E7ED51A" w14:textId="017F64C1" w:rsidR="003E58B4" w:rsidRPr="00E84C93" w:rsidRDefault="002A1E30" w:rsidP="003E58B4">
      <w:pPr>
        <w:spacing w:after="0"/>
        <w:ind w:firstLine="720"/>
        <w:jc w:val="both"/>
        <w:rPr>
          <w:rFonts w:eastAsia="Times New Roman" w:cs="Times New Roman"/>
          <w:color w:val="000000"/>
          <w:szCs w:val="24"/>
          <w:lang w:val="sr-Cyrl-CS"/>
        </w:rPr>
      </w:pPr>
      <w:r w:rsidRPr="00E84C93">
        <w:rPr>
          <w:rFonts w:cs="Times New Roman"/>
          <w:bCs/>
          <w:lang w:val="sr-Cyrl-CS" w:bidi="en-US"/>
        </w:rPr>
        <w:t>Центри за третман муља такође</w:t>
      </w:r>
      <w:r w:rsidR="001D2AB6" w:rsidRPr="00E84C93">
        <w:rPr>
          <w:rFonts w:cs="Times New Roman"/>
          <w:bCs/>
          <w:lang w:val="sr-Cyrl-CS" w:bidi="en-US"/>
        </w:rPr>
        <w:t xml:space="preserve"> ће</w:t>
      </w:r>
      <w:r w:rsidRPr="00E84C93">
        <w:rPr>
          <w:rFonts w:cs="Times New Roman"/>
          <w:bCs/>
          <w:lang w:val="sr-Cyrl-CS" w:bidi="en-US"/>
        </w:rPr>
        <w:t xml:space="preserve"> имати </w:t>
      </w:r>
      <w:r w:rsidR="00D010D1" w:rsidRPr="00E84C93">
        <w:rPr>
          <w:rFonts w:cs="Times New Roman"/>
          <w:bCs/>
          <w:lang w:val="sr-Cyrl-CS" w:bidi="en-US"/>
        </w:rPr>
        <w:t>моно</w:t>
      </w:r>
      <w:r w:rsidRPr="00E84C93">
        <w:rPr>
          <w:rFonts w:cs="Times New Roman"/>
          <w:bCs/>
          <w:lang w:val="sr-Cyrl-CS" w:bidi="en-US"/>
        </w:rPr>
        <w:t>депоније.</w:t>
      </w:r>
      <w:r w:rsidR="003E58B4" w:rsidRPr="00E84C93">
        <w:rPr>
          <w:rFonts w:cs="Times New Roman"/>
          <w:bCs/>
          <w:lang w:val="sr-Cyrl-CS" w:bidi="en-US"/>
        </w:rPr>
        <w:t xml:space="preserve"> </w:t>
      </w:r>
      <w:r w:rsidR="007652B0" w:rsidRPr="00E84C93">
        <w:rPr>
          <w:rFonts w:cs="Times New Roman"/>
          <w:szCs w:val="24"/>
          <w:lang w:val="sr-Cyrl-CS"/>
        </w:rPr>
        <w:t>Монодепониј</w:t>
      </w:r>
      <w:r w:rsidR="003E58B4" w:rsidRPr="00E84C93">
        <w:rPr>
          <w:rFonts w:cs="Times New Roman"/>
          <w:szCs w:val="24"/>
          <w:lang w:val="sr-Cyrl-CS"/>
        </w:rPr>
        <w:t>а је депонија</w:t>
      </w:r>
      <w:r w:rsidR="007652B0" w:rsidRPr="00E84C93">
        <w:rPr>
          <w:rFonts w:cs="Times New Roman"/>
          <w:szCs w:val="24"/>
          <w:lang w:val="sr-Cyrl-CS"/>
        </w:rPr>
        <w:t xml:space="preserve"> намењен</w:t>
      </w:r>
      <w:r w:rsidR="003E58B4" w:rsidRPr="00E84C93">
        <w:rPr>
          <w:rFonts w:cs="Times New Roman"/>
          <w:szCs w:val="24"/>
          <w:lang w:val="sr-Cyrl-CS"/>
        </w:rPr>
        <w:t xml:space="preserve">а одлагању </w:t>
      </w:r>
      <w:r w:rsidR="003E58B4" w:rsidRPr="00E84C93">
        <w:rPr>
          <w:rFonts w:eastAsia="Times New Roman" w:cs="Times New Roman"/>
          <w:color w:val="000000"/>
          <w:szCs w:val="24"/>
          <w:lang w:val="sr-Cyrl-CS"/>
        </w:rPr>
        <w:t>само једне одређене врсте отпада под контролисаним и еколошки прихватљивим условима</w:t>
      </w:r>
      <w:r w:rsidR="007652B0" w:rsidRPr="00E84C93">
        <w:rPr>
          <w:rFonts w:cs="Times New Roman"/>
          <w:szCs w:val="24"/>
          <w:lang w:val="sr-Cyrl-CS"/>
        </w:rPr>
        <w:t xml:space="preserve">, </w:t>
      </w:r>
      <w:r w:rsidR="003E58B4" w:rsidRPr="00E84C93">
        <w:rPr>
          <w:rFonts w:cs="Times New Roman"/>
          <w:szCs w:val="24"/>
          <w:lang w:val="sr-Cyrl-CS"/>
        </w:rPr>
        <w:t xml:space="preserve">у овом случају </w:t>
      </w:r>
      <w:r w:rsidR="007652B0" w:rsidRPr="00E84C93">
        <w:rPr>
          <w:rFonts w:cs="Times New Roman"/>
          <w:szCs w:val="24"/>
          <w:lang w:val="sr-Cyrl-CS"/>
        </w:rPr>
        <w:t xml:space="preserve">сувог муља на нивоу округа </w:t>
      </w:r>
      <w:r w:rsidR="007652B0" w:rsidRPr="00E84C93">
        <w:rPr>
          <w:rFonts w:cs="Times New Roman"/>
          <w:sz w:val="20"/>
          <w:szCs w:val="20"/>
          <w:lang w:val="sr-Cyrl-CS"/>
        </w:rPr>
        <w:t>(</w:t>
      </w:r>
      <w:r w:rsidR="007652B0" w:rsidRPr="00E84C93">
        <w:rPr>
          <w:rFonts w:cs="Times New Roman"/>
          <w:szCs w:val="24"/>
          <w:lang w:val="sr-Cyrl-CS"/>
        </w:rPr>
        <w:t xml:space="preserve">у оквиру Центара за </w:t>
      </w:r>
      <w:r w:rsidR="003E58B4" w:rsidRPr="00E84C93">
        <w:rPr>
          <w:rFonts w:cs="Times New Roman"/>
          <w:szCs w:val="24"/>
          <w:lang w:val="sr-Cyrl-CS"/>
        </w:rPr>
        <w:t xml:space="preserve">третман муља). То значи да је </w:t>
      </w:r>
      <w:r w:rsidR="003E58B4" w:rsidRPr="00E84C93">
        <w:rPr>
          <w:rFonts w:eastAsia="Times New Roman" w:cs="Times New Roman"/>
          <w:color w:val="000000"/>
          <w:szCs w:val="24"/>
          <w:lang w:val="sr-Cyrl-CS"/>
        </w:rPr>
        <w:t>отпад који се одлаже познат у погледу порекла</w:t>
      </w:r>
      <w:r w:rsidR="00EB2811" w:rsidRPr="00E84C93">
        <w:rPr>
          <w:rFonts w:eastAsia="Times New Roman" w:cs="Times New Roman"/>
          <w:color w:val="000000"/>
          <w:szCs w:val="24"/>
          <w:lang w:val="sr-Cyrl-CS"/>
        </w:rPr>
        <w:t xml:space="preserve"> и</w:t>
      </w:r>
      <w:r w:rsidR="003E58B4" w:rsidRPr="00E84C93">
        <w:rPr>
          <w:rFonts w:eastAsia="Times New Roman" w:cs="Times New Roman"/>
          <w:color w:val="000000"/>
          <w:szCs w:val="24"/>
          <w:lang w:val="sr-Cyrl-CS"/>
        </w:rPr>
        <w:t xml:space="preserve"> састава.</w:t>
      </w:r>
      <w:r w:rsidR="008C5969" w:rsidRPr="00E84C93">
        <w:rPr>
          <w:rFonts w:eastAsia="Times New Roman" w:cs="Times New Roman"/>
          <w:color w:val="000000"/>
          <w:szCs w:val="24"/>
          <w:lang w:val="sr-Cyrl-CS"/>
        </w:rPr>
        <w:t xml:space="preserve"> </w:t>
      </w:r>
      <w:r w:rsidR="003E58B4" w:rsidRPr="00E84C93">
        <w:rPr>
          <w:rFonts w:eastAsia="Times New Roman" w:cs="Times New Roman"/>
          <w:color w:val="000000"/>
          <w:szCs w:val="24"/>
          <w:lang w:val="sr-Cyrl-CS"/>
        </w:rPr>
        <w:t>Монодепонија мора бити уређена као једна депонијска јединица са активним и/или пасивним мерама заштите животне средине прилагођеним саставу одређене врсте отпада. Монодепоније се користе тамо где постоји потреба за одлагањем једне врсте отпада.</w:t>
      </w:r>
    </w:p>
    <w:p w14:paraId="6CF372F2" w14:textId="2D7FA7D6" w:rsidR="00006403" w:rsidRPr="00E84C93" w:rsidRDefault="00006403" w:rsidP="00006403">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w:t>
      </w:r>
      <w:r w:rsidR="00DD1BCE" w:rsidRPr="00E84C93">
        <w:rPr>
          <w:rFonts w:cs="Times New Roman"/>
          <w:b/>
          <w:bCs/>
          <w:szCs w:val="24"/>
          <w:lang w:val="sr-Cyrl-CS" w:eastAsia="en-GB"/>
        </w:rPr>
        <w:t>а</w:t>
      </w:r>
      <w:r w:rsidRPr="00E84C93">
        <w:rPr>
          <w:rFonts w:cs="Times New Roman"/>
          <w:b/>
          <w:bCs/>
          <w:szCs w:val="24"/>
          <w:lang w:val="sr-Cyrl-CS" w:eastAsia="en-GB"/>
        </w:rPr>
        <w:t>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Pr="00E84C93">
        <w:rPr>
          <w:rFonts w:cs="Times New Roman"/>
          <w:szCs w:val="24"/>
          <w:lang w:val="sr-Cyrl-CS" w:eastAsia="en-GB"/>
        </w:rPr>
        <w:t xml:space="preserve">, Аутономна покрајина, јединице локалне самоуправе </w:t>
      </w:r>
    </w:p>
    <w:p w14:paraId="528D8CFF" w14:textId="77777777" w:rsidR="00006403" w:rsidRPr="00E84C93" w:rsidRDefault="00006403" w:rsidP="00006403">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Cs/>
          <w:sz w:val="24"/>
          <w:szCs w:val="24"/>
          <w:lang w:val="sr-Cyrl-CS" w:eastAsia="en-GB"/>
        </w:rPr>
        <w:t>Министарство финансија, Министарство државне управе и локалне самоуправе.</w:t>
      </w:r>
      <w:r w:rsidRPr="00E84C93">
        <w:rPr>
          <w:rFonts w:ascii="Times New Roman" w:hAnsi="Times New Roman" w:cs="Times New Roman"/>
          <w:b/>
          <w:bCs/>
          <w:sz w:val="24"/>
          <w:szCs w:val="24"/>
          <w:lang w:val="sr-Cyrl-CS" w:eastAsia="en-GB"/>
        </w:rPr>
        <w:t xml:space="preserve"> </w:t>
      </w:r>
    </w:p>
    <w:p w14:paraId="7D09EB9B" w14:textId="183D66D7" w:rsidR="00C57A19" w:rsidRPr="00E84C93" w:rsidRDefault="00006403" w:rsidP="00347E2C">
      <w:pPr>
        <w:spacing w:after="0"/>
        <w:ind w:firstLine="720"/>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Обезбеђивање добара и услуга</w:t>
      </w:r>
      <w:r w:rsidR="007868F4" w:rsidRPr="00E84C93">
        <w:rPr>
          <w:rFonts w:cs="Times New Roman"/>
          <w:szCs w:val="24"/>
          <w:lang w:val="sr-Cyrl-CS" w:eastAsia="en-GB"/>
        </w:rPr>
        <w:t xml:space="preserve"> </w:t>
      </w:r>
      <w:r w:rsidRPr="00E84C93">
        <w:rPr>
          <w:rFonts w:cs="Times New Roman"/>
          <w:szCs w:val="24"/>
          <w:lang w:val="sr-Cyrl-CS" w:eastAsia="en-GB"/>
        </w:rPr>
        <w:t>(ОДУ)</w:t>
      </w:r>
    </w:p>
    <w:p w14:paraId="68A86AEE" w14:textId="77777777" w:rsidR="005353A4" w:rsidRPr="00E84C93" w:rsidRDefault="005353A4" w:rsidP="008915DE">
      <w:pPr>
        <w:spacing w:after="0"/>
        <w:ind w:firstLine="720"/>
        <w:rPr>
          <w:b/>
          <w:color w:val="2E74B5" w:themeColor="accent1" w:themeShade="BF"/>
          <w:szCs w:val="24"/>
          <w:lang w:val="sr-Cyrl-CS"/>
        </w:rPr>
      </w:pPr>
    </w:p>
    <w:p w14:paraId="39F9BCFC" w14:textId="5EFDBE60" w:rsidR="008915DE" w:rsidRPr="00E84C93" w:rsidRDefault="008915DE" w:rsidP="00BC0EB7">
      <w:pPr>
        <w:pBdr>
          <w:top w:val="single" w:sz="4" w:space="1" w:color="auto"/>
          <w:left w:val="single" w:sz="4" w:space="4" w:color="auto"/>
          <w:bottom w:val="single" w:sz="4" w:space="1" w:color="auto"/>
          <w:right w:val="single" w:sz="4" w:space="4" w:color="auto"/>
        </w:pBdr>
        <w:spacing w:after="0"/>
        <w:rPr>
          <w:b/>
          <w:color w:val="2E74B5" w:themeColor="accent1" w:themeShade="BF"/>
          <w:szCs w:val="24"/>
          <w:lang w:val="sr-Cyrl-CS"/>
        </w:rPr>
      </w:pPr>
      <w:r w:rsidRPr="00E84C93">
        <w:rPr>
          <w:b/>
          <w:color w:val="2E74B5" w:themeColor="accent1" w:themeShade="BF"/>
          <w:szCs w:val="24"/>
          <w:lang w:val="sr-Cyrl-CS"/>
        </w:rPr>
        <w:t xml:space="preserve">Посебан циљ 4. Ојачан капацитет </w:t>
      </w:r>
      <w:r w:rsidR="0037754F" w:rsidRPr="00E84C93">
        <w:rPr>
          <w:b/>
          <w:color w:val="2E74B5" w:themeColor="accent1" w:themeShade="BF"/>
          <w:szCs w:val="24"/>
          <w:lang w:val="sr-Cyrl-CS"/>
        </w:rPr>
        <w:t>субјеката у области управљања муљем</w:t>
      </w:r>
    </w:p>
    <w:p w14:paraId="3594629B" w14:textId="1897B20C" w:rsidR="008915DE" w:rsidRPr="00E84C93" w:rsidRDefault="008915DE" w:rsidP="008915DE">
      <w:pPr>
        <w:spacing w:after="0"/>
        <w:ind w:firstLine="720"/>
        <w:rPr>
          <w:b/>
          <w:color w:val="2E74B5" w:themeColor="accent1" w:themeShade="BF"/>
          <w:szCs w:val="24"/>
          <w:lang w:val="sr-Cyrl-CS"/>
        </w:rPr>
      </w:pPr>
    </w:p>
    <w:p w14:paraId="4E039CE3" w14:textId="6FCE1AA9" w:rsidR="008915DE" w:rsidRPr="00E84C93" w:rsidRDefault="008915DE" w:rsidP="008915DE">
      <w:pPr>
        <w:keepNext/>
        <w:pBdr>
          <w:top w:val="single" w:sz="4" w:space="1" w:color="auto"/>
          <w:left w:val="single" w:sz="4" w:space="4" w:color="auto"/>
          <w:bottom w:val="single" w:sz="4" w:space="1" w:color="auto"/>
          <w:right w:val="single" w:sz="4" w:space="4" w:color="auto"/>
        </w:pBdr>
        <w:suppressAutoHyphens/>
        <w:outlineLvl w:val="3"/>
        <w:rPr>
          <w:b/>
          <w:bCs/>
          <w:noProof/>
          <w:szCs w:val="24"/>
          <w:lang w:val="sr-Cyrl-CS"/>
        </w:rPr>
      </w:pPr>
      <w:r w:rsidRPr="00E84C93">
        <w:rPr>
          <w:rFonts w:cs="Times New Roman"/>
          <w:b/>
          <w:noProof/>
          <w:szCs w:val="24"/>
          <w:lang w:val="sr-Cyrl-CS"/>
        </w:rPr>
        <w:t>Мера 4.</w:t>
      </w:r>
      <w:r w:rsidR="00BC0EB7" w:rsidRPr="00E84C93">
        <w:rPr>
          <w:rFonts w:cs="Times New Roman"/>
          <w:b/>
          <w:noProof/>
          <w:szCs w:val="24"/>
          <w:lang w:val="sr-Cyrl-CS"/>
        </w:rPr>
        <w:t>1</w:t>
      </w:r>
      <w:r w:rsidRPr="00E84C93">
        <w:rPr>
          <w:rFonts w:cs="Times New Roman"/>
          <w:b/>
          <w:noProof/>
          <w:szCs w:val="24"/>
          <w:lang w:val="sr-Cyrl-CS"/>
        </w:rPr>
        <w:t>.</w:t>
      </w:r>
      <w:r w:rsidRPr="00E84C93">
        <w:rPr>
          <w:b/>
          <w:bCs/>
          <w:noProof/>
          <w:szCs w:val="24"/>
          <w:lang w:val="sr-Cyrl-CS"/>
        </w:rPr>
        <w:t xml:space="preserve"> </w:t>
      </w:r>
      <w:r w:rsidRPr="00E84C93">
        <w:rPr>
          <w:b/>
          <w:lang w:val="sr-Cyrl-CS"/>
        </w:rPr>
        <w:t xml:space="preserve">Јачање </w:t>
      </w:r>
      <w:r w:rsidRPr="00E84C93">
        <w:rPr>
          <w:b/>
          <w:bCs/>
          <w:lang w:val="sr-Cyrl-CS"/>
        </w:rPr>
        <w:t xml:space="preserve">административних и институционалних капацитета </w:t>
      </w:r>
      <w:r w:rsidR="00006403" w:rsidRPr="00E84C93">
        <w:rPr>
          <w:b/>
          <w:bCs/>
          <w:lang w:val="sr-Cyrl-CS"/>
        </w:rPr>
        <w:t xml:space="preserve">надлежних институција </w:t>
      </w:r>
      <w:r w:rsidRPr="00E84C93">
        <w:rPr>
          <w:b/>
          <w:bCs/>
          <w:lang w:val="sr-Cyrl-CS"/>
        </w:rPr>
        <w:t xml:space="preserve">за управљање </w:t>
      </w:r>
      <w:r w:rsidR="00BC0EB7" w:rsidRPr="00E84C93">
        <w:rPr>
          <w:b/>
          <w:bCs/>
          <w:lang w:val="sr-Cyrl-CS"/>
        </w:rPr>
        <w:t>муљем</w:t>
      </w:r>
    </w:p>
    <w:p w14:paraId="5CB30EFA" w14:textId="77777777" w:rsidR="00C57A19" w:rsidRPr="00E84C93" w:rsidRDefault="00C57A19" w:rsidP="007F590E">
      <w:pPr>
        <w:spacing w:after="0"/>
        <w:ind w:firstLine="720"/>
        <w:jc w:val="both"/>
        <w:rPr>
          <w:noProof/>
          <w:szCs w:val="24"/>
          <w:lang w:val="sr-Cyrl-CS" w:eastAsia="en-GB"/>
        </w:rPr>
      </w:pPr>
    </w:p>
    <w:p w14:paraId="57932287" w14:textId="4CBDDC92" w:rsidR="001D17DD" w:rsidRPr="00E84C93" w:rsidRDefault="00C23F1A" w:rsidP="007F590E">
      <w:pPr>
        <w:spacing w:after="0"/>
        <w:ind w:firstLine="720"/>
        <w:jc w:val="both"/>
        <w:rPr>
          <w:noProof/>
          <w:szCs w:val="24"/>
          <w:lang w:val="sr-Cyrl-CS" w:eastAsia="en-GB"/>
        </w:rPr>
      </w:pPr>
      <w:r w:rsidRPr="00E84C93">
        <w:rPr>
          <w:noProof/>
          <w:szCs w:val="24"/>
          <w:lang w:val="sr-Cyrl-CS" w:eastAsia="en-GB"/>
        </w:rPr>
        <w:t>За обезбеђивање спровођења предвиђених мера за успостављање како краткорочних тако и дугорочних решења у области упра</w:t>
      </w:r>
      <w:r w:rsidR="00D80F2A" w:rsidRPr="00E84C93">
        <w:rPr>
          <w:noProof/>
          <w:szCs w:val="24"/>
          <w:lang w:val="sr-Cyrl-CS" w:eastAsia="en-GB"/>
        </w:rPr>
        <w:t>вљања муљем, с обзиром да се до сада ови послови нису обављали у надлежним ин</w:t>
      </w:r>
      <w:r w:rsidR="00822768" w:rsidRPr="00E84C93">
        <w:rPr>
          <w:noProof/>
          <w:szCs w:val="24"/>
          <w:lang w:val="sr-Cyrl-CS" w:eastAsia="en-GB"/>
        </w:rPr>
        <w:t>ститу</w:t>
      </w:r>
      <w:r w:rsidR="00D80F2A" w:rsidRPr="00E84C93">
        <w:rPr>
          <w:noProof/>
          <w:szCs w:val="24"/>
          <w:lang w:val="sr-Cyrl-CS" w:eastAsia="en-GB"/>
        </w:rPr>
        <w:t>цијама п</w:t>
      </w:r>
      <w:r w:rsidR="008915DE" w:rsidRPr="00E84C93">
        <w:rPr>
          <w:noProof/>
          <w:szCs w:val="24"/>
          <w:lang w:val="sr-Cyrl-CS" w:eastAsia="en-GB"/>
        </w:rPr>
        <w:t xml:space="preserve">отребно је јачање </w:t>
      </w:r>
      <w:r w:rsidR="00822768" w:rsidRPr="00E84C93">
        <w:rPr>
          <w:noProof/>
          <w:szCs w:val="24"/>
          <w:lang w:val="sr-Cyrl-CS" w:eastAsia="en-GB"/>
        </w:rPr>
        <w:t xml:space="preserve">њихових </w:t>
      </w:r>
      <w:r w:rsidR="008915DE" w:rsidRPr="00E84C93">
        <w:rPr>
          <w:noProof/>
          <w:szCs w:val="24"/>
          <w:lang w:val="sr-Cyrl-CS" w:eastAsia="en-GB"/>
        </w:rPr>
        <w:t>капацитета</w:t>
      </w:r>
      <w:r w:rsidR="00D80F2A" w:rsidRPr="00E84C93">
        <w:rPr>
          <w:noProof/>
          <w:szCs w:val="24"/>
          <w:lang w:val="sr-Cyrl-CS" w:eastAsia="en-GB"/>
        </w:rPr>
        <w:t>. У првом реду, потребно је ојачати капацитет</w:t>
      </w:r>
      <w:r w:rsidR="00822768" w:rsidRPr="00E84C93">
        <w:rPr>
          <w:noProof/>
          <w:szCs w:val="24"/>
          <w:lang w:val="sr-Cyrl-CS" w:eastAsia="en-GB"/>
        </w:rPr>
        <w:t>е</w:t>
      </w:r>
      <w:r w:rsidR="00D80F2A" w:rsidRPr="00E84C93">
        <w:rPr>
          <w:noProof/>
          <w:szCs w:val="24"/>
          <w:lang w:val="sr-Cyrl-CS" w:eastAsia="en-GB"/>
        </w:rPr>
        <w:t xml:space="preserve"> Министарства заштите жив</w:t>
      </w:r>
      <w:r w:rsidR="00822768" w:rsidRPr="00E84C93">
        <w:rPr>
          <w:noProof/>
          <w:szCs w:val="24"/>
          <w:lang w:val="sr-Cyrl-CS" w:eastAsia="en-GB"/>
        </w:rPr>
        <w:t>о</w:t>
      </w:r>
      <w:r w:rsidR="00D80F2A" w:rsidRPr="00E84C93">
        <w:rPr>
          <w:noProof/>
          <w:szCs w:val="24"/>
          <w:lang w:val="sr-Cyrl-CS" w:eastAsia="en-GB"/>
        </w:rPr>
        <w:t xml:space="preserve">тне средине, </w:t>
      </w:r>
      <w:r w:rsidR="000C1771" w:rsidRPr="00E84C93">
        <w:rPr>
          <w:noProof/>
          <w:szCs w:val="24"/>
          <w:lang w:val="sr-Cyrl-CS" w:eastAsia="en-GB"/>
        </w:rPr>
        <w:t xml:space="preserve">Министарства пољопривреде, шумарства и водопривреде, </w:t>
      </w:r>
      <w:r w:rsidR="00432A47" w:rsidRPr="00E84C93">
        <w:rPr>
          <w:noProof/>
          <w:szCs w:val="24"/>
          <w:lang w:val="sr-Cyrl-CS" w:eastAsia="en-GB"/>
        </w:rPr>
        <w:t>АП</w:t>
      </w:r>
      <w:r w:rsidR="001D2AB6" w:rsidRPr="00E84C93">
        <w:rPr>
          <w:noProof/>
          <w:szCs w:val="24"/>
          <w:lang w:val="sr-Cyrl-CS" w:eastAsia="en-GB"/>
        </w:rPr>
        <w:t xml:space="preserve"> Војводине</w:t>
      </w:r>
      <w:r w:rsidR="00D80F2A" w:rsidRPr="00E84C93">
        <w:rPr>
          <w:noProof/>
          <w:szCs w:val="24"/>
          <w:lang w:val="sr-Cyrl-CS" w:eastAsia="en-GB"/>
        </w:rPr>
        <w:t xml:space="preserve"> и </w:t>
      </w:r>
      <w:r w:rsidR="008915DE" w:rsidRPr="00E84C93">
        <w:rPr>
          <w:noProof/>
          <w:szCs w:val="24"/>
          <w:lang w:val="sr-Cyrl-CS" w:eastAsia="en-GB"/>
        </w:rPr>
        <w:t>јединица локалне самоуправе</w:t>
      </w:r>
      <w:r w:rsidR="00D60DBE" w:rsidRPr="00E84C93">
        <w:rPr>
          <w:noProof/>
          <w:szCs w:val="24"/>
          <w:lang w:val="sr-Cyrl-CS" w:eastAsia="en-GB"/>
        </w:rPr>
        <w:t xml:space="preserve">. Потребно је </w:t>
      </w:r>
      <w:r w:rsidR="00CF27A7" w:rsidRPr="00E84C93">
        <w:rPr>
          <w:noProof/>
          <w:szCs w:val="24"/>
          <w:lang w:val="sr-Cyrl-CS" w:eastAsia="en-GB"/>
        </w:rPr>
        <w:t>јасно ра</w:t>
      </w:r>
      <w:r w:rsidR="001C0835" w:rsidRPr="00E84C93">
        <w:rPr>
          <w:noProof/>
          <w:szCs w:val="24"/>
          <w:lang w:val="sr-Cyrl-CS" w:eastAsia="en-GB"/>
        </w:rPr>
        <w:t>з</w:t>
      </w:r>
      <w:r w:rsidR="00CF27A7" w:rsidRPr="00E84C93">
        <w:rPr>
          <w:noProof/>
          <w:szCs w:val="24"/>
          <w:lang w:val="sr-Cyrl-CS" w:eastAsia="en-GB"/>
        </w:rPr>
        <w:t>граничити</w:t>
      </w:r>
      <w:r w:rsidR="00D60DBE" w:rsidRPr="00E84C93">
        <w:rPr>
          <w:noProof/>
          <w:szCs w:val="24"/>
          <w:lang w:val="sr-Cyrl-CS" w:eastAsia="en-GB"/>
        </w:rPr>
        <w:t xml:space="preserve"> </w:t>
      </w:r>
      <w:r w:rsidR="001C0835" w:rsidRPr="00E84C93">
        <w:rPr>
          <w:noProof/>
          <w:szCs w:val="24"/>
          <w:lang w:val="sr-Cyrl-CS" w:eastAsia="en-GB"/>
        </w:rPr>
        <w:t>задужења</w:t>
      </w:r>
      <w:r w:rsidR="00D60DBE" w:rsidRPr="00E84C93">
        <w:rPr>
          <w:noProof/>
          <w:szCs w:val="24"/>
          <w:lang w:val="sr-Cyrl-CS" w:eastAsia="en-GB"/>
        </w:rPr>
        <w:t xml:space="preserve"> за управљање муљем из постројења за пречишћавање отпадних вода и </w:t>
      </w:r>
      <w:r w:rsidR="001C0835" w:rsidRPr="00E84C93">
        <w:rPr>
          <w:noProof/>
          <w:szCs w:val="24"/>
          <w:lang w:val="sr-Cyrl-CS" w:eastAsia="en-GB"/>
        </w:rPr>
        <w:t>успостав</w:t>
      </w:r>
      <w:r w:rsidR="009641B2" w:rsidRPr="00E84C93">
        <w:rPr>
          <w:noProof/>
          <w:szCs w:val="24"/>
          <w:lang w:val="sr-Cyrl-CS" w:eastAsia="en-GB"/>
        </w:rPr>
        <w:t>ити</w:t>
      </w:r>
      <w:r w:rsidR="00D60DBE" w:rsidRPr="00E84C93">
        <w:rPr>
          <w:noProof/>
          <w:szCs w:val="24"/>
          <w:lang w:val="sr-Cyrl-CS" w:eastAsia="en-GB"/>
        </w:rPr>
        <w:t xml:space="preserve"> </w:t>
      </w:r>
      <w:r w:rsidR="001C0835" w:rsidRPr="00E84C93">
        <w:rPr>
          <w:noProof/>
          <w:szCs w:val="24"/>
          <w:lang w:val="sr-Cyrl-CS" w:eastAsia="en-GB"/>
        </w:rPr>
        <w:t>одговарајућ</w:t>
      </w:r>
      <w:r w:rsidR="009641B2" w:rsidRPr="00E84C93">
        <w:rPr>
          <w:noProof/>
          <w:szCs w:val="24"/>
          <w:lang w:val="sr-Cyrl-CS" w:eastAsia="en-GB"/>
        </w:rPr>
        <w:t>е</w:t>
      </w:r>
      <w:r w:rsidR="001C0835" w:rsidRPr="00E84C93">
        <w:rPr>
          <w:noProof/>
          <w:szCs w:val="24"/>
          <w:lang w:val="sr-Cyrl-CS" w:eastAsia="en-GB"/>
        </w:rPr>
        <w:t xml:space="preserve"> механизм</w:t>
      </w:r>
      <w:r w:rsidR="009641B2" w:rsidRPr="00E84C93">
        <w:rPr>
          <w:noProof/>
          <w:szCs w:val="24"/>
          <w:lang w:val="sr-Cyrl-CS" w:eastAsia="en-GB"/>
        </w:rPr>
        <w:t>е</w:t>
      </w:r>
      <w:r w:rsidR="001C0835" w:rsidRPr="00E84C93">
        <w:rPr>
          <w:noProof/>
          <w:szCs w:val="24"/>
          <w:lang w:val="sr-Cyrl-CS" w:eastAsia="en-GB"/>
        </w:rPr>
        <w:t xml:space="preserve"> за координацију </w:t>
      </w:r>
      <w:r w:rsidR="009641B2" w:rsidRPr="00E84C93">
        <w:rPr>
          <w:noProof/>
          <w:szCs w:val="24"/>
          <w:lang w:val="sr-Cyrl-CS" w:eastAsia="en-GB"/>
        </w:rPr>
        <w:t>у области управљања муљем између надлежних институција.</w:t>
      </w:r>
      <w:r w:rsidR="00D010D1" w:rsidRPr="00E84C93">
        <w:rPr>
          <w:noProof/>
          <w:szCs w:val="24"/>
          <w:lang w:val="sr-Cyrl-CS" w:eastAsia="en-GB"/>
        </w:rPr>
        <w:t xml:space="preserve"> </w:t>
      </w:r>
    </w:p>
    <w:p w14:paraId="3E45AD52" w14:textId="132AFC74" w:rsidR="008915DE" w:rsidRPr="00E84C93" w:rsidRDefault="00D80F2A" w:rsidP="007F590E">
      <w:pPr>
        <w:spacing w:after="0"/>
        <w:ind w:firstLine="720"/>
        <w:jc w:val="both"/>
        <w:rPr>
          <w:rFonts w:cs="Times New Roman"/>
          <w:szCs w:val="24"/>
          <w:lang w:val="sr-Cyrl-CS"/>
        </w:rPr>
      </w:pPr>
      <w:r w:rsidRPr="00E84C93">
        <w:rPr>
          <w:noProof/>
          <w:szCs w:val="24"/>
          <w:lang w:val="sr-Cyrl-CS" w:eastAsia="en-GB"/>
        </w:rPr>
        <w:t>За сваку надлежну институциј</w:t>
      </w:r>
      <w:r w:rsidR="0055371B" w:rsidRPr="00E84C93">
        <w:rPr>
          <w:noProof/>
          <w:szCs w:val="24"/>
          <w:lang w:val="sr-Cyrl-CS" w:eastAsia="en-GB"/>
        </w:rPr>
        <w:t>у</w:t>
      </w:r>
      <w:r w:rsidRPr="00E84C93">
        <w:rPr>
          <w:noProof/>
          <w:szCs w:val="24"/>
          <w:lang w:val="sr-Cyrl-CS" w:eastAsia="en-GB"/>
        </w:rPr>
        <w:t xml:space="preserve">, односно јединицу локалне самоуправе </w:t>
      </w:r>
      <w:r w:rsidR="0055371B" w:rsidRPr="00E84C93">
        <w:rPr>
          <w:noProof/>
          <w:szCs w:val="24"/>
          <w:lang w:val="sr-Cyrl-CS" w:eastAsia="en-GB"/>
        </w:rPr>
        <w:t>биће израђене анализе постојећих капацитета и идентификоване потребе за едукацијом и евентуално новим запошљавањем или организационим променама.</w:t>
      </w:r>
      <w:r w:rsidR="00255217" w:rsidRPr="00E84C93">
        <w:rPr>
          <w:noProof/>
          <w:szCs w:val="24"/>
          <w:lang w:val="sr-Cyrl-CS" w:eastAsia="en-GB"/>
        </w:rPr>
        <w:t xml:space="preserve"> На пример, за Министарство заштите животне средине</w:t>
      </w:r>
      <w:r w:rsidR="00255217" w:rsidRPr="00E84C93">
        <w:rPr>
          <w:rFonts w:cs="Times New Roman"/>
          <w:szCs w:val="24"/>
          <w:lang w:val="sr-Cyrl-CS"/>
        </w:rPr>
        <w:t xml:space="preserve"> може бити укључено обављање додатних задатака, укључујући ту издавање дозвола оператерима муља из постројења за пречишћавање отпадних вода, </w:t>
      </w:r>
      <w:r w:rsidR="000C1771" w:rsidRPr="00E84C93">
        <w:rPr>
          <w:rFonts w:cs="Times New Roman"/>
          <w:szCs w:val="24"/>
          <w:lang w:val="sr-Cyrl-CS"/>
        </w:rPr>
        <w:t xml:space="preserve">или нпр. </w:t>
      </w:r>
      <w:r w:rsidR="00255217" w:rsidRPr="00E84C93">
        <w:rPr>
          <w:rFonts w:cs="Times New Roman"/>
          <w:szCs w:val="24"/>
          <w:lang w:val="sr-Cyrl-CS"/>
        </w:rPr>
        <w:t>за вођење евиденције, према одредбама чл</w:t>
      </w:r>
      <w:r w:rsidR="001D2AB6" w:rsidRPr="00E84C93">
        <w:rPr>
          <w:rFonts w:cs="Times New Roman"/>
          <w:szCs w:val="24"/>
          <w:lang w:val="sr-Cyrl-CS"/>
        </w:rPr>
        <w:t>ана</w:t>
      </w:r>
      <w:r w:rsidR="00255217" w:rsidRPr="00E84C93">
        <w:rPr>
          <w:rFonts w:cs="Times New Roman"/>
          <w:szCs w:val="24"/>
          <w:lang w:val="sr-Cyrl-CS"/>
        </w:rPr>
        <w:t xml:space="preserve"> 10. Директиве о муљу </w:t>
      </w:r>
      <w:r w:rsidR="00255217" w:rsidRPr="00E84C93">
        <w:rPr>
          <w:rFonts w:cs="Times New Roman"/>
          <w:szCs w:val="24"/>
          <w:lang w:val="sr-Cyrl-CS"/>
        </w:rPr>
        <w:lastRenderedPageBreak/>
        <w:t xml:space="preserve">из постројења за пречишћавање отпадних вода. </w:t>
      </w:r>
      <w:r w:rsidR="0055371B" w:rsidRPr="00E84C93">
        <w:rPr>
          <w:noProof/>
          <w:szCs w:val="24"/>
          <w:lang w:val="sr-Cyrl-CS" w:eastAsia="en-GB"/>
        </w:rPr>
        <w:t>За подизање компет</w:t>
      </w:r>
      <w:r w:rsidR="00822768" w:rsidRPr="00E84C93">
        <w:rPr>
          <w:noProof/>
          <w:szCs w:val="24"/>
          <w:lang w:val="sr-Cyrl-CS" w:eastAsia="en-GB"/>
        </w:rPr>
        <w:t>е</w:t>
      </w:r>
      <w:r w:rsidR="0055371B" w:rsidRPr="00E84C93">
        <w:rPr>
          <w:noProof/>
          <w:szCs w:val="24"/>
          <w:lang w:val="sr-Cyrl-CS" w:eastAsia="en-GB"/>
        </w:rPr>
        <w:t>нција запосл</w:t>
      </w:r>
      <w:r w:rsidR="00822768" w:rsidRPr="00E84C93">
        <w:rPr>
          <w:noProof/>
          <w:szCs w:val="24"/>
          <w:lang w:val="sr-Cyrl-CS" w:eastAsia="en-GB"/>
        </w:rPr>
        <w:t>е</w:t>
      </w:r>
      <w:r w:rsidR="0055371B" w:rsidRPr="00E84C93">
        <w:rPr>
          <w:noProof/>
          <w:szCs w:val="24"/>
          <w:lang w:val="sr-Cyrl-CS" w:eastAsia="en-GB"/>
        </w:rPr>
        <w:t>них</w:t>
      </w:r>
      <w:r w:rsidR="00822768" w:rsidRPr="00E84C93">
        <w:rPr>
          <w:noProof/>
          <w:szCs w:val="24"/>
          <w:lang w:val="sr-Cyrl-CS" w:eastAsia="en-GB"/>
        </w:rPr>
        <w:t>,</w:t>
      </w:r>
      <w:r w:rsidR="0055371B" w:rsidRPr="00E84C93">
        <w:rPr>
          <w:noProof/>
          <w:szCs w:val="24"/>
          <w:lang w:val="sr-Cyrl-CS" w:eastAsia="en-GB"/>
        </w:rPr>
        <w:t xml:space="preserve"> биће </w:t>
      </w:r>
      <w:r w:rsidR="008915DE" w:rsidRPr="00E84C93">
        <w:rPr>
          <w:noProof/>
          <w:szCs w:val="24"/>
          <w:lang w:val="sr-Cyrl-CS" w:eastAsia="en-GB"/>
        </w:rPr>
        <w:t>разв</w:t>
      </w:r>
      <w:r w:rsidR="0055371B" w:rsidRPr="00E84C93">
        <w:rPr>
          <w:noProof/>
          <w:szCs w:val="24"/>
          <w:lang w:val="sr-Cyrl-CS" w:eastAsia="en-GB"/>
        </w:rPr>
        <w:t>ијени</w:t>
      </w:r>
      <w:r w:rsidR="008915DE" w:rsidRPr="00E84C93">
        <w:rPr>
          <w:noProof/>
          <w:szCs w:val="24"/>
          <w:lang w:val="sr-Cyrl-CS" w:eastAsia="en-GB"/>
        </w:rPr>
        <w:t xml:space="preserve"> и спровође</w:t>
      </w:r>
      <w:r w:rsidR="0055371B" w:rsidRPr="00E84C93">
        <w:rPr>
          <w:noProof/>
          <w:szCs w:val="24"/>
          <w:lang w:val="sr-Cyrl-CS" w:eastAsia="en-GB"/>
        </w:rPr>
        <w:t>ни</w:t>
      </w:r>
      <w:r w:rsidR="008915DE" w:rsidRPr="00E84C93">
        <w:rPr>
          <w:noProof/>
          <w:szCs w:val="24"/>
          <w:lang w:val="sr-Cyrl-CS" w:eastAsia="en-GB"/>
        </w:rPr>
        <w:t xml:space="preserve"> програм</w:t>
      </w:r>
      <w:r w:rsidR="0055371B" w:rsidRPr="00E84C93">
        <w:rPr>
          <w:noProof/>
          <w:szCs w:val="24"/>
          <w:lang w:val="sr-Cyrl-CS" w:eastAsia="en-GB"/>
        </w:rPr>
        <w:t>и</w:t>
      </w:r>
      <w:r w:rsidR="008915DE" w:rsidRPr="00E84C93">
        <w:rPr>
          <w:noProof/>
          <w:szCs w:val="24"/>
          <w:lang w:val="sr-Cyrl-CS" w:eastAsia="en-GB"/>
        </w:rPr>
        <w:t xml:space="preserve"> обуке</w:t>
      </w:r>
      <w:r w:rsidRPr="00E84C93">
        <w:rPr>
          <w:noProof/>
          <w:szCs w:val="24"/>
          <w:lang w:val="sr-Cyrl-CS" w:eastAsia="en-GB"/>
        </w:rPr>
        <w:t>, а за јединице лок</w:t>
      </w:r>
      <w:r w:rsidR="00822768" w:rsidRPr="00E84C93">
        <w:rPr>
          <w:noProof/>
          <w:szCs w:val="24"/>
          <w:lang w:val="sr-Cyrl-CS" w:eastAsia="en-GB"/>
        </w:rPr>
        <w:t>а</w:t>
      </w:r>
      <w:r w:rsidRPr="00E84C93">
        <w:rPr>
          <w:noProof/>
          <w:szCs w:val="24"/>
          <w:lang w:val="sr-Cyrl-CS" w:eastAsia="en-GB"/>
        </w:rPr>
        <w:t xml:space="preserve">лне самоуправе </w:t>
      </w:r>
      <w:r w:rsidR="0055371B" w:rsidRPr="00E84C93">
        <w:rPr>
          <w:noProof/>
          <w:szCs w:val="24"/>
          <w:lang w:val="sr-Cyrl-CS" w:eastAsia="en-GB"/>
        </w:rPr>
        <w:t xml:space="preserve">биће </w:t>
      </w:r>
      <w:r w:rsidRPr="00E84C93">
        <w:rPr>
          <w:noProof/>
          <w:szCs w:val="24"/>
          <w:lang w:val="sr-Cyrl-CS" w:eastAsia="en-GB"/>
        </w:rPr>
        <w:t>раз</w:t>
      </w:r>
      <w:r w:rsidR="0055371B" w:rsidRPr="00E84C93">
        <w:rPr>
          <w:noProof/>
          <w:szCs w:val="24"/>
          <w:lang w:val="sr-Cyrl-CS" w:eastAsia="en-GB"/>
        </w:rPr>
        <w:t>вијени</w:t>
      </w:r>
      <w:r w:rsidRPr="00E84C93">
        <w:rPr>
          <w:noProof/>
          <w:szCs w:val="24"/>
          <w:lang w:val="sr-Cyrl-CS" w:eastAsia="en-GB"/>
        </w:rPr>
        <w:t xml:space="preserve"> и механизм</w:t>
      </w:r>
      <w:r w:rsidR="0055371B" w:rsidRPr="00E84C93">
        <w:rPr>
          <w:noProof/>
          <w:szCs w:val="24"/>
          <w:lang w:val="sr-Cyrl-CS" w:eastAsia="en-GB"/>
        </w:rPr>
        <w:t>и</w:t>
      </w:r>
      <w:r w:rsidRPr="00E84C93">
        <w:rPr>
          <w:noProof/>
          <w:szCs w:val="24"/>
          <w:lang w:val="sr-Cyrl-CS" w:eastAsia="en-GB"/>
        </w:rPr>
        <w:t xml:space="preserve"> за</w:t>
      </w:r>
      <w:r w:rsidR="00822768" w:rsidRPr="00E84C93">
        <w:rPr>
          <w:noProof/>
          <w:szCs w:val="24"/>
          <w:lang w:val="sr-Cyrl-CS" w:eastAsia="en-GB"/>
        </w:rPr>
        <w:t xml:space="preserve"> </w:t>
      </w:r>
      <w:r w:rsidR="008915DE" w:rsidRPr="00E84C93">
        <w:rPr>
          <w:noProof/>
          <w:szCs w:val="24"/>
          <w:lang w:val="sr-Cyrl-CS" w:eastAsia="en-GB"/>
        </w:rPr>
        <w:t>техничк</w:t>
      </w:r>
      <w:r w:rsidR="0055371B" w:rsidRPr="00E84C93">
        <w:rPr>
          <w:noProof/>
          <w:szCs w:val="24"/>
          <w:lang w:val="sr-Cyrl-CS" w:eastAsia="en-GB"/>
        </w:rPr>
        <w:t>у</w:t>
      </w:r>
      <w:r w:rsidR="008915DE" w:rsidRPr="00E84C93">
        <w:rPr>
          <w:noProof/>
          <w:szCs w:val="24"/>
          <w:lang w:val="sr-Cyrl-CS" w:eastAsia="en-GB"/>
        </w:rPr>
        <w:t xml:space="preserve"> и финансијск</w:t>
      </w:r>
      <w:r w:rsidR="0055371B" w:rsidRPr="00E84C93">
        <w:rPr>
          <w:noProof/>
          <w:szCs w:val="24"/>
          <w:lang w:val="sr-Cyrl-CS" w:eastAsia="en-GB"/>
        </w:rPr>
        <w:t>у</w:t>
      </w:r>
      <w:r w:rsidR="008915DE" w:rsidRPr="00E84C93">
        <w:rPr>
          <w:noProof/>
          <w:szCs w:val="24"/>
          <w:lang w:val="sr-Cyrl-CS" w:eastAsia="en-GB"/>
        </w:rPr>
        <w:t xml:space="preserve"> помоћ</w:t>
      </w:r>
      <w:r w:rsidR="0055371B" w:rsidRPr="00E84C93">
        <w:rPr>
          <w:noProof/>
          <w:szCs w:val="24"/>
          <w:lang w:val="sr-Cyrl-CS" w:eastAsia="en-GB"/>
        </w:rPr>
        <w:t>.</w:t>
      </w:r>
      <w:r w:rsidR="008915DE" w:rsidRPr="00E84C93">
        <w:rPr>
          <w:noProof/>
          <w:szCs w:val="24"/>
          <w:lang w:val="sr-Cyrl-CS" w:eastAsia="en-GB"/>
        </w:rPr>
        <w:t xml:space="preserve"> </w:t>
      </w:r>
      <w:r w:rsidR="0055371B" w:rsidRPr="00E84C93">
        <w:rPr>
          <w:noProof/>
          <w:szCs w:val="24"/>
          <w:lang w:val="sr-Cyrl-CS" w:eastAsia="en-GB"/>
        </w:rPr>
        <w:t xml:space="preserve">Такође, </w:t>
      </w:r>
      <w:r w:rsidR="003F129B" w:rsidRPr="00E84C93">
        <w:rPr>
          <w:noProof/>
          <w:szCs w:val="24"/>
          <w:lang w:val="sr-Cyrl-CS" w:eastAsia="en-GB"/>
        </w:rPr>
        <w:t xml:space="preserve">биће </w:t>
      </w:r>
      <w:r w:rsidR="0055371B" w:rsidRPr="00E84C93">
        <w:rPr>
          <w:noProof/>
          <w:szCs w:val="24"/>
          <w:lang w:val="sr-Cyrl-CS" w:eastAsia="en-GB"/>
        </w:rPr>
        <w:t>потребно успоставити механизме</w:t>
      </w:r>
      <w:r w:rsidR="008915DE" w:rsidRPr="00E84C93">
        <w:rPr>
          <w:rFonts w:cs="Times New Roman"/>
          <w:szCs w:val="24"/>
          <w:lang w:val="sr-Cyrl-CS"/>
        </w:rPr>
        <w:t xml:space="preserve"> за јачање међуинституционалне сарадње и координације </w:t>
      </w:r>
      <w:r w:rsidR="0055371B" w:rsidRPr="00E84C93">
        <w:rPr>
          <w:rFonts w:cs="Times New Roman"/>
          <w:szCs w:val="24"/>
          <w:lang w:val="sr-Cyrl-CS"/>
        </w:rPr>
        <w:t xml:space="preserve">активности </w:t>
      </w:r>
      <w:r w:rsidR="008915DE" w:rsidRPr="00E84C93">
        <w:rPr>
          <w:rFonts w:cs="Times New Roman"/>
          <w:szCs w:val="24"/>
          <w:lang w:val="sr-Cyrl-CS"/>
        </w:rPr>
        <w:t>у овој области</w:t>
      </w:r>
      <w:r w:rsidR="0055371B" w:rsidRPr="00E84C93">
        <w:rPr>
          <w:rFonts w:cs="Times New Roman"/>
          <w:szCs w:val="24"/>
          <w:lang w:val="sr-Cyrl-CS"/>
        </w:rPr>
        <w:t xml:space="preserve"> на свим нивоима управљања</w:t>
      </w:r>
      <w:r w:rsidR="008915DE" w:rsidRPr="00E84C93">
        <w:rPr>
          <w:rFonts w:cs="Times New Roman"/>
          <w:szCs w:val="24"/>
          <w:lang w:val="sr-Cyrl-CS"/>
        </w:rPr>
        <w:t xml:space="preserve">. </w:t>
      </w:r>
    </w:p>
    <w:p w14:paraId="67E36F39" w14:textId="3EB1631E" w:rsidR="00006403" w:rsidRPr="00E84C93" w:rsidRDefault="00006403" w:rsidP="00006403">
      <w:pPr>
        <w:spacing w:after="0"/>
        <w:ind w:firstLine="720"/>
        <w:jc w:val="both"/>
        <w:rPr>
          <w:rFonts w:cs="Times New Roman"/>
          <w:szCs w:val="24"/>
          <w:lang w:val="sr-Cyrl-CS" w:eastAsia="en-GB"/>
        </w:rPr>
      </w:pPr>
      <w:bookmarkStart w:id="108" w:name="_Ref92206760"/>
      <w:bookmarkStart w:id="109" w:name="_Toc95128192"/>
      <w:r w:rsidRPr="00E84C93">
        <w:rPr>
          <w:rFonts w:cs="Times New Roman"/>
          <w:b/>
          <w:bCs/>
          <w:szCs w:val="24"/>
          <w:lang w:val="sr-Cyrl-CS" w:eastAsia="en-GB"/>
        </w:rPr>
        <w:t>Институција одговорна за реализацију:</w:t>
      </w:r>
      <w:r w:rsidRPr="00E84C93">
        <w:rPr>
          <w:rFonts w:cs="Times New Roman"/>
          <w:szCs w:val="24"/>
          <w:lang w:val="sr-Cyrl-CS" w:eastAsia="en-GB"/>
        </w:rPr>
        <w:t xml:space="preserve"> Министарство </w:t>
      </w:r>
      <w:r w:rsidRPr="00E84C93">
        <w:rPr>
          <w:szCs w:val="24"/>
          <w:lang w:val="sr-Cyrl-CS" w:eastAsia="en-GB"/>
        </w:rPr>
        <w:t>заштите животне средине</w:t>
      </w:r>
      <w:r w:rsidR="00982A7A" w:rsidRPr="00E84C93">
        <w:rPr>
          <w:szCs w:val="24"/>
          <w:lang w:val="sr-Cyrl-CS" w:eastAsia="en-GB"/>
        </w:rPr>
        <w:t>,</w:t>
      </w:r>
      <w:r w:rsidRPr="00E84C93">
        <w:rPr>
          <w:rFonts w:cs="Times New Roman"/>
          <w:szCs w:val="24"/>
          <w:lang w:val="sr-Cyrl-CS" w:eastAsia="en-GB"/>
        </w:rPr>
        <w:t xml:space="preserve"> </w:t>
      </w:r>
    </w:p>
    <w:p w14:paraId="1B2EDAFD" w14:textId="60C591AE" w:rsidR="00006403" w:rsidRPr="00E84C93" w:rsidRDefault="00006403" w:rsidP="00006403">
      <w:pPr>
        <w:pStyle w:val="Normal1"/>
        <w:pBdr>
          <w:top w:val="nil"/>
          <w:left w:val="nil"/>
          <w:bottom w:val="nil"/>
          <w:right w:val="nil"/>
          <w:between w:val="nil"/>
        </w:pBdr>
        <w:spacing w:after="0"/>
        <w:ind w:firstLine="720"/>
        <w:jc w:val="both"/>
        <w:rPr>
          <w:rFonts w:ascii="Times New Roman" w:hAnsi="Times New Roman" w:cs="Times New Roman"/>
          <w:bCs/>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 xml:space="preserve">: </w:t>
      </w:r>
      <w:r w:rsidR="00263F03" w:rsidRPr="00E84C93">
        <w:rPr>
          <w:rFonts w:ascii="Times New Roman" w:hAnsi="Times New Roman" w:cs="Times New Roman"/>
          <w:sz w:val="24"/>
          <w:szCs w:val="24"/>
          <w:lang w:val="sr-Cyrl-CS" w:eastAsia="en-GB"/>
        </w:rPr>
        <w:t>АП</w:t>
      </w:r>
      <w:r w:rsidR="002B4F75" w:rsidRPr="00E84C93">
        <w:rPr>
          <w:rFonts w:ascii="Times New Roman" w:hAnsi="Times New Roman" w:cs="Times New Roman"/>
          <w:sz w:val="24"/>
          <w:szCs w:val="24"/>
          <w:lang w:val="sr-Cyrl-CS" w:eastAsia="en-GB"/>
        </w:rPr>
        <w:t xml:space="preserve">, јединице локалне самоуправе </w:t>
      </w:r>
      <w:r w:rsidRPr="00E84C93">
        <w:rPr>
          <w:rFonts w:ascii="Times New Roman" w:hAnsi="Times New Roman" w:cs="Times New Roman"/>
          <w:bCs/>
          <w:sz w:val="24"/>
          <w:szCs w:val="24"/>
          <w:lang w:val="sr-Cyrl-CS" w:eastAsia="en-GB"/>
        </w:rPr>
        <w:t>Министарство финансија</w:t>
      </w:r>
    </w:p>
    <w:p w14:paraId="0D215B79" w14:textId="5F4FA5B1" w:rsidR="00C57A19" w:rsidRPr="00E84C93" w:rsidRDefault="00006403" w:rsidP="00B63897">
      <w:pPr>
        <w:pStyle w:val="ListParagraph"/>
        <w:keepNext/>
        <w:suppressAutoHyphens/>
        <w:ind w:left="0" w:firstLine="720"/>
        <w:contextualSpacing w:val="0"/>
        <w:outlineLvl w:val="3"/>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Информативно-едук</w:t>
      </w:r>
      <w:r w:rsidR="00982A7A" w:rsidRPr="00E84C93">
        <w:rPr>
          <w:rFonts w:cs="Times New Roman"/>
          <w:szCs w:val="24"/>
          <w:lang w:val="sr-Cyrl-CS" w:eastAsia="en-GB"/>
        </w:rPr>
        <w:t>а</w:t>
      </w:r>
      <w:r w:rsidRPr="00E84C93">
        <w:rPr>
          <w:rFonts w:cs="Times New Roman"/>
          <w:szCs w:val="24"/>
          <w:lang w:val="sr-Cyrl-CS" w:eastAsia="en-GB"/>
        </w:rPr>
        <w:t>тивна (ИЕ)</w:t>
      </w:r>
      <w:bookmarkEnd w:id="108"/>
      <w:bookmarkEnd w:id="109"/>
    </w:p>
    <w:p w14:paraId="70F5640C" w14:textId="01C21A35" w:rsidR="00075312" w:rsidRPr="00E84C93" w:rsidRDefault="00075312" w:rsidP="00075312">
      <w:pPr>
        <w:keepNext/>
        <w:pBdr>
          <w:top w:val="single" w:sz="4" w:space="1" w:color="auto"/>
          <w:left w:val="single" w:sz="4" w:space="4" w:color="auto"/>
          <w:bottom w:val="single" w:sz="4" w:space="1" w:color="auto"/>
          <w:right w:val="single" w:sz="4" w:space="4" w:color="auto"/>
        </w:pBdr>
        <w:suppressAutoHyphens/>
        <w:outlineLvl w:val="3"/>
        <w:rPr>
          <w:b/>
          <w:bCs/>
          <w:noProof/>
          <w:szCs w:val="24"/>
          <w:lang w:val="sr-Cyrl-CS"/>
        </w:rPr>
      </w:pPr>
      <w:r w:rsidRPr="00E84C93">
        <w:rPr>
          <w:rFonts w:cs="Times New Roman"/>
          <w:b/>
          <w:noProof/>
          <w:szCs w:val="24"/>
          <w:lang w:val="sr-Cyrl-CS"/>
        </w:rPr>
        <w:t>Мера 4.2.</w:t>
      </w:r>
      <w:r w:rsidRPr="00E84C93">
        <w:rPr>
          <w:b/>
          <w:bCs/>
          <w:noProof/>
          <w:szCs w:val="24"/>
          <w:lang w:val="sr-Cyrl-CS"/>
        </w:rPr>
        <w:t xml:space="preserve"> </w:t>
      </w:r>
      <w:r w:rsidRPr="00E84C93">
        <w:rPr>
          <w:b/>
          <w:lang w:val="sr-Cyrl-CS"/>
        </w:rPr>
        <w:t>Јачање капацитета јавних комуналних предузећа у области управљања муљем</w:t>
      </w:r>
    </w:p>
    <w:p w14:paraId="61D49D26" w14:textId="77777777" w:rsidR="00C57A19" w:rsidRPr="00E84C93" w:rsidRDefault="00C57A19" w:rsidP="00075312">
      <w:pPr>
        <w:spacing w:after="0"/>
        <w:ind w:firstLine="720"/>
        <w:jc w:val="both"/>
        <w:rPr>
          <w:noProof/>
          <w:szCs w:val="24"/>
          <w:lang w:val="sr-Cyrl-CS" w:eastAsia="en-GB"/>
        </w:rPr>
      </w:pPr>
    </w:p>
    <w:p w14:paraId="110C0A89" w14:textId="58E3BAF6" w:rsidR="00075312" w:rsidRPr="00E84C93" w:rsidRDefault="008D6203" w:rsidP="00075312">
      <w:pPr>
        <w:spacing w:after="0"/>
        <w:ind w:firstLine="720"/>
        <w:jc w:val="both"/>
        <w:rPr>
          <w:noProof/>
          <w:szCs w:val="24"/>
          <w:lang w:val="sr-Cyrl-CS" w:eastAsia="en-GB"/>
        </w:rPr>
      </w:pPr>
      <w:r w:rsidRPr="00E84C93">
        <w:rPr>
          <w:noProof/>
          <w:szCs w:val="24"/>
          <w:lang w:val="sr-Cyrl-CS" w:eastAsia="en-GB"/>
        </w:rPr>
        <w:t xml:space="preserve">Како су </w:t>
      </w:r>
      <w:r w:rsidRPr="00E84C93">
        <w:rPr>
          <w:rFonts w:cs="Times New Roman"/>
          <w:bCs/>
          <w:noProof/>
          <w:szCs w:val="24"/>
          <w:lang w:val="sr-Cyrl-CS"/>
        </w:rPr>
        <w:t>јавн</w:t>
      </w:r>
      <w:r w:rsidR="00822768" w:rsidRPr="00E84C93">
        <w:rPr>
          <w:rFonts w:cs="Times New Roman"/>
          <w:bCs/>
          <w:noProof/>
          <w:szCs w:val="24"/>
          <w:lang w:val="sr-Cyrl-CS"/>
        </w:rPr>
        <w:t xml:space="preserve">а </w:t>
      </w:r>
      <w:r w:rsidRPr="00E84C93">
        <w:rPr>
          <w:rFonts w:cs="Times New Roman"/>
          <w:bCs/>
          <w:noProof/>
          <w:szCs w:val="24"/>
          <w:lang w:val="sr-Cyrl-CS"/>
        </w:rPr>
        <w:t>комуналн</w:t>
      </w:r>
      <w:r w:rsidR="00822768" w:rsidRPr="00E84C93">
        <w:rPr>
          <w:rFonts w:cs="Times New Roman"/>
          <w:bCs/>
          <w:noProof/>
          <w:szCs w:val="24"/>
          <w:lang w:val="sr-Cyrl-CS"/>
        </w:rPr>
        <w:t>а</w:t>
      </w:r>
      <w:r w:rsidRPr="00E84C93">
        <w:rPr>
          <w:rFonts w:cs="Times New Roman"/>
          <w:bCs/>
          <w:noProof/>
          <w:szCs w:val="24"/>
          <w:lang w:val="sr-Cyrl-CS"/>
        </w:rPr>
        <w:t xml:space="preserve"> предузећа </w:t>
      </w:r>
      <w:r w:rsidRPr="00E84C93">
        <w:rPr>
          <w:noProof/>
          <w:szCs w:val="24"/>
          <w:lang w:val="sr-Cyrl-CS" w:eastAsia="en-GB"/>
        </w:rPr>
        <w:t>и оператер</w:t>
      </w:r>
      <w:r w:rsidR="00822768" w:rsidRPr="00E84C93">
        <w:rPr>
          <w:noProof/>
          <w:szCs w:val="24"/>
          <w:lang w:val="sr-Cyrl-CS" w:eastAsia="en-GB"/>
        </w:rPr>
        <w:t>и</w:t>
      </w:r>
      <w:r w:rsidRPr="00E84C93">
        <w:rPr>
          <w:noProof/>
          <w:szCs w:val="24"/>
          <w:lang w:val="sr-Cyrl-CS" w:eastAsia="en-GB"/>
        </w:rPr>
        <w:t xml:space="preserve"> постројења за пречишћавање отпадних вода и управљање муљем кључни субјекти система управљања у пракси, од највеће важности је да се об</w:t>
      </w:r>
      <w:r w:rsidR="00822768" w:rsidRPr="00E84C93">
        <w:rPr>
          <w:noProof/>
          <w:szCs w:val="24"/>
          <w:lang w:val="sr-Cyrl-CS" w:eastAsia="en-GB"/>
        </w:rPr>
        <w:t>е</w:t>
      </w:r>
      <w:r w:rsidRPr="00E84C93">
        <w:rPr>
          <w:noProof/>
          <w:szCs w:val="24"/>
          <w:lang w:val="sr-Cyrl-CS" w:eastAsia="en-GB"/>
        </w:rPr>
        <w:t>збеде одговарајући капацитети који ће гарантовати ефикасан и поуздан рад тих предузећа. Због тога је п</w:t>
      </w:r>
      <w:r w:rsidR="00075312" w:rsidRPr="00E84C93">
        <w:rPr>
          <w:noProof/>
          <w:szCs w:val="24"/>
          <w:lang w:val="sr-Cyrl-CS" w:eastAsia="en-GB"/>
        </w:rPr>
        <w:t xml:space="preserve">отребно јачање </w:t>
      </w:r>
      <w:r w:rsidRPr="00E84C93">
        <w:rPr>
          <w:noProof/>
          <w:szCs w:val="24"/>
          <w:lang w:val="sr-Cyrl-CS" w:eastAsia="en-GB"/>
        </w:rPr>
        <w:t xml:space="preserve">њихових </w:t>
      </w:r>
      <w:r w:rsidR="00075312" w:rsidRPr="00E84C93">
        <w:rPr>
          <w:noProof/>
          <w:szCs w:val="24"/>
          <w:lang w:val="sr-Cyrl-CS" w:eastAsia="en-GB"/>
        </w:rPr>
        <w:t xml:space="preserve">капацитета </w:t>
      </w:r>
      <w:r w:rsidR="001B7352" w:rsidRPr="00E84C93">
        <w:rPr>
          <w:noProof/>
          <w:szCs w:val="24"/>
          <w:lang w:val="sr-Cyrl-CS" w:eastAsia="en-GB"/>
        </w:rPr>
        <w:t>како</w:t>
      </w:r>
      <w:r w:rsidRPr="00E84C93">
        <w:rPr>
          <w:noProof/>
          <w:szCs w:val="24"/>
          <w:lang w:val="sr-Cyrl-CS" w:eastAsia="en-GB"/>
        </w:rPr>
        <w:t xml:space="preserve"> у погледу обезбеђивања адекватног броја запослених који раде на пословима управља</w:t>
      </w:r>
      <w:r w:rsidR="00822768" w:rsidRPr="00E84C93">
        <w:rPr>
          <w:noProof/>
          <w:szCs w:val="24"/>
          <w:lang w:val="sr-Cyrl-CS" w:eastAsia="en-GB"/>
        </w:rPr>
        <w:t>ња</w:t>
      </w:r>
      <w:r w:rsidRPr="00E84C93">
        <w:rPr>
          <w:noProof/>
          <w:szCs w:val="24"/>
          <w:lang w:val="sr-Cyrl-CS" w:eastAsia="en-GB"/>
        </w:rPr>
        <w:t xml:space="preserve"> муљем, тако и у поглед</w:t>
      </w:r>
      <w:r w:rsidR="008A26F3" w:rsidRPr="00E84C93">
        <w:rPr>
          <w:noProof/>
          <w:szCs w:val="24"/>
          <w:lang w:val="sr-Cyrl-CS" w:eastAsia="en-GB"/>
        </w:rPr>
        <w:t>у њихових знања и вештина. С тим у вези, треба спровести анализу постојећих и идентификовати недостајуће капацитета и развити програме континуиране обуке постојећих и ново запослених. Такође, како је управљање муљем у већини јавних предузећа нови организациони посао, п</w:t>
      </w:r>
      <w:r w:rsidR="00EB69C7" w:rsidRPr="00E84C93">
        <w:rPr>
          <w:noProof/>
          <w:szCs w:val="24"/>
          <w:lang w:val="sr-Cyrl-CS" w:eastAsia="en-GB"/>
        </w:rPr>
        <w:t>отребн</w:t>
      </w:r>
      <w:r w:rsidR="008A26F3" w:rsidRPr="00E84C93">
        <w:rPr>
          <w:noProof/>
          <w:szCs w:val="24"/>
          <w:lang w:val="sr-Cyrl-CS" w:eastAsia="en-GB"/>
        </w:rPr>
        <w:t>о</w:t>
      </w:r>
      <w:r w:rsidR="00EB69C7" w:rsidRPr="00E84C93">
        <w:rPr>
          <w:noProof/>
          <w:szCs w:val="24"/>
          <w:lang w:val="sr-Cyrl-CS" w:eastAsia="en-GB"/>
        </w:rPr>
        <w:t xml:space="preserve"> је </w:t>
      </w:r>
      <w:r w:rsidR="008A26F3" w:rsidRPr="00E84C93">
        <w:rPr>
          <w:noProof/>
          <w:szCs w:val="24"/>
          <w:lang w:val="sr-Cyrl-CS" w:eastAsia="en-GB"/>
        </w:rPr>
        <w:t xml:space="preserve">спровести њихову </w:t>
      </w:r>
      <w:r w:rsidR="00EB69C7" w:rsidRPr="00E84C93">
        <w:rPr>
          <w:noProof/>
          <w:szCs w:val="24"/>
          <w:lang w:val="sr-Cyrl-CS" w:eastAsia="en-GB"/>
        </w:rPr>
        <w:t>реорганизаци</w:t>
      </w:r>
      <w:r w:rsidR="00822768" w:rsidRPr="00E84C93">
        <w:rPr>
          <w:noProof/>
          <w:szCs w:val="24"/>
          <w:lang w:val="sr-Cyrl-CS" w:eastAsia="en-GB"/>
        </w:rPr>
        <w:t>ј</w:t>
      </w:r>
      <w:r w:rsidR="008A26F3" w:rsidRPr="00E84C93">
        <w:rPr>
          <w:noProof/>
          <w:szCs w:val="24"/>
          <w:lang w:val="sr-Cyrl-CS" w:eastAsia="en-GB"/>
        </w:rPr>
        <w:t>у</w:t>
      </w:r>
      <w:r w:rsidR="00EB69C7" w:rsidRPr="00E84C93">
        <w:rPr>
          <w:noProof/>
          <w:szCs w:val="24"/>
          <w:lang w:val="sr-Cyrl-CS" w:eastAsia="en-GB"/>
        </w:rPr>
        <w:t xml:space="preserve"> и модернизациј</w:t>
      </w:r>
      <w:r w:rsidR="008A26F3" w:rsidRPr="00E84C93">
        <w:rPr>
          <w:noProof/>
          <w:szCs w:val="24"/>
          <w:lang w:val="sr-Cyrl-CS" w:eastAsia="en-GB"/>
        </w:rPr>
        <w:t>у</w:t>
      </w:r>
      <w:r w:rsidR="00B37AAE" w:rsidRPr="00E84C93">
        <w:rPr>
          <w:noProof/>
          <w:szCs w:val="24"/>
          <w:lang w:val="sr-Cyrl-CS" w:eastAsia="en-GB"/>
        </w:rPr>
        <w:t xml:space="preserve"> и формирати регионална предузећа за управљање муљем где је то основано</w:t>
      </w:r>
      <w:r w:rsidR="008A26F3" w:rsidRPr="00E84C93">
        <w:rPr>
          <w:noProof/>
          <w:szCs w:val="24"/>
          <w:lang w:val="sr-Cyrl-CS" w:eastAsia="en-GB"/>
        </w:rPr>
        <w:t>.</w:t>
      </w:r>
      <w:r w:rsidR="00EB69C7" w:rsidRPr="00E84C93">
        <w:rPr>
          <w:noProof/>
          <w:szCs w:val="24"/>
          <w:lang w:val="sr-Cyrl-CS" w:eastAsia="en-GB"/>
        </w:rPr>
        <w:t xml:space="preserve"> </w:t>
      </w:r>
    </w:p>
    <w:p w14:paraId="04A466DF" w14:textId="0C1FCF3A" w:rsidR="00006403" w:rsidRPr="00E84C93" w:rsidRDefault="00006403" w:rsidP="00006403">
      <w:pPr>
        <w:spacing w:after="0"/>
        <w:ind w:firstLine="720"/>
        <w:jc w:val="both"/>
        <w:rPr>
          <w:rFonts w:cs="Times New Roman"/>
          <w:szCs w:val="24"/>
          <w:lang w:val="sr-Cyrl-CS" w:eastAsia="en-GB"/>
        </w:rPr>
      </w:pPr>
      <w:r w:rsidRPr="00E84C93">
        <w:rPr>
          <w:rFonts w:cs="Times New Roman"/>
          <w:b/>
          <w:bCs/>
          <w:szCs w:val="24"/>
          <w:lang w:val="sr-Cyrl-CS" w:eastAsia="en-GB"/>
        </w:rPr>
        <w:t>Институције одговорне за реализацију:</w:t>
      </w:r>
      <w:r w:rsidRPr="00E84C93">
        <w:rPr>
          <w:rFonts w:cs="Times New Roman"/>
          <w:szCs w:val="24"/>
          <w:lang w:val="sr-Cyrl-CS" w:eastAsia="en-GB"/>
        </w:rPr>
        <w:t xml:space="preserve"> </w:t>
      </w:r>
      <w:r w:rsidR="00F91B2A" w:rsidRPr="00E84C93">
        <w:rPr>
          <w:lang w:val="sr-Cyrl-CS"/>
        </w:rPr>
        <w:t>Министарство грађевинарства, саобраћаја и инфраструктуре,</w:t>
      </w:r>
      <w:r w:rsidR="00F91B2A" w:rsidRPr="00E84C93">
        <w:rPr>
          <w:rFonts w:cs="Times New Roman"/>
          <w:szCs w:val="24"/>
          <w:lang w:val="sr-Cyrl-CS" w:eastAsia="en-GB"/>
        </w:rPr>
        <w:t xml:space="preserve"> </w:t>
      </w:r>
      <w:r w:rsidR="00934D1B" w:rsidRPr="00E84C93">
        <w:rPr>
          <w:rFonts w:cs="Times New Roman"/>
          <w:szCs w:val="24"/>
          <w:lang w:val="sr-Cyrl-CS" w:eastAsia="en-GB"/>
        </w:rPr>
        <w:t>Министарство заштите животне средине</w:t>
      </w:r>
    </w:p>
    <w:p w14:paraId="320B2D50" w14:textId="19BF2FBE" w:rsidR="00006403" w:rsidRPr="00E84C93" w:rsidRDefault="00006403" w:rsidP="00006403">
      <w:pPr>
        <w:pStyle w:val="Normal1"/>
        <w:pBdr>
          <w:top w:val="nil"/>
          <w:left w:val="nil"/>
          <w:bottom w:val="nil"/>
          <w:right w:val="nil"/>
          <w:between w:val="nil"/>
        </w:pBdr>
        <w:spacing w:after="0"/>
        <w:ind w:firstLine="720"/>
        <w:jc w:val="both"/>
        <w:rPr>
          <w:rFonts w:ascii="Times New Roman" w:hAnsi="Times New Roman" w:cs="Times New Roman"/>
          <w:sz w:val="24"/>
          <w:szCs w:val="24"/>
          <w:lang w:val="sr-Cyrl-CS" w:eastAsia="en-GB"/>
        </w:rPr>
      </w:pPr>
      <w:r w:rsidRPr="00E84C93">
        <w:rPr>
          <w:rFonts w:ascii="Times New Roman" w:hAnsi="Times New Roman" w:cs="Times New Roman"/>
          <w:b/>
          <w:bCs/>
          <w:sz w:val="24"/>
          <w:szCs w:val="24"/>
          <w:lang w:val="sr-Cyrl-CS" w:eastAsia="en-GB"/>
        </w:rPr>
        <w:t>Партнери</w:t>
      </w:r>
      <w:r w:rsidRPr="00E84C93">
        <w:rPr>
          <w:rFonts w:ascii="Times New Roman" w:hAnsi="Times New Roman" w:cs="Times New Roman"/>
          <w:sz w:val="24"/>
          <w:szCs w:val="24"/>
          <w:lang w:val="sr-Cyrl-CS" w:eastAsia="en-GB"/>
        </w:rPr>
        <w:t xml:space="preserve"> </w:t>
      </w:r>
      <w:r w:rsidRPr="00E84C93">
        <w:rPr>
          <w:rFonts w:ascii="Times New Roman" w:hAnsi="Times New Roman" w:cs="Times New Roman"/>
          <w:b/>
          <w:bCs/>
          <w:sz w:val="24"/>
          <w:szCs w:val="24"/>
          <w:lang w:val="sr-Cyrl-CS" w:eastAsia="en-GB"/>
        </w:rPr>
        <w:t>у спровођењу</w:t>
      </w:r>
      <w:r w:rsidRPr="00E84C93">
        <w:rPr>
          <w:rFonts w:ascii="Times New Roman" w:hAnsi="Times New Roman" w:cs="Times New Roman"/>
          <w:sz w:val="24"/>
          <w:szCs w:val="24"/>
          <w:lang w:val="sr-Cyrl-CS" w:eastAsia="en-GB"/>
        </w:rPr>
        <w:t>:</w:t>
      </w:r>
      <w:r w:rsidR="00934D1B" w:rsidRPr="00E84C93">
        <w:rPr>
          <w:rFonts w:ascii="Times New Roman" w:hAnsi="Times New Roman" w:cs="Times New Roman"/>
          <w:sz w:val="24"/>
          <w:szCs w:val="24"/>
          <w:lang w:val="sr-Cyrl-CS" w:eastAsia="en-GB"/>
        </w:rPr>
        <w:t xml:space="preserve"> </w:t>
      </w:r>
      <w:r w:rsidR="00186388" w:rsidRPr="00E84C93">
        <w:rPr>
          <w:rFonts w:ascii="Times New Roman" w:hAnsi="Times New Roman" w:cs="Times New Roman"/>
          <w:sz w:val="24"/>
          <w:szCs w:val="24"/>
          <w:lang w:val="sr-Cyrl-CS" w:eastAsia="en-GB"/>
        </w:rPr>
        <w:t>АП</w:t>
      </w:r>
      <w:r w:rsidR="00934D1B" w:rsidRPr="00E84C93">
        <w:rPr>
          <w:rFonts w:ascii="Times New Roman" w:hAnsi="Times New Roman" w:cs="Times New Roman"/>
          <w:sz w:val="24"/>
          <w:szCs w:val="24"/>
          <w:lang w:val="sr-Cyrl-CS" w:eastAsia="en-GB"/>
        </w:rPr>
        <w:t xml:space="preserve">, јединице локалне самоуправе, </w:t>
      </w:r>
      <w:r w:rsidRPr="00E84C93">
        <w:rPr>
          <w:rFonts w:ascii="Times New Roman" w:hAnsi="Times New Roman" w:cs="Times New Roman"/>
          <w:bCs/>
          <w:sz w:val="24"/>
          <w:szCs w:val="24"/>
          <w:lang w:val="sr-Cyrl-CS" w:eastAsia="en-GB"/>
        </w:rPr>
        <w:t>јавна комунална предузећа</w:t>
      </w:r>
      <w:r w:rsidRPr="00E84C93">
        <w:rPr>
          <w:rFonts w:ascii="Times New Roman" w:hAnsi="Times New Roman" w:cs="Times New Roman"/>
          <w:b/>
          <w:bCs/>
          <w:sz w:val="24"/>
          <w:szCs w:val="24"/>
          <w:lang w:val="sr-Cyrl-CS" w:eastAsia="en-GB"/>
        </w:rPr>
        <w:t xml:space="preserve"> </w:t>
      </w:r>
    </w:p>
    <w:p w14:paraId="668E0EF0" w14:textId="509530E2" w:rsidR="00006403" w:rsidRPr="00E84C93" w:rsidRDefault="00006403" w:rsidP="0056606C">
      <w:pPr>
        <w:spacing w:after="0"/>
        <w:ind w:firstLine="720"/>
        <w:jc w:val="both"/>
        <w:rPr>
          <w:rFonts w:cs="Times New Roman"/>
          <w:szCs w:val="24"/>
          <w:lang w:val="sr-Cyrl-CS" w:eastAsia="en-GB"/>
        </w:rPr>
      </w:pPr>
      <w:r w:rsidRPr="00E84C93">
        <w:rPr>
          <w:rFonts w:cs="Times New Roman"/>
          <w:b/>
          <w:bCs/>
          <w:szCs w:val="24"/>
          <w:lang w:val="sr-Cyrl-CS" w:eastAsia="en-GB"/>
        </w:rPr>
        <w:t>Врста мере</w:t>
      </w:r>
      <w:r w:rsidRPr="00E84C93">
        <w:rPr>
          <w:rFonts w:cs="Times New Roman"/>
          <w:szCs w:val="24"/>
          <w:lang w:val="sr-Cyrl-CS" w:eastAsia="en-GB"/>
        </w:rPr>
        <w:t>: Информативно-едук</w:t>
      </w:r>
      <w:r w:rsidR="00982A7A" w:rsidRPr="00E84C93">
        <w:rPr>
          <w:rFonts w:cs="Times New Roman"/>
          <w:szCs w:val="24"/>
          <w:lang w:val="sr-Cyrl-CS" w:eastAsia="en-GB"/>
        </w:rPr>
        <w:t>а</w:t>
      </w:r>
      <w:r w:rsidRPr="00E84C93">
        <w:rPr>
          <w:rFonts w:cs="Times New Roman"/>
          <w:szCs w:val="24"/>
          <w:lang w:val="sr-Cyrl-CS" w:eastAsia="en-GB"/>
        </w:rPr>
        <w:t>тивна (ИЕ)</w:t>
      </w:r>
    </w:p>
    <w:p w14:paraId="24CC5AED" w14:textId="7B0E16CF" w:rsidR="00006403" w:rsidRPr="00E84C93" w:rsidRDefault="00006403" w:rsidP="00075312">
      <w:pPr>
        <w:spacing w:after="0"/>
        <w:jc w:val="both"/>
        <w:rPr>
          <w:rFonts w:cs="Times New Roman"/>
          <w:lang w:val="sr-Cyrl-CS"/>
        </w:rPr>
        <w:sectPr w:rsidR="00006403" w:rsidRPr="00E84C93" w:rsidSect="001B734A">
          <w:pgSz w:w="12240" w:h="15840"/>
          <w:pgMar w:top="1440" w:right="1440" w:bottom="1440" w:left="1440" w:header="720" w:footer="720" w:gutter="0"/>
          <w:cols w:space="720"/>
          <w:docGrid w:linePitch="360"/>
        </w:sectPr>
      </w:pPr>
    </w:p>
    <w:p w14:paraId="3B7941E4" w14:textId="2B680E9F" w:rsidR="006E7EA4" w:rsidRPr="00E84C93" w:rsidRDefault="006E7EA4" w:rsidP="006E7EA4">
      <w:pPr>
        <w:spacing w:after="0"/>
        <w:rPr>
          <w:rFonts w:cs="Times New Roman"/>
          <w:b/>
          <w:bCs/>
          <w:szCs w:val="24"/>
          <w:lang w:val="sr-Cyrl-CS"/>
        </w:rPr>
      </w:pPr>
      <w:r w:rsidRPr="00E84C93">
        <w:rPr>
          <w:rFonts w:cs="Times New Roman"/>
          <w:b/>
          <w:bCs/>
          <w:szCs w:val="24"/>
          <w:lang w:val="sr-Cyrl-CS"/>
        </w:rPr>
        <w:lastRenderedPageBreak/>
        <w:t xml:space="preserve">Табела </w:t>
      </w:r>
      <w:r w:rsidR="00AA2A9D" w:rsidRPr="00E84C93">
        <w:rPr>
          <w:rFonts w:cs="Times New Roman"/>
          <w:b/>
          <w:bCs/>
          <w:szCs w:val="24"/>
          <w:lang w:val="sr-Cyrl-CS"/>
        </w:rPr>
        <w:t>7</w:t>
      </w:r>
      <w:r w:rsidRPr="00E84C93">
        <w:rPr>
          <w:rFonts w:cs="Times New Roman"/>
          <w:b/>
          <w:bCs/>
          <w:szCs w:val="24"/>
          <w:lang w:val="sr-Cyrl-CS"/>
        </w:rPr>
        <w:t xml:space="preserve">.1. </w:t>
      </w:r>
      <w:r w:rsidRPr="00E84C93">
        <w:rPr>
          <w:rFonts w:cs="Times New Roman"/>
          <w:szCs w:val="24"/>
          <w:lang w:val="sr-Cyrl-CS"/>
        </w:rPr>
        <w:t>Кључни показатељи учинка у односу на опште и посебне циљеве и мере за њихово спровођење</w:t>
      </w:r>
    </w:p>
    <w:tbl>
      <w:tblPr>
        <w:tblStyle w:val="TableGrid"/>
        <w:tblW w:w="13855" w:type="dxa"/>
        <w:tblLook w:val="04A0" w:firstRow="1" w:lastRow="0" w:firstColumn="1" w:lastColumn="0" w:noHBand="0" w:noVBand="1"/>
      </w:tblPr>
      <w:tblGrid>
        <w:gridCol w:w="3775"/>
        <w:gridCol w:w="3870"/>
        <w:gridCol w:w="1080"/>
        <w:gridCol w:w="1170"/>
        <w:gridCol w:w="3960"/>
      </w:tblGrid>
      <w:tr w:rsidR="006E7EA4" w:rsidRPr="00E84C93" w14:paraId="0750B4E6" w14:textId="77777777" w:rsidTr="003B7E6F">
        <w:trPr>
          <w:trHeight w:val="548"/>
        </w:trPr>
        <w:tc>
          <w:tcPr>
            <w:tcW w:w="3775" w:type="dxa"/>
            <w:vMerge w:val="restart"/>
            <w:shd w:val="clear" w:color="auto" w:fill="9CC2E5" w:themeFill="accent1" w:themeFillTint="99"/>
          </w:tcPr>
          <w:p w14:paraId="35E1912F" w14:textId="77777777" w:rsidR="006E7EA4" w:rsidRPr="00E84C93" w:rsidRDefault="006E7EA4" w:rsidP="006E7EA4">
            <w:pPr>
              <w:spacing w:after="0"/>
              <w:rPr>
                <w:rFonts w:cs="Times New Roman"/>
                <w:b/>
                <w:bCs/>
                <w:sz w:val="20"/>
                <w:szCs w:val="20"/>
                <w:lang w:val="sr-Cyrl-CS"/>
              </w:rPr>
            </w:pPr>
            <w:r w:rsidRPr="00E84C93">
              <w:rPr>
                <w:rFonts w:cs="Times New Roman"/>
                <w:b/>
                <w:bCs/>
                <w:sz w:val="20"/>
                <w:szCs w:val="20"/>
                <w:lang w:val="sr-Cyrl-CS"/>
              </w:rPr>
              <w:t xml:space="preserve">Циљеви </w:t>
            </w:r>
          </w:p>
        </w:tc>
        <w:tc>
          <w:tcPr>
            <w:tcW w:w="3870" w:type="dxa"/>
            <w:vMerge w:val="restart"/>
            <w:shd w:val="clear" w:color="auto" w:fill="9CC2E5" w:themeFill="accent1" w:themeFillTint="99"/>
          </w:tcPr>
          <w:p w14:paraId="298B8B3F" w14:textId="77777777" w:rsidR="006E7EA4" w:rsidRPr="00E84C93" w:rsidRDefault="006E7EA4" w:rsidP="006E7EA4">
            <w:pPr>
              <w:spacing w:after="0"/>
              <w:rPr>
                <w:rFonts w:cs="Times New Roman"/>
                <w:b/>
                <w:bCs/>
                <w:sz w:val="20"/>
                <w:szCs w:val="20"/>
                <w:lang w:val="sr-Cyrl-CS"/>
              </w:rPr>
            </w:pPr>
            <w:r w:rsidRPr="00E84C93">
              <w:rPr>
                <w:rFonts w:cs="Times New Roman"/>
                <w:b/>
                <w:bCs/>
                <w:sz w:val="20"/>
                <w:szCs w:val="20"/>
                <w:lang w:val="sr-Cyrl-CS"/>
              </w:rPr>
              <w:t xml:space="preserve">Показатељ </w:t>
            </w:r>
          </w:p>
        </w:tc>
        <w:tc>
          <w:tcPr>
            <w:tcW w:w="1080" w:type="dxa"/>
            <w:shd w:val="clear" w:color="auto" w:fill="9CC2E5" w:themeFill="accent1" w:themeFillTint="99"/>
          </w:tcPr>
          <w:p w14:paraId="6969BB30" w14:textId="77777777" w:rsidR="006E7EA4" w:rsidRPr="00E84C93" w:rsidRDefault="006E7EA4" w:rsidP="006E7EA4">
            <w:pPr>
              <w:spacing w:after="0"/>
              <w:jc w:val="center"/>
              <w:rPr>
                <w:rFonts w:cs="Times New Roman"/>
                <w:b/>
                <w:bCs/>
                <w:sz w:val="20"/>
                <w:szCs w:val="20"/>
                <w:lang w:val="sr-Cyrl-CS"/>
              </w:rPr>
            </w:pPr>
            <w:r w:rsidRPr="00E84C93">
              <w:rPr>
                <w:rFonts w:cs="Times New Roman"/>
                <w:b/>
                <w:bCs/>
                <w:sz w:val="20"/>
                <w:szCs w:val="20"/>
                <w:lang w:val="sr-Cyrl-CS"/>
              </w:rPr>
              <w:t>Почетна вредност</w:t>
            </w:r>
          </w:p>
        </w:tc>
        <w:tc>
          <w:tcPr>
            <w:tcW w:w="1170" w:type="dxa"/>
            <w:shd w:val="clear" w:color="auto" w:fill="9CC2E5" w:themeFill="accent1" w:themeFillTint="99"/>
          </w:tcPr>
          <w:p w14:paraId="183F0F56" w14:textId="77777777" w:rsidR="006E7EA4" w:rsidRPr="00E84C93" w:rsidRDefault="006E7EA4" w:rsidP="006E7EA4">
            <w:pPr>
              <w:spacing w:after="0"/>
              <w:jc w:val="center"/>
              <w:rPr>
                <w:rFonts w:cs="Times New Roman"/>
                <w:b/>
                <w:bCs/>
                <w:sz w:val="20"/>
                <w:szCs w:val="20"/>
                <w:lang w:val="sr-Cyrl-CS"/>
              </w:rPr>
            </w:pPr>
            <w:r w:rsidRPr="00E84C93">
              <w:rPr>
                <w:rFonts w:cs="Times New Roman"/>
                <w:b/>
                <w:bCs/>
                <w:sz w:val="20"/>
                <w:szCs w:val="20"/>
                <w:lang w:val="sr-Cyrl-CS"/>
              </w:rPr>
              <w:t>Циљана вредност</w:t>
            </w:r>
          </w:p>
        </w:tc>
        <w:tc>
          <w:tcPr>
            <w:tcW w:w="3960" w:type="dxa"/>
            <w:vMerge w:val="restart"/>
            <w:shd w:val="clear" w:color="auto" w:fill="9CC2E5" w:themeFill="accent1" w:themeFillTint="99"/>
          </w:tcPr>
          <w:p w14:paraId="463C0320" w14:textId="77777777" w:rsidR="006E7EA4" w:rsidRPr="00E84C93" w:rsidRDefault="006E7EA4" w:rsidP="006E7EA4">
            <w:pPr>
              <w:spacing w:after="0"/>
              <w:rPr>
                <w:rFonts w:cs="Times New Roman"/>
                <w:b/>
                <w:bCs/>
                <w:sz w:val="20"/>
                <w:szCs w:val="20"/>
                <w:lang w:val="sr-Cyrl-CS"/>
              </w:rPr>
            </w:pPr>
            <w:r w:rsidRPr="00E84C93">
              <w:rPr>
                <w:rFonts w:cs="Times New Roman"/>
                <w:b/>
                <w:bCs/>
                <w:sz w:val="20"/>
                <w:szCs w:val="20"/>
                <w:lang w:val="sr-Cyrl-CS"/>
              </w:rPr>
              <w:t>Извор верификације</w:t>
            </w:r>
          </w:p>
        </w:tc>
      </w:tr>
      <w:tr w:rsidR="006E7EA4" w:rsidRPr="00E84C93" w14:paraId="2A795045" w14:textId="77777777" w:rsidTr="003B7E6F">
        <w:trPr>
          <w:trHeight w:val="280"/>
        </w:trPr>
        <w:tc>
          <w:tcPr>
            <w:tcW w:w="3775" w:type="dxa"/>
            <w:vMerge/>
          </w:tcPr>
          <w:p w14:paraId="3E389FF7" w14:textId="77777777" w:rsidR="006E7EA4" w:rsidRPr="00E84C93" w:rsidRDefault="006E7EA4" w:rsidP="006E7EA4">
            <w:pPr>
              <w:spacing w:after="0"/>
              <w:rPr>
                <w:rFonts w:cs="Times New Roman"/>
                <w:sz w:val="20"/>
                <w:szCs w:val="20"/>
                <w:highlight w:val="yellow"/>
                <w:lang w:val="sr-Cyrl-CS"/>
              </w:rPr>
            </w:pPr>
          </w:p>
        </w:tc>
        <w:tc>
          <w:tcPr>
            <w:tcW w:w="3870" w:type="dxa"/>
            <w:vMerge/>
          </w:tcPr>
          <w:p w14:paraId="1D5D9A5A" w14:textId="77777777" w:rsidR="006E7EA4" w:rsidRPr="00E84C93" w:rsidRDefault="006E7EA4" w:rsidP="006E7EA4">
            <w:pPr>
              <w:spacing w:after="0"/>
              <w:rPr>
                <w:rFonts w:cs="Times New Roman"/>
                <w:sz w:val="20"/>
                <w:szCs w:val="20"/>
                <w:highlight w:val="yellow"/>
                <w:lang w:val="sr-Cyrl-CS"/>
              </w:rPr>
            </w:pPr>
          </w:p>
        </w:tc>
        <w:tc>
          <w:tcPr>
            <w:tcW w:w="1080" w:type="dxa"/>
            <w:shd w:val="clear" w:color="auto" w:fill="9CC2E5" w:themeFill="accent1" w:themeFillTint="99"/>
          </w:tcPr>
          <w:p w14:paraId="2AF73D72" w14:textId="123B5172" w:rsidR="006E7EA4" w:rsidRPr="00E84C93" w:rsidRDefault="006E7EA4" w:rsidP="006E7EA4">
            <w:pPr>
              <w:spacing w:after="0"/>
              <w:jc w:val="center"/>
              <w:rPr>
                <w:rFonts w:cs="Times New Roman"/>
                <w:b/>
                <w:bCs/>
                <w:sz w:val="20"/>
                <w:szCs w:val="20"/>
                <w:lang w:val="sr-Cyrl-CS"/>
              </w:rPr>
            </w:pPr>
            <w:r w:rsidRPr="00E84C93">
              <w:rPr>
                <w:rFonts w:cs="Times New Roman"/>
                <w:b/>
                <w:bCs/>
                <w:sz w:val="20"/>
                <w:szCs w:val="20"/>
                <w:lang w:val="sr-Cyrl-CS"/>
              </w:rPr>
              <w:t>202</w:t>
            </w:r>
            <w:r w:rsidR="006F6010" w:rsidRPr="00E84C93">
              <w:rPr>
                <w:rFonts w:cs="Times New Roman"/>
                <w:b/>
                <w:bCs/>
                <w:sz w:val="20"/>
                <w:szCs w:val="20"/>
                <w:lang w:val="sr-Cyrl-CS"/>
              </w:rPr>
              <w:t>3</w:t>
            </w:r>
            <w:r w:rsidRPr="00E84C93">
              <w:rPr>
                <w:rFonts w:cs="Times New Roman"/>
                <w:b/>
                <w:bCs/>
                <w:sz w:val="20"/>
                <w:szCs w:val="20"/>
                <w:lang w:val="sr-Cyrl-CS"/>
              </w:rPr>
              <w:t>.</w:t>
            </w:r>
          </w:p>
        </w:tc>
        <w:tc>
          <w:tcPr>
            <w:tcW w:w="1170" w:type="dxa"/>
            <w:shd w:val="clear" w:color="auto" w:fill="9CC2E5" w:themeFill="accent1" w:themeFillTint="99"/>
          </w:tcPr>
          <w:p w14:paraId="69FD1494" w14:textId="6A47068D" w:rsidR="006E7EA4" w:rsidRPr="00E84C93" w:rsidRDefault="006E7EA4" w:rsidP="006E7EA4">
            <w:pPr>
              <w:spacing w:after="0"/>
              <w:jc w:val="center"/>
              <w:rPr>
                <w:rFonts w:cs="Times New Roman"/>
                <w:b/>
                <w:bCs/>
                <w:sz w:val="20"/>
                <w:szCs w:val="20"/>
                <w:lang w:val="sr-Cyrl-CS"/>
              </w:rPr>
            </w:pPr>
            <w:r w:rsidRPr="00E84C93">
              <w:rPr>
                <w:rFonts w:cs="Times New Roman"/>
                <w:b/>
                <w:bCs/>
                <w:sz w:val="20"/>
                <w:szCs w:val="20"/>
                <w:lang w:val="sr-Cyrl-CS"/>
              </w:rPr>
              <w:t>203</w:t>
            </w:r>
            <w:r w:rsidR="006F6010" w:rsidRPr="00E84C93">
              <w:rPr>
                <w:rFonts w:cs="Times New Roman"/>
                <w:b/>
                <w:bCs/>
                <w:sz w:val="20"/>
                <w:szCs w:val="20"/>
                <w:lang w:val="sr-Cyrl-CS"/>
              </w:rPr>
              <w:t>2</w:t>
            </w:r>
            <w:r w:rsidRPr="00E84C93">
              <w:rPr>
                <w:rFonts w:cs="Times New Roman"/>
                <w:b/>
                <w:bCs/>
                <w:sz w:val="20"/>
                <w:szCs w:val="20"/>
                <w:lang w:val="sr-Cyrl-CS"/>
              </w:rPr>
              <w:t>.</w:t>
            </w:r>
          </w:p>
        </w:tc>
        <w:tc>
          <w:tcPr>
            <w:tcW w:w="3960" w:type="dxa"/>
            <w:vMerge/>
          </w:tcPr>
          <w:p w14:paraId="2D0B6DA0" w14:textId="77777777" w:rsidR="006E7EA4" w:rsidRPr="00E84C93" w:rsidRDefault="006E7EA4" w:rsidP="006E7EA4">
            <w:pPr>
              <w:spacing w:after="0"/>
              <w:rPr>
                <w:rFonts w:cs="Times New Roman"/>
                <w:sz w:val="20"/>
                <w:szCs w:val="20"/>
                <w:highlight w:val="yellow"/>
                <w:lang w:val="sr-Cyrl-CS"/>
              </w:rPr>
            </w:pPr>
          </w:p>
        </w:tc>
      </w:tr>
      <w:tr w:rsidR="006E7EA4" w:rsidRPr="00E84C93" w14:paraId="7E2568D9" w14:textId="77777777" w:rsidTr="003B7E6F">
        <w:trPr>
          <w:trHeight w:val="719"/>
        </w:trPr>
        <w:tc>
          <w:tcPr>
            <w:tcW w:w="3775" w:type="dxa"/>
          </w:tcPr>
          <w:p w14:paraId="0B0922F0" w14:textId="77777777" w:rsidR="006E7EA4" w:rsidRPr="00E84C93" w:rsidRDefault="006E7EA4" w:rsidP="006E7EA4">
            <w:pPr>
              <w:spacing w:after="0"/>
              <w:rPr>
                <w:rFonts w:cs="Times New Roman"/>
                <w:b/>
                <w:bCs/>
                <w:sz w:val="20"/>
                <w:szCs w:val="20"/>
                <w:lang w:val="sr-Cyrl-CS"/>
              </w:rPr>
            </w:pPr>
            <w:r w:rsidRPr="00E84C93">
              <w:rPr>
                <w:rFonts w:cs="Times New Roman"/>
                <w:b/>
                <w:bCs/>
                <w:sz w:val="20"/>
                <w:szCs w:val="20"/>
                <w:lang w:val="sr-Cyrl-CS"/>
              </w:rPr>
              <w:t>Општи циљ:</w:t>
            </w:r>
          </w:p>
          <w:p w14:paraId="788E09AE" w14:textId="73DD3608" w:rsidR="006E7EA4" w:rsidRPr="00E84C93" w:rsidRDefault="00F34852" w:rsidP="00F34852">
            <w:pPr>
              <w:pStyle w:val="Default"/>
              <w:rPr>
                <w:rFonts w:ascii="Times New Roman" w:hAnsi="Times New Roman" w:cs="Times New Roman"/>
                <w:b/>
                <w:sz w:val="20"/>
                <w:szCs w:val="20"/>
                <w:lang w:val="sr-Cyrl-CS"/>
              </w:rPr>
            </w:pPr>
            <w:r w:rsidRPr="00E84C93">
              <w:rPr>
                <w:rFonts w:ascii="Times New Roman" w:hAnsi="Times New Roman" w:cs="Times New Roman"/>
                <w:b/>
                <w:sz w:val="20"/>
                <w:szCs w:val="20"/>
                <w:lang w:val="sr-Cyrl-CS"/>
              </w:rPr>
              <w:t xml:space="preserve">Успостављање безбедног, одрживог и исплативог система управљања муљем у </w:t>
            </w:r>
            <w:r w:rsidR="006B4EF0" w:rsidRPr="00E84C93">
              <w:rPr>
                <w:rFonts w:ascii="Times New Roman" w:hAnsi="Times New Roman" w:cs="Times New Roman"/>
                <w:b/>
                <w:sz w:val="20"/>
                <w:szCs w:val="20"/>
                <w:lang w:val="sr-Cyrl-CS"/>
              </w:rPr>
              <w:t>складу са принципима циркуларне економије</w:t>
            </w:r>
          </w:p>
        </w:tc>
        <w:tc>
          <w:tcPr>
            <w:tcW w:w="3870" w:type="dxa"/>
          </w:tcPr>
          <w:p w14:paraId="7C1656C3" w14:textId="2F1B6E1F" w:rsidR="006E7EA4" w:rsidRPr="00E84C93" w:rsidRDefault="003517BF" w:rsidP="003517BF">
            <w:pPr>
              <w:pStyle w:val="Default"/>
              <w:tabs>
                <w:tab w:val="left" w:pos="993"/>
              </w:tabs>
              <w:jc w:val="both"/>
              <w:rPr>
                <w:rFonts w:ascii="Times New Roman" w:hAnsi="Times New Roman" w:cs="Times New Roman"/>
                <w:color w:val="auto"/>
                <w:sz w:val="20"/>
                <w:szCs w:val="20"/>
                <w:lang w:val="sr-Cyrl-CS"/>
              </w:rPr>
            </w:pPr>
            <w:r w:rsidRPr="00E84C93">
              <w:rPr>
                <w:rFonts w:ascii="Times New Roman" w:hAnsi="Times New Roman" w:cs="Times New Roman"/>
                <w:sz w:val="20"/>
                <w:szCs w:val="20"/>
                <w:lang w:val="sr-Cyrl-CS"/>
              </w:rPr>
              <w:t>Степен искоришћеног муља у однос</w:t>
            </w:r>
            <w:r w:rsidR="0037754F" w:rsidRPr="00E84C93">
              <w:rPr>
                <w:rFonts w:ascii="Times New Roman" w:hAnsi="Times New Roman" w:cs="Times New Roman"/>
                <w:sz w:val="20"/>
                <w:szCs w:val="20"/>
                <w:lang w:val="sr-Cyrl-CS"/>
              </w:rPr>
              <w:t>у</w:t>
            </w:r>
            <w:r w:rsidRPr="00E84C93">
              <w:rPr>
                <w:rFonts w:ascii="Times New Roman" w:hAnsi="Times New Roman" w:cs="Times New Roman"/>
                <w:sz w:val="20"/>
                <w:szCs w:val="20"/>
                <w:lang w:val="sr-Cyrl-CS"/>
              </w:rPr>
              <w:t xml:space="preserve"> на генерисани (%)</w:t>
            </w:r>
          </w:p>
        </w:tc>
        <w:tc>
          <w:tcPr>
            <w:tcW w:w="1080" w:type="dxa"/>
          </w:tcPr>
          <w:p w14:paraId="000B6F1B" w14:textId="4DE9D99A" w:rsidR="006E7EA4" w:rsidRPr="00E84C93" w:rsidRDefault="003517BF" w:rsidP="006E7EA4">
            <w:pPr>
              <w:spacing w:after="0"/>
              <w:jc w:val="center"/>
              <w:rPr>
                <w:rFonts w:cs="Times New Roman"/>
                <w:color w:val="FF0000"/>
                <w:sz w:val="20"/>
                <w:szCs w:val="20"/>
                <w:lang w:val="sr-Cyrl-CS"/>
              </w:rPr>
            </w:pPr>
            <w:r w:rsidRPr="00E84C93">
              <w:rPr>
                <w:rFonts w:cs="Times New Roman"/>
                <w:sz w:val="20"/>
                <w:szCs w:val="20"/>
                <w:lang w:val="sr-Cyrl-CS"/>
              </w:rPr>
              <w:t>0</w:t>
            </w:r>
          </w:p>
        </w:tc>
        <w:tc>
          <w:tcPr>
            <w:tcW w:w="1170" w:type="dxa"/>
          </w:tcPr>
          <w:p w14:paraId="51B20073" w14:textId="6D7964CB" w:rsidR="006E7EA4" w:rsidRPr="00E84C93" w:rsidRDefault="0037754F" w:rsidP="006E7EA4">
            <w:pPr>
              <w:spacing w:after="0"/>
              <w:jc w:val="center"/>
              <w:rPr>
                <w:rFonts w:cs="Times New Roman"/>
                <w:color w:val="FF0000"/>
                <w:sz w:val="20"/>
                <w:szCs w:val="20"/>
                <w:lang w:val="sr-Cyrl-CS"/>
              </w:rPr>
            </w:pPr>
            <w:r w:rsidRPr="00E84C93">
              <w:rPr>
                <w:rFonts w:cs="Times New Roman"/>
                <w:sz w:val="20"/>
                <w:szCs w:val="20"/>
                <w:lang w:val="sr-Cyrl-CS"/>
              </w:rPr>
              <w:t>8</w:t>
            </w:r>
            <w:r w:rsidR="003517BF" w:rsidRPr="00E84C93">
              <w:rPr>
                <w:rFonts w:cs="Times New Roman"/>
                <w:sz w:val="20"/>
                <w:szCs w:val="20"/>
                <w:lang w:val="sr-Cyrl-CS"/>
              </w:rPr>
              <w:t>0</w:t>
            </w:r>
          </w:p>
        </w:tc>
        <w:tc>
          <w:tcPr>
            <w:tcW w:w="3960" w:type="dxa"/>
          </w:tcPr>
          <w:p w14:paraId="34C82AF9" w14:textId="77777777" w:rsidR="006E7EA4" w:rsidRPr="00E84C93" w:rsidRDefault="006E7EA4" w:rsidP="006E7EA4">
            <w:pPr>
              <w:spacing w:after="0"/>
              <w:rPr>
                <w:rFonts w:cs="Times New Roman"/>
                <w:color w:val="FF0000"/>
                <w:sz w:val="20"/>
                <w:szCs w:val="20"/>
                <w:lang w:val="sr-Cyrl-CS"/>
              </w:rPr>
            </w:pPr>
            <w:r w:rsidRPr="00E84C93">
              <w:rPr>
                <w:rFonts w:cs="Times New Roman"/>
                <w:sz w:val="20"/>
                <w:szCs w:val="20"/>
                <w:lang w:val="sr-Cyrl-CS"/>
              </w:rPr>
              <w:t>Годишњи Извештај о стању животне средине у Републици Србији (АЗЖС)</w:t>
            </w:r>
          </w:p>
        </w:tc>
      </w:tr>
      <w:tr w:rsidR="00AB5917" w:rsidRPr="00E84C93" w14:paraId="2AF5D695" w14:textId="77777777" w:rsidTr="003B7E6F">
        <w:trPr>
          <w:trHeight w:val="267"/>
        </w:trPr>
        <w:tc>
          <w:tcPr>
            <w:tcW w:w="3775" w:type="dxa"/>
            <w:shd w:val="clear" w:color="auto" w:fill="DEEAF6" w:themeFill="accent1" w:themeFillTint="33"/>
          </w:tcPr>
          <w:p w14:paraId="1E8998D4" w14:textId="1D16FF68" w:rsidR="00AB5917" w:rsidRPr="00E84C93" w:rsidRDefault="00AB5917" w:rsidP="00AB5917">
            <w:pPr>
              <w:spacing w:after="0"/>
              <w:rPr>
                <w:rFonts w:cs="Times New Roman"/>
                <w:b/>
                <w:bCs/>
                <w:sz w:val="20"/>
                <w:szCs w:val="20"/>
                <w:lang w:val="sr-Cyrl-CS"/>
              </w:rPr>
            </w:pPr>
            <w:r w:rsidRPr="00E84C93">
              <w:rPr>
                <w:b/>
                <w:sz w:val="20"/>
                <w:szCs w:val="20"/>
                <w:lang w:val="sr-Cyrl-CS"/>
              </w:rPr>
              <w:t xml:space="preserve">Посебан циљ 1. </w:t>
            </w:r>
            <w:bookmarkStart w:id="110" w:name="_Hlk96980084"/>
            <w:r w:rsidR="00D55B03" w:rsidRPr="00E84C93">
              <w:rPr>
                <w:b/>
                <w:sz w:val="20"/>
                <w:szCs w:val="20"/>
                <w:lang w:val="sr-Cyrl-CS"/>
              </w:rPr>
              <w:t>Усклађена национална регулатива са прописима ЕУ у области управљања муљем из постројења за пречишћавање отпадних вода</w:t>
            </w:r>
            <w:bookmarkEnd w:id="110"/>
          </w:p>
        </w:tc>
        <w:tc>
          <w:tcPr>
            <w:tcW w:w="3870" w:type="dxa"/>
          </w:tcPr>
          <w:p w14:paraId="1FB8AFAB" w14:textId="5D372EE9" w:rsidR="00AB5917" w:rsidRPr="00E84C93" w:rsidRDefault="009363A7" w:rsidP="00AB5917">
            <w:pPr>
              <w:pStyle w:val="Default"/>
              <w:rPr>
                <w:rFonts w:ascii="Times New Roman" w:hAnsi="Times New Roman" w:cs="Times New Roman"/>
                <w:color w:val="auto"/>
                <w:sz w:val="20"/>
                <w:szCs w:val="20"/>
                <w:highlight w:val="yellow"/>
                <w:lang w:val="sr-Cyrl-CS"/>
              </w:rPr>
            </w:pPr>
            <w:r w:rsidRPr="00E84C93">
              <w:rPr>
                <w:rFonts w:ascii="Times New Roman" w:hAnsi="Times New Roman" w:cs="Times New Roman"/>
                <w:color w:val="auto"/>
                <w:sz w:val="20"/>
                <w:szCs w:val="20"/>
                <w:lang w:val="sr-Cyrl-CS"/>
              </w:rPr>
              <w:t xml:space="preserve">Донет </w:t>
            </w:r>
            <w:r w:rsidR="00D63B05" w:rsidRPr="00E84C93">
              <w:rPr>
                <w:rFonts w:ascii="Times New Roman" w:hAnsi="Times New Roman" w:cs="Times New Roman"/>
                <w:color w:val="auto"/>
                <w:sz w:val="20"/>
                <w:szCs w:val="20"/>
                <w:lang w:val="sr-Cyrl-CS"/>
              </w:rPr>
              <w:t>акт</w:t>
            </w:r>
            <w:r w:rsidR="00B37AAE" w:rsidRPr="00E84C93">
              <w:rPr>
                <w:rFonts w:ascii="Times New Roman" w:hAnsi="Times New Roman" w:cs="Times New Roman"/>
                <w:color w:val="auto"/>
                <w:sz w:val="20"/>
                <w:szCs w:val="20"/>
                <w:lang w:val="sr-Cyrl-CS"/>
              </w:rPr>
              <w:t xml:space="preserve"> </w:t>
            </w:r>
            <w:r w:rsidR="00732232" w:rsidRPr="00E84C93">
              <w:rPr>
                <w:rFonts w:ascii="Times New Roman" w:hAnsi="Times New Roman" w:cs="Times New Roman"/>
                <w:color w:val="auto"/>
                <w:sz w:val="20"/>
                <w:szCs w:val="20"/>
                <w:lang w:val="sr-Cyrl-CS"/>
              </w:rPr>
              <w:t>о примени муља</w:t>
            </w:r>
            <w:r w:rsidR="00AB5917" w:rsidRPr="00E84C93">
              <w:rPr>
                <w:rFonts w:ascii="Times New Roman" w:hAnsi="Times New Roman" w:cs="Times New Roman"/>
                <w:color w:val="auto"/>
                <w:sz w:val="20"/>
                <w:szCs w:val="20"/>
                <w:lang w:val="sr-Cyrl-CS"/>
              </w:rPr>
              <w:t xml:space="preserve"> у пољопривреди</w:t>
            </w:r>
          </w:p>
        </w:tc>
        <w:tc>
          <w:tcPr>
            <w:tcW w:w="1080" w:type="dxa"/>
          </w:tcPr>
          <w:p w14:paraId="0B3804DF" w14:textId="03B4AE1F" w:rsidR="00AB5917" w:rsidRPr="00E84C93" w:rsidRDefault="00AB5917" w:rsidP="00AB5917">
            <w:pPr>
              <w:spacing w:after="0"/>
              <w:jc w:val="center"/>
              <w:rPr>
                <w:rFonts w:cs="Times New Roman"/>
                <w:color w:val="FF0000"/>
                <w:sz w:val="20"/>
                <w:szCs w:val="20"/>
                <w:highlight w:val="yellow"/>
                <w:lang w:val="sr-Cyrl-CS"/>
              </w:rPr>
            </w:pPr>
            <w:r w:rsidRPr="00E84C93">
              <w:rPr>
                <w:rFonts w:cs="Times New Roman"/>
                <w:sz w:val="20"/>
                <w:szCs w:val="20"/>
                <w:lang w:val="sr-Cyrl-CS"/>
              </w:rPr>
              <w:t>Не</w:t>
            </w:r>
          </w:p>
        </w:tc>
        <w:tc>
          <w:tcPr>
            <w:tcW w:w="1170" w:type="dxa"/>
          </w:tcPr>
          <w:p w14:paraId="7F1F9901" w14:textId="1FED5BF6" w:rsidR="00AB5917" w:rsidRPr="00E84C93" w:rsidRDefault="00AB5917" w:rsidP="00AB5917">
            <w:pPr>
              <w:spacing w:after="0"/>
              <w:jc w:val="center"/>
              <w:rPr>
                <w:rFonts w:cs="Times New Roman"/>
                <w:color w:val="FF0000"/>
                <w:sz w:val="20"/>
                <w:szCs w:val="20"/>
                <w:highlight w:val="yellow"/>
                <w:lang w:val="sr-Cyrl-CS"/>
              </w:rPr>
            </w:pPr>
            <w:r w:rsidRPr="00E84C93">
              <w:rPr>
                <w:rFonts w:cs="Times New Roman"/>
                <w:sz w:val="20"/>
                <w:szCs w:val="20"/>
                <w:lang w:val="sr-Cyrl-CS"/>
              </w:rPr>
              <w:t>Да</w:t>
            </w:r>
          </w:p>
        </w:tc>
        <w:tc>
          <w:tcPr>
            <w:tcW w:w="3960" w:type="dxa"/>
          </w:tcPr>
          <w:p w14:paraId="7A3DABD4" w14:textId="2AD5AF28" w:rsidR="00AB5917" w:rsidRPr="00E84C93" w:rsidRDefault="00A07577" w:rsidP="00AB5917">
            <w:pPr>
              <w:spacing w:after="0"/>
              <w:rPr>
                <w:rFonts w:cs="Times New Roman"/>
                <w:color w:val="FF0000"/>
                <w:sz w:val="20"/>
                <w:szCs w:val="20"/>
                <w:lang w:val="sr-Cyrl-CS"/>
              </w:rPr>
            </w:pPr>
            <w:r w:rsidRPr="00E84C93">
              <w:rPr>
                <w:rFonts w:cs="Times New Roman"/>
                <w:sz w:val="20"/>
                <w:szCs w:val="20"/>
                <w:lang w:val="sr-Cyrl-CS"/>
              </w:rPr>
              <w:t>Извештај о раду Владе</w:t>
            </w:r>
          </w:p>
        </w:tc>
      </w:tr>
      <w:tr w:rsidR="00AB5917" w:rsidRPr="00E84C93" w14:paraId="06A220D2" w14:textId="77777777" w:rsidTr="003B7E6F">
        <w:trPr>
          <w:trHeight w:val="267"/>
        </w:trPr>
        <w:tc>
          <w:tcPr>
            <w:tcW w:w="3775" w:type="dxa"/>
          </w:tcPr>
          <w:p w14:paraId="7378FE25" w14:textId="453A5EF2" w:rsidR="00AB5917" w:rsidRPr="00E84C93" w:rsidRDefault="00AB5917" w:rsidP="00AB5917">
            <w:pPr>
              <w:spacing w:after="0"/>
              <w:rPr>
                <w:rFonts w:cs="Times New Roman"/>
                <w:bCs/>
                <w:sz w:val="20"/>
                <w:szCs w:val="20"/>
                <w:lang w:val="sr-Cyrl-CS"/>
              </w:rPr>
            </w:pPr>
            <w:r w:rsidRPr="00E84C93">
              <w:rPr>
                <w:rFonts w:cs="Times New Roman"/>
                <w:b/>
                <w:sz w:val="20"/>
                <w:szCs w:val="20"/>
                <w:lang w:val="sr-Cyrl-CS"/>
              </w:rPr>
              <w:t>Мера 1.1.</w:t>
            </w:r>
            <w:r w:rsidRPr="00E84C93">
              <w:rPr>
                <w:rFonts w:cs="Times New Roman"/>
                <w:bCs/>
                <w:sz w:val="20"/>
                <w:szCs w:val="20"/>
                <w:lang w:val="sr-Cyrl-CS"/>
              </w:rPr>
              <w:t xml:space="preserve"> </w:t>
            </w:r>
            <w:r w:rsidRPr="00E84C93">
              <w:rPr>
                <w:bCs/>
                <w:sz w:val="20"/>
                <w:szCs w:val="20"/>
                <w:lang w:val="sr-Cyrl-CS"/>
              </w:rPr>
              <w:t>Усклађивање правног оквира са Директивом ЕУ о муљу из постројења за пречишћавање отпадних вода</w:t>
            </w:r>
          </w:p>
        </w:tc>
        <w:tc>
          <w:tcPr>
            <w:tcW w:w="3870" w:type="dxa"/>
          </w:tcPr>
          <w:p w14:paraId="03BAD95E" w14:textId="4CC693BE" w:rsidR="00AB5917" w:rsidRPr="00E84C93" w:rsidRDefault="00AB5917" w:rsidP="00AB5917">
            <w:pPr>
              <w:spacing w:after="0"/>
              <w:rPr>
                <w:rFonts w:cs="Times New Roman"/>
                <w:bCs/>
                <w:sz w:val="20"/>
                <w:szCs w:val="20"/>
                <w:lang w:val="sr-Cyrl-CS"/>
              </w:rPr>
            </w:pPr>
            <w:r w:rsidRPr="00E84C93">
              <w:rPr>
                <w:rFonts w:cs="Times New Roman"/>
                <w:sz w:val="20"/>
                <w:szCs w:val="20"/>
                <w:lang w:val="sr-Cyrl-CS"/>
              </w:rPr>
              <w:t>Усклађен правни оквир са Директивом ЕУ о муљу из постројења за пречишћавање отпадних вода</w:t>
            </w:r>
          </w:p>
        </w:tc>
        <w:tc>
          <w:tcPr>
            <w:tcW w:w="1080" w:type="dxa"/>
          </w:tcPr>
          <w:p w14:paraId="32318B72" w14:textId="3B3BC81B" w:rsidR="00AB5917" w:rsidRPr="00E84C93" w:rsidRDefault="00AB5917" w:rsidP="00AB5917">
            <w:pPr>
              <w:spacing w:after="0"/>
              <w:jc w:val="center"/>
              <w:rPr>
                <w:rFonts w:cs="Times New Roman"/>
                <w:sz w:val="20"/>
                <w:szCs w:val="20"/>
                <w:highlight w:val="yellow"/>
                <w:lang w:val="sr-Cyrl-CS"/>
              </w:rPr>
            </w:pPr>
            <w:r w:rsidRPr="00E84C93">
              <w:rPr>
                <w:rFonts w:cs="Times New Roman"/>
                <w:sz w:val="20"/>
                <w:szCs w:val="20"/>
                <w:lang w:val="sr-Cyrl-CS"/>
              </w:rPr>
              <w:t xml:space="preserve">Не </w:t>
            </w:r>
          </w:p>
        </w:tc>
        <w:tc>
          <w:tcPr>
            <w:tcW w:w="1170" w:type="dxa"/>
          </w:tcPr>
          <w:p w14:paraId="31BF52E8" w14:textId="2C68D568" w:rsidR="00AB5917" w:rsidRPr="00E84C93" w:rsidRDefault="00AB5917" w:rsidP="00AB5917">
            <w:pPr>
              <w:spacing w:after="0"/>
              <w:jc w:val="center"/>
              <w:rPr>
                <w:rFonts w:cs="Times New Roman"/>
                <w:sz w:val="20"/>
                <w:szCs w:val="20"/>
                <w:highlight w:val="yellow"/>
                <w:lang w:val="sr-Cyrl-CS"/>
              </w:rPr>
            </w:pPr>
            <w:r w:rsidRPr="00E84C93">
              <w:rPr>
                <w:rFonts w:cs="Times New Roman"/>
                <w:sz w:val="20"/>
                <w:szCs w:val="20"/>
                <w:lang w:val="sr-Cyrl-CS"/>
              </w:rPr>
              <w:t>Да (2024.)</w:t>
            </w:r>
          </w:p>
        </w:tc>
        <w:tc>
          <w:tcPr>
            <w:tcW w:w="3960" w:type="dxa"/>
          </w:tcPr>
          <w:p w14:paraId="13DC547E" w14:textId="51A1879A" w:rsidR="00AB5917" w:rsidRPr="00E84C93" w:rsidRDefault="00FE17F6" w:rsidP="00AB5917">
            <w:pPr>
              <w:spacing w:after="0"/>
              <w:rPr>
                <w:rFonts w:cs="Times New Roman"/>
                <w:sz w:val="20"/>
                <w:szCs w:val="20"/>
                <w:highlight w:val="yellow"/>
                <w:lang w:val="sr-Cyrl-CS"/>
              </w:rPr>
            </w:pPr>
            <w:r w:rsidRPr="00E84C93">
              <w:rPr>
                <w:sz w:val="20"/>
                <w:szCs w:val="20"/>
                <w:lang w:val="sr-Cyrl-CS"/>
              </w:rPr>
              <w:t>Извештај</w:t>
            </w:r>
            <w:r w:rsidR="00712B9E" w:rsidRPr="00E84C93">
              <w:rPr>
                <w:sz w:val="20"/>
                <w:szCs w:val="20"/>
                <w:lang w:val="sr-Cyrl-CS"/>
              </w:rPr>
              <w:t>и</w:t>
            </w:r>
            <w:r w:rsidRPr="00E84C93">
              <w:rPr>
                <w:sz w:val="20"/>
                <w:szCs w:val="20"/>
                <w:lang w:val="sr-Cyrl-CS"/>
              </w:rPr>
              <w:t xml:space="preserve"> Министарства пољопривреде, шумарства и водопривреде </w:t>
            </w:r>
            <w:r w:rsidR="00712B9E" w:rsidRPr="00E84C93">
              <w:rPr>
                <w:sz w:val="20"/>
                <w:szCs w:val="20"/>
                <w:lang w:val="sr-Cyrl-CS"/>
              </w:rPr>
              <w:t>и Министарства заштите животне средине</w:t>
            </w:r>
          </w:p>
        </w:tc>
      </w:tr>
      <w:tr w:rsidR="00FE17F6" w:rsidRPr="00E84C93" w14:paraId="14012163" w14:textId="77777777" w:rsidTr="003B7E6F">
        <w:trPr>
          <w:trHeight w:val="267"/>
        </w:trPr>
        <w:tc>
          <w:tcPr>
            <w:tcW w:w="3775" w:type="dxa"/>
          </w:tcPr>
          <w:p w14:paraId="40362E2A" w14:textId="25D99A0D" w:rsidR="00FE17F6" w:rsidRPr="00E84C93" w:rsidRDefault="00FE17F6" w:rsidP="00FE17F6">
            <w:pPr>
              <w:spacing w:after="0"/>
              <w:rPr>
                <w:rFonts w:cs="Times New Roman"/>
                <w:bCs/>
                <w:sz w:val="20"/>
                <w:szCs w:val="20"/>
                <w:lang w:val="sr-Cyrl-CS"/>
              </w:rPr>
            </w:pPr>
            <w:r w:rsidRPr="00E84C93">
              <w:rPr>
                <w:rFonts w:cs="Times New Roman"/>
                <w:b/>
                <w:bCs/>
                <w:noProof/>
                <w:sz w:val="20"/>
                <w:szCs w:val="20"/>
                <w:lang w:val="sr-Cyrl-CS"/>
              </w:rPr>
              <w:t xml:space="preserve">Мера </w:t>
            </w:r>
            <w:r w:rsidR="00347291" w:rsidRPr="00E84C93">
              <w:rPr>
                <w:rFonts w:cs="Times New Roman"/>
                <w:b/>
                <w:bCs/>
                <w:noProof/>
                <w:sz w:val="20"/>
                <w:szCs w:val="20"/>
                <w:lang w:val="sr-Cyrl-CS"/>
              </w:rPr>
              <w:t>1</w:t>
            </w:r>
            <w:r w:rsidRPr="00E84C93">
              <w:rPr>
                <w:rFonts w:cs="Times New Roman"/>
                <w:b/>
                <w:bCs/>
                <w:noProof/>
                <w:sz w:val="20"/>
                <w:szCs w:val="20"/>
                <w:lang w:val="sr-Cyrl-CS"/>
              </w:rPr>
              <w:t xml:space="preserve">.2. </w:t>
            </w:r>
            <w:r w:rsidRPr="00E84C93">
              <w:rPr>
                <w:rFonts w:cs="Times New Roman"/>
                <w:noProof/>
                <w:sz w:val="20"/>
                <w:szCs w:val="20"/>
                <w:lang w:val="sr-Cyrl-CS"/>
              </w:rPr>
              <w:t>Испитивање могућности п</w:t>
            </w:r>
            <w:r w:rsidRPr="00E84C93">
              <w:rPr>
                <w:rFonts w:cs="Times New Roman"/>
                <w:sz w:val="20"/>
                <w:szCs w:val="20"/>
                <w:lang w:val="sr-Cyrl-CS" w:bidi="en-US"/>
              </w:rPr>
              <w:t>оновне употребе муља у пољопривреди</w:t>
            </w:r>
          </w:p>
        </w:tc>
        <w:tc>
          <w:tcPr>
            <w:tcW w:w="3870" w:type="dxa"/>
          </w:tcPr>
          <w:p w14:paraId="7995E44F" w14:textId="32BB3205" w:rsidR="00FE17F6" w:rsidRPr="00E84C93" w:rsidRDefault="00FE17F6" w:rsidP="00FE17F6">
            <w:pPr>
              <w:spacing w:after="0"/>
              <w:rPr>
                <w:rFonts w:cs="Times New Roman"/>
                <w:bCs/>
                <w:sz w:val="20"/>
                <w:szCs w:val="20"/>
                <w:lang w:val="sr-Cyrl-CS"/>
              </w:rPr>
            </w:pPr>
            <w:r w:rsidRPr="00E84C93">
              <w:rPr>
                <w:rFonts w:cs="Times New Roman"/>
                <w:bCs/>
                <w:sz w:val="20"/>
                <w:szCs w:val="20"/>
                <w:lang w:val="sr-Cyrl-CS"/>
              </w:rPr>
              <w:t>Извршена анализа могућности за употребу муља у пољопривреди</w:t>
            </w:r>
          </w:p>
        </w:tc>
        <w:tc>
          <w:tcPr>
            <w:tcW w:w="1080" w:type="dxa"/>
          </w:tcPr>
          <w:p w14:paraId="0664AFDA" w14:textId="527ABF16" w:rsidR="00FE17F6" w:rsidRPr="00E84C93" w:rsidRDefault="00FE17F6" w:rsidP="00FE17F6">
            <w:pPr>
              <w:spacing w:after="0"/>
              <w:jc w:val="center"/>
              <w:rPr>
                <w:rFonts w:cs="Times New Roman"/>
                <w:sz w:val="20"/>
                <w:szCs w:val="20"/>
                <w:lang w:val="sr-Cyrl-CS"/>
              </w:rPr>
            </w:pPr>
            <w:r w:rsidRPr="00E84C93">
              <w:rPr>
                <w:rFonts w:cs="Times New Roman"/>
                <w:sz w:val="20"/>
                <w:szCs w:val="20"/>
                <w:lang w:val="sr-Cyrl-CS"/>
              </w:rPr>
              <w:t>Не</w:t>
            </w:r>
          </w:p>
        </w:tc>
        <w:tc>
          <w:tcPr>
            <w:tcW w:w="1170" w:type="dxa"/>
          </w:tcPr>
          <w:p w14:paraId="5FBAE921" w14:textId="4A017D97" w:rsidR="00FE17F6" w:rsidRPr="00E84C93" w:rsidRDefault="00FE17F6" w:rsidP="00FE17F6">
            <w:pPr>
              <w:spacing w:after="0"/>
              <w:jc w:val="center"/>
              <w:rPr>
                <w:rFonts w:cs="Times New Roman"/>
                <w:sz w:val="20"/>
                <w:szCs w:val="20"/>
                <w:highlight w:val="yellow"/>
                <w:lang w:val="sr-Cyrl-CS"/>
              </w:rPr>
            </w:pPr>
            <w:r w:rsidRPr="00E84C93">
              <w:rPr>
                <w:rFonts w:cs="Times New Roman"/>
                <w:sz w:val="20"/>
                <w:szCs w:val="20"/>
                <w:lang w:val="sr-Cyrl-CS"/>
              </w:rPr>
              <w:t>Да</w:t>
            </w:r>
          </w:p>
        </w:tc>
        <w:tc>
          <w:tcPr>
            <w:tcW w:w="3960" w:type="dxa"/>
          </w:tcPr>
          <w:p w14:paraId="208E73E7" w14:textId="3E7ECC99" w:rsidR="00FE17F6" w:rsidRPr="00E84C93" w:rsidRDefault="00FE17F6" w:rsidP="00FE17F6">
            <w:pPr>
              <w:spacing w:after="0"/>
              <w:rPr>
                <w:rFonts w:cs="Times New Roman"/>
                <w:sz w:val="20"/>
                <w:szCs w:val="20"/>
                <w:highlight w:val="yellow"/>
                <w:lang w:val="sr-Cyrl-CS"/>
              </w:rPr>
            </w:pPr>
            <w:r w:rsidRPr="00E84C93">
              <w:rPr>
                <w:sz w:val="20"/>
                <w:szCs w:val="20"/>
                <w:lang w:val="sr-Cyrl-CS"/>
              </w:rPr>
              <w:t>Извештај</w:t>
            </w:r>
            <w:r w:rsidR="00347291" w:rsidRPr="00E84C93">
              <w:rPr>
                <w:sz w:val="20"/>
                <w:szCs w:val="20"/>
                <w:lang w:val="sr-Cyrl-CS"/>
              </w:rPr>
              <w:t>и</w:t>
            </w:r>
            <w:r w:rsidRPr="00E84C93">
              <w:rPr>
                <w:sz w:val="20"/>
                <w:szCs w:val="20"/>
                <w:lang w:val="sr-Cyrl-CS"/>
              </w:rPr>
              <w:t xml:space="preserve"> Министарства пољопривреде, шумарства и водопривреде </w:t>
            </w:r>
            <w:r w:rsidR="00347291" w:rsidRPr="00E84C93">
              <w:rPr>
                <w:sz w:val="20"/>
                <w:szCs w:val="20"/>
                <w:lang w:val="sr-Cyrl-CS"/>
              </w:rPr>
              <w:t>и Министарства заштите животне средине</w:t>
            </w:r>
          </w:p>
        </w:tc>
      </w:tr>
      <w:tr w:rsidR="00A66922" w:rsidRPr="00E84C93" w14:paraId="2CBD595D" w14:textId="77777777" w:rsidTr="00AA2A9D">
        <w:trPr>
          <w:trHeight w:val="267"/>
        </w:trPr>
        <w:tc>
          <w:tcPr>
            <w:tcW w:w="3775" w:type="dxa"/>
            <w:shd w:val="clear" w:color="auto" w:fill="DEEAF6" w:themeFill="accent1" w:themeFillTint="33"/>
          </w:tcPr>
          <w:p w14:paraId="76616DA6" w14:textId="11ADEC09" w:rsidR="00A66922" w:rsidRPr="00E84C93" w:rsidRDefault="00A66922" w:rsidP="00AA2A9D">
            <w:pPr>
              <w:spacing w:after="0"/>
              <w:rPr>
                <w:rFonts w:cs="Times New Roman"/>
                <w:b/>
                <w:sz w:val="20"/>
                <w:szCs w:val="20"/>
                <w:lang w:val="sr-Cyrl-CS"/>
              </w:rPr>
            </w:pPr>
            <w:r w:rsidRPr="00E84C93">
              <w:rPr>
                <w:rFonts w:cs="Times New Roman"/>
                <w:b/>
                <w:sz w:val="20"/>
                <w:szCs w:val="20"/>
                <w:lang w:val="sr-Cyrl-CS"/>
              </w:rPr>
              <w:t xml:space="preserve">Посебан циљ 2: </w:t>
            </w:r>
            <w:r w:rsidR="000C2D68" w:rsidRPr="00E84C93">
              <w:rPr>
                <w:b/>
                <w:sz w:val="20"/>
                <w:szCs w:val="20"/>
                <w:lang w:val="sr-Cyrl-CS"/>
              </w:rPr>
              <w:t xml:space="preserve">Примењен привремени систем за третман и одлагање муља примарно кроз коинсинерацију у цементарама и искоришћење муља за рекултивацију </w:t>
            </w:r>
            <w:r w:rsidR="008C00D9" w:rsidRPr="00E84C93">
              <w:rPr>
                <w:b/>
                <w:sz w:val="20"/>
                <w:szCs w:val="20"/>
                <w:lang w:val="sr-Cyrl-CS"/>
              </w:rPr>
              <w:t>девастираних локација</w:t>
            </w:r>
          </w:p>
        </w:tc>
        <w:tc>
          <w:tcPr>
            <w:tcW w:w="3870" w:type="dxa"/>
          </w:tcPr>
          <w:p w14:paraId="12B881E7" w14:textId="77777777" w:rsidR="00A66922" w:rsidRPr="00E84C93" w:rsidRDefault="00A66922" w:rsidP="00AA2A9D">
            <w:pPr>
              <w:spacing w:after="0"/>
              <w:rPr>
                <w:rFonts w:cs="Times New Roman"/>
                <w:sz w:val="20"/>
                <w:szCs w:val="20"/>
                <w:lang w:val="sr-Cyrl-CS"/>
              </w:rPr>
            </w:pPr>
            <w:r w:rsidRPr="00E84C93">
              <w:rPr>
                <w:rFonts w:cs="Times New Roman"/>
                <w:sz w:val="20"/>
                <w:szCs w:val="20"/>
                <w:lang w:val="sr-Cyrl-CS"/>
              </w:rPr>
              <w:t>Степен збринутог муља у односу на генерисани кроз привремени систем за третман и одлагање муља</w:t>
            </w:r>
          </w:p>
        </w:tc>
        <w:tc>
          <w:tcPr>
            <w:tcW w:w="1080" w:type="dxa"/>
          </w:tcPr>
          <w:p w14:paraId="4B5C337D" w14:textId="34C3D0DB" w:rsidR="00A66922" w:rsidRPr="00E84C93" w:rsidRDefault="00797CAC" w:rsidP="00AA2A9D">
            <w:pPr>
              <w:spacing w:after="0"/>
              <w:jc w:val="center"/>
              <w:rPr>
                <w:rFonts w:cs="Times New Roman"/>
                <w:sz w:val="20"/>
                <w:szCs w:val="20"/>
                <w:lang w:val="sr-Cyrl-CS"/>
              </w:rPr>
            </w:pPr>
            <w:r w:rsidRPr="00E84C93">
              <w:rPr>
                <w:rFonts w:cs="Times New Roman"/>
                <w:sz w:val="20"/>
                <w:szCs w:val="20"/>
                <w:lang w:val="sr-Cyrl-CS"/>
              </w:rPr>
              <w:t>10</w:t>
            </w:r>
          </w:p>
        </w:tc>
        <w:tc>
          <w:tcPr>
            <w:tcW w:w="1170" w:type="dxa"/>
          </w:tcPr>
          <w:p w14:paraId="2B302192" w14:textId="290F9802" w:rsidR="00A66922" w:rsidRPr="00E84C93" w:rsidRDefault="009B0F32" w:rsidP="00AA2A9D">
            <w:pPr>
              <w:spacing w:after="0"/>
              <w:jc w:val="center"/>
              <w:rPr>
                <w:rFonts w:cs="Times New Roman"/>
                <w:sz w:val="20"/>
                <w:szCs w:val="20"/>
                <w:lang w:val="sr-Cyrl-CS"/>
              </w:rPr>
            </w:pPr>
            <w:r w:rsidRPr="00E84C93">
              <w:rPr>
                <w:rFonts w:cs="Times New Roman"/>
                <w:sz w:val="20"/>
                <w:szCs w:val="20"/>
                <w:lang w:val="sr-Cyrl-CS"/>
              </w:rPr>
              <w:t>50</w:t>
            </w:r>
          </w:p>
        </w:tc>
        <w:tc>
          <w:tcPr>
            <w:tcW w:w="3960" w:type="dxa"/>
          </w:tcPr>
          <w:p w14:paraId="7084ABBD" w14:textId="77777777" w:rsidR="00A66922" w:rsidRPr="00E84C93" w:rsidRDefault="00A66922" w:rsidP="00AA2A9D">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19FD2F3C" w14:textId="77777777" w:rsidTr="0056606C">
        <w:trPr>
          <w:trHeight w:val="267"/>
        </w:trPr>
        <w:tc>
          <w:tcPr>
            <w:tcW w:w="3775" w:type="dxa"/>
            <w:shd w:val="clear" w:color="auto" w:fill="FFFFFF" w:themeFill="background1"/>
          </w:tcPr>
          <w:p w14:paraId="21D4846B" w14:textId="16C7879A" w:rsidR="009B0F32" w:rsidRPr="00E84C93" w:rsidRDefault="009B0F32" w:rsidP="009B0F32">
            <w:pPr>
              <w:spacing w:after="0"/>
              <w:rPr>
                <w:rFonts w:cs="Times New Roman"/>
                <w:b/>
                <w:sz w:val="20"/>
                <w:szCs w:val="20"/>
                <w:lang w:val="sr-Cyrl-CS"/>
              </w:rPr>
            </w:pPr>
            <w:r w:rsidRPr="00E84C93">
              <w:rPr>
                <w:rFonts w:cs="Times New Roman"/>
                <w:b/>
                <w:sz w:val="20"/>
                <w:szCs w:val="20"/>
                <w:lang w:val="sr-Cyrl-CS"/>
              </w:rPr>
              <w:t xml:space="preserve">Мера 2.1. </w:t>
            </w:r>
            <w:r w:rsidRPr="00E84C93">
              <w:rPr>
                <w:rFonts w:cs="Times New Roman"/>
                <w:bCs/>
                <w:sz w:val="20"/>
                <w:szCs w:val="20"/>
                <w:lang w:val="sr-Cyrl-CS"/>
              </w:rPr>
              <w:t xml:space="preserve">Збрињавање муља одлагањем на индустријске депоније, депоније пепела </w:t>
            </w:r>
            <w:r w:rsidR="009A6E0B" w:rsidRPr="00E84C93">
              <w:rPr>
                <w:rFonts w:cs="Times New Roman"/>
                <w:bCs/>
                <w:sz w:val="20"/>
                <w:szCs w:val="20"/>
                <w:lang w:val="sr-Cyrl-CS"/>
              </w:rPr>
              <w:t>или рекултивацијом девастираних локација</w:t>
            </w:r>
          </w:p>
        </w:tc>
        <w:tc>
          <w:tcPr>
            <w:tcW w:w="3870" w:type="dxa"/>
          </w:tcPr>
          <w:p w14:paraId="70E8B537" w14:textId="12D2EFEA" w:rsidR="009B0F32" w:rsidRPr="00E84C93" w:rsidRDefault="009B0F32" w:rsidP="009B0F32">
            <w:pPr>
              <w:spacing w:after="0"/>
              <w:rPr>
                <w:rFonts w:cs="Times New Roman"/>
                <w:sz w:val="20"/>
                <w:szCs w:val="20"/>
                <w:lang w:val="sr-Cyrl-CS"/>
              </w:rPr>
            </w:pPr>
            <w:r w:rsidRPr="00E84C93">
              <w:rPr>
                <w:rFonts w:cs="Times New Roman"/>
                <w:bCs/>
                <w:sz w:val="20"/>
                <w:szCs w:val="20"/>
                <w:lang w:val="sr-Cyrl-CS"/>
              </w:rPr>
              <w:t xml:space="preserve">Удео одложеног муља на девастиране </w:t>
            </w:r>
            <w:r w:rsidR="00113638" w:rsidRPr="00E84C93">
              <w:rPr>
                <w:rFonts w:cs="Times New Roman"/>
                <w:bCs/>
                <w:sz w:val="20"/>
                <w:szCs w:val="20"/>
                <w:lang w:val="sr-Cyrl-CS"/>
              </w:rPr>
              <w:t>локације</w:t>
            </w:r>
            <w:r w:rsidRPr="00E84C93">
              <w:rPr>
                <w:rFonts w:cs="Times New Roman"/>
                <w:bCs/>
                <w:sz w:val="20"/>
                <w:szCs w:val="20"/>
                <w:lang w:val="sr-Cyrl-CS"/>
              </w:rPr>
              <w:t xml:space="preserve"> у односу на укупно генерисан (%)</w:t>
            </w:r>
          </w:p>
        </w:tc>
        <w:tc>
          <w:tcPr>
            <w:tcW w:w="1080" w:type="dxa"/>
          </w:tcPr>
          <w:p w14:paraId="2A7CEF99" w14:textId="581C3CCC" w:rsidR="009B0F32" w:rsidRPr="00E84C93" w:rsidRDefault="009B0F32" w:rsidP="009B0F32">
            <w:pPr>
              <w:spacing w:after="0"/>
              <w:jc w:val="center"/>
              <w:rPr>
                <w:rFonts w:cs="Times New Roman"/>
                <w:sz w:val="20"/>
                <w:szCs w:val="20"/>
                <w:highlight w:val="yellow"/>
                <w:lang w:val="sr-Cyrl-CS"/>
              </w:rPr>
            </w:pPr>
            <w:r w:rsidRPr="00E84C93">
              <w:rPr>
                <w:rFonts w:cs="Times New Roman"/>
                <w:sz w:val="20"/>
                <w:szCs w:val="20"/>
                <w:lang w:val="sr-Cyrl-CS"/>
              </w:rPr>
              <w:t>0</w:t>
            </w:r>
          </w:p>
        </w:tc>
        <w:tc>
          <w:tcPr>
            <w:tcW w:w="1170" w:type="dxa"/>
          </w:tcPr>
          <w:p w14:paraId="16009AB9" w14:textId="53EA9C69"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10</w:t>
            </w:r>
          </w:p>
        </w:tc>
        <w:tc>
          <w:tcPr>
            <w:tcW w:w="3960" w:type="dxa"/>
          </w:tcPr>
          <w:p w14:paraId="303C7264" w14:textId="45DC9B3C" w:rsidR="009B0F32" w:rsidRPr="00E84C93" w:rsidRDefault="009B0F32" w:rsidP="009B0F32">
            <w:pPr>
              <w:spacing w:after="0"/>
              <w:rPr>
                <w:sz w:val="20"/>
                <w:szCs w:val="20"/>
                <w:lang w:val="sr-Cyrl-CS"/>
              </w:rPr>
            </w:pPr>
            <w:r w:rsidRPr="00E84C93">
              <w:rPr>
                <w:sz w:val="20"/>
                <w:szCs w:val="20"/>
                <w:lang w:val="sr-Cyrl-CS"/>
              </w:rPr>
              <w:t>Извештај Министарства заштите животне средине</w:t>
            </w:r>
          </w:p>
        </w:tc>
      </w:tr>
      <w:tr w:rsidR="009B0F32" w:rsidRPr="00E84C93" w14:paraId="30243ED8" w14:textId="77777777" w:rsidTr="00AA2A9D">
        <w:trPr>
          <w:trHeight w:val="280"/>
        </w:trPr>
        <w:tc>
          <w:tcPr>
            <w:tcW w:w="3775" w:type="dxa"/>
          </w:tcPr>
          <w:p w14:paraId="7B59846A" w14:textId="75C54326"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 xml:space="preserve">Мера 2.2. </w:t>
            </w:r>
            <w:r w:rsidRPr="00E84C93">
              <w:rPr>
                <w:rFonts w:cs="Times New Roman"/>
                <w:bCs/>
                <w:sz w:val="20"/>
                <w:szCs w:val="20"/>
                <w:lang w:val="sr-Cyrl-CS" w:bidi="en-US"/>
              </w:rPr>
              <w:t>Поновн</w:t>
            </w:r>
            <w:r w:rsidR="00F9138E" w:rsidRPr="00E84C93">
              <w:rPr>
                <w:rFonts w:cs="Times New Roman"/>
                <w:bCs/>
                <w:sz w:val="20"/>
                <w:szCs w:val="20"/>
                <w:lang w:val="sr-Cyrl-CS" w:bidi="en-US"/>
              </w:rPr>
              <w:t xml:space="preserve">о искоришћење </w:t>
            </w:r>
            <w:r w:rsidRPr="00E84C93">
              <w:rPr>
                <w:rFonts w:cs="Times New Roman"/>
                <w:bCs/>
                <w:sz w:val="20"/>
                <w:szCs w:val="20"/>
                <w:lang w:val="sr-Cyrl-CS" w:bidi="en-US"/>
              </w:rPr>
              <w:t xml:space="preserve">муља за </w:t>
            </w:r>
            <w:r w:rsidR="00215DB1" w:rsidRPr="00E84C93">
              <w:rPr>
                <w:rFonts w:cs="Times New Roman"/>
                <w:bCs/>
                <w:sz w:val="20"/>
                <w:szCs w:val="20"/>
                <w:lang w:val="sr-Cyrl-CS" w:bidi="en-US"/>
              </w:rPr>
              <w:t>дневно</w:t>
            </w:r>
            <w:r w:rsidR="00215DB1" w:rsidRPr="00E84C93">
              <w:rPr>
                <w:rFonts w:cs="Times New Roman"/>
                <w:b/>
                <w:lang w:val="sr-Cyrl-CS" w:bidi="en-US"/>
              </w:rPr>
              <w:t xml:space="preserve"> </w:t>
            </w:r>
            <w:r w:rsidRPr="00E84C93">
              <w:rPr>
                <w:rFonts w:cs="Times New Roman"/>
                <w:bCs/>
                <w:sz w:val="20"/>
                <w:szCs w:val="20"/>
                <w:lang w:val="sr-Cyrl-CS" w:bidi="en-US"/>
              </w:rPr>
              <w:t>прекривање</w:t>
            </w:r>
            <w:r w:rsidR="000A1706" w:rsidRPr="00E84C93">
              <w:rPr>
                <w:rFonts w:cs="Times New Roman"/>
                <w:bCs/>
                <w:sz w:val="20"/>
                <w:szCs w:val="20"/>
                <w:lang w:val="sr-Cyrl-CS" w:bidi="en-US"/>
              </w:rPr>
              <w:t xml:space="preserve"> санитарних</w:t>
            </w:r>
            <w:r w:rsidRPr="00E84C93">
              <w:rPr>
                <w:rFonts w:cs="Times New Roman"/>
                <w:bCs/>
                <w:sz w:val="20"/>
                <w:szCs w:val="20"/>
                <w:lang w:val="sr-Cyrl-CS" w:bidi="en-US"/>
              </w:rPr>
              <w:t xml:space="preserve"> депонија</w:t>
            </w:r>
            <w:r w:rsidR="00215DB1" w:rsidRPr="00E84C93">
              <w:rPr>
                <w:lang w:val="sr-Cyrl-CS"/>
              </w:rPr>
              <w:t xml:space="preserve"> </w:t>
            </w:r>
            <w:r w:rsidR="00215DB1" w:rsidRPr="00E84C93">
              <w:rPr>
                <w:rFonts w:cs="Times New Roman"/>
                <w:bCs/>
                <w:sz w:val="20"/>
                <w:szCs w:val="20"/>
                <w:lang w:val="sr-Cyrl-CS" w:bidi="en-US"/>
              </w:rPr>
              <w:t>у краткорочном периоду, мешањем са инертним материјалом</w:t>
            </w:r>
          </w:p>
        </w:tc>
        <w:tc>
          <w:tcPr>
            <w:tcW w:w="3870" w:type="dxa"/>
          </w:tcPr>
          <w:p w14:paraId="3439D656" w14:textId="77777777" w:rsidR="009B0F32" w:rsidRPr="00E84C93" w:rsidRDefault="009B0F32" w:rsidP="009B0F32">
            <w:pPr>
              <w:spacing w:after="0"/>
              <w:rPr>
                <w:rFonts w:cs="Times New Roman"/>
                <w:color w:val="FF0000"/>
                <w:sz w:val="20"/>
                <w:szCs w:val="20"/>
                <w:lang w:val="sr-Cyrl-CS"/>
              </w:rPr>
            </w:pPr>
            <w:r w:rsidRPr="00E84C93">
              <w:rPr>
                <w:rFonts w:cs="Times New Roman"/>
                <w:bCs/>
                <w:sz w:val="20"/>
                <w:szCs w:val="20"/>
                <w:lang w:val="sr-Cyrl-CS"/>
              </w:rPr>
              <w:t>Удео искоришћеног муља за прекривање санитарних депонија у односу на укупно генерисан (%)</w:t>
            </w:r>
          </w:p>
        </w:tc>
        <w:tc>
          <w:tcPr>
            <w:tcW w:w="1080" w:type="dxa"/>
          </w:tcPr>
          <w:p w14:paraId="29E07696" w14:textId="77777777" w:rsidR="009B0F32" w:rsidRPr="00E84C93" w:rsidRDefault="009B0F32" w:rsidP="009B0F32">
            <w:pPr>
              <w:spacing w:after="0"/>
              <w:jc w:val="center"/>
              <w:rPr>
                <w:rFonts w:cs="Times New Roman"/>
                <w:color w:val="FF0000"/>
                <w:sz w:val="20"/>
                <w:szCs w:val="20"/>
                <w:lang w:val="sr-Cyrl-CS"/>
              </w:rPr>
            </w:pPr>
            <w:r w:rsidRPr="00E84C93">
              <w:rPr>
                <w:rFonts w:cs="Times New Roman"/>
                <w:sz w:val="20"/>
                <w:szCs w:val="20"/>
                <w:lang w:val="sr-Cyrl-CS"/>
              </w:rPr>
              <w:t>0</w:t>
            </w:r>
          </w:p>
        </w:tc>
        <w:tc>
          <w:tcPr>
            <w:tcW w:w="1170" w:type="dxa"/>
          </w:tcPr>
          <w:p w14:paraId="23322E10" w14:textId="77777777" w:rsidR="009B0F32" w:rsidRPr="00E84C93" w:rsidRDefault="009B0F32" w:rsidP="009B0F32">
            <w:pPr>
              <w:spacing w:after="0"/>
              <w:jc w:val="center"/>
              <w:rPr>
                <w:rFonts w:cs="Times New Roman"/>
                <w:color w:val="FF0000"/>
                <w:sz w:val="20"/>
                <w:szCs w:val="20"/>
                <w:lang w:val="sr-Cyrl-CS"/>
              </w:rPr>
            </w:pPr>
            <w:r w:rsidRPr="00E84C93">
              <w:rPr>
                <w:rFonts w:cs="Times New Roman"/>
                <w:sz w:val="20"/>
                <w:szCs w:val="20"/>
                <w:lang w:val="sr-Cyrl-CS"/>
              </w:rPr>
              <w:t>20</w:t>
            </w:r>
          </w:p>
        </w:tc>
        <w:tc>
          <w:tcPr>
            <w:tcW w:w="3960" w:type="dxa"/>
          </w:tcPr>
          <w:p w14:paraId="571DDFEC" w14:textId="77777777" w:rsidR="009B0F32" w:rsidRPr="00E84C93" w:rsidRDefault="009B0F32" w:rsidP="009B0F32">
            <w:pPr>
              <w:spacing w:after="0"/>
              <w:rPr>
                <w:rFonts w:cs="Times New Roman"/>
                <w:color w:val="FF0000"/>
                <w:sz w:val="20"/>
                <w:szCs w:val="20"/>
                <w:lang w:val="sr-Cyrl-CS"/>
              </w:rPr>
            </w:pPr>
            <w:r w:rsidRPr="00E84C93">
              <w:rPr>
                <w:sz w:val="20"/>
                <w:szCs w:val="20"/>
                <w:lang w:val="sr-Cyrl-CS"/>
              </w:rPr>
              <w:t>Извештај Министарства заштите животне средине</w:t>
            </w:r>
          </w:p>
        </w:tc>
      </w:tr>
      <w:tr w:rsidR="009B0F32" w:rsidRPr="00E84C93" w14:paraId="22936C73" w14:textId="77777777" w:rsidTr="00C10EE4">
        <w:trPr>
          <w:trHeight w:val="280"/>
        </w:trPr>
        <w:tc>
          <w:tcPr>
            <w:tcW w:w="3775" w:type="dxa"/>
          </w:tcPr>
          <w:p w14:paraId="3F296B90" w14:textId="414AA951"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Мера 2.3.</w:t>
            </w:r>
            <w:r w:rsidRPr="00E84C93">
              <w:rPr>
                <w:rFonts w:cs="Times New Roman"/>
                <w:b/>
                <w:noProof/>
                <w:sz w:val="20"/>
                <w:szCs w:val="20"/>
                <w:lang w:val="sr-Cyrl-CS"/>
              </w:rPr>
              <w:t xml:space="preserve"> </w:t>
            </w:r>
            <w:r w:rsidRPr="00E84C93">
              <w:rPr>
                <w:rFonts w:cs="Times New Roman"/>
                <w:bCs/>
                <w:noProof/>
                <w:sz w:val="20"/>
                <w:szCs w:val="20"/>
                <w:lang w:val="sr-Cyrl-CS"/>
              </w:rPr>
              <w:t xml:space="preserve">Искоришћење </w:t>
            </w:r>
            <w:r w:rsidRPr="00E84C93">
              <w:rPr>
                <w:rFonts w:cs="Times New Roman"/>
                <w:bCs/>
                <w:sz w:val="20"/>
                <w:szCs w:val="20"/>
                <w:lang w:val="sr-Cyrl-CS" w:bidi="en-US"/>
              </w:rPr>
              <w:t>муља коинсинерацијом у цементарама</w:t>
            </w:r>
            <w:r w:rsidRPr="00E84C93">
              <w:rPr>
                <w:rFonts w:cs="Times New Roman"/>
                <w:bCs/>
                <w:noProof/>
                <w:sz w:val="20"/>
                <w:szCs w:val="20"/>
                <w:lang w:val="sr-Cyrl-CS"/>
              </w:rPr>
              <w:t xml:space="preserve"> и термоелектранама</w:t>
            </w:r>
          </w:p>
        </w:tc>
        <w:tc>
          <w:tcPr>
            <w:tcW w:w="3870" w:type="dxa"/>
          </w:tcPr>
          <w:p w14:paraId="33103733" w14:textId="77777777" w:rsidR="009B0F32" w:rsidRPr="00E84C93" w:rsidRDefault="009B0F32" w:rsidP="009B0F32">
            <w:pPr>
              <w:spacing w:after="0"/>
              <w:rPr>
                <w:rFonts w:cs="Times New Roman"/>
                <w:sz w:val="20"/>
                <w:szCs w:val="20"/>
                <w:lang w:val="sr-Cyrl-CS"/>
              </w:rPr>
            </w:pPr>
            <w:r w:rsidRPr="00E84C93">
              <w:rPr>
                <w:rFonts w:cs="Times New Roman"/>
                <w:bCs/>
                <w:sz w:val="20"/>
                <w:szCs w:val="20"/>
                <w:lang w:val="sr-Cyrl-CS"/>
              </w:rPr>
              <w:t>Удео спаљеног муља у цементарама и термоелектранама у односу на укупно генерисан (%)</w:t>
            </w:r>
          </w:p>
        </w:tc>
        <w:tc>
          <w:tcPr>
            <w:tcW w:w="1080" w:type="dxa"/>
          </w:tcPr>
          <w:p w14:paraId="10227433" w14:textId="77777777" w:rsidR="009B0F32" w:rsidRPr="00E84C93" w:rsidRDefault="009B0F32" w:rsidP="009B0F32">
            <w:pPr>
              <w:spacing w:after="0"/>
              <w:jc w:val="center"/>
              <w:rPr>
                <w:rFonts w:cs="Times New Roman"/>
                <w:color w:val="FF0000"/>
                <w:sz w:val="20"/>
                <w:szCs w:val="20"/>
                <w:lang w:val="sr-Cyrl-CS"/>
              </w:rPr>
            </w:pPr>
            <w:r w:rsidRPr="00E84C93">
              <w:rPr>
                <w:rFonts w:cs="Times New Roman"/>
                <w:sz w:val="20"/>
                <w:szCs w:val="20"/>
                <w:lang w:val="sr-Cyrl-CS"/>
              </w:rPr>
              <w:t>0</w:t>
            </w:r>
          </w:p>
        </w:tc>
        <w:tc>
          <w:tcPr>
            <w:tcW w:w="1170" w:type="dxa"/>
          </w:tcPr>
          <w:p w14:paraId="14D085BF" w14:textId="77777777" w:rsidR="009B0F32" w:rsidRPr="00E84C93" w:rsidRDefault="009B0F32" w:rsidP="009B0F32">
            <w:pPr>
              <w:spacing w:after="0"/>
              <w:jc w:val="center"/>
              <w:rPr>
                <w:rFonts w:cs="Times New Roman"/>
                <w:color w:val="FF0000"/>
                <w:sz w:val="20"/>
                <w:szCs w:val="20"/>
                <w:lang w:val="sr-Cyrl-CS"/>
              </w:rPr>
            </w:pPr>
            <w:r w:rsidRPr="00E84C93">
              <w:rPr>
                <w:rFonts w:cs="Times New Roman"/>
                <w:sz w:val="20"/>
                <w:szCs w:val="20"/>
                <w:lang w:val="sr-Cyrl-CS"/>
              </w:rPr>
              <w:t>20</w:t>
            </w:r>
          </w:p>
        </w:tc>
        <w:tc>
          <w:tcPr>
            <w:tcW w:w="3960" w:type="dxa"/>
          </w:tcPr>
          <w:p w14:paraId="1EA7B33A" w14:textId="77777777" w:rsidR="009B0F32" w:rsidRPr="00E84C93" w:rsidRDefault="009B0F32" w:rsidP="009B0F32">
            <w:pPr>
              <w:spacing w:after="0"/>
              <w:rPr>
                <w:rFonts w:cs="Times New Roman"/>
                <w:color w:val="FF0000"/>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52FFF1FA" w14:textId="77777777" w:rsidTr="00AA2A9D">
        <w:trPr>
          <w:trHeight w:val="280"/>
        </w:trPr>
        <w:tc>
          <w:tcPr>
            <w:tcW w:w="3775" w:type="dxa"/>
          </w:tcPr>
          <w:p w14:paraId="798BC3B3" w14:textId="374038E7"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 xml:space="preserve">Мера 2.4. </w:t>
            </w:r>
            <w:r w:rsidRPr="00E84C93">
              <w:rPr>
                <w:rFonts w:cs="Times New Roman"/>
                <w:noProof/>
                <w:sz w:val="20"/>
                <w:szCs w:val="20"/>
                <w:lang w:val="sr-Cyrl-CS"/>
              </w:rPr>
              <w:t>Збрињавање муља</w:t>
            </w:r>
            <w:r w:rsidRPr="00E84C93">
              <w:rPr>
                <w:rFonts w:cs="Times New Roman"/>
                <w:b/>
                <w:bCs/>
                <w:noProof/>
                <w:sz w:val="20"/>
                <w:szCs w:val="20"/>
                <w:lang w:val="sr-Cyrl-CS"/>
              </w:rPr>
              <w:t xml:space="preserve"> </w:t>
            </w:r>
            <w:r w:rsidRPr="00E84C93">
              <w:rPr>
                <w:rFonts w:cs="Times New Roman"/>
                <w:bCs/>
                <w:sz w:val="20"/>
                <w:szCs w:val="20"/>
                <w:lang w:val="sr-Cyrl-CS" w:bidi="en-US"/>
              </w:rPr>
              <w:t xml:space="preserve">одлагањем у посебне касете на регионалним </w:t>
            </w:r>
            <w:r w:rsidRPr="00E84C93">
              <w:rPr>
                <w:rFonts w:cs="Times New Roman"/>
                <w:bCs/>
                <w:sz w:val="20"/>
                <w:szCs w:val="20"/>
                <w:lang w:val="sr-Cyrl-CS" w:bidi="en-US"/>
              </w:rPr>
              <w:lastRenderedPageBreak/>
              <w:t>санитарним депонијама</w:t>
            </w:r>
            <w:r w:rsidR="008C00D9" w:rsidRPr="00E84C93">
              <w:rPr>
                <w:rFonts w:cs="Times New Roman"/>
                <w:bCs/>
                <w:sz w:val="20"/>
                <w:szCs w:val="20"/>
                <w:lang w:val="sr-Cyrl-CS" w:bidi="en-US"/>
              </w:rPr>
              <w:t xml:space="preserve"> у краткорочном периоду</w:t>
            </w:r>
            <w:r w:rsidRPr="00E84C93">
              <w:rPr>
                <w:rFonts w:cs="Times New Roman"/>
                <w:bCs/>
                <w:noProof/>
                <w:sz w:val="20"/>
                <w:szCs w:val="20"/>
                <w:lang w:val="sr-Cyrl-CS"/>
              </w:rPr>
              <w:t xml:space="preserve"> </w:t>
            </w:r>
          </w:p>
        </w:tc>
        <w:tc>
          <w:tcPr>
            <w:tcW w:w="3870" w:type="dxa"/>
          </w:tcPr>
          <w:p w14:paraId="01DFA510" w14:textId="77777777" w:rsidR="009B0F32" w:rsidRPr="00E84C93" w:rsidRDefault="009B0F32" w:rsidP="009B0F32">
            <w:pPr>
              <w:spacing w:after="0"/>
              <w:rPr>
                <w:rFonts w:cs="Times New Roman"/>
                <w:color w:val="FF0000"/>
                <w:sz w:val="20"/>
                <w:szCs w:val="20"/>
                <w:lang w:val="sr-Cyrl-CS"/>
              </w:rPr>
            </w:pPr>
            <w:r w:rsidRPr="00E84C93">
              <w:rPr>
                <w:rFonts w:cs="Times New Roman"/>
                <w:bCs/>
                <w:sz w:val="20"/>
                <w:szCs w:val="20"/>
                <w:lang w:val="sr-Cyrl-CS"/>
              </w:rPr>
              <w:lastRenderedPageBreak/>
              <w:t>Удео одложеног муља на регионалне санитарне депоније у односу на укупно генерисан (%)</w:t>
            </w:r>
          </w:p>
        </w:tc>
        <w:tc>
          <w:tcPr>
            <w:tcW w:w="1080" w:type="dxa"/>
          </w:tcPr>
          <w:p w14:paraId="7BCC142D" w14:textId="7C148D54" w:rsidR="009B0F32" w:rsidRPr="00E84C93" w:rsidRDefault="00797CAC" w:rsidP="009B0F32">
            <w:pPr>
              <w:spacing w:after="0"/>
              <w:jc w:val="center"/>
              <w:rPr>
                <w:rFonts w:cs="Times New Roman"/>
                <w:color w:val="FF0000"/>
                <w:sz w:val="20"/>
                <w:szCs w:val="20"/>
                <w:lang w:val="sr-Cyrl-CS"/>
              </w:rPr>
            </w:pPr>
            <w:r w:rsidRPr="00E84C93">
              <w:rPr>
                <w:rFonts w:cs="Times New Roman"/>
                <w:sz w:val="20"/>
                <w:szCs w:val="20"/>
                <w:lang w:val="sr-Cyrl-CS"/>
              </w:rPr>
              <w:t>10</w:t>
            </w:r>
          </w:p>
        </w:tc>
        <w:tc>
          <w:tcPr>
            <w:tcW w:w="1170" w:type="dxa"/>
          </w:tcPr>
          <w:p w14:paraId="5F2EF97C" w14:textId="5844C9A5" w:rsidR="009B0F32" w:rsidRPr="00E84C93" w:rsidRDefault="00797CAC" w:rsidP="009B0F32">
            <w:pPr>
              <w:spacing w:after="0"/>
              <w:jc w:val="center"/>
              <w:rPr>
                <w:rFonts w:cs="Times New Roman"/>
                <w:color w:val="FF0000"/>
                <w:sz w:val="20"/>
                <w:szCs w:val="20"/>
                <w:lang w:val="sr-Cyrl-CS"/>
              </w:rPr>
            </w:pPr>
            <w:r w:rsidRPr="00E84C93">
              <w:rPr>
                <w:rFonts w:cs="Times New Roman"/>
                <w:sz w:val="20"/>
                <w:szCs w:val="20"/>
                <w:lang w:val="sr-Cyrl-CS"/>
              </w:rPr>
              <w:t>35</w:t>
            </w:r>
            <w:r w:rsidR="009B0F32" w:rsidRPr="00E84C93">
              <w:rPr>
                <w:rFonts w:cs="Times New Roman"/>
                <w:sz w:val="20"/>
                <w:szCs w:val="20"/>
                <w:lang w:val="sr-Cyrl-CS"/>
              </w:rPr>
              <w:t xml:space="preserve"> (</w:t>
            </w:r>
            <w:r w:rsidR="00A2079D" w:rsidRPr="00E84C93">
              <w:rPr>
                <w:rFonts w:cs="Times New Roman"/>
                <w:sz w:val="20"/>
                <w:szCs w:val="20"/>
                <w:lang w:val="sr-Cyrl-CS"/>
              </w:rPr>
              <w:t>2026</w:t>
            </w:r>
            <w:r w:rsidR="009B0F32" w:rsidRPr="00E84C93">
              <w:rPr>
                <w:rFonts w:cs="Times New Roman"/>
                <w:sz w:val="20"/>
                <w:szCs w:val="20"/>
                <w:lang w:val="sr-Cyrl-CS"/>
              </w:rPr>
              <w:t>.)</w:t>
            </w:r>
          </w:p>
        </w:tc>
        <w:tc>
          <w:tcPr>
            <w:tcW w:w="3960" w:type="dxa"/>
          </w:tcPr>
          <w:p w14:paraId="2825F39F" w14:textId="77777777" w:rsidR="009B0F32" w:rsidRPr="00E84C93" w:rsidRDefault="009B0F32" w:rsidP="009B0F32">
            <w:pPr>
              <w:spacing w:after="0"/>
              <w:rPr>
                <w:rFonts w:cs="Times New Roman"/>
                <w:color w:val="FF0000"/>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4C57A132" w14:textId="77777777" w:rsidTr="00F25CE0">
        <w:trPr>
          <w:trHeight w:val="719"/>
        </w:trPr>
        <w:tc>
          <w:tcPr>
            <w:tcW w:w="3775" w:type="dxa"/>
            <w:shd w:val="clear" w:color="auto" w:fill="DEEAF6" w:themeFill="accent1" w:themeFillTint="33"/>
          </w:tcPr>
          <w:p w14:paraId="129EA24C" w14:textId="22367B37"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 xml:space="preserve">Посебан циљ 3: </w:t>
            </w:r>
            <w:r w:rsidRPr="00E84C93">
              <w:rPr>
                <w:rFonts w:cs="Times New Roman"/>
                <w:b/>
                <w:bCs/>
                <w:iCs/>
                <w:sz w:val="20"/>
                <w:szCs w:val="20"/>
                <w:lang w:val="sr-Cyrl-CS"/>
              </w:rPr>
              <w:t xml:space="preserve">Успостављене основе система за дугорочно управљање муљем </w:t>
            </w:r>
            <w:r w:rsidRPr="00E84C93">
              <w:rPr>
                <w:b/>
                <w:bCs/>
                <w:iCs/>
                <w:sz w:val="20"/>
                <w:szCs w:val="20"/>
                <w:lang w:val="sr-Cyrl-CS"/>
              </w:rPr>
              <w:t>из постројења за пречишћавање отпадних вода</w:t>
            </w:r>
          </w:p>
        </w:tc>
        <w:tc>
          <w:tcPr>
            <w:tcW w:w="3870" w:type="dxa"/>
          </w:tcPr>
          <w:p w14:paraId="6AC509E3" w14:textId="659CCE46" w:rsidR="009B0F32" w:rsidRPr="00E84C93" w:rsidRDefault="009B0F32" w:rsidP="009B0F32">
            <w:pPr>
              <w:spacing w:after="0"/>
              <w:rPr>
                <w:rFonts w:cs="Times New Roman"/>
                <w:color w:val="FF0000"/>
                <w:sz w:val="20"/>
                <w:szCs w:val="20"/>
                <w:highlight w:val="yellow"/>
                <w:lang w:val="sr-Cyrl-CS"/>
              </w:rPr>
            </w:pPr>
            <w:r w:rsidRPr="00E84C93">
              <w:rPr>
                <w:rFonts w:cs="Times New Roman"/>
                <w:noProof/>
                <w:sz w:val="20"/>
                <w:szCs w:val="20"/>
                <w:lang w:val="sr-Cyrl-CS"/>
              </w:rPr>
              <w:t xml:space="preserve">Удео спаљеног муља у </w:t>
            </w:r>
            <w:r w:rsidR="00D010D1" w:rsidRPr="00E84C93">
              <w:rPr>
                <w:rFonts w:cs="Times New Roman"/>
                <w:noProof/>
                <w:sz w:val="20"/>
                <w:szCs w:val="20"/>
                <w:lang w:val="sr-Cyrl-CS"/>
              </w:rPr>
              <w:t>моно</w:t>
            </w:r>
            <w:r w:rsidRPr="00E84C93">
              <w:rPr>
                <w:rFonts w:cs="Times New Roman"/>
                <w:noProof/>
                <w:sz w:val="20"/>
                <w:szCs w:val="20"/>
                <w:lang w:val="sr-Cyrl-CS"/>
              </w:rPr>
              <w:t>инсинераторима у односу на укупно генерисан (%)</w:t>
            </w:r>
          </w:p>
        </w:tc>
        <w:tc>
          <w:tcPr>
            <w:tcW w:w="1080" w:type="dxa"/>
          </w:tcPr>
          <w:p w14:paraId="241936DD" w14:textId="77777777" w:rsidR="009B0F32" w:rsidRPr="00E84C93" w:rsidRDefault="009B0F32" w:rsidP="009B0F32">
            <w:pPr>
              <w:spacing w:after="0"/>
              <w:jc w:val="center"/>
              <w:rPr>
                <w:rFonts w:cs="Times New Roman"/>
                <w:color w:val="FF0000"/>
                <w:sz w:val="20"/>
                <w:szCs w:val="20"/>
                <w:highlight w:val="yellow"/>
                <w:lang w:val="sr-Cyrl-CS"/>
              </w:rPr>
            </w:pPr>
            <w:r w:rsidRPr="00E84C93">
              <w:rPr>
                <w:rFonts w:cs="Times New Roman"/>
                <w:sz w:val="20"/>
                <w:szCs w:val="20"/>
                <w:lang w:val="sr-Cyrl-CS"/>
              </w:rPr>
              <w:t>0</w:t>
            </w:r>
          </w:p>
        </w:tc>
        <w:tc>
          <w:tcPr>
            <w:tcW w:w="1170" w:type="dxa"/>
          </w:tcPr>
          <w:p w14:paraId="765A7740" w14:textId="77777777" w:rsidR="009B0F32" w:rsidRPr="00E84C93" w:rsidRDefault="009B0F32" w:rsidP="009B0F32">
            <w:pPr>
              <w:spacing w:after="0"/>
              <w:jc w:val="center"/>
              <w:rPr>
                <w:rFonts w:cs="Times New Roman"/>
                <w:color w:val="FF0000"/>
                <w:sz w:val="20"/>
                <w:szCs w:val="20"/>
                <w:highlight w:val="yellow"/>
                <w:lang w:val="sr-Cyrl-CS"/>
              </w:rPr>
            </w:pPr>
            <w:r w:rsidRPr="00E84C93">
              <w:rPr>
                <w:rFonts w:cs="Times New Roman"/>
                <w:sz w:val="20"/>
                <w:szCs w:val="20"/>
                <w:lang w:val="sr-Cyrl-CS"/>
              </w:rPr>
              <w:t>40</w:t>
            </w:r>
          </w:p>
        </w:tc>
        <w:tc>
          <w:tcPr>
            <w:tcW w:w="3960" w:type="dxa"/>
          </w:tcPr>
          <w:p w14:paraId="079DD095" w14:textId="77777777" w:rsidR="009B0F32" w:rsidRPr="00E84C93" w:rsidRDefault="009B0F32" w:rsidP="009B0F32">
            <w:pPr>
              <w:spacing w:after="0"/>
              <w:rPr>
                <w:rFonts w:cs="Times New Roman"/>
                <w:color w:val="FF0000"/>
                <w:sz w:val="20"/>
                <w:szCs w:val="20"/>
                <w:highlight w:val="yellow"/>
                <w:lang w:val="sr-Cyrl-CS"/>
              </w:rPr>
            </w:pPr>
            <w:r w:rsidRPr="00E84C93">
              <w:rPr>
                <w:rFonts w:cs="Times New Roman"/>
                <w:sz w:val="20"/>
                <w:szCs w:val="20"/>
                <w:lang w:val="sr-Cyrl-CS"/>
              </w:rPr>
              <w:t>Годишњи Извештај о стању животне средине у Републици Србији (АЗЖС)</w:t>
            </w:r>
          </w:p>
        </w:tc>
      </w:tr>
      <w:tr w:rsidR="009B0F32" w:rsidRPr="00E84C93" w14:paraId="1D75DA28" w14:textId="77777777" w:rsidTr="00F25CE0">
        <w:trPr>
          <w:trHeight w:val="233"/>
        </w:trPr>
        <w:tc>
          <w:tcPr>
            <w:tcW w:w="3775" w:type="dxa"/>
            <w:vMerge w:val="restart"/>
          </w:tcPr>
          <w:p w14:paraId="58CFD66D" w14:textId="467D0A74" w:rsidR="009B0F32" w:rsidRPr="00E84C93" w:rsidRDefault="009B0F32" w:rsidP="009B0F32">
            <w:pPr>
              <w:spacing w:after="0"/>
              <w:rPr>
                <w:rFonts w:cs="Times New Roman"/>
                <w:bCs/>
                <w:sz w:val="20"/>
                <w:szCs w:val="20"/>
                <w:lang w:val="sr-Cyrl-CS"/>
              </w:rPr>
            </w:pPr>
            <w:r w:rsidRPr="00E84C93">
              <w:rPr>
                <w:rFonts w:cs="Times New Roman"/>
                <w:b/>
                <w:noProof/>
                <w:sz w:val="20"/>
                <w:szCs w:val="20"/>
                <w:lang w:val="sr-Cyrl-CS" w:eastAsia="en-GB"/>
              </w:rPr>
              <w:t>Мера 3.1.</w:t>
            </w:r>
            <w:r w:rsidRPr="00E84C93">
              <w:rPr>
                <w:rFonts w:cs="Times New Roman"/>
                <w:bCs/>
                <w:noProof/>
                <w:sz w:val="20"/>
                <w:szCs w:val="20"/>
                <w:lang w:val="sr-Cyrl-CS" w:eastAsia="en-GB"/>
              </w:rPr>
              <w:t xml:space="preserve"> </w:t>
            </w:r>
            <w:r w:rsidR="008E1DFD" w:rsidRPr="00E84C93">
              <w:rPr>
                <w:rFonts w:cs="Times New Roman"/>
                <w:bCs/>
                <w:sz w:val="20"/>
                <w:szCs w:val="20"/>
                <w:lang w:val="sr-Cyrl-CS" w:bidi="en-US"/>
              </w:rPr>
              <w:t>Успостављање</w:t>
            </w:r>
            <w:r w:rsidRPr="00E84C93">
              <w:rPr>
                <w:rFonts w:cs="Times New Roman"/>
                <w:bCs/>
                <w:sz w:val="20"/>
                <w:szCs w:val="20"/>
                <w:lang w:val="sr-Cyrl-CS" w:bidi="en-US"/>
              </w:rPr>
              <w:t xml:space="preserve"> система регионалних центара за управљање муљем</w:t>
            </w:r>
          </w:p>
        </w:tc>
        <w:tc>
          <w:tcPr>
            <w:tcW w:w="3870" w:type="dxa"/>
          </w:tcPr>
          <w:p w14:paraId="3861F694" w14:textId="683518C0" w:rsidR="009B0F32" w:rsidRPr="00E84C93" w:rsidRDefault="009B0F32" w:rsidP="009B0F32">
            <w:pPr>
              <w:spacing w:after="0"/>
              <w:rPr>
                <w:rFonts w:cs="Times New Roman"/>
                <w:sz w:val="20"/>
                <w:szCs w:val="20"/>
                <w:highlight w:val="yellow"/>
                <w:lang w:val="sr-Cyrl-CS"/>
              </w:rPr>
            </w:pPr>
            <w:r w:rsidRPr="00E84C93">
              <w:rPr>
                <w:rFonts w:cs="Times New Roman"/>
                <w:sz w:val="20"/>
                <w:szCs w:val="20"/>
                <w:lang w:val="sr-Cyrl-CS"/>
              </w:rPr>
              <w:t>Број израђених регионалних планова управљања муљем</w:t>
            </w:r>
            <w:r w:rsidR="00A61448" w:rsidRPr="00E84C93">
              <w:rPr>
                <w:rFonts w:cs="Times New Roman"/>
                <w:sz w:val="20"/>
                <w:szCs w:val="20"/>
                <w:lang w:val="sr-Cyrl-CS"/>
              </w:rPr>
              <w:t xml:space="preserve"> </w:t>
            </w:r>
          </w:p>
        </w:tc>
        <w:tc>
          <w:tcPr>
            <w:tcW w:w="1080" w:type="dxa"/>
          </w:tcPr>
          <w:p w14:paraId="213D6395" w14:textId="77777777"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4B222079" w14:textId="77777777"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4 (2026.)</w:t>
            </w:r>
          </w:p>
        </w:tc>
        <w:tc>
          <w:tcPr>
            <w:tcW w:w="3960" w:type="dxa"/>
          </w:tcPr>
          <w:p w14:paraId="77449786" w14:textId="77777777" w:rsidR="009B0F32" w:rsidRPr="00E84C93" w:rsidRDefault="009B0F32" w:rsidP="009B0F32">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7446E79D" w14:textId="77777777" w:rsidTr="00F25CE0">
        <w:trPr>
          <w:trHeight w:val="233"/>
        </w:trPr>
        <w:tc>
          <w:tcPr>
            <w:tcW w:w="3775" w:type="dxa"/>
            <w:vMerge/>
          </w:tcPr>
          <w:p w14:paraId="4D3EE85A" w14:textId="77777777" w:rsidR="009B0F32" w:rsidRPr="00E84C93" w:rsidRDefault="009B0F32" w:rsidP="009B0F32">
            <w:pPr>
              <w:spacing w:after="0"/>
              <w:rPr>
                <w:rFonts w:cs="Times New Roman"/>
                <w:b/>
                <w:bCs/>
                <w:sz w:val="20"/>
                <w:szCs w:val="20"/>
                <w:lang w:val="sr-Cyrl-CS"/>
              </w:rPr>
            </w:pPr>
          </w:p>
        </w:tc>
        <w:tc>
          <w:tcPr>
            <w:tcW w:w="3870" w:type="dxa"/>
          </w:tcPr>
          <w:p w14:paraId="0164AAE7" w14:textId="77777777" w:rsidR="009B0F32" w:rsidRPr="00E84C93" w:rsidRDefault="009B0F32" w:rsidP="009B0F32">
            <w:pPr>
              <w:spacing w:after="0"/>
              <w:rPr>
                <w:rFonts w:cs="Times New Roman"/>
                <w:sz w:val="20"/>
                <w:szCs w:val="20"/>
                <w:highlight w:val="yellow"/>
                <w:lang w:val="sr-Cyrl-CS"/>
              </w:rPr>
            </w:pPr>
            <w:r w:rsidRPr="00E84C93">
              <w:rPr>
                <w:rFonts w:cs="Times New Roman"/>
                <w:sz w:val="20"/>
                <w:szCs w:val="20"/>
                <w:lang w:val="sr-Cyrl-CS"/>
              </w:rPr>
              <w:t>Број потписаних међуопштинских споразума за формирање региона за управљање муљем</w:t>
            </w:r>
          </w:p>
        </w:tc>
        <w:tc>
          <w:tcPr>
            <w:tcW w:w="1080" w:type="dxa"/>
          </w:tcPr>
          <w:p w14:paraId="0DFD0A1B" w14:textId="77777777" w:rsidR="009B0F32" w:rsidRPr="00E84C93" w:rsidRDefault="009B0F32" w:rsidP="009B0F32">
            <w:pPr>
              <w:spacing w:after="0"/>
              <w:jc w:val="center"/>
              <w:rPr>
                <w:rFonts w:cs="Times New Roman"/>
                <w:sz w:val="20"/>
                <w:szCs w:val="20"/>
                <w:highlight w:val="yellow"/>
                <w:lang w:val="sr-Cyrl-CS"/>
              </w:rPr>
            </w:pPr>
            <w:r w:rsidRPr="00E84C93">
              <w:rPr>
                <w:rFonts w:cs="Times New Roman"/>
                <w:sz w:val="20"/>
                <w:szCs w:val="20"/>
                <w:lang w:val="sr-Cyrl-CS"/>
              </w:rPr>
              <w:t>0</w:t>
            </w:r>
          </w:p>
        </w:tc>
        <w:tc>
          <w:tcPr>
            <w:tcW w:w="1170" w:type="dxa"/>
          </w:tcPr>
          <w:p w14:paraId="3F796B67" w14:textId="77777777" w:rsidR="009B0F32" w:rsidRPr="00E84C93" w:rsidRDefault="009B0F32" w:rsidP="009B0F32">
            <w:pPr>
              <w:spacing w:after="0"/>
              <w:jc w:val="center"/>
              <w:rPr>
                <w:rFonts w:cs="Times New Roman"/>
                <w:sz w:val="20"/>
                <w:szCs w:val="20"/>
                <w:highlight w:val="yellow"/>
                <w:lang w:val="sr-Cyrl-CS"/>
              </w:rPr>
            </w:pPr>
            <w:r w:rsidRPr="00E84C93">
              <w:rPr>
                <w:rFonts w:cs="Times New Roman"/>
                <w:sz w:val="20"/>
                <w:szCs w:val="20"/>
                <w:lang w:val="sr-Cyrl-CS"/>
              </w:rPr>
              <w:t>4 (2026.)</w:t>
            </w:r>
          </w:p>
        </w:tc>
        <w:tc>
          <w:tcPr>
            <w:tcW w:w="3960" w:type="dxa"/>
          </w:tcPr>
          <w:p w14:paraId="301A193C" w14:textId="77777777" w:rsidR="009B0F32" w:rsidRPr="00E84C93" w:rsidRDefault="009B0F32" w:rsidP="009B0F32">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4BE6212F" w14:textId="77777777" w:rsidTr="00F25CE0">
        <w:trPr>
          <w:trHeight w:val="233"/>
        </w:trPr>
        <w:tc>
          <w:tcPr>
            <w:tcW w:w="3775" w:type="dxa"/>
            <w:vMerge w:val="restart"/>
          </w:tcPr>
          <w:p w14:paraId="5F30638D" w14:textId="3D963020" w:rsidR="009B0F32" w:rsidRPr="00E84C93" w:rsidRDefault="009B0F32" w:rsidP="009B0F32">
            <w:pPr>
              <w:spacing w:after="0"/>
              <w:rPr>
                <w:rFonts w:cs="Times New Roman"/>
                <w:b/>
                <w:bCs/>
                <w:noProof/>
                <w:sz w:val="20"/>
                <w:szCs w:val="20"/>
                <w:lang w:val="sr-Cyrl-CS"/>
              </w:rPr>
            </w:pPr>
            <w:r w:rsidRPr="00E84C93">
              <w:rPr>
                <w:rFonts w:cs="Times New Roman"/>
                <w:b/>
                <w:bCs/>
                <w:sz w:val="20"/>
                <w:szCs w:val="20"/>
                <w:lang w:val="sr-Cyrl-CS"/>
              </w:rPr>
              <w:t xml:space="preserve">Мера 3.2. </w:t>
            </w:r>
            <w:r w:rsidRPr="00E84C93">
              <w:rPr>
                <w:rFonts w:cs="Times New Roman"/>
                <w:sz w:val="20"/>
                <w:szCs w:val="20"/>
                <w:lang w:val="sr-Cyrl-CS"/>
              </w:rPr>
              <w:t xml:space="preserve">Изградња постројења за </w:t>
            </w:r>
            <w:r w:rsidR="00D010D1" w:rsidRPr="00E84C93">
              <w:rPr>
                <w:rFonts w:cs="Times New Roman"/>
                <w:sz w:val="20"/>
                <w:szCs w:val="20"/>
                <w:lang w:val="sr-Cyrl-CS"/>
              </w:rPr>
              <w:t>моно</w:t>
            </w:r>
            <w:r w:rsidRPr="00E84C93">
              <w:rPr>
                <w:rFonts w:cs="Times New Roman"/>
                <w:sz w:val="20"/>
                <w:szCs w:val="20"/>
                <w:lang w:val="sr-Cyrl-CS"/>
              </w:rPr>
              <w:t xml:space="preserve">инсинерацију муља и </w:t>
            </w:r>
            <w:r w:rsidR="00D010D1" w:rsidRPr="00E84C93">
              <w:rPr>
                <w:rFonts w:cs="Times New Roman"/>
                <w:sz w:val="20"/>
                <w:szCs w:val="20"/>
                <w:lang w:val="sr-Cyrl-CS"/>
              </w:rPr>
              <w:t>моно</w:t>
            </w:r>
            <w:r w:rsidRPr="00E84C93">
              <w:rPr>
                <w:rFonts w:cs="Times New Roman"/>
                <w:sz w:val="20"/>
                <w:szCs w:val="20"/>
                <w:lang w:val="sr-Cyrl-CS"/>
              </w:rPr>
              <w:t>депонија</w:t>
            </w:r>
          </w:p>
        </w:tc>
        <w:tc>
          <w:tcPr>
            <w:tcW w:w="3870" w:type="dxa"/>
          </w:tcPr>
          <w:p w14:paraId="5E67F941" w14:textId="18BAE66D" w:rsidR="009B0F32" w:rsidRPr="00E84C93" w:rsidRDefault="009B0F32" w:rsidP="009B0F32">
            <w:pPr>
              <w:spacing w:after="0"/>
              <w:rPr>
                <w:rFonts w:cs="Times New Roman"/>
                <w:sz w:val="20"/>
                <w:szCs w:val="20"/>
                <w:lang w:val="sr-Cyrl-CS"/>
              </w:rPr>
            </w:pPr>
            <w:r w:rsidRPr="00E84C93">
              <w:rPr>
                <w:rFonts w:cs="Times New Roman"/>
                <w:noProof/>
                <w:sz w:val="20"/>
                <w:szCs w:val="20"/>
                <w:lang w:val="sr-Cyrl-CS"/>
              </w:rPr>
              <w:t xml:space="preserve">Број постројења за </w:t>
            </w:r>
            <w:r w:rsidR="00D010D1" w:rsidRPr="00E84C93">
              <w:rPr>
                <w:rFonts w:cs="Times New Roman"/>
                <w:noProof/>
                <w:sz w:val="20"/>
                <w:szCs w:val="20"/>
                <w:lang w:val="sr-Cyrl-CS"/>
              </w:rPr>
              <w:t>моно</w:t>
            </w:r>
            <w:r w:rsidRPr="00E84C93">
              <w:rPr>
                <w:rFonts w:cs="Times New Roman"/>
                <w:noProof/>
                <w:sz w:val="20"/>
                <w:szCs w:val="20"/>
                <w:lang w:val="sr-Cyrl-CS"/>
              </w:rPr>
              <w:t xml:space="preserve">инсинерацију муља </w:t>
            </w:r>
          </w:p>
        </w:tc>
        <w:tc>
          <w:tcPr>
            <w:tcW w:w="1080" w:type="dxa"/>
          </w:tcPr>
          <w:p w14:paraId="55D21511" w14:textId="77777777"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777F20F0" w14:textId="02079A6F" w:rsidR="009B0F32" w:rsidRPr="00E84C93" w:rsidRDefault="00CD37E5" w:rsidP="009B0F32">
            <w:pPr>
              <w:spacing w:after="0"/>
              <w:jc w:val="center"/>
              <w:rPr>
                <w:rFonts w:cs="Times New Roman"/>
                <w:sz w:val="20"/>
                <w:szCs w:val="20"/>
                <w:lang w:val="sr-Cyrl-CS"/>
              </w:rPr>
            </w:pPr>
            <w:r w:rsidRPr="00E84C93">
              <w:rPr>
                <w:rFonts w:cs="Times New Roman"/>
                <w:sz w:val="20"/>
                <w:szCs w:val="20"/>
                <w:lang w:val="sr-Cyrl-CS"/>
              </w:rPr>
              <w:t>3</w:t>
            </w:r>
          </w:p>
        </w:tc>
        <w:tc>
          <w:tcPr>
            <w:tcW w:w="3960" w:type="dxa"/>
          </w:tcPr>
          <w:p w14:paraId="631F8960" w14:textId="77777777" w:rsidR="009B0F32" w:rsidRPr="00E84C93" w:rsidRDefault="009B0F32" w:rsidP="009B0F32">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203E9C4A" w14:textId="77777777" w:rsidTr="00F25CE0">
        <w:trPr>
          <w:trHeight w:val="359"/>
        </w:trPr>
        <w:tc>
          <w:tcPr>
            <w:tcW w:w="3775" w:type="dxa"/>
            <w:vMerge/>
          </w:tcPr>
          <w:p w14:paraId="5693E4D6" w14:textId="77777777" w:rsidR="009B0F32" w:rsidRPr="00E84C93" w:rsidRDefault="009B0F32" w:rsidP="009B0F32">
            <w:pPr>
              <w:spacing w:after="0"/>
              <w:rPr>
                <w:rFonts w:cs="Times New Roman"/>
                <w:b/>
                <w:bCs/>
                <w:sz w:val="20"/>
                <w:szCs w:val="20"/>
                <w:lang w:val="sr-Cyrl-CS"/>
              </w:rPr>
            </w:pPr>
          </w:p>
        </w:tc>
        <w:tc>
          <w:tcPr>
            <w:tcW w:w="3870" w:type="dxa"/>
          </w:tcPr>
          <w:p w14:paraId="02BEBAA4" w14:textId="4672AF12" w:rsidR="009B0F32" w:rsidRPr="00E84C93" w:rsidRDefault="009B0F32" w:rsidP="009B0F32">
            <w:pPr>
              <w:spacing w:after="0"/>
              <w:rPr>
                <w:rFonts w:cs="Times New Roman"/>
                <w:sz w:val="20"/>
                <w:szCs w:val="20"/>
                <w:lang w:val="sr-Cyrl-CS"/>
              </w:rPr>
            </w:pPr>
            <w:r w:rsidRPr="00E84C93">
              <w:rPr>
                <w:rFonts w:cs="Times New Roman"/>
                <w:noProof/>
                <w:sz w:val="20"/>
                <w:szCs w:val="20"/>
                <w:lang w:val="sr-Cyrl-CS"/>
              </w:rPr>
              <w:t xml:space="preserve">Број </w:t>
            </w:r>
            <w:r w:rsidR="00D010D1" w:rsidRPr="00E84C93">
              <w:rPr>
                <w:rFonts w:cs="Times New Roman"/>
                <w:noProof/>
                <w:sz w:val="20"/>
                <w:szCs w:val="20"/>
                <w:lang w:val="sr-Cyrl-CS"/>
              </w:rPr>
              <w:t>моно</w:t>
            </w:r>
            <w:r w:rsidRPr="00E84C93">
              <w:rPr>
                <w:rFonts w:cs="Times New Roman"/>
                <w:noProof/>
                <w:sz w:val="20"/>
                <w:szCs w:val="20"/>
                <w:lang w:val="sr-Cyrl-CS"/>
              </w:rPr>
              <w:t>депонија</w:t>
            </w:r>
          </w:p>
        </w:tc>
        <w:tc>
          <w:tcPr>
            <w:tcW w:w="1080" w:type="dxa"/>
          </w:tcPr>
          <w:p w14:paraId="6A0AD156" w14:textId="77777777"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3C0DAD15" w14:textId="77777777"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10</w:t>
            </w:r>
          </w:p>
        </w:tc>
        <w:tc>
          <w:tcPr>
            <w:tcW w:w="3960" w:type="dxa"/>
          </w:tcPr>
          <w:p w14:paraId="73B5CB21" w14:textId="77777777" w:rsidR="009B0F32" w:rsidRPr="00E84C93" w:rsidRDefault="009B0F32" w:rsidP="009B0F32">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19F90420" w14:textId="77777777" w:rsidTr="003B7E6F">
        <w:trPr>
          <w:trHeight w:val="233"/>
        </w:trPr>
        <w:tc>
          <w:tcPr>
            <w:tcW w:w="3775" w:type="dxa"/>
            <w:shd w:val="clear" w:color="auto" w:fill="DEEAF6" w:themeFill="accent1" w:themeFillTint="33"/>
          </w:tcPr>
          <w:p w14:paraId="6B004B01" w14:textId="0D03A2BB"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Посебан циљ 4:</w:t>
            </w:r>
            <w:r w:rsidRPr="00E84C93">
              <w:rPr>
                <w:rFonts w:cs="Times New Roman"/>
                <w:noProof/>
                <w:sz w:val="20"/>
                <w:szCs w:val="20"/>
                <w:lang w:val="sr-Cyrl-CS"/>
              </w:rPr>
              <w:t xml:space="preserve"> </w:t>
            </w:r>
            <w:r w:rsidRPr="00E84C93">
              <w:rPr>
                <w:b/>
                <w:sz w:val="20"/>
                <w:szCs w:val="20"/>
                <w:lang w:val="sr-Cyrl-CS"/>
              </w:rPr>
              <w:t>Ојачан капацитет субјеката у области управљања муљем</w:t>
            </w:r>
          </w:p>
        </w:tc>
        <w:tc>
          <w:tcPr>
            <w:tcW w:w="3870" w:type="dxa"/>
          </w:tcPr>
          <w:p w14:paraId="054A58E8" w14:textId="52704A48" w:rsidR="009B0F32" w:rsidRPr="00E84C93" w:rsidRDefault="009B0F32" w:rsidP="009B0F32">
            <w:pPr>
              <w:spacing w:after="0"/>
              <w:rPr>
                <w:rFonts w:cs="Times New Roman"/>
                <w:sz w:val="20"/>
                <w:szCs w:val="20"/>
                <w:lang w:val="sr-Cyrl-CS"/>
              </w:rPr>
            </w:pPr>
            <w:r w:rsidRPr="00E84C93">
              <w:rPr>
                <w:rFonts w:cs="Times New Roman"/>
                <w:sz w:val="20"/>
                <w:szCs w:val="20"/>
                <w:lang w:val="sr-Cyrl-CS"/>
              </w:rPr>
              <w:t>Формирана нова регионална предузећа за управљање муљем</w:t>
            </w:r>
          </w:p>
        </w:tc>
        <w:tc>
          <w:tcPr>
            <w:tcW w:w="1080" w:type="dxa"/>
          </w:tcPr>
          <w:p w14:paraId="1041735B" w14:textId="7EB88FE2"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39F330F1" w14:textId="60CDD7AC"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10</w:t>
            </w:r>
          </w:p>
        </w:tc>
        <w:tc>
          <w:tcPr>
            <w:tcW w:w="3960" w:type="dxa"/>
          </w:tcPr>
          <w:p w14:paraId="41A960F2" w14:textId="5DE631B4" w:rsidR="009B0F32" w:rsidRPr="00E84C93" w:rsidRDefault="009B0F32" w:rsidP="009B0F32">
            <w:pPr>
              <w:spacing w:after="0"/>
              <w:rPr>
                <w:rFonts w:cs="Times New Roman"/>
                <w:sz w:val="20"/>
                <w:szCs w:val="20"/>
                <w:highlight w:val="yellow"/>
                <w:lang w:val="sr-Cyrl-CS"/>
              </w:rPr>
            </w:pPr>
            <w:r w:rsidRPr="00E84C93">
              <w:rPr>
                <w:sz w:val="20"/>
                <w:szCs w:val="20"/>
                <w:lang w:val="sr-Cyrl-CS"/>
              </w:rPr>
              <w:t>Извештај Министарства заштите животне средине</w:t>
            </w:r>
          </w:p>
        </w:tc>
      </w:tr>
      <w:tr w:rsidR="009B0F32" w:rsidRPr="00E84C93" w14:paraId="7BCB6094" w14:textId="77777777" w:rsidTr="003B7E6F">
        <w:trPr>
          <w:trHeight w:val="233"/>
        </w:trPr>
        <w:tc>
          <w:tcPr>
            <w:tcW w:w="3775" w:type="dxa"/>
          </w:tcPr>
          <w:p w14:paraId="23E85B2E" w14:textId="3549F042" w:rsidR="009B0F32" w:rsidRPr="00E84C93" w:rsidRDefault="009B0F32" w:rsidP="009B0F32">
            <w:pPr>
              <w:spacing w:after="0"/>
              <w:rPr>
                <w:rFonts w:cs="Times New Roman"/>
                <w:b/>
                <w:bCs/>
                <w:noProof/>
                <w:sz w:val="20"/>
                <w:szCs w:val="20"/>
                <w:lang w:val="sr-Cyrl-CS"/>
              </w:rPr>
            </w:pPr>
            <w:r w:rsidRPr="00E84C93">
              <w:rPr>
                <w:rFonts w:cs="Times New Roman"/>
                <w:b/>
                <w:bCs/>
                <w:noProof/>
                <w:sz w:val="20"/>
                <w:szCs w:val="20"/>
                <w:lang w:val="sr-Cyrl-CS"/>
              </w:rPr>
              <w:t>М</w:t>
            </w:r>
            <w:r w:rsidRPr="00E84C93">
              <w:rPr>
                <w:rFonts w:cs="Times New Roman"/>
                <w:b/>
                <w:bCs/>
                <w:sz w:val="20"/>
                <w:szCs w:val="20"/>
                <w:lang w:val="sr-Cyrl-CS"/>
              </w:rPr>
              <w:t xml:space="preserve">ера 4.1. </w:t>
            </w:r>
            <w:r w:rsidRPr="00E84C93">
              <w:rPr>
                <w:rFonts w:cs="Times New Roman"/>
                <w:bCs/>
                <w:sz w:val="20"/>
                <w:szCs w:val="20"/>
                <w:lang w:val="sr-Cyrl-CS"/>
              </w:rPr>
              <w:t xml:space="preserve">Јачање административних и институционалних капацитета надлежних институција за управљање муљем </w:t>
            </w:r>
          </w:p>
        </w:tc>
        <w:tc>
          <w:tcPr>
            <w:tcW w:w="3870" w:type="dxa"/>
          </w:tcPr>
          <w:p w14:paraId="23FECA1C" w14:textId="2F2BC9FF" w:rsidR="009B0F32" w:rsidRPr="00E84C93" w:rsidRDefault="00BE73E3" w:rsidP="009B0F32">
            <w:pPr>
              <w:spacing w:after="0"/>
              <w:rPr>
                <w:rFonts w:cs="Times New Roman"/>
                <w:sz w:val="20"/>
                <w:szCs w:val="20"/>
                <w:highlight w:val="yellow"/>
                <w:lang w:val="sr-Cyrl-CS"/>
              </w:rPr>
            </w:pPr>
            <w:r w:rsidRPr="00E84C93">
              <w:rPr>
                <w:rFonts w:cs="Times New Roman"/>
                <w:sz w:val="20"/>
                <w:szCs w:val="20"/>
                <w:lang w:val="sr-Cyrl-CS"/>
              </w:rPr>
              <w:t>Број одржаних обука за запослене у надлежним институцијама, годишње</w:t>
            </w:r>
          </w:p>
        </w:tc>
        <w:tc>
          <w:tcPr>
            <w:tcW w:w="1080" w:type="dxa"/>
          </w:tcPr>
          <w:p w14:paraId="009C48DA" w14:textId="7AC74906"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06A37AE9" w14:textId="7AC0E1C4"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4</w:t>
            </w:r>
          </w:p>
        </w:tc>
        <w:tc>
          <w:tcPr>
            <w:tcW w:w="3960" w:type="dxa"/>
          </w:tcPr>
          <w:p w14:paraId="48AEFA76" w14:textId="1D80C0D5" w:rsidR="009B0F32" w:rsidRPr="00E84C93" w:rsidRDefault="009B0F32" w:rsidP="009B0F32">
            <w:pPr>
              <w:spacing w:after="0"/>
              <w:rPr>
                <w:rFonts w:cs="Times New Roman"/>
                <w:sz w:val="20"/>
                <w:szCs w:val="20"/>
                <w:lang w:val="sr-Cyrl-CS"/>
              </w:rPr>
            </w:pPr>
            <w:r w:rsidRPr="00E84C93">
              <w:rPr>
                <w:sz w:val="20"/>
                <w:szCs w:val="20"/>
                <w:lang w:val="sr-Cyrl-CS"/>
              </w:rPr>
              <w:t>Извештај Министарства заштите животне средине</w:t>
            </w:r>
          </w:p>
        </w:tc>
      </w:tr>
      <w:tr w:rsidR="009B0F32" w:rsidRPr="00E84C93" w14:paraId="1BD76077" w14:textId="77777777" w:rsidTr="003B7E6F">
        <w:trPr>
          <w:trHeight w:val="233"/>
        </w:trPr>
        <w:tc>
          <w:tcPr>
            <w:tcW w:w="3775" w:type="dxa"/>
          </w:tcPr>
          <w:p w14:paraId="44451B4E" w14:textId="58037689" w:rsidR="009B0F32" w:rsidRPr="00E84C93" w:rsidRDefault="009B0F32" w:rsidP="009B0F32">
            <w:pPr>
              <w:spacing w:after="0"/>
              <w:rPr>
                <w:rFonts w:cs="Times New Roman"/>
                <w:b/>
                <w:bCs/>
                <w:noProof/>
                <w:sz w:val="20"/>
                <w:szCs w:val="20"/>
                <w:lang w:val="sr-Cyrl-CS"/>
              </w:rPr>
            </w:pPr>
            <w:r w:rsidRPr="00E84C93">
              <w:rPr>
                <w:rFonts w:cs="Times New Roman"/>
                <w:b/>
                <w:noProof/>
                <w:sz w:val="20"/>
                <w:szCs w:val="20"/>
                <w:lang w:val="sr-Cyrl-CS"/>
              </w:rPr>
              <w:t>Мера 4.2.</w:t>
            </w:r>
            <w:r w:rsidRPr="00E84C93">
              <w:rPr>
                <w:rFonts w:cs="Times New Roman"/>
                <w:b/>
                <w:bCs/>
                <w:noProof/>
                <w:sz w:val="20"/>
                <w:szCs w:val="20"/>
                <w:lang w:val="sr-Cyrl-CS"/>
              </w:rPr>
              <w:t xml:space="preserve"> </w:t>
            </w:r>
            <w:bookmarkStart w:id="111" w:name="_Hlk96212938"/>
            <w:r w:rsidRPr="00E84C93">
              <w:rPr>
                <w:rFonts w:cs="Times New Roman"/>
                <w:noProof/>
                <w:sz w:val="20"/>
                <w:szCs w:val="20"/>
                <w:lang w:val="sr-Cyrl-CS"/>
              </w:rPr>
              <w:t xml:space="preserve">Јачање капацитета јавних комуналних предузећа </w:t>
            </w:r>
            <w:r w:rsidRPr="00E84C93">
              <w:rPr>
                <w:sz w:val="20"/>
                <w:szCs w:val="20"/>
                <w:lang w:val="sr-Cyrl-CS"/>
              </w:rPr>
              <w:t>у области управљања муљем</w:t>
            </w:r>
            <w:bookmarkEnd w:id="111"/>
          </w:p>
        </w:tc>
        <w:tc>
          <w:tcPr>
            <w:tcW w:w="3870" w:type="dxa"/>
          </w:tcPr>
          <w:p w14:paraId="2A355DD2" w14:textId="234C03F6" w:rsidR="009B0F32" w:rsidRPr="00E84C93" w:rsidRDefault="00BE73E3" w:rsidP="009B0F32">
            <w:pPr>
              <w:spacing w:after="0"/>
              <w:rPr>
                <w:rFonts w:cs="Times New Roman"/>
                <w:sz w:val="20"/>
                <w:szCs w:val="20"/>
                <w:lang w:val="sr-Cyrl-CS"/>
              </w:rPr>
            </w:pPr>
            <w:r w:rsidRPr="00E84C93">
              <w:rPr>
                <w:rFonts w:cs="Times New Roman"/>
                <w:sz w:val="20"/>
                <w:szCs w:val="20"/>
                <w:lang w:val="sr-Cyrl-CS"/>
              </w:rPr>
              <w:t>Број одржаних обука о управљању муљем за надлежна предузећа, годишње</w:t>
            </w:r>
          </w:p>
        </w:tc>
        <w:tc>
          <w:tcPr>
            <w:tcW w:w="1080" w:type="dxa"/>
          </w:tcPr>
          <w:p w14:paraId="5C5D1D00" w14:textId="4871C6E9"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0</w:t>
            </w:r>
          </w:p>
        </w:tc>
        <w:tc>
          <w:tcPr>
            <w:tcW w:w="1170" w:type="dxa"/>
          </w:tcPr>
          <w:p w14:paraId="7B2E6F6C" w14:textId="5182635C" w:rsidR="009B0F32" w:rsidRPr="00E84C93" w:rsidRDefault="009B0F32" w:rsidP="009B0F32">
            <w:pPr>
              <w:spacing w:after="0"/>
              <w:jc w:val="center"/>
              <w:rPr>
                <w:rFonts w:cs="Times New Roman"/>
                <w:sz w:val="20"/>
                <w:szCs w:val="20"/>
                <w:lang w:val="sr-Cyrl-CS"/>
              </w:rPr>
            </w:pPr>
            <w:r w:rsidRPr="00E84C93">
              <w:rPr>
                <w:rFonts w:cs="Times New Roman"/>
                <w:sz w:val="20"/>
                <w:szCs w:val="20"/>
                <w:lang w:val="sr-Cyrl-CS"/>
              </w:rPr>
              <w:t>4</w:t>
            </w:r>
          </w:p>
        </w:tc>
        <w:tc>
          <w:tcPr>
            <w:tcW w:w="3960" w:type="dxa"/>
          </w:tcPr>
          <w:p w14:paraId="3F758E0D" w14:textId="4606DF2E" w:rsidR="009B0F32" w:rsidRPr="00E84C93" w:rsidRDefault="009B0F32" w:rsidP="009B0F32">
            <w:pPr>
              <w:spacing w:after="0"/>
              <w:rPr>
                <w:rFonts w:cs="Times New Roman"/>
                <w:sz w:val="20"/>
                <w:szCs w:val="20"/>
                <w:lang w:val="sr-Cyrl-CS"/>
              </w:rPr>
            </w:pPr>
            <w:r w:rsidRPr="00E84C93">
              <w:rPr>
                <w:sz w:val="20"/>
                <w:szCs w:val="20"/>
                <w:lang w:val="sr-Cyrl-CS"/>
              </w:rPr>
              <w:t xml:space="preserve">Извештај </w:t>
            </w:r>
            <w:r w:rsidR="00145054" w:rsidRPr="00E84C93">
              <w:rPr>
                <w:sz w:val="20"/>
                <w:szCs w:val="20"/>
                <w:lang w:val="sr-Cyrl-CS"/>
              </w:rPr>
              <w:t>Министарства грађевинарства</w:t>
            </w:r>
            <w:r w:rsidR="008E1DFD" w:rsidRPr="00E84C93">
              <w:rPr>
                <w:sz w:val="20"/>
                <w:szCs w:val="20"/>
                <w:lang w:val="sr-Cyrl-CS"/>
              </w:rPr>
              <w:t>,</w:t>
            </w:r>
            <w:r w:rsidR="00145054" w:rsidRPr="00E84C93">
              <w:rPr>
                <w:sz w:val="20"/>
                <w:szCs w:val="20"/>
                <w:lang w:val="sr-Cyrl-CS"/>
              </w:rPr>
              <w:t xml:space="preserve"> саобраћаја и инфраструктуре</w:t>
            </w:r>
          </w:p>
        </w:tc>
      </w:tr>
    </w:tbl>
    <w:p w14:paraId="71ED8697" w14:textId="4051550D" w:rsidR="006E7EA4" w:rsidRPr="00E84C93" w:rsidRDefault="006E7EA4" w:rsidP="00672F08">
      <w:pPr>
        <w:rPr>
          <w:rFonts w:cs="Times New Roman"/>
          <w:b/>
          <w:bCs/>
          <w:noProof/>
          <w:szCs w:val="24"/>
          <w:lang w:val="sr-Cyrl-CS"/>
        </w:rPr>
      </w:pPr>
    </w:p>
    <w:p w14:paraId="0D52F00F" w14:textId="77777777" w:rsidR="007D354B" w:rsidRDefault="007D354B" w:rsidP="00672F08">
      <w:pPr>
        <w:rPr>
          <w:rFonts w:cs="Times New Roman"/>
          <w:b/>
          <w:bCs/>
          <w:noProof/>
          <w:szCs w:val="24"/>
          <w:lang w:val="sr-Cyrl-CS"/>
        </w:rPr>
        <w:sectPr w:rsidR="007D354B" w:rsidSect="001B734A">
          <w:pgSz w:w="15840" w:h="12240" w:orient="landscape"/>
          <w:pgMar w:top="1440" w:right="1440" w:bottom="1440" w:left="1440" w:header="720" w:footer="720" w:gutter="0"/>
          <w:cols w:space="720"/>
          <w:docGrid w:linePitch="360"/>
        </w:sectPr>
      </w:pPr>
    </w:p>
    <w:p w14:paraId="0D64D630" w14:textId="3AACAC18" w:rsidR="006E7EA4" w:rsidRPr="00E84C93" w:rsidRDefault="006E7EA4" w:rsidP="00672F08">
      <w:pPr>
        <w:rPr>
          <w:rFonts w:cs="Times New Roman"/>
          <w:b/>
          <w:bCs/>
          <w:noProof/>
          <w:szCs w:val="24"/>
          <w:lang w:val="sr-Cyrl-CS"/>
        </w:rPr>
        <w:sectPr w:rsidR="006E7EA4" w:rsidRPr="00E84C93" w:rsidSect="007D354B">
          <w:type w:val="continuous"/>
          <w:pgSz w:w="15840" w:h="12240" w:orient="landscape"/>
          <w:pgMar w:top="1440" w:right="1440" w:bottom="1440" w:left="1440" w:header="720" w:footer="720" w:gutter="0"/>
          <w:cols w:space="720"/>
          <w:docGrid w:linePitch="360"/>
        </w:sectPr>
      </w:pPr>
    </w:p>
    <w:p w14:paraId="6A0ED84F" w14:textId="5D8C0242" w:rsidR="006E7EA4" w:rsidRPr="00E84C93" w:rsidRDefault="006E7EA4" w:rsidP="000C54C0">
      <w:pPr>
        <w:pStyle w:val="Heading2"/>
        <w:numPr>
          <w:ilvl w:val="1"/>
          <w:numId w:val="8"/>
        </w:numPr>
        <w:spacing w:before="0"/>
        <w:rPr>
          <w:lang w:val="sr-Cyrl-CS"/>
        </w:rPr>
      </w:pPr>
      <w:bookmarkStart w:id="112" w:name="_Toc99920913"/>
      <w:r w:rsidRPr="00E84C93">
        <w:rPr>
          <w:lang w:val="sr-Cyrl-CS"/>
        </w:rPr>
        <w:lastRenderedPageBreak/>
        <w:t xml:space="preserve">Трошкови </w:t>
      </w:r>
      <w:r w:rsidR="000853E7" w:rsidRPr="00E84C93">
        <w:rPr>
          <w:lang w:val="sr-Cyrl-CS"/>
        </w:rPr>
        <w:t xml:space="preserve">и финансирање успостављања система управљања муљем </w:t>
      </w:r>
      <w:r w:rsidRPr="00E84C93">
        <w:rPr>
          <w:lang w:val="sr-Cyrl-CS"/>
        </w:rPr>
        <w:t>и анализа ефеката</w:t>
      </w:r>
      <w:r w:rsidR="000853E7" w:rsidRPr="00E84C93">
        <w:rPr>
          <w:lang w:val="sr-Cyrl-CS"/>
        </w:rPr>
        <w:t xml:space="preserve"> мера</w:t>
      </w:r>
      <w:bookmarkEnd w:id="112"/>
    </w:p>
    <w:p w14:paraId="6C364753" w14:textId="25460C73" w:rsidR="000853E7" w:rsidRPr="00E84C93" w:rsidRDefault="000853E7" w:rsidP="00482DE1">
      <w:pPr>
        <w:rPr>
          <w:lang w:val="sr-Cyrl-CS"/>
        </w:rPr>
      </w:pPr>
    </w:p>
    <w:p w14:paraId="568D4BFA" w14:textId="39A640BE" w:rsidR="006E7EA4" w:rsidRPr="00E84C93" w:rsidRDefault="006E7EA4" w:rsidP="000C54C0">
      <w:pPr>
        <w:pStyle w:val="Heading3"/>
        <w:numPr>
          <w:ilvl w:val="2"/>
          <w:numId w:val="8"/>
        </w:numPr>
        <w:spacing w:before="0" w:after="0"/>
        <w:rPr>
          <w:lang w:val="sr-Cyrl-CS"/>
        </w:rPr>
      </w:pPr>
      <w:bookmarkStart w:id="113" w:name="_Toc99920914"/>
      <w:r w:rsidRPr="00E84C93">
        <w:rPr>
          <w:lang w:val="sr-Cyrl-CS"/>
        </w:rPr>
        <w:t xml:space="preserve">Трошкови </w:t>
      </w:r>
      <w:r w:rsidR="000853E7" w:rsidRPr="00E84C93">
        <w:rPr>
          <w:lang w:val="sr-Cyrl-CS"/>
        </w:rPr>
        <w:t>успостављања система управљања муљем</w:t>
      </w:r>
      <w:bookmarkEnd w:id="113"/>
      <w:r w:rsidR="000853E7" w:rsidRPr="00E84C93">
        <w:rPr>
          <w:lang w:val="sr-Cyrl-CS"/>
        </w:rPr>
        <w:t xml:space="preserve"> </w:t>
      </w:r>
    </w:p>
    <w:p w14:paraId="38D0C951" w14:textId="1B2D1A21" w:rsidR="006E7EA4" w:rsidRPr="00E84C93" w:rsidRDefault="006E7EA4" w:rsidP="006E7EA4">
      <w:pPr>
        <w:rPr>
          <w:rFonts w:cs="Times New Roman"/>
          <w:noProof/>
          <w:szCs w:val="24"/>
          <w:lang w:val="sr-Cyrl-CS"/>
        </w:rPr>
      </w:pPr>
    </w:p>
    <w:p w14:paraId="72097731" w14:textId="7F20C3F9"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Трошкови спровођења програма урављања муљем обухватају инвестиционе и оперативне трошкове. Инвестициони трошкови (CAPEX) укључују грађевинске радове, повезану инфраструктуру и електро и машинску опрему. У инвестиционе трошкове нису укључени евентуални трошкови откупа земљишта, планске накнаде, порез на додату вредност и трошкови за непредвиђене радове.</w:t>
      </w:r>
    </w:p>
    <w:p w14:paraId="702E7B53" w14:textId="6FFF0140"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Оперативни трошкови (OPEX) укључују потрошњу електричне енергије, трошкове материјал</w:t>
      </w:r>
      <w:r w:rsidR="00D915E1" w:rsidRPr="00E84C93">
        <w:rPr>
          <w:rFonts w:cs="Times New Roman"/>
          <w:noProof/>
          <w:szCs w:val="24"/>
          <w:lang w:val="sr-Cyrl-CS"/>
        </w:rPr>
        <w:t>а</w:t>
      </w:r>
      <w:r w:rsidRPr="00E84C93">
        <w:rPr>
          <w:rFonts w:cs="Times New Roman"/>
          <w:noProof/>
          <w:szCs w:val="24"/>
          <w:lang w:val="sr-Cyrl-CS"/>
        </w:rPr>
        <w:t>, административне т</w:t>
      </w:r>
      <w:r w:rsidR="006537A3" w:rsidRPr="00E84C93">
        <w:rPr>
          <w:rFonts w:cs="Times New Roman"/>
          <w:noProof/>
          <w:szCs w:val="24"/>
          <w:lang w:val="sr-Cyrl-CS"/>
        </w:rPr>
        <w:t>р</w:t>
      </w:r>
      <w:r w:rsidRPr="00E84C93">
        <w:rPr>
          <w:rFonts w:cs="Times New Roman"/>
          <w:noProof/>
          <w:szCs w:val="24"/>
          <w:lang w:val="sr-Cyrl-CS"/>
        </w:rPr>
        <w:t>ошкове и трошкове особља, трошкове услуга и одржавања и транспортне трошкове. Транспортни трошкови с</w:t>
      </w:r>
      <w:r w:rsidR="00D915E1" w:rsidRPr="00E84C93">
        <w:rPr>
          <w:rFonts w:cs="Times New Roman"/>
          <w:noProof/>
          <w:szCs w:val="24"/>
          <w:lang w:val="sr-Cyrl-CS"/>
        </w:rPr>
        <w:t>е</w:t>
      </w:r>
      <w:r w:rsidRPr="00E84C93">
        <w:rPr>
          <w:rFonts w:cs="Times New Roman"/>
          <w:noProof/>
          <w:szCs w:val="24"/>
          <w:lang w:val="sr-Cyrl-CS"/>
        </w:rPr>
        <w:t xml:space="preserve"> израчуна</w:t>
      </w:r>
      <w:r w:rsidR="00D915E1" w:rsidRPr="00E84C93">
        <w:rPr>
          <w:rFonts w:cs="Times New Roman"/>
          <w:noProof/>
          <w:szCs w:val="24"/>
          <w:lang w:val="sr-Cyrl-CS"/>
        </w:rPr>
        <w:t>вају</w:t>
      </w:r>
      <w:r w:rsidRPr="00E84C93">
        <w:rPr>
          <w:rFonts w:cs="Times New Roman"/>
          <w:noProof/>
          <w:szCs w:val="24"/>
          <w:lang w:val="sr-Cyrl-CS"/>
        </w:rPr>
        <w:t xml:space="preserve"> у зависности од процењених физичких удаљености између места настанка муља и места његовог крајњег третмана (одлагања, спаљивања), односно до </w:t>
      </w:r>
      <w:r w:rsidR="002A1FB1" w:rsidRPr="00E84C93">
        <w:rPr>
          <w:rFonts w:cs="Times New Roman"/>
          <w:noProof/>
          <w:szCs w:val="24"/>
          <w:lang w:val="sr-Cyrl-CS"/>
        </w:rPr>
        <w:t>Ц</w:t>
      </w:r>
      <w:r w:rsidRPr="00E84C93">
        <w:rPr>
          <w:rFonts w:cs="Times New Roman"/>
          <w:noProof/>
          <w:szCs w:val="24"/>
          <w:lang w:val="sr-Cyrl-CS"/>
        </w:rPr>
        <w:t xml:space="preserve">ентара за третман муља, инсинератора или </w:t>
      </w:r>
      <w:r w:rsidR="00D010D1" w:rsidRPr="00E84C93">
        <w:rPr>
          <w:rFonts w:cs="Times New Roman"/>
          <w:noProof/>
          <w:szCs w:val="24"/>
          <w:lang w:val="sr-Cyrl-CS"/>
        </w:rPr>
        <w:t>моно</w:t>
      </w:r>
      <w:r w:rsidRPr="00E84C93">
        <w:rPr>
          <w:rFonts w:cs="Times New Roman"/>
          <w:noProof/>
          <w:szCs w:val="24"/>
          <w:lang w:val="sr-Cyrl-CS"/>
        </w:rPr>
        <w:t>депонија, као и од зависности од финалног стања муља (течни, о</w:t>
      </w:r>
      <w:r w:rsidR="0056606C" w:rsidRPr="00E84C93">
        <w:rPr>
          <w:rFonts w:cs="Times New Roman"/>
          <w:noProof/>
          <w:szCs w:val="24"/>
          <w:lang w:val="sr-Cyrl-CS"/>
        </w:rPr>
        <w:t>без</w:t>
      </w:r>
      <w:r w:rsidRPr="00E84C93">
        <w:rPr>
          <w:rFonts w:cs="Times New Roman"/>
          <w:noProof/>
          <w:szCs w:val="24"/>
          <w:lang w:val="sr-Cyrl-CS"/>
        </w:rPr>
        <w:t>дводњени, суви, пепео).</w:t>
      </w:r>
    </w:p>
    <w:p w14:paraId="423E07FA" w14:textId="0C658648" w:rsidR="00600A81" w:rsidRPr="00E84C93" w:rsidRDefault="00186388" w:rsidP="00600A81">
      <w:pPr>
        <w:spacing w:after="0"/>
        <w:ind w:firstLine="720"/>
        <w:jc w:val="both"/>
        <w:rPr>
          <w:rFonts w:cs="Times New Roman"/>
          <w:noProof/>
          <w:szCs w:val="24"/>
          <w:lang w:val="sr-Cyrl-CS"/>
        </w:rPr>
      </w:pPr>
      <w:r w:rsidRPr="00E84C93">
        <w:rPr>
          <w:rFonts w:cs="Times New Roman"/>
          <w:noProof/>
          <w:szCs w:val="24"/>
          <w:lang w:val="sr-Cyrl-CS"/>
        </w:rPr>
        <w:t>У Т</w:t>
      </w:r>
      <w:r w:rsidR="00600A81" w:rsidRPr="00E84C93">
        <w:rPr>
          <w:rFonts w:cs="Times New Roman"/>
          <w:noProof/>
          <w:szCs w:val="24"/>
          <w:lang w:val="sr-Cyrl-CS"/>
        </w:rPr>
        <w:t>абели</w:t>
      </w:r>
      <w:r w:rsidR="002B01E5" w:rsidRPr="00E84C93">
        <w:rPr>
          <w:rFonts w:cs="Times New Roman"/>
          <w:noProof/>
          <w:szCs w:val="24"/>
          <w:lang w:val="sr-Cyrl-CS"/>
        </w:rPr>
        <w:t xml:space="preserve"> 7.2.</w:t>
      </w:r>
      <w:r w:rsidR="00600A81" w:rsidRPr="00E84C93">
        <w:rPr>
          <w:rFonts w:cs="Times New Roman"/>
          <w:noProof/>
          <w:szCs w:val="24"/>
          <w:lang w:val="sr-Cyrl-CS"/>
        </w:rPr>
        <w:t xml:space="preserve"> су представљени јединични инвестициони и оперативни трошкови који су коришћени за израчунавање укупних трошкова спровођења Програма управљања муљем. Јединични трошкови су процењени на основу емпиријских студија и истраживања и сличних спроведених пројеката у земљама ЕУ.</w:t>
      </w:r>
    </w:p>
    <w:p w14:paraId="60C4E027" w14:textId="77777777" w:rsidR="00600A81" w:rsidRPr="00E84C93" w:rsidRDefault="00600A81" w:rsidP="00600A81">
      <w:pPr>
        <w:spacing w:after="0"/>
        <w:ind w:firstLine="720"/>
        <w:jc w:val="both"/>
        <w:rPr>
          <w:rFonts w:cs="Times New Roman"/>
          <w:noProof/>
          <w:szCs w:val="24"/>
          <w:lang w:val="sr-Cyrl-CS"/>
        </w:rPr>
      </w:pPr>
    </w:p>
    <w:p w14:paraId="7BD82C4E" w14:textId="3D56D45B" w:rsidR="00600A81" w:rsidRPr="00E84C93" w:rsidRDefault="00600A81" w:rsidP="00600A81">
      <w:pPr>
        <w:spacing w:after="0"/>
        <w:jc w:val="both"/>
        <w:rPr>
          <w:rFonts w:cs="Times New Roman"/>
          <w:szCs w:val="24"/>
          <w:lang w:val="sr-Cyrl-CS"/>
        </w:rPr>
      </w:pPr>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 xml:space="preserve">.2. </w:t>
      </w:r>
      <w:r w:rsidRPr="00E84C93">
        <w:rPr>
          <w:rFonts w:cs="Times New Roman"/>
          <w:szCs w:val="24"/>
          <w:lang w:val="sr-Cyrl-CS"/>
        </w:rPr>
        <w:t>Јединични инвестициони и оперативни трошкови за управљање муљем (у еврима, константне цене из 2022. године)</w:t>
      </w:r>
    </w:p>
    <w:tbl>
      <w:tblPr>
        <w:tblStyle w:val="TableGrid1"/>
        <w:tblpPr w:leftFromText="141" w:rightFromText="141" w:vertAnchor="text" w:horzAnchor="page" w:tblpXSpec="center" w:tblpY="257"/>
        <w:tblW w:w="9363" w:type="dxa"/>
        <w:jc w:val="center"/>
        <w:tblLayout w:type="fixed"/>
        <w:tblLook w:val="04A0" w:firstRow="1" w:lastRow="0" w:firstColumn="1" w:lastColumn="0" w:noHBand="0" w:noVBand="1"/>
      </w:tblPr>
      <w:tblGrid>
        <w:gridCol w:w="2335"/>
        <w:gridCol w:w="1260"/>
        <w:gridCol w:w="1220"/>
        <w:gridCol w:w="1390"/>
        <w:gridCol w:w="1440"/>
        <w:gridCol w:w="900"/>
        <w:gridCol w:w="818"/>
      </w:tblGrid>
      <w:tr w:rsidR="00600A81" w:rsidRPr="00E84C93" w14:paraId="03459AE1" w14:textId="77777777" w:rsidTr="00A21A53">
        <w:trPr>
          <w:trHeight w:val="279"/>
          <w:jc w:val="center"/>
        </w:trPr>
        <w:tc>
          <w:tcPr>
            <w:tcW w:w="2335" w:type="dxa"/>
            <w:vMerge w:val="restart"/>
            <w:shd w:val="clear" w:color="auto" w:fill="9CC2E5" w:themeFill="accent1" w:themeFillTint="99"/>
            <w:noWrap/>
            <w:vAlign w:val="center"/>
            <w:hideMark/>
          </w:tcPr>
          <w:p w14:paraId="04C1FCAF" w14:textId="77777777" w:rsidR="00600A81" w:rsidRPr="00E84C93" w:rsidRDefault="00600A81" w:rsidP="00A21A53">
            <w:pPr>
              <w:spacing w:after="0"/>
              <w:jc w:val="center"/>
              <w:rPr>
                <w:rFonts w:eastAsia="Times New Roman"/>
                <w:b/>
                <w:bCs/>
                <w:sz w:val="22"/>
                <w:lang w:val="sr-Cyrl-CS"/>
              </w:rPr>
            </w:pPr>
            <w:bookmarkStart w:id="114" w:name="_Hlk97380946"/>
            <w:r w:rsidRPr="00E84C93">
              <w:rPr>
                <w:rFonts w:eastAsia="Times New Roman"/>
                <w:b/>
                <w:bCs/>
                <w:sz w:val="22"/>
                <w:lang w:val="sr-Cyrl-CS"/>
              </w:rPr>
              <w:t>Опис</w:t>
            </w:r>
          </w:p>
        </w:tc>
        <w:tc>
          <w:tcPr>
            <w:tcW w:w="1260" w:type="dxa"/>
            <w:vMerge w:val="restart"/>
            <w:shd w:val="clear" w:color="auto" w:fill="9CC2E5" w:themeFill="accent1" w:themeFillTint="99"/>
            <w:noWrap/>
            <w:vAlign w:val="center"/>
            <w:hideMark/>
          </w:tcPr>
          <w:p w14:paraId="210784BE" w14:textId="6A7F5631"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Сува материја (%)</w:t>
            </w:r>
          </w:p>
        </w:tc>
        <w:tc>
          <w:tcPr>
            <w:tcW w:w="1220" w:type="dxa"/>
            <w:vMerge w:val="restart"/>
            <w:shd w:val="clear" w:color="auto" w:fill="9CC2E5" w:themeFill="accent1" w:themeFillTint="99"/>
            <w:noWrap/>
            <w:vAlign w:val="center"/>
            <w:hideMark/>
          </w:tcPr>
          <w:p w14:paraId="387C2538"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Јединица</w:t>
            </w:r>
          </w:p>
        </w:tc>
        <w:tc>
          <w:tcPr>
            <w:tcW w:w="2830" w:type="dxa"/>
            <w:gridSpan w:val="2"/>
            <w:vMerge w:val="restart"/>
            <w:shd w:val="clear" w:color="auto" w:fill="9CC2E5" w:themeFill="accent1" w:themeFillTint="99"/>
            <w:noWrap/>
            <w:vAlign w:val="center"/>
            <w:hideMark/>
          </w:tcPr>
          <w:p w14:paraId="0DACB807"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Јединични трошкови</w:t>
            </w:r>
          </w:p>
        </w:tc>
        <w:tc>
          <w:tcPr>
            <w:tcW w:w="1718" w:type="dxa"/>
            <w:gridSpan w:val="2"/>
            <w:shd w:val="clear" w:color="auto" w:fill="9CC2E5" w:themeFill="accent1" w:themeFillTint="99"/>
            <w:noWrap/>
            <w:vAlign w:val="center"/>
            <w:hideMark/>
          </w:tcPr>
          <w:p w14:paraId="361CA07D"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Накнада за одлагање</w:t>
            </w:r>
          </w:p>
        </w:tc>
      </w:tr>
      <w:tr w:rsidR="00600A81" w:rsidRPr="00E84C93" w14:paraId="3EEB4D01" w14:textId="77777777" w:rsidTr="00A21A53">
        <w:trPr>
          <w:trHeight w:val="195"/>
          <w:jc w:val="center"/>
        </w:trPr>
        <w:tc>
          <w:tcPr>
            <w:tcW w:w="2335" w:type="dxa"/>
            <w:vMerge/>
            <w:shd w:val="clear" w:color="auto" w:fill="9CC2E5" w:themeFill="accent1" w:themeFillTint="99"/>
            <w:noWrap/>
            <w:vAlign w:val="center"/>
            <w:hideMark/>
          </w:tcPr>
          <w:p w14:paraId="20535772" w14:textId="77777777" w:rsidR="00600A81" w:rsidRPr="00E84C93" w:rsidRDefault="00600A81" w:rsidP="00A21A53">
            <w:pPr>
              <w:spacing w:after="0"/>
              <w:jc w:val="center"/>
              <w:rPr>
                <w:rFonts w:eastAsia="Times New Roman"/>
                <w:b/>
                <w:bCs/>
                <w:sz w:val="22"/>
                <w:lang w:val="sr-Cyrl-CS"/>
              </w:rPr>
            </w:pPr>
          </w:p>
        </w:tc>
        <w:tc>
          <w:tcPr>
            <w:tcW w:w="1260" w:type="dxa"/>
            <w:vMerge/>
            <w:shd w:val="clear" w:color="auto" w:fill="9CC2E5" w:themeFill="accent1" w:themeFillTint="99"/>
            <w:noWrap/>
            <w:vAlign w:val="center"/>
            <w:hideMark/>
          </w:tcPr>
          <w:p w14:paraId="384E829D" w14:textId="77777777" w:rsidR="00600A81" w:rsidRPr="00E84C93" w:rsidRDefault="00600A81" w:rsidP="00A21A53">
            <w:pPr>
              <w:spacing w:after="0"/>
              <w:jc w:val="center"/>
              <w:rPr>
                <w:rFonts w:eastAsia="Times New Roman"/>
                <w:b/>
                <w:bCs/>
                <w:sz w:val="22"/>
                <w:lang w:val="sr-Cyrl-CS"/>
              </w:rPr>
            </w:pPr>
          </w:p>
        </w:tc>
        <w:tc>
          <w:tcPr>
            <w:tcW w:w="1220" w:type="dxa"/>
            <w:vMerge/>
            <w:shd w:val="clear" w:color="auto" w:fill="9CC2E5" w:themeFill="accent1" w:themeFillTint="99"/>
            <w:noWrap/>
            <w:vAlign w:val="center"/>
            <w:hideMark/>
          </w:tcPr>
          <w:p w14:paraId="36F5957B" w14:textId="77777777" w:rsidR="00600A81" w:rsidRPr="00E84C93" w:rsidRDefault="00600A81" w:rsidP="00A21A53">
            <w:pPr>
              <w:spacing w:after="0"/>
              <w:jc w:val="center"/>
              <w:rPr>
                <w:rFonts w:eastAsia="Times New Roman"/>
                <w:b/>
                <w:bCs/>
                <w:sz w:val="22"/>
                <w:lang w:val="sr-Cyrl-CS"/>
              </w:rPr>
            </w:pPr>
          </w:p>
        </w:tc>
        <w:tc>
          <w:tcPr>
            <w:tcW w:w="2830" w:type="dxa"/>
            <w:gridSpan w:val="2"/>
            <w:vMerge/>
            <w:shd w:val="clear" w:color="auto" w:fill="9CC2E5" w:themeFill="accent1" w:themeFillTint="99"/>
            <w:noWrap/>
            <w:vAlign w:val="center"/>
            <w:hideMark/>
          </w:tcPr>
          <w:p w14:paraId="06745E5D" w14:textId="77777777" w:rsidR="00600A81" w:rsidRPr="00E84C93" w:rsidRDefault="00600A81" w:rsidP="00A21A53">
            <w:pPr>
              <w:spacing w:after="0"/>
              <w:jc w:val="center"/>
              <w:rPr>
                <w:rFonts w:eastAsia="Times New Roman"/>
                <w:b/>
                <w:bCs/>
                <w:sz w:val="22"/>
                <w:lang w:val="sr-Cyrl-CS"/>
              </w:rPr>
            </w:pPr>
          </w:p>
        </w:tc>
        <w:tc>
          <w:tcPr>
            <w:tcW w:w="900" w:type="dxa"/>
            <w:shd w:val="clear" w:color="auto" w:fill="9CC2E5" w:themeFill="accent1" w:themeFillTint="99"/>
            <w:noWrap/>
            <w:vAlign w:val="center"/>
            <w:hideMark/>
          </w:tcPr>
          <w:p w14:paraId="3954BE9F"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Мин.</w:t>
            </w:r>
          </w:p>
        </w:tc>
        <w:tc>
          <w:tcPr>
            <w:tcW w:w="818" w:type="dxa"/>
            <w:shd w:val="clear" w:color="auto" w:fill="9CC2E5" w:themeFill="accent1" w:themeFillTint="99"/>
            <w:noWrap/>
            <w:vAlign w:val="center"/>
            <w:hideMark/>
          </w:tcPr>
          <w:p w14:paraId="0321B361"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Макс.</w:t>
            </w:r>
          </w:p>
        </w:tc>
      </w:tr>
      <w:tr w:rsidR="00600A81" w:rsidRPr="00E84C93" w14:paraId="2244583C" w14:textId="77777777" w:rsidTr="00A21A53">
        <w:trPr>
          <w:trHeight w:val="357"/>
          <w:jc w:val="center"/>
        </w:trPr>
        <w:tc>
          <w:tcPr>
            <w:tcW w:w="2335" w:type="dxa"/>
            <w:vMerge/>
            <w:shd w:val="clear" w:color="auto" w:fill="9CC2E5" w:themeFill="accent1" w:themeFillTint="99"/>
            <w:noWrap/>
            <w:vAlign w:val="center"/>
            <w:hideMark/>
          </w:tcPr>
          <w:p w14:paraId="63F6051E" w14:textId="77777777" w:rsidR="00600A81" w:rsidRPr="00E84C93" w:rsidRDefault="00600A81" w:rsidP="00A21A53">
            <w:pPr>
              <w:spacing w:after="0"/>
              <w:jc w:val="center"/>
              <w:rPr>
                <w:rFonts w:eastAsia="Times New Roman"/>
                <w:b/>
                <w:bCs/>
                <w:sz w:val="22"/>
                <w:lang w:val="sr-Cyrl-CS"/>
              </w:rPr>
            </w:pPr>
          </w:p>
        </w:tc>
        <w:tc>
          <w:tcPr>
            <w:tcW w:w="1260" w:type="dxa"/>
            <w:vMerge/>
            <w:shd w:val="clear" w:color="auto" w:fill="9CC2E5" w:themeFill="accent1" w:themeFillTint="99"/>
            <w:noWrap/>
            <w:vAlign w:val="center"/>
            <w:hideMark/>
          </w:tcPr>
          <w:p w14:paraId="702F3400" w14:textId="77777777" w:rsidR="00600A81" w:rsidRPr="00E84C93" w:rsidRDefault="00600A81" w:rsidP="00A21A53">
            <w:pPr>
              <w:spacing w:after="0"/>
              <w:jc w:val="center"/>
              <w:rPr>
                <w:rFonts w:eastAsia="Times New Roman"/>
                <w:b/>
                <w:bCs/>
                <w:sz w:val="22"/>
                <w:lang w:val="sr-Cyrl-CS"/>
              </w:rPr>
            </w:pPr>
          </w:p>
        </w:tc>
        <w:tc>
          <w:tcPr>
            <w:tcW w:w="1220" w:type="dxa"/>
            <w:vMerge/>
            <w:shd w:val="clear" w:color="auto" w:fill="9CC2E5" w:themeFill="accent1" w:themeFillTint="99"/>
            <w:noWrap/>
            <w:vAlign w:val="center"/>
            <w:hideMark/>
          </w:tcPr>
          <w:p w14:paraId="5DEAD79D" w14:textId="77777777" w:rsidR="00600A81" w:rsidRPr="00E84C93" w:rsidRDefault="00600A81" w:rsidP="00A21A53">
            <w:pPr>
              <w:spacing w:after="0"/>
              <w:jc w:val="center"/>
              <w:rPr>
                <w:rFonts w:eastAsia="Times New Roman"/>
                <w:b/>
                <w:bCs/>
                <w:sz w:val="22"/>
                <w:lang w:val="sr-Cyrl-CS"/>
              </w:rPr>
            </w:pPr>
          </w:p>
        </w:tc>
        <w:tc>
          <w:tcPr>
            <w:tcW w:w="1390" w:type="dxa"/>
            <w:shd w:val="clear" w:color="auto" w:fill="9CC2E5" w:themeFill="accent1" w:themeFillTint="99"/>
            <w:noWrap/>
            <w:vAlign w:val="center"/>
            <w:hideMark/>
          </w:tcPr>
          <w:p w14:paraId="155E865E"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CAPEX</w:t>
            </w:r>
          </w:p>
        </w:tc>
        <w:tc>
          <w:tcPr>
            <w:tcW w:w="1440" w:type="dxa"/>
            <w:shd w:val="clear" w:color="auto" w:fill="9CC2E5" w:themeFill="accent1" w:themeFillTint="99"/>
            <w:noWrap/>
            <w:vAlign w:val="center"/>
            <w:hideMark/>
          </w:tcPr>
          <w:p w14:paraId="66557FF0" w14:textId="77777777" w:rsidR="00600A81" w:rsidRPr="00E84C93" w:rsidRDefault="00600A81" w:rsidP="00A21A53">
            <w:pPr>
              <w:spacing w:after="0"/>
              <w:jc w:val="center"/>
              <w:rPr>
                <w:rFonts w:eastAsia="Times New Roman"/>
                <w:b/>
                <w:bCs/>
                <w:sz w:val="22"/>
                <w:lang w:val="sr-Cyrl-CS"/>
              </w:rPr>
            </w:pPr>
            <w:r w:rsidRPr="00E84C93">
              <w:rPr>
                <w:rFonts w:eastAsia="Times New Roman"/>
                <w:b/>
                <w:bCs/>
                <w:sz w:val="22"/>
                <w:lang w:val="sr-Cyrl-CS"/>
              </w:rPr>
              <w:t>OPEX</w:t>
            </w:r>
          </w:p>
        </w:tc>
        <w:tc>
          <w:tcPr>
            <w:tcW w:w="900" w:type="dxa"/>
            <w:shd w:val="clear" w:color="auto" w:fill="9CC2E5" w:themeFill="accent1" w:themeFillTint="99"/>
            <w:noWrap/>
            <w:vAlign w:val="center"/>
            <w:hideMark/>
          </w:tcPr>
          <w:p w14:paraId="791A1870" w14:textId="51328B8D" w:rsidR="00600A81" w:rsidRPr="00E84C93" w:rsidRDefault="00032B5A" w:rsidP="00A21A53">
            <w:pPr>
              <w:spacing w:after="0"/>
              <w:jc w:val="center"/>
              <w:rPr>
                <w:rFonts w:eastAsia="Times New Roman"/>
                <w:b/>
                <w:bCs/>
                <w:sz w:val="22"/>
                <w:lang w:val="sr-Cyrl-CS"/>
              </w:rPr>
            </w:pPr>
            <w:r w:rsidRPr="00E84C93">
              <w:rPr>
                <w:rFonts w:eastAsia="Times New Roman"/>
                <w:b/>
                <w:bCs/>
                <w:sz w:val="22"/>
                <w:lang w:val="sr-Cyrl-CS"/>
              </w:rPr>
              <w:t>(</w:t>
            </w:r>
            <w:r w:rsidR="00600A81" w:rsidRPr="00E84C93">
              <w:rPr>
                <w:rFonts w:eastAsia="Times New Roman"/>
                <w:b/>
                <w:bCs/>
                <w:sz w:val="22"/>
                <w:lang w:val="sr-Cyrl-CS"/>
              </w:rPr>
              <w:t>€/t</w:t>
            </w:r>
            <w:r w:rsidRPr="00E84C93">
              <w:rPr>
                <w:rFonts w:eastAsia="Times New Roman"/>
                <w:b/>
                <w:bCs/>
                <w:sz w:val="22"/>
                <w:lang w:val="sr-Cyrl-CS"/>
              </w:rPr>
              <w:t>)</w:t>
            </w:r>
          </w:p>
        </w:tc>
        <w:tc>
          <w:tcPr>
            <w:tcW w:w="818" w:type="dxa"/>
            <w:shd w:val="clear" w:color="auto" w:fill="9CC2E5" w:themeFill="accent1" w:themeFillTint="99"/>
            <w:noWrap/>
            <w:vAlign w:val="center"/>
            <w:hideMark/>
          </w:tcPr>
          <w:p w14:paraId="7928835C" w14:textId="4A49D033" w:rsidR="00600A81" w:rsidRPr="00E84C93" w:rsidRDefault="00032B5A" w:rsidP="00A21A53">
            <w:pPr>
              <w:spacing w:after="0"/>
              <w:jc w:val="center"/>
              <w:rPr>
                <w:rFonts w:eastAsia="Times New Roman"/>
                <w:b/>
                <w:bCs/>
                <w:sz w:val="22"/>
                <w:lang w:val="sr-Cyrl-CS"/>
              </w:rPr>
            </w:pPr>
            <w:r w:rsidRPr="00E84C93">
              <w:rPr>
                <w:rFonts w:eastAsia="Times New Roman"/>
                <w:b/>
                <w:bCs/>
                <w:sz w:val="22"/>
                <w:lang w:val="sr-Cyrl-CS"/>
              </w:rPr>
              <w:t>(</w:t>
            </w:r>
            <w:r w:rsidR="00600A81" w:rsidRPr="00E84C93">
              <w:rPr>
                <w:rFonts w:eastAsia="Times New Roman"/>
                <w:b/>
                <w:bCs/>
                <w:sz w:val="22"/>
                <w:lang w:val="sr-Cyrl-CS"/>
              </w:rPr>
              <w:t>€/t</w:t>
            </w:r>
            <w:r w:rsidRPr="00E84C93">
              <w:rPr>
                <w:rFonts w:eastAsia="Times New Roman"/>
                <w:b/>
                <w:bCs/>
                <w:sz w:val="22"/>
                <w:lang w:val="sr-Cyrl-CS"/>
              </w:rPr>
              <w:t>)</w:t>
            </w:r>
          </w:p>
        </w:tc>
      </w:tr>
      <w:tr w:rsidR="00600A81" w:rsidRPr="00E84C93" w14:paraId="46A36C5B" w14:textId="77777777" w:rsidTr="00A21A53">
        <w:trPr>
          <w:trHeight w:val="219"/>
          <w:jc w:val="center"/>
        </w:trPr>
        <w:tc>
          <w:tcPr>
            <w:tcW w:w="2335" w:type="dxa"/>
            <w:vMerge w:val="restart"/>
            <w:noWrap/>
            <w:vAlign w:val="center"/>
            <w:hideMark/>
          </w:tcPr>
          <w:p w14:paraId="32F9BA5B"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Хумификација муља</w:t>
            </w:r>
          </w:p>
        </w:tc>
        <w:tc>
          <w:tcPr>
            <w:tcW w:w="1260" w:type="dxa"/>
            <w:vMerge w:val="restart"/>
            <w:noWrap/>
            <w:vAlign w:val="center"/>
            <w:hideMark/>
          </w:tcPr>
          <w:p w14:paraId="316F169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5%</w:t>
            </w:r>
          </w:p>
        </w:tc>
        <w:tc>
          <w:tcPr>
            <w:tcW w:w="1220" w:type="dxa"/>
            <w:noWrap/>
            <w:hideMark/>
          </w:tcPr>
          <w:p w14:paraId="0DC371E9"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1DF5A833"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132-228</w:t>
            </w:r>
          </w:p>
        </w:tc>
        <w:tc>
          <w:tcPr>
            <w:tcW w:w="1440" w:type="dxa"/>
            <w:noWrap/>
            <w:vAlign w:val="center"/>
            <w:hideMark/>
          </w:tcPr>
          <w:p w14:paraId="74427AF9"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2,7-7,0</w:t>
            </w:r>
          </w:p>
        </w:tc>
        <w:tc>
          <w:tcPr>
            <w:tcW w:w="900" w:type="dxa"/>
            <w:vMerge w:val="restart"/>
            <w:noWrap/>
            <w:vAlign w:val="center"/>
            <w:hideMark/>
          </w:tcPr>
          <w:p w14:paraId="3574A97B"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8,6</w:t>
            </w:r>
          </w:p>
        </w:tc>
        <w:tc>
          <w:tcPr>
            <w:tcW w:w="818" w:type="dxa"/>
            <w:vMerge w:val="restart"/>
            <w:noWrap/>
            <w:vAlign w:val="center"/>
            <w:hideMark/>
          </w:tcPr>
          <w:p w14:paraId="5796937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18</w:t>
            </w:r>
          </w:p>
        </w:tc>
      </w:tr>
      <w:tr w:rsidR="00600A81" w:rsidRPr="00E84C93" w14:paraId="1A30A9AA" w14:textId="77777777" w:rsidTr="00A21A53">
        <w:trPr>
          <w:trHeight w:val="219"/>
          <w:jc w:val="center"/>
        </w:trPr>
        <w:tc>
          <w:tcPr>
            <w:tcW w:w="2335" w:type="dxa"/>
            <w:vMerge/>
            <w:noWrap/>
            <w:hideMark/>
          </w:tcPr>
          <w:p w14:paraId="0680C723" w14:textId="77777777" w:rsidR="00600A81" w:rsidRPr="00E84C93" w:rsidRDefault="00600A81" w:rsidP="00A21A53">
            <w:pPr>
              <w:spacing w:after="0"/>
              <w:rPr>
                <w:rFonts w:eastAsia="Times New Roman"/>
                <w:sz w:val="22"/>
                <w:lang w:val="sr-Cyrl-CS"/>
              </w:rPr>
            </w:pPr>
          </w:p>
        </w:tc>
        <w:tc>
          <w:tcPr>
            <w:tcW w:w="1260" w:type="dxa"/>
            <w:vMerge/>
            <w:noWrap/>
            <w:hideMark/>
          </w:tcPr>
          <w:p w14:paraId="156448A8" w14:textId="77777777" w:rsidR="00600A81" w:rsidRPr="00E84C93" w:rsidRDefault="00600A81" w:rsidP="00A21A53">
            <w:pPr>
              <w:spacing w:after="0"/>
              <w:jc w:val="center"/>
              <w:rPr>
                <w:rFonts w:eastAsia="Times New Roman"/>
                <w:sz w:val="22"/>
                <w:lang w:val="sr-Cyrl-CS"/>
              </w:rPr>
            </w:pPr>
          </w:p>
        </w:tc>
        <w:tc>
          <w:tcPr>
            <w:tcW w:w="1220" w:type="dxa"/>
            <w:noWrap/>
            <w:hideMark/>
          </w:tcPr>
          <w:p w14:paraId="43441EB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 СМ</w:t>
            </w:r>
          </w:p>
        </w:tc>
        <w:tc>
          <w:tcPr>
            <w:tcW w:w="1390" w:type="dxa"/>
            <w:noWrap/>
            <w:vAlign w:val="center"/>
            <w:hideMark/>
          </w:tcPr>
          <w:p w14:paraId="275A0E9F"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3.960-6.888</w:t>
            </w:r>
          </w:p>
        </w:tc>
        <w:tc>
          <w:tcPr>
            <w:tcW w:w="1440" w:type="dxa"/>
            <w:noWrap/>
            <w:vAlign w:val="center"/>
            <w:hideMark/>
          </w:tcPr>
          <w:p w14:paraId="44EFA495"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83-215</w:t>
            </w:r>
          </w:p>
        </w:tc>
        <w:tc>
          <w:tcPr>
            <w:tcW w:w="900" w:type="dxa"/>
            <w:vMerge/>
            <w:noWrap/>
            <w:hideMark/>
          </w:tcPr>
          <w:p w14:paraId="3889B229" w14:textId="77777777" w:rsidR="00600A81" w:rsidRPr="00E84C93" w:rsidRDefault="00600A81" w:rsidP="00A21A53">
            <w:pPr>
              <w:spacing w:after="0"/>
              <w:jc w:val="center"/>
              <w:rPr>
                <w:rFonts w:eastAsia="Times New Roman"/>
                <w:sz w:val="22"/>
                <w:lang w:val="sr-Cyrl-CS"/>
              </w:rPr>
            </w:pPr>
          </w:p>
        </w:tc>
        <w:tc>
          <w:tcPr>
            <w:tcW w:w="818" w:type="dxa"/>
            <w:vMerge/>
            <w:noWrap/>
            <w:hideMark/>
          </w:tcPr>
          <w:p w14:paraId="1584940E" w14:textId="77777777" w:rsidR="00600A81" w:rsidRPr="00E84C93" w:rsidRDefault="00600A81" w:rsidP="00A21A53">
            <w:pPr>
              <w:spacing w:after="0"/>
              <w:jc w:val="center"/>
              <w:rPr>
                <w:rFonts w:eastAsia="Times New Roman"/>
                <w:sz w:val="22"/>
                <w:lang w:val="sr-Cyrl-CS"/>
              </w:rPr>
            </w:pPr>
          </w:p>
        </w:tc>
      </w:tr>
      <w:tr w:rsidR="00600A81" w:rsidRPr="00E84C93" w14:paraId="1366F38B" w14:textId="77777777" w:rsidTr="00A21A53">
        <w:trPr>
          <w:trHeight w:val="219"/>
          <w:jc w:val="center"/>
        </w:trPr>
        <w:tc>
          <w:tcPr>
            <w:tcW w:w="2335" w:type="dxa"/>
            <w:vMerge/>
            <w:tcBorders>
              <w:bottom w:val="single" w:sz="4" w:space="0" w:color="auto"/>
            </w:tcBorders>
            <w:noWrap/>
            <w:hideMark/>
          </w:tcPr>
          <w:p w14:paraId="57E9AAA9" w14:textId="77777777" w:rsidR="00600A81" w:rsidRPr="00E84C93" w:rsidRDefault="00600A81" w:rsidP="00A21A53">
            <w:pPr>
              <w:spacing w:after="0"/>
              <w:rPr>
                <w:rFonts w:eastAsia="Times New Roman"/>
                <w:sz w:val="22"/>
                <w:lang w:val="sr-Cyrl-CS"/>
              </w:rPr>
            </w:pPr>
          </w:p>
        </w:tc>
        <w:tc>
          <w:tcPr>
            <w:tcW w:w="1260" w:type="dxa"/>
            <w:vMerge/>
            <w:tcBorders>
              <w:bottom w:val="single" w:sz="4" w:space="0" w:color="auto"/>
            </w:tcBorders>
            <w:noWrap/>
            <w:hideMark/>
          </w:tcPr>
          <w:p w14:paraId="3A44EF4F" w14:textId="77777777" w:rsidR="00600A81" w:rsidRPr="00E84C93" w:rsidRDefault="00600A81" w:rsidP="00A21A53">
            <w:pPr>
              <w:spacing w:after="0"/>
              <w:jc w:val="center"/>
              <w:rPr>
                <w:rFonts w:eastAsia="Times New Roman"/>
                <w:sz w:val="22"/>
                <w:lang w:val="sr-Cyrl-CS"/>
              </w:rPr>
            </w:pPr>
          </w:p>
        </w:tc>
        <w:tc>
          <w:tcPr>
            <w:tcW w:w="1220" w:type="dxa"/>
            <w:tcBorders>
              <w:bottom w:val="single" w:sz="4" w:space="0" w:color="auto"/>
            </w:tcBorders>
            <w:noWrap/>
            <w:hideMark/>
          </w:tcPr>
          <w:p w14:paraId="019D8258"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€/ЕС</w:t>
            </w:r>
          </w:p>
        </w:tc>
        <w:tc>
          <w:tcPr>
            <w:tcW w:w="1390" w:type="dxa"/>
            <w:tcBorders>
              <w:bottom w:val="single" w:sz="4" w:space="0" w:color="auto"/>
            </w:tcBorders>
            <w:noWrap/>
            <w:vAlign w:val="center"/>
            <w:hideMark/>
          </w:tcPr>
          <w:p w14:paraId="129E18E1"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72-138</w:t>
            </w:r>
          </w:p>
        </w:tc>
        <w:tc>
          <w:tcPr>
            <w:tcW w:w="1440" w:type="dxa"/>
            <w:tcBorders>
              <w:bottom w:val="single" w:sz="4" w:space="0" w:color="auto"/>
            </w:tcBorders>
            <w:noWrap/>
            <w:vAlign w:val="center"/>
            <w:hideMark/>
          </w:tcPr>
          <w:p w14:paraId="562D17FA"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1,5-4,3</w:t>
            </w:r>
          </w:p>
        </w:tc>
        <w:tc>
          <w:tcPr>
            <w:tcW w:w="900" w:type="dxa"/>
            <w:vMerge/>
            <w:tcBorders>
              <w:bottom w:val="single" w:sz="4" w:space="0" w:color="auto"/>
            </w:tcBorders>
            <w:noWrap/>
            <w:hideMark/>
          </w:tcPr>
          <w:p w14:paraId="1AFDA58E" w14:textId="77777777" w:rsidR="00600A81" w:rsidRPr="00E84C93" w:rsidRDefault="00600A81" w:rsidP="00A21A53">
            <w:pPr>
              <w:spacing w:after="0"/>
              <w:jc w:val="center"/>
              <w:rPr>
                <w:rFonts w:eastAsia="Times New Roman"/>
                <w:sz w:val="22"/>
                <w:lang w:val="sr-Cyrl-CS"/>
              </w:rPr>
            </w:pPr>
          </w:p>
        </w:tc>
        <w:tc>
          <w:tcPr>
            <w:tcW w:w="818" w:type="dxa"/>
            <w:vMerge/>
            <w:tcBorders>
              <w:bottom w:val="single" w:sz="4" w:space="0" w:color="auto"/>
            </w:tcBorders>
            <w:noWrap/>
            <w:hideMark/>
          </w:tcPr>
          <w:p w14:paraId="0FC4FE92" w14:textId="77777777" w:rsidR="00600A81" w:rsidRPr="00E84C93" w:rsidRDefault="00600A81" w:rsidP="00A21A53">
            <w:pPr>
              <w:spacing w:after="0"/>
              <w:jc w:val="center"/>
              <w:rPr>
                <w:rFonts w:eastAsia="Times New Roman"/>
                <w:sz w:val="22"/>
                <w:lang w:val="sr-Cyrl-CS"/>
              </w:rPr>
            </w:pPr>
          </w:p>
        </w:tc>
      </w:tr>
      <w:tr w:rsidR="00600A81" w:rsidRPr="00E84C93" w14:paraId="52C54FF8" w14:textId="77777777" w:rsidTr="00A21A53">
        <w:trPr>
          <w:trHeight w:val="219"/>
          <w:jc w:val="center"/>
        </w:trPr>
        <w:tc>
          <w:tcPr>
            <w:tcW w:w="2335" w:type="dxa"/>
            <w:noWrap/>
            <w:hideMark/>
          </w:tcPr>
          <w:p w14:paraId="6F99E06D" w14:textId="58497A3E" w:rsidR="00600A81" w:rsidRPr="00E84C93" w:rsidRDefault="00600A81" w:rsidP="00A21A53">
            <w:pPr>
              <w:spacing w:after="0"/>
              <w:rPr>
                <w:rFonts w:eastAsia="Times New Roman"/>
                <w:sz w:val="22"/>
                <w:lang w:val="sr-Cyrl-CS"/>
              </w:rPr>
            </w:pPr>
            <w:r w:rsidRPr="00E84C93">
              <w:rPr>
                <w:rFonts w:eastAsia="Times New Roman"/>
                <w:sz w:val="22"/>
                <w:lang w:val="sr-Cyrl-CS"/>
              </w:rPr>
              <w:t>О</w:t>
            </w:r>
            <w:r w:rsidR="003672FC" w:rsidRPr="00E84C93">
              <w:rPr>
                <w:rFonts w:eastAsia="Times New Roman"/>
                <w:sz w:val="22"/>
                <w:lang w:val="sr-Cyrl-CS"/>
              </w:rPr>
              <w:t>без</w:t>
            </w:r>
            <w:r w:rsidRPr="00E84C93">
              <w:rPr>
                <w:rFonts w:eastAsia="Times New Roman"/>
                <w:sz w:val="22"/>
                <w:lang w:val="sr-Cyrl-CS"/>
              </w:rPr>
              <w:t>дводњавање муља</w:t>
            </w:r>
          </w:p>
        </w:tc>
        <w:tc>
          <w:tcPr>
            <w:tcW w:w="1260" w:type="dxa"/>
            <w:noWrap/>
            <w:hideMark/>
          </w:tcPr>
          <w:p w14:paraId="7D43B9F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3-6%</w:t>
            </w:r>
          </w:p>
        </w:tc>
        <w:tc>
          <w:tcPr>
            <w:tcW w:w="1220" w:type="dxa"/>
            <w:noWrap/>
            <w:hideMark/>
          </w:tcPr>
          <w:p w14:paraId="2A4343FB"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t СМ</w:t>
            </w:r>
          </w:p>
        </w:tc>
        <w:tc>
          <w:tcPr>
            <w:tcW w:w="1390" w:type="dxa"/>
            <w:noWrap/>
            <w:hideMark/>
          </w:tcPr>
          <w:p w14:paraId="7193ADA7" w14:textId="77777777" w:rsidR="00600A81" w:rsidRPr="00E84C93" w:rsidRDefault="00600A81" w:rsidP="00A21A53">
            <w:pPr>
              <w:spacing w:after="0"/>
              <w:jc w:val="center"/>
              <w:rPr>
                <w:rFonts w:eastAsia="Times New Roman"/>
                <w:sz w:val="22"/>
                <w:lang w:val="sr-Cyrl-CS"/>
              </w:rPr>
            </w:pPr>
          </w:p>
        </w:tc>
        <w:tc>
          <w:tcPr>
            <w:tcW w:w="1440" w:type="dxa"/>
            <w:noWrap/>
            <w:hideMark/>
          </w:tcPr>
          <w:p w14:paraId="4979C5B8" w14:textId="77777777" w:rsidR="00600A81" w:rsidRPr="00E84C93" w:rsidRDefault="00600A81" w:rsidP="00A21A53">
            <w:pPr>
              <w:spacing w:after="0"/>
              <w:jc w:val="center"/>
              <w:rPr>
                <w:rFonts w:eastAsia="Times New Roman"/>
                <w:sz w:val="22"/>
                <w:lang w:val="sr-Cyrl-CS"/>
              </w:rPr>
            </w:pPr>
          </w:p>
        </w:tc>
        <w:tc>
          <w:tcPr>
            <w:tcW w:w="900" w:type="dxa"/>
            <w:noWrap/>
            <w:hideMark/>
          </w:tcPr>
          <w:p w14:paraId="5FA30CF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6,5</w:t>
            </w:r>
          </w:p>
        </w:tc>
        <w:tc>
          <w:tcPr>
            <w:tcW w:w="818" w:type="dxa"/>
            <w:noWrap/>
            <w:hideMark/>
          </w:tcPr>
          <w:p w14:paraId="0D3559D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7,5</w:t>
            </w:r>
          </w:p>
        </w:tc>
      </w:tr>
      <w:tr w:rsidR="00600A81" w:rsidRPr="00E84C93" w14:paraId="060272D9" w14:textId="77777777" w:rsidTr="00A21A53">
        <w:trPr>
          <w:trHeight w:val="219"/>
          <w:jc w:val="center"/>
        </w:trPr>
        <w:tc>
          <w:tcPr>
            <w:tcW w:w="9363" w:type="dxa"/>
            <w:gridSpan w:val="7"/>
            <w:noWrap/>
            <w:vAlign w:val="center"/>
            <w:hideMark/>
          </w:tcPr>
          <w:p w14:paraId="7699D161" w14:textId="77777777" w:rsidR="00600A81" w:rsidRPr="00E84C93" w:rsidRDefault="00600A81" w:rsidP="00A21A53">
            <w:pPr>
              <w:spacing w:after="0"/>
              <w:rPr>
                <w:rFonts w:eastAsia="Times New Roman"/>
                <w:b/>
                <w:bCs/>
                <w:sz w:val="22"/>
                <w:lang w:val="sr-Cyrl-CS"/>
              </w:rPr>
            </w:pPr>
            <w:r w:rsidRPr="00E84C93">
              <w:rPr>
                <w:rFonts w:eastAsia="Times New Roman"/>
                <w:b/>
                <w:bCs/>
                <w:sz w:val="22"/>
                <w:lang w:val="sr-Cyrl-CS"/>
              </w:rPr>
              <w:t>Сушење муља</w:t>
            </w:r>
          </w:p>
        </w:tc>
      </w:tr>
      <w:tr w:rsidR="00600A81" w:rsidRPr="00E84C93" w14:paraId="5F74301E" w14:textId="77777777" w:rsidTr="00A21A53">
        <w:trPr>
          <w:trHeight w:val="219"/>
          <w:jc w:val="center"/>
        </w:trPr>
        <w:tc>
          <w:tcPr>
            <w:tcW w:w="2335" w:type="dxa"/>
            <w:vMerge w:val="restart"/>
            <w:noWrap/>
            <w:hideMark/>
          </w:tcPr>
          <w:p w14:paraId="26FCA502"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Соларно сушење муља</w:t>
            </w:r>
          </w:p>
        </w:tc>
        <w:tc>
          <w:tcPr>
            <w:tcW w:w="1260" w:type="dxa"/>
            <w:vMerge w:val="restart"/>
            <w:noWrap/>
            <w:vAlign w:val="center"/>
            <w:hideMark/>
          </w:tcPr>
          <w:p w14:paraId="4552FDB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25%</w:t>
            </w:r>
          </w:p>
        </w:tc>
        <w:tc>
          <w:tcPr>
            <w:tcW w:w="1220" w:type="dxa"/>
            <w:noWrap/>
            <w:hideMark/>
          </w:tcPr>
          <w:p w14:paraId="1BDC33F8"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69C26671"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372-768</w:t>
            </w:r>
          </w:p>
        </w:tc>
        <w:tc>
          <w:tcPr>
            <w:tcW w:w="1440" w:type="dxa"/>
            <w:noWrap/>
            <w:vAlign w:val="center"/>
            <w:hideMark/>
          </w:tcPr>
          <w:p w14:paraId="61E0E37A" w14:textId="02B444EF" w:rsidR="00600A81" w:rsidRPr="00E84C93" w:rsidRDefault="00FF73FE" w:rsidP="00A21A53">
            <w:pPr>
              <w:spacing w:after="0"/>
              <w:jc w:val="center"/>
              <w:rPr>
                <w:rFonts w:eastAsia="Times New Roman"/>
                <w:sz w:val="22"/>
                <w:lang w:val="sr-Cyrl-CS"/>
              </w:rPr>
            </w:pPr>
            <w:r w:rsidRPr="00E84C93">
              <w:rPr>
                <w:color w:val="000000"/>
                <w:sz w:val="22"/>
                <w:lang w:val="sr-Cyrl-CS"/>
              </w:rPr>
              <w:t>9-</w:t>
            </w:r>
            <w:r w:rsidR="00600A81" w:rsidRPr="00E84C93">
              <w:rPr>
                <w:color w:val="000000"/>
                <w:sz w:val="22"/>
                <w:lang w:val="sr-Cyrl-CS"/>
              </w:rPr>
              <w:t>31</w:t>
            </w:r>
          </w:p>
        </w:tc>
        <w:tc>
          <w:tcPr>
            <w:tcW w:w="900" w:type="dxa"/>
            <w:noWrap/>
            <w:hideMark/>
          </w:tcPr>
          <w:p w14:paraId="0B83A4C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27</w:t>
            </w:r>
          </w:p>
        </w:tc>
        <w:tc>
          <w:tcPr>
            <w:tcW w:w="818" w:type="dxa"/>
            <w:noWrap/>
            <w:hideMark/>
          </w:tcPr>
          <w:p w14:paraId="54551785"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72</w:t>
            </w:r>
          </w:p>
        </w:tc>
      </w:tr>
      <w:tr w:rsidR="00600A81" w:rsidRPr="00E84C93" w14:paraId="69B7355D" w14:textId="77777777" w:rsidTr="00A21A53">
        <w:trPr>
          <w:trHeight w:val="219"/>
          <w:jc w:val="center"/>
        </w:trPr>
        <w:tc>
          <w:tcPr>
            <w:tcW w:w="2335" w:type="dxa"/>
            <w:vMerge/>
            <w:noWrap/>
            <w:hideMark/>
          </w:tcPr>
          <w:p w14:paraId="0766D0D5" w14:textId="77777777" w:rsidR="00600A81" w:rsidRPr="00E84C93" w:rsidRDefault="00600A81" w:rsidP="00A21A53">
            <w:pPr>
              <w:spacing w:after="0"/>
              <w:rPr>
                <w:rFonts w:eastAsia="Times New Roman"/>
                <w:sz w:val="22"/>
                <w:lang w:val="sr-Cyrl-CS"/>
              </w:rPr>
            </w:pPr>
          </w:p>
        </w:tc>
        <w:tc>
          <w:tcPr>
            <w:tcW w:w="1260" w:type="dxa"/>
            <w:vMerge/>
            <w:noWrap/>
            <w:hideMark/>
          </w:tcPr>
          <w:p w14:paraId="0E663E5E" w14:textId="77777777" w:rsidR="00600A81" w:rsidRPr="00E84C93" w:rsidRDefault="00600A81" w:rsidP="00A21A53">
            <w:pPr>
              <w:spacing w:after="0"/>
              <w:jc w:val="center"/>
              <w:rPr>
                <w:rFonts w:eastAsia="Times New Roman"/>
                <w:sz w:val="22"/>
                <w:lang w:val="sr-Cyrl-CS"/>
              </w:rPr>
            </w:pPr>
          </w:p>
        </w:tc>
        <w:tc>
          <w:tcPr>
            <w:tcW w:w="1220" w:type="dxa"/>
            <w:noWrap/>
            <w:hideMark/>
          </w:tcPr>
          <w:p w14:paraId="03735E7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t СМ</w:t>
            </w:r>
          </w:p>
        </w:tc>
        <w:tc>
          <w:tcPr>
            <w:tcW w:w="1390" w:type="dxa"/>
            <w:noWrap/>
            <w:vAlign w:val="center"/>
            <w:hideMark/>
          </w:tcPr>
          <w:p w14:paraId="7BFBA530"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1.800-3.840</w:t>
            </w:r>
          </w:p>
        </w:tc>
        <w:tc>
          <w:tcPr>
            <w:tcW w:w="1440" w:type="dxa"/>
            <w:noWrap/>
            <w:vAlign w:val="center"/>
            <w:hideMark/>
          </w:tcPr>
          <w:p w14:paraId="7FFD17D9"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43-153</w:t>
            </w:r>
          </w:p>
        </w:tc>
        <w:tc>
          <w:tcPr>
            <w:tcW w:w="900" w:type="dxa"/>
            <w:noWrap/>
            <w:hideMark/>
          </w:tcPr>
          <w:p w14:paraId="2B88D1F3" w14:textId="77777777" w:rsidR="00600A81" w:rsidRPr="00E84C93" w:rsidRDefault="00600A81" w:rsidP="00A21A53">
            <w:pPr>
              <w:spacing w:after="0"/>
              <w:jc w:val="center"/>
              <w:rPr>
                <w:rFonts w:eastAsia="Times New Roman"/>
                <w:sz w:val="22"/>
                <w:lang w:val="sr-Cyrl-CS"/>
              </w:rPr>
            </w:pPr>
          </w:p>
        </w:tc>
        <w:tc>
          <w:tcPr>
            <w:tcW w:w="818" w:type="dxa"/>
            <w:noWrap/>
            <w:hideMark/>
          </w:tcPr>
          <w:p w14:paraId="3AEB2355" w14:textId="77777777" w:rsidR="00600A81" w:rsidRPr="00E84C93" w:rsidRDefault="00600A81" w:rsidP="00A21A53">
            <w:pPr>
              <w:spacing w:after="0"/>
              <w:jc w:val="center"/>
              <w:rPr>
                <w:rFonts w:eastAsia="Times New Roman"/>
                <w:sz w:val="22"/>
                <w:lang w:val="sr-Cyrl-CS"/>
              </w:rPr>
            </w:pPr>
          </w:p>
        </w:tc>
      </w:tr>
      <w:tr w:rsidR="00600A81" w:rsidRPr="00E84C93" w14:paraId="72EE28D9" w14:textId="77777777" w:rsidTr="00A21A53">
        <w:trPr>
          <w:trHeight w:val="219"/>
          <w:jc w:val="center"/>
        </w:trPr>
        <w:tc>
          <w:tcPr>
            <w:tcW w:w="2335" w:type="dxa"/>
            <w:vMerge/>
            <w:noWrap/>
            <w:hideMark/>
          </w:tcPr>
          <w:p w14:paraId="3487278C" w14:textId="77777777" w:rsidR="00600A81" w:rsidRPr="00E84C93" w:rsidRDefault="00600A81" w:rsidP="00A21A53">
            <w:pPr>
              <w:spacing w:after="0"/>
              <w:rPr>
                <w:rFonts w:eastAsia="Times New Roman"/>
                <w:sz w:val="22"/>
                <w:lang w:val="sr-Cyrl-CS"/>
              </w:rPr>
            </w:pPr>
          </w:p>
        </w:tc>
        <w:tc>
          <w:tcPr>
            <w:tcW w:w="1260" w:type="dxa"/>
            <w:vMerge/>
            <w:noWrap/>
            <w:hideMark/>
          </w:tcPr>
          <w:p w14:paraId="4004FBE1" w14:textId="77777777" w:rsidR="00600A81" w:rsidRPr="00E84C93" w:rsidRDefault="00600A81" w:rsidP="00A21A53">
            <w:pPr>
              <w:spacing w:after="0"/>
              <w:jc w:val="center"/>
              <w:rPr>
                <w:rFonts w:eastAsia="Times New Roman"/>
                <w:sz w:val="22"/>
                <w:lang w:val="sr-Cyrl-CS"/>
              </w:rPr>
            </w:pPr>
          </w:p>
        </w:tc>
        <w:tc>
          <w:tcPr>
            <w:tcW w:w="1220" w:type="dxa"/>
            <w:noWrap/>
            <w:hideMark/>
          </w:tcPr>
          <w:p w14:paraId="1A3FAE4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€/ЕС</w:t>
            </w:r>
          </w:p>
        </w:tc>
        <w:tc>
          <w:tcPr>
            <w:tcW w:w="1390" w:type="dxa"/>
            <w:noWrap/>
            <w:vAlign w:val="center"/>
            <w:hideMark/>
          </w:tcPr>
          <w:p w14:paraId="180E5EFF"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34-73</w:t>
            </w:r>
          </w:p>
        </w:tc>
        <w:tc>
          <w:tcPr>
            <w:tcW w:w="1440" w:type="dxa"/>
            <w:noWrap/>
            <w:vAlign w:val="center"/>
            <w:hideMark/>
          </w:tcPr>
          <w:p w14:paraId="7A5F17C0"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0,8-2,9</w:t>
            </w:r>
          </w:p>
        </w:tc>
        <w:tc>
          <w:tcPr>
            <w:tcW w:w="900" w:type="dxa"/>
            <w:noWrap/>
            <w:hideMark/>
          </w:tcPr>
          <w:p w14:paraId="2D1F2D04" w14:textId="77777777" w:rsidR="00600A81" w:rsidRPr="00E84C93" w:rsidRDefault="00600A81" w:rsidP="00A21A53">
            <w:pPr>
              <w:spacing w:after="0"/>
              <w:jc w:val="center"/>
              <w:rPr>
                <w:rFonts w:eastAsia="Times New Roman"/>
                <w:sz w:val="22"/>
                <w:lang w:val="sr-Cyrl-CS"/>
              </w:rPr>
            </w:pPr>
          </w:p>
        </w:tc>
        <w:tc>
          <w:tcPr>
            <w:tcW w:w="818" w:type="dxa"/>
            <w:noWrap/>
            <w:hideMark/>
          </w:tcPr>
          <w:p w14:paraId="200ECD7E" w14:textId="77777777" w:rsidR="00600A81" w:rsidRPr="00E84C93" w:rsidRDefault="00600A81" w:rsidP="00A21A53">
            <w:pPr>
              <w:spacing w:after="0"/>
              <w:jc w:val="center"/>
              <w:rPr>
                <w:rFonts w:eastAsia="Times New Roman"/>
                <w:sz w:val="22"/>
                <w:lang w:val="sr-Cyrl-CS"/>
              </w:rPr>
            </w:pPr>
          </w:p>
        </w:tc>
      </w:tr>
      <w:tr w:rsidR="00600A81" w:rsidRPr="00E84C93" w14:paraId="09F20502" w14:textId="77777777" w:rsidTr="00A21A53">
        <w:trPr>
          <w:trHeight w:val="219"/>
          <w:jc w:val="center"/>
        </w:trPr>
        <w:tc>
          <w:tcPr>
            <w:tcW w:w="2335" w:type="dxa"/>
            <w:vMerge w:val="restart"/>
            <w:noWrap/>
            <w:hideMark/>
          </w:tcPr>
          <w:p w14:paraId="35A1F103"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Термичко сушење муља</w:t>
            </w:r>
          </w:p>
        </w:tc>
        <w:tc>
          <w:tcPr>
            <w:tcW w:w="1260" w:type="dxa"/>
            <w:vMerge w:val="restart"/>
            <w:noWrap/>
            <w:vAlign w:val="center"/>
            <w:hideMark/>
          </w:tcPr>
          <w:p w14:paraId="20A7D463"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25%</w:t>
            </w:r>
          </w:p>
        </w:tc>
        <w:tc>
          <w:tcPr>
            <w:tcW w:w="1220" w:type="dxa"/>
            <w:noWrap/>
            <w:hideMark/>
          </w:tcPr>
          <w:p w14:paraId="618B9AB3"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43BAC2D5"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288-540</w:t>
            </w:r>
          </w:p>
        </w:tc>
        <w:tc>
          <w:tcPr>
            <w:tcW w:w="1440" w:type="dxa"/>
            <w:noWrap/>
            <w:vAlign w:val="center"/>
            <w:hideMark/>
          </w:tcPr>
          <w:p w14:paraId="6ED13E3E"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15-17</w:t>
            </w:r>
          </w:p>
        </w:tc>
        <w:tc>
          <w:tcPr>
            <w:tcW w:w="900" w:type="dxa"/>
            <w:noWrap/>
            <w:hideMark/>
          </w:tcPr>
          <w:p w14:paraId="6C4DBAB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30</w:t>
            </w:r>
          </w:p>
        </w:tc>
        <w:tc>
          <w:tcPr>
            <w:tcW w:w="818" w:type="dxa"/>
            <w:noWrap/>
            <w:hideMark/>
          </w:tcPr>
          <w:p w14:paraId="7D002756"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44</w:t>
            </w:r>
          </w:p>
        </w:tc>
      </w:tr>
      <w:tr w:rsidR="00600A81" w:rsidRPr="00E84C93" w14:paraId="0C6E9C85" w14:textId="77777777" w:rsidTr="00A21A53">
        <w:trPr>
          <w:trHeight w:val="219"/>
          <w:jc w:val="center"/>
        </w:trPr>
        <w:tc>
          <w:tcPr>
            <w:tcW w:w="2335" w:type="dxa"/>
            <w:vMerge/>
            <w:noWrap/>
            <w:hideMark/>
          </w:tcPr>
          <w:p w14:paraId="24B6CD75" w14:textId="77777777" w:rsidR="00600A81" w:rsidRPr="00E84C93" w:rsidRDefault="00600A81" w:rsidP="00A21A53">
            <w:pPr>
              <w:spacing w:after="0"/>
              <w:rPr>
                <w:rFonts w:eastAsia="Times New Roman"/>
                <w:sz w:val="22"/>
                <w:lang w:val="sr-Cyrl-CS"/>
              </w:rPr>
            </w:pPr>
          </w:p>
        </w:tc>
        <w:tc>
          <w:tcPr>
            <w:tcW w:w="1260" w:type="dxa"/>
            <w:vMerge/>
            <w:noWrap/>
            <w:hideMark/>
          </w:tcPr>
          <w:p w14:paraId="13F4D008" w14:textId="77777777" w:rsidR="00600A81" w:rsidRPr="00E84C93" w:rsidRDefault="00600A81" w:rsidP="00A21A53">
            <w:pPr>
              <w:spacing w:after="0"/>
              <w:jc w:val="center"/>
              <w:rPr>
                <w:rFonts w:eastAsia="Times New Roman"/>
                <w:sz w:val="22"/>
                <w:lang w:val="sr-Cyrl-CS"/>
              </w:rPr>
            </w:pPr>
          </w:p>
        </w:tc>
        <w:tc>
          <w:tcPr>
            <w:tcW w:w="1220" w:type="dxa"/>
            <w:noWrap/>
            <w:hideMark/>
          </w:tcPr>
          <w:p w14:paraId="31DD842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t СМ</w:t>
            </w:r>
          </w:p>
        </w:tc>
        <w:tc>
          <w:tcPr>
            <w:tcW w:w="1390" w:type="dxa"/>
            <w:noWrap/>
            <w:vAlign w:val="center"/>
            <w:hideMark/>
          </w:tcPr>
          <w:p w14:paraId="1A24477B"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1.272-2.376</w:t>
            </w:r>
          </w:p>
        </w:tc>
        <w:tc>
          <w:tcPr>
            <w:tcW w:w="1440" w:type="dxa"/>
            <w:noWrap/>
            <w:vAlign w:val="center"/>
            <w:hideMark/>
          </w:tcPr>
          <w:p w14:paraId="7CD6F5B3"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67-73</w:t>
            </w:r>
          </w:p>
        </w:tc>
        <w:tc>
          <w:tcPr>
            <w:tcW w:w="900" w:type="dxa"/>
            <w:noWrap/>
            <w:hideMark/>
          </w:tcPr>
          <w:p w14:paraId="5D9CC0D2" w14:textId="77777777" w:rsidR="00600A81" w:rsidRPr="00E84C93" w:rsidRDefault="00600A81" w:rsidP="00A21A53">
            <w:pPr>
              <w:spacing w:after="0"/>
              <w:jc w:val="center"/>
              <w:rPr>
                <w:rFonts w:eastAsia="Times New Roman"/>
                <w:sz w:val="22"/>
                <w:lang w:val="sr-Cyrl-CS"/>
              </w:rPr>
            </w:pPr>
          </w:p>
        </w:tc>
        <w:tc>
          <w:tcPr>
            <w:tcW w:w="818" w:type="dxa"/>
            <w:noWrap/>
            <w:hideMark/>
          </w:tcPr>
          <w:p w14:paraId="619E2E99" w14:textId="77777777" w:rsidR="00600A81" w:rsidRPr="00E84C93" w:rsidRDefault="00600A81" w:rsidP="00A21A53">
            <w:pPr>
              <w:spacing w:after="0"/>
              <w:jc w:val="center"/>
              <w:rPr>
                <w:rFonts w:eastAsia="Times New Roman"/>
                <w:sz w:val="22"/>
                <w:lang w:val="sr-Cyrl-CS"/>
              </w:rPr>
            </w:pPr>
          </w:p>
        </w:tc>
      </w:tr>
      <w:tr w:rsidR="00600A81" w:rsidRPr="00E84C93" w14:paraId="14C5B557" w14:textId="77777777" w:rsidTr="00A21A53">
        <w:trPr>
          <w:trHeight w:val="219"/>
          <w:jc w:val="center"/>
        </w:trPr>
        <w:tc>
          <w:tcPr>
            <w:tcW w:w="2335" w:type="dxa"/>
            <w:vMerge/>
            <w:noWrap/>
            <w:hideMark/>
          </w:tcPr>
          <w:p w14:paraId="0A77543D" w14:textId="77777777" w:rsidR="00600A81" w:rsidRPr="00E84C93" w:rsidRDefault="00600A81" w:rsidP="00A21A53">
            <w:pPr>
              <w:spacing w:after="0"/>
              <w:rPr>
                <w:rFonts w:eastAsia="Times New Roman"/>
                <w:sz w:val="22"/>
                <w:lang w:val="sr-Cyrl-CS"/>
              </w:rPr>
            </w:pPr>
          </w:p>
        </w:tc>
        <w:tc>
          <w:tcPr>
            <w:tcW w:w="1260" w:type="dxa"/>
            <w:vMerge/>
            <w:noWrap/>
            <w:hideMark/>
          </w:tcPr>
          <w:p w14:paraId="1EE76B4C" w14:textId="77777777" w:rsidR="00600A81" w:rsidRPr="00E84C93" w:rsidRDefault="00600A81" w:rsidP="00A21A53">
            <w:pPr>
              <w:spacing w:after="0"/>
              <w:jc w:val="center"/>
              <w:rPr>
                <w:rFonts w:eastAsia="Times New Roman"/>
                <w:sz w:val="22"/>
                <w:lang w:val="sr-Cyrl-CS"/>
              </w:rPr>
            </w:pPr>
          </w:p>
        </w:tc>
        <w:tc>
          <w:tcPr>
            <w:tcW w:w="1220" w:type="dxa"/>
            <w:noWrap/>
            <w:hideMark/>
          </w:tcPr>
          <w:p w14:paraId="2F0C12D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€/ЕС</w:t>
            </w:r>
          </w:p>
        </w:tc>
        <w:tc>
          <w:tcPr>
            <w:tcW w:w="1390" w:type="dxa"/>
            <w:noWrap/>
            <w:vAlign w:val="center"/>
            <w:hideMark/>
          </w:tcPr>
          <w:p w14:paraId="7D3C4A00"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20-43</w:t>
            </w:r>
          </w:p>
        </w:tc>
        <w:tc>
          <w:tcPr>
            <w:tcW w:w="1440" w:type="dxa"/>
            <w:noWrap/>
            <w:vAlign w:val="center"/>
            <w:hideMark/>
          </w:tcPr>
          <w:p w14:paraId="0CEFD82A"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1,1-1,3</w:t>
            </w:r>
          </w:p>
        </w:tc>
        <w:tc>
          <w:tcPr>
            <w:tcW w:w="900" w:type="dxa"/>
            <w:noWrap/>
            <w:hideMark/>
          </w:tcPr>
          <w:p w14:paraId="684487F7" w14:textId="77777777" w:rsidR="00600A81" w:rsidRPr="00E84C93" w:rsidRDefault="00600A81" w:rsidP="00A21A53">
            <w:pPr>
              <w:spacing w:after="0"/>
              <w:jc w:val="center"/>
              <w:rPr>
                <w:rFonts w:eastAsia="Times New Roman"/>
                <w:sz w:val="22"/>
                <w:lang w:val="sr-Cyrl-CS"/>
              </w:rPr>
            </w:pPr>
          </w:p>
        </w:tc>
        <w:tc>
          <w:tcPr>
            <w:tcW w:w="818" w:type="dxa"/>
            <w:noWrap/>
            <w:hideMark/>
          </w:tcPr>
          <w:p w14:paraId="2820FE3A" w14:textId="77777777" w:rsidR="00600A81" w:rsidRPr="00E84C93" w:rsidRDefault="00600A81" w:rsidP="00A21A53">
            <w:pPr>
              <w:spacing w:after="0"/>
              <w:jc w:val="center"/>
              <w:rPr>
                <w:rFonts w:eastAsia="Times New Roman"/>
                <w:sz w:val="22"/>
                <w:lang w:val="sr-Cyrl-CS"/>
              </w:rPr>
            </w:pPr>
          </w:p>
        </w:tc>
      </w:tr>
      <w:tr w:rsidR="00600A81" w:rsidRPr="00E84C93" w14:paraId="1600610E" w14:textId="77777777" w:rsidTr="00A21A53">
        <w:trPr>
          <w:trHeight w:val="219"/>
          <w:jc w:val="center"/>
        </w:trPr>
        <w:tc>
          <w:tcPr>
            <w:tcW w:w="9363" w:type="dxa"/>
            <w:gridSpan w:val="7"/>
            <w:noWrap/>
            <w:vAlign w:val="center"/>
            <w:hideMark/>
          </w:tcPr>
          <w:p w14:paraId="7FCA7BE8" w14:textId="77777777" w:rsidR="00600A81" w:rsidRPr="00E84C93" w:rsidRDefault="00600A81" w:rsidP="00A21A53">
            <w:pPr>
              <w:spacing w:after="0"/>
              <w:rPr>
                <w:rFonts w:eastAsia="Times New Roman"/>
                <w:b/>
                <w:bCs/>
                <w:sz w:val="22"/>
                <w:lang w:val="sr-Cyrl-CS"/>
              </w:rPr>
            </w:pPr>
            <w:r w:rsidRPr="00E84C93">
              <w:rPr>
                <w:rFonts w:eastAsia="Times New Roman"/>
                <w:b/>
                <w:bCs/>
                <w:sz w:val="22"/>
                <w:lang w:val="sr-Cyrl-CS"/>
              </w:rPr>
              <w:t>Термички третман муља</w:t>
            </w:r>
          </w:p>
        </w:tc>
      </w:tr>
      <w:tr w:rsidR="00600A81" w:rsidRPr="00E84C93" w14:paraId="31AAE011" w14:textId="77777777" w:rsidTr="00A21A53">
        <w:trPr>
          <w:trHeight w:val="219"/>
          <w:jc w:val="center"/>
        </w:trPr>
        <w:tc>
          <w:tcPr>
            <w:tcW w:w="2335" w:type="dxa"/>
            <w:vMerge w:val="restart"/>
            <w:noWrap/>
            <w:hideMark/>
          </w:tcPr>
          <w:p w14:paraId="27980D9C" w14:textId="40733F51" w:rsidR="00600A81" w:rsidRPr="00E84C93" w:rsidRDefault="00D010D1" w:rsidP="00A21A53">
            <w:pPr>
              <w:spacing w:after="0"/>
              <w:rPr>
                <w:rFonts w:eastAsia="Times New Roman"/>
                <w:sz w:val="22"/>
                <w:lang w:val="sr-Cyrl-CS"/>
              </w:rPr>
            </w:pPr>
            <w:r w:rsidRPr="00E84C93">
              <w:rPr>
                <w:rFonts w:eastAsia="Times New Roman"/>
                <w:sz w:val="22"/>
                <w:lang w:val="sr-Cyrl-CS"/>
              </w:rPr>
              <w:t>Моно</w:t>
            </w:r>
            <w:r w:rsidR="00600A81" w:rsidRPr="00E84C93">
              <w:rPr>
                <w:rFonts w:eastAsia="Times New Roman"/>
                <w:sz w:val="22"/>
                <w:lang w:val="sr-Cyrl-CS"/>
              </w:rPr>
              <w:t>инсинерација</w:t>
            </w:r>
          </w:p>
        </w:tc>
        <w:tc>
          <w:tcPr>
            <w:tcW w:w="1260" w:type="dxa"/>
            <w:noWrap/>
            <w:hideMark/>
          </w:tcPr>
          <w:p w14:paraId="0F4EE401"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25%</w:t>
            </w:r>
          </w:p>
        </w:tc>
        <w:tc>
          <w:tcPr>
            <w:tcW w:w="1220" w:type="dxa"/>
            <w:noWrap/>
            <w:hideMark/>
          </w:tcPr>
          <w:p w14:paraId="608DB508"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t СМ</w:t>
            </w:r>
          </w:p>
        </w:tc>
        <w:tc>
          <w:tcPr>
            <w:tcW w:w="1390" w:type="dxa"/>
            <w:noWrap/>
            <w:vAlign w:val="center"/>
            <w:hideMark/>
          </w:tcPr>
          <w:p w14:paraId="3766D65D"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168-216</w:t>
            </w:r>
          </w:p>
        </w:tc>
        <w:tc>
          <w:tcPr>
            <w:tcW w:w="1440" w:type="dxa"/>
            <w:noWrap/>
            <w:hideMark/>
          </w:tcPr>
          <w:p w14:paraId="7F3A7B2F"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 </w:t>
            </w:r>
          </w:p>
        </w:tc>
        <w:tc>
          <w:tcPr>
            <w:tcW w:w="900" w:type="dxa"/>
            <w:noWrap/>
            <w:hideMark/>
          </w:tcPr>
          <w:p w14:paraId="0194AC45" w14:textId="77777777" w:rsidR="00600A81" w:rsidRPr="00E84C93" w:rsidRDefault="00600A81" w:rsidP="00A21A53">
            <w:pPr>
              <w:spacing w:after="0"/>
              <w:jc w:val="center"/>
              <w:rPr>
                <w:rFonts w:eastAsia="Times New Roman"/>
                <w:sz w:val="22"/>
                <w:lang w:val="sr-Cyrl-CS"/>
              </w:rPr>
            </w:pPr>
          </w:p>
        </w:tc>
        <w:tc>
          <w:tcPr>
            <w:tcW w:w="818" w:type="dxa"/>
            <w:noWrap/>
            <w:hideMark/>
          </w:tcPr>
          <w:p w14:paraId="3FA17FA6" w14:textId="77777777" w:rsidR="00600A81" w:rsidRPr="00E84C93" w:rsidRDefault="00600A81" w:rsidP="00A21A53">
            <w:pPr>
              <w:spacing w:after="0"/>
              <w:jc w:val="center"/>
              <w:rPr>
                <w:rFonts w:eastAsia="Times New Roman"/>
                <w:sz w:val="22"/>
                <w:lang w:val="sr-Cyrl-CS"/>
              </w:rPr>
            </w:pPr>
          </w:p>
        </w:tc>
      </w:tr>
      <w:tr w:rsidR="00600A81" w:rsidRPr="00E84C93" w14:paraId="3DB592FA" w14:textId="77777777" w:rsidTr="00A21A53">
        <w:trPr>
          <w:trHeight w:val="219"/>
          <w:jc w:val="center"/>
        </w:trPr>
        <w:tc>
          <w:tcPr>
            <w:tcW w:w="2335" w:type="dxa"/>
            <w:vMerge/>
            <w:noWrap/>
            <w:hideMark/>
          </w:tcPr>
          <w:p w14:paraId="0362CC8A" w14:textId="77777777" w:rsidR="00600A81" w:rsidRPr="00E84C93" w:rsidRDefault="00600A81" w:rsidP="00A21A53">
            <w:pPr>
              <w:spacing w:after="0"/>
              <w:rPr>
                <w:rFonts w:eastAsia="Times New Roman"/>
                <w:sz w:val="22"/>
                <w:lang w:val="sr-Cyrl-CS"/>
              </w:rPr>
            </w:pPr>
          </w:p>
        </w:tc>
        <w:tc>
          <w:tcPr>
            <w:tcW w:w="1260" w:type="dxa"/>
            <w:noWrap/>
            <w:hideMark/>
          </w:tcPr>
          <w:p w14:paraId="004D6DE1"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25%</w:t>
            </w:r>
          </w:p>
        </w:tc>
        <w:tc>
          <w:tcPr>
            <w:tcW w:w="1220" w:type="dxa"/>
            <w:noWrap/>
            <w:hideMark/>
          </w:tcPr>
          <w:p w14:paraId="357CF681"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hideMark/>
          </w:tcPr>
          <w:p w14:paraId="16097B53"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 </w:t>
            </w:r>
          </w:p>
        </w:tc>
        <w:tc>
          <w:tcPr>
            <w:tcW w:w="1440" w:type="dxa"/>
            <w:noWrap/>
            <w:vAlign w:val="center"/>
            <w:hideMark/>
          </w:tcPr>
          <w:p w14:paraId="04CCD375"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16-21</w:t>
            </w:r>
          </w:p>
        </w:tc>
        <w:tc>
          <w:tcPr>
            <w:tcW w:w="900" w:type="dxa"/>
            <w:noWrap/>
            <w:hideMark/>
          </w:tcPr>
          <w:p w14:paraId="40D8DABD"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36</w:t>
            </w:r>
          </w:p>
        </w:tc>
        <w:tc>
          <w:tcPr>
            <w:tcW w:w="818" w:type="dxa"/>
            <w:noWrap/>
            <w:hideMark/>
          </w:tcPr>
          <w:p w14:paraId="5A4C5714"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47</w:t>
            </w:r>
          </w:p>
        </w:tc>
      </w:tr>
      <w:tr w:rsidR="00600A81" w:rsidRPr="00E84C93" w14:paraId="777068C1" w14:textId="77777777" w:rsidTr="00A21A53">
        <w:trPr>
          <w:trHeight w:val="219"/>
          <w:jc w:val="center"/>
        </w:trPr>
        <w:tc>
          <w:tcPr>
            <w:tcW w:w="2335" w:type="dxa"/>
            <w:vMerge/>
            <w:noWrap/>
            <w:hideMark/>
          </w:tcPr>
          <w:p w14:paraId="79D44C32" w14:textId="77777777" w:rsidR="00600A81" w:rsidRPr="00E84C93" w:rsidRDefault="00600A81" w:rsidP="00A21A53">
            <w:pPr>
              <w:spacing w:after="0"/>
              <w:rPr>
                <w:rFonts w:eastAsia="Times New Roman"/>
                <w:sz w:val="22"/>
                <w:lang w:val="sr-Cyrl-CS"/>
              </w:rPr>
            </w:pPr>
          </w:p>
        </w:tc>
        <w:tc>
          <w:tcPr>
            <w:tcW w:w="1260" w:type="dxa"/>
            <w:noWrap/>
            <w:hideMark/>
          </w:tcPr>
          <w:p w14:paraId="607C1006"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noWrap/>
            <w:hideMark/>
          </w:tcPr>
          <w:p w14:paraId="127FABBF"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hideMark/>
          </w:tcPr>
          <w:p w14:paraId="46EC71A3"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 </w:t>
            </w:r>
          </w:p>
        </w:tc>
        <w:tc>
          <w:tcPr>
            <w:tcW w:w="1440" w:type="dxa"/>
            <w:noWrap/>
            <w:vAlign w:val="center"/>
            <w:hideMark/>
          </w:tcPr>
          <w:p w14:paraId="77D05D58"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23-29</w:t>
            </w:r>
          </w:p>
        </w:tc>
        <w:tc>
          <w:tcPr>
            <w:tcW w:w="900" w:type="dxa"/>
            <w:noWrap/>
            <w:hideMark/>
          </w:tcPr>
          <w:p w14:paraId="0F99DEBA"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57</w:t>
            </w:r>
          </w:p>
        </w:tc>
        <w:tc>
          <w:tcPr>
            <w:tcW w:w="818" w:type="dxa"/>
            <w:noWrap/>
            <w:hideMark/>
          </w:tcPr>
          <w:p w14:paraId="1D022C76"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75</w:t>
            </w:r>
          </w:p>
        </w:tc>
      </w:tr>
      <w:tr w:rsidR="00600A81" w:rsidRPr="00E84C93" w14:paraId="056DDFD3" w14:textId="77777777" w:rsidTr="00A21A53">
        <w:trPr>
          <w:trHeight w:val="219"/>
          <w:jc w:val="center"/>
        </w:trPr>
        <w:tc>
          <w:tcPr>
            <w:tcW w:w="2335" w:type="dxa"/>
            <w:noWrap/>
            <w:hideMark/>
          </w:tcPr>
          <w:p w14:paraId="2E6FB5AA" w14:textId="1A43F672" w:rsidR="00600A81" w:rsidRPr="00E84C93" w:rsidRDefault="00600A81" w:rsidP="00A21A53">
            <w:pPr>
              <w:spacing w:after="0"/>
              <w:rPr>
                <w:rFonts w:eastAsia="Times New Roman"/>
                <w:sz w:val="22"/>
                <w:lang w:val="sr-Cyrl-CS"/>
              </w:rPr>
            </w:pPr>
            <w:r w:rsidRPr="00E84C93">
              <w:rPr>
                <w:rFonts w:eastAsia="Times New Roman"/>
                <w:sz w:val="22"/>
                <w:lang w:val="sr-Cyrl-CS"/>
              </w:rPr>
              <w:t>Ко</w:t>
            </w:r>
            <w:r w:rsidR="00032B5A" w:rsidRPr="00E84C93">
              <w:rPr>
                <w:rFonts w:eastAsia="Times New Roman"/>
                <w:sz w:val="22"/>
                <w:lang w:val="sr-Cyrl-CS"/>
              </w:rPr>
              <w:t>инсинерација</w:t>
            </w:r>
            <w:r w:rsidRPr="00E84C93">
              <w:rPr>
                <w:rFonts w:eastAsia="Times New Roman"/>
                <w:sz w:val="22"/>
                <w:lang w:val="sr-Cyrl-CS"/>
              </w:rPr>
              <w:t xml:space="preserve"> у термоелектранама</w:t>
            </w:r>
          </w:p>
        </w:tc>
        <w:tc>
          <w:tcPr>
            <w:tcW w:w="1260" w:type="dxa"/>
            <w:noWrap/>
            <w:vAlign w:val="center"/>
            <w:hideMark/>
          </w:tcPr>
          <w:p w14:paraId="0E9916D9"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noWrap/>
            <w:vAlign w:val="center"/>
            <w:hideMark/>
          </w:tcPr>
          <w:p w14:paraId="220E3F6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17A216BA" w14:textId="77777777" w:rsidR="00600A81" w:rsidRPr="00E84C93" w:rsidRDefault="00600A81" w:rsidP="00A21A53">
            <w:pPr>
              <w:spacing w:after="0"/>
              <w:jc w:val="center"/>
              <w:rPr>
                <w:rFonts w:eastAsia="Times New Roman"/>
                <w:sz w:val="22"/>
                <w:lang w:val="sr-Cyrl-CS"/>
              </w:rPr>
            </w:pPr>
          </w:p>
        </w:tc>
        <w:tc>
          <w:tcPr>
            <w:tcW w:w="1440" w:type="dxa"/>
            <w:noWrap/>
            <w:vAlign w:val="center"/>
            <w:hideMark/>
          </w:tcPr>
          <w:p w14:paraId="404E90AC" w14:textId="77777777" w:rsidR="00600A81" w:rsidRPr="00E84C93" w:rsidRDefault="00600A81" w:rsidP="00A21A53">
            <w:pPr>
              <w:spacing w:after="0"/>
              <w:jc w:val="center"/>
              <w:rPr>
                <w:rFonts w:eastAsia="Times New Roman"/>
                <w:sz w:val="22"/>
                <w:lang w:val="sr-Cyrl-CS"/>
              </w:rPr>
            </w:pPr>
          </w:p>
        </w:tc>
        <w:tc>
          <w:tcPr>
            <w:tcW w:w="900" w:type="dxa"/>
            <w:noWrap/>
            <w:vAlign w:val="center"/>
            <w:hideMark/>
          </w:tcPr>
          <w:p w14:paraId="2110EBA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40</w:t>
            </w:r>
          </w:p>
        </w:tc>
        <w:tc>
          <w:tcPr>
            <w:tcW w:w="818" w:type="dxa"/>
            <w:noWrap/>
            <w:vAlign w:val="center"/>
            <w:hideMark/>
          </w:tcPr>
          <w:p w14:paraId="212E39D8"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55</w:t>
            </w:r>
          </w:p>
        </w:tc>
      </w:tr>
      <w:tr w:rsidR="00600A81" w:rsidRPr="00E84C93" w14:paraId="088D1781" w14:textId="77777777" w:rsidTr="00A21A53">
        <w:trPr>
          <w:trHeight w:val="219"/>
          <w:jc w:val="center"/>
        </w:trPr>
        <w:tc>
          <w:tcPr>
            <w:tcW w:w="2335" w:type="dxa"/>
            <w:noWrap/>
            <w:hideMark/>
          </w:tcPr>
          <w:p w14:paraId="633058A6"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Коинсинерација у цементарама</w:t>
            </w:r>
          </w:p>
        </w:tc>
        <w:tc>
          <w:tcPr>
            <w:tcW w:w="1260" w:type="dxa"/>
            <w:noWrap/>
            <w:vAlign w:val="center"/>
            <w:hideMark/>
          </w:tcPr>
          <w:p w14:paraId="50C5BE95"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noWrap/>
            <w:vAlign w:val="center"/>
            <w:hideMark/>
          </w:tcPr>
          <w:p w14:paraId="4D2D31A5"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59D666C6" w14:textId="77777777" w:rsidR="00600A81" w:rsidRPr="00E84C93" w:rsidRDefault="00600A81" w:rsidP="00A21A53">
            <w:pPr>
              <w:spacing w:after="0"/>
              <w:jc w:val="center"/>
              <w:rPr>
                <w:rFonts w:eastAsia="Times New Roman"/>
                <w:sz w:val="22"/>
                <w:lang w:val="sr-Cyrl-CS"/>
              </w:rPr>
            </w:pPr>
          </w:p>
        </w:tc>
        <w:tc>
          <w:tcPr>
            <w:tcW w:w="1440" w:type="dxa"/>
            <w:noWrap/>
            <w:vAlign w:val="center"/>
            <w:hideMark/>
          </w:tcPr>
          <w:p w14:paraId="11319FFC" w14:textId="77777777" w:rsidR="00600A81" w:rsidRPr="00E84C93" w:rsidRDefault="00600A81" w:rsidP="00A21A53">
            <w:pPr>
              <w:spacing w:after="0"/>
              <w:jc w:val="center"/>
              <w:rPr>
                <w:rFonts w:eastAsia="Times New Roman"/>
                <w:sz w:val="22"/>
                <w:lang w:val="sr-Cyrl-CS"/>
              </w:rPr>
            </w:pPr>
          </w:p>
        </w:tc>
        <w:tc>
          <w:tcPr>
            <w:tcW w:w="900" w:type="dxa"/>
            <w:noWrap/>
            <w:vAlign w:val="center"/>
            <w:hideMark/>
          </w:tcPr>
          <w:p w14:paraId="37D34929"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26</w:t>
            </w:r>
          </w:p>
        </w:tc>
        <w:tc>
          <w:tcPr>
            <w:tcW w:w="818" w:type="dxa"/>
            <w:noWrap/>
            <w:vAlign w:val="center"/>
            <w:hideMark/>
          </w:tcPr>
          <w:p w14:paraId="3FAA6FBA"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30</w:t>
            </w:r>
          </w:p>
        </w:tc>
      </w:tr>
      <w:tr w:rsidR="00600A81" w:rsidRPr="00E84C93" w14:paraId="6E6E0489" w14:textId="77777777" w:rsidTr="00A21A53">
        <w:trPr>
          <w:trHeight w:val="219"/>
          <w:jc w:val="center"/>
        </w:trPr>
        <w:tc>
          <w:tcPr>
            <w:tcW w:w="2335" w:type="dxa"/>
            <w:noWrap/>
            <w:hideMark/>
          </w:tcPr>
          <w:p w14:paraId="27CB56AE"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Коинсинерација у постројењима која производе енергију из отпада</w:t>
            </w:r>
          </w:p>
        </w:tc>
        <w:tc>
          <w:tcPr>
            <w:tcW w:w="1260" w:type="dxa"/>
            <w:noWrap/>
            <w:vAlign w:val="center"/>
            <w:hideMark/>
          </w:tcPr>
          <w:p w14:paraId="3EC9082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noWrap/>
            <w:vAlign w:val="center"/>
            <w:hideMark/>
          </w:tcPr>
          <w:p w14:paraId="4149DFA9"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4A163208" w14:textId="77777777" w:rsidR="00600A81" w:rsidRPr="00E84C93" w:rsidRDefault="00600A81" w:rsidP="00A21A53">
            <w:pPr>
              <w:spacing w:after="0"/>
              <w:jc w:val="center"/>
              <w:rPr>
                <w:rFonts w:eastAsia="Times New Roman"/>
                <w:sz w:val="22"/>
                <w:lang w:val="sr-Cyrl-CS"/>
              </w:rPr>
            </w:pPr>
          </w:p>
        </w:tc>
        <w:tc>
          <w:tcPr>
            <w:tcW w:w="1440" w:type="dxa"/>
            <w:noWrap/>
            <w:vAlign w:val="center"/>
            <w:hideMark/>
          </w:tcPr>
          <w:p w14:paraId="508A3C5D" w14:textId="77777777" w:rsidR="00600A81" w:rsidRPr="00E84C93" w:rsidRDefault="00600A81" w:rsidP="00A21A53">
            <w:pPr>
              <w:spacing w:after="0"/>
              <w:jc w:val="center"/>
              <w:rPr>
                <w:rFonts w:eastAsia="Times New Roman"/>
                <w:sz w:val="22"/>
                <w:lang w:val="sr-Cyrl-CS"/>
              </w:rPr>
            </w:pPr>
          </w:p>
        </w:tc>
        <w:tc>
          <w:tcPr>
            <w:tcW w:w="900" w:type="dxa"/>
            <w:noWrap/>
            <w:vAlign w:val="center"/>
            <w:hideMark/>
          </w:tcPr>
          <w:p w14:paraId="623AA55B"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50</w:t>
            </w:r>
          </w:p>
        </w:tc>
        <w:tc>
          <w:tcPr>
            <w:tcW w:w="818" w:type="dxa"/>
            <w:noWrap/>
            <w:vAlign w:val="center"/>
            <w:hideMark/>
          </w:tcPr>
          <w:p w14:paraId="7EE691A3"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90</w:t>
            </w:r>
          </w:p>
        </w:tc>
      </w:tr>
      <w:tr w:rsidR="00600A81" w:rsidRPr="00E84C93" w14:paraId="584F61C2" w14:textId="77777777" w:rsidTr="00A21A53">
        <w:trPr>
          <w:trHeight w:val="219"/>
          <w:jc w:val="center"/>
        </w:trPr>
        <w:tc>
          <w:tcPr>
            <w:tcW w:w="9363" w:type="dxa"/>
            <w:gridSpan w:val="7"/>
            <w:noWrap/>
            <w:vAlign w:val="center"/>
            <w:hideMark/>
          </w:tcPr>
          <w:p w14:paraId="0DB0F262" w14:textId="77777777" w:rsidR="00600A81" w:rsidRPr="00E84C93" w:rsidRDefault="00600A81" w:rsidP="00A21A53">
            <w:pPr>
              <w:spacing w:after="0"/>
              <w:rPr>
                <w:rFonts w:eastAsia="Times New Roman"/>
                <w:b/>
                <w:bCs/>
                <w:sz w:val="22"/>
                <w:lang w:val="sr-Cyrl-CS"/>
              </w:rPr>
            </w:pPr>
            <w:r w:rsidRPr="00E84C93">
              <w:rPr>
                <w:rFonts w:eastAsia="Times New Roman"/>
                <w:b/>
                <w:bCs/>
                <w:sz w:val="22"/>
                <w:lang w:val="sr-Cyrl-CS"/>
              </w:rPr>
              <w:t>Одлагање отпада</w:t>
            </w:r>
          </w:p>
        </w:tc>
      </w:tr>
      <w:tr w:rsidR="00600A81" w:rsidRPr="00E84C93" w14:paraId="20355DA0" w14:textId="77777777" w:rsidTr="00A21A53">
        <w:trPr>
          <w:trHeight w:val="219"/>
          <w:jc w:val="center"/>
        </w:trPr>
        <w:tc>
          <w:tcPr>
            <w:tcW w:w="2335" w:type="dxa"/>
            <w:noWrap/>
            <w:hideMark/>
          </w:tcPr>
          <w:p w14:paraId="7866263E" w14:textId="57E0F795" w:rsidR="00600A81" w:rsidRPr="00E84C93" w:rsidRDefault="00D010D1" w:rsidP="00A21A53">
            <w:pPr>
              <w:spacing w:after="0"/>
              <w:rPr>
                <w:rFonts w:eastAsia="Times New Roman"/>
                <w:sz w:val="22"/>
                <w:lang w:val="sr-Cyrl-CS"/>
              </w:rPr>
            </w:pPr>
            <w:r w:rsidRPr="00E84C93">
              <w:rPr>
                <w:rFonts w:eastAsia="Times New Roman"/>
                <w:sz w:val="22"/>
                <w:lang w:val="sr-Cyrl-CS"/>
              </w:rPr>
              <w:t>Моно</w:t>
            </w:r>
            <w:r w:rsidR="00600A81" w:rsidRPr="00E84C93">
              <w:rPr>
                <w:rFonts w:eastAsia="Times New Roman"/>
                <w:sz w:val="22"/>
                <w:lang w:val="sr-Cyrl-CS"/>
              </w:rPr>
              <w:t>депоније</w:t>
            </w:r>
          </w:p>
        </w:tc>
        <w:tc>
          <w:tcPr>
            <w:tcW w:w="1260" w:type="dxa"/>
            <w:noWrap/>
            <w:vAlign w:val="center"/>
            <w:hideMark/>
          </w:tcPr>
          <w:p w14:paraId="01D5FF6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noWrap/>
            <w:vAlign w:val="center"/>
            <w:hideMark/>
          </w:tcPr>
          <w:p w14:paraId="09B3D508"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noWrap/>
            <w:vAlign w:val="center"/>
            <w:hideMark/>
          </w:tcPr>
          <w:p w14:paraId="530059BE"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17-25</w:t>
            </w:r>
          </w:p>
        </w:tc>
        <w:tc>
          <w:tcPr>
            <w:tcW w:w="1440" w:type="dxa"/>
            <w:noWrap/>
            <w:vAlign w:val="center"/>
            <w:hideMark/>
          </w:tcPr>
          <w:p w14:paraId="4F7FA395"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9,4-15,3</w:t>
            </w:r>
          </w:p>
        </w:tc>
        <w:tc>
          <w:tcPr>
            <w:tcW w:w="900" w:type="dxa"/>
            <w:noWrap/>
            <w:vAlign w:val="center"/>
            <w:hideMark/>
          </w:tcPr>
          <w:p w14:paraId="6EB3665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28</w:t>
            </w:r>
          </w:p>
        </w:tc>
        <w:tc>
          <w:tcPr>
            <w:tcW w:w="818" w:type="dxa"/>
            <w:noWrap/>
            <w:vAlign w:val="center"/>
            <w:hideMark/>
          </w:tcPr>
          <w:p w14:paraId="73690D6F"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47</w:t>
            </w:r>
          </w:p>
        </w:tc>
      </w:tr>
      <w:tr w:rsidR="00600A81" w:rsidRPr="00E84C93" w14:paraId="4D96FA9D" w14:textId="77777777" w:rsidTr="00A21A53">
        <w:trPr>
          <w:trHeight w:val="152"/>
          <w:jc w:val="center"/>
        </w:trPr>
        <w:tc>
          <w:tcPr>
            <w:tcW w:w="2335" w:type="dxa"/>
            <w:tcBorders>
              <w:bottom w:val="nil"/>
            </w:tcBorders>
            <w:noWrap/>
            <w:hideMark/>
          </w:tcPr>
          <w:p w14:paraId="3A55982B"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Капацитет: 100.000-500.000 ЕС</w:t>
            </w:r>
          </w:p>
        </w:tc>
        <w:tc>
          <w:tcPr>
            <w:tcW w:w="1260" w:type="dxa"/>
            <w:tcBorders>
              <w:bottom w:val="nil"/>
            </w:tcBorders>
            <w:noWrap/>
            <w:vAlign w:val="center"/>
          </w:tcPr>
          <w:p w14:paraId="00BB89AF" w14:textId="77777777" w:rsidR="00600A81" w:rsidRPr="00E84C93" w:rsidRDefault="00600A81" w:rsidP="00A21A53">
            <w:pPr>
              <w:spacing w:after="0"/>
              <w:jc w:val="center"/>
              <w:rPr>
                <w:rFonts w:eastAsia="Times New Roman"/>
                <w:sz w:val="22"/>
                <w:lang w:val="sr-Cyrl-CS"/>
              </w:rPr>
            </w:pPr>
          </w:p>
        </w:tc>
        <w:tc>
          <w:tcPr>
            <w:tcW w:w="1220" w:type="dxa"/>
            <w:tcBorders>
              <w:bottom w:val="nil"/>
            </w:tcBorders>
            <w:noWrap/>
            <w:vAlign w:val="center"/>
            <w:hideMark/>
          </w:tcPr>
          <w:p w14:paraId="359DACC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tcBorders>
              <w:bottom w:val="nil"/>
            </w:tcBorders>
            <w:noWrap/>
            <w:vAlign w:val="center"/>
          </w:tcPr>
          <w:p w14:paraId="7CFB3772"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17-25</w:t>
            </w:r>
          </w:p>
        </w:tc>
        <w:tc>
          <w:tcPr>
            <w:tcW w:w="1440" w:type="dxa"/>
            <w:tcBorders>
              <w:bottom w:val="nil"/>
            </w:tcBorders>
            <w:noWrap/>
            <w:vAlign w:val="center"/>
          </w:tcPr>
          <w:p w14:paraId="4C8B0933"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9,4-15,3</w:t>
            </w:r>
          </w:p>
        </w:tc>
        <w:tc>
          <w:tcPr>
            <w:tcW w:w="900" w:type="dxa"/>
            <w:vMerge w:val="restart"/>
            <w:noWrap/>
            <w:vAlign w:val="center"/>
            <w:hideMark/>
          </w:tcPr>
          <w:p w14:paraId="0CECBBE1"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28</w:t>
            </w:r>
          </w:p>
        </w:tc>
        <w:tc>
          <w:tcPr>
            <w:tcW w:w="818" w:type="dxa"/>
            <w:vMerge w:val="restart"/>
            <w:noWrap/>
            <w:vAlign w:val="center"/>
            <w:hideMark/>
          </w:tcPr>
          <w:p w14:paraId="70F04BC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47</w:t>
            </w:r>
          </w:p>
        </w:tc>
      </w:tr>
      <w:tr w:rsidR="00600A81" w:rsidRPr="00E84C93" w14:paraId="52766B01" w14:textId="77777777" w:rsidTr="00A21A53">
        <w:trPr>
          <w:trHeight w:val="219"/>
          <w:jc w:val="center"/>
        </w:trPr>
        <w:tc>
          <w:tcPr>
            <w:tcW w:w="2335" w:type="dxa"/>
            <w:tcBorders>
              <w:top w:val="nil"/>
              <w:bottom w:val="nil"/>
            </w:tcBorders>
            <w:noWrap/>
            <w:hideMark/>
          </w:tcPr>
          <w:p w14:paraId="3419283C"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Период одлагања: 25 година</w:t>
            </w:r>
          </w:p>
        </w:tc>
        <w:tc>
          <w:tcPr>
            <w:tcW w:w="1260" w:type="dxa"/>
            <w:tcBorders>
              <w:top w:val="nil"/>
              <w:bottom w:val="nil"/>
            </w:tcBorders>
            <w:noWrap/>
            <w:vAlign w:val="center"/>
          </w:tcPr>
          <w:p w14:paraId="44295F69"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75%</w:t>
            </w:r>
          </w:p>
        </w:tc>
        <w:tc>
          <w:tcPr>
            <w:tcW w:w="1220" w:type="dxa"/>
            <w:tcBorders>
              <w:top w:val="nil"/>
              <w:bottom w:val="nil"/>
            </w:tcBorders>
            <w:noWrap/>
            <w:vAlign w:val="center"/>
            <w:hideMark/>
          </w:tcPr>
          <w:p w14:paraId="023E2247"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€/m</w:t>
            </w:r>
            <w:r w:rsidRPr="00E84C93">
              <w:rPr>
                <w:rFonts w:eastAsia="Times New Roman"/>
                <w:sz w:val="22"/>
                <w:vertAlign w:val="superscript"/>
                <w:lang w:val="sr-Cyrl-CS"/>
              </w:rPr>
              <w:t>2</w:t>
            </w:r>
          </w:p>
        </w:tc>
        <w:tc>
          <w:tcPr>
            <w:tcW w:w="1390" w:type="dxa"/>
            <w:tcBorders>
              <w:top w:val="nil"/>
              <w:bottom w:val="nil"/>
            </w:tcBorders>
            <w:noWrap/>
            <w:vAlign w:val="center"/>
          </w:tcPr>
          <w:p w14:paraId="24B5BD2F"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173-265</w:t>
            </w:r>
          </w:p>
        </w:tc>
        <w:tc>
          <w:tcPr>
            <w:tcW w:w="1440" w:type="dxa"/>
            <w:tcBorders>
              <w:top w:val="nil"/>
              <w:bottom w:val="nil"/>
            </w:tcBorders>
            <w:noWrap/>
            <w:vAlign w:val="center"/>
          </w:tcPr>
          <w:p w14:paraId="6B27812D" w14:textId="77777777" w:rsidR="00600A81" w:rsidRPr="00E84C93" w:rsidRDefault="00600A81" w:rsidP="00A21A53">
            <w:pPr>
              <w:spacing w:after="0"/>
              <w:jc w:val="center"/>
              <w:rPr>
                <w:rFonts w:eastAsia="Times New Roman"/>
                <w:sz w:val="22"/>
                <w:lang w:val="sr-Cyrl-CS"/>
              </w:rPr>
            </w:pPr>
          </w:p>
        </w:tc>
        <w:tc>
          <w:tcPr>
            <w:tcW w:w="900" w:type="dxa"/>
            <w:vMerge/>
            <w:noWrap/>
            <w:vAlign w:val="center"/>
            <w:hideMark/>
          </w:tcPr>
          <w:p w14:paraId="659388AB" w14:textId="77777777" w:rsidR="00600A81" w:rsidRPr="00E84C93" w:rsidRDefault="00600A81" w:rsidP="00A21A53">
            <w:pPr>
              <w:spacing w:after="0"/>
              <w:jc w:val="center"/>
              <w:rPr>
                <w:rFonts w:eastAsia="Times New Roman"/>
                <w:sz w:val="22"/>
                <w:lang w:val="sr-Cyrl-CS"/>
              </w:rPr>
            </w:pPr>
          </w:p>
        </w:tc>
        <w:tc>
          <w:tcPr>
            <w:tcW w:w="818" w:type="dxa"/>
            <w:vMerge/>
            <w:noWrap/>
            <w:vAlign w:val="center"/>
            <w:hideMark/>
          </w:tcPr>
          <w:p w14:paraId="67EEE28F" w14:textId="77777777" w:rsidR="00600A81" w:rsidRPr="00E84C93" w:rsidRDefault="00600A81" w:rsidP="00A21A53">
            <w:pPr>
              <w:spacing w:after="0"/>
              <w:jc w:val="center"/>
              <w:rPr>
                <w:rFonts w:eastAsia="Times New Roman"/>
                <w:sz w:val="22"/>
                <w:lang w:val="sr-Cyrl-CS"/>
              </w:rPr>
            </w:pPr>
          </w:p>
        </w:tc>
      </w:tr>
      <w:tr w:rsidR="00600A81" w:rsidRPr="00E84C93" w14:paraId="56DD1D98" w14:textId="77777777" w:rsidTr="00A21A53">
        <w:trPr>
          <w:trHeight w:val="219"/>
          <w:jc w:val="center"/>
        </w:trPr>
        <w:tc>
          <w:tcPr>
            <w:tcW w:w="2335" w:type="dxa"/>
            <w:tcBorders>
              <w:top w:val="nil"/>
              <w:bottom w:val="single" w:sz="4" w:space="0" w:color="auto"/>
            </w:tcBorders>
            <w:noWrap/>
          </w:tcPr>
          <w:p w14:paraId="23F3E426" w14:textId="77777777" w:rsidR="00600A81" w:rsidRPr="00E84C93" w:rsidRDefault="00600A81" w:rsidP="00A21A53">
            <w:pPr>
              <w:spacing w:after="0"/>
              <w:rPr>
                <w:rFonts w:eastAsia="Times New Roman"/>
                <w:sz w:val="22"/>
                <w:lang w:val="sr-Cyrl-CS"/>
              </w:rPr>
            </w:pPr>
          </w:p>
        </w:tc>
        <w:tc>
          <w:tcPr>
            <w:tcW w:w="1260" w:type="dxa"/>
            <w:tcBorders>
              <w:top w:val="nil"/>
              <w:bottom w:val="single" w:sz="4" w:space="0" w:color="auto"/>
            </w:tcBorders>
            <w:noWrap/>
            <w:vAlign w:val="center"/>
          </w:tcPr>
          <w:p w14:paraId="5E845707" w14:textId="77777777" w:rsidR="00600A81" w:rsidRPr="00E84C93" w:rsidRDefault="00600A81" w:rsidP="00A21A53">
            <w:pPr>
              <w:spacing w:after="0"/>
              <w:jc w:val="center"/>
              <w:rPr>
                <w:rFonts w:eastAsia="Times New Roman"/>
                <w:sz w:val="22"/>
                <w:lang w:val="sr-Cyrl-CS"/>
              </w:rPr>
            </w:pPr>
          </w:p>
        </w:tc>
        <w:tc>
          <w:tcPr>
            <w:tcW w:w="1220" w:type="dxa"/>
            <w:tcBorders>
              <w:top w:val="nil"/>
              <w:bottom w:val="single" w:sz="4" w:space="0" w:color="auto"/>
            </w:tcBorders>
            <w:noWrap/>
            <w:vAlign w:val="center"/>
          </w:tcPr>
          <w:p w14:paraId="160B7D7D"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€/ЕС</w:t>
            </w:r>
          </w:p>
        </w:tc>
        <w:tc>
          <w:tcPr>
            <w:tcW w:w="1390" w:type="dxa"/>
            <w:tcBorders>
              <w:top w:val="nil"/>
              <w:bottom w:val="single" w:sz="4" w:space="0" w:color="auto"/>
            </w:tcBorders>
            <w:noWrap/>
            <w:vAlign w:val="center"/>
          </w:tcPr>
          <w:p w14:paraId="51D9E4FF" w14:textId="77777777" w:rsidR="00600A81" w:rsidRPr="00E84C93" w:rsidRDefault="00600A81" w:rsidP="00A21A53">
            <w:pPr>
              <w:spacing w:after="0"/>
              <w:jc w:val="center"/>
              <w:rPr>
                <w:color w:val="000000"/>
                <w:sz w:val="22"/>
                <w:lang w:val="sr-Cyrl-CS"/>
              </w:rPr>
            </w:pPr>
            <w:r w:rsidRPr="00E84C93">
              <w:rPr>
                <w:color w:val="000000"/>
                <w:sz w:val="22"/>
                <w:lang w:val="sr-Cyrl-CS"/>
              </w:rPr>
              <w:t>13-20</w:t>
            </w:r>
          </w:p>
        </w:tc>
        <w:tc>
          <w:tcPr>
            <w:tcW w:w="1440" w:type="dxa"/>
            <w:tcBorders>
              <w:top w:val="nil"/>
              <w:bottom w:val="single" w:sz="4" w:space="0" w:color="auto"/>
            </w:tcBorders>
            <w:noWrap/>
            <w:vAlign w:val="center"/>
          </w:tcPr>
          <w:p w14:paraId="2F32FA8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0,3-0,5</w:t>
            </w:r>
          </w:p>
        </w:tc>
        <w:tc>
          <w:tcPr>
            <w:tcW w:w="900" w:type="dxa"/>
            <w:vMerge/>
            <w:tcBorders>
              <w:bottom w:val="single" w:sz="4" w:space="0" w:color="auto"/>
            </w:tcBorders>
            <w:noWrap/>
            <w:vAlign w:val="center"/>
          </w:tcPr>
          <w:p w14:paraId="51C107F8" w14:textId="77777777" w:rsidR="00600A81" w:rsidRPr="00E84C93" w:rsidRDefault="00600A81" w:rsidP="00A21A53">
            <w:pPr>
              <w:spacing w:after="0"/>
              <w:jc w:val="center"/>
              <w:rPr>
                <w:rFonts w:eastAsia="Times New Roman"/>
                <w:sz w:val="22"/>
                <w:lang w:val="sr-Cyrl-CS"/>
              </w:rPr>
            </w:pPr>
          </w:p>
        </w:tc>
        <w:tc>
          <w:tcPr>
            <w:tcW w:w="818" w:type="dxa"/>
            <w:vMerge/>
            <w:tcBorders>
              <w:bottom w:val="single" w:sz="4" w:space="0" w:color="auto"/>
            </w:tcBorders>
            <w:noWrap/>
            <w:vAlign w:val="center"/>
          </w:tcPr>
          <w:p w14:paraId="755B9E84" w14:textId="77777777" w:rsidR="00600A81" w:rsidRPr="00E84C93" w:rsidRDefault="00600A81" w:rsidP="00A21A53">
            <w:pPr>
              <w:spacing w:after="0"/>
              <w:jc w:val="center"/>
              <w:rPr>
                <w:rFonts w:eastAsia="Times New Roman"/>
                <w:sz w:val="22"/>
                <w:lang w:val="sr-Cyrl-CS"/>
              </w:rPr>
            </w:pPr>
          </w:p>
        </w:tc>
      </w:tr>
      <w:tr w:rsidR="00600A81" w:rsidRPr="00E84C93" w14:paraId="1EFE73D0" w14:textId="77777777" w:rsidTr="00A21A53">
        <w:trPr>
          <w:trHeight w:val="219"/>
          <w:jc w:val="center"/>
        </w:trPr>
        <w:tc>
          <w:tcPr>
            <w:tcW w:w="2335" w:type="dxa"/>
            <w:tcBorders>
              <w:bottom w:val="nil"/>
            </w:tcBorders>
            <w:noWrap/>
            <w:hideMark/>
          </w:tcPr>
          <w:p w14:paraId="7BC542EE"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Капацитет: 300.000-1.000.000 ЕС</w:t>
            </w:r>
          </w:p>
        </w:tc>
        <w:tc>
          <w:tcPr>
            <w:tcW w:w="1260" w:type="dxa"/>
            <w:tcBorders>
              <w:bottom w:val="nil"/>
            </w:tcBorders>
            <w:noWrap/>
            <w:vAlign w:val="center"/>
            <w:hideMark/>
          </w:tcPr>
          <w:p w14:paraId="59A5A82F"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95%</w:t>
            </w:r>
          </w:p>
        </w:tc>
        <w:tc>
          <w:tcPr>
            <w:tcW w:w="1220" w:type="dxa"/>
            <w:tcBorders>
              <w:bottom w:val="nil"/>
            </w:tcBorders>
            <w:noWrap/>
            <w:vAlign w:val="center"/>
          </w:tcPr>
          <w:p w14:paraId="4331F98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€/m</w:t>
            </w:r>
            <w:r w:rsidRPr="00E84C93">
              <w:rPr>
                <w:rFonts w:eastAsia="Times New Roman"/>
                <w:sz w:val="22"/>
                <w:vertAlign w:val="superscript"/>
                <w:lang w:val="sr-Cyrl-CS"/>
              </w:rPr>
              <w:t>2</w:t>
            </w:r>
          </w:p>
        </w:tc>
        <w:tc>
          <w:tcPr>
            <w:tcW w:w="1390" w:type="dxa"/>
            <w:tcBorders>
              <w:bottom w:val="nil"/>
            </w:tcBorders>
            <w:noWrap/>
            <w:vAlign w:val="center"/>
          </w:tcPr>
          <w:p w14:paraId="6F3D88F3"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13-19</w:t>
            </w:r>
          </w:p>
        </w:tc>
        <w:tc>
          <w:tcPr>
            <w:tcW w:w="1440" w:type="dxa"/>
            <w:tcBorders>
              <w:bottom w:val="nil"/>
            </w:tcBorders>
            <w:noWrap/>
            <w:vAlign w:val="center"/>
          </w:tcPr>
          <w:p w14:paraId="26BBD03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7,1-10</w:t>
            </w:r>
          </w:p>
        </w:tc>
        <w:tc>
          <w:tcPr>
            <w:tcW w:w="900" w:type="dxa"/>
            <w:tcBorders>
              <w:bottom w:val="nil"/>
            </w:tcBorders>
            <w:noWrap/>
            <w:vAlign w:val="center"/>
          </w:tcPr>
          <w:p w14:paraId="0E304E50" w14:textId="77777777" w:rsidR="00600A81" w:rsidRPr="00E84C93" w:rsidRDefault="00600A81" w:rsidP="00A21A53">
            <w:pPr>
              <w:spacing w:after="0"/>
              <w:jc w:val="center"/>
              <w:rPr>
                <w:rFonts w:eastAsia="Times New Roman"/>
                <w:sz w:val="22"/>
                <w:lang w:val="sr-Cyrl-CS"/>
              </w:rPr>
            </w:pPr>
          </w:p>
        </w:tc>
        <w:tc>
          <w:tcPr>
            <w:tcW w:w="818" w:type="dxa"/>
            <w:tcBorders>
              <w:bottom w:val="nil"/>
            </w:tcBorders>
            <w:noWrap/>
            <w:vAlign w:val="center"/>
          </w:tcPr>
          <w:p w14:paraId="6E391599" w14:textId="77777777" w:rsidR="00600A81" w:rsidRPr="00E84C93" w:rsidRDefault="00600A81" w:rsidP="00A21A53">
            <w:pPr>
              <w:spacing w:after="0"/>
              <w:jc w:val="center"/>
              <w:rPr>
                <w:rFonts w:eastAsia="Times New Roman"/>
                <w:sz w:val="22"/>
                <w:lang w:val="sr-Cyrl-CS"/>
              </w:rPr>
            </w:pPr>
          </w:p>
        </w:tc>
      </w:tr>
      <w:tr w:rsidR="00600A81" w:rsidRPr="00E84C93" w14:paraId="3E8A85E9" w14:textId="77777777" w:rsidTr="00A21A53">
        <w:trPr>
          <w:trHeight w:val="219"/>
          <w:jc w:val="center"/>
        </w:trPr>
        <w:tc>
          <w:tcPr>
            <w:tcW w:w="2335" w:type="dxa"/>
            <w:tcBorders>
              <w:top w:val="nil"/>
              <w:bottom w:val="nil"/>
            </w:tcBorders>
            <w:noWrap/>
            <w:hideMark/>
          </w:tcPr>
          <w:p w14:paraId="22ADB553"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Период одлагања: 25 година</w:t>
            </w:r>
          </w:p>
        </w:tc>
        <w:tc>
          <w:tcPr>
            <w:tcW w:w="1260" w:type="dxa"/>
            <w:tcBorders>
              <w:top w:val="nil"/>
              <w:bottom w:val="nil"/>
            </w:tcBorders>
            <w:noWrap/>
            <w:vAlign w:val="center"/>
          </w:tcPr>
          <w:p w14:paraId="7D1204EB" w14:textId="77777777" w:rsidR="00600A81" w:rsidRPr="00E84C93" w:rsidRDefault="00600A81" w:rsidP="00A21A53">
            <w:pPr>
              <w:spacing w:after="0"/>
              <w:jc w:val="center"/>
              <w:rPr>
                <w:rFonts w:eastAsia="Times New Roman"/>
                <w:sz w:val="22"/>
                <w:lang w:val="sr-Cyrl-CS"/>
              </w:rPr>
            </w:pPr>
          </w:p>
        </w:tc>
        <w:tc>
          <w:tcPr>
            <w:tcW w:w="1220" w:type="dxa"/>
            <w:tcBorders>
              <w:top w:val="nil"/>
              <w:bottom w:val="nil"/>
            </w:tcBorders>
            <w:noWrap/>
            <w:vAlign w:val="center"/>
            <w:hideMark/>
          </w:tcPr>
          <w:p w14:paraId="3753AE6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€/ЕС</w:t>
            </w:r>
          </w:p>
        </w:tc>
        <w:tc>
          <w:tcPr>
            <w:tcW w:w="1390" w:type="dxa"/>
            <w:tcBorders>
              <w:top w:val="nil"/>
              <w:bottom w:val="nil"/>
            </w:tcBorders>
            <w:noWrap/>
            <w:vAlign w:val="center"/>
          </w:tcPr>
          <w:p w14:paraId="2057333D"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158-246</w:t>
            </w:r>
          </w:p>
        </w:tc>
        <w:tc>
          <w:tcPr>
            <w:tcW w:w="1440" w:type="dxa"/>
            <w:tcBorders>
              <w:top w:val="nil"/>
              <w:bottom w:val="nil"/>
            </w:tcBorders>
            <w:noWrap/>
            <w:vAlign w:val="center"/>
          </w:tcPr>
          <w:p w14:paraId="4C556202" w14:textId="77777777" w:rsidR="00600A81" w:rsidRPr="00E84C93" w:rsidRDefault="00600A81" w:rsidP="00A21A53">
            <w:pPr>
              <w:spacing w:after="0"/>
              <w:jc w:val="center"/>
              <w:rPr>
                <w:rFonts w:eastAsia="Times New Roman"/>
                <w:sz w:val="22"/>
                <w:lang w:val="sr-Cyrl-CS"/>
              </w:rPr>
            </w:pPr>
          </w:p>
        </w:tc>
        <w:tc>
          <w:tcPr>
            <w:tcW w:w="900" w:type="dxa"/>
            <w:tcBorders>
              <w:top w:val="nil"/>
              <w:bottom w:val="nil"/>
            </w:tcBorders>
            <w:noWrap/>
            <w:vAlign w:val="center"/>
            <w:hideMark/>
          </w:tcPr>
          <w:p w14:paraId="029DBF12" w14:textId="77777777" w:rsidR="00600A81" w:rsidRPr="00E84C93" w:rsidRDefault="00600A81" w:rsidP="00A21A53">
            <w:pPr>
              <w:spacing w:after="0"/>
              <w:jc w:val="center"/>
              <w:rPr>
                <w:rFonts w:eastAsia="Times New Roman"/>
                <w:sz w:val="22"/>
                <w:lang w:val="sr-Cyrl-CS"/>
              </w:rPr>
            </w:pPr>
          </w:p>
        </w:tc>
        <w:tc>
          <w:tcPr>
            <w:tcW w:w="818" w:type="dxa"/>
            <w:tcBorders>
              <w:top w:val="nil"/>
              <w:bottom w:val="nil"/>
            </w:tcBorders>
            <w:noWrap/>
            <w:vAlign w:val="center"/>
            <w:hideMark/>
          </w:tcPr>
          <w:p w14:paraId="78B7CEEE" w14:textId="77777777" w:rsidR="00600A81" w:rsidRPr="00E84C93" w:rsidRDefault="00600A81" w:rsidP="00A21A53">
            <w:pPr>
              <w:spacing w:after="0"/>
              <w:jc w:val="center"/>
              <w:rPr>
                <w:rFonts w:eastAsia="Times New Roman"/>
                <w:sz w:val="22"/>
                <w:lang w:val="sr-Cyrl-CS"/>
              </w:rPr>
            </w:pPr>
          </w:p>
        </w:tc>
      </w:tr>
      <w:tr w:rsidR="00600A81" w:rsidRPr="00E84C93" w14:paraId="1E025495" w14:textId="77777777" w:rsidTr="00A21A53">
        <w:trPr>
          <w:trHeight w:val="219"/>
          <w:jc w:val="center"/>
        </w:trPr>
        <w:tc>
          <w:tcPr>
            <w:tcW w:w="2335" w:type="dxa"/>
            <w:tcBorders>
              <w:top w:val="nil"/>
            </w:tcBorders>
            <w:noWrap/>
            <w:hideMark/>
          </w:tcPr>
          <w:p w14:paraId="63401961" w14:textId="77777777" w:rsidR="00600A81" w:rsidRPr="00E84C93" w:rsidRDefault="00600A81" w:rsidP="00A21A53">
            <w:pPr>
              <w:spacing w:after="0"/>
              <w:rPr>
                <w:rFonts w:eastAsia="Times New Roman"/>
                <w:sz w:val="22"/>
                <w:lang w:val="sr-Cyrl-CS"/>
              </w:rPr>
            </w:pPr>
          </w:p>
        </w:tc>
        <w:tc>
          <w:tcPr>
            <w:tcW w:w="1260" w:type="dxa"/>
            <w:tcBorders>
              <w:top w:val="nil"/>
            </w:tcBorders>
            <w:noWrap/>
            <w:vAlign w:val="center"/>
          </w:tcPr>
          <w:p w14:paraId="2D1A80FF" w14:textId="77777777" w:rsidR="00600A81" w:rsidRPr="00E84C93" w:rsidRDefault="00600A81" w:rsidP="00A21A53">
            <w:pPr>
              <w:spacing w:after="0"/>
              <w:jc w:val="center"/>
              <w:rPr>
                <w:rFonts w:eastAsia="Times New Roman"/>
                <w:sz w:val="22"/>
                <w:lang w:val="sr-Cyrl-CS"/>
              </w:rPr>
            </w:pPr>
          </w:p>
        </w:tc>
        <w:tc>
          <w:tcPr>
            <w:tcW w:w="1220" w:type="dxa"/>
            <w:tcBorders>
              <w:top w:val="nil"/>
            </w:tcBorders>
            <w:noWrap/>
            <w:vAlign w:val="center"/>
            <w:hideMark/>
          </w:tcPr>
          <w:p w14:paraId="6CD3798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€/t</w:t>
            </w:r>
          </w:p>
        </w:tc>
        <w:tc>
          <w:tcPr>
            <w:tcW w:w="1390" w:type="dxa"/>
            <w:tcBorders>
              <w:top w:val="nil"/>
            </w:tcBorders>
            <w:noWrap/>
            <w:vAlign w:val="center"/>
            <w:hideMark/>
          </w:tcPr>
          <w:p w14:paraId="07EAD192" w14:textId="77777777" w:rsidR="00600A81" w:rsidRPr="00E84C93" w:rsidRDefault="00600A81" w:rsidP="00A21A53">
            <w:pPr>
              <w:spacing w:after="0"/>
              <w:jc w:val="center"/>
              <w:rPr>
                <w:rFonts w:eastAsia="Times New Roman"/>
                <w:sz w:val="22"/>
                <w:lang w:val="sr-Cyrl-CS"/>
              </w:rPr>
            </w:pPr>
            <w:r w:rsidRPr="00E84C93">
              <w:rPr>
                <w:color w:val="000000"/>
                <w:sz w:val="22"/>
                <w:lang w:val="sr-Cyrl-CS"/>
              </w:rPr>
              <w:t>7-11</w:t>
            </w:r>
          </w:p>
        </w:tc>
        <w:tc>
          <w:tcPr>
            <w:tcW w:w="1440" w:type="dxa"/>
            <w:tcBorders>
              <w:top w:val="nil"/>
            </w:tcBorders>
            <w:noWrap/>
            <w:vAlign w:val="center"/>
            <w:hideMark/>
          </w:tcPr>
          <w:p w14:paraId="56767C1E"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0,15-0,2</w:t>
            </w:r>
          </w:p>
        </w:tc>
        <w:tc>
          <w:tcPr>
            <w:tcW w:w="900" w:type="dxa"/>
            <w:tcBorders>
              <w:top w:val="nil"/>
            </w:tcBorders>
            <w:noWrap/>
            <w:vAlign w:val="center"/>
          </w:tcPr>
          <w:p w14:paraId="1A847FF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24</w:t>
            </w:r>
          </w:p>
        </w:tc>
        <w:tc>
          <w:tcPr>
            <w:tcW w:w="818" w:type="dxa"/>
            <w:tcBorders>
              <w:top w:val="nil"/>
            </w:tcBorders>
            <w:noWrap/>
            <w:vAlign w:val="center"/>
          </w:tcPr>
          <w:p w14:paraId="682CE96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38</w:t>
            </w:r>
          </w:p>
        </w:tc>
      </w:tr>
      <w:tr w:rsidR="00600A81" w:rsidRPr="00E84C93" w14:paraId="699CF853" w14:textId="77777777" w:rsidTr="00A21A53">
        <w:trPr>
          <w:trHeight w:val="219"/>
          <w:jc w:val="center"/>
        </w:trPr>
        <w:tc>
          <w:tcPr>
            <w:tcW w:w="2335" w:type="dxa"/>
            <w:noWrap/>
            <w:hideMark/>
          </w:tcPr>
          <w:p w14:paraId="5A7394E5" w14:textId="3C52228B" w:rsidR="00600A81" w:rsidRPr="00E84C93" w:rsidRDefault="00600A81" w:rsidP="00A21A53">
            <w:pPr>
              <w:spacing w:after="0"/>
              <w:rPr>
                <w:rFonts w:eastAsia="Times New Roman"/>
                <w:sz w:val="22"/>
                <w:lang w:val="sr-Cyrl-CS"/>
              </w:rPr>
            </w:pPr>
            <w:r w:rsidRPr="00E84C93">
              <w:rPr>
                <w:rFonts w:eastAsia="Times New Roman"/>
                <w:sz w:val="22"/>
                <w:lang w:val="sr-Cyrl-CS"/>
              </w:rPr>
              <w:t>Депонија отпада</w:t>
            </w:r>
          </w:p>
        </w:tc>
        <w:tc>
          <w:tcPr>
            <w:tcW w:w="1260" w:type="dxa"/>
            <w:noWrap/>
            <w:vAlign w:val="center"/>
            <w:hideMark/>
          </w:tcPr>
          <w:p w14:paraId="1F23FAF2"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 95%</w:t>
            </w:r>
          </w:p>
        </w:tc>
        <w:tc>
          <w:tcPr>
            <w:tcW w:w="1220" w:type="dxa"/>
            <w:noWrap/>
            <w:vAlign w:val="center"/>
          </w:tcPr>
          <w:p w14:paraId="425EE304" w14:textId="77777777" w:rsidR="00600A81" w:rsidRPr="00E84C93" w:rsidRDefault="00600A81" w:rsidP="00A21A53">
            <w:pPr>
              <w:spacing w:after="0"/>
              <w:jc w:val="center"/>
              <w:rPr>
                <w:rFonts w:eastAsia="Times New Roman"/>
                <w:sz w:val="22"/>
                <w:lang w:val="sr-Cyrl-CS"/>
              </w:rPr>
            </w:pPr>
          </w:p>
        </w:tc>
        <w:tc>
          <w:tcPr>
            <w:tcW w:w="1390" w:type="dxa"/>
            <w:noWrap/>
            <w:vAlign w:val="center"/>
          </w:tcPr>
          <w:p w14:paraId="4D37E6C5" w14:textId="77777777" w:rsidR="00600A81" w:rsidRPr="00E84C93" w:rsidRDefault="00600A81" w:rsidP="00A21A53">
            <w:pPr>
              <w:spacing w:after="0"/>
              <w:jc w:val="center"/>
              <w:rPr>
                <w:rFonts w:eastAsia="Times New Roman"/>
                <w:sz w:val="22"/>
                <w:lang w:val="sr-Cyrl-CS"/>
              </w:rPr>
            </w:pPr>
          </w:p>
        </w:tc>
        <w:tc>
          <w:tcPr>
            <w:tcW w:w="1440" w:type="dxa"/>
            <w:noWrap/>
            <w:vAlign w:val="center"/>
          </w:tcPr>
          <w:p w14:paraId="749CF6FE" w14:textId="77777777" w:rsidR="00600A81" w:rsidRPr="00E84C93" w:rsidRDefault="00600A81" w:rsidP="00A21A53">
            <w:pPr>
              <w:spacing w:after="0"/>
              <w:jc w:val="center"/>
              <w:rPr>
                <w:rFonts w:eastAsia="Times New Roman"/>
                <w:sz w:val="22"/>
                <w:lang w:val="sr-Cyrl-CS"/>
              </w:rPr>
            </w:pPr>
          </w:p>
        </w:tc>
        <w:tc>
          <w:tcPr>
            <w:tcW w:w="900" w:type="dxa"/>
            <w:noWrap/>
            <w:vAlign w:val="center"/>
          </w:tcPr>
          <w:p w14:paraId="44BC6FE6"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20</w:t>
            </w:r>
          </w:p>
        </w:tc>
        <w:tc>
          <w:tcPr>
            <w:tcW w:w="818" w:type="dxa"/>
            <w:noWrap/>
            <w:vAlign w:val="center"/>
          </w:tcPr>
          <w:p w14:paraId="0C1DADB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40</w:t>
            </w:r>
          </w:p>
        </w:tc>
      </w:tr>
      <w:tr w:rsidR="00600A81" w:rsidRPr="00E84C93" w14:paraId="0F6632B8" w14:textId="77777777" w:rsidTr="00A21A53">
        <w:trPr>
          <w:trHeight w:val="219"/>
          <w:jc w:val="center"/>
        </w:trPr>
        <w:tc>
          <w:tcPr>
            <w:tcW w:w="9363" w:type="dxa"/>
            <w:gridSpan w:val="7"/>
            <w:noWrap/>
          </w:tcPr>
          <w:p w14:paraId="45EF7B9E" w14:textId="77777777" w:rsidR="00600A81" w:rsidRPr="00E84C93" w:rsidRDefault="00600A81" w:rsidP="00A21A53">
            <w:pPr>
              <w:spacing w:after="0"/>
              <w:rPr>
                <w:rFonts w:eastAsia="Times New Roman"/>
                <w:b/>
                <w:bCs/>
                <w:sz w:val="22"/>
                <w:lang w:val="sr-Cyrl-CS"/>
              </w:rPr>
            </w:pPr>
            <w:r w:rsidRPr="00E84C93">
              <w:rPr>
                <w:rFonts w:eastAsia="Times New Roman"/>
                <w:b/>
                <w:bCs/>
                <w:sz w:val="22"/>
                <w:lang w:val="sr-Cyrl-CS"/>
              </w:rPr>
              <w:t>Употреба муља у пољопривреди</w:t>
            </w:r>
          </w:p>
        </w:tc>
      </w:tr>
      <w:tr w:rsidR="00600A81" w:rsidRPr="00E84C93" w14:paraId="203D284B" w14:textId="77777777" w:rsidTr="00A21A53">
        <w:trPr>
          <w:trHeight w:val="219"/>
          <w:jc w:val="center"/>
        </w:trPr>
        <w:tc>
          <w:tcPr>
            <w:tcW w:w="2335" w:type="dxa"/>
            <w:noWrap/>
          </w:tcPr>
          <w:p w14:paraId="5EB479E9"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Анализа муља</w:t>
            </w:r>
          </w:p>
        </w:tc>
        <w:tc>
          <w:tcPr>
            <w:tcW w:w="1260" w:type="dxa"/>
            <w:noWrap/>
            <w:vAlign w:val="center"/>
          </w:tcPr>
          <w:p w14:paraId="4CB5BAE8" w14:textId="77777777" w:rsidR="00600A81" w:rsidRPr="00E84C93" w:rsidRDefault="00600A81" w:rsidP="00A21A53">
            <w:pPr>
              <w:spacing w:after="0"/>
              <w:jc w:val="center"/>
              <w:rPr>
                <w:rFonts w:eastAsia="Times New Roman"/>
                <w:sz w:val="22"/>
                <w:lang w:val="sr-Cyrl-CS"/>
              </w:rPr>
            </w:pPr>
          </w:p>
        </w:tc>
        <w:tc>
          <w:tcPr>
            <w:tcW w:w="1220" w:type="dxa"/>
            <w:noWrap/>
            <w:vAlign w:val="center"/>
          </w:tcPr>
          <w:p w14:paraId="72D03942" w14:textId="4A98494D"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w:t>
            </w:r>
            <w:r w:rsidR="00CF0C78" w:rsidRPr="00E84C93">
              <w:rPr>
                <w:rFonts w:eastAsia="Times New Roman"/>
                <w:sz w:val="22"/>
                <w:lang w:val="sr-Cyrl-CS"/>
              </w:rPr>
              <w:t>/</w:t>
            </w:r>
            <w:r w:rsidR="008A66D8" w:rsidRPr="00E84C93">
              <w:rPr>
                <w:rFonts w:eastAsia="Times New Roman"/>
                <w:sz w:val="22"/>
                <w:lang w:val="sr-Cyrl-CS"/>
              </w:rPr>
              <w:t>узорак</w:t>
            </w:r>
          </w:p>
        </w:tc>
        <w:tc>
          <w:tcPr>
            <w:tcW w:w="1390" w:type="dxa"/>
            <w:noWrap/>
            <w:vAlign w:val="center"/>
          </w:tcPr>
          <w:p w14:paraId="39319728" w14:textId="77777777" w:rsidR="00600A81" w:rsidRPr="00E84C93" w:rsidRDefault="00600A81" w:rsidP="00A21A53">
            <w:pPr>
              <w:spacing w:after="0"/>
              <w:jc w:val="center"/>
              <w:rPr>
                <w:rFonts w:eastAsia="Times New Roman"/>
                <w:sz w:val="22"/>
                <w:lang w:val="sr-Cyrl-CS"/>
              </w:rPr>
            </w:pPr>
          </w:p>
        </w:tc>
        <w:tc>
          <w:tcPr>
            <w:tcW w:w="1440" w:type="dxa"/>
            <w:noWrap/>
            <w:vAlign w:val="center"/>
          </w:tcPr>
          <w:p w14:paraId="3E80AEE0"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345</w:t>
            </w:r>
          </w:p>
        </w:tc>
        <w:tc>
          <w:tcPr>
            <w:tcW w:w="900" w:type="dxa"/>
            <w:noWrap/>
            <w:vAlign w:val="center"/>
          </w:tcPr>
          <w:p w14:paraId="69C19CF1" w14:textId="77777777" w:rsidR="00600A81" w:rsidRPr="00E84C93" w:rsidRDefault="00600A81" w:rsidP="00A21A53">
            <w:pPr>
              <w:spacing w:after="0"/>
              <w:jc w:val="center"/>
              <w:rPr>
                <w:rFonts w:eastAsia="Times New Roman"/>
                <w:sz w:val="22"/>
                <w:highlight w:val="yellow"/>
                <w:lang w:val="sr-Cyrl-CS"/>
              </w:rPr>
            </w:pPr>
          </w:p>
        </w:tc>
        <w:tc>
          <w:tcPr>
            <w:tcW w:w="818" w:type="dxa"/>
            <w:noWrap/>
            <w:vAlign w:val="center"/>
          </w:tcPr>
          <w:p w14:paraId="43AEB406" w14:textId="77777777" w:rsidR="00600A81" w:rsidRPr="00E84C93" w:rsidRDefault="00600A81" w:rsidP="00A21A53">
            <w:pPr>
              <w:spacing w:after="0"/>
              <w:jc w:val="center"/>
              <w:rPr>
                <w:rFonts w:eastAsia="Times New Roman"/>
                <w:sz w:val="22"/>
                <w:highlight w:val="yellow"/>
                <w:lang w:val="sr-Cyrl-CS"/>
              </w:rPr>
            </w:pPr>
          </w:p>
        </w:tc>
      </w:tr>
      <w:tr w:rsidR="00600A81" w:rsidRPr="00E84C93" w14:paraId="5A097A21" w14:textId="77777777" w:rsidTr="00A21A53">
        <w:trPr>
          <w:trHeight w:val="219"/>
          <w:jc w:val="center"/>
        </w:trPr>
        <w:tc>
          <w:tcPr>
            <w:tcW w:w="2335" w:type="dxa"/>
            <w:noWrap/>
          </w:tcPr>
          <w:p w14:paraId="653F7E1D" w14:textId="77777777" w:rsidR="00600A81" w:rsidRPr="00E84C93" w:rsidRDefault="00600A81" w:rsidP="00A21A53">
            <w:pPr>
              <w:spacing w:after="0"/>
              <w:rPr>
                <w:rFonts w:eastAsia="Times New Roman"/>
                <w:sz w:val="22"/>
                <w:lang w:val="sr-Cyrl-CS"/>
              </w:rPr>
            </w:pPr>
            <w:r w:rsidRPr="00E84C93">
              <w:rPr>
                <w:rFonts w:eastAsia="Times New Roman"/>
                <w:sz w:val="22"/>
                <w:lang w:val="sr-Cyrl-CS"/>
              </w:rPr>
              <w:t>Анализа земљишта</w:t>
            </w:r>
          </w:p>
        </w:tc>
        <w:tc>
          <w:tcPr>
            <w:tcW w:w="1260" w:type="dxa"/>
            <w:noWrap/>
            <w:vAlign w:val="center"/>
          </w:tcPr>
          <w:p w14:paraId="4FD61991" w14:textId="77777777" w:rsidR="00600A81" w:rsidRPr="00E84C93" w:rsidRDefault="00600A81" w:rsidP="00A21A53">
            <w:pPr>
              <w:spacing w:after="0"/>
              <w:jc w:val="center"/>
              <w:rPr>
                <w:rFonts w:eastAsia="Times New Roman"/>
                <w:sz w:val="22"/>
                <w:lang w:val="sr-Cyrl-CS"/>
              </w:rPr>
            </w:pPr>
          </w:p>
        </w:tc>
        <w:tc>
          <w:tcPr>
            <w:tcW w:w="1220" w:type="dxa"/>
            <w:noWrap/>
            <w:vAlign w:val="center"/>
          </w:tcPr>
          <w:p w14:paraId="639FB341" w14:textId="1E0B572F" w:rsidR="00600A81" w:rsidRPr="00E84C93" w:rsidRDefault="00CF0C78" w:rsidP="00A21A53">
            <w:pPr>
              <w:spacing w:after="0"/>
              <w:jc w:val="center"/>
              <w:rPr>
                <w:rFonts w:eastAsia="Times New Roman"/>
                <w:sz w:val="22"/>
                <w:lang w:val="sr-Cyrl-CS"/>
              </w:rPr>
            </w:pPr>
            <w:r w:rsidRPr="00E84C93">
              <w:rPr>
                <w:rFonts w:eastAsia="Times New Roman"/>
                <w:sz w:val="22"/>
                <w:lang w:val="sr-Cyrl-CS"/>
              </w:rPr>
              <w:t>€/</w:t>
            </w:r>
            <w:r w:rsidR="008A66D8" w:rsidRPr="00E84C93">
              <w:rPr>
                <w:rFonts w:eastAsia="Times New Roman"/>
                <w:sz w:val="22"/>
                <w:lang w:val="sr-Cyrl-CS"/>
              </w:rPr>
              <w:t>узорак</w:t>
            </w:r>
          </w:p>
        </w:tc>
        <w:tc>
          <w:tcPr>
            <w:tcW w:w="1390" w:type="dxa"/>
            <w:noWrap/>
            <w:vAlign w:val="center"/>
          </w:tcPr>
          <w:p w14:paraId="00ACADD1" w14:textId="77777777" w:rsidR="00600A81" w:rsidRPr="00E84C93" w:rsidRDefault="00600A81" w:rsidP="00A21A53">
            <w:pPr>
              <w:spacing w:after="0"/>
              <w:jc w:val="center"/>
              <w:rPr>
                <w:rFonts w:eastAsia="Times New Roman"/>
                <w:sz w:val="22"/>
                <w:lang w:val="sr-Cyrl-CS"/>
              </w:rPr>
            </w:pPr>
          </w:p>
        </w:tc>
        <w:tc>
          <w:tcPr>
            <w:tcW w:w="1440" w:type="dxa"/>
            <w:noWrap/>
            <w:vAlign w:val="center"/>
          </w:tcPr>
          <w:p w14:paraId="7B94DF4C" w14:textId="77777777" w:rsidR="00600A81" w:rsidRPr="00E84C93" w:rsidRDefault="00600A81" w:rsidP="00A21A53">
            <w:pPr>
              <w:spacing w:after="0"/>
              <w:jc w:val="center"/>
              <w:rPr>
                <w:rFonts w:eastAsia="Times New Roman"/>
                <w:sz w:val="22"/>
                <w:lang w:val="sr-Cyrl-CS"/>
              </w:rPr>
            </w:pPr>
            <w:r w:rsidRPr="00E84C93">
              <w:rPr>
                <w:rFonts w:eastAsia="Times New Roman"/>
                <w:sz w:val="22"/>
                <w:lang w:val="sr-Cyrl-CS"/>
              </w:rPr>
              <w:t>145</w:t>
            </w:r>
          </w:p>
        </w:tc>
        <w:tc>
          <w:tcPr>
            <w:tcW w:w="900" w:type="dxa"/>
            <w:noWrap/>
            <w:vAlign w:val="center"/>
          </w:tcPr>
          <w:p w14:paraId="1947658B" w14:textId="77777777" w:rsidR="00600A81" w:rsidRPr="00E84C93" w:rsidRDefault="00600A81" w:rsidP="00A21A53">
            <w:pPr>
              <w:spacing w:after="0"/>
              <w:jc w:val="center"/>
              <w:rPr>
                <w:rFonts w:eastAsia="Times New Roman"/>
                <w:sz w:val="22"/>
                <w:lang w:val="sr-Cyrl-CS"/>
              </w:rPr>
            </w:pPr>
          </w:p>
        </w:tc>
        <w:tc>
          <w:tcPr>
            <w:tcW w:w="818" w:type="dxa"/>
            <w:noWrap/>
            <w:vAlign w:val="center"/>
          </w:tcPr>
          <w:p w14:paraId="630F38F8" w14:textId="77777777" w:rsidR="00600A81" w:rsidRPr="00E84C93" w:rsidRDefault="00600A81" w:rsidP="00A21A53">
            <w:pPr>
              <w:spacing w:after="0"/>
              <w:jc w:val="center"/>
              <w:rPr>
                <w:rFonts w:eastAsia="Times New Roman"/>
                <w:sz w:val="22"/>
                <w:lang w:val="sr-Cyrl-CS"/>
              </w:rPr>
            </w:pPr>
          </w:p>
        </w:tc>
      </w:tr>
      <w:bookmarkEnd w:id="114"/>
    </w:tbl>
    <w:p w14:paraId="389F1D61" w14:textId="77777777" w:rsidR="00600A81" w:rsidRPr="00E84C93" w:rsidRDefault="00600A81" w:rsidP="00600A81">
      <w:pPr>
        <w:spacing w:after="0"/>
        <w:rPr>
          <w:rFonts w:cs="Times New Roman"/>
          <w:b/>
          <w:bCs/>
          <w:szCs w:val="24"/>
          <w:lang w:val="sr-Cyrl-CS"/>
        </w:rPr>
      </w:pPr>
    </w:p>
    <w:p w14:paraId="105CDF15" w14:textId="77777777" w:rsidR="00A21A53" w:rsidRDefault="00A21A53" w:rsidP="00600A81">
      <w:pPr>
        <w:spacing w:after="0"/>
        <w:ind w:firstLine="720"/>
        <w:jc w:val="both"/>
        <w:rPr>
          <w:rFonts w:cs="Times New Roman"/>
          <w:noProof/>
          <w:szCs w:val="24"/>
          <w:lang w:val="sr-Cyrl-CS"/>
        </w:rPr>
      </w:pPr>
    </w:p>
    <w:p w14:paraId="7F0634FE" w14:textId="77777777" w:rsidR="00A21A53" w:rsidRDefault="00A21A53" w:rsidP="00600A81">
      <w:pPr>
        <w:spacing w:after="0"/>
        <w:ind w:firstLine="720"/>
        <w:jc w:val="both"/>
        <w:rPr>
          <w:rFonts w:cs="Times New Roman"/>
          <w:noProof/>
          <w:szCs w:val="24"/>
          <w:lang w:val="sr-Cyrl-CS"/>
        </w:rPr>
      </w:pPr>
    </w:p>
    <w:p w14:paraId="76E4AC9A" w14:textId="77777777" w:rsidR="00A21A53" w:rsidRDefault="00A21A53" w:rsidP="00600A81">
      <w:pPr>
        <w:spacing w:after="0"/>
        <w:ind w:firstLine="720"/>
        <w:jc w:val="both"/>
        <w:rPr>
          <w:rFonts w:cs="Times New Roman"/>
          <w:noProof/>
          <w:szCs w:val="24"/>
          <w:lang w:val="sr-Cyrl-CS"/>
        </w:rPr>
      </w:pPr>
    </w:p>
    <w:p w14:paraId="01262CFE" w14:textId="77777777" w:rsidR="00A21A53" w:rsidRDefault="00A21A53" w:rsidP="00600A81">
      <w:pPr>
        <w:spacing w:after="0"/>
        <w:ind w:firstLine="720"/>
        <w:jc w:val="both"/>
        <w:rPr>
          <w:rFonts w:cs="Times New Roman"/>
          <w:noProof/>
          <w:szCs w:val="24"/>
          <w:lang w:val="sr-Cyrl-CS"/>
        </w:rPr>
      </w:pPr>
    </w:p>
    <w:p w14:paraId="28D4284C" w14:textId="77777777" w:rsidR="00A21A53" w:rsidRDefault="00A21A53" w:rsidP="00600A81">
      <w:pPr>
        <w:spacing w:after="0"/>
        <w:ind w:firstLine="720"/>
        <w:jc w:val="both"/>
        <w:rPr>
          <w:rFonts w:cs="Times New Roman"/>
          <w:noProof/>
          <w:szCs w:val="24"/>
          <w:lang w:val="sr-Cyrl-CS"/>
        </w:rPr>
      </w:pPr>
    </w:p>
    <w:p w14:paraId="215FA08D" w14:textId="77777777" w:rsidR="00A21A53" w:rsidRDefault="00A21A53" w:rsidP="00600A81">
      <w:pPr>
        <w:spacing w:after="0"/>
        <w:ind w:firstLine="720"/>
        <w:jc w:val="both"/>
        <w:rPr>
          <w:rFonts w:cs="Times New Roman"/>
          <w:noProof/>
          <w:szCs w:val="24"/>
          <w:lang w:val="sr-Cyrl-CS"/>
        </w:rPr>
      </w:pPr>
    </w:p>
    <w:p w14:paraId="4B36E077" w14:textId="2946EF86"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Транспортни трошкови су израчунати применом јединичних т</w:t>
      </w:r>
      <w:r w:rsidR="002618D3" w:rsidRPr="00E84C93">
        <w:rPr>
          <w:rFonts w:cs="Times New Roman"/>
          <w:noProof/>
          <w:szCs w:val="24"/>
          <w:lang w:val="sr-Cyrl-CS"/>
        </w:rPr>
        <w:t>рошкова који су представљени у Т</w:t>
      </w:r>
      <w:r w:rsidRPr="00E84C93">
        <w:rPr>
          <w:rFonts w:cs="Times New Roman"/>
          <w:noProof/>
          <w:szCs w:val="24"/>
          <w:lang w:val="sr-Cyrl-CS"/>
        </w:rPr>
        <w:t>абели</w:t>
      </w:r>
      <w:r w:rsidR="002B01E5" w:rsidRPr="00E84C93">
        <w:rPr>
          <w:rFonts w:cs="Times New Roman"/>
          <w:noProof/>
          <w:szCs w:val="24"/>
          <w:lang w:val="sr-Cyrl-CS"/>
        </w:rPr>
        <w:t xml:space="preserve"> 7.3.</w:t>
      </w:r>
    </w:p>
    <w:p w14:paraId="32888F86" w14:textId="52E5BE66" w:rsidR="00600A81" w:rsidRPr="00E84C93" w:rsidRDefault="00600A81" w:rsidP="00600A81">
      <w:pPr>
        <w:spacing w:after="0"/>
        <w:jc w:val="both"/>
        <w:rPr>
          <w:rFonts w:cs="Times New Roman"/>
          <w:szCs w:val="24"/>
          <w:lang w:val="sr-Cyrl-CS"/>
        </w:rPr>
      </w:pPr>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 xml:space="preserve">.3. </w:t>
      </w:r>
      <w:r w:rsidRPr="00E84C93">
        <w:rPr>
          <w:rFonts w:cs="Times New Roman"/>
          <w:szCs w:val="24"/>
          <w:lang w:val="sr-Cyrl-CS"/>
        </w:rPr>
        <w:t>Јединични трошкови транспорта муља (у еврима, константне цене из 2022. године)</w:t>
      </w:r>
    </w:p>
    <w:p w14:paraId="3BF6E890" w14:textId="77777777" w:rsidR="00600A81" w:rsidRPr="00E84C93" w:rsidRDefault="00600A81" w:rsidP="00600A81">
      <w:pPr>
        <w:kinsoku w:val="0"/>
        <w:overflowPunct w:val="0"/>
        <w:autoSpaceDE w:val="0"/>
        <w:autoSpaceDN w:val="0"/>
        <w:adjustRightInd w:val="0"/>
        <w:spacing w:after="0"/>
        <w:rPr>
          <w:rFonts w:cs="Times New Roman"/>
          <w:sz w:val="6"/>
          <w:szCs w:val="6"/>
          <w:lang w:val="sr-Cyrl-CS"/>
        </w:rPr>
      </w:pPr>
    </w:p>
    <w:tbl>
      <w:tblPr>
        <w:tblStyle w:val="TableGrid1"/>
        <w:tblW w:w="0" w:type="auto"/>
        <w:tblLayout w:type="fixed"/>
        <w:tblLook w:val="0000" w:firstRow="0" w:lastRow="0" w:firstColumn="0" w:lastColumn="0" w:noHBand="0" w:noVBand="0"/>
      </w:tblPr>
      <w:tblGrid>
        <w:gridCol w:w="1850"/>
        <w:gridCol w:w="1712"/>
        <w:gridCol w:w="994"/>
        <w:gridCol w:w="922"/>
        <w:gridCol w:w="973"/>
        <w:gridCol w:w="900"/>
        <w:gridCol w:w="978"/>
        <w:gridCol w:w="989"/>
      </w:tblGrid>
      <w:tr w:rsidR="00600A81" w:rsidRPr="00E84C93" w14:paraId="43CE03F7" w14:textId="77777777" w:rsidTr="008C3BC9">
        <w:trPr>
          <w:trHeight w:val="130"/>
        </w:trPr>
        <w:tc>
          <w:tcPr>
            <w:tcW w:w="1850" w:type="dxa"/>
            <w:vMerge w:val="restart"/>
            <w:shd w:val="clear" w:color="auto" w:fill="9CC2E5" w:themeFill="accent1" w:themeFillTint="99"/>
            <w:tcMar>
              <w:top w:w="28" w:type="dxa"/>
              <w:left w:w="57" w:type="dxa"/>
              <w:bottom w:w="28" w:type="dxa"/>
              <w:right w:w="57" w:type="dxa"/>
            </w:tcMar>
            <w:vAlign w:val="center"/>
          </w:tcPr>
          <w:p w14:paraId="0A44B0D6" w14:textId="77777777" w:rsidR="00600A81" w:rsidRPr="00E84C93" w:rsidRDefault="00600A81" w:rsidP="008C3BC9">
            <w:pPr>
              <w:kinsoku w:val="0"/>
              <w:overflowPunct w:val="0"/>
              <w:autoSpaceDE w:val="0"/>
              <w:autoSpaceDN w:val="0"/>
              <w:adjustRightInd w:val="0"/>
              <w:spacing w:after="0"/>
              <w:ind w:left="51"/>
              <w:jc w:val="center"/>
              <w:rPr>
                <w:b/>
                <w:bCs/>
                <w:w w:val="105"/>
                <w:sz w:val="22"/>
                <w:lang w:val="sr-Cyrl-CS"/>
              </w:rPr>
            </w:pPr>
            <w:r w:rsidRPr="00E84C93">
              <w:rPr>
                <w:b/>
                <w:bCs/>
                <w:w w:val="105"/>
                <w:sz w:val="22"/>
                <w:lang w:val="sr-Cyrl-CS"/>
              </w:rPr>
              <w:t>Опис</w:t>
            </w:r>
          </w:p>
        </w:tc>
        <w:tc>
          <w:tcPr>
            <w:tcW w:w="1712" w:type="dxa"/>
            <w:vMerge w:val="restart"/>
            <w:shd w:val="clear" w:color="auto" w:fill="9CC2E5" w:themeFill="accent1" w:themeFillTint="99"/>
            <w:tcMar>
              <w:top w:w="28" w:type="dxa"/>
              <w:left w:w="57" w:type="dxa"/>
              <w:bottom w:w="28" w:type="dxa"/>
              <w:right w:w="57" w:type="dxa"/>
            </w:tcMar>
            <w:vAlign w:val="center"/>
          </w:tcPr>
          <w:p w14:paraId="0840B107" w14:textId="6874A5B9" w:rsidR="00600A81" w:rsidRPr="00E84C93" w:rsidRDefault="00600A81" w:rsidP="008C3BC9">
            <w:pPr>
              <w:kinsoku w:val="0"/>
              <w:overflowPunct w:val="0"/>
              <w:autoSpaceDE w:val="0"/>
              <w:autoSpaceDN w:val="0"/>
              <w:adjustRightInd w:val="0"/>
              <w:spacing w:after="0"/>
              <w:jc w:val="center"/>
              <w:rPr>
                <w:b/>
                <w:bCs/>
                <w:w w:val="105"/>
                <w:sz w:val="22"/>
                <w:lang w:val="sr-Cyrl-CS"/>
              </w:rPr>
            </w:pPr>
            <w:r w:rsidRPr="00E84C93">
              <w:rPr>
                <w:rFonts w:eastAsia="Times New Roman"/>
                <w:b/>
                <w:bCs/>
                <w:sz w:val="22"/>
                <w:lang w:val="sr-Cyrl-CS"/>
              </w:rPr>
              <w:t>Сува материја (%)</w:t>
            </w:r>
          </w:p>
        </w:tc>
        <w:tc>
          <w:tcPr>
            <w:tcW w:w="5756" w:type="dxa"/>
            <w:gridSpan w:val="6"/>
            <w:shd w:val="clear" w:color="auto" w:fill="9CC2E5" w:themeFill="accent1" w:themeFillTint="99"/>
            <w:tcMar>
              <w:top w:w="28" w:type="dxa"/>
              <w:left w:w="57" w:type="dxa"/>
              <w:bottom w:w="28" w:type="dxa"/>
              <w:right w:w="57" w:type="dxa"/>
            </w:tcMar>
            <w:vAlign w:val="center"/>
          </w:tcPr>
          <w:p w14:paraId="34D3FE42" w14:textId="77777777" w:rsidR="00600A81" w:rsidRPr="00E84C93" w:rsidRDefault="00600A81" w:rsidP="008C3BC9">
            <w:pPr>
              <w:kinsoku w:val="0"/>
              <w:overflowPunct w:val="0"/>
              <w:autoSpaceDE w:val="0"/>
              <w:autoSpaceDN w:val="0"/>
              <w:adjustRightInd w:val="0"/>
              <w:spacing w:after="0"/>
              <w:ind w:left="490"/>
              <w:jc w:val="center"/>
              <w:rPr>
                <w:b/>
                <w:bCs/>
                <w:w w:val="105"/>
                <w:sz w:val="22"/>
                <w:lang w:val="sr-Cyrl-CS"/>
              </w:rPr>
            </w:pPr>
            <w:r w:rsidRPr="00E84C93">
              <w:rPr>
                <w:b/>
                <w:bCs/>
                <w:w w:val="105"/>
                <w:sz w:val="22"/>
                <w:lang w:val="sr-Cyrl-CS"/>
              </w:rPr>
              <w:t>Јединични трошкови</w:t>
            </w:r>
          </w:p>
        </w:tc>
      </w:tr>
      <w:tr w:rsidR="00600A81" w:rsidRPr="00E84C93" w14:paraId="04396892" w14:textId="77777777" w:rsidTr="008C3BC9">
        <w:trPr>
          <w:trHeight w:val="275"/>
        </w:trPr>
        <w:tc>
          <w:tcPr>
            <w:tcW w:w="1850" w:type="dxa"/>
            <w:vMerge/>
            <w:shd w:val="clear" w:color="auto" w:fill="9CC2E5" w:themeFill="accent1" w:themeFillTint="99"/>
            <w:tcMar>
              <w:top w:w="28" w:type="dxa"/>
              <w:left w:w="57" w:type="dxa"/>
              <w:bottom w:w="28" w:type="dxa"/>
              <w:right w:w="57" w:type="dxa"/>
            </w:tcMar>
            <w:vAlign w:val="center"/>
          </w:tcPr>
          <w:p w14:paraId="517AFA57" w14:textId="77777777" w:rsidR="00600A81" w:rsidRPr="00E84C93" w:rsidRDefault="00600A81" w:rsidP="008C3BC9">
            <w:pPr>
              <w:kinsoku w:val="0"/>
              <w:overflowPunct w:val="0"/>
              <w:autoSpaceDE w:val="0"/>
              <w:autoSpaceDN w:val="0"/>
              <w:adjustRightInd w:val="0"/>
              <w:spacing w:after="0"/>
              <w:jc w:val="center"/>
              <w:rPr>
                <w:b/>
                <w:bCs/>
                <w:sz w:val="22"/>
                <w:lang w:val="sr-Cyrl-CS"/>
              </w:rPr>
            </w:pPr>
          </w:p>
        </w:tc>
        <w:tc>
          <w:tcPr>
            <w:tcW w:w="1712" w:type="dxa"/>
            <w:vMerge/>
            <w:shd w:val="clear" w:color="auto" w:fill="9CC2E5" w:themeFill="accent1" w:themeFillTint="99"/>
            <w:tcMar>
              <w:top w:w="28" w:type="dxa"/>
              <w:left w:w="57" w:type="dxa"/>
              <w:bottom w:w="28" w:type="dxa"/>
              <w:right w:w="57" w:type="dxa"/>
            </w:tcMar>
            <w:vAlign w:val="center"/>
          </w:tcPr>
          <w:p w14:paraId="75E2ACC0" w14:textId="77777777" w:rsidR="00600A81" w:rsidRPr="00E84C93" w:rsidRDefault="00600A81" w:rsidP="008C3BC9">
            <w:pPr>
              <w:kinsoku w:val="0"/>
              <w:overflowPunct w:val="0"/>
              <w:autoSpaceDE w:val="0"/>
              <w:autoSpaceDN w:val="0"/>
              <w:adjustRightInd w:val="0"/>
              <w:spacing w:after="0"/>
              <w:jc w:val="center"/>
              <w:rPr>
                <w:b/>
                <w:bCs/>
                <w:sz w:val="22"/>
                <w:lang w:val="sr-Cyrl-CS"/>
              </w:rPr>
            </w:pPr>
          </w:p>
        </w:tc>
        <w:tc>
          <w:tcPr>
            <w:tcW w:w="1916" w:type="dxa"/>
            <w:gridSpan w:val="2"/>
            <w:shd w:val="clear" w:color="auto" w:fill="9CC2E5" w:themeFill="accent1" w:themeFillTint="99"/>
            <w:tcMar>
              <w:top w:w="28" w:type="dxa"/>
              <w:left w:w="57" w:type="dxa"/>
              <w:bottom w:w="28" w:type="dxa"/>
              <w:right w:w="57" w:type="dxa"/>
            </w:tcMar>
            <w:vAlign w:val="center"/>
          </w:tcPr>
          <w:p w14:paraId="140A3717" w14:textId="77777777" w:rsidR="00600A81" w:rsidRPr="00E84C93" w:rsidRDefault="00600A81" w:rsidP="008C3BC9">
            <w:pPr>
              <w:kinsoku w:val="0"/>
              <w:overflowPunct w:val="0"/>
              <w:autoSpaceDE w:val="0"/>
              <w:autoSpaceDN w:val="0"/>
              <w:adjustRightInd w:val="0"/>
              <w:spacing w:after="0"/>
              <w:ind w:left="177" w:right="179"/>
              <w:jc w:val="center"/>
              <w:rPr>
                <w:b/>
                <w:bCs/>
                <w:w w:val="105"/>
                <w:sz w:val="22"/>
                <w:lang w:val="sr-Cyrl-CS"/>
              </w:rPr>
            </w:pPr>
            <w:r w:rsidRPr="00E84C93">
              <w:rPr>
                <w:b/>
                <w:bCs/>
                <w:w w:val="105"/>
                <w:sz w:val="22"/>
                <w:lang w:val="sr-Cyrl-CS"/>
              </w:rPr>
              <w:t>≤ 10 km</w:t>
            </w:r>
          </w:p>
          <w:p w14:paraId="66F03236" w14:textId="77777777" w:rsidR="00600A81" w:rsidRPr="00E84C93" w:rsidRDefault="00600A81" w:rsidP="008C3BC9">
            <w:pPr>
              <w:kinsoku w:val="0"/>
              <w:overflowPunct w:val="0"/>
              <w:autoSpaceDE w:val="0"/>
              <w:autoSpaceDN w:val="0"/>
              <w:adjustRightInd w:val="0"/>
              <w:spacing w:after="0"/>
              <w:ind w:left="181" w:right="179"/>
              <w:jc w:val="center"/>
              <w:rPr>
                <w:b/>
                <w:bCs/>
                <w:w w:val="105"/>
                <w:sz w:val="22"/>
                <w:lang w:val="sr-Cyrl-CS"/>
              </w:rPr>
            </w:pPr>
            <w:r w:rsidRPr="00E84C93">
              <w:rPr>
                <w:b/>
                <w:bCs/>
                <w:w w:val="105"/>
                <w:sz w:val="22"/>
                <w:lang w:val="sr-Cyrl-CS"/>
              </w:rPr>
              <w:t>€/t/km</w:t>
            </w:r>
          </w:p>
        </w:tc>
        <w:tc>
          <w:tcPr>
            <w:tcW w:w="1873" w:type="dxa"/>
            <w:gridSpan w:val="2"/>
            <w:shd w:val="clear" w:color="auto" w:fill="9CC2E5" w:themeFill="accent1" w:themeFillTint="99"/>
            <w:tcMar>
              <w:top w:w="28" w:type="dxa"/>
              <w:left w:w="57" w:type="dxa"/>
              <w:bottom w:w="28" w:type="dxa"/>
              <w:right w:w="57" w:type="dxa"/>
            </w:tcMar>
            <w:vAlign w:val="center"/>
          </w:tcPr>
          <w:p w14:paraId="27C33F0D" w14:textId="77777777" w:rsidR="00600A81" w:rsidRPr="00E84C93" w:rsidRDefault="00600A81" w:rsidP="008C3BC9">
            <w:pPr>
              <w:kinsoku w:val="0"/>
              <w:overflowPunct w:val="0"/>
              <w:autoSpaceDE w:val="0"/>
              <w:autoSpaceDN w:val="0"/>
              <w:adjustRightInd w:val="0"/>
              <w:spacing w:after="0"/>
              <w:ind w:left="162" w:right="163"/>
              <w:jc w:val="center"/>
              <w:rPr>
                <w:b/>
                <w:bCs/>
                <w:w w:val="105"/>
                <w:sz w:val="22"/>
                <w:lang w:val="sr-Cyrl-CS"/>
              </w:rPr>
            </w:pPr>
            <w:r w:rsidRPr="00E84C93">
              <w:rPr>
                <w:b/>
                <w:bCs/>
                <w:w w:val="105"/>
                <w:sz w:val="22"/>
                <w:lang w:val="sr-Cyrl-CS"/>
              </w:rPr>
              <w:t>≤ 30 km</w:t>
            </w:r>
          </w:p>
          <w:p w14:paraId="08568BC0" w14:textId="77777777" w:rsidR="00600A81" w:rsidRPr="00E84C93" w:rsidRDefault="00600A81" w:rsidP="008C3BC9">
            <w:pPr>
              <w:kinsoku w:val="0"/>
              <w:overflowPunct w:val="0"/>
              <w:autoSpaceDE w:val="0"/>
              <w:autoSpaceDN w:val="0"/>
              <w:adjustRightInd w:val="0"/>
              <w:spacing w:after="0"/>
              <w:ind w:left="166" w:right="163"/>
              <w:jc w:val="center"/>
              <w:rPr>
                <w:b/>
                <w:bCs/>
                <w:w w:val="105"/>
                <w:sz w:val="22"/>
                <w:lang w:val="sr-Cyrl-CS"/>
              </w:rPr>
            </w:pPr>
            <w:r w:rsidRPr="00E84C93">
              <w:rPr>
                <w:b/>
                <w:bCs/>
                <w:w w:val="105"/>
                <w:sz w:val="22"/>
                <w:lang w:val="sr-Cyrl-CS"/>
              </w:rPr>
              <w:t>€/t/km</w:t>
            </w:r>
          </w:p>
        </w:tc>
        <w:tc>
          <w:tcPr>
            <w:tcW w:w="1967" w:type="dxa"/>
            <w:gridSpan w:val="2"/>
            <w:shd w:val="clear" w:color="auto" w:fill="9CC2E5" w:themeFill="accent1" w:themeFillTint="99"/>
            <w:tcMar>
              <w:top w:w="28" w:type="dxa"/>
              <w:left w:w="57" w:type="dxa"/>
              <w:bottom w:w="28" w:type="dxa"/>
              <w:right w:w="57" w:type="dxa"/>
            </w:tcMar>
            <w:vAlign w:val="center"/>
          </w:tcPr>
          <w:p w14:paraId="7B3BF6CC" w14:textId="77777777" w:rsidR="00600A81" w:rsidRPr="00E84C93" w:rsidRDefault="00600A81" w:rsidP="008C3BC9">
            <w:pPr>
              <w:kinsoku w:val="0"/>
              <w:overflowPunct w:val="0"/>
              <w:autoSpaceDE w:val="0"/>
              <w:autoSpaceDN w:val="0"/>
              <w:adjustRightInd w:val="0"/>
              <w:spacing w:after="0"/>
              <w:ind w:left="202" w:right="192"/>
              <w:jc w:val="center"/>
              <w:rPr>
                <w:b/>
                <w:bCs/>
                <w:w w:val="105"/>
                <w:sz w:val="22"/>
                <w:lang w:val="sr-Cyrl-CS"/>
              </w:rPr>
            </w:pPr>
            <w:r w:rsidRPr="00E84C93">
              <w:rPr>
                <w:b/>
                <w:bCs/>
                <w:w w:val="105"/>
                <w:sz w:val="22"/>
                <w:lang w:val="sr-Cyrl-CS"/>
              </w:rPr>
              <w:t>≥ 30 km</w:t>
            </w:r>
          </w:p>
          <w:p w14:paraId="4677FD33" w14:textId="77777777" w:rsidR="00600A81" w:rsidRPr="00E84C93" w:rsidRDefault="00600A81" w:rsidP="008C3BC9">
            <w:pPr>
              <w:kinsoku w:val="0"/>
              <w:overflowPunct w:val="0"/>
              <w:autoSpaceDE w:val="0"/>
              <w:autoSpaceDN w:val="0"/>
              <w:adjustRightInd w:val="0"/>
              <w:spacing w:after="0"/>
              <w:ind w:left="209" w:right="192"/>
              <w:jc w:val="center"/>
              <w:rPr>
                <w:b/>
                <w:bCs/>
                <w:w w:val="105"/>
                <w:sz w:val="22"/>
                <w:lang w:val="sr-Cyrl-CS"/>
              </w:rPr>
            </w:pPr>
            <w:r w:rsidRPr="00E84C93">
              <w:rPr>
                <w:b/>
                <w:bCs/>
                <w:w w:val="105"/>
                <w:sz w:val="22"/>
                <w:lang w:val="sr-Cyrl-CS"/>
              </w:rPr>
              <w:t>€/t/km</w:t>
            </w:r>
          </w:p>
        </w:tc>
      </w:tr>
      <w:tr w:rsidR="00600A81" w:rsidRPr="00E84C93" w14:paraId="068C82E7" w14:textId="77777777" w:rsidTr="008C3BC9">
        <w:trPr>
          <w:trHeight w:val="111"/>
        </w:trPr>
        <w:tc>
          <w:tcPr>
            <w:tcW w:w="1850" w:type="dxa"/>
            <w:tcMar>
              <w:top w:w="28" w:type="dxa"/>
              <w:left w:w="57" w:type="dxa"/>
              <w:bottom w:w="28" w:type="dxa"/>
              <w:right w:w="57" w:type="dxa"/>
            </w:tcMar>
            <w:vAlign w:val="center"/>
          </w:tcPr>
          <w:p w14:paraId="296D50C1" w14:textId="77777777" w:rsidR="00600A81" w:rsidRPr="00E84C93" w:rsidRDefault="00600A81" w:rsidP="008C3BC9">
            <w:pPr>
              <w:kinsoku w:val="0"/>
              <w:overflowPunct w:val="0"/>
              <w:autoSpaceDE w:val="0"/>
              <w:autoSpaceDN w:val="0"/>
              <w:adjustRightInd w:val="0"/>
              <w:spacing w:after="0"/>
              <w:ind w:left="51"/>
              <w:rPr>
                <w:sz w:val="22"/>
                <w:lang w:val="sr-Cyrl-CS"/>
              </w:rPr>
            </w:pPr>
            <w:r w:rsidRPr="00E84C93">
              <w:rPr>
                <w:sz w:val="22"/>
                <w:lang w:val="sr-Cyrl-CS"/>
              </w:rPr>
              <w:lastRenderedPageBreak/>
              <w:t>Течни муљ</w:t>
            </w:r>
          </w:p>
        </w:tc>
        <w:tc>
          <w:tcPr>
            <w:tcW w:w="1712" w:type="dxa"/>
            <w:tcMar>
              <w:top w:w="28" w:type="dxa"/>
              <w:left w:w="57" w:type="dxa"/>
              <w:bottom w:w="28" w:type="dxa"/>
              <w:right w:w="57" w:type="dxa"/>
            </w:tcMar>
            <w:vAlign w:val="center"/>
          </w:tcPr>
          <w:p w14:paraId="61BFB9ED" w14:textId="77777777" w:rsidR="00600A81" w:rsidRPr="00E84C93" w:rsidRDefault="00600A81" w:rsidP="008C3BC9">
            <w:pPr>
              <w:kinsoku w:val="0"/>
              <w:overflowPunct w:val="0"/>
              <w:autoSpaceDE w:val="0"/>
              <w:autoSpaceDN w:val="0"/>
              <w:adjustRightInd w:val="0"/>
              <w:spacing w:after="0"/>
              <w:ind w:right="263"/>
              <w:jc w:val="center"/>
              <w:rPr>
                <w:w w:val="105"/>
                <w:sz w:val="22"/>
                <w:lang w:val="sr-Cyrl-CS"/>
              </w:rPr>
            </w:pPr>
            <w:r w:rsidRPr="00E84C93">
              <w:rPr>
                <w:w w:val="105"/>
                <w:sz w:val="22"/>
                <w:lang w:val="sr-Cyrl-CS"/>
              </w:rPr>
              <w:t>≤ 5</w:t>
            </w:r>
          </w:p>
        </w:tc>
        <w:tc>
          <w:tcPr>
            <w:tcW w:w="1916" w:type="dxa"/>
            <w:gridSpan w:val="2"/>
            <w:tcMar>
              <w:top w:w="28" w:type="dxa"/>
              <w:left w:w="57" w:type="dxa"/>
              <w:bottom w:w="28" w:type="dxa"/>
              <w:right w:w="57" w:type="dxa"/>
            </w:tcMar>
            <w:vAlign w:val="center"/>
          </w:tcPr>
          <w:p w14:paraId="134CB3AF" w14:textId="77777777" w:rsidR="00600A81" w:rsidRPr="00E84C93" w:rsidRDefault="00600A81" w:rsidP="008C3BC9">
            <w:pPr>
              <w:kinsoku w:val="0"/>
              <w:overflowPunct w:val="0"/>
              <w:autoSpaceDE w:val="0"/>
              <w:autoSpaceDN w:val="0"/>
              <w:adjustRightInd w:val="0"/>
              <w:spacing w:after="0"/>
              <w:ind w:left="875"/>
              <w:jc w:val="center"/>
              <w:rPr>
                <w:w w:val="105"/>
                <w:sz w:val="22"/>
                <w:lang w:val="sr-Cyrl-CS"/>
              </w:rPr>
            </w:pPr>
            <w:r w:rsidRPr="00E84C93">
              <w:rPr>
                <w:w w:val="105"/>
                <w:sz w:val="22"/>
                <w:lang w:val="sr-Cyrl-CS"/>
              </w:rPr>
              <w:t>1,2</w:t>
            </w:r>
          </w:p>
        </w:tc>
        <w:tc>
          <w:tcPr>
            <w:tcW w:w="1873" w:type="dxa"/>
            <w:gridSpan w:val="2"/>
            <w:tcMar>
              <w:top w:w="28" w:type="dxa"/>
              <w:left w:w="57" w:type="dxa"/>
              <w:bottom w:w="28" w:type="dxa"/>
              <w:right w:w="57" w:type="dxa"/>
            </w:tcMar>
            <w:vAlign w:val="center"/>
          </w:tcPr>
          <w:p w14:paraId="0095FA59" w14:textId="77777777" w:rsidR="00600A81" w:rsidRPr="00E84C93" w:rsidRDefault="00600A81" w:rsidP="008C3BC9">
            <w:pPr>
              <w:kinsoku w:val="0"/>
              <w:overflowPunct w:val="0"/>
              <w:autoSpaceDE w:val="0"/>
              <w:autoSpaceDN w:val="0"/>
              <w:adjustRightInd w:val="0"/>
              <w:spacing w:after="0"/>
              <w:ind w:right="162"/>
              <w:jc w:val="center"/>
              <w:rPr>
                <w:sz w:val="22"/>
                <w:lang w:val="sr-Cyrl-CS"/>
              </w:rPr>
            </w:pPr>
            <w:r w:rsidRPr="00E84C93">
              <w:rPr>
                <w:sz w:val="22"/>
                <w:lang w:val="sr-Cyrl-CS"/>
              </w:rPr>
              <w:t>1,0</w:t>
            </w:r>
          </w:p>
        </w:tc>
        <w:tc>
          <w:tcPr>
            <w:tcW w:w="1967" w:type="dxa"/>
            <w:gridSpan w:val="2"/>
            <w:tcMar>
              <w:top w:w="28" w:type="dxa"/>
              <w:left w:w="57" w:type="dxa"/>
              <w:bottom w:w="28" w:type="dxa"/>
              <w:right w:w="57" w:type="dxa"/>
            </w:tcMar>
            <w:vAlign w:val="center"/>
          </w:tcPr>
          <w:p w14:paraId="14B1DD89" w14:textId="77777777" w:rsidR="00600A81" w:rsidRPr="00E84C93" w:rsidRDefault="00600A81" w:rsidP="008C3BC9">
            <w:pPr>
              <w:kinsoku w:val="0"/>
              <w:overflowPunct w:val="0"/>
              <w:autoSpaceDE w:val="0"/>
              <w:autoSpaceDN w:val="0"/>
              <w:adjustRightInd w:val="0"/>
              <w:spacing w:after="0"/>
              <w:ind w:right="54"/>
              <w:jc w:val="center"/>
              <w:rPr>
                <w:sz w:val="22"/>
                <w:lang w:val="sr-Cyrl-CS"/>
              </w:rPr>
            </w:pPr>
            <w:r w:rsidRPr="00E84C93">
              <w:rPr>
                <w:sz w:val="22"/>
                <w:lang w:val="sr-Cyrl-CS"/>
              </w:rPr>
              <w:t>0,8</w:t>
            </w:r>
          </w:p>
        </w:tc>
      </w:tr>
      <w:tr w:rsidR="00600A81" w:rsidRPr="00E84C93" w14:paraId="07FF1901" w14:textId="77777777" w:rsidTr="008C3BC9">
        <w:trPr>
          <w:trHeight w:val="125"/>
        </w:trPr>
        <w:tc>
          <w:tcPr>
            <w:tcW w:w="1850" w:type="dxa"/>
            <w:tcMar>
              <w:top w:w="28" w:type="dxa"/>
              <w:left w:w="57" w:type="dxa"/>
              <w:bottom w:w="28" w:type="dxa"/>
              <w:right w:w="57" w:type="dxa"/>
            </w:tcMar>
            <w:vAlign w:val="center"/>
          </w:tcPr>
          <w:p w14:paraId="57868463" w14:textId="77777777" w:rsidR="00600A81" w:rsidRPr="00E84C93" w:rsidRDefault="00600A81" w:rsidP="008C3BC9">
            <w:pPr>
              <w:kinsoku w:val="0"/>
              <w:overflowPunct w:val="0"/>
              <w:autoSpaceDE w:val="0"/>
              <w:autoSpaceDN w:val="0"/>
              <w:adjustRightInd w:val="0"/>
              <w:spacing w:after="0"/>
              <w:ind w:left="51"/>
              <w:rPr>
                <w:sz w:val="22"/>
                <w:lang w:val="sr-Cyrl-CS"/>
              </w:rPr>
            </w:pPr>
            <w:r w:rsidRPr="00E84C93">
              <w:rPr>
                <w:sz w:val="22"/>
                <w:lang w:val="sr-Cyrl-CS"/>
              </w:rPr>
              <w:t>Муљни колач</w:t>
            </w:r>
          </w:p>
        </w:tc>
        <w:tc>
          <w:tcPr>
            <w:tcW w:w="1712" w:type="dxa"/>
            <w:tcMar>
              <w:top w:w="28" w:type="dxa"/>
              <w:left w:w="57" w:type="dxa"/>
              <w:bottom w:w="28" w:type="dxa"/>
              <w:right w:w="57" w:type="dxa"/>
            </w:tcMar>
            <w:vAlign w:val="center"/>
          </w:tcPr>
          <w:p w14:paraId="5E91AF74" w14:textId="77777777" w:rsidR="00600A81" w:rsidRPr="00E84C93" w:rsidRDefault="00600A81" w:rsidP="008C3BC9">
            <w:pPr>
              <w:kinsoku w:val="0"/>
              <w:overflowPunct w:val="0"/>
              <w:autoSpaceDE w:val="0"/>
              <w:autoSpaceDN w:val="0"/>
              <w:adjustRightInd w:val="0"/>
              <w:spacing w:after="0"/>
              <w:ind w:right="212"/>
              <w:jc w:val="center"/>
              <w:rPr>
                <w:w w:val="105"/>
                <w:sz w:val="22"/>
                <w:lang w:val="sr-Cyrl-CS"/>
              </w:rPr>
            </w:pPr>
            <w:r w:rsidRPr="00E84C93">
              <w:rPr>
                <w:w w:val="105"/>
                <w:sz w:val="22"/>
                <w:lang w:val="sr-Cyrl-CS"/>
              </w:rPr>
              <w:t>≥ 25</w:t>
            </w:r>
          </w:p>
        </w:tc>
        <w:tc>
          <w:tcPr>
            <w:tcW w:w="994" w:type="dxa"/>
            <w:tcMar>
              <w:top w:w="28" w:type="dxa"/>
              <w:left w:w="57" w:type="dxa"/>
              <w:bottom w:w="28" w:type="dxa"/>
              <w:right w:w="57" w:type="dxa"/>
            </w:tcMar>
            <w:vAlign w:val="center"/>
          </w:tcPr>
          <w:p w14:paraId="1604E370" w14:textId="77777777" w:rsidR="00600A81" w:rsidRPr="00E84C93" w:rsidRDefault="00600A81" w:rsidP="008C3BC9">
            <w:pPr>
              <w:kinsoku w:val="0"/>
              <w:overflowPunct w:val="0"/>
              <w:autoSpaceDE w:val="0"/>
              <w:autoSpaceDN w:val="0"/>
              <w:adjustRightInd w:val="0"/>
              <w:spacing w:after="0"/>
              <w:ind w:left="156"/>
              <w:jc w:val="center"/>
              <w:rPr>
                <w:w w:val="105"/>
                <w:sz w:val="22"/>
                <w:lang w:val="sr-Cyrl-CS"/>
              </w:rPr>
            </w:pPr>
            <w:r w:rsidRPr="00E84C93">
              <w:rPr>
                <w:w w:val="105"/>
                <w:sz w:val="22"/>
                <w:lang w:val="sr-Cyrl-CS"/>
              </w:rPr>
              <w:t>0,35</w:t>
            </w:r>
          </w:p>
        </w:tc>
        <w:tc>
          <w:tcPr>
            <w:tcW w:w="921" w:type="dxa"/>
            <w:tcMar>
              <w:top w:w="28" w:type="dxa"/>
              <w:left w:w="57" w:type="dxa"/>
              <w:bottom w:w="28" w:type="dxa"/>
              <w:right w:w="57" w:type="dxa"/>
            </w:tcMar>
            <w:vAlign w:val="center"/>
          </w:tcPr>
          <w:p w14:paraId="5496018C" w14:textId="77777777" w:rsidR="00600A81" w:rsidRPr="00E84C93" w:rsidRDefault="00600A81" w:rsidP="008C3BC9">
            <w:pPr>
              <w:kinsoku w:val="0"/>
              <w:overflowPunct w:val="0"/>
              <w:autoSpaceDE w:val="0"/>
              <w:autoSpaceDN w:val="0"/>
              <w:adjustRightInd w:val="0"/>
              <w:spacing w:after="0"/>
              <w:ind w:left="185"/>
              <w:jc w:val="center"/>
              <w:rPr>
                <w:w w:val="105"/>
                <w:sz w:val="22"/>
                <w:lang w:val="sr-Cyrl-CS"/>
              </w:rPr>
            </w:pPr>
            <w:r w:rsidRPr="00E84C93">
              <w:rPr>
                <w:w w:val="105"/>
                <w:sz w:val="22"/>
                <w:lang w:val="sr-Cyrl-CS"/>
              </w:rPr>
              <w:t>0,5</w:t>
            </w:r>
          </w:p>
        </w:tc>
        <w:tc>
          <w:tcPr>
            <w:tcW w:w="973" w:type="dxa"/>
            <w:tcMar>
              <w:top w:w="28" w:type="dxa"/>
              <w:left w:w="57" w:type="dxa"/>
              <w:bottom w:w="28" w:type="dxa"/>
              <w:right w:w="57" w:type="dxa"/>
            </w:tcMar>
            <w:vAlign w:val="center"/>
          </w:tcPr>
          <w:p w14:paraId="19C64B1A" w14:textId="77777777" w:rsidR="00600A81" w:rsidRPr="00E84C93" w:rsidRDefault="00600A81" w:rsidP="008C3BC9">
            <w:pPr>
              <w:kinsoku w:val="0"/>
              <w:overflowPunct w:val="0"/>
              <w:autoSpaceDE w:val="0"/>
              <w:autoSpaceDN w:val="0"/>
              <w:adjustRightInd w:val="0"/>
              <w:spacing w:after="0"/>
              <w:ind w:left="154" w:right="125"/>
              <w:jc w:val="center"/>
              <w:rPr>
                <w:w w:val="105"/>
                <w:sz w:val="22"/>
                <w:lang w:val="sr-Cyrl-CS"/>
              </w:rPr>
            </w:pPr>
            <w:r w:rsidRPr="00E84C93">
              <w:rPr>
                <w:w w:val="105"/>
                <w:sz w:val="22"/>
                <w:lang w:val="sr-Cyrl-CS"/>
              </w:rPr>
              <w:t>0,24</w:t>
            </w:r>
          </w:p>
        </w:tc>
        <w:tc>
          <w:tcPr>
            <w:tcW w:w="899" w:type="dxa"/>
            <w:tcMar>
              <w:top w:w="28" w:type="dxa"/>
              <w:left w:w="57" w:type="dxa"/>
              <w:bottom w:w="28" w:type="dxa"/>
              <w:right w:w="57" w:type="dxa"/>
            </w:tcMar>
            <w:vAlign w:val="center"/>
          </w:tcPr>
          <w:p w14:paraId="673BE5DB" w14:textId="77777777" w:rsidR="00600A81" w:rsidRPr="00E84C93" w:rsidRDefault="00600A81" w:rsidP="008C3BC9">
            <w:pPr>
              <w:kinsoku w:val="0"/>
              <w:overflowPunct w:val="0"/>
              <w:autoSpaceDE w:val="0"/>
              <w:autoSpaceDN w:val="0"/>
              <w:adjustRightInd w:val="0"/>
              <w:spacing w:after="0"/>
              <w:ind w:left="130" w:right="98"/>
              <w:jc w:val="center"/>
              <w:rPr>
                <w:w w:val="105"/>
                <w:sz w:val="22"/>
                <w:lang w:val="sr-Cyrl-CS"/>
              </w:rPr>
            </w:pPr>
            <w:r w:rsidRPr="00E84C93">
              <w:rPr>
                <w:w w:val="105"/>
                <w:sz w:val="22"/>
                <w:lang w:val="sr-Cyrl-CS"/>
              </w:rPr>
              <w:t>0,35</w:t>
            </w:r>
          </w:p>
        </w:tc>
        <w:tc>
          <w:tcPr>
            <w:tcW w:w="978" w:type="dxa"/>
            <w:tcMar>
              <w:top w:w="28" w:type="dxa"/>
              <w:left w:w="57" w:type="dxa"/>
              <w:bottom w:w="28" w:type="dxa"/>
              <w:right w:w="57" w:type="dxa"/>
            </w:tcMar>
            <w:vAlign w:val="center"/>
          </w:tcPr>
          <w:p w14:paraId="7FEDF259" w14:textId="77777777" w:rsidR="00600A81" w:rsidRPr="00E84C93" w:rsidRDefault="00600A81" w:rsidP="008C3BC9">
            <w:pPr>
              <w:kinsoku w:val="0"/>
              <w:overflowPunct w:val="0"/>
              <w:autoSpaceDE w:val="0"/>
              <w:autoSpaceDN w:val="0"/>
              <w:adjustRightInd w:val="0"/>
              <w:spacing w:after="0"/>
              <w:ind w:left="231"/>
              <w:jc w:val="center"/>
              <w:rPr>
                <w:w w:val="105"/>
                <w:sz w:val="22"/>
                <w:lang w:val="sr-Cyrl-CS"/>
              </w:rPr>
            </w:pPr>
            <w:r w:rsidRPr="00E84C93">
              <w:rPr>
                <w:w w:val="105"/>
                <w:sz w:val="22"/>
                <w:lang w:val="sr-Cyrl-CS"/>
              </w:rPr>
              <w:t>0,2</w:t>
            </w:r>
          </w:p>
        </w:tc>
        <w:tc>
          <w:tcPr>
            <w:tcW w:w="988" w:type="dxa"/>
            <w:tcMar>
              <w:top w:w="28" w:type="dxa"/>
              <w:left w:w="57" w:type="dxa"/>
              <w:bottom w:w="28" w:type="dxa"/>
              <w:right w:w="57" w:type="dxa"/>
            </w:tcMar>
            <w:vAlign w:val="center"/>
          </w:tcPr>
          <w:p w14:paraId="667740D5" w14:textId="77777777" w:rsidR="00600A81" w:rsidRPr="00E84C93" w:rsidRDefault="00600A81" w:rsidP="008C3BC9">
            <w:pPr>
              <w:kinsoku w:val="0"/>
              <w:overflowPunct w:val="0"/>
              <w:autoSpaceDE w:val="0"/>
              <w:autoSpaceDN w:val="0"/>
              <w:adjustRightInd w:val="0"/>
              <w:spacing w:after="0"/>
              <w:ind w:left="194"/>
              <w:jc w:val="center"/>
              <w:rPr>
                <w:w w:val="105"/>
                <w:sz w:val="22"/>
                <w:lang w:val="sr-Cyrl-CS"/>
              </w:rPr>
            </w:pPr>
            <w:r w:rsidRPr="00E84C93">
              <w:rPr>
                <w:w w:val="105"/>
                <w:sz w:val="22"/>
                <w:lang w:val="sr-Cyrl-CS"/>
              </w:rPr>
              <w:t>0,24</w:t>
            </w:r>
          </w:p>
        </w:tc>
      </w:tr>
      <w:tr w:rsidR="00600A81" w:rsidRPr="00E84C93" w14:paraId="30A236C6" w14:textId="77777777" w:rsidTr="008C3BC9">
        <w:trPr>
          <w:trHeight w:val="141"/>
        </w:trPr>
        <w:tc>
          <w:tcPr>
            <w:tcW w:w="1850" w:type="dxa"/>
            <w:tcMar>
              <w:top w:w="28" w:type="dxa"/>
              <w:left w:w="57" w:type="dxa"/>
              <w:bottom w:w="28" w:type="dxa"/>
              <w:right w:w="57" w:type="dxa"/>
            </w:tcMar>
            <w:vAlign w:val="center"/>
          </w:tcPr>
          <w:p w14:paraId="606EE4DF" w14:textId="77777777" w:rsidR="00600A81" w:rsidRPr="00E84C93" w:rsidRDefault="00600A81" w:rsidP="008C3BC9">
            <w:pPr>
              <w:kinsoku w:val="0"/>
              <w:overflowPunct w:val="0"/>
              <w:autoSpaceDE w:val="0"/>
              <w:autoSpaceDN w:val="0"/>
              <w:adjustRightInd w:val="0"/>
              <w:spacing w:after="0"/>
              <w:ind w:left="51"/>
              <w:rPr>
                <w:sz w:val="22"/>
                <w:lang w:val="sr-Cyrl-CS"/>
              </w:rPr>
            </w:pPr>
            <w:r w:rsidRPr="00E84C93">
              <w:rPr>
                <w:sz w:val="22"/>
                <w:lang w:val="sr-Cyrl-CS"/>
              </w:rPr>
              <w:t>Суви муљ</w:t>
            </w:r>
          </w:p>
        </w:tc>
        <w:tc>
          <w:tcPr>
            <w:tcW w:w="1712" w:type="dxa"/>
            <w:tcMar>
              <w:top w:w="28" w:type="dxa"/>
              <w:left w:w="57" w:type="dxa"/>
              <w:bottom w:w="28" w:type="dxa"/>
              <w:right w:w="57" w:type="dxa"/>
            </w:tcMar>
            <w:vAlign w:val="center"/>
          </w:tcPr>
          <w:p w14:paraId="194F30FB" w14:textId="77777777" w:rsidR="00600A81" w:rsidRPr="00E84C93" w:rsidRDefault="00600A81" w:rsidP="008C3BC9">
            <w:pPr>
              <w:kinsoku w:val="0"/>
              <w:overflowPunct w:val="0"/>
              <w:autoSpaceDE w:val="0"/>
              <w:autoSpaceDN w:val="0"/>
              <w:adjustRightInd w:val="0"/>
              <w:spacing w:after="0"/>
              <w:ind w:right="212"/>
              <w:jc w:val="center"/>
              <w:rPr>
                <w:w w:val="105"/>
                <w:sz w:val="22"/>
                <w:lang w:val="sr-Cyrl-CS"/>
              </w:rPr>
            </w:pPr>
            <w:r w:rsidRPr="00E84C93">
              <w:rPr>
                <w:w w:val="105"/>
                <w:sz w:val="22"/>
                <w:lang w:val="sr-Cyrl-CS"/>
              </w:rPr>
              <w:t>≥ 65</w:t>
            </w:r>
          </w:p>
        </w:tc>
        <w:tc>
          <w:tcPr>
            <w:tcW w:w="1916" w:type="dxa"/>
            <w:gridSpan w:val="2"/>
            <w:tcMar>
              <w:top w:w="28" w:type="dxa"/>
              <w:left w:w="57" w:type="dxa"/>
              <w:bottom w:w="28" w:type="dxa"/>
              <w:right w:w="57" w:type="dxa"/>
            </w:tcMar>
            <w:vAlign w:val="center"/>
          </w:tcPr>
          <w:p w14:paraId="0E16CB3A" w14:textId="77777777" w:rsidR="00600A81" w:rsidRPr="00E84C93" w:rsidRDefault="00600A81" w:rsidP="008C3BC9">
            <w:pPr>
              <w:kinsoku w:val="0"/>
              <w:overflowPunct w:val="0"/>
              <w:autoSpaceDE w:val="0"/>
              <w:autoSpaceDN w:val="0"/>
              <w:adjustRightInd w:val="0"/>
              <w:spacing w:after="0"/>
              <w:jc w:val="center"/>
              <w:rPr>
                <w:sz w:val="22"/>
                <w:lang w:val="sr-Cyrl-CS"/>
              </w:rPr>
            </w:pPr>
          </w:p>
        </w:tc>
        <w:tc>
          <w:tcPr>
            <w:tcW w:w="973" w:type="dxa"/>
            <w:tcMar>
              <w:top w:w="28" w:type="dxa"/>
              <w:left w:w="57" w:type="dxa"/>
              <w:bottom w:w="28" w:type="dxa"/>
              <w:right w:w="57" w:type="dxa"/>
            </w:tcMar>
            <w:vAlign w:val="center"/>
          </w:tcPr>
          <w:p w14:paraId="1B7F32D5" w14:textId="77777777" w:rsidR="00600A81" w:rsidRPr="00E84C93" w:rsidRDefault="00600A81" w:rsidP="008C3BC9">
            <w:pPr>
              <w:kinsoku w:val="0"/>
              <w:overflowPunct w:val="0"/>
              <w:autoSpaceDE w:val="0"/>
              <w:autoSpaceDN w:val="0"/>
              <w:adjustRightInd w:val="0"/>
              <w:spacing w:after="0"/>
              <w:ind w:left="154" w:right="125"/>
              <w:jc w:val="center"/>
              <w:rPr>
                <w:w w:val="105"/>
                <w:sz w:val="22"/>
                <w:lang w:val="sr-Cyrl-CS"/>
              </w:rPr>
            </w:pPr>
            <w:r w:rsidRPr="00E84C93">
              <w:rPr>
                <w:w w:val="105"/>
                <w:sz w:val="22"/>
                <w:lang w:val="sr-Cyrl-CS"/>
              </w:rPr>
              <w:t>0,10</w:t>
            </w:r>
          </w:p>
        </w:tc>
        <w:tc>
          <w:tcPr>
            <w:tcW w:w="899" w:type="dxa"/>
            <w:tcMar>
              <w:top w:w="28" w:type="dxa"/>
              <w:left w:w="57" w:type="dxa"/>
              <w:bottom w:w="28" w:type="dxa"/>
              <w:right w:w="57" w:type="dxa"/>
            </w:tcMar>
            <w:vAlign w:val="center"/>
          </w:tcPr>
          <w:p w14:paraId="79CDE925" w14:textId="77777777" w:rsidR="00600A81" w:rsidRPr="00E84C93" w:rsidRDefault="00600A81" w:rsidP="008C3BC9">
            <w:pPr>
              <w:kinsoku w:val="0"/>
              <w:overflowPunct w:val="0"/>
              <w:autoSpaceDE w:val="0"/>
              <w:autoSpaceDN w:val="0"/>
              <w:adjustRightInd w:val="0"/>
              <w:spacing w:after="0"/>
              <w:ind w:left="130" w:right="98"/>
              <w:jc w:val="center"/>
              <w:rPr>
                <w:w w:val="105"/>
                <w:sz w:val="22"/>
                <w:lang w:val="sr-Cyrl-CS"/>
              </w:rPr>
            </w:pPr>
            <w:r w:rsidRPr="00E84C93">
              <w:rPr>
                <w:w w:val="105"/>
                <w:sz w:val="22"/>
                <w:lang w:val="sr-Cyrl-CS"/>
              </w:rPr>
              <w:t>0,16</w:t>
            </w:r>
          </w:p>
        </w:tc>
        <w:tc>
          <w:tcPr>
            <w:tcW w:w="1967" w:type="dxa"/>
            <w:gridSpan w:val="2"/>
            <w:tcMar>
              <w:top w:w="28" w:type="dxa"/>
              <w:left w:w="57" w:type="dxa"/>
              <w:bottom w:w="28" w:type="dxa"/>
              <w:right w:w="57" w:type="dxa"/>
            </w:tcMar>
            <w:vAlign w:val="center"/>
          </w:tcPr>
          <w:p w14:paraId="6B76337D" w14:textId="77777777" w:rsidR="00600A81" w:rsidRPr="00E84C93" w:rsidRDefault="00600A81" w:rsidP="008C3BC9">
            <w:pPr>
              <w:kinsoku w:val="0"/>
              <w:overflowPunct w:val="0"/>
              <w:autoSpaceDE w:val="0"/>
              <w:autoSpaceDN w:val="0"/>
              <w:adjustRightInd w:val="0"/>
              <w:spacing w:after="0"/>
              <w:ind w:left="209" w:right="191"/>
              <w:jc w:val="center"/>
              <w:rPr>
                <w:w w:val="105"/>
                <w:sz w:val="22"/>
                <w:lang w:val="sr-Cyrl-CS"/>
              </w:rPr>
            </w:pPr>
            <w:r w:rsidRPr="00E84C93">
              <w:rPr>
                <w:w w:val="105"/>
                <w:sz w:val="22"/>
                <w:lang w:val="sr-Cyrl-CS"/>
              </w:rPr>
              <w:t>0,1</w:t>
            </w:r>
          </w:p>
        </w:tc>
      </w:tr>
    </w:tbl>
    <w:p w14:paraId="5A1C2737" w14:textId="77777777" w:rsidR="00600A81" w:rsidRPr="00E84C93" w:rsidRDefault="00600A81" w:rsidP="00600A81">
      <w:pPr>
        <w:spacing w:after="0"/>
        <w:ind w:firstLine="720"/>
        <w:jc w:val="both"/>
        <w:rPr>
          <w:rFonts w:cs="Times New Roman"/>
          <w:noProof/>
          <w:szCs w:val="24"/>
          <w:lang w:val="sr-Cyrl-CS"/>
        </w:rPr>
      </w:pPr>
    </w:p>
    <w:p w14:paraId="0519484B" w14:textId="2AE49A09" w:rsidR="00600A81" w:rsidRPr="00E84C93" w:rsidRDefault="00600A81" w:rsidP="00600A81">
      <w:pPr>
        <w:spacing w:after="0"/>
        <w:ind w:firstLine="720"/>
        <w:jc w:val="both"/>
        <w:rPr>
          <w:rFonts w:cs="Times New Roman"/>
          <w:noProof/>
          <w:szCs w:val="24"/>
          <w:lang w:val="sr-Cyrl-CS"/>
        </w:rPr>
      </w:pPr>
      <w:bookmarkStart w:id="115" w:name="_Hlk97380993"/>
      <w:r w:rsidRPr="00E84C93">
        <w:rPr>
          <w:rFonts w:cs="Times New Roman"/>
          <w:noProof/>
          <w:szCs w:val="24"/>
          <w:lang w:val="sr-Cyrl-CS"/>
        </w:rPr>
        <w:t xml:space="preserve">У оквиру укупних инвестиционих трошкова, свакако су најзначајнији трошкови изградње </w:t>
      </w:r>
      <w:r w:rsidR="00D010D1" w:rsidRPr="00E84C93">
        <w:rPr>
          <w:rFonts w:cs="Times New Roman"/>
          <w:noProof/>
          <w:szCs w:val="24"/>
          <w:lang w:val="sr-Cyrl-CS"/>
        </w:rPr>
        <w:t>моно</w:t>
      </w:r>
      <w:r w:rsidRPr="00E84C93">
        <w:rPr>
          <w:rFonts w:cs="Times New Roman"/>
          <w:noProof/>
          <w:szCs w:val="24"/>
          <w:lang w:val="sr-Cyrl-CS"/>
        </w:rPr>
        <w:t xml:space="preserve">инсинератора и </w:t>
      </w:r>
      <w:r w:rsidR="00D010D1" w:rsidRPr="00E84C93">
        <w:rPr>
          <w:rFonts w:cs="Times New Roman"/>
          <w:noProof/>
          <w:szCs w:val="24"/>
          <w:lang w:val="sr-Cyrl-CS"/>
        </w:rPr>
        <w:t>моно</w:t>
      </w:r>
      <w:r w:rsidRPr="00E84C93">
        <w:rPr>
          <w:rFonts w:cs="Times New Roman"/>
          <w:noProof/>
          <w:szCs w:val="24"/>
          <w:lang w:val="sr-Cyrl-CS"/>
        </w:rPr>
        <w:t xml:space="preserve">депонија. Укупан износ инвестиционих трошкова, као и годишњих оперативних трошкова неопходних за њихово функционисање у случају успостављања </w:t>
      </w:r>
      <w:r w:rsidR="00CD37E5" w:rsidRPr="00E84C93">
        <w:rPr>
          <w:rFonts w:cs="Times New Roman"/>
          <w:noProof/>
          <w:szCs w:val="24"/>
          <w:lang w:val="sr-Cyrl-CS"/>
        </w:rPr>
        <w:t xml:space="preserve">три </w:t>
      </w:r>
      <w:r w:rsidR="00CA45BD" w:rsidRPr="00E84C93">
        <w:rPr>
          <w:rFonts w:cs="Times New Roman"/>
          <w:noProof/>
          <w:szCs w:val="24"/>
          <w:lang w:val="sr-Cyrl-CS"/>
        </w:rPr>
        <w:t>моноинсинератора</w:t>
      </w:r>
      <w:r w:rsidRPr="00E84C93">
        <w:rPr>
          <w:rFonts w:cs="Times New Roman"/>
          <w:noProof/>
          <w:szCs w:val="24"/>
          <w:lang w:val="sr-Cyrl-CS"/>
        </w:rPr>
        <w:t xml:space="preserve"> су дати </w:t>
      </w:r>
      <w:r w:rsidR="00CA45BD" w:rsidRPr="00E84C93">
        <w:rPr>
          <w:rFonts w:cs="Times New Roman"/>
          <w:noProof/>
          <w:szCs w:val="24"/>
          <w:lang w:val="sr-Cyrl-CS"/>
        </w:rPr>
        <w:t xml:space="preserve">у </w:t>
      </w:r>
      <w:r w:rsidR="002618D3" w:rsidRPr="00E84C93">
        <w:rPr>
          <w:rFonts w:cs="Times New Roman"/>
          <w:noProof/>
          <w:szCs w:val="24"/>
          <w:lang w:val="sr-Cyrl-CS"/>
        </w:rPr>
        <w:t>Т</w:t>
      </w:r>
      <w:r w:rsidRPr="00E84C93">
        <w:rPr>
          <w:rFonts w:cs="Times New Roman"/>
          <w:noProof/>
          <w:szCs w:val="24"/>
          <w:lang w:val="sr-Cyrl-CS"/>
        </w:rPr>
        <w:t>абели</w:t>
      </w:r>
      <w:r w:rsidR="002B01E5" w:rsidRPr="00E84C93">
        <w:rPr>
          <w:rFonts w:cs="Times New Roman"/>
          <w:noProof/>
          <w:szCs w:val="24"/>
          <w:lang w:val="sr-Cyrl-CS"/>
        </w:rPr>
        <w:t xml:space="preserve"> 7.4</w:t>
      </w:r>
      <w:r w:rsidRPr="00E84C93">
        <w:rPr>
          <w:rFonts w:cs="Times New Roman"/>
          <w:noProof/>
          <w:szCs w:val="24"/>
          <w:lang w:val="sr-Cyrl-CS"/>
        </w:rPr>
        <w:t>.</w:t>
      </w:r>
    </w:p>
    <w:p w14:paraId="35F71A85" w14:textId="77777777" w:rsidR="00600A81" w:rsidRPr="00E84C93" w:rsidRDefault="00600A81" w:rsidP="00600A81">
      <w:pPr>
        <w:spacing w:after="0"/>
        <w:ind w:firstLine="720"/>
        <w:jc w:val="both"/>
        <w:rPr>
          <w:rFonts w:cs="Times New Roman"/>
          <w:noProof/>
          <w:szCs w:val="24"/>
          <w:lang w:val="sr-Cyrl-CS"/>
        </w:rPr>
      </w:pPr>
    </w:p>
    <w:p w14:paraId="5E6F2508" w14:textId="35331E3A" w:rsidR="00600A81" w:rsidRPr="00E84C93" w:rsidRDefault="00600A81" w:rsidP="00600A81">
      <w:pPr>
        <w:spacing w:after="0"/>
        <w:jc w:val="both"/>
        <w:rPr>
          <w:rFonts w:cs="Times New Roman"/>
          <w:szCs w:val="24"/>
          <w:lang w:val="sr-Cyrl-CS"/>
        </w:rPr>
      </w:pPr>
      <w:bookmarkStart w:id="116" w:name="_Hlk97381034"/>
      <w:bookmarkEnd w:id="115"/>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w:t>
      </w:r>
      <w:r w:rsidR="00CD37E5" w:rsidRPr="00E84C93">
        <w:rPr>
          <w:rFonts w:cs="Times New Roman"/>
          <w:b/>
          <w:bCs/>
          <w:szCs w:val="24"/>
          <w:lang w:val="sr-Cyrl-CS"/>
        </w:rPr>
        <w:t>4</w:t>
      </w:r>
      <w:r w:rsidRPr="00E84C93">
        <w:rPr>
          <w:rFonts w:cs="Times New Roman"/>
          <w:b/>
          <w:bCs/>
          <w:szCs w:val="24"/>
          <w:lang w:val="sr-Cyrl-CS"/>
        </w:rPr>
        <w:t xml:space="preserve">. </w:t>
      </w:r>
      <w:r w:rsidRPr="00E84C93">
        <w:rPr>
          <w:rFonts w:cs="Times New Roman"/>
          <w:szCs w:val="24"/>
          <w:lang w:val="sr-Cyrl-CS"/>
        </w:rPr>
        <w:t xml:space="preserve">Укупни инвестициони и оперативни трошкови за изградњу и функционисање </w:t>
      </w:r>
      <w:r w:rsidR="00D010D1" w:rsidRPr="00E84C93">
        <w:rPr>
          <w:rFonts w:cs="Times New Roman"/>
          <w:szCs w:val="24"/>
          <w:lang w:val="sr-Cyrl-CS"/>
        </w:rPr>
        <w:t>моно</w:t>
      </w:r>
      <w:r w:rsidRPr="00E84C93">
        <w:rPr>
          <w:rFonts w:cs="Times New Roman"/>
          <w:szCs w:val="24"/>
          <w:lang w:val="sr-Cyrl-CS"/>
        </w:rPr>
        <w:t>инсинератора (у еврима, константне цене из 2022. године)</w:t>
      </w:r>
    </w:p>
    <w:tbl>
      <w:tblPr>
        <w:tblStyle w:val="TableGrid1"/>
        <w:tblW w:w="9350" w:type="dxa"/>
        <w:tblLook w:val="04A0" w:firstRow="1" w:lastRow="0" w:firstColumn="1" w:lastColumn="0" w:noHBand="0" w:noVBand="1"/>
      </w:tblPr>
      <w:tblGrid>
        <w:gridCol w:w="693"/>
        <w:gridCol w:w="3697"/>
        <w:gridCol w:w="1275"/>
        <w:gridCol w:w="1985"/>
        <w:gridCol w:w="1700"/>
      </w:tblGrid>
      <w:tr w:rsidR="00600A81" w:rsidRPr="00E84C93" w14:paraId="64D8391B" w14:textId="77777777" w:rsidTr="008C3BC9">
        <w:trPr>
          <w:trHeight w:val="223"/>
        </w:trPr>
        <w:tc>
          <w:tcPr>
            <w:tcW w:w="693" w:type="dxa"/>
            <w:shd w:val="clear" w:color="auto" w:fill="9CC2E5" w:themeFill="accent1" w:themeFillTint="99"/>
            <w:noWrap/>
            <w:vAlign w:val="center"/>
            <w:hideMark/>
          </w:tcPr>
          <w:p w14:paraId="68EC9C04"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Бр.</w:t>
            </w:r>
          </w:p>
        </w:tc>
        <w:tc>
          <w:tcPr>
            <w:tcW w:w="3697" w:type="dxa"/>
            <w:shd w:val="clear" w:color="auto" w:fill="9CC2E5" w:themeFill="accent1" w:themeFillTint="99"/>
            <w:noWrap/>
            <w:vAlign w:val="center"/>
            <w:hideMark/>
          </w:tcPr>
          <w:p w14:paraId="582A25CF"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Локација</w:t>
            </w:r>
          </w:p>
        </w:tc>
        <w:tc>
          <w:tcPr>
            <w:tcW w:w="1275" w:type="dxa"/>
            <w:shd w:val="clear" w:color="auto" w:fill="9CC2E5" w:themeFill="accent1" w:themeFillTint="99"/>
            <w:noWrap/>
            <w:vAlign w:val="center"/>
            <w:hideMark/>
          </w:tcPr>
          <w:p w14:paraId="63F966AA"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t СМ/год.</w:t>
            </w:r>
          </w:p>
        </w:tc>
        <w:tc>
          <w:tcPr>
            <w:tcW w:w="1985" w:type="dxa"/>
            <w:shd w:val="clear" w:color="auto" w:fill="9CC2E5" w:themeFill="accent1" w:themeFillTint="99"/>
            <w:noWrap/>
            <w:vAlign w:val="center"/>
            <w:hideMark/>
          </w:tcPr>
          <w:p w14:paraId="71E47A3F"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Инвестициони трошкови (€)</w:t>
            </w:r>
          </w:p>
        </w:tc>
        <w:tc>
          <w:tcPr>
            <w:tcW w:w="1700" w:type="dxa"/>
            <w:shd w:val="clear" w:color="auto" w:fill="9CC2E5" w:themeFill="accent1" w:themeFillTint="99"/>
            <w:noWrap/>
            <w:vAlign w:val="center"/>
            <w:hideMark/>
          </w:tcPr>
          <w:p w14:paraId="6532B1B4"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Оперативни трошкови (€/годишње)</w:t>
            </w:r>
          </w:p>
        </w:tc>
      </w:tr>
      <w:tr w:rsidR="00600A81" w:rsidRPr="00E84C93" w14:paraId="00AE514B" w14:textId="77777777" w:rsidTr="008C3BC9">
        <w:trPr>
          <w:trHeight w:val="223"/>
        </w:trPr>
        <w:tc>
          <w:tcPr>
            <w:tcW w:w="693" w:type="dxa"/>
            <w:noWrap/>
            <w:vAlign w:val="center"/>
            <w:hideMark/>
          </w:tcPr>
          <w:p w14:paraId="56139E2B" w14:textId="774DC0C7"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w:t>
            </w:r>
            <w:r w:rsidR="002618D3" w:rsidRPr="00E84C93">
              <w:rPr>
                <w:rFonts w:eastAsia="Times New Roman"/>
                <w:sz w:val="22"/>
                <w:lang w:val="sr-Cyrl-CS"/>
              </w:rPr>
              <w:t>.</w:t>
            </w:r>
          </w:p>
        </w:tc>
        <w:tc>
          <w:tcPr>
            <w:tcW w:w="3697" w:type="dxa"/>
            <w:noWrap/>
            <w:vAlign w:val="center"/>
            <w:hideMark/>
          </w:tcPr>
          <w:p w14:paraId="49A7BDE6"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Београд</w:t>
            </w:r>
          </w:p>
        </w:tc>
        <w:tc>
          <w:tcPr>
            <w:tcW w:w="1275" w:type="dxa"/>
            <w:noWrap/>
            <w:vAlign w:val="center"/>
            <w:hideMark/>
          </w:tcPr>
          <w:p w14:paraId="432CF812"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35.000</w:t>
            </w:r>
          </w:p>
        </w:tc>
        <w:tc>
          <w:tcPr>
            <w:tcW w:w="1985" w:type="dxa"/>
            <w:noWrap/>
            <w:vAlign w:val="center"/>
            <w:hideMark/>
          </w:tcPr>
          <w:p w14:paraId="2F35AA60"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42.000.000</w:t>
            </w:r>
          </w:p>
        </w:tc>
        <w:tc>
          <w:tcPr>
            <w:tcW w:w="1700" w:type="dxa"/>
            <w:noWrap/>
            <w:vAlign w:val="center"/>
            <w:hideMark/>
          </w:tcPr>
          <w:p w14:paraId="38D5E491"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2.250.000</w:t>
            </w:r>
          </w:p>
        </w:tc>
      </w:tr>
      <w:tr w:rsidR="00600A81" w:rsidRPr="00E84C93" w14:paraId="5BDB7C05" w14:textId="77777777" w:rsidTr="008C3BC9">
        <w:trPr>
          <w:trHeight w:val="210"/>
        </w:trPr>
        <w:tc>
          <w:tcPr>
            <w:tcW w:w="693" w:type="dxa"/>
            <w:noWrap/>
            <w:vAlign w:val="center"/>
            <w:hideMark/>
          </w:tcPr>
          <w:p w14:paraId="3A7149B7" w14:textId="25464C77"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2</w:t>
            </w:r>
            <w:r w:rsidR="002618D3" w:rsidRPr="00E84C93">
              <w:rPr>
                <w:rFonts w:eastAsia="Times New Roman"/>
                <w:sz w:val="22"/>
                <w:lang w:val="sr-Cyrl-CS"/>
              </w:rPr>
              <w:t>.</w:t>
            </w:r>
          </w:p>
        </w:tc>
        <w:tc>
          <w:tcPr>
            <w:tcW w:w="3697" w:type="dxa"/>
            <w:noWrap/>
            <w:vAlign w:val="center"/>
            <w:hideMark/>
          </w:tcPr>
          <w:p w14:paraId="2725D669"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Нови Сад</w:t>
            </w:r>
          </w:p>
        </w:tc>
        <w:tc>
          <w:tcPr>
            <w:tcW w:w="1275" w:type="dxa"/>
            <w:noWrap/>
            <w:vAlign w:val="center"/>
            <w:hideMark/>
          </w:tcPr>
          <w:p w14:paraId="719F52C8"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20.000</w:t>
            </w:r>
          </w:p>
        </w:tc>
        <w:tc>
          <w:tcPr>
            <w:tcW w:w="1985" w:type="dxa"/>
            <w:noWrap/>
            <w:vAlign w:val="center"/>
            <w:hideMark/>
          </w:tcPr>
          <w:p w14:paraId="0837BE4B"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27.600.000</w:t>
            </w:r>
          </w:p>
        </w:tc>
        <w:tc>
          <w:tcPr>
            <w:tcW w:w="1700" w:type="dxa"/>
            <w:noWrap/>
            <w:vAlign w:val="center"/>
            <w:hideMark/>
          </w:tcPr>
          <w:p w14:paraId="5D8BEBA2"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1.500.000</w:t>
            </w:r>
          </w:p>
        </w:tc>
      </w:tr>
      <w:tr w:rsidR="00600A81" w:rsidRPr="00E84C93" w14:paraId="4FFE88F6" w14:textId="77777777" w:rsidTr="008C3BC9">
        <w:trPr>
          <w:trHeight w:val="210"/>
        </w:trPr>
        <w:tc>
          <w:tcPr>
            <w:tcW w:w="693" w:type="dxa"/>
            <w:noWrap/>
            <w:vAlign w:val="center"/>
            <w:hideMark/>
          </w:tcPr>
          <w:p w14:paraId="0E31A150" w14:textId="18735883"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3</w:t>
            </w:r>
            <w:r w:rsidR="002618D3" w:rsidRPr="00E84C93">
              <w:rPr>
                <w:rFonts w:eastAsia="Times New Roman"/>
                <w:sz w:val="22"/>
                <w:lang w:val="sr-Cyrl-CS"/>
              </w:rPr>
              <w:t>.</w:t>
            </w:r>
          </w:p>
        </w:tc>
        <w:tc>
          <w:tcPr>
            <w:tcW w:w="3697" w:type="dxa"/>
            <w:noWrap/>
            <w:vAlign w:val="center"/>
            <w:hideMark/>
          </w:tcPr>
          <w:p w14:paraId="21063735" w14:textId="70AFEEE4" w:rsidR="00600A81" w:rsidRPr="00E84C93" w:rsidRDefault="00600A81" w:rsidP="008C3BC9">
            <w:pPr>
              <w:spacing w:after="0"/>
              <w:rPr>
                <w:rFonts w:eastAsia="Times New Roman"/>
                <w:sz w:val="22"/>
                <w:lang w:val="sr-Cyrl-CS"/>
              </w:rPr>
            </w:pPr>
            <w:r w:rsidRPr="00E84C93">
              <w:rPr>
                <w:rFonts w:eastAsia="Times New Roman"/>
                <w:sz w:val="22"/>
                <w:lang w:val="sr-Cyrl-CS"/>
              </w:rPr>
              <w:t xml:space="preserve">Ниш </w:t>
            </w:r>
            <w:r w:rsidR="00CD37E5" w:rsidRPr="00E84C93">
              <w:rPr>
                <w:rFonts w:eastAsia="Times New Roman"/>
                <w:sz w:val="22"/>
                <w:lang w:val="sr-Cyrl-CS"/>
              </w:rPr>
              <w:t xml:space="preserve">(за регион Шумадије и </w:t>
            </w:r>
            <w:r w:rsidR="00CA45BD" w:rsidRPr="00E84C93">
              <w:rPr>
                <w:rFonts w:eastAsia="Times New Roman"/>
                <w:sz w:val="22"/>
                <w:lang w:val="sr-Cyrl-CS"/>
              </w:rPr>
              <w:t>З</w:t>
            </w:r>
            <w:r w:rsidR="00CD37E5" w:rsidRPr="00E84C93">
              <w:rPr>
                <w:rFonts w:eastAsia="Times New Roman"/>
                <w:sz w:val="22"/>
                <w:lang w:val="sr-Cyrl-CS"/>
              </w:rPr>
              <w:t xml:space="preserve">ападне Србије и регион Јужне и </w:t>
            </w:r>
            <w:r w:rsidR="00CA45BD" w:rsidRPr="00E84C93">
              <w:rPr>
                <w:rFonts w:eastAsia="Times New Roman"/>
                <w:sz w:val="22"/>
                <w:lang w:val="sr-Cyrl-CS"/>
              </w:rPr>
              <w:t>И</w:t>
            </w:r>
            <w:r w:rsidR="00CD37E5" w:rsidRPr="00E84C93">
              <w:rPr>
                <w:rFonts w:eastAsia="Times New Roman"/>
                <w:sz w:val="22"/>
                <w:lang w:val="sr-Cyrl-CS"/>
              </w:rPr>
              <w:t xml:space="preserve">сточне Србије) </w:t>
            </w:r>
          </w:p>
        </w:tc>
        <w:tc>
          <w:tcPr>
            <w:tcW w:w="1275" w:type="dxa"/>
            <w:noWrap/>
            <w:vAlign w:val="center"/>
            <w:hideMark/>
          </w:tcPr>
          <w:p w14:paraId="0680A820"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30.000</w:t>
            </w:r>
          </w:p>
        </w:tc>
        <w:tc>
          <w:tcPr>
            <w:tcW w:w="1985" w:type="dxa"/>
            <w:noWrap/>
            <w:vAlign w:val="center"/>
            <w:hideMark/>
          </w:tcPr>
          <w:p w14:paraId="10BE8C20"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38.400.000</w:t>
            </w:r>
          </w:p>
        </w:tc>
        <w:tc>
          <w:tcPr>
            <w:tcW w:w="1700" w:type="dxa"/>
            <w:noWrap/>
            <w:vAlign w:val="center"/>
            <w:hideMark/>
          </w:tcPr>
          <w:p w14:paraId="79125973"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2.000.000</w:t>
            </w:r>
          </w:p>
        </w:tc>
      </w:tr>
      <w:tr w:rsidR="00600A81" w:rsidRPr="00E84C93" w14:paraId="3CCE70A3" w14:textId="77777777" w:rsidTr="008C3BC9">
        <w:trPr>
          <w:trHeight w:val="210"/>
        </w:trPr>
        <w:tc>
          <w:tcPr>
            <w:tcW w:w="693" w:type="dxa"/>
            <w:noWrap/>
            <w:vAlign w:val="center"/>
          </w:tcPr>
          <w:p w14:paraId="72D92CB1" w14:textId="77777777" w:rsidR="00600A81" w:rsidRPr="00E84C93" w:rsidRDefault="00600A81" w:rsidP="008C3BC9">
            <w:pPr>
              <w:spacing w:after="0"/>
              <w:jc w:val="center"/>
              <w:rPr>
                <w:rFonts w:eastAsia="Times New Roman"/>
                <w:b/>
                <w:bCs/>
                <w:i/>
                <w:iCs/>
                <w:sz w:val="22"/>
                <w:highlight w:val="green"/>
                <w:lang w:val="sr-Cyrl-CS"/>
              </w:rPr>
            </w:pPr>
          </w:p>
        </w:tc>
        <w:tc>
          <w:tcPr>
            <w:tcW w:w="3697" w:type="dxa"/>
            <w:noWrap/>
            <w:vAlign w:val="center"/>
          </w:tcPr>
          <w:p w14:paraId="10946EA6" w14:textId="77777777" w:rsidR="00600A81" w:rsidRPr="00E84C93" w:rsidRDefault="00600A81" w:rsidP="008C3BC9">
            <w:pPr>
              <w:spacing w:after="0"/>
              <w:rPr>
                <w:rFonts w:eastAsia="Times New Roman"/>
                <w:b/>
                <w:bCs/>
                <w:i/>
                <w:iCs/>
                <w:sz w:val="22"/>
                <w:lang w:val="sr-Cyrl-CS"/>
              </w:rPr>
            </w:pPr>
            <w:r w:rsidRPr="00E84C93">
              <w:rPr>
                <w:rFonts w:eastAsia="Times New Roman"/>
                <w:b/>
                <w:bCs/>
                <w:sz w:val="22"/>
                <w:lang w:val="sr-Cyrl-CS"/>
              </w:rPr>
              <w:t>Укупно</w:t>
            </w:r>
          </w:p>
        </w:tc>
        <w:tc>
          <w:tcPr>
            <w:tcW w:w="1275" w:type="dxa"/>
            <w:noWrap/>
            <w:vAlign w:val="center"/>
          </w:tcPr>
          <w:p w14:paraId="2965A2F5" w14:textId="77777777" w:rsidR="00600A81" w:rsidRPr="00E84C93" w:rsidRDefault="00600A81" w:rsidP="008C3BC9">
            <w:pPr>
              <w:spacing w:after="0"/>
              <w:jc w:val="right"/>
              <w:rPr>
                <w:rFonts w:eastAsia="Times New Roman"/>
                <w:b/>
                <w:bCs/>
                <w:sz w:val="22"/>
                <w:lang w:val="sr-Cyrl-CS"/>
              </w:rPr>
            </w:pPr>
            <w:r w:rsidRPr="00E84C93">
              <w:rPr>
                <w:rFonts w:eastAsia="Times New Roman"/>
                <w:b/>
                <w:bCs/>
                <w:sz w:val="22"/>
                <w:lang w:val="sr-Cyrl-CS"/>
              </w:rPr>
              <w:t>85.000</w:t>
            </w:r>
          </w:p>
        </w:tc>
        <w:tc>
          <w:tcPr>
            <w:tcW w:w="1985" w:type="dxa"/>
            <w:noWrap/>
            <w:vAlign w:val="center"/>
          </w:tcPr>
          <w:p w14:paraId="3B2963E0" w14:textId="77777777" w:rsidR="00600A81" w:rsidRPr="00E84C93" w:rsidRDefault="00600A81" w:rsidP="008C3BC9">
            <w:pPr>
              <w:spacing w:after="0"/>
              <w:jc w:val="right"/>
              <w:rPr>
                <w:rFonts w:eastAsia="Times New Roman"/>
                <w:b/>
                <w:bCs/>
                <w:sz w:val="22"/>
                <w:lang w:val="sr-Cyrl-CS"/>
              </w:rPr>
            </w:pPr>
            <w:r w:rsidRPr="00E84C93">
              <w:rPr>
                <w:rFonts w:eastAsia="Times New Roman"/>
                <w:b/>
                <w:bCs/>
                <w:sz w:val="22"/>
                <w:lang w:val="sr-Cyrl-CS"/>
              </w:rPr>
              <w:t>90.000.000</w:t>
            </w:r>
          </w:p>
        </w:tc>
        <w:tc>
          <w:tcPr>
            <w:tcW w:w="1700" w:type="dxa"/>
            <w:noWrap/>
            <w:vAlign w:val="center"/>
          </w:tcPr>
          <w:p w14:paraId="3DE95E2B" w14:textId="77777777" w:rsidR="00600A81" w:rsidRPr="00E84C93" w:rsidRDefault="00600A81" w:rsidP="008C3BC9">
            <w:pPr>
              <w:spacing w:after="0"/>
              <w:jc w:val="right"/>
              <w:rPr>
                <w:rFonts w:eastAsia="Times New Roman"/>
                <w:b/>
                <w:bCs/>
                <w:sz w:val="22"/>
                <w:lang w:val="sr-Cyrl-CS"/>
              </w:rPr>
            </w:pPr>
            <w:r w:rsidRPr="00E84C93">
              <w:rPr>
                <w:rFonts w:eastAsia="Times New Roman"/>
                <w:b/>
                <w:bCs/>
                <w:sz w:val="22"/>
                <w:lang w:val="sr-Cyrl-CS"/>
              </w:rPr>
              <w:t>5.750.000</w:t>
            </w:r>
          </w:p>
        </w:tc>
      </w:tr>
    </w:tbl>
    <w:p w14:paraId="56C3EEF6" w14:textId="77777777" w:rsidR="00600A81" w:rsidRPr="00E84C93" w:rsidRDefault="00600A81" w:rsidP="00600A81">
      <w:pPr>
        <w:spacing w:after="0"/>
        <w:jc w:val="both"/>
        <w:rPr>
          <w:rFonts w:cs="Times New Roman"/>
          <w:noProof/>
          <w:szCs w:val="24"/>
          <w:highlight w:val="green"/>
          <w:lang w:val="sr-Cyrl-CS"/>
        </w:rPr>
      </w:pPr>
    </w:p>
    <w:p w14:paraId="35B333BA" w14:textId="5CBDB3F6"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У случају </w:t>
      </w:r>
      <w:r w:rsidRPr="00E84C93">
        <w:rPr>
          <w:rFonts w:cs="Times New Roman"/>
          <w:b/>
          <w:bCs/>
          <w:noProof/>
          <w:szCs w:val="24"/>
          <w:lang w:val="sr-Cyrl-CS"/>
        </w:rPr>
        <w:t xml:space="preserve">три </w:t>
      </w:r>
      <w:r w:rsidR="007E4D02" w:rsidRPr="00E84C93">
        <w:rPr>
          <w:rFonts w:cs="Times New Roman"/>
          <w:b/>
          <w:bCs/>
          <w:noProof/>
          <w:szCs w:val="24"/>
          <w:lang w:val="sr-Cyrl-CS"/>
        </w:rPr>
        <w:t>моноинсинератора</w:t>
      </w:r>
      <w:r w:rsidRPr="00E84C93">
        <w:rPr>
          <w:rFonts w:cs="Times New Roman"/>
          <w:noProof/>
          <w:szCs w:val="24"/>
          <w:lang w:val="sr-Cyrl-CS"/>
        </w:rPr>
        <w:t xml:space="preserve"> (поред Београда и Новог Сада гради се један у Нишу</w:t>
      </w:r>
      <w:r w:rsidR="00CD37E5" w:rsidRPr="00E84C93">
        <w:rPr>
          <w:rFonts w:cs="Times New Roman"/>
          <w:noProof/>
          <w:szCs w:val="24"/>
          <w:lang w:val="sr-Cyrl-CS"/>
        </w:rPr>
        <w:t>, опционо у</w:t>
      </w:r>
      <w:r w:rsidRPr="00E84C93">
        <w:rPr>
          <w:rFonts w:cs="Times New Roman"/>
          <w:noProof/>
          <w:szCs w:val="24"/>
          <w:lang w:val="sr-Cyrl-CS"/>
        </w:rPr>
        <w:t xml:space="preserve"> Крагујевцу) укупни инвестициони трошкови би износили </w:t>
      </w:r>
      <w:r w:rsidRPr="00E84C93">
        <w:rPr>
          <w:rFonts w:cs="Times New Roman"/>
          <w:b/>
          <w:bCs/>
          <w:noProof/>
          <w:szCs w:val="24"/>
          <w:lang w:val="sr-Cyrl-CS"/>
        </w:rPr>
        <w:t>90 милиона евра</w:t>
      </w:r>
      <w:r w:rsidRPr="00E84C93">
        <w:rPr>
          <w:rFonts w:cs="Times New Roman"/>
          <w:noProof/>
          <w:szCs w:val="24"/>
          <w:lang w:val="sr-Cyrl-CS"/>
        </w:rPr>
        <w:t>, а оперативни трошкови на годишњем нивоу 5,75 милиона евра.</w:t>
      </w:r>
    </w:p>
    <w:p w14:paraId="055C28FB" w14:textId="678EA53A" w:rsidR="00600A81" w:rsidRPr="00E84C93" w:rsidRDefault="00600A81" w:rsidP="00600A81">
      <w:pPr>
        <w:spacing w:after="0"/>
        <w:ind w:firstLine="720"/>
        <w:jc w:val="both"/>
        <w:rPr>
          <w:rFonts w:cs="Times New Roman"/>
          <w:b/>
          <w:bCs/>
          <w:noProof/>
          <w:szCs w:val="24"/>
          <w:lang w:val="sr-Cyrl-CS"/>
        </w:rPr>
      </w:pPr>
      <w:r w:rsidRPr="00E84C93">
        <w:rPr>
          <w:rFonts w:cs="Times New Roman"/>
          <w:noProof/>
          <w:szCs w:val="24"/>
          <w:lang w:val="sr-Cyrl-CS"/>
        </w:rPr>
        <w:t xml:space="preserve">Инвестициони трошкови изградње </w:t>
      </w:r>
      <w:r w:rsidR="00D010D1" w:rsidRPr="00E84C93">
        <w:rPr>
          <w:rFonts w:cs="Times New Roman"/>
          <w:noProof/>
          <w:szCs w:val="24"/>
          <w:lang w:val="sr-Cyrl-CS"/>
        </w:rPr>
        <w:t>моно</w:t>
      </w:r>
      <w:r w:rsidRPr="00E84C93">
        <w:rPr>
          <w:rFonts w:cs="Times New Roman"/>
          <w:noProof/>
          <w:szCs w:val="24"/>
          <w:lang w:val="sr-Cyrl-CS"/>
        </w:rPr>
        <w:t>депонија су</w:t>
      </w:r>
      <w:r w:rsidR="002378E3" w:rsidRPr="00E84C93">
        <w:rPr>
          <w:rFonts w:cs="Times New Roman"/>
          <w:noProof/>
          <w:szCs w:val="24"/>
          <w:lang w:val="sr-Cyrl-CS"/>
        </w:rPr>
        <w:t xml:space="preserve"> приказани у Т</w:t>
      </w:r>
      <w:r w:rsidRPr="00E84C93">
        <w:rPr>
          <w:rFonts w:cs="Times New Roman"/>
          <w:noProof/>
          <w:szCs w:val="24"/>
          <w:lang w:val="sr-Cyrl-CS"/>
        </w:rPr>
        <w:t>абели</w:t>
      </w:r>
      <w:r w:rsidR="002B01E5" w:rsidRPr="00E84C93">
        <w:rPr>
          <w:rFonts w:cs="Times New Roman"/>
          <w:noProof/>
          <w:szCs w:val="24"/>
          <w:lang w:val="sr-Cyrl-CS"/>
        </w:rPr>
        <w:t xml:space="preserve"> 7.</w:t>
      </w:r>
      <w:r w:rsidR="001A3E2E" w:rsidRPr="00E84C93">
        <w:rPr>
          <w:rFonts w:cs="Times New Roman"/>
          <w:noProof/>
          <w:szCs w:val="24"/>
          <w:lang w:val="sr-Cyrl-CS"/>
        </w:rPr>
        <w:t>5</w:t>
      </w:r>
      <w:r w:rsidRPr="00E84C93">
        <w:rPr>
          <w:rFonts w:cs="Times New Roman"/>
          <w:noProof/>
          <w:szCs w:val="24"/>
          <w:lang w:val="sr-Cyrl-CS"/>
        </w:rPr>
        <w:t xml:space="preserve">. </w:t>
      </w:r>
      <w:r w:rsidRPr="00E84C93">
        <w:rPr>
          <w:rFonts w:cs="Times New Roman"/>
          <w:b/>
          <w:bCs/>
          <w:noProof/>
          <w:szCs w:val="24"/>
          <w:lang w:val="sr-Cyrl-CS"/>
        </w:rPr>
        <w:t xml:space="preserve">Укупни инвестициони трошкови изградње </w:t>
      </w:r>
      <w:r w:rsidR="00D010D1" w:rsidRPr="00E84C93">
        <w:rPr>
          <w:rFonts w:cs="Times New Roman"/>
          <w:b/>
          <w:bCs/>
          <w:noProof/>
          <w:szCs w:val="24"/>
          <w:lang w:val="sr-Cyrl-CS"/>
        </w:rPr>
        <w:t>моно</w:t>
      </w:r>
      <w:r w:rsidRPr="00E84C93">
        <w:rPr>
          <w:rFonts w:cs="Times New Roman"/>
          <w:b/>
          <w:bCs/>
          <w:noProof/>
          <w:szCs w:val="24"/>
          <w:lang w:val="sr-Cyrl-CS"/>
        </w:rPr>
        <w:t>депонија износе 132 милиона евра.</w:t>
      </w:r>
    </w:p>
    <w:p w14:paraId="3B9CC747" w14:textId="77777777" w:rsidR="00600A81" w:rsidRPr="00E84C93" w:rsidRDefault="00600A81" w:rsidP="00600A81">
      <w:pPr>
        <w:spacing w:after="0"/>
        <w:jc w:val="both"/>
        <w:rPr>
          <w:rFonts w:cs="Times New Roman"/>
          <w:noProof/>
          <w:szCs w:val="24"/>
          <w:lang w:val="sr-Cyrl-CS"/>
        </w:rPr>
      </w:pPr>
    </w:p>
    <w:p w14:paraId="0895BB13" w14:textId="2CCD3897" w:rsidR="00600A81" w:rsidRPr="00E84C93" w:rsidRDefault="00600A81" w:rsidP="00600A81">
      <w:pPr>
        <w:spacing w:after="0"/>
        <w:jc w:val="both"/>
        <w:rPr>
          <w:rFonts w:cs="Times New Roman"/>
          <w:szCs w:val="24"/>
          <w:lang w:val="sr-Cyrl-CS"/>
        </w:rPr>
      </w:pPr>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w:t>
      </w:r>
      <w:r w:rsidR="001A3E2E" w:rsidRPr="00E84C93">
        <w:rPr>
          <w:rFonts w:cs="Times New Roman"/>
          <w:b/>
          <w:bCs/>
          <w:szCs w:val="24"/>
          <w:lang w:val="sr-Cyrl-CS"/>
        </w:rPr>
        <w:t>5</w:t>
      </w:r>
      <w:r w:rsidRPr="00E84C93">
        <w:rPr>
          <w:rFonts w:cs="Times New Roman"/>
          <w:b/>
          <w:bCs/>
          <w:szCs w:val="24"/>
          <w:lang w:val="sr-Cyrl-CS"/>
        </w:rPr>
        <w:t xml:space="preserve">. </w:t>
      </w:r>
      <w:r w:rsidRPr="00E84C93">
        <w:rPr>
          <w:rFonts w:cs="Times New Roman"/>
          <w:szCs w:val="24"/>
          <w:lang w:val="sr-Cyrl-CS"/>
        </w:rPr>
        <w:t xml:space="preserve">Укупни инвестициони трошкови за изградњу </w:t>
      </w:r>
      <w:r w:rsidR="00D010D1" w:rsidRPr="00E84C93">
        <w:rPr>
          <w:rFonts w:cs="Times New Roman"/>
          <w:szCs w:val="24"/>
          <w:lang w:val="sr-Cyrl-CS"/>
        </w:rPr>
        <w:t>моно</w:t>
      </w:r>
      <w:r w:rsidRPr="00E84C93">
        <w:rPr>
          <w:rFonts w:cs="Times New Roman"/>
          <w:szCs w:val="24"/>
          <w:lang w:val="sr-Cyrl-CS"/>
        </w:rPr>
        <w:t>депонија (у еврима, константне цене из 2022. године)</w:t>
      </w:r>
      <w:bookmarkEnd w:id="116"/>
    </w:p>
    <w:tbl>
      <w:tblPr>
        <w:tblStyle w:val="TableGrid1"/>
        <w:tblW w:w="9175" w:type="dxa"/>
        <w:tblLook w:val="04A0" w:firstRow="1" w:lastRow="0" w:firstColumn="1" w:lastColumn="0" w:noHBand="0" w:noVBand="1"/>
      </w:tblPr>
      <w:tblGrid>
        <w:gridCol w:w="1164"/>
        <w:gridCol w:w="4541"/>
        <w:gridCol w:w="3470"/>
      </w:tblGrid>
      <w:tr w:rsidR="00600A81" w:rsidRPr="00E84C93" w14:paraId="1F2C5CEB" w14:textId="77777777" w:rsidTr="008C3BC9">
        <w:trPr>
          <w:trHeight w:val="235"/>
        </w:trPr>
        <w:tc>
          <w:tcPr>
            <w:tcW w:w="1164" w:type="dxa"/>
            <w:shd w:val="clear" w:color="auto" w:fill="9CC2E5" w:themeFill="accent1" w:themeFillTint="99"/>
            <w:noWrap/>
            <w:vAlign w:val="center"/>
            <w:hideMark/>
          </w:tcPr>
          <w:p w14:paraId="0BA3CFDD" w14:textId="77777777" w:rsidR="00600A81" w:rsidRPr="00E84C93" w:rsidRDefault="00600A81" w:rsidP="008C3BC9">
            <w:pPr>
              <w:spacing w:after="0"/>
              <w:jc w:val="center"/>
              <w:rPr>
                <w:rFonts w:eastAsia="Times New Roman"/>
                <w:b/>
                <w:bCs/>
                <w:sz w:val="22"/>
                <w:lang w:val="sr-Cyrl-CS"/>
              </w:rPr>
            </w:pPr>
            <w:bookmarkStart w:id="117" w:name="_Hlk97381079"/>
            <w:r w:rsidRPr="00E84C93">
              <w:rPr>
                <w:rFonts w:eastAsia="Times New Roman"/>
                <w:b/>
                <w:bCs/>
                <w:sz w:val="22"/>
                <w:lang w:val="sr-Cyrl-CS"/>
              </w:rPr>
              <w:t>Бр.</w:t>
            </w:r>
          </w:p>
        </w:tc>
        <w:tc>
          <w:tcPr>
            <w:tcW w:w="4541" w:type="dxa"/>
            <w:shd w:val="clear" w:color="auto" w:fill="9CC2E5" w:themeFill="accent1" w:themeFillTint="99"/>
            <w:noWrap/>
            <w:vAlign w:val="center"/>
            <w:hideMark/>
          </w:tcPr>
          <w:p w14:paraId="266A0211"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Локација</w:t>
            </w:r>
          </w:p>
        </w:tc>
        <w:tc>
          <w:tcPr>
            <w:tcW w:w="3470" w:type="dxa"/>
            <w:shd w:val="clear" w:color="auto" w:fill="9CC2E5" w:themeFill="accent1" w:themeFillTint="99"/>
            <w:noWrap/>
            <w:vAlign w:val="center"/>
            <w:hideMark/>
          </w:tcPr>
          <w:p w14:paraId="4BDE032B" w14:textId="77777777" w:rsidR="00600A81" w:rsidRPr="00E84C93" w:rsidRDefault="00600A81" w:rsidP="008C3BC9">
            <w:pPr>
              <w:spacing w:after="0"/>
              <w:jc w:val="center"/>
              <w:rPr>
                <w:rFonts w:eastAsia="Times New Roman"/>
                <w:b/>
                <w:bCs/>
                <w:sz w:val="22"/>
                <w:lang w:val="sr-Cyrl-CS"/>
              </w:rPr>
            </w:pPr>
            <w:r w:rsidRPr="00E84C93">
              <w:rPr>
                <w:rFonts w:eastAsia="Times New Roman"/>
                <w:b/>
                <w:bCs/>
                <w:sz w:val="22"/>
                <w:lang w:val="sr-Cyrl-CS"/>
              </w:rPr>
              <w:t>Инвестициони трошкови (€)</w:t>
            </w:r>
          </w:p>
        </w:tc>
      </w:tr>
      <w:tr w:rsidR="00600A81" w:rsidRPr="00E84C93" w14:paraId="1E6FE9E1" w14:textId="77777777" w:rsidTr="008C3BC9">
        <w:trPr>
          <w:trHeight w:val="235"/>
        </w:trPr>
        <w:tc>
          <w:tcPr>
            <w:tcW w:w="1164" w:type="dxa"/>
            <w:noWrap/>
            <w:vAlign w:val="center"/>
            <w:hideMark/>
          </w:tcPr>
          <w:p w14:paraId="03F5641D" w14:textId="74757918"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w:t>
            </w:r>
            <w:r w:rsidR="002618D3" w:rsidRPr="00E84C93">
              <w:rPr>
                <w:rFonts w:eastAsia="Times New Roman"/>
                <w:sz w:val="22"/>
                <w:lang w:val="sr-Cyrl-CS"/>
              </w:rPr>
              <w:t>.</w:t>
            </w:r>
          </w:p>
        </w:tc>
        <w:tc>
          <w:tcPr>
            <w:tcW w:w="4541" w:type="dxa"/>
            <w:noWrap/>
            <w:vAlign w:val="center"/>
            <w:hideMark/>
          </w:tcPr>
          <w:p w14:paraId="780E5D9C"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Београд</w:t>
            </w:r>
          </w:p>
        </w:tc>
        <w:tc>
          <w:tcPr>
            <w:tcW w:w="3470" w:type="dxa"/>
            <w:noWrap/>
            <w:vAlign w:val="center"/>
            <w:hideMark/>
          </w:tcPr>
          <w:p w14:paraId="5A2A28E6"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12.000.000 </w:t>
            </w:r>
          </w:p>
        </w:tc>
      </w:tr>
      <w:tr w:rsidR="00600A81" w:rsidRPr="00E84C93" w14:paraId="03758257" w14:textId="77777777" w:rsidTr="008C3BC9">
        <w:trPr>
          <w:trHeight w:val="222"/>
        </w:trPr>
        <w:tc>
          <w:tcPr>
            <w:tcW w:w="1164" w:type="dxa"/>
            <w:noWrap/>
            <w:vAlign w:val="center"/>
            <w:hideMark/>
          </w:tcPr>
          <w:p w14:paraId="466C2CE9" w14:textId="3C39AB02"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2</w:t>
            </w:r>
            <w:r w:rsidR="002618D3" w:rsidRPr="00E84C93">
              <w:rPr>
                <w:rFonts w:eastAsia="Times New Roman"/>
                <w:sz w:val="22"/>
                <w:lang w:val="sr-Cyrl-CS"/>
              </w:rPr>
              <w:t>.</w:t>
            </w:r>
          </w:p>
        </w:tc>
        <w:tc>
          <w:tcPr>
            <w:tcW w:w="4541" w:type="dxa"/>
            <w:noWrap/>
            <w:vAlign w:val="center"/>
            <w:hideMark/>
          </w:tcPr>
          <w:p w14:paraId="3F03CE1F"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Обреновац</w:t>
            </w:r>
          </w:p>
        </w:tc>
        <w:tc>
          <w:tcPr>
            <w:tcW w:w="3470" w:type="dxa"/>
            <w:noWrap/>
            <w:vAlign w:val="center"/>
            <w:hideMark/>
          </w:tcPr>
          <w:p w14:paraId="10074F2F"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30C23078" w14:textId="77777777" w:rsidTr="008C3BC9">
        <w:trPr>
          <w:trHeight w:val="196"/>
        </w:trPr>
        <w:tc>
          <w:tcPr>
            <w:tcW w:w="1164" w:type="dxa"/>
            <w:noWrap/>
            <w:vAlign w:val="center"/>
            <w:hideMark/>
          </w:tcPr>
          <w:p w14:paraId="4E15E2ED" w14:textId="62583D24"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3</w:t>
            </w:r>
            <w:r w:rsidR="002618D3" w:rsidRPr="00E84C93">
              <w:rPr>
                <w:rFonts w:eastAsia="Times New Roman"/>
                <w:sz w:val="22"/>
                <w:lang w:val="sr-Cyrl-CS"/>
              </w:rPr>
              <w:t>.</w:t>
            </w:r>
          </w:p>
        </w:tc>
        <w:tc>
          <w:tcPr>
            <w:tcW w:w="4541" w:type="dxa"/>
            <w:noWrap/>
            <w:vAlign w:val="center"/>
            <w:hideMark/>
          </w:tcPr>
          <w:p w14:paraId="38AF7517"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Панчево</w:t>
            </w:r>
          </w:p>
        </w:tc>
        <w:tc>
          <w:tcPr>
            <w:tcW w:w="3470" w:type="dxa"/>
            <w:noWrap/>
            <w:vAlign w:val="center"/>
            <w:hideMark/>
          </w:tcPr>
          <w:p w14:paraId="3E2BC8C6"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110438D1" w14:textId="77777777" w:rsidTr="008C3BC9">
        <w:trPr>
          <w:trHeight w:val="222"/>
        </w:trPr>
        <w:tc>
          <w:tcPr>
            <w:tcW w:w="1164" w:type="dxa"/>
            <w:noWrap/>
            <w:vAlign w:val="center"/>
            <w:hideMark/>
          </w:tcPr>
          <w:p w14:paraId="24CA2B96" w14:textId="3DE3C979"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4</w:t>
            </w:r>
            <w:r w:rsidR="002618D3" w:rsidRPr="00E84C93">
              <w:rPr>
                <w:rFonts w:eastAsia="Times New Roman"/>
                <w:sz w:val="22"/>
                <w:lang w:val="sr-Cyrl-CS"/>
              </w:rPr>
              <w:t>.</w:t>
            </w:r>
          </w:p>
        </w:tc>
        <w:tc>
          <w:tcPr>
            <w:tcW w:w="4541" w:type="dxa"/>
            <w:noWrap/>
            <w:vAlign w:val="center"/>
            <w:hideMark/>
          </w:tcPr>
          <w:p w14:paraId="7AF6D19C"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Нови Сад</w:t>
            </w:r>
          </w:p>
        </w:tc>
        <w:tc>
          <w:tcPr>
            <w:tcW w:w="3470" w:type="dxa"/>
            <w:noWrap/>
            <w:vAlign w:val="center"/>
            <w:hideMark/>
          </w:tcPr>
          <w:p w14:paraId="69D44FBF"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9.000.000 </w:t>
            </w:r>
          </w:p>
        </w:tc>
      </w:tr>
      <w:tr w:rsidR="00600A81" w:rsidRPr="00E84C93" w14:paraId="2055160B" w14:textId="77777777" w:rsidTr="008C3BC9">
        <w:trPr>
          <w:trHeight w:val="222"/>
        </w:trPr>
        <w:tc>
          <w:tcPr>
            <w:tcW w:w="1164" w:type="dxa"/>
            <w:noWrap/>
            <w:vAlign w:val="center"/>
            <w:hideMark/>
          </w:tcPr>
          <w:p w14:paraId="6A046903" w14:textId="2C3493C5"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5</w:t>
            </w:r>
            <w:r w:rsidR="002618D3" w:rsidRPr="00E84C93">
              <w:rPr>
                <w:rFonts w:eastAsia="Times New Roman"/>
                <w:sz w:val="22"/>
                <w:lang w:val="sr-Cyrl-CS"/>
              </w:rPr>
              <w:t>.</w:t>
            </w:r>
          </w:p>
        </w:tc>
        <w:tc>
          <w:tcPr>
            <w:tcW w:w="4541" w:type="dxa"/>
            <w:noWrap/>
            <w:vAlign w:val="center"/>
            <w:hideMark/>
          </w:tcPr>
          <w:p w14:paraId="463D960B"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Суботица</w:t>
            </w:r>
          </w:p>
        </w:tc>
        <w:tc>
          <w:tcPr>
            <w:tcW w:w="3470" w:type="dxa"/>
            <w:noWrap/>
            <w:vAlign w:val="center"/>
            <w:hideMark/>
          </w:tcPr>
          <w:p w14:paraId="43B20ACC"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9.000.000 </w:t>
            </w:r>
          </w:p>
        </w:tc>
      </w:tr>
      <w:tr w:rsidR="00600A81" w:rsidRPr="00E84C93" w14:paraId="0A1F32CF" w14:textId="77777777" w:rsidTr="008C3BC9">
        <w:trPr>
          <w:trHeight w:val="222"/>
        </w:trPr>
        <w:tc>
          <w:tcPr>
            <w:tcW w:w="1164" w:type="dxa"/>
            <w:noWrap/>
            <w:vAlign w:val="center"/>
          </w:tcPr>
          <w:p w14:paraId="7B3B66FB" w14:textId="4C6D3F0B"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6</w:t>
            </w:r>
            <w:r w:rsidR="002618D3" w:rsidRPr="00E84C93">
              <w:rPr>
                <w:rFonts w:eastAsia="Times New Roman"/>
                <w:sz w:val="22"/>
                <w:lang w:val="sr-Cyrl-CS"/>
              </w:rPr>
              <w:t>.</w:t>
            </w:r>
          </w:p>
        </w:tc>
        <w:tc>
          <w:tcPr>
            <w:tcW w:w="4541" w:type="dxa"/>
            <w:noWrap/>
            <w:vAlign w:val="center"/>
          </w:tcPr>
          <w:p w14:paraId="30EA93DC"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Зрењанин</w:t>
            </w:r>
          </w:p>
        </w:tc>
        <w:tc>
          <w:tcPr>
            <w:tcW w:w="3470" w:type="dxa"/>
            <w:noWrap/>
            <w:vAlign w:val="center"/>
          </w:tcPr>
          <w:p w14:paraId="32372F52"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5D5FC752" w14:textId="77777777" w:rsidTr="008C3BC9">
        <w:trPr>
          <w:trHeight w:val="222"/>
        </w:trPr>
        <w:tc>
          <w:tcPr>
            <w:tcW w:w="1164" w:type="dxa"/>
            <w:noWrap/>
            <w:vAlign w:val="center"/>
          </w:tcPr>
          <w:p w14:paraId="69ECF6C1" w14:textId="7AD6F8A0"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7</w:t>
            </w:r>
            <w:r w:rsidR="002618D3" w:rsidRPr="00E84C93">
              <w:rPr>
                <w:rFonts w:eastAsia="Times New Roman"/>
                <w:sz w:val="22"/>
                <w:lang w:val="sr-Cyrl-CS"/>
              </w:rPr>
              <w:t>.</w:t>
            </w:r>
          </w:p>
        </w:tc>
        <w:tc>
          <w:tcPr>
            <w:tcW w:w="4541" w:type="dxa"/>
            <w:noWrap/>
            <w:vAlign w:val="center"/>
          </w:tcPr>
          <w:p w14:paraId="42C335DC"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Сремска Митровица</w:t>
            </w:r>
          </w:p>
        </w:tc>
        <w:tc>
          <w:tcPr>
            <w:tcW w:w="3470" w:type="dxa"/>
            <w:noWrap/>
            <w:vAlign w:val="center"/>
          </w:tcPr>
          <w:p w14:paraId="55F61A67"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443B2FFD" w14:textId="77777777" w:rsidTr="008C3BC9">
        <w:trPr>
          <w:trHeight w:val="222"/>
        </w:trPr>
        <w:tc>
          <w:tcPr>
            <w:tcW w:w="1164" w:type="dxa"/>
            <w:noWrap/>
            <w:vAlign w:val="center"/>
          </w:tcPr>
          <w:p w14:paraId="3E6E6FD4" w14:textId="0F00E27E" w:rsidR="00600A81" w:rsidRPr="00E84C93" w:rsidRDefault="00600A81" w:rsidP="008C3BC9">
            <w:pPr>
              <w:spacing w:after="0"/>
              <w:jc w:val="center"/>
              <w:rPr>
                <w:rFonts w:eastAsia="Times New Roman"/>
                <w:sz w:val="22"/>
                <w:lang w:val="sr-Cyrl-CS"/>
              </w:rPr>
            </w:pPr>
            <w:r w:rsidRPr="00E84C93">
              <w:rPr>
                <w:rFonts w:eastAsia="Times New Roman"/>
                <w:sz w:val="22"/>
                <w:lang w:val="sr-Cyrl-CS"/>
              </w:rPr>
              <w:lastRenderedPageBreak/>
              <w:t>8</w:t>
            </w:r>
            <w:r w:rsidR="002618D3" w:rsidRPr="00E84C93">
              <w:rPr>
                <w:rFonts w:eastAsia="Times New Roman"/>
                <w:sz w:val="22"/>
                <w:lang w:val="sr-Cyrl-CS"/>
              </w:rPr>
              <w:t>.</w:t>
            </w:r>
          </w:p>
        </w:tc>
        <w:tc>
          <w:tcPr>
            <w:tcW w:w="4541" w:type="dxa"/>
            <w:noWrap/>
            <w:vAlign w:val="center"/>
          </w:tcPr>
          <w:p w14:paraId="2DC4E618"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Ужице</w:t>
            </w:r>
          </w:p>
        </w:tc>
        <w:tc>
          <w:tcPr>
            <w:tcW w:w="3470" w:type="dxa"/>
            <w:noWrap/>
            <w:vAlign w:val="center"/>
          </w:tcPr>
          <w:p w14:paraId="75BBE488"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579DBE62" w14:textId="77777777" w:rsidTr="008C3BC9">
        <w:trPr>
          <w:trHeight w:val="222"/>
        </w:trPr>
        <w:tc>
          <w:tcPr>
            <w:tcW w:w="1164" w:type="dxa"/>
            <w:noWrap/>
            <w:vAlign w:val="center"/>
          </w:tcPr>
          <w:p w14:paraId="2DACDD0B" w14:textId="60F950C1"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9</w:t>
            </w:r>
            <w:r w:rsidR="002618D3" w:rsidRPr="00E84C93">
              <w:rPr>
                <w:rFonts w:eastAsia="Times New Roman"/>
                <w:sz w:val="22"/>
                <w:lang w:val="sr-Cyrl-CS"/>
              </w:rPr>
              <w:t>.</w:t>
            </w:r>
          </w:p>
        </w:tc>
        <w:tc>
          <w:tcPr>
            <w:tcW w:w="4541" w:type="dxa"/>
            <w:noWrap/>
            <w:vAlign w:val="center"/>
          </w:tcPr>
          <w:p w14:paraId="5BA8CA8F"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Ваљево</w:t>
            </w:r>
          </w:p>
        </w:tc>
        <w:tc>
          <w:tcPr>
            <w:tcW w:w="3470" w:type="dxa"/>
            <w:noWrap/>
            <w:vAlign w:val="center"/>
          </w:tcPr>
          <w:p w14:paraId="756FA870"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3087C8B3" w14:textId="77777777" w:rsidTr="008C3BC9">
        <w:trPr>
          <w:trHeight w:val="222"/>
        </w:trPr>
        <w:tc>
          <w:tcPr>
            <w:tcW w:w="1164" w:type="dxa"/>
            <w:noWrap/>
            <w:vAlign w:val="center"/>
          </w:tcPr>
          <w:p w14:paraId="599D8C71" w14:textId="75CC3634"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10</w:t>
            </w:r>
            <w:r w:rsidR="002618D3" w:rsidRPr="00E84C93">
              <w:rPr>
                <w:rFonts w:eastAsia="Times New Roman"/>
                <w:sz w:val="22"/>
                <w:lang w:val="sr-Cyrl-CS"/>
              </w:rPr>
              <w:t>.</w:t>
            </w:r>
          </w:p>
        </w:tc>
        <w:tc>
          <w:tcPr>
            <w:tcW w:w="4541" w:type="dxa"/>
            <w:noWrap/>
            <w:vAlign w:val="center"/>
          </w:tcPr>
          <w:p w14:paraId="0C21B8E6"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Шабац</w:t>
            </w:r>
          </w:p>
        </w:tc>
        <w:tc>
          <w:tcPr>
            <w:tcW w:w="3470" w:type="dxa"/>
            <w:noWrap/>
            <w:vAlign w:val="center"/>
          </w:tcPr>
          <w:p w14:paraId="04BF0DF9"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6A2DCBC0" w14:textId="77777777" w:rsidTr="008C3BC9">
        <w:trPr>
          <w:trHeight w:val="222"/>
        </w:trPr>
        <w:tc>
          <w:tcPr>
            <w:tcW w:w="1164" w:type="dxa"/>
            <w:noWrap/>
            <w:vAlign w:val="center"/>
          </w:tcPr>
          <w:p w14:paraId="642B3A31" w14:textId="1466C17F"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11</w:t>
            </w:r>
            <w:r w:rsidR="002618D3" w:rsidRPr="00E84C93">
              <w:rPr>
                <w:rFonts w:eastAsia="Times New Roman"/>
                <w:sz w:val="22"/>
                <w:lang w:val="sr-Cyrl-CS"/>
              </w:rPr>
              <w:t>.</w:t>
            </w:r>
          </w:p>
        </w:tc>
        <w:tc>
          <w:tcPr>
            <w:tcW w:w="4541" w:type="dxa"/>
            <w:noWrap/>
            <w:vAlign w:val="center"/>
          </w:tcPr>
          <w:p w14:paraId="6964485C"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Чачак</w:t>
            </w:r>
          </w:p>
        </w:tc>
        <w:tc>
          <w:tcPr>
            <w:tcW w:w="3470" w:type="dxa"/>
            <w:noWrap/>
            <w:vAlign w:val="center"/>
          </w:tcPr>
          <w:p w14:paraId="4738D41A"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0BE7ECBD" w14:textId="77777777" w:rsidTr="008C3BC9">
        <w:trPr>
          <w:trHeight w:val="222"/>
        </w:trPr>
        <w:tc>
          <w:tcPr>
            <w:tcW w:w="1164" w:type="dxa"/>
            <w:noWrap/>
            <w:vAlign w:val="center"/>
          </w:tcPr>
          <w:p w14:paraId="79EE6A93" w14:textId="4D81A09F"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12</w:t>
            </w:r>
            <w:r w:rsidR="002618D3" w:rsidRPr="00E84C93">
              <w:rPr>
                <w:rFonts w:eastAsia="Times New Roman"/>
                <w:sz w:val="22"/>
                <w:lang w:val="sr-Cyrl-CS"/>
              </w:rPr>
              <w:t>.</w:t>
            </w:r>
          </w:p>
        </w:tc>
        <w:tc>
          <w:tcPr>
            <w:tcW w:w="4541" w:type="dxa"/>
            <w:noWrap/>
            <w:vAlign w:val="center"/>
          </w:tcPr>
          <w:p w14:paraId="4A7B83D6"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Јагодина</w:t>
            </w:r>
          </w:p>
        </w:tc>
        <w:tc>
          <w:tcPr>
            <w:tcW w:w="3470" w:type="dxa"/>
            <w:noWrap/>
            <w:vAlign w:val="center"/>
          </w:tcPr>
          <w:p w14:paraId="7F7D7B16"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655FC2B5" w14:textId="77777777" w:rsidTr="008C3BC9">
        <w:trPr>
          <w:trHeight w:val="222"/>
        </w:trPr>
        <w:tc>
          <w:tcPr>
            <w:tcW w:w="1164" w:type="dxa"/>
            <w:noWrap/>
            <w:vAlign w:val="center"/>
          </w:tcPr>
          <w:p w14:paraId="5B71B7F2" w14:textId="5700F4FF"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13</w:t>
            </w:r>
            <w:r w:rsidR="002618D3" w:rsidRPr="00E84C93">
              <w:rPr>
                <w:rFonts w:eastAsia="Times New Roman"/>
                <w:sz w:val="22"/>
                <w:lang w:val="sr-Cyrl-CS"/>
              </w:rPr>
              <w:t>.</w:t>
            </w:r>
          </w:p>
        </w:tc>
        <w:tc>
          <w:tcPr>
            <w:tcW w:w="4541" w:type="dxa"/>
            <w:noWrap/>
            <w:vAlign w:val="center"/>
          </w:tcPr>
          <w:p w14:paraId="34AA9BFA"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Крушевац</w:t>
            </w:r>
          </w:p>
        </w:tc>
        <w:tc>
          <w:tcPr>
            <w:tcW w:w="3470" w:type="dxa"/>
            <w:noWrap/>
            <w:vAlign w:val="center"/>
          </w:tcPr>
          <w:p w14:paraId="102E903A"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415A09CF" w14:textId="77777777" w:rsidTr="008C3BC9">
        <w:trPr>
          <w:trHeight w:val="222"/>
        </w:trPr>
        <w:tc>
          <w:tcPr>
            <w:tcW w:w="1164" w:type="dxa"/>
            <w:noWrap/>
            <w:vAlign w:val="center"/>
          </w:tcPr>
          <w:p w14:paraId="25BD7817" w14:textId="2012CA25"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14</w:t>
            </w:r>
            <w:r w:rsidR="002618D3" w:rsidRPr="00E84C93">
              <w:rPr>
                <w:rFonts w:eastAsia="Times New Roman"/>
                <w:sz w:val="22"/>
                <w:lang w:val="sr-Cyrl-CS"/>
              </w:rPr>
              <w:t>.</w:t>
            </w:r>
          </w:p>
        </w:tc>
        <w:tc>
          <w:tcPr>
            <w:tcW w:w="4541" w:type="dxa"/>
            <w:noWrap/>
            <w:vAlign w:val="center"/>
          </w:tcPr>
          <w:p w14:paraId="70B4D821"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Краљево</w:t>
            </w:r>
          </w:p>
        </w:tc>
        <w:tc>
          <w:tcPr>
            <w:tcW w:w="3470" w:type="dxa"/>
            <w:noWrap/>
            <w:vAlign w:val="center"/>
          </w:tcPr>
          <w:p w14:paraId="64D458A8"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2B73EFC8" w14:textId="77777777" w:rsidTr="008C3BC9">
        <w:trPr>
          <w:trHeight w:val="222"/>
        </w:trPr>
        <w:tc>
          <w:tcPr>
            <w:tcW w:w="1164" w:type="dxa"/>
            <w:noWrap/>
            <w:vAlign w:val="center"/>
          </w:tcPr>
          <w:p w14:paraId="36372FCE" w14:textId="351CC4A2"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15</w:t>
            </w:r>
            <w:r w:rsidR="002618D3" w:rsidRPr="00E84C93">
              <w:rPr>
                <w:rFonts w:eastAsia="Times New Roman"/>
                <w:sz w:val="22"/>
                <w:lang w:val="sr-Cyrl-CS"/>
              </w:rPr>
              <w:t>.</w:t>
            </w:r>
          </w:p>
        </w:tc>
        <w:tc>
          <w:tcPr>
            <w:tcW w:w="4541" w:type="dxa"/>
            <w:noWrap/>
            <w:vAlign w:val="center"/>
          </w:tcPr>
          <w:p w14:paraId="7E31B0FF"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Нови Пазар</w:t>
            </w:r>
          </w:p>
        </w:tc>
        <w:tc>
          <w:tcPr>
            <w:tcW w:w="3470" w:type="dxa"/>
            <w:noWrap/>
            <w:vAlign w:val="center"/>
          </w:tcPr>
          <w:p w14:paraId="53602B8F"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0573F3E5" w14:textId="77777777" w:rsidTr="008C3BC9">
        <w:trPr>
          <w:trHeight w:val="222"/>
        </w:trPr>
        <w:tc>
          <w:tcPr>
            <w:tcW w:w="1164" w:type="dxa"/>
            <w:noWrap/>
            <w:vAlign w:val="center"/>
          </w:tcPr>
          <w:p w14:paraId="19C2958A" w14:textId="4E1338BA"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16</w:t>
            </w:r>
            <w:r w:rsidR="002618D3" w:rsidRPr="00E84C93">
              <w:rPr>
                <w:rFonts w:eastAsia="Times New Roman"/>
                <w:sz w:val="22"/>
                <w:lang w:val="sr-Cyrl-CS"/>
              </w:rPr>
              <w:t>.</w:t>
            </w:r>
          </w:p>
        </w:tc>
        <w:tc>
          <w:tcPr>
            <w:tcW w:w="4541" w:type="dxa"/>
            <w:noWrap/>
            <w:vAlign w:val="center"/>
          </w:tcPr>
          <w:p w14:paraId="58EF865B"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Крагујевац</w:t>
            </w:r>
          </w:p>
        </w:tc>
        <w:tc>
          <w:tcPr>
            <w:tcW w:w="3470" w:type="dxa"/>
            <w:noWrap/>
            <w:vAlign w:val="center"/>
          </w:tcPr>
          <w:p w14:paraId="780225E0"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9.000.000 </w:t>
            </w:r>
          </w:p>
        </w:tc>
      </w:tr>
      <w:tr w:rsidR="00600A81" w:rsidRPr="00E84C93" w14:paraId="2DBB6168" w14:textId="77777777" w:rsidTr="008C3BC9">
        <w:trPr>
          <w:trHeight w:val="222"/>
        </w:trPr>
        <w:tc>
          <w:tcPr>
            <w:tcW w:w="1164" w:type="dxa"/>
            <w:noWrap/>
            <w:vAlign w:val="center"/>
          </w:tcPr>
          <w:p w14:paraId="4C6052DC" w14:textId="4B1567C6"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17</w:t>
            </w:r>
            <w:r w:rsidR="002618D3" w:rsidRPr="00E84C93">
              <w:rPr>
                <w:rFonts w:eastAsia="Times New Roman"/>
                <w:sz w:val="22"/>
                <w:lang w:val="sr-Cyrl-CS"/>
              </w:rPr>
              <w:t>.</w:t>
            </w:r>
          </w:p>
        </w:tc>
        <w:tc>
          <w:tcPr>
            <w:tcW w:w="4541" w:type="dxa"/>
            <w:noWrap/>
            <w:vAlign w:val="center"/>
          </w:tcPr>
          <w:p w14:paraId="2657A461"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Пожаревац</w:t>
            </w:r>
          </w:p>
        </w:tc>
        <w:tc>
          <w:tcPr>
            <w:tcW w:w="3470" w:type="dxa"/>
            <w:noWrap/>
            <w:vAlign w:val="center"/>
          </w:tcPr>
          <w:p w14:paraId="0B49EAA5"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3391000D" w14:textId="77777777" w:rsidTr="008C3BC9">
        <w:trPr>
          <w:trHeight w:val="222"/>
        </w:trPr>
        <w:tc>
          <w:tcPr>
            <w:tcW w:w="1164" w:type="dxa"/>
            <w:noWrap/>
            <w:vAlign w:val="center"/>
          </w:tcPr>
          <w:p w14:paraId="0894A5BB" w14:textId="7294A928"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18</w:t>
            </w:r>
            <w:r w:rsidR="002618D3" w:rsidRPr="00E84C93">
              <w:rPr>
                <w:rFonts w:eastAsia="Times New Roman"/>
                <w:sz w:val="22"/>
                <w:lang w:val="sr-Cyrl-CS"/>
              </w:rPr>
              <w:t>.</w:t>
            </w:r>
          </w:p>
        </w:tc>
        <w:tc>
          <w:tcPr>
            <w:tcW w:w="4541" w:type="dxa"/>
            <w:noWrap/>
            <w:vAlign w:val="center"/>
          </w:tcPr>
          <w:p w14:paraId="49A6AD55"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Лесковац</w:t>
            </w:r>
          </w:p>
        </w:tc>
        <w:tc>
          <w:tcPr>
            <w:tcW w:w="3470" w:type="dxa"/>
            <w:noWrap/>
            <w:vAlign w:val="center"/>
          </w:tcPr>
          <w:p w14:paraId="1A546AC6"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3C454286" w14:textId="77777777" w:rsidTr="008C3BC9">
        <w:trPr>
          <w:trHeight w:val="222"/>
        </w:trPr>
        <w:tc>
          <w:tcPr>
            <w:tcW w:w="1164" w:type="dxa"/>
            <w:noWrap/>
            <w:vAlign w:val="center"/>
          </w:tcPr>
          <w:p w14:paraId="5CBBCF8F" w14:textId="18A54AFD"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19</w:t>
            </w:r>
            <w:r w:rsidR="002618D3" w:rsidRPr="00E84C93">
              <w:rPr>
                <w:rFonts w:eastAsia="Times New Roman"/>
                <w:sz w:val="22"/>
                <w:lang w:val="sr-Cyrl-CS"/>
              </w:rPr>
              <w:t>.</w:t>
            </w:r>
          </w:p>
        </w:tc>
        <w:tc>
          <w:tcPr>
            <w:tcW w:w="4541" w:type="dxa"/>
            <w:noWrap/>
            <w:vAlign w:val="center"/>
          </w:tcPr>
          <w:p w14:paraId="2C167CD0"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Ниш</w:t>
            </w:r>
          </w:p>
        </w:tc>
        <w:tc>
          <w:tcPr>
            <w:tcW w:w="3470" w:type="dxa"/>
            <w:noWrap/>
            <w:vAlign w:val="center"/>
          </w:tcPr>
          <w:p w14:paraId="75BF058F"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9.000.000 </w:t>
            </w:r>
          </w:p>
        </w:tc>
      </w:tr>
      <w:tr w:rsidR="00600A81" w:rsidRPr="00E84C93" w14:paraId="7BEB6A24" w14:textId="77777777" w:rsidTr="008C3BC9">
        <w:trPr>
          <w:trHeight w:val="222"/>
        </w:trPr>
        <w:tc>
          <w:tcPr>
            <w:tcW w:w="1164" w:type="dxa"/>
            <w:noWrap/>
            <w:vAlign w:val="center"/>
          </w:tcPr>
          <w:p w14:paraId="4815E705" w14:textId="05F62BD9"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20</w:t>
            </w:r>
            <w:r w:rsidR="002618D3" w:rsidRPr="00E84C93">
              <w:rPr>
                <w:rFonts w:eastAsia="Times New Roman"/>
                <w:sz w:val="22"/>
                <w:lang w:val="sr-Cyrl-CS"/>
              </w:rPr>
              <w:t>.</w:t>
            </w:r>
          </w:p>
        </w:tc>
        <w:tc>
          <w:tcPr>
            <w:tcW w:w="4541" w:type="dxa"/>
            <w:noWrap/>
            <w:vAlign w:val="center"/>
          </w:tcPr>
          <w:p w14:paraId="0B4C8A94"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Пирот</w:t>
            </w:r>
          </w:p>
        </w:tc>
        <w:tc>
          <w:tcPr>
            <w:tcW w:w="3470" w:type="dxa"/>
            <w:noWrap/>
            <w:vAlign w:val="center"/>
          </w:tcPr>
          <w:p w14:paraId="126D087D"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4.200.000 </w:t>
            </w:r>
          </w:p>
        </w:tc>
      </w:tr>
      <w:tr w:rsidR="00600A81" w:rsidRPr="00E84C93" w14:paraId="270A32BF" w14:textId="77777777" w:rsidTr="008C3BC9">
        <w:trPr>
          <w:trHeight w:val="222"/>
        </w:trPr>
        <w:tc>
          <w:tcPr>
            <w:tcW w:w="1164" w:type="dxa"/>
            <w:noWrap/>
            <w:vAlign w:val="center"/>
          </w:tcPr>
          <w:p w14:paraId="1153D2E7" w14:textId="77392104"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21</w:t>
            </w:r>
            <w:r w:rsidR="002618D3" w:rsidRPr="00E84C93">
              <w:rPr>
                <w:rFonts w:eastAsia="Times New Roman"/>
                <w:sz w:val="22"/>
                <w:lang w:val="sr-Cyrl-CS"/>
              </w:rPr>
              <w:t>.</w:t>
            </w:r>
          </w:p>
        </w:tc>
        <w:tc>
          <w:tcPr>
            <w:tcW w:w="4541" w:type="dxa"/>
            <w:noWrap/>
            <w:vAlign w:val="center"/>
          </w:tcPr>
          <w:p w14:paraId="57CEAA14"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Смедерево</w:t>
            </w:r>
          </w:p>
        </w:tc>
        <w:tc>
          <w:tcPr>
            <w:tcW w:w="3470" w:type="dxa"/>
            <w:noWrap/>
            <w:vAlign w:val="center"/>
          </w:tcPr>
          <w:p w14:paraId="2E5FAA04"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109E6363" w14:textId="77777777" w:rsidTr="008C3BC9">
        <w:trPr>
          <w:trHeight w:val="222"/>
        </w:trPr>
        <w:tc>
          <w:tcPr>
            <w:tcW w:w="1164" w:type="dxa"/>
            <w:noWrap/>
            <w:vAlign w:val="center"/>
          </w:tcPr>
          <w:p w14:paraId="4D499451" w14:textId="54C4CD74" w:rsidR="00600A81" w:rsidRPr="00E84C93" w:rsidRDefault="00600A81" w:rsidP="008C3BC9">
            <w:pPr>
              <w:spacing w:after="0"/>
              <w:jc w:val="center"/>
              <w:rPr>
                <w:rFonts w:eastAsia="Times New Roman"/>
                <w:sz w:val="22"/>
                <w:lang w:val="sr-Cyrl-CS"/>
              </w:rPr>
            </w:pPr>
            <w:r w:rsidRPr="00E84C93">
              <w:rPr>
                <w:rFonts w:eastAsia="Times New Roman"/>
                <w:sz w:val="22"/>
                <w:lang w:val="sr-Cyrl-CS"/>
              </w:rPr>
              <w:t>22</w:t>
            </w:r>
            <w:r w:rsidR="002618D3" w:rsidRPr="00E84C93">
              <w:rPr>
                <w:rFonts w:eastAsia="Times New Roman"/>
                <w:sz w:val="22"/>
                <w:lang w:val="sr-Cyrl-CS"/>
              </w:rPr>
              <w:t>.</w:t>
            </w:r>
          </w:p>
        </w:tc>
        <w:tc>
          <w:tcPr>
            <w:tcW w:w="4541" w:type="dxa"/>
            <w:noWrap/>
            <w:vAlign w:val="center"/>
          </w:tcPr>
          <w:p w14:paraId="1ACBB37B" w14:textId="77777777" w:rsidR="00600A81" w:rsidRPr="00E84C93" w:rsidRDefault="00600A81" w:rsidP="008C3BC9">
            <w:pPr>
              <w:spacing w:after="0"/>
              <w:rPr>
                <w:rFonts w:eastAsia="Times New Roman"/>
                <w:sz w:val="22"/>
                <w:lang w:val="sr-Cyrl-CS"/>
              </w:rPr>
            </w:pPr>
            <w:r w:rsidRPr="00E84C93">
              <w:rPr>
                <w:rFonts w:eastAsia="Times New Roman"/>
                <w:sz w:val="22"/>
                <w:lang w:val="sr-Cyrl-CS"/>
              </w:rPr>
              <w:t>Врање</w:t>
            </w:r>
          </w:p>
        </w:tc>
        <w:tc>
          <w:tcPr>
            <w:tcW w:w="3470" w:type="dxa"/>
            <w:noWrap/>
            <w:vAlign w:val="center"/>
          </w:tcPr>
          <w:p w14:paraId="13B1372D" w14:textId="77777777" w:rsidR="00600A81" w:rsidRPr="00E84C93" w:rsidRDefault="00600A81" w:rsidP="008C3BC9">
            <w:pPr>
              <w:spacing w:after="0"/>
              <w:jc w:val="right"/>
              <w:rPr>
                <w:rFonts w:eastAsia="Times New Roman"/>
                <w:sz w:val="22"/>
                <w:lang w:val="sr-Cyrl-CS"/>
              </w:rPr>
            </w:pPr>
            <w:r w:rsidRPr="00E84C93">
              <w:rPr>
                <w:rFonts w:eastAsia="Times New Roman"/>
                <w:sz w:val="22"/>
                <w:lang w:val="sr-Cyrl-CS"/>
              </w:rPr>
              <w:t xml:space="preserve">6.000.000 </w:t>
            </w:r>
          </w:p>
        </w:tc>
      </w:tr>
      <w:tr w:rsidR="00600A81" w:rsidRPr="00E84C93" w14:paraId="782A0B77" w14:textId="77777777" w:rsidTr="008C3BC9">
        <w:trPr>
          <w:trHeight w:val="222"/>
        </w:trPr>
        <w:tc>
          <w:tcPr>
            <w:tcW w:w="1164" w:type="dxa"/>
            <w:noWrap/>
            <w:vAlign w:val="center"/>
          </w:tcPr>
          <w:p w14:paraId="27577C9F" w14:textId="77777777" w:rsidR="00600A81" w:rsidRPr="00E84C93" w:rsidRDefault="00600A81" w:rsidP="008C3BC9">
            <w:pPr>
              <w:spacing w:after="0"/>
              <w:jc w:val="center"/>
              <w:rPr>
                <w:rFonts w:eastAsia="Times New Roman"/>
                <w:b/>
                <w:bCs/>
                <w:i/>
                <w:iCs/>
                <w:sz w:val="22"/>
                <w:lang w:val="sr-Cyrl-CS"/>
              </w:rPr>
            </w:pPr>
          </w:p>
        </w:tc>
        <w:tc>
          <w:tcPr>
            <w:tcW w:w="4541" w:type="dxa"/>
            <w:noWrap/>
            <w:vAlign w:val="center"/>
          </w:tcPr>
          <w:p w14:paraId="6254A751" w14:textId="77777777" w:rsidR="00600A81" w:rsidRPr="00E84C93" w:rsidRDefault="00600A81" w:rsidP="008C3BC9">
            <w:pPr>
              <w:spacing w:after="0"/>
              <w:rPr>
                <w:rFonts w:eastAsia="Times New Roman"/>
                <w:b/>
                <w:bCs/>
                <w:sz w:val="22"/>
                <w:lang w:val="sr-Cyrl-CS"/>
              </w:rPr>
            </w:pPr>
            <w:r w:rsidRPr="00E84C93">
              <w:rPr>
                <w:rFonts w:eastAsia="Times New Roman"/>
                <w:b/>
                <w:bCs/>
                <w:sz w:val="22"/>
                <w:lang w:val="sr-Cyrl-CS"/>
              </w:rPr>
              <w:t>Укупно</w:t>
            </w:r>
          </w:p>
        </w:tc>
        <w:tc>
          <w:tcPr>
            <w:tcW w:w="3470" w:type="dxa"/>
            <w:noWrap/>
            <w:vAlign w:val="center"/>
          </w:tcPr>
          <w:p w14:paraId="64A3BA2C" w14:textId="77777777" w:rsidR="00600A81" w:rsidRPr="00E84C93" w:rsidRDefault="00600A81" w:rsidP="008C3BC9">
            <w:pPr>
              <w:spacing w:after="0"/>
              <w:jc w:val="right"/>
              <w:rPr>
                <w:rFonts w:eastAsia="Times New Roman"/>
                <w:b/>
                <w:bCs/>
                <w:sz w:val="22"/>
                <w:lang w:val="sr-Cyrl-CS"/>
              </w:rPr>
            </w:pPr>
            <w:r w:rsidRPr="00E84C93">
              <w:rPr>
                <w:rFonts w:eastAsia="Times New Roman"/>
                <w:b/>
                <w:bCs/>
                <w:sz w:val="22"/>
                <w:lang w:val="sr-Cyrl-CS"/>
              </w:rPr>
              <w:t xml:space="preserve">132.000.000 </w:t>
            </w:r>
          </w:p>
        </w:tc>
      </w:tr>
    </w:tbl>
    <w:p w14:paraId="0006BA23" w14:textId="77777777" w:rsidR="00600A81" w:rsidRPr="00E84C93" w:rsidRDefault="00600A81" w:rsidP="00600A81">
      <w:pPr>
        <w:spacing w:after="0"/>
        <w:ind w:firstLine="720"/>
        <w:jc w:val="both"/>
        <w:rPr>
          <w:rFonts w:cs="Times New Roman"/>
          <w:b/>
          <w:bCs/>
          <w:noProof/>
          <w:szCs w:val="24"/>
          <w:lang w:val="sr-Cyrl-CS"/>
        </w:rPr>
      </w:pPr>
    </w:p>
    <w:bookmarkEnd w:id="117"/>
    <w:p w14:paraId="1D1F8564" w14:textId="51A31A25" w:rsidR="00600A81" w:rsidRPr="00E84C93" w:rsidRDefault="00600A81" w:rsidP="00600A81">
      <w:pPr>
        <w:spacing w:after="0"/>
        <w:ind w:firstLine="720"/>
        <w:jc w:val="both"/>
        <w:rPr>
          <w:rFonts w:cs="Times New Roman"/>
          <w:noProof/>
          <w:szCs w:val="24"/>
          <w:lang w:val="sr-Cyrl-CS"/>
        </w:rPr>
      </w:pPr>
      <w:r w:rsidRPr="00E84C93">
        <w:rPr>
          <w:rFonts w:cs="Times New Roman"/>
          <w:b/>
          <w:bCs/>
          <w:noProof/>
          <w:szCs w:val="24"/>
          <w:lang w:val="sr-Cyrl-CS"/>
        </w:rPr>
        <w:t>Укупни инвестициони трошкови за успостављање система управљања муљем у Републици Србији у периоду 2022-2046. годин</w:t>
      </w:r>
      <w:r w:rsidR="00907B99" w:rsidRPr="00E84C93">
        <w:rPr>
          <w:rFonts w:cs="Times New Roman"/>
          <w:b/>
          <w:bCs/>
          <w:noProof/>
          <w:szCs w:val="24"/>
          <w:lang w:val="sr-Cyrl-CS"/>
        </w:rPr>
        <w:t>е</w:t>
      </w:r>
      <w:r w:rsidRPr="00E84C93">
        <w:rPr>
          <w:rFonts w:cs="Times New Roman"/>
          <w:b/>
          <w:bCs/>
          <w:noProof/>
          <w:szCs w:val="24"/>
          <w:lang w:val="sr-Cyrl-CS"/>
        </w:rPr>
        <w:t xml:space="preserve"> износе 630.710.058 евра.</w:t>
      </w:r>
      <w:r w:rsidR="009D05D9" w:rsidRPr="00E84C93">
        <w:rPr>
          <w:rFonts w:cs="Times New Roman"/>
          <w:noProof/>
          <w:szCs w:val="24"/>
          <w:lang w:val="sr-Cyrl-CS"/>
        </w:rPr>
        <w:t xml:space="preserve"> У Т</w:t>
      </w:r>
      <w:r w:rsidRPr="00E84C93">
        <w:rPr>
          <w:rFonts w:cs="Times New Roman"/>
          <w:noProof/>
          <w:szCs w:val="24"/>
          <w:lang w:val="sr-Cyrl-CS"/>
        </w:rPr>
        <w:t>абели</w:t>
      </w:r>
      <w:r w:rsidR="002B01E5" w:rsidRPr="00E84C93">
        <w:rPr>
          <w:rFonts w:cs="Times New Roman"/>
          <w:noProof/>
          <w:szCs w:val="24"/>
          <w:lang w:val="sr-Cyrl-CS"/>
        </w:rPr>
        <w:t xml:space="preserve"> 7.</w:t>
      </w:r>
      <w:r w:rsidR="001A3E2E" w:rsidRPr="00E84C93">
        <w:rPr>
          <w:rFonts w:cs="Times New Roman"/>
          <w:noProof/>
          <w:szCs w:val="24"/>
          <w:lang w:val="sr-Cyrl-CS"/>
        </w:rPr>
        <w:t>6</w:t>
      </w:r>
      <w:r w:rsidR="002B01E5" w:rsidRPr="00E84C93">
        <w:rPr>
          <w:rFonts w:cs="Times New Roman"/>
          <w:noProof/>
          <w:szCs w:val="24"/>
          <w:lang w:val="sr-Cyrl-CS"/>
        </w:rPr>
        <w:t>.</w:t>
      </w:r>
      <w:r w:rsidRPr="00E84C93">
        <w:rPr>
          <w:rFonts w:cs="Times New Roman"/>
          <w:noProof/>
          <w:szCs w:val="24"/>
          <w:lang w:val="sr-Cyrl-CS"/>
        </w:rPr>
        <w:t xml:space="preserve"> су представљени укупни инвестициони трошкови система за управљањем муљем у Републици Србији у складу са предложеном динамиком.</w:t>
      </w:r>
    </w:p>
    <w:p w14:paraId="5D4D1B67" w14:textId="77777777" w:rsidR="00600A81" w:rsidRPr="00E84C93" w:rsidRDefault="00600A81" w:rsidP="00600A81">
      <w:pPr>
        <w:spacing w:after="0"/>
        <w:ind w:firstLine="720"/>
        <w:jc w:val="both"/>
        <w:rPr>
          <w:rFonts w:cs="Times New Roman"/>
          <w:noProof/>
          <w:szCs w:val="24"/>
          <w:lang w:val="sr-Cyrl-CS"/>
        </w:rPr>
      </w:pPr>
    </w:p>
    <w:p w14:paraId="7221303B" w14:textId="7157FF66" w:rsidR="00600A81" w:rsidRPr="00E84C93" w:rsidRDefault="00600A81" w:rsidP="00600A81">
      <w:pPr>
        <w:spacing w:after="0"/>
        <w:jc w:val="both"/>
        <w:rPr>
          <w:rFonts w:cs="Times New Roman"/>
          <w:szCs w:val="24"/>
          <w:lang w:val="sr-Cyrl-CS"/>
        </w:rPr>
      </w:pPr>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w:t>
      </w:r>
      <w:r w:rsidR="001A3E2E" w:rsidRPr="00E84C93">
        <w:rPr>
          <w:rFonts w:cs="Times New Roman"/>
          <w:b/>
          <w:bCs/>
          <w:szCs w:val="24"/>
          <w:lang w:val="sr-Cyrl-CS"/>
        </w:rPr>
        <w:t>6</w:t>
      </w:r>
      <w:r w:rsidRPr="00E84C93">
        <w:rPr>
          <w:rFonts w:cs="Times New Roman"/>
          <w:b/>
          <w:bCs/>
          <w:szCs w:val="24"/>
          <w:lang w:val="sr-Cyrl-CS"/>
        </w:rPr>
        <w:t xml:space="preserve">. </w:t>
      </w:r>
      <w:r w:rsidRPr="00E84C93">
        <w:rPr>
          <w:rFonts w:cs="Times New Roman"/>
          <w:szCs w:val="24"/>
          <w:lang w:val="sr-Cyrl-CS"/>
        </w:rPr>
        <w:t>Укупни инвестициони трошкови за управљање муљем (у еврима, константне цене из 2022. године)</w:t>
      </w:r>
    </w:p>
    <w:tbl>
      <w:tblPr>
        <w:tblW w:w="9498" w:type="dxa"/>
        <w:tblInd w:w="-147" w:type="dxa"/>
        <w:tblLayout w:type="fixed"/>
        <w:tblLook w:val="04A0" w:firstRow="1" w:lastRow="0" w:firstColumn="1" w:lastColumn="0" w:noHBand="0" w:noVBand="1"/>
      </w:tblPr>
      <w:tblGrid>
        <w:gridCol w:w="3278"/>
        <w:gridCol w:w="1526"/>
        <w:gridCol w:w="1526"/>
        <w:gridCol w:w="1526"/>
        <w:gridCol w:w="1642"/>
      </w:tblGrid>
      <w:tr w:rsidR="00600A81" w:rsidRPr="00E84C93" w14:paraId="518C370F" w14:textId="77777777" w:rsidTr="008C3BC9">
        <w:trPr>
          <w:trHeight w:val="234"/>
          <w:tblHeader/>
        </w:trPr>
        <w:tc>
          <w:tcPr>
            <w:tcW w:w="3278" w:type="dxa"/>
            <w:tcBorders>
              <w:top w:val="single" w:sz="4" w:space="0" w:color="808080"/>
              <w:left w:val="single" w:sz="4" w:space="0" w:color="808080"/>
              <w:bottom w:val="single" w:sz="4" w:space="0" w:color="808080"/>
              <w:right w:val="single" w:sz="4" w:space="0" w:color="808080"/>
            </w:tcBorders>
            <w:shd w:val="clear" w:color="auto" w:fill="9CC2E5" w:themeFill="accent1" w:themeFillTint="99"/>
            <w:vAlign w:val="center"/>
            <w:hideMark/>
          </w:tcPr>
          <w:p w14:paraId="7E444443"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Регион/округ</w:t>
            </w:r>
          </w:p>
        </w:tc>
        <w:tc>
          <w:tcPr>
            <w:tcW w:w="1526"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1BFBAFDC"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2022-2027.</w:t>
            </w:r>
          </w:p>
        </w:tc>
        <w:tc>
          <w:tcPr>
            <w:tcW w:w="1526"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21964598"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2028-2032.</w:t>
            </w:r>
          </w:p>
        </w:tc>
        <w:tc>
          <w:tcPr>
            <w:tcW w:w="1526"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1CF89450"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2033-2046.</w:t>
            </w:r>
          </w:p>
        </w:tc>
        <w:tc>
          <w:tcPr>
            <w:tcW w:w="1642"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075E8E78"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Укупно</w:t>
            </w:r>
          </w:p>
        </w:tc>
      </w:tr>
      <w:tr w:rsidR="00600A81" w:rsidRPr="00E84C93" w14:paraId="6CD60A1E"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0B290D66"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СРБИЈА</w:t>
            </w:r>
          </w:p>
        </w:tc>
        <w:tc>
          <w:tcPr>
            <w:tcW w:w="1526" w:type="dxa"/>
            <w:tcBorders>
              <w:top w:val="nil"/>
              <w:left w:val="nil"/>
              <w:bottom w:val="single" w:sz="4" w:space="0" w:color="808080"/>
              <w:right w:val="single" w:sz="4" w:space="0" w:color="808080"/>
            </w:tcBorders>
            <w:shd w:val="clear" w:color="auto" w:fill="auto"/>
            <w:noWrap/>
            <w:vAlign w:val="center"/>
            <w:hideMark/>
          </w:tcPr>
          <w:p w14:paraId="40F3B874"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181.164.697</w:t>
            </w:r>
          </w:p>
        </w:tc>
        <w:tc>
          <w:tcPr>
            <w:tcW w:w="1526" w:type="dxa"/>
            <w:tcBorders>
              <w:top w:val="nil"/>
              <w:left w:val="nil"/>
              <w:bottom w:val="single" w:sz="4" w:space="0" w:color="808080"/>
              <w:right w:val="single" w:sz="4" w:space="0" w:color="808080"/>
            </w:tcBorders>
            <w:shd w:val="clear" w:color="auto" w:fill="auto"/>
            <w:noWrap/>
            <w:vAlign w:val="center"/>
            <w:hideMark/>
          </w:tcPr>
          <w:p w14:paraId="60F80F08"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219.894.192</w:t>
            </w:r>
          </w:p>
        </w:tc>
        <w:tc>
          <w:tcPr>
            <w:tcW w:w="1526" w:type="dxa"/>
            <w:tcBorders>
              <w:top w:val="nil"/>
              <w:left w:val="nil"/>
              <w:bottom w:val="single" w:sz="4" w:space="0" w:color="808080"/>
              <w:right w:val="single" w:sz="4" w:space="0" w:color="808080"/>
            </w:tcBorders>
            <w:shd w:val="clear" w:color="auto" w:fill="auto"/>
            <w:noWrap/>
            <w:vAlign w:val="center"/>
            <w:hideMark/>
          </w:tcPr>
          <w:p w14:paraId="27659E65"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229.651.169</w:t>
            </w:r>
          </w:p>
        </w:tc>
        <w:tc>
          <w:tcPr>
            <w:tcW w:w="1642" w:type="dxa"/>
            <w:tcBorders>
              <w:top w:val="nil"/>
              <w:left w:val="nil"/>
              <w:bottom w:val="single" w:sz="4" w:space="0" w:color="808080"/>
              <w:right w:val="single" w:sz="4" w:space="0" w:color="808080"/>
            </w:tcBorders>
            <w:shd w:val="clear" w:color="auto" w:fill="auto"/>
            <w:noWrap/>
            <w:vAlign w:val="center"/>
            <w:hideMark/>
          </w:tcPr>
          <w:p w14:paraId="007A3F2B"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630.710.058</w:t>
            </w:r>
          </w:p>
        </w:tc>
      </w:tr>
      <w:tr w:rsidR="00600A81" w:rsidRPr="00E84C93" w14:paraId="2F6AA0FC"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6A4F1543"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СРБИЈА – СЕВЕР</w:t>
            </w:r>
          </w:p>
        </w:tc>
        <w:tc>
          <w:tcPr>
            <w:tcW w:w="1526" w:type="dxa"/>
            <w:tcBorders>
              <w:top w:val="nil"/>
              <w:left w:val="nil"/>
              <w:bottom w:val="single" w:sz="4" w:space="0" w:color="808080"/>
              <w:right w:val="single" w:sz="4" w:space="0" w:color="808080"/>
            </w:tcBorders>
            <w:shd w:val="clear" w:color="auto" w:fill="auto"/>
            <w:noWrap/>
            <w:vAlign w:val="center"/>
            <w:hideMark/>
          </w:tcPr>
          <w:p w14:paraId="76EF9429"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55.430.152</w:t>
            </w:r>
          </w:p>
        </w:tc>
        <w:tc>
          <w:tcPr>
            <w:tcW w:w="1526" w:type="dxa"/>
            <w:tcBorders>
              <w:top w:val="nil"/>
              <w:left w:val="nil"/>
              <w:bottom w:val="single" w:sz="4" w:space="0" w:color="808080"/>
              <w:right w:val="single" w:sz="4" w:space="0" w:color="808080"/>
            </w:tcBorders>
            <w:shd w:val="clear" w:color="auto" w:fill="auto"/>
            <w:noWrap/>
            <w:vAlign w:val="center"/>
            <w:hideMark/>
          </w:tcPr>
          <w:p w14:paraId="6013ED84"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177.086.976</w:t>
            </w:r>
          </w:p>
        </w:tc>
        <w:tc>
          <w:tcPr>
            <w:tcW w:w="1526" w:type="dxa"/>
            <w:tcBorders>
              <w:top w:val="nil"/>
              <w:left w:val="nil"/>
              <w:bottom w:val="single" w:sz="4" w:space="0" w:color="808080"/>
              <w:right w:val="single" w:sz="4" w:space="0" w:color="808080"/>
            </w:tcBorders>
            <w:shd w:val="clear" w:color="auto" w:fill="auto"/>
            <w:noWrap/>
            <w:vAlign w:val="center"/>
            <w:hideMark/>
          </w:tcPr>
          <w:p w14:paraId="778BCE45"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105.321.000</w:t>
            </w:r>
          </w:p>
        </w:tc>
        <w:tc>
          <w:tcPr>
            <w:tcW w:w="1642" w:type="dxa"/>
            <w:tcBorders>
              <w:top w:val="nil"/>
              <w:left w:val="nil"/>
              <w:bottom w:val="single" w:sz="4" w:space="0" w:color="808080"/>
              <w:right w:val="single" w:sz="4" w:space="0" w:color="808080"/>
            </w:tcBorders>
            <w:shd w:val="clear" w:color="auto" w:fill="auto"/>
            <w:noWrap/>
            <w:vAlign w:val="center"/>
            <w:hideMark/>
          </w:tcPr>
          <w:p w14:paraId="49752DCB" w14:textId="77777777" w:rsidR="00600A81" w:rsidRPr="00E84C93" w:rsidRDefault="00600A81" w:rsidP="008C3BC9">
            <w:pPr>
              <w:spacing w:after="0"/>
              <w:jc w:val="right"/>
              <w:rPr>
                <w:rFonts w:cs="Times New Roman"/>
                <w:b/>
                <w:bCs/>
                <w:sz w:val="22"/>
                <w:lang w:val="sr-Cyrl-CS"/>
              </w:rPr>
            </w:pPr>
            <w:r w:rsidRPr="00E84C93">
              <w:rPr>
                <w:rFonts w:cs="Times New Roman"/>
                <w:b/>
                <w:bCs/>
                <w:sz w:val="22"/>
                <w:lang w:val="sr-Cyrl-CS"/>
              </w:rPr>
              <w:t>337.838.128</w:t>
            </w:r>
          </w:p>
        </w:tc>
      </w:tr>
      <w:tr w:rsidR="00600A81" w:rsidRPr="00E84C93" w14:paraId="3C9C69D6"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28AEAE07"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Београдски регион</w:t>
            </w:r>
          </w:p>
        </w:tc>
        <w:tc>
          <w:tcPr>
            <w:tcW w:w="1526" w:type="dxa"/>
            <w:tcBorders>
              <w:top w:val="nil"/>
              <w:left w:val="nil"/>
              <w:bottom w:val="single" w:sz="4" w:space="0" w:color="808080"/>
              <w:right w:val="single" w:sz="4" w:space="0" w:color="808080"/>
            </w:tcBorders>
            <w:shd w:val="clear" w:color="auto" w:fill="auto"/>
            <w:noWrap/>
            <w:vAlign w:val="center"/>
            <w:hideMark/>
          </w:tcPr>
          <w:p w14:paraId="50570B26"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14.472.528</w:t>
            </w:r>
          </w:p>
        </w:tc>
        <w:tc>
          <w:tcPr>
            <w:tcW w:w="1526" w:type="dxa"/>
            <w:tcBorders>
              <w:top w:val="nil"/>
              <w:left w:val="nil"/>
              <w:bottom w:val="single" w:sz="4" w:space="0" w:color="808080"/>
              <w:right w:val="single" w:sz="4" w:space="0" w:color="808080"/>
            </w:tcBorders>
            <w:shd w:val="clear" w:color="auto" w:fill="auto"/>
            <w:noWrap/>
            <w:vAlign w:val="center"/>
            <w:hideMark/>
          </w:tcPr>
          <w:p w14:paraId="36538B05"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122.486.976</w:t>
            </w:r>
          </w:p>
        </w:tc>
        <w:tc>
          <w:tcPr>
            <w:tcW w:w="1526" w:type="dxa"/>
            <w:tcBorders>
              <w:top w:val="nil"/>
              <w:left w:val="nil"/>
              <w:bottom w:val="single" w:sz="4" w:space="0" w:color="808080"/>
              <w:right w:val="single" w:sz="4" w:space="0" w:color="808080"/>
            </w:tcBorders>
            <w:shd w:val="clear" w:color="auto" w:fill="auto"/>
            <w:noWrap/>
            <w:vAlign w:val="center"/>
            <w:hideMark/>
          </w:tcPr>
          <w:p w14:paraId="3E090CF8"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18.964.824</w:t>
            </w:r>
          </w:p>
        </w:tc>
        <w:tc>
          <w:tcPr>
            <w:tcW w:w="1642" w:type="dxa"/>
            <w:tcBorders>
              <w:top w:val="nil"/>
              <w:left w:val="nil"/>
              <w:bottom w:val="single" w:sz="4" w:space="0" w:color="808080"/>
              <w:right w:val="single" w:sz="4" w:space="0" w:color="808080"/>
            </w:tcBorders>
            <w:shd w:val="clear" w:color="auto" w:fill="auto"/>
            <w:noWrap/>
            <w:vAlign w:val="center"/>
            <w:hideMark/>
          </w:tcPr>
          <w:p w14:paraId="7C434AE0"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155.924.328</w:t>
            </w:r>
          </w:p>
        </w:tc>
      </w:tr>
      <w:tr w:rsidR="00600A81" w:rsidRPr="00E84C93" w14:paraId="78C34086"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57951753"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Београдски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0DACAA2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14.472.528</w:t>
            </w:r>
          </w:p>
        </w:tc>
        <w:tc>
          <w:tcPr>
            <w:tcW w:w="1526" w:type="dxa"/>
            <w:tcBorders>
              <w:top w:val="nil"/>
              <w:left w:val="nil"/>
              <w:bottom w:val="single" w:sz="4" w:space="0" w:color="808080"/>
              <w:right w:val="single" w:sz="4" w:space="0" w:color="808080"/>
            </w:tcBorders>
            <w:shd w:val="clear" w:color="auto" w:fill="auto"/>
            <w:noWrap/>
            <w:vAlign w:val="center"/>
            <w:hideMark/>
          </w:tcPr>
          <w:p w14:paraId="3408CD06"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122.486.976</w:t>
            </w:r>
          </w:p>
        </w:tc>
        <w:tc>
          <w:tcPr>
            <w:tcW w:w="1526" w:type="dxa"/>
            <w:tcBorders>
              <w:top w:val="nil"/>
              <w:left w:val="nil"/>
              <w:bottom w:val="single" w:sz="4" w:space="0" w:color="808080"/>
              <w:right w:val="single" w:sz="4" w:space="0" w:color="808080"/>
            </w:tcBorders>
            <w:shd w:val="clear" w:color="auto" w:fill="auto"/>
            <w:noWrap/>
            <w:vAlign w:val="center"/>
            <w:hideMark/>
          </w:tcPr>
          <w:p w14:paraId="50AE28C2"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18.964.824</w:t>
            </w:r>
          </w:p>
        </w:tc>
        <w:tc>
          <w:tcPr>
            <w:tcW w:w="1642" w:type="dxa"/>
            <w:tcBorders>
              <w:top w:val="nil"/>
              <w:left w:val="nil"/>
              <w:bottom w:val="single" w:sz="4" w:space="0" w:color="808080"/>
              <w:right w:val="single" w:sz="4" w:space="0" w:color="808080"/>
            </w:tcBorders>
            <w:shd w:val="clear" w:color="auto" w:fill="auto"/>
            <w:noWrap/>
            <w:vAlign w:val="center"/>
            <w:hideMark/>
          </w:tcPr>
          <w:p w14:paraId="445E828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155.924.328</w:t>
            </w:r>
          </w:p>
        </w:tc>
      </w:tr>
      <w:tr w:rsidR="00600A81" w:rsidRPr="00E84C93" w14:paraId="7CA43602"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758F44B2"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Регион Војводина</w:t>
            </w:r>
          </w:p>
        </w:tc>
        <w:tc>
          <w:tcPr>
            <w:tcW w:w="1526" w:type="dxa"/>
            <w:tcBorders>
              <w:top w:val="nil"/>
              <w:left w:val="nil"/>
              <w:bottom w:val="single" w:sz="4" w:space="0" w:color="808080"/>
              <w:right w:val="single" w:sz="4" w:space="0" w:color="808080"/>
            </w:tcBorders>
            <w:shd w:val="clear" w:color="auto" w:fill="auto"/>
            <w:noWrap/>
            <w:vAlign w:val="center"/>
            <w:hideMark/>
          </w:tcPr>
          <w:p w14:paraId="144B4FC9"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40.957.624</w:t>
            </w:r>
          </w:p>
        </w:tc>
        <w:tc>
          <w:tcPr>
            <w:tcW w:w="1526" w:type="dxa"/>
            <w:tcBorders>
              <w:top w:val="nil"/>
              <w:left w:val="nil"/>
              <w:bottom w:val="single" w:sz="4" w:space="0" w:color="808080"/>
              <w:right w:val="single" w:sz="4" w:space="0" w:color="808080"/>
            </w:tcBorders>
            <w:shd w:val="clear" w:color="auto" w:fill="auto"/>
            <w:noWrap/>
            <w:vAlign w:val="center"/>
            <w:hideMark/>
          </w:tcPr>
          <w:p w14:paraId="284093E2"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54.600.000</w:t>
            </w:r>
          </w:p>
        </w:tc>
        <w:tc>
          <w:tcPr>
            <w:tcW w:w="1526" w:type="dxa"/>
            <w:tcBorders>
              <w:top w:val="nil"/>
              <w:left w:val="nil"/>
              <w:bottom w:val="single" w:sz="4" w:space="0" w:color="808080"/>
              <w:right w:val="single" w:sz="4" w:space="0" w:color="808080"/>
            </w:tcBorders>
            <w:shd w:val="clear" w:color="auto" w:fill="auto"/>
            <w:noWrap/>
            <w:vAlign w:val="center"/>
            <w:hideMark/>
          </w:tcPr>
          <w:p w14:paraId="507611FA"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86.356.176</w:t>
            </w:r>
          </w:p>
        </w:tc>
        <w:tc>
          <w:tcPr>
            <w:tcW w:w="1642" w:type="dxa"/>
            <w:tcBorders>
              <w:top w:val="nil"/>
              <w:left w:val="nil"/>
              <w:bottom w:val="single" w:sz="4" w:space="0" w:color="808080"/>
              <w:right w:val="single" w:sz="4" w:space="0" w:color="808080"/>
            </w:tcBorders>
            <w:shd w:val="clear" w:color="auto" w:fill="auto"/>
            <w:noWrap/>
            <w:vAlign w:val="center"/>
            <w:hideMark/>
          </w:tcPr>
          <w:p w14:paraId="5C9C8B98"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181.913.800</w:t>
            </w:r>
          </w:p>
        </w:tc>
      </w:tr>
      <w:tr w:rsidR="00600A81" w:rsidRPr="00E84C93" w14:paraId="33121E56"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42B8EB3B"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Западнобачки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4B24FDB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4.463.820</w:t>
            </w:r>
          </w:p>
        </w:tc>
        <w:tc>
          <w:tcPr>
            <w:tcW w:w="1526" w:type="dxa"/>
            <w:tcBorders>
              <w:top w:val="nil"/>
              <w:left w:val="nil"/>
              <w:bottom w:val="single" w:sz="4" w:space="0" w:color="808080"/>
              <w:right w:val="single" w:sz="4" w:space="0" w:color="808080"/>
            </w:tcBorders>
            <w:shd w:val="clear" w:color="auto" w:fill="auto"/>
            <w:noWrap/>
            <w:vAlign w:val="center"/>
            <w:hideMark/>
          </w:tcPr>
          <w:p w14:paraId="65253F2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60F56CF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9.635.520</w:t>
            </w:r>
          </w:p>
        </w:tc>
        <w:tc>
          <w:tcPr>
            <w:tcW w:w="1642" w:type="dxa"/>
            <w:tcBorders>
              <w:top w:val="nil"/>
              <w:left w:val="nil"/>
              <w:bottom w:val="single" w:sz="4" w:space="0" w:color="808080"/>
              <w:right w:val="single" w:sz="4" w:space="0" w:color="808080"/>
            </w:tcBorders>
            <w:shd w:val="clear" w:color="auto" w:fill="auto"/>
            <w:noWrap/>
            <w:vAlign w:val="center"/>
            <w:hideMark/>
          </w:tcPr>
          <w:p w14:paraId="42618AAE"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14.099.340</w:t>
            </w:r>
          </w:p>
        </w:tc>
      </w:tr>
      <w:tr w:rsidR="00600A81" w:rsidRPr="00E84C93" w14:paraId="171B302D"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59229D03"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Јужнобанатски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1FEE58C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1.554.364</w:t>
            </w:r>
          </w:p>
        </w:tc>
        <w:tc>
          <w:tcPr>
            <w:tcW w:w="1526" w:type="dxa"/>
            <w:tcBorders>
              <w:top w:val="nil"/>
              <w:left w:val="nil"/>
              <w:bottom w:val="single" w:sz="4" w:space="0" w:color="808080"/>
              <w:right w:val="single" w:sz="4" w:space="0" w:color="808080"/>
            </w:tcBorders>
            <w:shd w:val="clear" w:color="auto" w:fill="auto"/>
            <w:noWrap/>
            <w:vAlign w:val="center"/>
            <w:hideMark/>
          </w:tcPr>
          <w:p w14:paraId="15D09839"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7E6C729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20.430.547</w:t>
            </w:r>
          </w:p>
        </w:tc>
        <w:tc>
          <w:tcPr>
            <w:tcW w:w="1642" w:type="dxa"/>
            <w:tcBorders>
              <w:top w:val="nil"/>
              <w:left w:val="nil"/>
              <w:bottom w:val="single" w:sz="4" w:space="0" w:color="808080"/>
              <w:right w:val="single" w:sz="4" w:space="0" w:color="808080"/>
            </w:tcBorders>
            <w:shd w:val="clear" w:color="auto" w:fill="auto"/>
            <w:noWrap/>
            <w:vAlign w:val="center"/>
            <w:hideMark/>
          </w:tcPr>
          <w:p w14:paraId="2174C0F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21.984.911</w:t>
            </w:r>
          </w:p>
        </w:tc>
      </w:tr>
      <w:tr w:rsidR="00600A81" w:rsidRPr="00E84C93" w14:paraId="200E2A26"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0913F888"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Јужнобачки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E32262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3.909.660</w:t>
            </w:r>
          </w:p>
        </w:tc>
        <w:tc>
          <w:tcPr>
            <w:tcW w:w="1526" w:type="dxa"/>
            <w:tcBorders>
              <w:top w:val="nil"/>
              <w:left w:val="nil"/>
              <w:bottom w:val="single" w:sz="4" w:space="0" w:color="808080"/>
              <w:right w:val="single" w:sz="4" w:space="0" w:color="808080"/>
            </w:tcBorders>
            <w:shd w:val="clear" w:color="auto" w:fill="auto"/>
            <w:noWrap/>
            <w:vAlign w:val="center"/>
            <w:hideMark/>
          </w:tcPr>
          <w:p w14:paraId="44EDF76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54.600.000</w:t>
            </w:r>
          </w:p>
        </w:tc>
        <w:tc>
          <w:tcPr>
            <w:tcW w:w="1526" w:type="dxa"/>
            <w:tcBorders>
              <w:top w:val="nil"/>
              <w:left w:val="nil"/>
              <w:bottom w:val="single" w:sz="4" w:space="0" w:color="808080"/>
              <w:right w:val="single" w:sz="4" w:space="0" w:color="808080"/>
            </w:tcBorders>
            <w:shd w:val="clear" w:color="auto" w:fill="auto"/>
            <w:noWrap/>
            <w:vAlign w:val="center"/>
            <w:hideMark/>
          </w:tcPr>
          <w:p w14:paraId="78396A28"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21.393.480</w:t>
            </w:r>
          </w:p>
        </w:tc>
        <w:tc>
          <w:tcPr>
            <w:tcW w:w="1642" w:type="dxa"/>
            <w:tcBorders>
              <w:top w:val="nil"/>
              <w:left w:val="nil"/>
              <w:bottom w:val="single" w:sz="4" w:space="0" w:color="808080"/>
              <w:right w:val="single" w:sz="4" w:space="0" w:color="808080"/>
            </w:tcBorders>
            <w:shd w:val="clear" w:color="auto" w:fill="auto"/>
            <w:noWrap/>
            <w:vAlign w:val="center"/>
            <w:hideMark/>
          </w:tcPr>
          <w:p w14:paraId="4DAA79C4"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79.903.140</w:t>
            </w:r>
          </w:p>
        </w:tc>
      </w:tr>
      <w:tr w:rsidR="00600A81" w:rsidRPr="00E84C93" w14:paraId="021E6F71"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5A73B464"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Севернобанатски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23DC503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1.791.600</w:t>
            </w:r>
          </w:p>
        </w:tc>
        <w:tc>
          <w:tcPr>
            <w:tcW w:w="1526" w:type="dxa"/>
            <w:tcBorders>
              <w:top w:val="nil"/>
              <w:left w:val="nil"/>
              <w:bottom w:val="single" w:sz="4" w:space="0" w:color="808080"/>
              <w:right w:val="single" w:sz="4" w:space="0" w:color="808080"/>
            </w:tcBorders>
            <w:shd w:val="clear" w:color="auto" w:fill="auto"/>
            <w:noWrap/>
            <w:vAlign w:val="center"/>
            <w:hideMark/>
          </w:tcPr>
          <w:p w14:paraId="55FD6F4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76A2937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5.465.040</w:t>
            </w:r>
          </w:p>
        </w:tc>
        <w:tc>
          <w:tcPr>
            <w:tcW w:w="1642" w:type="dxa"/>
            <w:tcBorders>
              <w:top w:val="nil"/>
              <w:left w:val="nil"/>
              <w:bottom w:val="single" w:sz="4" w:space="0" w:color="808080"/>
              <w:right w:val="single" w:sz="4" w:space="0" w:color="808080"/>
            </w:tcBorders>
            <w:shd w:val="clear" w:color="auto" w:fill="auto"/>
            <w:noWrap/>
            <w:vAlign w:val="center"/>
            <w:hideMark/>
          </w:tcPr>
          <w:p w14:paraId="5601120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7.256.640</w:t>
            </w:r>
          </w:p>
        </w:tc>
      </w:tr>
      <w:tr w:rsidR="00600A81" w:rsidRPr="00E84C93" w14:paraId="53619D94"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64A5F90C"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Севернобачки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4E5027A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15.426.180</w:t>
            </w:r>
          </w:p>
        </w:tc>
        <w:tc>
          <w:tcPr>
            <w:tcW w:w="1526" w:type="dxa"/>
            <w:tcBorders>
              <w:top w:val="nil"/>
              <w:left w:val="nil"/>
              <w:bottom w:val="single" w:sz="4" w:space="0" w:color="808080"/>
              <w:right w:val="single" w:sz="4" w:space="0" w:color="808080"/>
            </w:tcBorders>
            <w:shd w:val="clear" w:color="auto" w:fill="auto"/>
            <w:noWrap/>
            <w:vAlign w:val="center"/>
            <w:hideMark/>
          </w:tcPr>
          <w:p w14:paraId="740D86BB"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45F6B11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5.043.240</w:t>
            </w:r>
          </w:p>
        </w:tc>
        <w:tc>
          <w:tcPr>
            <w:tcW w:w="1642" w:type="dxa"/>
            <w:tcBorders>
              <w:top w:val="nil"/>
              <w:left w:val="nil"/>
              <w:bottom w:val="single" w:sz="4" w:space="0" w:color="808080"/>
              <w:right w:val="single" w:sz="4" w:space="0" w:color="808080"/>
            </w:tcBorders>
            <w:shd w:val="clear" w:color="auto" w:fill="auto"/>
            <w:noWrap/>
            <w:vAlign w:val="center"/>
            <w:hideMark/>
          </w:tcPr>
          <w:p w14:paraId="23F399D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20.469.420</w:t>
            </w:r>
          </w:p>
        </w:tc>
      </w:tr>
      <w:tr w:rsidR="00600A81" w:rsidRPr="00E84C93" w14:paraId="22992293"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62E713C0"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Средњобанатски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5ED968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1.146.000</w:t>
            </w:r>
          </w:p>
        </w:tc>
        <w:tc>
          <w:tcPr>
            <w:tcW w:w="1526" w:type="dxa"/>
            <w:tcBorders>
              <w:top w:val="nil"/>
              <w:left w:val="nil"/>
              <w:bottom w:val="single" w:sz="4" w:space="0" w:color="808080"/>
              <w:right w:val="single" w:sz="4" w:space="0" w:color="808080"/>
            </w:tcBorders>
            <w:shd w:val="clear" w:color="auto" w:fill="auto"/>
            <w:noWrap/>
            <w:vAlign w:val="center"/>
            <w:hideMark/>
          </w:tcPr>
          <w:p w14:paraId="16B564F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47EFCF2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13.758.509</w:t>
            </w:r>
          </w:p>
        </w:tc>
        <w:tc>
          <w:tcPr>
            <w:tcW w:w="1642" w:type="dxa"/>
            <w:tcBorders>
              <w:top w:val="nil"/>
              <w:left w:val="nil"/>
              <w:bottom w:val="single" w:sz="4" w:space="0" w:color="808080"/>
              <w:right w:val="single" w:sz="4" w:space="0" w:color="808080"/>
            </w:tcBorders>
            <w:shd w:val="clear" w:color="auto" w:fill="auto"/>
            <w:noWrap/>
            <w:vAlign w:val="center"/>
            <w:hideMark/>
          </w:tcPr>
          <w:p w14:paraId="55EA8FB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14.904.509</w:t>
            </w:r>
          </w:p>
        </w:tc>
      </w:tr>
      <w:tr w:rsidR="00600A81" w:rsidRPr="00E84C93" w14:paraId="0A31E215"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67D01DDE"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Сремски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3616BDE4"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12.666.000</w:t>
            </w:r>
          </w:p>
        </w:tc>
        <w:tc>
          <w:tcPr>
            <w:tcW w:w="1526" w:type="dxa"/>
            <w:tcBorders>
              <w:top w:val="nil"/>
              <w:left w:val="nil"/>
              <w:bottom w:val="single" w:sz="4" w:space="0" w:color="808080"/>
              <w:right w:val="single" w:sz="4" w:space="0" w:color="808080"/>
            </w:tcBorders>
            <w:shd w:val="clear" w:color="auto" w:fill="auto"/>
            <w:noWrap/>
            <w:vAlign w:val="center"/>
            <w:hideMark/>
          </w:tcPr>
          <w:p w14:paraId="217FB16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3AC60454"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10.629.840</w:t>
            </w:r>
          </w:p>
        </w:tc>
        <w:tc>
          <w:tcPr>
            <w:tcW w:w="1642" w:type="dxa"/>
            <w:tcBorders>
              <w:top w:val="nil"/>
              <w:left w:val="nil"/>
              <w:bottom w:val="single" w:sz="4" w:space="0" w:color="808080"/>
              <w:right w:val="single" w:sz="4" w:space="0" w:color="808080"/>
            </w:tcBorders>
            <w:shd w:val="clear" w:color="auto" w:fill="auto"/>
            <w:noWrap/>
            <w:vAlign w:val="center"/>
            <w:hideMark/>
          </w:tcPr>
          <w:p w14:paraId="59A0D5AB"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23.295.840</w:t>
            </w:r>
          </w:p>
        </w:tc>
      </w:tr>
      <w:tr w:rsidR="00600A81" w:rsidRPr="00E84C93" w14:paraId="231A98F2"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36BAF4C1"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lastRenderedPageBreak/>
              <w:t xml:space="preserve">СРБИЈА – ЈУГ </w:t>
            </w:r>
          </w:p>
        </w:tc>
        <w:tc>
          <w:tcPr>
            <w:tcW w:w="1526" w:type="dxa"/>
            <w:tcBorders>
              <w:top w:val="nil"/>
              <w:left w:val="nil"/>
              <w:bottom w:val="single" w:sz="4" w:space="0" w:color="808080"/>
              <w:right w:val="single" w:sz="4" w:space="0" w:color="808080"/>
            </w:tcBorders>
            <w:shd w:val="clear" w:color="auto" w:fill="auto"/>
            <w:noWrap/>
            <w:vAlign w:val="center"/>
            <w:hideMark/>
          </w:tcPr>
          <w:p w14:paraId="3D4C61A3"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125.734.546</w:t>
            </w:r>
          </w:p>
        </w:tc>
        <w:tc>
          <w:tcPr>
            <w:tcW w:w="1526" w:type="dxa"/>
            <w:tcBorders>
              <w:top w:val="nil"/>
              <w:left w:val="nil"/>
              <w:bottom w:val="single" w:sz="4" w:space="0" w:color="808080"/>
              <w:right w:val="single" w:sz="4" w:space="0" w:color="808080"/>
            </w:tcBorders>
            <w:shd w:val="clear" w:color="auto" w:fill="auto"/>
            <w:noWrap/>
            <w:vAlign w:val="center"/>
            <w:hideMark/>
          </w:tcPr>
          <w:p w14:paraId="364A75AB"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42.807.216</w:t>
            </w:r>
          </w:p>
        </w:tc>
        <w:tc>
          <w:tcPr>
            <w:tcW w:w="1526" w:type="dxa"/>
            <w:tcBorders>
              <w:top w:val="nil"/>
              <w:left w:val="nil"/>
              <w:bottom w:val="single" w:sz="4" w:space="0" w:color="808080"/>
              <w:right w:val="single" w:sz="4" w:space="0" w:color="808080"/>
            </w:tcBorders>
            <w:shd w:val="clear" w:color="auto" w:fill="auto"/>
            <w:noWrap/>
            <w:vAlign w:val="center"/>
            <w:hideMark/>
          </w:tcPr>
          <w:p w14:paraId="6190F796"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124.330.169</w:t>
            </w:r>
          </w:p>
        </w:tc>
        <w:tc>
          <w:tcPr>
            <w:tcW w:w="1642" w:type="dxa"/>
            <w:tcBorders>
              <w:top w:val="nil"/>
              <w:left w:val="nil"/>
              <w:bottom w:val="single" w:sz="4" w:space="0" w:color="808080"/>
              <w:right w:val="single" w:sz="4" w:space="0" w:color="808080"/>
            </w:tcBorders>
            <w:shd w:val="clear" w:color="auto" w:fill="auto"/>
            <w:noWrap/>
            <w:vAlign w:val="center"/>
            <w:hideMark/>
          </w:tcPr>
          <w:p w14:paraId="117726DD"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292.871.930</w:t>
            </w:r>
          </w:p>
        </w:tc>
      </w:tr>
      <w:tr w:rsidR="00600A81" w:rsidRPr="00E84C93" w14:paraId="5F29C43B"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vAlign w:val="center"/>
            <w:hideMark/>
          </w:tcPr>
          <w:p w14:paraId="4E6A3948"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Шумадија и Западна Србија</w:t>
            </w:r>
          </w:p>
        </w:tc>
        <w:tc>
          <w:tcPr>
            <w:tcW w:w="1526" w:type="dxa"/>
            <w:tcBorders>
              <w:top w:val="nil"/>
              <w:left w:val="nil"/>
              <w:bottom w:val="single" w:sz="4" w:space="0" w:color="808080"/>
              <w:right w:val="single" w:sz="4" w:space="0" w:color="808080"/>
            </w:tcBorders>
            <w:shd w:val="clear" w:color="auto" w:fill="auto"/>
            <w:noWrap/>
            <w:vAlign w:val="center"/>
            <w:hideMark/>
          </w:tcPr>
          <w:p w14:paraId="5C244FED"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98.412.106</w:t>
            </w:r>
          </w:p>
        </w:tc>
        <w:tc>
          <w:tcPr>
            <w:tcW w:w="1526" w:type="dxa"/>
            <w:tcBorders>
              <w:top w:val="nil"/>
              <w:left w:val="nil"/>
              <w:bottom w:val="single" w:sz="4" w:space="0" w:color="808080"/>
              <w:right w:val="single" w:sz="4" w:space="0" w:color="808080"/>
            </w:tcBorders>
            <w:shd w:val="clear" w:color="auto" w:fill="auto"/>
            <w:noWrap/>
            <w:vAlign w:val="center"/>
            <w:hideMark/>
          </w:tcPr>
          <w:p w14:paraId="781B2FF4"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460BA352"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65.749.277</w:t>
            </w:r>
          </w:p>
        </w:tc>
        <w:tc>
          <w:tcPr>
            <w:tcW w:w="1642" w:type="dxa"/>
            <w:tcBorders>
              <w:top w:val="nil"/>
              <w:left w:val="nil"/>
              <w:bottom w:val="single" w:sz="4" w:space="0" w:color="808080"/>
              <w:right w:val="single" w:sz="4" w:space="0" w:color="808080"/>
            </w:tcBorders>
            <w:shd w:val="clear" w:color="auto" w:fill="auto"/>
            <w:noWrap/>
            <w:vAlign w:val="center"/>
            <w:hideMark/>
          </w:tcPr>
          <w:p w14:paraId="4785480C"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164.161.382</w:t>
            </w:r>
          </w:p>
        </w:tc>
      </w:tr>
      <w:tr w:rsidR="00600A81" w:rsidRPr="00E84C93" w14:paraId="2F721072"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6059FD6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Златиборски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775B167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2.951.400</w:t>
            </w:r>
          </w:p>
        </w:tc>
        <w:tc>
          <w:tcPr>
            <w:tcW w:w="1526" w:type="dxa"/>
            <w:tcBorders>
              <w:top w:val="nil"/>
              <w:left w:val="nil"/>
              <w:bottom w:val="single" w:sz="4" w:space="0" w:color="808080"/>
              <w:right w:val="single" w:sz="4" w:space="0" w:color="808080"/>
            </w:tcBorders>
            <w:shd w:val="clear" w:color="auto" w:fill="auto"/>
            <w:noWrap/>
            <w:vAlign w:val="center"/>
            <w:hideMark/>
          </w:tcPr>
          <w:p w14:paraId="7C796FA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59BC475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12.116.998</w:t>
            </w:r>
          </w:p>
        </w:tc>
        <w:tc>
          <w:tcPr>
            <w:tcW w:w="1642" w:type="dxa"/>
            <w:tcBorders>
              <w:top w:val="nil"/>
              <w:left w:val="nil"/>
              <w:bottom w:val="single" w:sz="4" w:space="0" w:color="808080"/>
              <w:right w:val="single" w:sz="4" w:space="0" w:color="808080"/>
            </w:tcBorders>
            <w:shd w:val="clear" w:color="auto" w:fill="auto"/>
            <w:noWrap/>
            <w:vAlign w:val="center"/>
            <w:hideMark/>
          </w:tcPr>
          <w:p w14:paraId="27096B9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15.068.398</w:t>
            </w:r>
          </w:p>
        </w:tc>
      </w:tr>
      <w:tr w:rsidR="00600A81" w:rsidRPr="00E84C93" w14:paraId="7AF23A59"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45EDB7E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Колубарски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4BB53EF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9.480.821</w:t>
            </w:r>
          </w:p>
        </w:tc>
        <w:tc>
          <w:tcPr>
            <w:tcW w:w="1526" w:type="dxa"/>
            <w:tcBorders>
              <w:top w:val="nil"/>
              <w:left w:val="nil"/>
              <w:bottom w:val="single" w:sz="4" w:space="0" w:color="808080"/>
              <w:right w:val="single" w:sz="4" w:space="0" w:color="808080"/>
            </w:tcBorders>
            <w:shd w:val="clear" w:color="auto" w:fill="auto"/>
            <w:noWrap/>
            <w:vAlign w:val="center"/>
            <w:hideMark/>
          </w:tcPr>
          <w:p w14:paraId="033D2AA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5C990BFF"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996.000</w:t>
            </w:r>
          </w:p>
        </w:tc>
        <w:tc>
          <w:tcPr>
            <w:tcW w:w="1642" w:type="dxa"/>
            <w:tcBorders>
              <w:top w:val="nil"/>
              <w:left w:val="nil"/>
              <w:bottom w:val="single" w:sz="4" w:space="0" w:color="808080"/>
              <w:right w:val="single" w:sz="4" w:space="0" w:color="808080"/>
            </w:tcBorders>
            <w:shd w:val="clear" w:color="auto" w:fill="auto"/>
            <w:noWrap/>
            <w:vAlign w:val="center"/>
            <w:hideMark/>
          </w:tcPr>
          <w:p w14:paraId="766E279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10.476.821</w:t>
            </w:r>
          </w:p>
        </w:tc>
      </w:tr>
      <w:tr w:rsidR="00600A81" w:rsidRPr="00E84C93" w14:paraId="2389EA64"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39B56ED4"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Мачвански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006996A8"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3.918.480</w:t>
            </w:r>
          </w:p>
        </w:tc>
        <w:tc>
          <w:tcPr>
            <w:tcW w:w="1526" w:type="dxa"/>
            <w:tcBorders>
              <w:top w:val="nil"/>
              <w:left w:val="nil"/>
              <w:bottom w:val="single" w:sz="4" w:space="0" w:color="808080"/>
              <w:right w:val="single" w:sz="4" w:space="0" w:color="808080"/>
            </w:tcBorders>
            <w:shd w:val="clear" w:color="auto" w:fill="auto"/>
            <w:noWrap/>
            <w:vAlign w:val="center"/>
            <w:hideMark/>
          </w:tcPr>
          <w:p w14:paraId="6DC5642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489F093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14.464.152</w:t>
            </w:r>
          </w:p>
        </w:tc>
        <w:tc>
          <w:tcPr>
            <w:tcW w:w="1642" w:type="dxa"/>
            <w:tcBorders>
              <w:top w:val="nil"/>
              <w:left w:val="nil"/>
              <w:bottom w:val="single" w:sz="4" w:space="0" w:color="808080"/>
              <w:right w:val="single" w:sz="4" w:space="0" w:color="808080"/>
            </w:tcBorders>
            <w:shd w:val="clear" w:color="auto" w:fill="auto"/>
            <w:noWrap/>
            <w:vAlign w:val="center"/>
            <w:hideMark/>
          </w:tcPr>
          <w:p w14:paraId="1830CF3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18.382.632</w:t>
            </w:r>
          </w:p>
        </w:tc>
      </w:tr>
      <w:tr w:rsidR="00600A81" w:rsidRPr="00E84C93" w14:paraId="797F9BD5"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7CF1B26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Моравички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F55FC79"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2.857.440</w:t>
            </w:r>
          </w:p>
        </w:tc>
        <w:tc>
          <w:tcPr>
            <w:tcW w:w="1526" w:type="dxa"/>
            <w:tcBorders>
              <w:top w:val="nil"/>
              <w:left w:val="nil"/>
              <w:bottom w:val="single" w:sz="4" w:space="0" w:color="808080"/>
              <w:right w:val="single" w:sz="4" w:space="0" w:color="808080"/>
            </w:tcBorders>
            <w:shd w:val="clear" w:color="auto" w:fill="auto"/>
            <w:noWrap/>
            <w:vAlign w:val="center"/>
            <w:hideMark/>
          </w:tcPr>
          <w:p w14:paraId="00C38CE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6900E5F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11.718.493</w:t>
            </w:r>
          </w:p>
        </w:tc>
        <w:tc>
          <w:tcPr>
            <w:tcW w:w="1642" w:type="dxa"/>
            <w:tcBorders>
              <w:top w:val="nil"/>
              <w:left w:val="nil"/>
              <w:bottom w:val="single" w:sz="4" w:space="0" w:color="808080"/>
              <w:right w:val="single" w:sz="4" w:space="0" w:color="808080"/>
            </w:tcBorders>
            <w:shd w:val="clear" w:color="auto" w:fill="auto"/>
            <w:noWrap/>
            <w:vAlign w:val="center"/>
            <w:hideMark/>
          </w:tcPr>
          <w:p w14:paraId="6283E89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14.575.933</w:t>
            </w:r>
          </w:p>
        </w:tc>
      </w:tr>
      <w:tr w:rsidR="00600A81" w:rsidRPr="00E84C93" w14:paraId="56C5EB3E"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2F8A418D"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Поморавски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66018BC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11.343.485</w:t>
            </w:r>
          </w:p>
        </w:tc>
        <w:tc>
          <w:tcPr>
            <w:tcW w:w="1526" w:type="dxa"/>
            <w:tcBorders>
              <w:top w:val="nil"/>
              <w:left w:val="nil"/>
              <w:bottom w:val="single" w:sz="4" w:space="0" w:color="808080"/>
              <w:right w:val="single" w:sz="4" w:space="0" w:color="808080"/>
            </w:tcBorders>
            <w:shd w:val="clear" w:color="auto" w:fill="auto"/>
            <w:noWrap/>
            <w:vAlign w:val="center"/>
            <w:hideMark/>
          </w:tcPr>
          <w:p w14:paraId="645C04B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392CEB5E"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1.413.600</w:t>
            </w:r>
          </w:p>
        </w:tc>
        <w:tc>
          <w:tcPr>
            <w:tcW w:w="1642" w:type="dxa"/>
            <w:tcBorders>
              <w:top w:val="nil"/>
              <w:left w:val="nil"/>
              <w:bottom w:val="single" w:sz="4" w:space="0" w:color="808080"/>
              <w:right w:val="single" w:sz="4" w:space="0" w:color="808080"/>
            </w:tcBorders>
            <w:shd w:val="clear" w:color="auto" w:fill="auto"/>
            <w:noWrap/>
            <w:vAlign w:val="center"/>
            <w:hideMark/>
          </w:tcPr>
          <w:p w14:paraId="0B4E52A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12.757.085</w:t>
            </w:r>
          </w:p>
        </w:tc>
      </w:tr>
      <w:tr w:rsidR="00600A81" w:rsidRPr="00E84C93" w14:paraId="11ADD0D4"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01DE9F2A"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Расински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48CC87A"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3.039.900</w:t>
            </w:r>
          </w:p>
        </w:tc>
        <w:tc>
          <w:tcPr>
            <w:tcW w:w="1526" w:type="dxa"/>
            <w:tcBorders>
              <w:top w:val="nil"/>
              <w:left w:val="nil"/>
              <w:bottom w:val="single" w:sz="4" w:space="0" w:color="808080"/>
              <w:right w:val="single" w:sz="4" w:space="0" w:color="808080"/>
            </w:tcBorders>
            <w:shd w:val="clear" w:color="auto" w:fill="auto"/>
            <w:noWrap/>
            <w:vAlign w:val="center"/>
            <w:hideMark/>
          </w:tcPr>
          <w:p w14:paraId="37F3CF5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1F65C6A6"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12.971.154</w:t>
            </w:r>
          </w:p>
        </w:tc>
        <w:tc>
          <w:tcPr>
            <w:tcW w:w="1642" w:type="dxa"/>
            <w:tcBorders>
              <w:top w:val="nil"/>
              <w:left w:val="nil"/>
              <w:bottom w:val="single" w:sz="4" w:space="0" w:color="808080"/>
              <w:right w:val="single" w:sz="4" w:space="0" w:color="808080"/>
            </w:tcBorders>
            <w:shd w:val="clear" w:color="auto" w:fill="auto"/>
            <w:noWrap/>
            <w:vAlign w:val="center"/>
            <w:hideMark/>
          </w:tcPr>
          <w:p w14:paraId="1E828ED2"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16.011.054</w:t>
            </w:r>
          </w:p>
        </w:tc>
      </w:tr>
      <w:tr w:rsidR="00600A81" w:rsidRPr="00E84C93" w14:paraId="7F9F7D52"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543113E1"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Рашки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79D487C9"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16.266.960</w:t>
            </w:r>
          </w:p>
        </w:tc>
        <w:tc>
          <w:tcPr>
            <w:tcW w:w="1526" w:type="dxa"/>
            <w:tcBorders>
              <w:top w:val="nil"/>
              <w:left w:val="nil"/>
              <w:bottom w:val="single" w:sz="4" w:space="0" w:color="808080"/>
              <w:right w:val="single" w:sz="4" w:space="0" w:color="808080"/>
            </w:tcBorders>
            <w:shd w:val="clear" w:color="auto" w:fill="auto"/>
            <w:noWrap/>
            <w:vAlign w:val="center"/>
            <w:hideMark/>
          </w:tcPr>
          <w:p w14:paraId="696A1D2F"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26EE74F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11.072.280</w:t>
            </w:r>
          </w:p>
        </w:tc>
        <w:tc>
          <w:tcPr>
            <w:tcW w:w="1642" w:type="dxa"/>
            <w:tcBorders>
              <w:top w:val="nil"/>
              <w:left w:val="nil"/>
              <w:bottom w:val="single" w:sz="4" w:space="0" w:color="808080"/>
              <w:right w:val="single" w:sz="4" w:space="0" w:color="808080"/>
            </w:tcBorders>
            <w:shd w:val="clear" w:color="auto" w:fill="auto"/>
            <w:noWrap/>
            <w:vAlign w:val="center"/>
            <w:hideMark/>
          </w:tcPr>
          <w:p w14:paraId="2509AF86"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27.339.240</w:t>
            </w:r>
          </w:p>
        </w:tc>
      </w:tr>
      <w:tr w:rsidR="00600A81" w:rsidRPr="00E84C93" w14:paraId="22736453"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2497A43C"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Шумадијски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68844592"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48.553.620</w:t>
            </w:r>
          </w:p>
        </w:tc>
        <w:tc>
          <w:tcPr>
            <w:tcW w:w="1526" w:type="dxa"/>
            <w:tcBorders>
              <w:top w:val="nil"/>
              <w:left w:val="nil"/>
              <w:bottom w:val="single" w:sz="4" w:space="0" w:color="808080"/>
              <w:right w:val="single" w:sz="4" w:space="0" w:color="808080"/>
            </w:tcBorders>
            <w:shd w:val="clear" w:color="auto" w:fill="auto"/>
            <w:noWrap/>
            <w:vAlign w:val="center"/>
            <w:hideMark/>
          </w:tcPr>
          <w:p w14:paraId="356DDF96"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53274666"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996.600</w:t>
            </w:r>
          </w:p>
        </w:tc>
        <w:tc>
          <w:tcPr>
            <w:tcW w:w="1642" w:type="dxa"/>
            <w:tcBorders>
              <w:top w:val="nil"/>
              <w:left w:val="nil"/>
              <w:bottom w:val="single" w:sz="4" w:space="0" w:color="808080"/>
              <w:right w:val="single" w:sz="4" w:space="0" w:color="808080"/>
            </w:tcBorders>
            <w:shd w:val="clear" w:color="auto" w:fill="auto"/>
            <w:noWrap/>
            <w:vAlign w:val="center"/>
            <w:hideMark/>
          </w:tcPr>
          <w:p w14:paraId="24C486C8"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49.550.220</w:t>
            </w:r>
          </w:p>
        </w:tc>
      </w:tr>
      <w:tr w:rsidR="00600A81" w:rsidRPr="00E84C93" w14:paraId="11028A93"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3FDC8A6F"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Јужна и Источна Србија</w:t>
            </w:r>
          </w:p>
        </w:tc>
        <w:tc>
          <w:tcPr>
            <w:tcW w:w="1526" w:type="dxa"/>
            <w:tcBorders>
              <w:top w:val="nil"/>
              <w:left w:val="nil"/>
              <w:bottom w:val="single" w:sz="4" w:space="0" w:color="808080"/>
              <w:right w:val="single" w:sz="4" w:space="0" w:color="808080"/>
            </w:tcBorders>
            <w:shd w:val="clear" w:color="auto" w:fill="auto"/>
            <w:noWrap/>
            <w:vAlign w:val="center"/>
            <w:hideMark/>
          </w:tcPr>
          <w:p w14:paraId="0AB7ACB4"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27.322.440</w:t>
            </w:r>
          </w:p>
        </w:tc>
        <w:tc>
          <w:tcPr>
            <w:tcW w:w="1526" w:type="dxa"/>
            <w:tcBorders>
              <w:top w:val="nil"/>
              <w:left w:val="nil"/>
              <w:bottom w:val="single" w:sz="4" w:space="0" w:color="808080"/>
              <w:right w:val="single" w:sz="4" w:space="0" w:color="808080"/>
            </w:tcBorders>
            <w:shd w:val="clear" w:color="auto" w:fill="auto"/>
            <w:noWrap/>
            <w:vAlign w:val="center"/>
            <w:hideMark/>
          </w:tcPr>
          <w:p w14:paraId="436929D7"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42.807.216</w:t>
            </w:r>
          </w:p>
        </w:tc>
        <w:tc>
          <w:tcPr>
            <w:tcW w:w="1526" w:type="dxa"/>
            <w:tcBorders>
              <w:top w:val="nil"/>
              <w:left w:val="nil"/>
              <w:bottom w:val="single" w:sz="4" w:space="0" w:color="808080"/>
              <w:right w:val="single" w:sz="4" w:space="0" w:color="808080"/>
            </w:tcBorders>
            <w:shd w:val="clear" w:color="auto" w:fill="auto"/>
            <w:noWrap/>
            <w:vAlign w:val="center"/>
            <w:hideMark/>
          </w:tcPr>
          <w:p w14:paraId="3476FCA4"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58.580.892</w:t>
            </w:r>
          </w:p>
        </w:tc>
        <w:tc>
          <w:tcPr>
            <w:tcW w:w="1642" w:type="dxa"/>
            <w:tcBorders>
              <w:top w:val="nil"/>
              <w:left w:val="nil"/>
              <w:bottom w:val="single" w:sz="4" w:space="0" w:color="808080"/>
              <w:right w:val="single" w:sz="4" w:space="0" w:color="808080"/>
            </w:tcBorders>
            <w:shd w:val="clear" w:color="auto" w:fill="auto"/>
            <w:noWrap/>
            <w:vAlign w:val="center"/>
            <w:hideMark/>
          </w:tcPr>
          <w:p w14:paraId="53C6E9C2" w14:textId="77777777" w:rsidR="00600A81" w:rsidRPr="00E84C93" w:rsidRDefault="00600A81" w:rsidP="008C3BC9">
            <w:pPr>
              <w:spacing w:after="0"/>
              <w:jc w:val="right"/>
              <w:rPr>
                <w:rFonts w:cs="Times New Roman"/>
                <w:b/>
                <w:bCs/>
                <w:sz w:val="22"/>
                <w:lang w:val="sr-Cyrl-CS"/>
              </w:rPr>
            </w:pPr>
            <w:r w:rsidRPr="00E84C93">
              <w:rPr>
                <w:rFonts w:cs="Times New Roman"/>
                <w:b/>
                <w:bCs/>
                <w:color w:val="000000"/>
                <w:sz w:val="22"/>
                <w:lang w:val="sr-Cyrl-CS"/>
              </w:rPr>
              <w:t>128.710.548</w:t>
            </w:r>
          </w:p>
        </w:tc>
      </w:tr>
      <w:tr w:rsidR="00600A81" w:rsidRPr="00E84C93" w14:paraId="30EE7B41"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298AEDBD"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Борски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1CF385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3.652.320</w:t>
            </w:r>
          </w:p>
        </w:tc>
        <w:tc>
          <w:tcPr>
            <w:tcW w:w="1526" w:type="dxa"/>
            <w:tcBorders>
              <w:top w:val="nil"/>
              <w:left w:val="nil"/>
              <w:bottom w:val="single" w:sz="4" w:space="0" w:color="808080"/>
              <w:right w:val="single" w:sz="4" w:space="0" w:color="808080"/>
            </w:tcBorders>
            <w:shd w:val="clear" w:color="auto" w:fill="auto"/>
            <w:noWrap/>
            <w:vAlign w:val="center"/>
            <w:hideMark/>
          </w:tcPr>
          <w:p w14:paraId="15B027F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21F8D19F"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1.618.200</w:t>
            </w:r>
          </w:p>
        </w:tc>
        <w:tc>
          <w:tcPr>
            <w:tcW w:w="1642" w:type="dxa"/>
            <w:tcBorders>
              <w:top w:val="nil"/>
              <w:left w:val="nil"/>
              <w:bottom w:val="single" w:sz="4" w:space="0" w:color="808080"/>
              <w:right w:val="single" w:sz="4" w:space="0" w:color="808080"/>
            </w:tcBorders>
            <w:shd w:val="clear" w:color="auto" w:fill="auto"/>
            <w:noWrap/>
            <w:vAlign w:val="center"/>
            <w:hideMark/>
          </w:tcPr>
          <w:p w14:paraId="618E7369"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5.270.520</w:t>
            </w:r>
          </w:p>
        </w:tc>
      </w:tr>
      <w:tr w:rsidR="00600A81" w:rsidRPr="00E84C93" w14:paraId="7A521B41"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47FB4CF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Браничевски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0EC4B69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1.406.400</w:t>
            </w:r>
          </w:p>
        </w:tc>
        <w:tc>
          <w:tcPr>
            <w:tcW w:w="1526" w:type="dxa"/>
            <w:tcBorders>
              <w:top w:val="nil"/>
              <w:left w:val="nil"/>
              <w:bottom w:val="single" w:sz="4" w:space="0" w:color="808080"/>
              <w:right w:val="single" w:sz="4" w:space="0" w:color="808080"/>
            </w:tcBorders>
            <w:shd w:val="clear" w:color="auto" w:fill="auto"/>
            <w:noWrap/>
            <w:vAlign w:val="center"/>
            <w:hideMark/>
          </w:tcPr>
          <w:p w14:paraId="2B9C7E7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2DAB7D82"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8.655.912</w:t>
            </w:r>
          </w:p>
        </w:tc>
        <w:tc>
          <w:tcPr>
            <w:tcW w:w="1642" w:type="dxa"/>
            <w:tcBorders>
              <w:top w:val="nil"/>
              <w:left w:val="nil"/>
              <w:bottom w:val="single" w:sz="4" w:space="0" w:color="808080"/>
              <w:right w:val="single" w:sz="4" w:space="0" w:color="808080"/>
            </w:tcBorders>
            <w:shd w:val="clear" w:color="auto" w:fill="auto"/>
            <w:noWrap/>
            <w:vAlign w:val="center"/>
            <w:hideMark/>
          </w:tcPr>
          <w:p w14:paraId="26FAB08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10.062.312</w:t>
            </w:r>
          </w:p>
        </w:tc>
      </w:tr>
      <w:tr w:rsidR="00600A81" w:rsidRPr="00E84C93" w14:paraId="1C93C0B9"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3AEC7703"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Зајечарски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1C9E853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1.818.000</w:t>
            </w:r>
          </w:p>
        </w:tc>
        <w:tc>
          <w:tcPr>
            <w:tcW w:w="1526" w:type="dxa"/>
            <w:tcBorders>
              <w:top w:val="nil"/>
              <w:left w:val="nil"/>
              <w:bottom w:val="single" w:sz="4" w:space="0" w:color="808080"/>
              <w:right w:val="single" w:sz="4" w:space="0" w:color="808080"/>
            </w:tcBorders>
            <w:shd w:val="clear" w:color="auto" w:fill="auto"/>
            <w:noWrap/>
            <w:vAlign w:val="center"/>
            <w:hideMark/>
          </w:tcPr>
          <w:p w14:paraId="086A0BCB"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675318A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2.580.240</w:t>
            </w:r>
          </w:p>
        </w:tc>
        <w:tc>
          <w:tcPr>
            <w:tcW w:w="1642" w:type="dxa"/>
            <w:tcBorders>
              <w:top w:val="nil"/>
              <w:left w:val="nil"/>
              <w:bottom w:val="single" w:sz="4" w:space="0" w:color="808080"/>
              <w:right w:val="single" w:sz="4" w:space="0" w:color="808080"/>
            </w:tcBorders>
            <w:shd w:val="clear" w:color="auto" w:fill="auto"/>
            <w:noWrap/>
            <w:vAlign w:val="center"/>
            <w:hideMark/>
          </w:tcPr>
          <w:p w14:paraId="79E68BF2"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4.398.240</w:t>
            </w:r>
          </w:p>
        </w:tc>
      </w:tr>
      <w:tr w:rsidR="00600A81" w:rsidRPr="00E84C93" w14:paraId="37C6548C"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6B552BC8"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Јабланички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3D7D88C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3.991.800</w:t>
            </w:r>
          </w:p>
        </w:tc>
        <w:tc>
          <w:tcPr>
            <w:tcW w:w="1526" w:type="dxa"/>
            <w:tcBorders>
              <w:top w:val="nil"/>
              <w:left w:val="nil"/>
              <w:bottom w:val="single" w:sz="4" w:space="0" w:color="808080"/>
              <w:right w:val="single" w:sz="4" w:space="0" w:color="808080"/>
            </w:tcBorders>
            <w:shd w:val="clear" w:color="auto" w:fill="auto"/>
            <w:noWrap/>
            <w:vAlign w:val="center"/>
            <w:hideMark/>
          </w:tcPr>
          <w:p w14:paraId="13F5DEBE"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5A6ED05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11.696.539</w:t>
            </w:r>
          </w:p>
        </w:tc>
        <w:tc>
          <w:tcPr>
            <w:tcW w:w="1642" w:type="dxa"/>
            <w:tcBorders>
              <w:top w:val="nil"/>
              <w:left w:val="nil"/>
              <w:bottom w:val="single" w:sz="4" w:space="0" w:color="808080"/>
              <w:right w:val="single" w:sz="4" w:space="0" w:color="808080"/>
            </w:tcBorders>
            <w:shd w:val="clear" w:color="auto" w:fill="auto"/>
            <w:noWrap/>
            <w:vAlign w:val="center"/>
            <w:hideMark/>
          </w:tcPr>
          <w:p w14:paraId="683AEDE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15.688.339</w:t>
            </w:r>
          </w:p>
        </w:tc>
      </w:tr>
      <w:tr w:rsidR="00600A81" w:rsidRPr="00E84C93" w14:paraId="3B531EDD"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4EA64238"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Нишавски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B47437F"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5.421.000</w:t>
            </w:r>
          </w:p>
        </w:tc>
        <w:tc>
          <w:tcPr>
            <w:tcW w:w="1526" w:type="dxa"/>
            <w:tcBorders>
              <w:top w:val="nil"/>
              <w:left w:val="nil"/>
              <w:bottom w:val="single" w:sz="4" w:space="0" w:color="808080"/>
              <w:right w:val="single" w:sz="4" w:space="0" w:color="808080"/>
            </w:tcBorders>
            <w:shd w:val="clear" w:color="auto" w:fill="auto"/>
            <w:noWrap/>
            <w:vAlign w:val="center"/>
            <w:hideMark/>
          </w:tcPr>
          <w:p w14:paraId="57F5413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42.807.216</w:t>
            </w:r>
          </w:p>
        </w:tc>
        <w:tc>
          <w:tcPr>
            <w:tcW w:w="1526" w:type="dxa"/>
            <w:tcBorders>
              <w:top w:val="nil"/>
              <w:left w:val="nil"/>
              <w:bottom w:val="single" w:sz="4" w:space="0" w:color="808080"/>
              <w:right w:val="single" w:sz="4" w:space="0" w:color="808080"/>
            </w:tcBorders>
            <w:shd w:val="clear" w:color="auto" w:fill="auto"/>
            <w:noWrap/>
            <w:vAlign w:val="center"/>
            <w:hideMark/>
          </w:tcPr>
          <w:p w14:paraId="76D3D24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2.497.200</w:t>
            </w:r>
          </w:p>
        </w:tc>
        <w:tc>
          <w:tcPr>
            <w:tcW w:w="1642" w:type="dxa"/>
            <w:tcBorders>
              <w:top w:val="nil"/>
              <w:left w:val="nil"/>
              <w:bottom w:val="single" w:sz="4" w:space="0" w:color="808080"/>
              <w:right w:val="single" w:sz="4" w:space="0" w:color="808080"/>
            </w:tcBorders>
            <w:shd w:val="clear" w:color="auto" w:fill="auto"/>
            <w:noWrap/>
            <w:vAlign w:val="center"/>
            <w:hideMark/>
          </w:tcPr>
          <w:p w14:paraId="37365B2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50.725.416</w:t>
            </w:r>
          </w:p>
        </w:tc>
      </w:tr>
      <w:tr w:rsidR="00600A81" w:rsidRPr="00E84C93" w14:paraId="79C08365"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7ED3D342"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Пиротски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1F5C760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666.120</w:t>
            </w:r>
          </w:p>
        </w:tc>
        <w:tc>
          <w:tcPr>
            <w:tcW w:w="1526" w:type="dxa"/>
            <w:tcBorders>
              <w:top w:val="nil"/>
              <w:left w:val="nil"/>
              <w:bottom w:val="single" w:sz="4" w:space="0" w:color="808080"/>
              <w:right w:val="single" w:sz="4" w:space="0" w:color="808080"/>
            </w:tcBorders>
            <w:shd w:val="clear" w:color="auto" w:fill="auto"/>
            <w:noWrap/>
            <w:vAlign w:val="center"/>
            <w:hideMark/>
          </w:tcPr>
          <w:p w14:paraId="392999EE"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0C0304B3"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6.813.000</w:t>
            </w:r>
          </w:p>
        </w:tc>
        <w:tc>
          <w:tcPr>
            <w:tcW w:w="1642" w:type="dxa"/>
            <w:tcBorders>
              <w:top w:val="nil"/>
              <w:left w:val="nil"/>
              <w:bottom w:val="single" w:sz="4" w:space="0" w:color="808080"/>
              <w:right w:val="single" w:sz="4" w:space="0" w:color="808080"/>
            </w:tcBorders>
            <w:shd w:val="clear" w:color="auto" w:fill="auto"/>
            <w:noWrap/>
            <w:vAlign w:val="center"/>
            <w:hideMark/>
          </w:tcPr>
          <w:p w14:paraId="6AD7F435"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7.479.120</w:t>
            </w:r>
          </w:p>
        </w:tc>
      </w:tr>
      <w:tr w:rsidR="00600A81" w:rsidRPr="00E84C93" w14:paraId="23BE28A2"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697DBA7E"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Подунавски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176856E8"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4.919.400</w:t>
            </w:r>
          </w:p>
        </w:tc>
        <w:tc>
          <w:tcPr>
            <w:tcW w:w="1526" w:type="dxa"/>
            <w:tcBorders>
              <w:top w:val="nil"/>
              <w:left w:val="nil"/>
              <w:bottom w:val="single" w:sz="4" w:space="0" w:color="808080"/>
              <w:right w:val="single" w:sz="4" w:space="0" w:color="808080"/>
            </w:tcBorders>
            <w:shd w:val="clear" w:color="auto" w:fill="auto"/>
            <w:noWrap/>
            <w:vAlign w:val="center"/>
            <w:hideMark/>
          </w:tcPr>
          <w:p w14:paraId="18DAC1AC"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1B44B09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11.080.889</w:t>
            </w:r>
          </w:p>
        </w:tc>
        <w:tc>
          <w:tcPr>
            <w:tcW w:w="1642" w:type="dxa"/>
            <w:tcBorders>
              <w:top w:val="nil"/>
              <w:left w:val="nil"/>
              <w:bottom w:val="single" w:sz="4" w:space="0" w:color="808080"/>
              <w:right w:val="single" w:sz="4" w:space="0" w:color="808080"/>
            </w:tcBorders>
            <w:shd w:val="clear" w:color="auto" w:fill="auto"/>
            <w:noWrap/>
            <w:vAlign w:val="center"/>
            <w:hideMark/>
          </w:tcPr>
          <w:p w14:paraId="353740D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16.000.289</w:t>
            </w:r>
          </w:p>
        </w:tc>
      </w:tr>
      <w:tr w:rsidR="00600A81" w:rsidRPr="00E84C93" w14:paraId="452E4424"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512983C0"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Пчињски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40B03FBB"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4.439.400</w:t>
            </w:r>
          </w:p>
        </w:tc>
        <w:tc>
          <w:tcPr>
            <w:tcW w:w="1526" w:type="dxa"/>
            <w:tcBorders>
              <w:top w:val="nil"/>
              <w:left w:val="nil"/>
              <w:bottom w:val="single" w:sz="4" w:space="0" w:color="808080"/>
              <w:right w:val="single" w:sz="4" w:space="0" w:color="808080"/>
            </w:tcBorders>
            <w:shd w:val="clear" w:color="auto" w:fill="auto"/>
            <w:noWrap/>
            <w:vAlign w:val="center"/>
            <w:hideMark/>
          </w:tcPr>
          <w:p w14:paraId="4489C0C0"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73B45B1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11.306.472</w:t>
            </w:r>
          </w:p>
        </w:tc>
        <w:tc>
          <w:tcPr>
            <w:tcW w:w="1642" w:type="dxa"/>
            <w:tcBorders>
              <w:top w:val="nil"/>
              <w:left w:val="nil"/>
              <w:bottom w:val="single" w:sz="4" w:space="0" w:color="808080"/>
              <w:right w:val="single" w:sz="4" w:space="0" w:color="808080"/>
            </w:tcBorders>
            <w:shd w:val="clear" w:color="auto" w:fill="auto"/>
            <w:noWrap/>
            <w:vAlign w:val="center"/>
            <w:hideMark/>
          </w:tcPr>
          <w:p w14:paraId="69177D49"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15.745.872</w:t>
            </w:r>
          </w:p>
        </w:tc>
      </w:tr>
      <w:tr w:rsidR="00600A81" w:rsidRPr="00E84C93" w14:paraId="2804EED5" w14:textId="77777777" w:rsidTr="008C3BC9">
        <w:trPr>
          <w:trHeight w:val="234"/>
        </w:trPr>
        <w:tc>
          <w:tcPr>
            <w:tcW w:w="3278" w:type="dxa"/>
            <w:tcBorders>
              <w:top w:val="nil"/>
              <w:left w:val="single" w:sz="4" w:space="0" w:color="808080"/>
              <w:bottom w:val="single" w:sz="4" w:space="0" w:color="808080"/>
              <w:right w:val="single" w:sz="4" w:space="0" w:color="808080"/>
            </w:tcBorders>
            <w:shd w:val="clear" w:color="auto" w:fill="auto"/>
            <w:hideMark/>
          </w:tcPr>
          <w:p w14:paraId="1AF90521"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Топлички округ</w:t>
            </w:r>
          </w:p>
        </w:tc>
        <w:tc>
          <w:tcPr>
            <w:tcW w:w="1526" w:type="dxa"/>
            <w:tcBorders>
              <w:top w:val="nil"/>
              <w:left w:val="nil"/>
              <w:bottom w:val="single" w:sz="4" w:space="0" w:color="808080"/>
              <w:right w:val="single" w:sz="4" w:space="0" w:color="808080"/>
            </w:tcBorders>
            <w:shd w:val="clear" w:color="auto" w:fill="auto"/>
            <w:vAlign w:val="center"/>
            <w:hideMark/>
          </w:tcPr>
          <w:p w14:paraId="5E46739D"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1.008.000</w:t>
            </w:r>
          </w:p>
        </w:tc>
        <w:tc>
          <w:tcPr>
            <w:tcW w:w="1526" w:type="dxa"/>
            <w:tcBorders>
              <w:top w:val="nil"/>
              <w:left w:val="nil"/>
              <w:bottom w:val="single" w:sz="4" w:space="0" w:color="808080"/>
              <w:right w:val="single" w:sz="4" w:space="0" w:color="808080"/>
            </w:tcBorders>
            <w:shd w:val="clear" w:color="auto" w:fill="auto"/>
            <w:noWrap/>
            <w:vAlign w:val="center"/>
            <w:hideMark/>
          </w:tcPr>
          <w:p w14:paraId="4FCE49D1"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0</w:t>
            </w:r>
          </w:p>
        </w:tc>
        <w:tc>
          <w:tcPr>
            <w:tcW w:w="1526" w:type="dxa"/>
            <w:tcBorders>
              <w:top w:val="nil"/>
              <w:left w:val="nil"/>
              <w:bottom w:val="single" w:sz="4" w:space="0" w:color="808080"/>
              <w:right w:val="single" w:sz="4" w:space="0" w:color="808080"/>
            </w:tcBorders>
            <w:shd w:val="clear" w:color="auto" w:fill="auto"/>
            <w:noWrap/>
            <w:vAlign w:val="center"/>
            <w:hideMark/>
          </w:tcPr>
          <w:p w14:paraId="37F2B37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2.332.440</w:t>
            </w:r>
          </w:p>
        </w:tc>
        <w:tc>
          <w:tcPr>
            <w:tcW w:w="1642" w:type="dxa"/>
            <w:tcBorders>
              <w:top w:val="nil"/>
              <w:left w:val="nil"/>
              <w:bottom w:val="single" w:sz="4" w:space="0" w:color="808080"/>
              <w:right w:val="single" w:sz="4" w:space="0" w:color="808080"/>
            </w:tcBorders>
            <w:shd w:val="clear" w:color="auto" w:fill="auto"/>
            <w:noWrap/>
            <w:vAlign w:val="center"/>
            <w:hideMark/>
          </w:tcPr>
          <w:p w14:paraId="74DB9C37" w14:textId="77777777" w:rsidR="00600A81" w:rsidRPr="00E84C93" w:rsidRDefault="00600A81" w:rsidP="008C3BC9">
            <w:pPr>
              <w:spacing w:after="0"/>
              <w:jc w:val="right"/>
              <w:rPr>
                <w:rFonts w:cs="Times New Roman"/>
                <w:sz w:val="22"/>
                <w:lang w:val="sr-Cyrl-CS"/>
              </w:rPr>
            </w:pPr>
            <w:r w:rsidRPr="00E84C93">
              <w:rPr>
                <w:rFonts w:cs="Times New Roman"/>
                <w:color w:val="000000"/>
                <w:sz w:val="22"/>
                <w:lang w:val="sr-Cyrl-CS"/>
              </w:rPr>
              <w:t>3.340.440</w:t>
            </w:r>
          </w:p>
        </w:tc>
      </w:tr>
    </w:tbl>
    <w:p w14:paraId="604B16CD" w14:textId="77777777" w:rsidR="00600A81" w:rsidRPr="00E84C93" w:rsidRDefault="00600A81" w:rsidP="00600A81">
      <w:pPr>
        <w:spacing w:after="0"/>
        <w:jc w:val="both"/>
        <w:rPr>
          <w:rFonts w:cs="Times New Roman"/>
          <w:szCs w:val="24"/>
          <w:lang w:val="sr-Cyrl-CS"/>
        </w:rPr>
      </w:pPr>
    </w:p>
    <w:p w14:paraId="3BB6A3DE" w14:textId="317E79A2"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Трошкови спровођења Програма су дати закључно са 2046. годином. Претпоставка је да ће се постројења за третман отпадних вода у Републици Србији градити закључно са 2041. годином (у складу са Специфичним планом имплементације Директиве ЕУ о комуналним отпадним водама). Инфраструктура за третман муља ће се градити непосредно након изградње постројења за третман отпадних вода, због чега је усвојена претпоставка да ће се та изградња одвијати закључно са 2046. годином.</w:t>
      </w:r>
    </w:p>
    <w:p w14:paraId="68B95CFA" w14:textId="0C82D956"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Просечни укупни годишњи оперативни трошкови функционисања система за управљање</w:t>
      </w:r>
      <w:r w:rsidR="00151633" w:rsidRPr="00E84C93">
        <w:rPr>
          <w:rFonts w:cs="Times New Roman"/>
          <w:szCs w:val="24"/>
          <w:lang w:val="sr-Cyrl-CS"/>
        </w:rPr>
        <w:t xml:space="preserve"> муљем</w:t>
      </w:r>
      <w:r w:rsidRPr="00E84C93">
        <w:rPr>
          <w:rFonts w:cs="Times New Roman"/>
          <w:szCs w:val="24"/>
          <w:lang w:val="sr-Cyrl-CS"/>
        </w:rPr>
        <w:t xml:space="preserve"> у Републици Србији у периоду 2022-2046. година износе 10,7 милиона евра годишње. Ови трошкови представљају инкременталне (додатне) трошкове у сектору отпадних вода које је потребно укључити у обрачун цене воде за крајње кориснике (домаћинства). Утицај ових трошкова на крајњу цену услуга у области снабдевања пијаћом водом, сакупљања и третмана отпадних вода и њихову приуштивост за домаћинства биће анализирана у делу о анализи ефеката мера.</w:t>
      </w:r>
    </w:p>
    <w:p w14:paraId="2A30E127" w14:textId="77777777" w:rsidR="00600A81" w:rsidRPr="00E84C93" w:rsidRDefault="00600A81" w:rsidP="00600A81">
      <w:pPr>
        <w:spacing w:after="0"/>
        <w:jc w:val="both"/>
        <w:rPr>
          <w:rFonts w:cs="Times New Roman"/>
          <w:szCs w:val="24"/>
          <w:lang w:val="sr-Cyrl-CS"/>
        </w:rPr>
      </w:pPr>
    </w:p>
    <w:p w14:paraId="303A5216" w14:textId="57EDE596" w:rsidR="00600A81" w:rsidRPr="00E84C93" w:rsidRDefault="00600A81" w:rsidP="00600A81">
      <w:pPr>
        <w:spacing w:after="0"/>
        <w:jc w:val="both"/>
        <w:rPr>
          <w:rFonts w:cs="Times New Roman"/>
          <w:szCs w:val="24"/>
          <w:lang w:val="sr-Cyrl-CS"/>
        </w:rPr>
      </w:pPr>
      <w:r w:rsidRPr="00E84C93">
        <w:rPr>
          <w:rFonts w:cs="Times New Roman"/>
          <w:b/>
          <w:bCs/>
          <w:szCs w:val="24"/>
          <w:lang w:val="sr-Cyrl-CS"/>
        </w:rPr>
        <w:lastRenderedPageBreak/>
        <w:t xml:space="preserve">Табела </w:t>
      </w:r>
      <w:r w:rsidR="00AA2A9D" w:rsidRPr="00E84C93">
        <w:rPr>
          <w:rFonts w:cs="Times New Roman"/>
          <w:b/>
          <w:bCs/>
          <w:szCs w:val="24"/>
          <w:lang w:val="sr-Cyrl-CS"/>
        </w:rPr>
        <w:t>7</w:t>
      </w:r>
      <w:r w:rsidRPr="00E84C93">
        <w:rPr>
          <w:rFonts w:cs="Times New Roman"/>
          <w:b/>
          <w:bCs/>
          <w:szCs w:val="24"/>
          <w:lang w:val="sr-Cyrl-CS"/>
        </w:rPr>
        <w:t>.</w:t>
      </w:r>
      <w:r w:rsidR="001A3E2E" w:rsidRPr="00E84C93">
        <w:rPr>
          <w:rFonts w:cs="Times New Roman"/>
          <w:b/>
          <w:bCs/>
          <w:szCs w:val="24"/>
          <w:lang w:val="sr-Cyrl-CS"/>
        </w:rPr>
        <w:t>7</w:t>
      </w:r>
      <w:r w:rsidRPr="00E84C93">
        <w:rPr>
          <w:rFonts w:cs="Times New Roman"/>
          <w:b/>
          <w:bCs/>
          <w:szCs w:val="24"/>
          <w:lang w:val="sr-Cyrl-CS"/>
        </w:rPr>
        <w:t xml:space="preserve">. </w:t>
      </w:r>
      <w:r w:rsidRPr="00E84C93">
        <w:rPr>
          <w:rFonts w:cs="Times New Roman"/>
          <w:szCs w:val="24"/>
          <w:lang w:val="sr-Cyrl-CS"/>
        </w:rPr>
        <w:t>Просечни</w:t>
      </w:r>
      <w:r w:rsidRPr="00E84C93">
        <w:rPr>
          <w:rFonts w:cs="Times New Roman"/>
          <w:b/>
          <w:bCs/>
          <w:szCs w:val="24"/>
          <w:lang w:val="sr-Cyrl-CS"/>
        </w:rPr>
        <w:t xml:space="preserve"> </w:t>
      </w:r>
      <w:r w:rsidRPr="00E84C93">
        <w:rPr>
          <w:rFonts w:cs="Times New Roman"/>
          <w:szCs w:val="24"/>
          <w:lang w:val="sr-Cyrl-CS"/>
        </w:rPr>
        <w:t>оперативни трошкови система за управљање муљем на годишњем нивоу и по m</w:t>
      </w:r>
      <w:r w:rsidRPr="00E84C93">
        <w:rPr>
          <w:rFonts w:cs="Times New Roman"/>
          <w:szCs w:val="24"/>
          <w:vertAlign w:val="superscript"/>
          <w:lang w:val="sr-Cyrl-CS"/>
        </w:rPr>
        <w:t>3</w:t>
      </w:r>
      <w:r w:rsidRPr="00E84C93">
        <w:rPr>
          <w:rFonts w:cs="Times New Roman"/>
          <w:szCs w:val="24"/>
          <w:lang w:val="sr-Cyrl-CS"/>
        </w:rPr>
        <w:t xml:space="preserve"> третираних отпадних вода (у еврима, константне цене из 2022. године)</w:t>
      </w:r>
    </w:p>
    <w:tbl>
      <w:tblPr>
        <w:tblW w:w="9610" w:type="dxa"/>
        <w:tblInd w:w="-147" w:type="dxa"/>
        <w:tblLayout w:type="fixed"/>
        <w:tblLook w:val="04A0" w:firstRow="1" w:lastRow="0" w:firstColumn="1" w:lastColumn="0" w:noHBand="0" w:noVBand="1"/>
      </w:tblPr>
      <w:tblGrid>
        <w:gridCol w:w="3202"/>
        <w:gridCol w:w="3600"/>
        <w:gridCol w:w="2808"/>
      </w:tblGrid>
      <w:tr w:rsidR="00600A81" w:rsidRPr="00E84C93" w14:paraId="156E010D" w14:textId="77777777" w:rsidTr="008C3BC9">
        <w:trPr>
          <w:trHeight w:val="410"/>
          <w:tblHeader/>
        </w:trPr>
        <w:tc>
          <w:tcPr>
            <w:tcW w:w="3202" w:type="dxa"/>
            <w:tcBorders>
              <w:top w:val="single" w:sz="4" w:space="0" w:color="808080"/>
              <w:left w:val="single" w:sz="4" w:space="0" w:color="808080"/>
              <w:bottom w:val="single" w:sz="4" w:space="0" w:color="808080"/>
              <w:right w:val="single" w:sz="4" w:space="0" w:color="808080"/>
            </w:tcBorders>
            <w:shd w:val="clear" w:color="auto" w:fill="9CC2E5" w:themeFill="accent1" w:themeFillTint="99"/>
            <w:vAlign w:val="center"/>
            <w:hideMark/>
          </w:tcPr>
          <w:p w14:paraId="486BE351"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Регион/округ</w:t>
            </w:r>
          </w:p>
        </w:tc>
        <w:tc>
          <w:tcPr>
            <w:tcW w:w="3600"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6DFC85A5"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 xml:space="preserve">Оперативни трошкови укупно без амортизације (€) </w:t>
            </w:r>
          </w:p>
        </w:tc>
        <w:tc>
          <w:tcPr>
            <w:tcW w:w="2808" w:type="dxa"/>
            <w:tcBorders>
              <w:top w:val="single" w:sz="4" w:space="0" w:color="808080"/>
              <w:left w:val="nil"/>
              <w:bottom w:val="single" w:sz="4" w:space="0" w:color="808080"/>
              <w:right w:val="single" w:sz="4" w:space="0" w:color="808080"/>
            </w:tcBorders>
            <w:shd w:val="clear" w:color="auto" w:fill="9CC2E5" w:themeFill="accent1" w:themeFillTint="99"/>
            <w:vAlign w:val="center"/>
            <w:hideMark/>
          </w:tcPr>
          <w:p w14:paraId="0BA00860" w14:textId="77777777" w:rsidR="00600A81" w:rsidRPr="00E84C93" w:rsidRDefault="00600A81" w:rsidP="008C3BC9">
            <w:pPr>
              <w:spacing w:after="0"/>
              <w:jc w:val="center"/>
              <w:rPr>
                <w:rFonts w:eastAsia="Times New Roman" w:cs="Times New Roman"/>
                <w:b/>
                <w:bCs/>
                <w:sz w:val="22"/>
                <w:lang w:val="sr-Cyrl-CS"/>
              </w:rPr>
            </w:pPr>
            <w:r w:rsidRPr="00E84C93">
              <w:rPr>
                <w:rFonts w:eastAsia="Times New Roman" w:cs="Times New Roman"/>
                <w:b/>
                <w:bCs/>
                <w:sz w:val="22"/>
                <w:lang w:val="sr-Cyrl-CS"/>
              </w:rPr>
              <w:t>Оперативни трошкови са амортизацијом (€/m</w:t>
            </w:r>
            <w:r w:rsidRPr="00E84C93">
              <w:rPr>
                <w:rFonts w:eastAsia="Times New Roman" w:cs="Times New Roman"/>
                <w:b/>
                <w:bCs/>
                <w:sz w:val="22"/>
                <w:vertAlign w:val="superscript"/>
                <w:lang w:val="sr-Cyrl-CS"/>
              </w:rPr>
              <w:t>3</w:t>
            </w:r>
            <w:r w:rsidRPr="00E84C93">
              <w:rPr>
                <w:rFonts w:eastAsia="Times New Roman" w:cs="Times New Roman"/>
                <w:b/>
                <w:bCs/>
                <w:sz w:val="22"/>
                <w:lang w:val="sr-Cyrl-CS"/>
              </w:rPr>
              <w:t>)</w:t>
            </w:r>
          </w:p>
        </w:tc>
      </w:tr>
      <w:tr w:rsidR="00600A81" w:rsidRPr="00E84C93" w14:paraId="37557576"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382B0FB6"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СРБИЈА</w:t>
            </w:r>
          </w:p>
        </w:tc>
        <w:tc>
          <w:tcPr>
            <w:tcW w:w="3600" w:type="dxa"/>
            <w:tcBorders>
              <w:top w:val="nil"/>
              <w:left w:val="nil"/>
              <w:bottom w:val="single" w:sz="4" w:space="0" w:color="808080"/>
              <w:right w:val="single" w:sz="4" w:space="0" w:color="808080"/>
            </w:tcBorders>
            <w:shd w:val="clear" w:color="auto" w:fill="auto"/>
            <w:noWrap/>
            <w:vAlign w:val="center"/>
            <w:hideMark/>
          </w:tcPr>
          <w:p w14:paraId="6706979A"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10.696.341</w:t>
            </w:r>
          </w:p>
        </w:tc>
        <w:tc>
          <w:tcPr>
            <w:tcW w:w="2808" w:type="dxa"/>
            <w:tcBorders>
              <w:top w:val="nil"/>
              <w:left w:val="nil"/>
              <w:bottom w:val="single" w:sz="4" w:space="0" w:color="808080"/>
              <w:right w:val="single" w:sz="4" w:space="0" w:color="808080"/>
            </w:tcBorders>
            <w:shd w:val="clear" w:color="auto" w:fill="auto"/>
            <w:noWrap/>
            <w:vAlign w:val="center"/>
            <w:hideMark/>
          </w:tcPr>
          <w:p w14:paraId="02F2CAA9"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0,14</w:t>
            </w:r>
          </w:p>
        </w:tc>
      </w:tr>
      <w:tr w:rsidR="00600A81" w:rsidRPr="00E84C93" w14:paraId="359EF82F"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6487EEF5"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СРБИЈА – СЕВЕР</w:t>
            </w:r>
          </w:p>
        </w:tc>
        <w:tc>
          <w:tcPr>
            <w:tcW w:w="3600" w:type="dxa"/>
            <w:tcBorders>
              <w:top w:val="nil"/>
              <w:left w:val="nil"/>
              <w:bottom w:val="single" w:sz="4" w:space="0" w:color="808080"/>
              <w:right w:val="single" w:sz="4" w:space="0" w:color="808080"/>
            </w:tcBorders>
            <w:shd w:val="clear" w:color="auto" w:fill="auto"/>
            <w:noWrap/>
            <w:vAlign w:val="center"/>
            <w:hideMark/>
          </w:tcPr>
          <w:p w14:paraId="4DE71B99"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4.309.450</w:t>
            </w:r>
          </w:p>
        </w:tc>
        <w:tc>
          <w:tcPr>
            <w:tcW w:w="2808" w:type="dxa"/>
            <w:tcBorders>
              <w:top w:val="nil"/>
              <w:left w:val="nil"/>
              <w:bottom w:val="single" w:sz="4" w:space="0" w:color="808080"/>
              <w:right w:val="single" w:sz="4" w:space="0" w:color="808080"/>
            </w:tcBorders>
            <w:shd w:val="clear" w:color="auto" w:fill="auto"/>
            <w:noWrap/>
            <w:vAlign w:val="center"/>
            <w:hideMark/>
          </w:tcPr>
          <w:p w14:paraId="361A9A51"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0,12</w:t>
            </w:r>
          </w:p>
        </w:tc>
      </w:tr>
      <w:tr w:rsidR="00600A81" w:rsidRPr="00E84C93" w14:paraId="589E1E1F"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2EA3E5FD"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Београдски регион</w:t>
            </w:r>
          </w:p>
        </w:tc>
        <w:tc>
          <w:tcPr>
            <w:tcW w:w="3600" w:type="dxa"/>
            <w:tcBorders>
              <w:top w:val="nil"/>
              <w:left w:val="nil"/>
              <w:bottom w:val="single" w:sz="4" w:space="0" w:color="808080"/>
              <w:right w:val="single" w:sz="4" w:space="0" w:color="808080"/>
            </w:tcBorders>
            <w:shd w:val="clear" w:color="auto" w:fill="auto"/>
            <w:noWrap/>
            <w:vAlign w:val="center"/>
            <w:hideMark/>
          </w:tcPr>
          <w:p w14:paraId="60BAD640"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2.479.130</w:t>
            </w:r>
          </w:p>
        </w:tc>
        <w:tc>
          <w:tcPr>
            <w:tcW w:w="2808" w:type="dxa"/>
            <w:tcBorders>
              <w:top w:val="nil"/>
              <w:left w:val="nil"/>
              <w:bottom w:val="single" w:sz="4" w:space="0" w:color="808080"/>
              <w:right w:val="single" w:sz="4" w:space="0" w:color="808080"/>
            </w:tcBorders>
            <w:shd w:val="clear" w:color="auto" w:fill="auto"/>
            <w:noWrap/>
            <w:vAlign w:val="center"/>
            <w:hideMark/>
          </w:tcPr>
          <w:p w14:paraId="7ABA500E"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0,09</w:t>
            </w:r>
          </w:p>
        </w:tc>
      </w:tr>
      <w:tr w:rsidR="00600A81" w:rsidRPr="00E84C93" w14:paraId="054C108A"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44F680F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Београдски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3FBEB802"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2.479.130</w:t>
            </w:r>
          </w:p>
        </w:tc>
        <w:tc>
          <w:tcPr>
            <w:tcW w:w="2808" w:type="dxa"/>
            <w:tcBorders>
              <w:top w:val="nil"/>
              <w:left w:val="nil"/>
              <w:bottom w:val="single" w:sz="4" w:space="0" w:color="808080"/>
              <w:right w:val="single" w:sz="4" w:space="0" w:color="808080"/>
            </w:tcBorders>
            <w:shd w:val="clear" w:color="auto" w:fill="auto"/>
            <w:noWrap/>
            <w:vAlign w:val="center"/>
            <w:hideMark/>
          </w:tcPr>
          <w:p w14:paraId="12A5FF9E"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0,09</w:t>
            </w:r>
          </w:p>
        </w:tc>
      </w:tr>
      <w:tr w:rsidR="00600A81" w:rsidRPr="00E84C93" w14:paraId="5520C5EF"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52234431"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Регион Војводина</w:t>
            </w:r>
          </w:p>
        </w:tc>
        <w:tc>
          <w:tcPr>
            <w:tcW w:w="3600" w:type="dxa"/>
            <w:tcBorders>
              <w:top w:val="nil"/>
              <w:left w:val="nil"/>
              <w:bottom w:val="single" w:sz="4" w:space="0" w:color="808080"/>
              <w:right w:val="single" w:sz="4" w:space="0" w:color="808080"/>
            </w:tcBorders>
            <w:shd w:val="clear" w:color="auto" w:fill="auto"/>
            <w:noWrap/>
            <w:vAlign w:val="center"/>
            <w:hideMark/>
          </w:tcPr>
          <w:p w14:paraId="2DFBDF46"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1.830.320</w:t>
            </w:r>
          </w:p>
        </w:tc>
        <w:tc>
          <w:tcPr>
            <w:tcW w:w="2808" w:type="dxa"/>
            <w:tcBorders>
              <w:top w:val="nil"/>
              <w:left w:val="nil"/>
              <w:bottom w:val="single" w:sz="4" w:space="0" w:color="808080"/>
              <w:right w:val="single" w:sz="4" w:space="0" w:color="808080"/>
            </w:tcBorders>
            <w:shd w:val="clear" w:color="auto" w:fill="auto"/>
            <w:noWrap/>
            <w:vAlign w:val="center"/>
            <w:hideMark/>
          </w:tcPr>
          <w:p w14:paraId="32B1413E"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0,16</w:t>
            </w:r>
          </w:p>
        </w:tc>
      </w:tr>
      <w:tr w:rsidR="00600A81" w:rsidRPr="00E84C93" w14:paraId="7451E821"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65563691"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Западнобачки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3778433A"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72.579</w:t>
            </w:r>
          </w:p>
        </w:tc>
        <w:tc>
          <w:tcPr>
            <w:tcW w:w="2808" w:type="dxa"/>
            <w:tcBorders>
              <w:top w:val="nil"/>
              <w:left w:val="nil"/>
              <w:bottom w:val="single" w:sz="4" w:space="0" w:color="808080"/>
              <w:right w:val="single" w:sz="4" w:space="0" w:color="808080"/>
            </w:tcBorders>
            <w:shd w:val="clear" w:color="auto" w:fill="auto"/>
            <w:noWrap/>
            <w:vAlign w:val="center"/>
            <w:hideMark/>
          </w:tcPr>
          <w:p w14:paraId="1BB7C6CA"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0,17</w:t>
            </w:r>
          </w:p>
        </w:tc>
      </w:tr>
      <w:tr w:rsidR="00600A81" w:rsidRPr="00E84C93" w14:paraId="5389039F"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0543356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Јужнобанатски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7E6443D2"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91.692</w:t>
            </w:r>
          </w:p>
        </w:tc>
        <w:tc>
          <w:tcPr>
            <w:tcW w:w="2808" w:type="dxa"/>
            <w:tcBorders>
              <w:top w:val="nil"/>
              <w:left w:val="nil"/>
              <w:bottom w:val="single" w:sz="4" w:space="0" w:color="808080"/>
              <w:right w:val="single" w:sz="4" w:space="0" w:color="808080"/>
            </w:tcBorders>
            <w:shd w:val="clear" w:color="auto" w:fill="auto"/>
            <w:noWrap/>
            <w:vAlign w:val="center"/>
            <w:hideMark/>
          </w:tcPr>
          <w:p w14:paraId="678AD136"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0,13</w:t>
            </w:r>
          </w:p>
        </w:tc>
      </w:tr>
      <w:tr w:rsidR="00600A81" w:rsidRPr="00E84C93" w14:paraId="3D54463D"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4A5CC008"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Јужнобачки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633FC181"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1.175.393</w:t>
            </w:r>
          </w:p>
        </w:tc>
        <w:tc>
          <w:tcPr>
            <w:tcW w:w="2808" w:type="dxa"/>
            <w:tcBorders>
              <w:top w:val="nil"/>
              <w:left w:val="nil"/>
              <w:bottom w:val="single" w:sz="4" w:space="0" w:color="808080"/>
              <w:right w:val="single" w:sz="4" w:space="0" w:color="808080"/>
            </w:tcBorders>
            <w:shd w:val="clear" w:color="auto" w:fill="auto"/>
            <w:noWrap/>
            <w:vAlign w:val="center"/>
            <w:hideMark/>
          </w:tcPr>
          <w:p w14:paraId="1FEF6076"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0,18</w:t>
            </w:r>
          </w:p>
        </w:tc>
      </w:tr>
      <w:tr w:rsidR="00600A81" w:rsidRPr="00E84C93" w14:paraId="287B9FBB"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651774EA"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Севернобанатски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4FED1E48"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191.805</w:t>
            </w:r>
          </w:p>
        </w:tc>
        <w:tc>
          <w:tcPr>
            <w:tcW w:w="2808" w:type="dxa"/>
            <w:tcBorders>
              <w:top w:val="nil"/>
              <w:left w:val="nil"/>
              <w:bottom w:val="single" w:sz="4" w:space="0" w:color="808080"/>
              <w:right w:val="single" w:sz="4" w:space="0" w:color="808080"/>
            </w:tcBorders>
            <w:shd w:val="clear" w:color="auto" w:fill="auto"/>
            <w:noWrap/>
            <w:vAlign w:val="center"/>
            <w:hideMark/>
          </w:tcPr>
          <w:p w14:paraId="56AF91DD"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0,13</w:t>
            </w:r>
          </w:p>
        </w:tc>
      </w:tr>
      <w:tr w:rsidR="00600A81" w:rsidRPr="00E84C93" w14:paraId="43796B41"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29AB979C"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Севернобачки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36E40ADF"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139.937</w:t>
            </w:r>
          </w:p>
        </w:tc>
        <w:tc>
          <w:tcPr>
            <w:tcW w:w="2808" w:type="dxa"/>
            <w:tcBorders>
              <w:top w:val="nil"/>
              <w:left w:val="nil"/>
              <w:bottom w:val="single" w:sz="4" w:space="0" w:color="808080"/>
              <w:right w:val="single" w:sz="4" w:space="0" w:color="808080"/>
            </w:tcBorders>
            <w:shd w:val="clear" w:color="auto" w:fill="auto"/>
            <w:noWrap/>
            <w:vAlign w:val="center"/>
            <w:hideMark/>
          </w:tcPr>
          <w:p w14:paraId="6581E6A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251FFC1C"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2414825E"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Средњобанатски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41DA1D4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42.660</w:t>
            </w:r>
          </w:p>
        </w:tc>
        <w:tc>
          <w:tcPr>
            <w:tcW w:w="2808" w:type="dxa"/>
            <w:tcBorders>
              <w:top w:val="nil"/>
              <w:left w:val="nil"/>
              <w:bottom w:val="single" w:sz="4" w:space="0" w:color="808080"/>
              <w:right w:val="single" w:sz="4" w:space="0" w:color="808080"/>
            </w:tcBorders>
            <w:shd w:val="clear" w:color="auto" w:fill="auto"/>
            <w:noWrap/>
            <w:vAlign w:val="center"/>
            <w:hideMark/>
          </w:tcPr>
          <w:p w14:paraId="67A0F691"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0CE817B3"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57177312"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Сремски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39A65C85"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116.254</w:t>
            </w:r>
          </w:p>
        </w:tc>
        <w:tc>
          <w:tcPr>
            <w:tcW w:w="2808" w:type="dxa"/>
            <w:tcBorders>
              <w:top w:val="nil"/>
              <w:left w:val="nil"/>
              <w:bottom w:val="single" w:sz="4" w:space="0" w:color="808080"/>
              <w:right w:val="single" w:sz="4" w:space="0" w:color="808080"/>
            </w:tcBorders>
            <w:shd w:val="clear" w:color="auto" w:fill="auto"/>
            <w:noWrap/>
            <w:vAlign w:val="center"/>
            <w:hideMark/>
          </w:tcPr>
          <w:p w14:paraId="3E383222"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36188F90"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3EE1DD3C"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 xml:space="preserve">СРБИЈА – ЈУГ </w:t>
            </w:r>
          </w:p>
        </w:tc>
        <w:tc>
          <w:tcPr>
            <w:tcW w:w="3600" w:type="dxa"/>
            <w:tcBorders>
              <w:top w:val="nil"/>
              <w:left w:val="nil"/>
              <w:bottom w:val="single" w:sz="4" w:space="0" w:color="808080"/>
              <w:right w:val="single" w:sz="4" w:space="0" w:color="808080"/>
            </w:tcBorders>
            <w:shd w:val="clear" w:color="auto" w:fill="auto"/>
            <w:noWrap/>
            <w:vAlign w:val="center"/>
            <w:hideMark/>
          </w:tcPr>
          <w:p w14:paraId="79F10AE7"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6.386.891</w:t>
            </w:r>
          </w:p>
        </w:tc>
        <w:tc>
          <w:tcPr>
            <w:tcW w:w="2808" w:type="dxa"/>
            <w:tcBorders>
              <w:top w:val="nil"/>
              <w:left w:val="nil"/>
              <w:bottom w:val="single" w:sz="4" w:space="0" w:color="808080"/>
              <w:right w:val="single" w:sz="4" w:space="0" w:color="808080"/>
            </w:tcBorders>
            <w:shd w:val="clear" w:color="auto" w:fill="auto"/>
            <w:noWrap/>
            <w:vAlign w:val="center"/>
            <w:hideMark/>
          </w:tcPr>
          <w:p w14:paraId="2F3C4464"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0,18</w:t>
            </w:r>
          </w:p>
        </w:tc>
      </w:tr>
      <w:tr w:rsidR="00600A81" w:rsidRPr="00E84C93" w14:paraId="6A10FB5E"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vAlign w:val="center"/>
            <w:hideMark/>
          </w:tcPr>
          <w:p w14:paraId="67485BFB"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Шумадија и Западна Србија</w:t>
            </w:r>
          </w:p>
        </w:tc>
        <w:tc>
          <w:tcPr>
            <w:tcW w:w="3600" w:type="dxa"/>
            <w:tcBorders>
              <w:top w:val="nil"/>
              <w:left w:val="nil"/>
              <w:bottom w:val="single" w:sz="4" w:space="0" w:color="808080"/>
              <w:right w:val="single" w:sz="4" w:space="0" w:color="808080"/>
            </w:tcBorders>
            <w:shd w:val="clear" w:color="auto" w:fill="auto"/>
            <w:noWrap/>
            <w:vAlign w:val="center"/>
            <w:hideMark/>
          </w:tcPr>
          <w:p w14:paraId="5DFD8FC3"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3.562.882</w:t>
            </w:r>
          </w:p>
        </w:tc>
        <w:tc>
          <w:tcPr>
            <w:tcW w:w="2808" w:type="dxa"/>
            <w:tcBorders>
              <w:top w:val="nil"/>
              <w:left w:val="nil"/>
              <w:bottom w:val="single" w:sz="4" w:space="0" w:color="808080"/>
              <w:right w:val="single" w:sz="4" w:space="0" w:color="808080"/>
            </w:tcBorders>
            <w:shd w:val="clear" w:color="auto" w:fill="auto"/>
            <w:noWrap/>
            <w:vAlign w:val="center"/>
            <w:hideMark/>
          </w:tcPr>
          <w:p w14:paraId="6381150A"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0,17</w:t>
            </w:r>
          </w:p>
        </w:tc>
      </w:tr>
      <w:tr w:rsidR="00600A81" w:rsidRPr="00E84C93" w14:paraId="402192E9"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28884414"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Златиборски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0EA88192"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277.363</w:t>
            </w:r>
          </w:p>
        </w:tc>
        <w:tc>
          <w:tcPr>
            <w:tcW w:w="2808" w:type="dxa"/>
            <w:tcBorders>
              <w:top w:val="nil"/>
              <w:left w:val="nil"/>
              <w:bottom w:val="single" w:sz="4" w:space="0" w:color="808080"/>
              <w:right w:val="single" w:sz="4" w:space="0" w:color="808080"/>
            </w:tcBorders>
            <w:shd w:val="clear" w:color="auto" w:fill="auto"/>
            <w:noWrap/>
            <w:vAlign w:val="center"/>
            <w:hideMark/>
          </w:tcPr>
          <w:p w14:paraId="717F6A65"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0,12</w:t>
            </w:r>
          </w:p>
        </w:tc>
      </w:tr>
      <w:tr w:rsidR="00600A81" w:rsidRPr="00E84C93" w14:paraId="58C6784C"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630DD5F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Колубарски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24D6AFCA"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209.339</w:t>
            </w:r>
          </w:p>
        </w:tc>
        <w:tc>
          <w:tcPr>
            <w:tcW w:w="2808" w:type="dxa"/>
            <w:tcBorders>
              <w:top w:val="nil"/>
              <w:left w:val="nil"/>
              <w:bottom w:val="single" w:sz="4" w:space="0" w:color="808080"/>
              <w:right w:val="single" w:sz="4" w:space="0" w:color="808080"/>
            </w:tcBorders>
            <w:shd w:val="clear" w:color="auto" w:fill="auto"/>
            <w:noWrap/>
            <w:vAlign w:val="center"/>
            <w:hideMark/>
          </w:tcPr>
          <w:p w14:paraId="5B22954C"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28E9EDE4"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5101E6D5"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Мачвански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51015072"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246.680</w:t>
            </w:r>
          </w:p>
        </w:tc>
        <w:tc>
          <w:tcPr>
            <w:tcW w:w="2808" w:type="dxa"/>
            <w:tcBorders>
              <w:top w:val="nil"/>
              <w:left w:val="nil"/>
              <w:bottom w:val="single" w:sz="4" w:space="0" w:color="808080"/>
              <w:right w:val="single" w:sz="4" w:space="0" w:color="808080"/>
            </w:tcBorders>
            <w:shd w:val="clear" w:color="auto" w:fill="auto"/>
            <w:noWrap/>
            <w:vAlign w:val="center"/>
            <w:hideMark/>
          </w:tcPr>
          <w:p w14:paraId="3A7801CD"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0,20</w:t>
            </w:r>
          </w:p>
        </w:tc>
      </w:tr>
      <w:tr w:rsidR="00600A81" w:rsidRPr="00E84C93" w14:paraId="3AA9E300"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31580431"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Моравички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18A5A6C4"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203.027</w:t>
            </w:r>
          </w:p>
        </w:tc>
        <w:tc>
          <w:tcPr>
            <w:tcW w:w="2808" w:type="dxa"/>
            <w:tcBorders>
              <w:top w:val="nil"/>
              <w:left w:val="nil"/>
              <w:bottom w:val="single" w:sz="4" w:space="0" w:color="808080"/>
              <w:right w:val="single" w:sz="4" w:space="0" w:color="808080"/>
            </w:tcBorders>
            <w:shd w:val="clear" w:color="auto" w:fill="auto"/>
            <w:noWrap/>
            <w:vAlign w:val="center"/>
            <w:hideMark/>
          </w:tcPr>
          <w:p w14:paraId="25FB745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0,12</w:t>
            </w:r>
          </w:p>
        </w:tc>
      </w:tr>
      <w:tr w:rsidR="00600A81" w:rsidRPr="00E84C93" w14:paraId="1F00B795"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22764AD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Поморавски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2F22242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350.449</w:t>
            </w:r>
          </w:p>
        </w:tc>
        <w:tc>
          <w:tcPr>
            <w:tcW w:w="2808" w:type="dxa"/>
            <w:tcBorders>
              <w:top w:val="nil"/>
              <w:left w:val="nil"/>
              <w:bottom w:val="single" w:sz="4" w:space="0" w:color="808080"/>
              <w:right w:val="single" w:sz="4" w:space="0" w:color="808080"/>
            </w:tcBorders>
            <w:shd w:val="clear" w:color="auto" w:fill="auto"/>
            <w:noWrap/>
            <w:vAlign w:val="center"/>
            <w:hideMark/>
          </w:tcPr>
          <w:p w14:paraId="4BD0A96E"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0,15</w:t>
            </w:r>
          </w:p>
        </w:tc>
      </w:tr>
      <w:tr w:rsidR="00600A81" w:rsidRPr="00E84C93" w14:paraId="1636DDF0"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798F81B4"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Расински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116FC789"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245.143</w:t>
            </w:r>
          </w:p>
        </w:tc>
        <w:tc>
          <w:tcPr>
            <w:tcW w:w="2808" w:type="dxa"/>
            <w:tcBorders>
              <w:top w:val="nil"/>
              <w:left w:val="nil"/>
              <w:bottom w:val="single" w:sz="4" w:space="0" w:color="808080"/>
              <w:right w:val="single" w:sz="4" w:space="0" w:color="808080"/>
            </w:tcBorders>
            <w:shd w:val="clear" w:color="auto" w:fill="auto"/>
            <w:noWrap/>
            <w:vAlign w:val="center"/>
            <w:hideMark/>
          </w:tcPr>
          <w:p w14:paraId="0846910A"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0,17</w:t>
            </w:r>
          </w:p>
        </w:tc>
      </w:tr>
      <w:tr w:rsidR="00600A81" w:rsidRPr="00E84C93" w14:paraId="489423DB"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51ED0798"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Рашки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0D493008"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494.372</w:t>
            </w:r>
          </w:p>
        </w:tc>
        <w:tc>
          <w:tcPr>
            <w:tcW w:w="2808" w:type="dxa"/>
            <w:tcBorders>
              <w:top w:val="nil"/>
              <w:left w:val="nil"/>
              <w:bottom w:val="single" w:sz="4" w:space="0" w:color="808080"/>
              <w:right w:val="single" w:sz="4" w:space="0" w:color="808080"/>
            </w:tcBorders>
            <w:shd w:val="clear" w:color="auto" w:fill="auto"/>
            <w:noWrap/>
            <w:vAlign w:val="center"/>
            <w:hideMark/>
          </w:tcPr>
          <w:p w14:paraId="4BC46644"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0,11</w:t>
            </w:r>
          </w:p>
        </w:tc>
      </w:tr>
      <w:tr w:rsidR="00600A81" w:rsidRPr="00E84C93" w14:paraId="3EDB4DE6"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76306AA3"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Шумадијски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3A77E68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1.536.510</w:t>
            </w:r>
          </w:p>
        </w:tc>
        <w:tc>
          <w:tcPr>
            <w:tcW w:w="2808" w:type="dxa"/>
            <w:tcBorders>
              <w:top w:val="nil"/>
              <w:left w:val="nil"/>
              <w:bottom w:val="single" w:sz="4" w:space="0" w:color="808080"/>
              <w:right w:val="single" w:sz="4" w:space="0" w:color="808080"/>
            </w:tcBorders>
            <w:shd w:val="clear" w:color="auto" w:fill="auto"/>
            <w:noWrap/>
            <w:vAlign w:val="center"/>
            <w:hideMark/>
          </w:tcPr>
          <w:p w14:paraId="24D29CEF"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0,29</w:t>
            </w:r>
          </w:p>
        </w:tc>
      </w:tr>
      <w:tr w:rsidR="00600A81" w:rsidRPr="00E84C93" w14:paraId="44020751"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7E48388F" w14:textId="77777777" w:rsidR="00600A81" w:rsidRPr="00E84C93" w:rsidRDefault="00600A81" w:rsidP="008C3BC9">
            <w:pPr>
              <w:spacing w:after="0"/>
              <w:rPr>
                <w:rFonts w:eastAsia="Times New Roman" w:cs="Times New Roman"/>
                <w:b/>
                <w:bCs/>
                <w:sz w:val="22"/>
                <w:lang w:val="sr-Cyrl-CS"/>
              </w:rPr>
            </w:pPr>
            <w:r w:rsidRPr="00E84C93">
              <w:rPr>
                <w:rFonts w:eastAsia="Times New Roman" w:cs="Times New Roman"/>
                <w:b/>
                <w:bCs/>
                <w:sz w:val="22"/>
                <w:lang w:val="sr-Cyrl-CS"/>
              </w:rPr>
              <w:t>Јужна и Источна Србија</w:t>
            </w:r>
          </w:p>
        </w:tc>
        <w:tc>
          <w:tcPr>
            <w:tcW w:w="3600" w:type="dxa"/>
            <w:tcBorders>
              <w:top w:val="nil"/>
              <w:left w:val="nil"/>
              <w:bottom w:val="single" w:sz="4" w:space="0" w:color="808080"/>
              <w:right w:val="single" w:sz="4" w:space="0" w:color="808080"/>
            </w:tcBorders>
            <w:shd w:val="clear" w:color="auto" w:fill="auto"/>
            <w:noWrap/>
            <w:vAlign w:val="center"/>
            <w:hideMark/>
          </w:tcPr>
          <w:p w14:paraId="33AEB525"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2.824.009</w:t>
            </w:r>
          </w:p>
        </w:tc>
        <w:tc>
          <w:tcPr>
            <w:tcW w:w="2808" w:type="dxa"/>
            <w:tcBorders>
              <w:top w:val="nil"/>
              <w:left w:val="nil"/>
              <w:bottom w:val="single" w:sz="4" w:space="0" w:color="808080"/>
              <w:right w:val="single" w:sz="4" w:space="0" w:color="808080"/>
            </w:tcBorders>
            <w:shd w:val="clear" w:color="auto" w:fill="auto"/>
            <w:noWrap/>
            <w:vAlign w:val="center"/>
            <w:hideMark/>
          </w:tcPr>
          <w:p w14:paraId="50681532" w14:textId="77777777" w:rsidR="00600A81" w:rsidRPr="00E84C93" w:rsidRDefault="00600A81" w:rsidP="008C3BC9">
            <w:pPr>
              <w:spacing w:after="0"/>
              <w:jc w:val="right"/>
              <w:rPr>
                <w:rFonts w:cs="Times New Roman"/>
                <w:b/>
                <w:bCs/>
                <w:sz w:val="22"/>
                <w:lang w:val="sr-Cyrl-CS"/>
              </w:rPr>
            </w:pPr>
            <w:r w:rsidRPr="00E84C93">
              <w:rPr>
                <w:rFonts w:cs="Times New Roman"/>
                <w:sz w:val="22"/>
                <w:lang w:val="sr-Cyrl-CS"/>
              </w:rPr>
              <w:t>0,20</w:t>
            </w:r>
          </w:p>
        </w:tc>
      </w:tr>
      <w:tr w:rsidR="00600A81" w:rsidRPr="00E84C93" w14:paraId="1BC0AEFF"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1CDF745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Борски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437ECCC7"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204.206</w:t>
            </w:r>
          </w:p>
        </w:tc>
        <w:tc>
          <w:tcPr>
            <w:tcW w:w="2808" w:type="dxa"/>
            <w:tcBorders>
              <w:top w:val="nil"/>
              <w:left w:val="nil"/>
              <w:bottom w:val="single" w:sz="4" w:space="0" w:color="808080"/>
              <w:right w:val="single" w:sz="4" w:space="0" w:color="808080"/>
            </w:tcBorders>
            <w:shd w:val="clear" w:color="auto" w:fill="auto"/>
            <w:noWrap/>
            <w:vAlign w:val="center"/>
            <w:hideMark/>
          </w:tcPr>
          <w:p w14:paraId="7282B758"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0,18</w:t>
            </w:r>
          </w:p>
        </w:tc>
      </w:tr>
      <w:tr w:rsidR="00600A81" w:rsidRPr="00E84C93" w14:paraId="41A249D8"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4A06223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Браничевски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685B4695"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114.713</w:t>
            </w:r>
          </w:p>
        </w:tc>
        <w:tc>
          <w:tcPr>
            <w:tcW w:w="2808" w:type="dxa"/>
            <w:tcBorders>
              <w:top w:val="nil"/>
              <w:left w:val="nil"/>
              <w:bottom w:val="single" w:sz="4" w:space="0" w:color="808080"/>
              <w:right w:val="single" w:sz="4" w:space="0" w:color="808080"/>
            </w:tcBorders>
            <w:shd w:val="clear" w:color="auto" w:fill="auto"/>
            <w:noWrap/>
            <w:vAlign w:val="center"/>
            <w:hideMark/>
          </w:tcPr>
          <w:p w14:paraId="10AFC196"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3990ACA2"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09F7BFB6"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Зајечарски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00824D3D"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141.176</w:t>
            </w:r>
          </w:p>
        </w:tc>
        <w:tc>
          <w:tcPr>
            <w:tcW w:w="2808" w:type="dxa"/>
            <w:tcBorders>
              <w:top w:val="nil"/>
              <w:left w:val="nil"/>
              <w:bottom w:val="single" w:sz="4" w:space="0" w:color="808080"/>
              <w:right w:val="single" w:sz="4" w:space="0" w:color="808080"/>
            </w:tcBorders>
            <w:shd w:val="clear" w:color="auto" w:fill="auto"/>
            <w:noWrap/>
            <w:vAlign w:val="center"/>
            <w:hideMark/>
          </w:tcPr>
          <w:p w14:paraId="21D9BF68"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0,14</w:t>
            </w:r>
          </w:p>
        </w:tc>
      </w:tr>
      <w:tr w:rsidR="00600A81" w:rsidRPr="00E84C93" w14:paraId="408EBF3D"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7E3B9C80"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Јабланички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4FEFD455"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279.401</w:t>
            </w:r>
          </w:p>
        </w:tc>
        <w:tc>
          <w:tcPr>
            <w:tcW w:w="2808" w:type="dxa"/>
            <w:tcBorders>
              <w:top w:val="nil"/>
              <w:left w:val="nil"/>
              <w:bottom w:val="single" w:sz="4" w:space="0" w:color="808080"/>
              <w:right w:val="single" w:sz="4" w:space="0" w:color="808080"/>
            </w:tcBorders>
            <w:shd w:val="clear" w:color="auto" w:fill="auto"/>
            <w:noWrap/>
            <w:vAlign w:val="center"/>
            <w:hideMark/>
          </w:tcPr>
          <w:p w14:paraId="3EB1A835"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0,21</w:t>
            </w:r>
          </w:p>
        </w:tc>
      </w:tr>
      <w:tr w:rsidR="00600A81" w:rsidRPr="00E84C93" w14:paraId="1E5E5C83"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3F4B53AA"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Нишавски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47D565B1"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1.306.753</w:t>
            </w:r>
          </w:p>
        </w:tc>
        <w:tc>
          <w:tcPr>
            <w:tcW w:w="2808" w:type="dxa"/>
            <w:tcBorders>
              <w:top w:val="nil"/>
              <w:left w:val="nil"/>
              <w:bottom w:val="single" w:sz="4" w:space="0" w:color="808080"/>
              <w:right w:val="single" w:sz="4" w:space="0" w:color="808080"/>
            </w:tcBorders>
            <w:shd w:val="clear" w:color="auto" w:fill="auto"/>
            <w:noWrap/>
            <w:vAlign w:val="center"/>
            <w:hideMark/>
          </w:tcPr>
          <w:p w14:paraId="60AB1556"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0,27</w:t>
            </w:r>
          </w:p>
        </w:tc>
      </w:tr>
      <w:tr w:rsidR="00600A81" w:rsidRPr="00E84C93" w14:paraId="1D27E619"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250FC005"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Пиротски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68463CA8"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68.368</w:t>
            </w:r>
          </w:p>
        </w:tc>
        <w:tc>
          <w:tcPr>
            <w:tcW w:w="2808" w:type="dxa"/>
            <w:tcBorders>
              <w:top w:val="nil"/>
              <w:left w:val="nil"/>
              <w:bottom w:val="single" w:sz="4" w:space="0" w:color="808080"/>
              <w:right w:val="single" w:sz="4" w:space="0" w:color="808080"/>
            </w:tcBorders>
            <w:shd w:val="clear" w:color="auto" w:fill="auto"/>
            <w:noWrap/>
            <w:vAlign w:val="center"/>
            <w:hideMark/>
          </w:tcPr>
          <w:p w14:paraId="6991E5C0"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0,17</w:t>
            </w:r>
          </w:p>
        </w:tc>
      </w:tr>
      <w:tr w:rsidR="00600A81" w:rsidRPr="00E84C93" w14:paraId="6773CDE0"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1EB2FD6A"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Подунавски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53B0850D"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305.173</w:t>
            </w:r>
          </w:p>
        </w:tc>
        <w:tc>
          <w:tcPr>
            <w:tcW w:w="2808" w:type="dxa"/>
            <w:tcBorders>
              <w:top w:val="nil"/>
              <w:left w:val="nil"/>
              <w:bottom w:val="single" w:sz="4" w:space="0" w:color="808080"/>
              <w:right w:val="single" w:sz="4" w:space="0" w:color="808080"/>
            </w:tcBorders>
            <w:shd w:val="clear" w:color="auto" w:fill="auto"/>
            <w:noWrap/>
            <w:vAlign w:val="center"/>
            <w:hideMark/>
          </w:tcPr>
          <w:p w14:paraId="35ED30BF"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0,16</w:t>
            </w:r>
          </w:p>
        </w:tc>
      </w:tr>
      <w:tr w:rsidR="00600A81" w:rsidRPr="00E84C93" w14:paraId="79B8FB5D"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60ADF6F2"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t>Пчињски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0CE78353"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327.242</w:t>
            </w:r>
          </w:p>
        </w:tc>
        <w:tc>
          <w:tcPr>
            <w:tcW w:w="2808" w:type="dxa"/>
            <w:tcBorders>
              <w:top w:val="nil"/>
              <w:left w:val="nil"/>
              <w:bottom w:val="single" w:sz="4" w:space="0" w:color="808080"/>
              <w:right w:val="single" w:sz="4" w:space="0" w:color="808080"/>
            </w:tcBorders>
            <w:shd w:val="clear" w:color="auto" w:fill="auto"/>
            <w:noWrap/>
            <w:vAlign w:val="center"/>
            <w:hideMark/>
          </w:tcPr>
          <w:p w14:paraId="28A5BFBA"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0,17</w:t>
            </w:r>
          </w:p>
        </w:tc>
      </w:tr>
      <w:tr w:rsidR="00600A81" w:rsidRPr="00E84C93" w14:paraId="17B62796" w14:textId="77777777" w:rsidTr="008C3BC9">
        <w:trPr>
          <w:trHeight w:val="171"/>
        </w:trPr>
        <w:tc>
          <w:tcPr>
            <w:tcW w:w="3202" w:type="dxa"/>
            <w:tcBorders>
              <w:top w:val="nil"/>
              <w:left w:val="single" w:sz="4" w:space="0" w:color="808080"/>
              <w:bottom w:val="single" w:sz="4" w:space="0" w:color="808080"/>
              <w:right w:val="single" w:sz="4" w:space="0" w:color="808080"/>
            </w:tcBorders>
            <w:shd w:val="clear" w:color="auto" w:fill="auto"/>
            <w:hideMark/>
          </w:tcPr>
          <w:p w14:paraId="489012D9" w14:textId="77777777" w:rsidR="00600A81" w:rsidRPr="00E84C93" w:rsidRDefault="00600A81" w:rsidP="008C3BC9">
            <w:pPr>
              <w:spacing w:after="0"/>
              <w:rPr>
                <w:rFonts w:eastAsia="Times New Roman" w:cs="Times New Roman"/>
                <w:sz w:val="22"/>
                <w:lang w:val="sr-Cyrl-CS"/>
              </w:rPr>
            </w:pPr>
            <w:r w:rsidRPr="00E84C93">
              <w:rPr>
                <w:rFonts w:eastAsia="Times New Roman" w:cs="Times New Roman"/>
                <w:sz w:val="22"/>
                <w:lang w:val="sr-Cyrl-CS"/>
              </w:rPr>
              <w:lastRenderedPageBreak/>
              <w:t>Топлички округ</w:t>
            </w:r>
          </w:p>
        </w:tc>
        <w:tc>
          <w:tcPr>
            <w:tcW w:w="3600" w:type="dxa"/>
            <w:tcBorders>
              <w:top w:val="nil"/>
              <w:left w:val="nil"/>
              <w:bottom w:val="single" w:sz="4" w:space="0" w:color="808080"/>
              <w:right w:val="single" w:sz="4" w:space="0" w:color="808080"/>
            </w:tcBorders>
            <w:shd w:val="clear" w:color="auto" w:fill="auto"/>
            <w:vAlign w:val="center"/>
            <w:hideMark/>
          </w:tcPr>
          <w:p w14:paraId="5A2FF69B"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76.977</w:t>
            </w:r>
          </w:p>
        </w:tc>
        <w:tc>
          <w:tcPr>
            <w:tcW w:w="2808" w:type="dxa"/>
            <w:tcBorders>
              <w:top w:val="nil"/>
              <w:left w:val="nil"/>
              <w:bottom w:val="single" w:sz="4" w:space="0" w:color="808080"/>
              <w:right w:val="single" w:sz="4" w:space="0" w:color="808080"/>
            </w:tcBorders>
            <w:shd w:val="clear" w:color="auto" w:fill="auto"/>
            <w:noWrap/>
            <w:vAlign w:val="center"/>
            <w:hideMark/>
          </w:tcPr>
          <w:p w14:paraId="7D148819" w14:textId="77777777" w:rsidR="00600A81" w:rsidRPr="00E84C93" w:rsidRDefault="00600A81" w:rsidP="008C3BC9">
            <w:pPr>
              <w:spacing w:after="0"/>
              <w:jc w:val="right"/>
              <w:rPr>
                <w:rFonts w:cs="Times New Roman"/>
                <w:sz w:val="22"/>
                <w:lang w:val="sr-Cyrl-CS"/>
              </w:rPr>
            </w:pPr>
            <w:r w:rsidRPr="00E84C93">
              <w:rPr>
                <w:rFonts w:cs="Times New Roman"/>
                <w:sz w:val="22"/>
                <w:lang w:val="sr-Cyrl-CS"/>
              </w:rPr>
              <w:t>0,13</w:t>
            </w:r>
          </w:p>
        </w:tc>
      </w:tr>
    </w:tbl>
    <w:p w14:paraId="385EA71E" w14:textId="77777777" w:rsidR="002E00AE" w:rsidRPr="00E84C93" w:rsidRDefault="002E00AE" w:rsidP="002E00AE">
      <w:pPr>
        <w:spacing w:after="0"/>
        <w:jc w:val="both"/>
        <w:rPr>
          <w:rFonts w:cs="Times New Roman"/>
          <w:noProof/>
          <w:szCs w:val="24"/>
          <w:lang w:val="sr-Cyrl-CS"/>
        </w:rPr>
      </w:pPr>
    </w:p>
    <w:p w14:paraId="3D425C71" w14:textId="05A60DD1" w:rsidR="002E00AE" w:rsidRPr="00E84C93" w:rsidRDefault="00293C78" w:rsidP="000C54C0">
      <w:pPr>
        <w:pStyle w:val="Heading3"/>
        <w:numPr>
          <w:ilvl w:val="2"/>
          <w:numId w:val="8"/>
        </w:numPr>
        <w:spacing w:before="0" w:after="0"/>
        <w:rPr>
          <w:lang w:val="sr-Cyrl-CS"/>
        </w:rPr>
      </w:pPr>
      <w:bookmarkStart w:id="118" w:name="_Toc99920915"/>
      <w:r w:rsidRPr="00E84C93">
        <w:rPr>
          <w:lang w:val="sr-Cyrl-CS"/>
        </w:rPr>
        <w:t>Трошкови спровођења мера Програма и извори финансирања</w:t>
      </w:r>
      <w:bookmarkEnd w:id="118"/>
      <w:r w:rsidRPr="00E84C93">
        <w:rPr>
          <w:lang w:val="sr-Cyrl-CS"/>
        </w:rPr>
        <w:t xml:space="preserve"> </w:t>
      </w:r>
    </w:p>
    <w:p w14:paraId="35E12142" w14:textId="71402C8B" w:rsidR="002E00AE" w:rsidRPr="00E84C93" w:rsidRDefault="002E00AE" w:rsidP="002E00AE">
      <w:pPr>
        <w:spacing w:after="0"/>
        <w:rPr>
          <w:rFonts w:cs="Times New Roman"/>
          <w:b/>
          <w:bCs/>
          <w:noProof/>
          <w:szCs w:val="24"/>
          <w:lang w:val="sr-Cyrl-CS"/>
        </w:rPr>
      </w:pPr>
    </w:p>
    <w:p w14:paraId="1E943804" w14:textId="36D8FE72"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 xml:space="preserve">У претходном делу су дати трошкови успостављања система за третман муља у Републици Србији. У овом делу су представљени трошкови спровођења Програма, односно трошкови спровођења мера предвиђених овим Програмом за период </w:t>
      </w:r>
      <w:r w:rsidR="002D073C" w:rsidRPr="00E84C93">
        <w:rPr>
          <w:rFonts w:cs="Times New Roman"/>
          <w:szCs w:val="24"/>
          <w:lang w:val="sr-Cyrl-CS"/>
        </w:rPr>
        <w:t>2023-2032</w:t>
      </w:r>
      <w:r w:rsidRPr="00E84C93">
        <w:rPr>
          <w:rFonts w:cs="Times New Roman"/>
          <w:szCs w:val="24"/>
          <w:lang w:val="sr-Cyrl-CS"/>
        </w:rPr>
        <w:t>. годин</w:t>
      </w:r>
      <w:r w:rsidR="004848B6" w:rsidRPr="00E84C93">
        <w:rPr>
          <w:rFonts w:cs="Times New Roman"/>
          <w:szCs w:val="24"/>
          <w:lang w:val="sr-Cyrl-CS"/>
        </w:rPr>
        <w:t>е</w:t>
      </w:r>
      <w:r w:rsidRPr="00E84C93">
        <w:rPr>
          <w:rFonts w:cs="Times New Roman"/>
          <w:szCs w:val="24"/>
          <w:lang w:val="sr-Cyrl-CS"/>
        </w:rPr>
        <w:t>.</w:t>
      </w:r>
    </w:p>
    <w:p w14:paraId="3735C42D" w14:textId="77777777"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Трошкови спровођења мера предвиђених Програмом обухватају следеће врсте трошкова:</w:t>
      </w:r>
    </w:p>
    <w:p w14:paraId="24B3BA35" w14:textId="06A00D18" w:rsidR="00600A81" w:rsidRPr="00E84C93" w:rsidRDefault="00600A81" w:rsidP="00CF0619">
      <w:pPr>
        <w:pStyle w:val="ListParagraph"/>
        <w:numPr>
          <w:ilvl w:val="0"/>
          <w:numId w:val="32"/>
        </w:numPr>
        <w:tabs>
          <w:tab w:val="left" w:pos="1134"/>
        </w:tabs>
        <w:spacing w:after="0"/>
        <w:ind w:left="0" w:firstLine="720"/>
        <w:jc w:val="both"/>
        <w:rPr>
          <w:rFonts w:cs="Times New Roman"/>
          <w:szCs w:val="24"/>
          <w:lang w:val="sr-Cyrl-CS"/>
        </w:rPr>
      </w:pPr>
      <w:r w:rsidRPr="00E84C93">
        <w:rPr>
          <w:rFonts w:cs="Times New Roman"/>
          <w:szCs w:val="24"/>
          <w:lang w:val="sr-Cyrl-CS"/>
        </w:rPr>
        <w:t>административне трошкове на националном, локалном и нивоу ЈКП-а – трошкове запослених у надлежним институцијама, трошкове обуке и трошкове набавке опреме (рачунари)</w:t>
      </w:r>
      <w:r w:rsidR="00903F88" w:rsidRPr="00E84C93">
        <w:rPr>
          <w:rFonts w:cs="Times New Roman"/>
          <w:szCs w:val="24"/>
          <w:lang w:val="sr-Cyrl-CS"/>
        </w:rPr>
        <w:t>;</w:t>
      </w:r>
    </w:p>
    <w:p w14:paraId="1DFB3E26" w14:textId="2508F1E4"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трошкове лабораторијских анализа земљишта и муља</w:t>
      </w:r>
      <w:r w:rsidR="00903F88" w:rsidRPr="00E84C93">
        <w:rPr>
          <w:rFonts w:cs="Times New Roman"/>
          <w:szCs w:val="24"/>
          <w:lang w:val="sr-Cyrl-CS"/>
        </w:rPr>
        <w:t>;</w:t>
      </w:r>
    </w:p>
    <w:p w14:paraId="4A8C08CD" w14:textId="08825578"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трошкове у вези са спаљивањем муља у цементарама</w:t>
      </w:r>
      <w:r w:rsidR="00903F88" w:rsidRPr="00E84C93">
        <w:rPr>
          <w:rFonts w:cs="Times New Roman"/>
          <w:szCs w:val="24"/>
          <w:lang w:val="sr-Cyrl-CS"/>
        </w:rPr>
        <w:t>;</w:t>
      </w:r>
    </w:p>
    <w:p w14:paraId="793A87DF" w14:textId="4F9B3DA1"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трошкове употребе муља за прекривање депонија</w:t>
      </w:r>
      <w:r w:rsidR="00903F88" w:rsidRPr="00E84C93">
        <w:rPr>
          <w:rFonts w:cs="Times New Roman"/>
          <w:szCs w:val="24"/>
          <w:lang w:val="sr-Cyrl-CS"/>
        </w:rPr>
        <w:t>;</w:t>
      </w:r>
    </w:p>
    <w:p w14:paraId="557B6953" w14:textId="54B155FB"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инвестиционе трошкове за формирање система регионалних центара за управљање муљем</w:t>
      </w:r>
      <w:r w:rsidR="00903F88" w:rsidRPr="00E84C93">
        <w:rPr>
          <w:rFonts w:cs="Times New Roman"/>
          <w:szCs w:val="24"/>
          <w:lang w:val="sr-Cyrl-CS"/>
        </w:rPr>
        <w:t>;</w:t>
      </w:r>
    </w:p>
    <w:p w14:paraId="7A8483F8" w14:textId="71C09B92"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 xml:space="preserve">инвестиционе трошкове изградње </w:t>
      </w:r>
      <w:r w:rsidR="00D010D1" w:rsidRPr="00E84C93">
        <w:rPr>
          <w:rFonts w:cs="Times New Roman"/>
          <w:szCs w:val="24"/>
          <w:lang w:val="sr-Cyrl-CS"/>
        </w:rPr>
        <w:t>моно</w:t>
      </w:r>
      <w:r w:rsidRPr="00E84C93">
        <w:rPr>
          <w:rFonts w:cs="Times New Roman"/>
          <w:szCs w:val="24"/>
          <w:lang w:val="sr-Cyrl-CS"/>
        </w:rPr>
        <w:t>инсинератора</w:t>
      </w:r>
      <w:r w:rsidR="00903F88" w:rsidRPr="00E84C93">
        <w:rPr>
          <w:rFonts w:cs="Times New Roman"/>
          <w:szCs w:val="24"/>
          <w:lang w:val="sr-Cyrl-CS"/>
        </w:rPr>
        <w:t>;</w:t>
      </w:r>
    </w:p>
    <w:p w14:paraId="48C7B3BC" w14:textId="6669C26E"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 xml:space="preserve">инвестиционе трошкове изградње </w:t>
      </w:r>
      <w:r w:rsidR="00D010D1" w:rsidRPr="00E84C93">
        <w:rPr>
          <w:rFonts w:cs="Times New Roman"/>
          <w:szCs w:val="24"/>
          <w:lang w:val="sr-Cyrl-CS"/>
        </w:rPr>
        <w:t>моно</w:t>
      </w:r>
      <w:r w:rsidRPr="00E84C93">
        <w:rPr>
          <w:rFonts w:cs="Times New Roman"/>
          <w:szCs w:val="24"/>
          <w:lang w:val="sr-Cyrl-CS"/>
        </w:rPr>
        <w:t>депонија</w:t>
      </w:r>
      <w:r w:rsidR="00903F88" w:rsidRPr="00E84C93">
        <w:rPr>
          <w:rFonts w:cs="Times New Roman"/>
          <w:szCs w:val="24"/>
          <w:lang w:val="sr-Cyrl-CS"/>
        </w:rPr>
        <w:t>;</w:t>
      </w:r>
    </w:p>
    <w:p w14:paraId="304709D7" w14:textId="2813B75D" w:rsidR="00600A81" w:rsidRPr="00E84C93" w:rsidRDefault="00600A81" w:rsidP="00D75873">
      <w:pPr>
        <w:pStyle w:val="ListParagraph"/>
        <w:numPr>
          <w:ilvl w:val="0"/>
          <w:numId w:val="32"/>
        </w:numPr>
        <w:spacing w:after="0"/>
        <w:jc w:val="both"/>
        <w:rPr>
          <w:rFonts w:cs="Times New Roman"/>
          <w:szCs w:val="24"/>
          <w:lang w:val="sr-Cyrl-CS"/>
        </w:rPr>
      </w:pPr>
      <w:r w:rsidRPr="00E84C93">
        <w:rPr>
          <w:rFonts w:cs="Times New Roman"/>
          <w:szCs w:val="24"/>
          <w:lang w:val="sr-Cyrl-CS"/>
        </w:rPr>
        <w:t xml:space="preserve">оперативне трошкове функционисања </w:t>
      </w:r>
      <w:r w:rsidR="00D010D1" w:rsidRPr="00E84C93">
        <w:rPr>
          <w:rFonts w:cs="Times New Roman"/>
          <w:szCs w:val="24"/>
          <w:lang w:val="sr-Cyrl-CS"/>
        </w:rPr>
        <w:t>моно</w:t>
      </w:r>
      <w:r w:rsidRPr="00E84C93">
        <w:rPr>
          <w:rFonts w:cs="Times New Roman"/>
          <w:szCs w:val="24"/>
          <w:lang w:val="sr-Cyrl-CS"/>
        </w:rPr>
        <w:t xml:space="preserve">инсинератора и </w:t>
      </w:r>
      <w:r w:rsidR="00D010D1" w:rsidRPr="00E84C93">
        <w:rPr>
          <w:rFonts w:cs="Times New Roman"/>
          <w:szCs w:val="24"/>
          <w:lang w:val="sr-Cyrl-CS"/>
        </w:rPr>
        <w:t>моно</w:t>
      </w:r>
      <w:r w:rsidRPr="00E84C93">
        <w:rPr>
          <w:rFonts w:cs="Times New Roman"/>
          <w:szCs w:val="24"/>
          <w:lang w:val="sr-Cyrl-CS"/>
        </w:rPr>
        <w:t>депонија.</w:t>
      </w:r>
    </w:p>
    <w:p w14:paraId="30514F14" w14:textId="77777777"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За успешну имплементацију мера предвиђених Програмом од изузетне је важности оптимална апсорпција расположивих средстава из различитих програма. Да би се спровеле предвиђене мере пожељно је да се користи комбинација домаћих и страних извора финансирања:</w:t>
      </w:r>
    </w:p>
    <w:p w14:paraId="3A53812A" w14:textId="33B563D6" w:rsidR="00600A81" w:rsidRPr="00E84C93" w:rsidRDefault="00600A81" w:rsidP="00D75873">
      <w:pPr>
        <w:pStyle w:val="ListParagraph"/>
        <w:numPr>
          <w:ilvl w:val="0"/>
          <w:numId w:val="33"/>
        </w:numPr>
        <w:spacing w:after="0"/>
        <w:jc w:val="both"/>
        <w:rPr>
          <w:rFonts w:cs="Times New Roman"/>
          <w:szCs w:val="24"/>
          <w:lang w:val="sr-Cyrl-CS"/>
        </w:rPr>
      </w:pPr>
      <w:r w:rsidRPr="00E84C93">
        <w:rPr>
          <w:rFonts w:cs="Times New Roman"/>
          <w:szCs w:val="24"/>
          <w:lang w:val="sr-Cyrl-CS"/>
        </w:rPr>
        <w:t xml:space="preserve">национални јавни фондови, односно буџети – </w:t>
      </w:r>
      <w:r w:rsidR="00470B5D" w:rsidRPr="00E84C93">
        <w:rPr>
          <w:rFonts w:cs="Times New Roman"/>
          <w:szCs w:val="24"/>
          <w:lang w:val="sr-Cyrl-CS"/>
        </w:rPr>
        <w:t>републички</w:t>
      </w:r>
      <w:r w:rsidRPr="00E84C93">
        <w:rPr>
          <w:rFonts w:cs="Times New Roman"/>
          <w:szCs w:val="24"/>
          <w:lang w:val="sr-Cyrl-CS"/>
        </w:rPr>
        <w:t xml:space="preserve">, покрајински и </w:t>
      </w:r>
      <w:r w:rsidR="006B0460" w:rsidRPr="00E84C93">
        <w:rPr>
          <w:rFonts w:cs="Times New Roman"/>
          <w:szCs w:val="24"/>
          <w:lang w:val="sr-Cyrl-CS"/>
        </w:rPr>
        <w:t>јединица локалне самоуправе;</w:t>
      </w:r>
    </w:p>
    <w:p w14:paraId="308F0C5D" w14:textId="7150C4E8" w:rsidR="00600A81" w:rsidRPr="00E84C93" w:rsidRDefault="00600A81" w:rsidP="00D75873">
      <w:pPr>
        <w:pStyle w:val="ListParagraph"/>
        <w:numPr>
          <w:ilvl w:val="0"/>
          <w:numId w:val="33"/>
        </w:numPr>
        <w:spacing w:after="0"/>
        <w:jc w:val="both"/>
        <w:rPr>
          <w:rFonts w:cs="Times New Roman"/>
          <w:szCs w:val="24"/>
          <w:lang w:val="sr-Cyrl-CS"/>
        </w:rPr>
      </w:pPr>
      <w:r w:rsidRPr="00E84C93">
        <w:rPr>
          <w:rFonts w:cs="Times New Roman"/>
          <w:szCs w:val="24"/>
          <w:lang w:val="sr-Cyrl-CS"/>
        </w:rPr>
        <w:t>ЕУ фондови (ИПА и други фондови)</w:t>
      </w:r>
      <w:r w:rsidR="006B0460" w:rsidRPr="00E84C93">
        <w:rPr>
          <w:rFonts w:cs="Times New Roman"/>
          <w:szCs w:val="24"/>
          <w:lang w:val="sr-Cyrl-CS"/>
        </w:rPr>
        <w:t>;</w:t>
      </w:r>
    </w:p>
    <w:p w14:paraId="7ADA1908" w14:textId="12A57D5D" w:rsidR="00600A81" w:rsidRPr="00E84C93" w:rsidRDefault="00600A81" w:rsidP="00D75873">
      <w:pPr>
        <w:pStyle w:val="ListParagraph"/>
        <w:numPr>
          <w:ilvl w:val="0"/>
          <w:numId w:val="33"/>
        </w:numPr>
        <w:spacing w:after="0"/>
        <w:jc w:val="both"/>
        <w:rPr>
          <w:rFonts w:cs="Times New Roman"/>
          <w:szCs w:val="24"/>
          <w:lang w:val="sr-Cyrl-CS"/>
        </w:rPr>
      </w:pPr>
      <w:r w:rsidRPr="00E84C93">
        <w:rPr>
          <w:rFonts w:cs="Times New Roman"/>
          <w:szCs w:val="24"/>
          <w:lang w:val="sr-Cyrl-CS"/>
        </w:rPr>
        <w:t>билатерални грантови</w:t>
      </w:r>
      <w:r w:rsidR="006B0460" w:rsidRPr="00E84C93">
        <w:rPr>
          <w:rFonts w:cs="Times New Roman"/>
          <w:szCs w:val="24"/>
          <w:lang w:val="sr-Cyrl-CS"/>
        </w:rPr>
        <w:t>;</w:t>
      </w:r>
    </w:p>
    <w:p w14:paraId="1BFF5287" w14:textId="77777777" w:rsidR="00600A81" w:rsidRPr="00E84C93" w:rsidRDefault="00600A81" w:rsidP="00D75873">
      <w:pPr>
        <w:pStyle w:val="ListParagraph"/>
        <w:numPr>
          <w:ilvl w:val="0"/>
          <w:numId w:val="33"/>
        </w:numPr>
        <w:spacing w:after="0"/>
        <w:jc w:val="both"/>
        <w:rPr>
          <w:rFonts w:cs="Times New Roman"/>
          <w:szCs w:val="24"/>
          <w:lang w:val="sr-Cyrl-CS"/>
        </w:rPr>
      </w:pPr>
      <w:r w:rsidRPr="00E84C93">
        <w:rPr>
          <w:rFonts w:cs="Times New Roman"/>
          <w:szCs w:val="24"/>
          <w:lang w:val="sr-Cyrl-CS"/>
        </w:rPr>
        <w:t>зајмови међународних финансијских институција и пословних банака.</w:t>
      </w:r>
    </w:p>
    <w:p w14:paraId="2D0DBA05" w14:textId="4F1E0A67" w:rsidR="00600A81" w:rsidRPr="00E84C93" w:rsidRDefault="00600A81" w:rsidP="00600A81">
      <w:pPr>
        <w:spacing w:after="0"/>
        <w:ind w:firstLine="720"/>
        <w:jc w:val="both"/>
        <w:rPr>
          <w:rFonts w:cs="Times New Roman"/>
          <w:szCs w:val="24"/>
          <w:lang w:val="sr-Cyrl-CS"/>
        </w:rPr>
      </w:pPr>
      <w:r w:rsidRPr="00E84C93">
        <w:rPr>
          <w:rFonts w:cs="Times New Roman"/>
          <w:szCs w:val="24"/>
          <w:lang w:val="sr-Cyrl-CS"/>
        </w:rPr>
        <w:t xml:space="preserve">Главни домаћи извор финансирања </w:t>
      </w:r>
      <w:r w:rsidR="00676C63" w:rsidRPr="00E84C93">
        <w:rPr>
          <w:rFonts w:cs="Times New Roman"/>
          <w:szCs w:val="24"/>
          <w:lang w:val="sr-Cyrl-CS"/>
        </w:rPr>
        <w:t>је</w:t>
      </w:r>
      <w:r w:rsidRPr="00E84C93">
        <w:rPr>
          <w:rFonts w:cs="Times New Roman"/>
          <w:szCs w:val="24"/>
          <w:lang w:val="sr-Cyrl-CS"/>
        </w:rPr>
        <w:t xml:space="preserve"> буџет Републике Србије, а расподела средстава зависи од могућности биланса буџета. Остали извори укључују покрајински буџет</w:t>
      </w:r>
      <w:r w:rsidR="00676C63" w:rsidRPr="00E84C93">
        <w:rPr>
          <w:rFonts w:cs="Times New Roman"/>
          <w:szCs w:val="24"/>
          <w:lang w:val="sr-Cyrl-CS"/>
        </w:rPr>
        <w:t>, градске</w:t>
      </w:r>
      <w:r w:rsidRPr="00E84C93">
        <w:rPr>
          <w:rFonts w:cs="Times New Roman"/>
          <w:szCs w:val="24"/>
          <w:lang w:val="sr-Cyrl-CS"/>
        </w:rPr>
        <w:t xml:space="preserve"> и општинске буџете. Из ових буџета ће се највећим делом финансирати административни трошкови спровођења мера, као и један део инвестиционих трошкова.</w:t>
      </w:r>
    </w:p>
    <w:p w14:paraId="02A61568" w14:textId="77777777" w:rsidR="00600A81" w:rsidRPr="00E84C93" w:rsidRDefault="00600A81" w:rsidP="00600A81">
      <w:pPr>
        <w:spacing w:after="0"/>
        <w:ind w:firstLine="720"/>
        <w:jc w:val="both"/>
        <w:rPr>
          <w:lang w:val="sr-Cyrl-CS"/>
        </w:rPr>
      </w:pPr>
      <w:r w:rsidRPr="00E84C93">
        <w:rPr>
          <w:b/>
          <w:bCs/>
          <w:lang w:val="sr-Cyrl-CS"/>
        </w:rPr>
        <w:t>Страни извори финансирања</w:t>
      </w:r>
      <w:r w:rsidRPr="00E84C93">
        <w:rPr>
          <w:lang w:val="sr-Cyrl-CS"/>
        </w:rPr>
        <w:t xml:space="preserve"> обухватају грантове и зајмове међународних финансијских институција, Европске уније и билатералних донатора. Из ових извора ће се највећим делом финансирати инвестициони трошкови, док се из грантова ЕУ предвиђа финансирање мањег дела административних трошкова који се искључиво односе на обуке запослених у јавним институцијама у вези са усклађивањем правног оквира са Директивом ЕУ о муљу и јачањем административних, институционалних и капацитета ЈКП у области управљања муљем.</w:t>
      </w:r>
    </w:p>
    <w:p w14:paraId="388FE41D" w14:textId="7497088E" w:rsidR="00600A81" w:rsidRPr="00E84C93" w:rsidRDefault="00600A81" w:rsidP="00600A81">
      <w:pPr>
        <w:spacing w:after="0"/>
        <w:ind w:firstLine="720"/>
        <w:jc w:val="both"/>
        <w:rPr>
          <w:lang w:val="sr-Cyrl-CS"/>
        </w:rPr>
      </w:pPr>
      <w:r w:rsidRPr="00E84C93">
        <w:rPr>
          <w:lang w:val="sr-Cyrl-CS" w:eastAsia="en-GB"/>
        </w:rPr>
        <w:lastRenderedPageBreak/>
        <w:t>Ј</w:t>
      </w:r>
      <w:r w:rsidRPr="00E84C93">
        <w:rPr>
          <w:lang w:val="sr-Cyrl-CS"/>
        </w:rPr>
        <w:t xml:space="preserve">едан од начина финансирања мера за управљање муљем може бити и </w:t>
      </w:r>
      <w:r w:rsidRPr="00E84C93">
        <w:rPr>
          <w:b/>
          <w:bCs/>
          <w:lang w:val="sr-Cyrl-CS"/>
        </w:rPr>
        <w:t>јавно-приватно партнерство (ЈПП)</w:t>
      </w:r>
      <w:r w:rsidRPr="00E84C93">
        <w:rPr>
          <w:lang w:val="sr-Cyrl-CS"/>
        </w:rPr>
        <w:t>. Приватни сектор може бити суштински извор финансирања капиталних инвестиција и трансфера техничког и оперативног знања. Кроз аранжман јавно-приватног партнерства, приватни сектор се може укључити у комунални сектор ЈКП и реализацију капиталних инвестиција у сектор управљања муљем и отпад</w:t>
      </w:r>
      <w:r w:rsidR="005A1CA8" w:rsidRPr="00E84C93">
        <w:rPr>
          <w:lang w:val="sr-Cyrl-CS"/>
        </w:rPr>
        <w:t>ом</w:t>
      </w:r>
      <w:r w:rsidRPr="00E84C93">
        <w:rPr>
          <w:lang w:val="sr-Cyrl-CS"/>
        </w:rPr>
        <w:t>.</w:t>
      </w:r>
    </w:p>
    <w:p w14:paraId="032F0242" w14:textId="155588BA" w:rsidR="00600A81" w:rsidRPr="00E84C93" w:rsidRDefault="00600A81" w:rsidP="00600A81">
      <w:pPr>
        <w:spacing w:after="0"/>
        <w:ind w:firstLine="720"/>
        <w:jc w:val="both"/>
        <w:rPr>
          <w:lang w:val="sr-Cyrl-CS"/>
        </w:rPr>
      </w:pPr>
      <w:r w:rsidRPr="00E84C93">
        <w:rPr>
          <w:lang w:val="sr-Cyrl-CS"/>
        </w:rPr>
        <w:t>Према Закону о јавно-приватном партнерству и концесијама („Сл</w:t>
      </w:r>
      <w:r w:rsidR="0056606C" w:rsidRPr="00E84C93">
        <w:rPr>
          <w:lang w:val="sr-Cyrl-CS"/>
        </w:rPr>
        <w:t>ужбени</w:t>
      </w:r>
      <w:r w:rsidRPr="00E84C93">
        <w:rPr>
          <w:lang w:val="sr-Cyrl-CS"/>
        </w:rPr>
        <w:t xml:space="preserve"> гласник РС”, бр. 88/11, 15/16 и 104/16) дугорочна сарадња између јавних и приватних партнера због обезбеђења финансирања, изградње, реконструкције, управљања или одржавања инфраструктуре или других објеката од јавног значаја и пружања услуга од јавног значаја </w:t>
      </w:r>
      <w:r w:rsidR="009F6AD1" w:rsidRPr="00E84C93">
        <w:rPr>
          <w:lang w:val="sr-Cyrl-CS"/>
        </w:rPr>
        <w:t>може</w:t>
      </w:r>
      <w:r w:rsidRPr="00E84C93">
        <w:rPr>
          <w:lang w:val="sr-Cyrl-CS"/>
        </w:rPr>
        <w:t xml:space="preserve"> бити успостављен</w:t>
      </w:r>
      <w:r w:rsidR="006E2FE2" w:rsidRPr="00E84C93">
        <w:rPr>
          <w:lang w:val="sr-Cyrl-CS"/>
        </w:rPr>
        <w:t>о</w:t>
      </w:r>
      <w:r w:rsidRPr="00E84C93">
        <w:rPr>
          <w:lang w:val="sr-Cyrl-CS"/>
        </w:rPr>
        <w:t xml:space="preserve"> уговорно или институционално и концесијама.</w:t>
      </w:r>
    </w:p>
    <w:p w14:paraId="3D7660AA" w14:textId="3BEEDD8F" w:rsidR="00600A81" w:rsidRPr="00E84C93" w:rsidRDefault="00600A81" w:rsidP="00600A81">
      <w:pPr>
        <w:spacing w:after="0"/>
        <w:ind w:firstLine="720"/>
        <w:jc w:val="both"/>
        <w:rPr>
          <w:lang w:val="sr-Cyrl-CS"/>
        </w:rPr>
      </w:pPr>
      <w:r w:rsidRPr="00E84C93">
        <w:rPr>
          <w:lang w:val="sr-Cyrl-CS"/>
        </w:rPr>
        <w:t xml:space="preserve">Закон о ЈПП и концесијама је </w:t>
      </w:r>
      <w:r w:rsidR="002A0A4A" w:rsidRPr="00E84C93">
        <w:rPr>
          <w:lang w:val="sr-Cyrl-CS"/>
        </w:rPr>
        <w:t>уредио је</w:t>
      </w:r>
      <w:r w:rsidRPr="00E84C93">
        <w:rPr>
          <w:lang w:val="sr-Cyrl-CS"/>
        </w:rPr>
        <w:t xml:space="preserve"> и разјаснио многа нејасна питања када су пројекти ЈПП почели у </w:t>
      </w:r>
      <w:r w:rsidR="002A0A4A" w:rsidRPr="00E84C93">
        <w:rPr>
          <w:lang w:val="sr-Cyrl-CS"/>
        </w:rPr>
        <w:t xml:space="preserve">Републици </w:t>
      </w:r>
      <w:r w:rsidRPr="00E84C93">
        <w:rPr>
          <w:lang w:val="sr-Cyrl-CS"/>
        </w:rPr>
        <w:t xml:space="preserve">Србији. Међутим, при укључивању приватног сектора важно је изабрати опције које ће мотивисати приватне партнере, </w:t>
      </w:r>
      <w:r w:rsidR="00252396" w:rsidRPr="00E84C93">
        <w:rPr>
          <w:lang w:val="sr-Cyrl-CS"/>
        </w:rPr>
        <w:t>док</w:t>
      </w:r>
      <w:r w:rsidRPr="00E84C93">
        <w:rPr>
          <w:lang w:val="sr-Cyrl-CS"/>
        </w:rPr>
        <w:t xml:space="preserve"> јавни сектор треба увек да буде свестан својих циљева и интереса. Дакле, пре доношења било какве одлуке, јавни партнер мора да дефинише шта жели да добије од приватног партнера: техничко и менаџерско знање и стручност; укључивање нових технологија; улагања у објекте и инфраструктуру или било коју комбинацију претходно наведених питања.</w:t>
      </w:r>
    </w:p>
    <w:p w14:paraId="01672691" w14:textId="2B240CCD" w:rsidR="00600A81" w:rsidRPr="00E84C93" w:rsidRDefault="00600A81" w:rsidP="00600A81">
      <w:pPr>
        <w:spacing w:after="0"/>
        <w:ind w:firstLine="720"/>
        <w:jc w:val="both"/>
        <w:rPr>
          <w:lang w:val="sr-Cyrl-CS" w:eastAsia="en-GB"/>
        </w:rPr>
      </w:pPr>
      <w:r w:rsidRPr="00E84C93">
        <w:rPr>
          <w:lang w:val="sr-Cyrl-CS"/>
        </w:rPr>
        <w:t>Предности ЈПП су реализација захтевних пројеката којима би било тешко управљати или финансирати</w:t>
      </w:r>
      <w:r w:rsidR="00252396" w:rsidRPr="00E84C93">
        <w:rPr>
          <w:lang w:val="sr-Cyrl-CS"/>
        </w:rPr>
        <w:t xml:space="preserve"> их</w:t>
      </w:r>
      <w:r w:rsidRPr="00E84C93">
        <w:rPr>
          <w:lang w:val="sr-Cyrl-CS"/>
        </w:rPr>
        <w:t xml:space="preserve"> из јавних извора, подела ризика са приватним партнером, предвидљивост укупних инвестиција и/или оперативних трошкова. Недостаци ЈПП су сложена и скупа припрема пројек</w:t>
      </w:r>
      <w:r w:rsidR="00252396" w:rsidRPr="00E84C93">
        <w:rPr>
          <w:lang w:val="sr-Cyrl-CS"/>
        </w:rPr>
        <w:t>а</w:t>
      </w:r>
      <w:r w:rsidRPr="00E84C93">
        <w:rPr>
          <w:lang w:val="sr-Cyrl-CS"/>
        </w:rPr>
        <w:t>та, компликова</w:t>
      </w:r>
      <w:r w:rsidR="00252396" w:rsidRPr="00E84C93">
        <w:rPr>
          <w:lang w:val="sr-Cyrl-CS"/>
        </w:rPr>
        <w:t>на</w:t>
      </w:r>
      <w:r w:rsidRPr="00E84C93">
        <w:rPr>
          <w:lang w:val="sr-Cyrl-CS"/>
        </w:rPr>
        <w:t xml:space="preserve"> процедур</w:t>
      </w:r>
      <w:r w:rsidR="00252396" w:rsidRPr="00E84C93">
        <w:rPr>
          <w:lang w:val="sr-Cyrl-CS"/>
        </w:rPr>
        <w:t>а</w:t>
      </w:r>
      <w:r w:rsidRPr="00E84C93">
        <w:rPr>
          <w:lang w:val="sr-Cyrl-CS"/>
        </w:rPr>
        <w:t xml:space="preserve"> усвајања пројек</w:t>
      </w:r>
      <w:r w:rsidR="00252396" w:rsidRPr="00E84C93">
        <w:rPr>
          <w:lang w:val="sr-Cyrl-CS"/>
        </w:rPr>
        <w:t>а</w:t>
      </w:r>
      <w:r w:rsidRPr="00E84C93">
        <w:rPr>
          <w:lang w:val="sr-Cyrl-CS"/>
        </w:rPr>
        <w:t>та и већи трош</w:t>
      </w:r>
      <w:r w:rsidR="00252396" w:rsidRPr="00E84C93">
        <w:rPr>
          <w:lang w:val="sr-Cyrl-CS"/>
        </w:rPr>
        <w:t>кови</w:t>
      </w:r>
      <w:r w:rsidRPr="00E84C93">
        <w:rPr>
          <w:lang w:val="sr-Cyrl-CS"/>
        </w:rPr>
        <w:t xml:space="preserve"> пројек</w:t>
      </w:r>
      <w:r w:rsidR="00252396" w:rsidRPr="00E84C93">
        <w:rPr>
          <w:lang w:val="sr-Cyrl-CS"/>
        </w:rPr>
        <w:t>а</w:t>
      </w:r>
      <w:r w:rsidRPr="00E84C93">
        <w:rPr>
          <w:lang w:val="sr-Cyrl-CS"/>
        </w:rPr>
        <w:t>та.</w:t>
      </w:r>
    </w:p>
    <w:p w14:paraId="6D3F33C2" w14:textId="62F055F6" w:rsidR="00600A81" w:rsidRPr="00E84C93" w:rsidRDefault="00600A81" w:rsidP="00600A81">
      <w:pPr>
        <w:spacing w:after="0"/>
        <w:ind w:firstLine="720"/>
        <w:jc w:val="both"/>
        <w:rPr>
          <w:rFonts w:cs="Times New Roman"/>
          <w:b/>
          <w:bCs/>
          <w:lang w:val="sr-Cyrl-CS"/>
        </w:rPr>
      </w:pPr>
      <w:r w:rsidRPr="00E84C93">
        <w:rPr>
          <w:rFonts w:cs="Times New Roman"/>
          <w:b/>
          <w:bCs/>
          <w:lang w:val="sr-Cyrl-CS"/>
        </w:rPr>
        <w:t>Прецизна структура финансирања, односно извори финансирања дефиниса</w:t>
      </w:r>
      <w:r w:rsidR="002E6CC6" w:rsidRPr="00E84C93">
        <w:rPr>
          <w:rFonts w:cs="Times New Roman"/>
          <w:b/>
          <w:bCs/>
          <w:lang w:val="sr-Cyrl-CS"/>
        </w:rPr>
        <w:t>ће се</w:t>
      </w:r>
      <w:r w:rsidRPr="00E84C93">
        <w:rPr>
          <w:rFonts w:cs="Times New Roman"/>
          <w:b/>
          <w:bCs/>
          <w:lang w:val="sr-Cyrl-CS"/>
        </w:rPr>
        <w:t xml:space="preserve"> у зависности од конкретног инфраструктурног пројекта. Сваки пројекат </w:t>
      </w:r>
      <w:r w:rsidR="002E6CC6" w:rsidRPr="00E84C93">
        <w:rPr>
          <w:rFonts w:cs="Times New Roman"/>
          <w:b/>
          <w:bCs/>
          <w:lang w:val="sr-Cyrl-CS"/>
        </w:rPr>
        <w:t>има</w:t>
      </w:r>
      <w:r w:rsidRPr="00E84C93">
        <w:rPr>
          <w:rFonts w:cs="Times New Roman"/>
          <w:b/>
          <w:bCs/>
          <w:lang w:val="sr-Cyrl-CS"/>
        </w:rPr>
        <w:t xml:space="preserve"> своју конструкцију финансирања која </w:t>
      </w:r>
      <w:r w:rsidR="002E6CC6" w:rsidRPr="00E84C93">
        <w:rPr>
          <w:rFonts w:cs="Times New Roman"/>
          <w:b/>
          <w:bCs/>
          <w:lang w:val="sr-Cyrl-CS"/>
        </w:rPr>
        <w:t>се</w:t>
      </w:r>
      <w:r w:rsidRPr="00E84C93">
        <w:rPr>
          <w:rFonts w:cs="Times New Roman"/>
          <w:b/>
          <w:bCs/>
          <w:lang w:val="sr-Cyrl-CS"/>
        </w:rPr>
        <w:t xml:space="preserve"> дефини</w:t>
      </w:r>
      <w:r w:rsidR="002E6CC6" w:rsidRPr="00E84C93">
        <w:rPr>
          <w:rFonts w:cs="Times New Roman"/>
          <w:b/>
          <w:bCs/>
          <w:lang w:val="sr-Cyrl-CS"/>
        </w:rPr>
        <w:t>ше</w:t>
      </w:r>
      <w:r w:rsidRPr="00E84C93">
        <w:rPr>
          <w:rFonts w:cs="Times New Roman"/>
          <w:b/>
          <w:bCs/>
          <w:lang w:val="sr-Cyrl-CS"/>
        </w:rPr>
        <w:t xml:space="preserve"> после израђених студија </w:t>
      </w:r>
      <w:r w:rsidR="0056606C" w:rsidRPr="00E84C93">
        <w:rPr>
          <w:rFonts w:cs="Times New Roman"/>
          <w:b/>
          <w:bCs/>
          <w:lang w:val="sr-Cyrl-CS"/>
        </w:rPr>
        <w:t>оправданости</w:t>
      </w:r>
      <w:r w:rsidRPr="00E84C93">
        <w:rPr>
          <w:rFonts w:cs="Times New Roman"/>
          <w:b/>
          <w:bCs/>
          <w:lang w:val="sr-Cyrl-CS"/>
        </w:rPr>
        <w:t>.</w:t>
      </w:r>
    </w:p>
    <w:p w14:paraId="2CB18454" w14:textId="32BDEA07" w:rsidR="00600A81" w:rsidRPr="00E84C93" w:rsidRDefault="00600A81" w:rsidP="00600A81">
      <w:pPr>
        <w:spacing w:after="0"/>
        <w:ind w:firstLine="720"/>
        <w:jc w:val="both"/>
        <w:rPr>
          <w:rFonts w:cs="Times New Roman"/>
          <w:lang w:val="sr-Cyrl-CS"/>
        </w:rPr>
      </w:pPr>
      <w:r w:rsidRPr="00E84C93">
        <w:rPr>
          <w:rFonts w:cs="Times New Roman"/>
          <w:lang w:val="sr-Cyrl-CS"/>
        </w:rPr>
        <w:t xml:space="preserve">За спровођење Мере 1.1 (Усклађивање правног оквира са Директивом ЕУ о муљу из постројења за пречишћавање отпадних вода) у периоду </w:t>
      </w:r>
      <w:r w:rsidR="002D073C" w:rsidRPr="00E84C93">
        <w:rPr>
          <w:rFonts w:cs="Times New Roman"/>
          <w:lang w:val="sr-Cyrl-CS"/>
        </w:rPr>
        <w:t>2023-2032</w:t>
      </w:r>
      <w:r w:rsidRPr="00E84C93">
        <w:rPr>
          <w:rFonts w:cs="Times New Roman"/>
          <w:lang w:val="sr-Cyrl-CS"/>
        </w:rPr>
        <w:t>. годин</w:t>
      </w:r>
      <w:r w:rsidR="00DF03F9" w:rsidRPr="00E84C93">
        <w:rPr>
          <w:rFonts w:cs="Times New Roman"/>
          <w:lang w:val="sr-Cyrl-CS"/>
        </w:rPr>
        <w:t>е</w:t>
      </w:r>
      <w:r w:rsidRPr="00E84C93">
        <w:rPr>
          <w:rFonts w:cs="Times New Roman"/>
          <w:lang w:val="sr-Cyrl-CS"/>
        </w:rPr>
        <w:t xml:space="preserve"> потребно</w:t>
      </w:r>
      <w:r w:rsidR="00DF03F9" w:rsidRPr="00E84C93">
        <w:rPr>
          <w:rFonts w:cs="Times New Roman"/>
          <w:lang w:val="sr-Cyrl-CS"/>
        </w:rPr>
        <w:t xml:space="preserve"> је</w:t>
      </w:r>
      <w:r w:rsidRPr="00E84C93">
        <w:rPr>
          <w:rFonts w:cs="Times New Roman"/>
          <w:lang w:val="sr-Cyrl-CS"/>
        </w:rPr>
        <w:t xml:space="preserve"> 1.781.144 евра. Наведени износ представља административне трошкове од којих 1.077.810 евра се односи на плате особља које је потребно додатно запослити, 641.707 евра на обуке запослених и 61.627 евра</w:t>
      </w:r>
      <w:r w:rsidR="00DF03F9" w:rsidRPr="00E84C93">
        <w:rPr>
          <w:rFonts w:cs="Times New Roman"/>
          <w:lang w:val="sr-Cyrl-CS"/>
        </w:rPr>
        <w:t xml:space="preserve">, </w:t>
      </w:r>
      <w:r w:rsidRPr="00E84C93">
        <w:rPr>
          <w:rFonts w:cs="Times New Roman"/>
          <w:lang w:val="sr-Cyrl-CS"/>
        </w:rPr>
        <w:t>за набавку опреме попут рачунара, штампача, скенера итд. Плате додатно запосленог особља ће се у потпуности покривати из буџета Републике Србије, док ће се 80% трошкова за обуку и опрему запослених покривати из буџета Републике Србије, а преосталих 20% из грантова Европске уније кроз пројектно финансирање.</w:t>
      </w:r>
    </w:p>
    <w:p w14:paraId="312E4A48" w14:textId="715AE009" w:rsidR="00600A81" w:rsidRPr="00E84C93" w:rsidRDefault="00600A81" w:rsidP="00600A81">
      <w:pPr>
        <w:spacing w:after="0"/>
        <w:ind w:firstLine="720"/>
        <w:jc w:val="both"/>
        <w:rPr>
          <w:rFonts w:cs="Times New Roman"/>
          <w:lang w:val="sr-Cyrl-CS"/>
        </w:rPr>
      </w:pPr>
      <w:r w:rsidRPr="00E84C93">
        <w:rPr>
          <w:rFonts w:cs="Times New Roman"/>
          <w:lang w:val="sr-Cyrl-CS"/>
        </w:rPr>
        <w:t xml:space="preserve">Укупни трошкови спровођења Мере 1.2 (Испитивање могућности коришћења муља у пољопривреди) у периоду </w:t>
      </w:r>
      <w:r w:rsidR="002D073C" w:rsidRPr="00E84C93">
        <w:rPr>
          <w:rFonts w:cs="Times New Roman"/>
          <w:lang w:val="sr-Cyrl-CS"/>
        </w:rPr>
        <w:t>2023-2032</w:t>
      </w:r>
      <w:r w:rsidRPr="00E84C93">
        <w:rPr>
          <w:rFonts w:cs="Times New Roman"/>
          <w:lang w:val="sr-Cyrl-CS"/>
        </w:rPr>
        <w:t>. годин</w:t>
      </w:r>
      <w:r w:rsidR="00DF03F9" w:rsidRPr="00E84C93">
        <w:rPr>
          <w:rFonts w:cs="Times New Roman"/>
          <w:lang w:val="sr-Cyrl-CS"/>
        </w:rPr>
        <w:t>е</w:t>
      </w:r>
      <w:r w:rsidRPr="00E84C93">
        <w:rPr>
          <w:rFonts w:cs="Times New Roman"/>
          <w:lang w:val="sr-Cyrl-CS"/>
        </w:rPr>
        <w:t xml:space="preserve"> износе 1.946.305 евра на годишњем нивоу и они се односе на трошкове лабораторијске анализе земљишта и муља. Ови трошкови ће бити покривени </w:t>
      </w:r>
      <w:r w:rsidR="001063B1" w:rsidRPr="00E84C93">
        <w:rPr>
          <w:rFonts w:cs="Times New Roman"/>
          <w:lang w:val="sr-Cyrl-CS"/>
        </w:rPr>
        <w:t>из</w:t>
      </w:r>
      <w:r w:rsidRPr="00E84C93">
        <w:rPr>
          <w:rFonts w:cs="Times New Roman"/>
          <w:lang w:val="sr-Cyrl-CS"/>
        </w:rPr>
        <w:t xml:space="preserve"> </w:t>
      </w:r>
      <w:r w:rsidR="00DF03F9" w:rsidRPr="00E84C93">
        <w:rPr>
          <w:rFonts w:cs="Times New Roman"/>
          <w:lang w:val="sr-Cyrl-CS"/>
        </w:rPr>
        <w:t>б</w:t>
      </w:r>
      <w:r w:rsidR="00025E80" w:rsidRPr="00E84C93">
        <w:rPr>
          <w:rFonts w:cs="Times New Roman"/>
          <w:lang w:val="sr-Cyrl-CS"/>
        </w:rPr>
        <w:t>уџет</w:t>
      </w:r>
      <w:r w:rsidR="00032B5A" w:rsidRPr="00E84C93">
        <w:rPr>
          <w:rFonts w:cs="Times New Roman"/>
          <w:lang w:val="sr-Cyrl-CS"/>
        </w:rPr>
        <w:t>а</w:t>
      </w:r>
      <w:r w:rsidR="00025E80" w:rsidRPr="00E84C93">
        <w:rPr>
          <w:rFonts w:cs="Times New Roman"/>
          <w:lang w:val="sr-Cyrl-CS"/>
        </w:rPr>
        <w:t xml:space="preserve"> Републике Србије</w:t>
      </w:r>
      <w:r w:rsidR="00032B5A" w:rsidRPr="00E84C93">
        <w:rPr>
          <w:rFonts w:cs="Times New Roman"/>
          <w:lang w:val="sr-Cyrl-CS"/>
        </w:rPr>
        <w:t>.</w:t>
      </w:r>
    </w:p>
    <w:p w14:paraId="63E36641" w14:textId="697CA4C4" w:rsidR="00DA4DD8" w:rsidRPr="00E84C93" w:rsidRDefault="00DA4DD8" w:rsidP="00DA4DD8">
      <w:pPr>
        <w:spacing w:after="0"/>
        <w:ind w:firstLine="720"/>
        <w:jc w:val="both"/>
        <w:rPr>
          <w:rFonts w:cs="Times New Roman"/>
          <w:lang w:val="sr-Cyrl-CS"/>
        </w:rPr>
      </w:pPr>
      <w:r w:rsidRPr="00E84C93">
        <w:rPr>
          <w:rFonts w:cs="Times New Roman"/>
          <w:lang w:val="sr-Cyrl-CS"/>
        </w:rPr>
        <w:t xml:space="preserve">За спровођење Мере 2.1 (Збрињавање муља одлагањем на индустријске депоније, депоније пепела </w:t>
      </w:r>
      <w:r w:rsidR="009A6E0B" w:rsidRPr="00E84C93">
        <w:rPr>
          <w:rFonts w:cs="Times New Roman"/>
          <w:bCs/>
          <w:szCs w:val="24"/>
          <w:lang w:val="sr-Cyrl-CS"/>
        </w:rPr>
        <w:t>или рекултивацијом девастираних локација</w:t>
      </w:r>
      <w:r w:rsidRPr="00E84C93">
        <w:rPr>
          <w:rFonts w:cs="Times New Roman"/>
          <w:lang w:val="sr-Cyrl-CS"/>
        </w:rPr>
        <w:t>) потребно</w:t>
      </w:r>
      <w:r w:rsidR="000D3611" w:rsidRPr="00E84C93">
        <w:rPr>
          <w:rFonts w:cs="Times New Roman"/>
          <w:lang w:val="sr-Cyrl-CS"/>
        </w:rPr>
        <w:t xml:space="preserve"> је</w:t>
      </w:r>
      <w:r w:rsidRPr="00E84C93">
        <w:rPr>
          <w:rFonts w:cs="Times New Roman"/>
          <w:lang w:val="sr-Cyrl-CS"/>
        </w:rPr>
        <w:t xml:space="preserve"> 214.140 евра годишње. Наведени трошкови ће бити укључени у оперативне трошкове пословања ППОВ.</w:t>
      </w:r>
    </w:p>
    <w:p w14:paraId="25D6B005" w14:textId="038D61E8" w:rsidR="00DA4DD8" w:rsidRPr="00E84C93" w:rsidRDefault="00DA4DD8" w:rsidP="00DA4DD8">
      <w:pPr>
        <w:spacing w:after="0"/>
        <w:ind w:firstLine="720"/>
        <w:jc w:val="both"/>
        <w:rPr>
          <w:rFonts w:cs="Times New Roman"/>
          <w:b/>
          <w:bCs/>
          <w:lang w:val="sr-Cyrl-CS"/>
        </w:rPr>
      </w:pPr>
      <w:r w:rsidRPr="00E84C93">
        <w:rPr>
          <w:rFonts w:cs="Times New Roman"/>
          <w:lang w:val="sr-Cyrl-CS"/>
        </w:rPr>
        <w:lastRenderedPageBreak/>
        <w:t xml:space="preserve">За спровођење Мере 2.2 (Поновна употреба муља за </w:t>
      </w:r>
      <w:r w:rsidR="00572864" w:rsidRPr="00E84C93">
        <w:rPr>
          <w:rFonts w:cs="Times New Roman"/>
          <w:lang w:val="sr-Cyrl-CS"/>
        </w:rPr>
        <w:t xml:space="preserve">дневно </w:t>
      </w:r>
      <w:r w:rsidRPr="00E84C93">
        <w:rPr>
          <w:rFonts w:cs="Times New Roman"/>
          <w:lang w:val="sr-Cyrl-CS"/>
        </w:rPr>
        <w:t>прекривање депонија</w:t>
      </w:r>
      <w:r w:rsidR="00572864" w:rsidRPr="00E84C93">
        <w:rPr>
          <w:rFonts w:cs="Times New Roman"/>
          <w:lang w:val="sr-Cyrl-CS"/>
        </w:rPr>
        <w:t xml:space="preserve"> у краткорочном периоду, мешањем са инертним материјалом</w:t>
      </w:r>
      <w:r w:rsidRPr="00E84C93">
        <w:rPr>
          <w:rFonts w:cs="Times New Roman"/>
          <w:lang w:val="sr-Cyrl-CS"/>
        </w:rPr>
        <w:t>) потребно</w:t>
      </w:r>
      <w:r w:rsidR="000D3611" w:rsidRPr="00E84C93">
        <w:rPr>
          <w:rFonts w:cs="Times New Roman"/>
          <w:lang w:val="sr-Cyrl-CS"/>
        </w:rPr>
        <w:t xml:space="preserve"> је</w:t>
      </w:r>
      <w:r w:rsidRPr="00E84C93">
        <w:rPr>
          <w:rFonts w:cs="Times New Roman"/>
          <w:lang w:val="sr-Cyrl-CS"/>
        </w:rPr>
        <w:t xml:space="preserve"> 428.280 евра годишње. Наведени трошкови ће бити укључени у оперативне трошкове пословања ППОВ.</w:t>
      </w:r>
    </w:p>
    <w:p w14:paraId="382B7294" w14:textId="77777777" w:rsidR="00DA4DD8" w:rsidRPr="00E84C93" w:rsidRDefault="00DA4DD8" w:rsidP="00DA4DD8">
      <w:pPr>
        <w:spacing w:after="0"/>
        <w:ind w:firstLine="720"/>
        <w:jc w:val="both"/>
        <w:rPr>
          <w:rFonts w:cs="Times New Roman"/>
          <w:lang w:val="sr-Cyrl-CS"/>
        </w:rPr>
      </w:pPr>
      <w:r w:rsidRPr="00E84C93">
        <w:rPr>
          <w:rFonts w:cs="Times New Roman"/>
          <w:lang w:val="sr-Cyrl-CS"/>
        </w:rPr>
        <w:t>Спровођење Мере 2.3 (Искоришћење муља коинсинерацијом у цементарама и термоелектранама) износиће око 4.285.780 евра на годишњем нивоу. Наведени трошкови ће бити укључени у редовне трошкове пословања ППОВ, док ће инвестиционе трошкове за прилагођавање потребама коинсинерације сносити цементаре.</w:t>
      </w:r>
    </w:p>
    <w:p w14:paraId="75D76B88" w14:textId="087D309C" w:rsidR="00DA4DD8" w:rsidRPr="00E84C93" w:rsidRDefault="00DA4DD8" w:rsidP="00DA4DD8">
      <w:pPr>
        <w:spacing w:after="0"/>
        <w:ind w:firstLine="720"/>
        <w:jc w:val="both"/>
        <w:rPr>
          <w:rFonts w:cs="Times New Roman"/>
          <w:lang w:val="sr-Cyrl-CS"/>
        </w:rPr>
      </w:pPr>
      <w:r w:rsidRPr="00E84C93">
        <w:rPr>
          <w:rFonts w:cs="Times New Roman"/>
          <w:lang w:val="sr-Cyrl-CS"/>
        </w:rPr>
        <w:t>За спровођење Мере 2.4 (Збрињавање муља одлагањем у посебне касете на регионалним санитарним депонијама) потребно</w:t>
      </w:r>
      <w:r w:rsidR="000D3611" w:rsidRPr="00E84C93">
        <w:rPr>
          <w:rFonts w:cs="Times New Roman"/>
          <w:lang w:val="sr-Cyrl-CS"/>
        </w:rPr>
        <w:t xml:space="preserve"> је</w:t>
      </w:r>
      <w:r w:rsidRPr="00E84C93">
        <w:rPr>
          <w:rFonts w:cs="Times New Roman"/>
          <w:lang w:val="sr-Cyrl-CS"/>
        </w:rPr>
        <w:t xml:space="preserve"> 428.280 евра годишње. Наведени трошкови ће бити укључени у оперативне трошкове пословања ППОВ.</w:t>
      </w:r>
    </w:p>
    <w:p w14:paraId="09C042D2" w14:textId="455B99FA" w:rsidR="00600A81" w:rsidRPr="00E84C93" w:rsidRDefault="00600A81" w:rsidP="00600A81">
      <w:pPr>
        <w:spacing w:after="0"/>
        <w:ind w:firstLine="720"/>
        <w:jc w:val="both"/>
        <w:rPr>
          <w:rFonts w:cs="Times New Roman"/>
          <w:lang w:val="sr-Cyrl-CS"/>
        </w:rPr>
      </w:pPr>
      <w:r w:rsidRPr="00E84C93">
        <w:rPr>
          <w:rFonts w:cs="Times New Roman"/>
          <w:lang w:val="sr-Cyrl-CS"/>
        </w:rPr>
        <w:t xml:space="preserve">Мера </w:t>
      </w:r>
      <w:r w:rsidR="00AA2A9D" w:rsidRPr="00E84C93">
        <w:rPr>
          <w:rFonts w:cs="Times New Roman"/>
          <w:lang w:val="sr-Cyrl-CS"/>
        </w:rPr>
        <w:t>3</w:t>
      </w:r>
      <w:r w:rsidRPr="00E84C93">
        <w:rPr>
          <w:rFonts w:cs="Times New Roman"/>
          <w:lang w:val="sr-Cyrl-CS"/>
        </w:rPr>
        <w:t xml:space="preserve">.1 (Формирање система регионалних центара за управљање муљем) захтева инвестиционе трошкове у укупном износу од 241.058.889 евра за период </w:t>
      </w:r>
      <w:r w:rsidR="002D073C" w:rsidRPr="00E84C93">
        <w:rPr>
          <w:rFonts w:cs="Times New Roman"/>
          <w:lang w:val="sr-Cyrl-CS"/>
        </w:rPr>
        <w:t>2023-2032</w:t>
      </w:r>
      <w:r w:rsidRPr="00E84C93">
        <w:rPr>
          <w:rFonts w:cs="Times New Roman"/>
          <w:lang w:val="sr-Cyrl-CS"/>
        </w:rPr>
        <w:t xml:space="preserve">. Ови трошкови ће бити покривени из </w:t>
      </w:r>
      <w:r w:rsidR="000D3611" w:rsidRPr="00E84C93">
        <w:rPr>
          <w:rFonts w:cs="Times New Roman"/>
          <w:lang w:val="sr-Cyrl-CS"/>
        </w:rPr>
        <w:t>б</w:t>
      </w:r>
      <w:r w:rsidRPr="00E84C93">
        <w:rPr>
          <w:rFonts w:cs="Times New Roman"/>
          <w:lang w:val="sr-Cyrl-CS"/>
        </w:rPr>
        <w:t xml:space="preserve">уџета Републике Србије (25%-50%), Буџета </w:t>
      </w:r>
      <w:r w:rsidR="00B15397" w:rsidRPr="00E84C93">
        <w:rPr>
          <w:rFonts w:cs="Times New Roman"/>
          <w:lang w:val="sr-Cyrl-CS"/>
        </w:rPr>
        <w:t>Аутономне п</w:t>
      </w:r>
      <w:r w:rsidRPr="00E84C93">
        <w:rPr>
          <w:rFonts w:cs="Times New Roman"/>
          <w:lang w:val="sr-Cyrl-CS"/>
        </w:rPr>
        <w:t>окрајине</w:t>
      </w:r>
      <w:r w:rsidR="0080185B" w:rsidRPr="00E84C93">
        <w:rPr>
          <w:rFonts w:cs="Times New Roman"/>
          <w:lang w:val="sr-Cyrl-CS"/>
        </w:rPr>
        <w:t xml:space="preserve"> </w:t>
      </w:r>
      <w:r w:rsidRPr="00E84C93">
        <w:rPr>
          <w:rFonts w:cs="Times New Roman"/>
          <w:lang w:val="sr-Cyrl-CS"/>
        </w:rPr>
        <w:t>(до 10%), ЕУ фондова (грантови у износу од 50% до 70% од укупних инвестиционих трошкова), зајмова МФИ (до 15%) и билатералних донација (до 25%).</w:t>
      </w:r>
    </w:p>
    <w:p w14:paraId="2FD01595" w14:textId="662EF791" w:rsidR="00600A81" w:rsidRPr="00E84C93" w:rsidRDefault="00600A81" w:rsidP="00600A81">
      <w:pPr>
        <w:spacing w:after="0"/>
        <w:ind w:firstLine="720"/>
        <w:jc w:val="both"/>
        <w:rPr>
          <w:rFonts w:cs="Times New Roman"/>
          <w:lang w:val="sr-Cyrl-CS"/>
        </w:rPr>
      </w:pPr>
      <w:r w:rsidRPr="00E84C93">
        <w:rPr>
          <w:rFonts w:cs="Times New Roman"/>
          <w:lang w:val="sr-Cyrl-CS"/>
        </w:rPr>
        <w:t xml:space="preserve">За спровођење Мере </w:t>
      </w:r>
      <w:r w:rsidR="00AA2A9D" w:rsidRPr="00E84C93">
        <w:rPr>
          <w:rFonts w:cs="Times New Roman"/>
          <w:lang w:val="sr-Cyrl-CS"/>
        </w:rPr>
        <w:t>3</w:t>
      </w:r>
      <w:r w:rsidRPr="00E84C93">
        <w:rPr>
          <w:rFonts w:cs="Times New Roman"/>
          <w:lang w:val="sr-Cyrl-CS"/>
        </w:rPr>
        <w:t xml:space="preserve">.2 (Изградња постројења за </w:t>
      </w:r>
      <w:r w:rsidR="00D010D1" w:rsidRPr="00E84C93">
        <w:rPr>
          <w:rFonts w:cs="Times New Roman"/>
          <w:lang w:val="sr-Cyrl-CS"/>
        </w:rPr>
        <w:t>моно</w:t>
      </w:r>
      <w:r w:rsidRPr="00E84C93">
        <w:rPr>
          <w:rFonts w:cs="Times New Roman"/>
          <w:lang w:val="sr-Cyrl-CS"/>
        </w:rPr>
        <w:t xml:space="preserve">инсинерацију и </w:t>
      </w:r>
      <w:r w:rsidR="00D010D1" w:rsidRPr="00E84C93">
        <w:rPr>
          <w:rFonts w:cs="Times New Roman"/>
          <w:lang w:val="sr-Cyrl-CS"/>
        </w:rPr>
        <w:t>моно</w:t>
      </w:r>
      <w:r w:rsidRPr="00E84C93">
        <w:rPr>
          <w:rFonts w:cs="Times New Roman"/>
          <w:lang w:val="sr-Cyrl-CS"/>
        </w:rPr>
        <w:t xml:space="preserve">депонија) неопходно је обезбедити укупно 160.000.000 евра за покриће инвестиционих трошкова у периоду </w:t>
      </w:r>
      <w:r w:rsidR="002D073C" w:rsidRPr="00E84C93">
        <w:rPr>
          <w:rFonts w:cs="Times New Roman"/>
          <w:lang w:val="sr-Cyrl-CS"/>
        </w:rPr>
        <w:t>2023-2032</w:t>
      </w:r>
      <w:r w:rsidR="000D3611" w:rsidRPr="00E84C93">
        <w:rPr>
          <w:rFonts w:cs="Times New Roman"/>
          <w:lang w:val="sr-Cyrl-CS"/>
        </w:rPr>
        <w:t>. године</w:t>
      </w:r>
      <w:r w:rsidRPr="00E84C93">
        <w:rPr>
          <w:rFonts w:cs="Times New Roman"/>
          <w:lang w:val="sr-Cyrl-CS"/>
        </w:rPr>
        <w:t xml:space="preserve">, као и 6.719.008 евра годишње за покриће оперативних трошкова функционисање и одржавање </w:t>
      </w:r>
      <w:r w:rsidR="00D010D1" w:rsidRPr="00E84C93">
        <w:rPr>
          <w:rFonts w:cs="Times New Roman"/>
          <w:lang w:val="sr-Cyrl-CS"/>
        </w:rPr>
        <w:t>моно</w:t>
      </w:r>
      <w:r w:rsidRPr="00E84C93">
        <w:rPr>
          <w:rFonts w:cs="Times New Roman"/>
          <w:lang w:val="sr-Cyrl-CS"/>
        </w:rPr>
        <w:t xml:space="preserve">инсинератора и </w:t>
      </w:r>
      <w:r w:rsidR="00D010D1" w:rsidRPr="00E84C93">
        <w:rPr>
          <w:rFonts w:cs="Times New Roman"/>
          <w:lang w:val="sr-Cyrl-CS"/>
        </w:rPr>
        <w:t>моно</w:t>
      </w:r>
      <w:r w:rsidRPr="00E84C93">
        <w:rPr>
          <w:rFonts w:cs="Times New Roman"/>
          <w:lang w:val="sr-Cyrl-CS"/>
        </w:rPr>
        <w:t xml:space="preserve">депонија. Инвестициони трошкови ће бити покривени из </w:t>
      </w:r>
      <w:r w:rsidR="000D3611" w:rsidRPr="00E84C93">
        <w:rPr>
          <w:rFonts w:cs="Times New Roman"/>
          <w:lang w:val="sr-Cyrl-CS"/>
        </w:rPr>
        <w:t>б</w:t>
      </w:r>
      <w:r w:rsidRPr="00E84C93">
        <w:rPr>
          <w:rFonts w:cs="Times New Roman"/>
          <w:lang w:val="sr-Cyrl-CS"/>
        </w:rPr>
        <w:t xml:space="preserve">уџета Републике Србије (25%-50%), </w:t>
      </w:r>
      <w:r w:rsidR="000D3611" w:rsidRPr="00E84C93">
        <w:rPr>
          <w:rFonts w:cs="Times New Roman"/>
          <w:lang w:val="sr-Cyrl-CS"/>
        </w:rPr>
        <w:t>б</w:t>
      </w:r>
      <w:r w:rsidRPr="00E84C93">
        <w:rPr>
          <w:rFonts w:cs="Times New Roman"/>
          <w:lang w:val="sr-Cyrl-CS"/>
        </w:rPr>
        <w:t xml:space="preserve">уџета </w:t>
      </w:r>
      <w:r w:rsidR="002D6562" w:rsidRPr="00E84C93">
        <w:rPr>
          <w:rFonts w:cs="Times New Roman"/>
          <w:lang w:val="sr-Cyrl-CS"/>
        </w:rPr>
        <w:t>Аутономне п</w:t>
      </w:r>
      <w:r w:rsidRPr="00E84C93">
        <w:rPr>
          <w:rFonts w:cs="Times New Roman"/>
          <w:lang w:val="sr-Cyrl-CS"/>
        </w:rPr>
        <w:t>окрајине</w:t>
      </w:r>
      <w:r w:rsidR="000D3611" w:rsidRPr="00E84C93">
        <w:rPr>
          <w:rFonts w:cs="Times New Roman"/>
          <w:lang w:val="sr-Cyrl-CS"/>
        </w:rPr>
        <w:t xml:space="preserve"> </w:t>
      </w:r>
      <w:r w:rsidRPr="00E84C93">
        <w:rPr>
          <w:rFonts w:cs="Times New Roman"/>
          <w:lang w:val="sr-Cyrl-CS"/>
        </w:rPr>
        <w:t>(до 10%), ЕУ фондова (грантови у износу од 50% до 70% од укупних инвестиционих трошкова), зајмова МФИ (до 15%) и билатералних донација (до 25%). Оперативни трошкови ће бити укључени у цену третмана отпадних вода за крајње кориснике ове услуге.</w:t>
      </w:r>
    </w:p>
    <w:p w14:paraId="5CD8BDCF" w14:textId="545661CF" w:rsidR="00600A81" w:rsidRPr="00E84C93" w:rsidRDefault="00600A81" w:rsidP="00600A81">
      <w:pPr>
        <w:spacing w:after="0"/>
        <w:ind w:firstLine="720"/>
        <w:jc w:val="both"/>
        <w:rPr>
          <w:rFonts w:cs="Times New Roman"/>
          <w:lang w:val="sr-Cyrl-CS"/>
        </w:rPr>
      </w:pPr>
      <w:r w:rsidRPr="00E84C93">
        <w:rPr>
          <w:rFonts w:cs="Times New Roman"/>
          <w:lang w:val="sr-Cyrl-CS"/>
        </w:rPr>
        <w:t xml:space="preserve">За спровођење Мере 4.1 (Јачање административних и институционалних капацитета надлежних институција за управљање муљем) у периоду </w:t>
      </w:r>
      <w:r w:rsidR="002D073C" w:rsidRPr="00E84C93">
        <w:rPr>
          <w:rFonts w:cs="Times New Roman"/>
          <w:lang w:val="sr-Cyrl-CS"/>
        </w:rPr>
        <w:t>2023-2032</w:t>
      </w:r>
      <w:r w:rsidRPr="00E84C93">
        <w:rPr>
          <w:rFonts w:cs="Times New Roman"/>
          <w:lang w:val="sr-Cyrl-CS"/>
        </w:rPr>
        <w:t>. годин</w:t>
      </w:r>
      <w:r w:rsidR="0007733C" w:rsidRPr="00E84C93">
        <w:rPr>
          <w:rFonts w:cs="Times New Roman"/>
          <w:lang w:val="sr-Cyrl-CS"/>
        </w:rPr>
        <w:t>е</w:t>
      </w:r>
      <w:r w:rsidRPr="00E84C93">
        <w:rPr>
          <w:rFonts w:cs="Times New Roman"/>
          <w:lang w:val="sr-Cyrl-CS"/>
        </w:rPr>
        <w:t xml:space="preserve"> потребно </w:t>
      </w:r>
      <w:r w:rsidR="0007733C" w:rsidRPr="00E84C93">
        <w:rPr>
          <w:rFonts w:cs="Times New Roman"/>
          <w:lang w:val="sr-Cyrl-CS"/>
        </w:rPr>
        <w:t>је</w:t>
      </w:r>
      <w:r w:rsidR="00E84C93">
        <w:rPr>
          <w:rFonts w:cs="Times New Roman"/>
          <w:lang w:val="sr-Cyrl-CS"/>
        </w:rPr>
        <w:t xml:space="preserve"> </w:t>
      </w:r>
      <w:r w:rsidRPr="00E84C93">
        <w:rPr>
          <w:rFonts w:cs="Times New Roman"/>
          <w:lang w:val="sr-Cyrl-CS"/>
        </w:rPr>
        <w:t>4.420.727 евра. Наведени износ представља административне трошкове од којих 3.693.305 евра се односи на плате особља које је потребно додатно запослити, 591.246 евра на обуке запослених и 136.176 евра за набавку опреме попут рачунара, штампача, скенера итд. Плате додатно запосленог особља ће се као и код Мере 1.1. у потпуности покривати из буџета Републике Србије, док ће се 80% трошкова за обуку и опрему запослених покривати из буџета Републике Србије, а преосталих 20% из грантова Европске уније кроз пројектно финансирање.</w:t>
      </w:r>
    </w:p>
    <w:p w14:paraId="42253B21" w14:textId="32DC5729" w:rsidR="00600A81" w:rsidRPr="00E84C93" w:rsidRDefault="00600A81" w:rsidP="00600A81">
      <w:pPr>
        <w:spacing w:after="0"/>
        <w:ind w:firstLine="720"/>
        <w:jc w:val="both"/>
        <w:rPr>
          <w:rFonts w:cs="Times New Roman"/>
          <w:b/>
          <w:bCs/>
          <w:noProof/>
          <w:szCs w:val="24"/>
          <w:lang w:val="sr-Cyrl-CS"/>
        </w:rPr>
      </w:pPr>
      <w:r w:rsidRPr="00E84C93">
        <w:rPr>
          <w:rFonts w:cs="Times New Roman"/>
          <w:lang w:val="sr-Cyrl-CS"/>
        </w:rPr>
        <w:t xml:space="preserve">За спровођење Мере 4.2 (Јачање капацитета јавних комуналних предузећа у области управљања муљем) потребно </w:t>
      </w:r>
      <w:r w:rsidR="0007733C" w:rsidRPr="00E84C93">
        <w:rPr>
          <w:rFonts w:cs="Times New Roman"/>
          <w:lang w:val="sr-Cyrl-CS"/>
        </w:rPr>
        <w:t xml:space="preserve">је </w:t>
      </w:r>
      <w:r w:rsidRPr="00E84C93">
        <w:rPr>
          <w:rFonts w:cs="Times New Roman"/>
          <w:lang w:val="sr-Cyrl-CS"/>
        </w:rPr>
        <w:t xml:space="preserve">у периоду </w:t>
      </w:r>
      <w:r w:rsidR="002D073C" w:rsidRPr="00E84C93">
        <w:rPr>
          <w:rFonts w:cs="Times New Roman"/>
          <w:lang w:val="sr-Cyrl-CS"/>
        </w:rPr>
        <w:t>2023-2032</w:t>
      </w:r>
      <w:r w:rsidRPr="00E84C93">
        <w:rPr>
          <w:rFonts w:cs="Times New Roman"/>
          <w:lang w:val="sr-Cyrl-CS"/>
        </w:rPr>
        <w:t>. годин</w:t>
      </w:r>
      <w:r w:rsidR="0007733C" w:rsidRPr="00E84C93">
        <w:rPr>
          <w:rFonts w:cs="Times New Roman"/>
          <w:lang w:val="sr-Cyrl-CS"/>
        </w:rPr>
        <w:t>е</w:t>
      </w:r>
      <w:r w:rsidRPr="00E84C93">
        <w:rPr>
          <w:rFonts w:cs="Times New Roman"/>
          <w:lang w:val="sr-Cyrl-CS"/>
        </w:rPr>
        <w:t xml:space="preserve"> укупно 3.653.742 евра (административни трошкови). Наведени трошкови ће бити покривени из буџета Републике Србије, буџета </w:t>
      </w:r>
      <w:r w:rsidR="0056606C" w:rsidRPr="00E84C93">
        <w:rPr>
          <w:rFonts w:cs="Times New Roman"/>
          <w:lang w:val="sr-Cyrl-CS"/>
        </w:rPr>
        <w:t>Аутономне п</w:t>
      </w:r>
      <w:r w:rsidRPr="00E84C93">
        <w:rPr>
          <w:rFonts w:cs="Times New Roman"/>
          <w:lang w:val="sr-Cyrl-CS"/>
        </w:rPr>
        <w:t>окрајине, буџета ЈЛС и фондова Европске уније (грантови).</w:t>
      </w:r>
    </w:p>
    <w:p w14:paraId="1A67A438" w14:textId="272D63C5" w:rsidR="002E00AE" w:rsidRPr="00E84C93" w:rsidRDefault="002E00AE" w:rsidP="000C54C0">
      <w:pPr>
        <w:pStyle w:val="Heading3"/>
        <w:numPr>
          <w:ilvl w:val="2"/>
          <w:numId w:val="8"/>
        </w:numPr>
        <w:rPr>
          <w:noProof/>
          <w:lang w:val="sr-Cyrl-CS"/>
        </w:rPr>
      </w:pPr>
      <w:bookmarkStart w:id="119" w:name="_Toc99920916"/>
      <w:r w:rsidRPr="00E84C93">
        <w:rPr>
          <w:noProof/>
          <w:lang w:val="sr-Cyrl-CS"/>
        </w:rPr>
        <w:t>Анализа ефеката</w:t>
      </w:r>
      <w:r w:rsidR="000853E7" w:rsidRPr="00E84C93">
        <w:rPr>
          <w:noProof/>
          <w:lang w:val="sr-Cyrl-CS"/>
        </w:rPr>
        <w:t xml:space="preserve"> спровођења</w:t>
      </w:r>
      <w:r w:rsidRPr="00E84C93">
        <w:rPr>
          <w:noProof/>
          <w:lang w:val="sr-Cyrl-CS"/>
        </w:rPr>
        <w:t xml:space="preserve"> мера</w:t>
      </w:r>
      <w:bookmarkEnd w:id="119"/>
    </w:p>
    <w:p w14:paraId="3EEBA1C5" w14:textId="77777777" w:rsidR="00600A81" w:rsidRPr="00E84C93" w:rsidRDefault="00600A81" w:rsidP="00600A81">
      <w:pPr>
        <w:spacing w:after="0"/>
        <w:ind w:firstLine="720"/>
        <w:jc w:val="both"/>
        <w:rPr>
          <w:b/>
          <w:bCs/>
          <w:lang w:val="sr-Cyrl-CS"/>
        </w:rPr>
      </w:pPr>
      <w:r w:rsidRPr="00E84C93">
        <w:rPr>
          <w:b/>
          <w:bCs/>
          <w:lang w:val="sr-Cyrl-CS"/>
        </w:rPr>
        <w:t>Финансијски ефекти</w:t>
      </w:r>
    </w:p>
    <w:p w14:paraId="70A9E83E" w14:textId="68CCB8E6"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Спровођење Програма ће имати значајне</w:t>
      </w:r>
      <w:r w:rsidR="00F40A41" w:rsidRPr="00E84C93">
        <w:rPr>
          <w:rFonts w:cs="Times New Roman"/>
          <w:noProof/>
          <w:szCs w:val="24"/>
          <w:lang w:val="sr-Cyrl-CS"/>
        </w:rPr>
        <w:t xml:space="preserve"> средњорочне и дугорочне</w:t>
      </w:r>
      <w:r w:rsidRPr="00E84C93">
        <w:rPr>
          <w:rFonts w:cs="Times New Roman"/>
          <w:noProof/>
          <w:szCs w:val="24"/>
          <w:lang w:val="sr-Cyrl-CS"/>
        </w:rPr>
        <w:t xml:space="preserve"> ефекте на јавне расходе</w:t>
      </w:r>
      <w:r w:rsidR="00F40A41" w:rsidRPr="00E84C93">
        <w:rPr>
          <w:rFonts w:cs="Times New Roman"/>
          <w:noProof/>
          <w:szCs w:val="24"/>
          <w:lang w:val="sr-Cyrl-CS"/>
        </w:rPr>
        <w:t>.</w:t>
      </w:r>
      <w:r w:rsidRPr="00E84C93">
        <w:rPr>
          <w:rFonts w:cs="Times New Roman"/>
          <w:noProof/>
          <w:szCs w:val="24"/>
          <w:lang w:val="sr-Cyrl-CS"/>
        </w:rPr>
        <w:t xml:space="preserve"> На основу утврђених мера и дефинисане структуре финансирања сваког појединачног инфраструктурног пројекта у области управљања муљем потребно је у буџету Републике Србије планирати одређена финансијска средства. Средства из </w:t>
      </w:r>
      <w:r w:rsidR="00F40A41" w:rsidRPr="00E84C93">
        <w:rPr>
          <w:rFonts w:cs="Times New Roman"/>
          <w:noProof/>
          <w:szCs w:val="24"/>
          <w:lang w:val="sr-Cyrl-CS"/>
        </w:rPr>
        <w:t>републичког</w:t>
      </w:r>
      <w:r w:rsidRPr="00E84C93">
        <w:rPr>
          <w:rFonts w:cs="Times New Roman"/>
          <w:noProof/>
          <w:szCs w:val="24"/>
          <w:lang w:val="sr-Cyrl-CS"/>
        </w:rPr>
        <w:t xml:space="preserve"> буџета ће бити обезбеђена </w:t>
      </w:r>
      <w:r w:rsidRPr="00E84C93">
        <w:rPr>
          <w:rFonts w:cs="Times New Roman"/>
          <w:noProof/>
          <w:szCs w:val="24"/>
          <w:lang w:val="sr-Cyrl-CS"/>
        </w:rPr>
        <w:lastRenderedPageBreak/>
        <w:t>кроз програмске активности за ову намену у складу са билансним могућностима буџета Републике Србије, у оквиру утврђених лимита у годишњим законима о буџету Републике Србије на разделу органа надлежних за спровођење инвестирања у пројекте из области заштите животне средине.</w:t>
      </w:r>
    </w:p>
    <w:p w14:paraId="413F7F05" w14:textId="63307EA1"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Такође, поред средстава које је потребно обезбедити из буџета Републике Србије, потребно је планирати и средства из других извора финансирања, пре свега фондова ЕУ у виду грантова, </w:t>
      </w:r>
      <w:r w:rsidR="00F40A41" w:rsidRPr="00E84C93">
        <w:rPr>
          <w:rFonts w:cs="Times New Roman"/>
          <w:noProof/>
          <w:szCs w:val="24"/>
          <w:lang w:val="sr-Cyrl-CS"/>
        </w:rPr>
        <w:t>као</w:t>
      </w:r>
      <w:r w:rsidRPr="00E84C93">
        <w:rPr>
          <w:rFonts w:cs="Times New Roman"/>
          <w:noProof/>
          <w:szCs w:val="24"/>
          <w:lang w:val="sr-Cyrl-CS"/>
        </w:rPr>
        <w:t xml:space="preserve"> и зајмов</w:t>
      </w:r>
      <w:r w:rsidR="00F40A41" w:rsidRPr="00E84C93">
        <w:rPr>
          <w:rFonts w:cs="Times New Roman"/>
          <w:noProof/>
          <w:szCs w:val="24"/>
          <w:lang w:val="sr-Cyrl-CS"/>
        </w:rPr>
        <w:t>а</w:t>
      </w:r>
      <w:r w:rsidRPr="00E84C93">
        <w:rPr>
          <w:rFonts w:cs="Times New Roman"/>
          <w:noProof/>
          <w:szCs w:val="24"/>
          <w:lang w:val="sr-Cyrl-CS"/>
        </w:rPr>
        <w:t xml:space="preserve"> међународних финансијских институција. Изабрана структура финансирања ће утицати и на међународне финансијске обавезе Републике Србије које ће се повећати за износ позајмљених средстава. На пример, уколико би се 25% предвиђених инвестиција за изградњу система за управљање муљем закључно са 2027. годином финансирал</w:t>
      </w:r>
      <w:r w:rsidR="00F40A41" w:rsidRPr="00E84C93">
        <w:rPr>
          <w:rFonts w:cs="Times New Roman"/>
          <w:noProof/>
          <w:szCs w:val="24"/>
          <w:lang w:val="sr-Cyrl-CS"/>
        </w:rPr>
        <w:t>о</w:t>
      </w:r>
      <w:r w:rsidRPr="00E84C93">
        <w:rPr>
          <w:rFonts w:cs="Times New Roman"/>
          <w:noProof/>
          <w:szCs w:val="24"/>
          <w:lang w:val="sr-Cyrl-CS"/>
        </w:rPr>
        <w:t xml:space="preserve"> из зајмова међународних финансијских институција укупне обавезе Републике Србије би се повећале за 45 милиона евра без камата.</w:t>
      </w:r>
    </w:p>
    <w:p w14:paraId="3BF8BD41" w14:textId="059B8D36"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Када су у питању административни трошкови и јачање административних капацитета који ће на </w:t>
      </w:r>
      <w:r w:rsidR="00F40A41" w:rsidRPr="00E84C93">
        <w:rPr>
          <w:rFonts w:cs="Times New Roman"/>
          <w:noProof/>
          <w:szCs w:val="24"/>
          <w:lang w:val="sr-Cyrl-CS"/>
        </w:rPr>
        <w:t>републичком</w:t>
      </w:r>
      <w:r w:rsidRPr="00E84C93">
        <w:rPr>
          <w:rFonts w:cs="Times New Roman"/>
          <w:noProof/>
          <w:szCs w:val="24"/>
          <w:lang w:val="sr-Cyrl-CS"/>
        </w:rPr>
        <w:t xml:space="preserve"> нивоу обезбедити спровођење Програма, као што је претходно наведено, у периоду </w:t>
      </w:r>
      <w:r w:rsidR="002D073C" w:rsidRPr="00E84C93">
        <w:rPr>
          <w:rFonts w:cs="Times New Roman"/>
          <w:noProof/>
          <w:szCs w:val="24"/>
          <w:lang w:val="sr-Cyrl-CS"/>
        </w:rPr>
        <w:t>2023-2032</w:t>
      </w:r>
      <w:r w:rsidRPr="00E84C93">
        <w:rPr>
          <w:rFonts w:cs="Times New Roman"/>
          <w:noProof/>
          <w:szCs w:val="24"/>
          <w:lang w:val="sr-Cyrl-CS"/>
        </w:rPr>
        <w:t>. годин</w:t>
      </w:r>
      <w:r w:rsidR="00F40A41" w:rsidRPr="00E84C93">
        <w:rPr>
          <w:rFonts w:cs="Times New Roman"/>
          <w:noProof/>
          <w:szCs w:val="24"/>
          <w:lang w:val="sr-Cyrl-CS"/>
        </w:rPr>
        <w:t>е</w:t>
      </w:r>
      <w:r w:rsidRPr="00E84C93">
        <w:rPr>
          <w:rFonts w:cs="Times New Roman"/>
          <w:noProof/>
          <w:szCs w:val="24"/>
          <w:lang w:val="sr-Cyrl-CS"/>
        </w:rPr>
        <w:t xml:space="preserve"> је неопходно обезбедити 9.956.328 евра за плате државних службеника (буџет), 1.232.953 евра за обуке особља (буџет и ЕУ фондови), као и 197.803 евра за опрему (рачунари, софтвер…) (буџет, ЕУ фондови).</w:t>
      </w:r>
    </w:p>
    <w:p w14:paraId="508149AB" w14:textId="77777777"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Расходе који настају због спровођења овог програма је потенцијално могуће остварити кроз редистрибуцију постојећих средстава, али у оквиру утврђених лимита у годишњим законима о буџету Републике Србије на разделу органа надлежних за спровођење инвестирања у пројекте из области заштите животне средине и других области.</w:t>
      </w:r>
    </w:p>
    <w:p w14:paraId="0AF403E9" w14:textId="77777777" w:rsidR="00600A81" w:rsidRPr="00E84C93" w:rsidRDefault="00600A81" w:rsidP="00600A81">
      <w:pPr>
        <w:spacing w:after="0"/>
        <w:ind w:firstLine="720"/>
        <w:jc w:val="both"/>
        <w:rPr>
          <w:b/>
          <w:bCs/>
          <w:lang w:val="sr-Cyrl-CS"/>
        </w:rPr>
      </w:pPr>
    </w:p>
    <w:p w14:paraId="4E46AC81" w14:textId="77777777" w:rsidR="00600A81" w:rsidRPr="00E84C93" w:rsidRDefault="00600A81" w:rsidP="00600A81">
      <w:pPr>
        <w:spacing w:after="0"/>
        <w:ind w:firstLine="720"/>
        <w:jc w:val="both"/>
        <w:rPr>
          <w:b/>
          <w:bCs/>
          <w:lang w:val="sr-Cyrl-CS"/>
        </w:rPr>
      </w:pPr>
      <w:r w:rsidRPr="00E84C93">
        <w:rPr>
          <w:b/>
          <w:bCs/>
          <w:lang w:val="sr-Cyrl-CS"/>
        </w:rPr>
        <w:t>Економски ефекти</w:t>
      </w:r>
    </w:p>
    <w:p w14:paraId="0854A6CF" w14:textId="77777777"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Привредни субјекти који буду укључени у систем управљања муљем (складиштење, транспорт, спаљивање) ће имати административне трошкове у виду такси за добијање дозвола за спаљивање муља у инсинераторима или цементарама, транспорт, прекривање депонија и слично. Такође, приликом употребе муља за пољопривреду потребно је извршити анализе муља и земљишта што изискује додатне трошкове.</w:t>
      </w:r>
    </w:p>
    <w:p w14:paraId="329013CA" w14:textId="432C85C8"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После увођења нове комуналне услуге у виду пречишћавања отпадних вода и муља, привредни субјекти ће плаћати више цене за услуге </w:t>
      </w:r>
      <w:r w:rsidR="00C5681B" w:rsidRPr="00E84C93">
        <w:rPr>
          <w:rFonts w:cs="Times New Roman"/>
          <w:noProof/>
          <w:szCs w:val="24"/>
          <w:lang w:val="sr-Cyrl-CS"/>
        </w:rPr>
        <w:t>коришћењ</w:t>
      </w:r>
      <w:r w:rsidR="00A60296" w:rsidRPr="00E84C93">
        <w:rPr>
          <w:rFonts w:cs="Times New Roman"/>
          <w:noProof/>
          <w:szCs w:val="24"/>
          <w:lang w:val="sr-Cyrl-CS"/>
        </w:rPr>
        <w:t>а</w:t>
      </w:r>
      <w:r w:rsidR="00C5681B" w:rsidRPr="00E84C93">
        <w:rPr>
          <w:rFonts w:cs="Times New Roman"/>
          <w:noProof/>
          <w:szCs w:val="24"/>
          <w:lang w:val="sr-Cyrl-CS"/>
        </w:rPr>
        <w:t xml:space="preserve"> </w:t>
      </w:r>
      <w:r w:rsidRPr="00E84C93">
        <w:rPr>
          <w:rFonts w:cs="Times New Roman"/>
          <w:noProof/>
          <w:szCs w:val="24"/>
          <w:lang w:val="sr-Cyrl-CS"/>
        </w:rPr>
        <w:t xml:space="preserve">вода, што </w:t>
      </w:r>
      <w:r w:rsidR="00C5681B" w:rsidRPr="00E84C93">
        <w:rPr>
          <w:rFonts w:cs="Times New Roman"/>
          <w:noProof/>
          <w:szCs w:val="24"/>
          <w:lang w:val="sr-Cyrl-CS"/>
        </w:rPr>
        <w:t xml:space="preserve">може </w:t>
      </w:r>
      <w:r w:rsidRPr="00E84C93">
        <w:rPr>
          <w:rFonts w:cs="Times New Roman"/>
          <w:noProof/>
          <w:szCs w:val="24"/>
          <w:lang w:val="sr-Cyrl-CS"/>
        </w:rPr>
        <w:t>не</w:t>
      </w:r>
      <w:r w:rsidR="00C5681B" w:rsidRPr="00E84C93">
        <w:rPr>
          <w:rFonts w:cs="Times New Roman"/>
          <w:noProof/>
          <w:szCs w:val="24"/>
          <w:lang w:val="sr-Cyrl-CS"/>
        </w:rPr>
        <w:t>повољно</w:t>
      </w:r>
      <w:r w:rsidRPr="00E84C93">
        <w:rPr>
          <w:rFonts w:cs="Times New Roman"/>
          <w:noProof/>
          <w:szCs w:val="24"/>
          <w:lang w:val="sr-Cyrl-CS"/>
        </w:rPr>
        <w:t xml:space="preserve"> утицати на њихову рентабилност и конкурентност на домаћем и иностраном тржишту, али само под претпоставком </w:t>
      </w:r>
      <w:r w:rsidR="00474D66" w:rsidRPr="00E84C93">
        <w:rPr>
          <w:rFonts w:cs="Times New Roman"/>
          <w:noProof/>
          <w:szCs w:val="24"/>
          <w:lang w:val="sr-Cyrl-CS"/>
        </w:rPr>
        <w:t>ако</w:t>
      </w:r>
      <w:r w:rsidRPr="00E84C93">
        <w:rPr>
          <w:rFonts w:cs="Times New Roman"/>
          <w:noProof/>
          <w:szCs w:val="24"/>
          <w:lang w:val="sr-Cyrl-CS"/>
        </w:rPr>
        <w:t xml:space="preserve"> повећање ових трошкова не </w:t>
      </w:r>
      <w:r w:rsidR="00C5681B" w:rsidRPr="00E84C93">
        <w:rPr>
          <w:rFonts w:cs="Times New Roman"/>
          <w:noProof/>
          <w:szCs w:val="24"/>
          <w:lang w:val="sr-Cyrl-CS"/>
        </w:rPr>
        <w:t xml:space="preserve">буду </w:t>
      </w:r>
      <w:r w:rsidRPr="00E84C93">
        <w:rPr>
          <w:rFonts w:cs="Times New Roman"/>
          <w:noProof/>
          <w:szCs w:val="24"/>
          <w:lang w:val="sr-Cyrl-CS"/>
        </w:rPr>
        <w:t>мог</w:t>
      </w:r>
      <w:r w:rsidR="00C5681B" w:rsidRPr="00E84C93">
        <w:rPr>
          <w:rFonts w:cs="Times New Roman"/>
          <w:noProof/>
          <w:szCs w:val="24"/>
          <w:lang w:val="sr-Cyrl-CS"/>
        </w:rPr>
        <w:t>ли</w:t>
      </w:r>
      <w:r w:rsidRPr="00E84C93">
        <w:rPr>
          <w:rFonts w:cs="Times New Roman"/>
          <w:noProof/>
          <w:szCs w:val="24"/>
          <w:lang w:val="sr-Cyrl-CS"/>
        </w:rPr>
        <w:t xml:space="preserve"> у великој мери да пребаце на крајње кориснике њихових производа. То ће зависити од делатности у којој послују привредни субјекти и ценовне еластичности тражње за њиховим производима. Са друге стране, цементаре у којима се буде спаљивао муљ могу да остваре уштеде по основу мањег коришћења електричне енергије, тако да ће се у том случају смањити њихови трошкови производње и побољшати њихова конкурентност. У случају да анализе муља покажу да се он може користити у пољопривредној производњи у значајнијој количини, оствариће се уштеде по основу мање употребе вештачког ђубрива.</w:t>
      </w:r>
    </w:p>
    <w:p w14:paraId="5C53F5E3" w14:textId="014CE514"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Спровођење овог Програма неће имати ефекте на услове конкуренције на тржишт</w:t>
      </w:r>
      <w:r w:rsidR="008F7AC8" w:rsidRPr="00E84C93">
        <w:rPr>
          <w:rFonts w:cs="Times New Roman"/>
          <w:noProof/>
          <w:szCs w:val="24"/>
          <w:lang w:val="sr-Cyrl-CS"/>
        </w:rPr>
        <w:t>у</w:t>
      </w:r>
      <w:r w:rsidRPr="00E84C93">
        <w:rPr>
          <w:rFonts w:cs="Times New Roman"/>
          <w:noProof/>
          <w:szCs w:val="24"/>
          <w:lang w:val="sr-Cyrl-CS"/>
        </w:rPr>
        <w:t xml:space="preserve"> Републике Србије.</w:t>
      </w:r>
    </w:p>
    <w:p w14:paraId="1C0CE693" w14:textId="2B3CE951"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Примена мера које су представљене у Програму ће утицати на трансфер технологија и примену техничко-технолошких, организационих и пословних иновација у Републици Србији. Наиме, функционисање </w:t>
      </w:r>
      <w:r w:rsidR="00D010D1" w:rsidRPr="00E84C93">
        <w:rPr>
          <w:rFonts w:cs="Times New Roman"/>
          <w:noProof/>
          <w:szCs w:val="24"/>
          <w:lang w:val="sr-Cyrl-CS"/>
        </w:rPr>
        <w:t>моно</w:t>
      </w:r>
      <w:r w:rsidRPr="00E84C93">
        <w:rPr>
          <w:rFonts w:cs="Times New Roman"/>
          <w:noProof/>
          <w:szCs w:val="24"/>
          <w:lang w:val="sr-Cyrl-CS"/>
        </w:rPr>
        <w:t xml:space="preserve">инсинератора захтева нове </w:t>
      </w:r>
      <w:r w:rsidRPr="00E84C93">
        <w:rPr>
          <w:rFonts w:cs="Times New Roman"/>
          <w:noProof/>
          <w:szCs w:val="24"/>
          <w:lang w:val="sr-Cyrl-CS"/>
        </w:rPr>
        <w:lastRenderedPageBreak/>
        <w:t>организационе и пословне вештине у сектору заштите животне средине. Такође, примена муља у пољопривреди ће захтевати нове техничко-технолошке процесе и знања.</w:t>
      </w:r>
    </w:p>
    <w:p w14:paraId="35F65877" w14:textId="303C4903"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Спровођење Програма неће утицати на друштвено богатство и његову расподелу, али ће утицати на квалитет радне снаге како у администрацији, тако и на оперативном нивоу. Да би се спровеле мере које су назначене у овом Програму радна снага мора</w:t>
      </w:r>
      <w:r w:rsidR="008F7AC8" w:rsidRPr="00E84C93">
        <w:rPr>
          <w:rFonts w:cs="Times New Roman"/>
          <w:noProof/>
          <w:szCs w:val="24"/>
          <w:lang w:val="sr-Cyrl-CS"/>
        </w:rPr>
        <w:t xml:space="preserve"> да</w:t>
      </w:r>
      <w:r w:rsidRPr="00E84C93">
        <w:rPr>
          <w:rFonts w:cs="Times New Roman"/>
          <w:noProof/>
          <w:szCs w:val="24"/>
          <w:lang w:val="sr-Cyrl-CS"/>
        </w:rPr>
        <w:t xml:space="preserve"> има додатне тренинге и обуке.</w:t>
      </w:r>
    </w:p>
    <w:p w14:paraId="46AC9683" w14:textId="77777777" w:rsidR="00600A81" w:rsidRPr="00E84C93" w:rsidRDefault="00600A81" w:rsidP="00600A81">
      <w:pPr>
        <w:spacing w:after="0"/>
        <w:ind w:firstLine="720"/>
        <w:jc w:val="both"/>
        <w:rPr>
          <w:lang w:val="sr-Cyrl-CS"/>
        </w:rPr>
      </w:pPr>
      <w:r w:rsidRPr="00E84C93">
        <w:rPr>
          <w:lang w:val="sr-Cyrl-CS"/>
        </w:rPr>
        <w:t>Спровођење наведених мера у вези са управљањем муља који настаје као један од резултата рада постројења за пречишћавање отпадних вода ствара значајне друштвено-економске користи, али и трошкове.</w:t>
      </w:r>
    </w:p>
    <w:p w14:paraId="6616EBCA" w14:textId="77777777" w:rsidR="00600A81" w:rsidRPr="00E84C93" w:rsidRDefault="00600A81" w:rsidP="00600A81">
      <w:pPr>
        <w:spacing w:after="0"/>
        <w:ind w:firstLine="720"/>
        <w:jc w:val="both"/>
        <w:rPr>
          <w:lang w:val="sr-Cyrl-CS"/>
        </w:rPr>
      </w:pPr>
      <w:r w:rsidRPr="00E84C93">
        <w:rPr>
          <w:lang w:val="sr-Cyrl-CS"/>
        </w:rPr>
        <w:t>Економске користи се огледају у следећем:</w:t>
      </w:r>
    </w:p>
    <w:p w14:paraId="18609A2C" w14:textId="1B35D755" w:rsidR="00600A81" w:rsidRPr="00E84C93" w:rsidRDefault="002B01E5" w:rsidP="00202007">
      <w:pPr>
        <w:pStyle w:val="ListParagraph"/>
        <w:numPr>
          <w:ilvl w:val="0"/>
          <w:numId w:val="34"/>
        </w:numPr>
        <w:tabs>
          <w:tab w:val="left" w:pos="993"/>
        </w:tabs>
        <w:spacing w:after="0"/>
        <w:ind w:left="0" w:firstLine="720"/>
        <w:rPr>
          <w:rFonts w:cs="Times New Roman"/>
          <w:noProof/>
          <w:szCs w:val="24"/>
          <w:lang w:val="sr-Cyrl-CS"/>
        </w:rPr>
      </w:pPr>
      <w:r w:rsidRPr="00E84C93">
        <w:rPr>
          <w:lang w:val="sr-Cyrl-CS"/>
        </w:rPr>
        <w:t>п</w:t>
      </w:r>
      <w:r w:rsidR="00600A81" w:rsidRPr="00E84C93">
        <w:rPr>
          <w:lang w:val="sr-Cyrl-CS"/>
        </w:rPr>
        <w:t>обољшање јавног здравља јер је изложеност загађивању смањена. Због тога се смањује број болести и прераних смрти, а самим тим и трошкови здравства</w:t>
      </w:r>
      <w:r w:rsidR="00C45A7D" w:rsidRPr="00E84C93">
        <w:rPr>
          <w:lang w:val="sr-Cyrl-CS"/>
        </w:rPr>
        <w:t>;</w:t>
      </w:r>
    </w:p>
    <w:p w14:paraId="4D075224" w14:textId="4F263968" w:rsidR="00600A81" w:rsidRPr="00E84C93" w:rsidRDefault="002B01E5" w:rsidP="00D75873">
      <w:pPr>
        <w:pStyle w:val="ListParagraph"/>
        <w:numPr>
          <w:ilvl w:val="0"/>
          <w:numId w:val="34"/>
        </w:numPr>
        <w:spacing w:after="0"/>
        <w:rPr>
          <w:rFonts w:cs="Times New Roman"/>
          <w:noProof/>
          <w:szCs w:val="24"/>
          <w:lang w:val="sr-Cyrl-CS"/>
        </w:rPr>
      </w:pPr>
      <w:r w:rsidRPr="00E84C93">
        <w:rPr>
          <w:lang w:val="sr-Cyrl-CS"/>
        </w:rPr>
        <w:t>м</w:t>
      </w:r>
      <w:r w:rsidR="00600A81" w:rsidRPr="00E84C93">
        <w:rPr>
          <w:lang w:val="sr-Cyrl-CS"/>
        </w:rPr>
        <w:t>ање штете над шумама, зградама, пољима и рибарницама кроз смањење загађивања воде</w:t>
      </w:r>
      <w:r w:rsidR="00C45A7D" w:rsidRPr="00E84C93">
        <w:rPr>
          <w:lang w:val="sr-Cyrl-CS"/>
        </w:rPr>
        <w:t>;</w:t>
      </w:r>
    </w:p>
    <w:p w14:paraId="2CE705D9" w14:textId="7A8EBB50" w:rsidR="00600A81" w:rsidRPr="00E84C93" w:rsidRDefault="002B01E5" w:rsidP="00202007">
      <w:pPr>
        <w:pStyle w:val="ListParagraph"/>
        <w:numPr>
          <w:ilvl w:val="0"/>
          <w:numId w:val="34"/>
        </w:numPr>
        <w:tabs>
          <w:tab w:val="left" w:pos="993"/>
        </w:tabs>
        <w:spacing w:after="0"/>
        <w:ind w:left="0" w:firstLine="720"/>
        <w:rPr>
          <w:rFonts w:cs="Times New Roman"/>
          <w:noProof/>
          <w:szCs w:val="24"/>
          <w:lang w:val="sr-Cyrl-CS"/>
        </w:rPr>
      </w:pPr>
      <w:r w:rsidRPr="00E84C93">
        <w:rPr>
          <w:lang w:val="sr-Cyrl-CS"/>
        </w:rPr>
        <w:t>п</w:t>
      </w:r>
      <w:r w:rsidR="00600A81" w:rsidRPr="00E84C93">
        <w:rPr>
          <w:lang w:val="sr-Cyrl-CS"/>
        </w:rPr>
        <w:t>ромоција туризма као резултат чистије животне средине (шуме, воде за купање, реке, природни резервати) и на тај начин повећавања бруто додатне вредности ове делатности у бруто домаћем производу</w:t>
      </w:r>
      <w:r w:rsidR="00C45A7D" w:rsidRPr="00E84C93">
        <w:rPr>
          <w:lang w:val="sr-Cyrl-CS"/>
        </w:rPr>
        <w:t>;</w:t>
      </w:r>
    </w:p>
    <w:p w14:paraId="35D81659" w14:textId="1D460ECC" w:rsidR="00600A81" w:rsidRPr="00E84C93" w:rsidRDefault="002B01E5" w:rsidP="00D75873">
      <w:pPr>
        <w:pStyle w:val="ListParagraph"/>
        <w:widowControl w:val="0"/>
        <w:numPr>
          <w:ilvl w:val="0"/>
          <w:numId w:val="34"/>
        </w:numPr>
        <w:suppressAutoHyphens/>
        <w:spacing w:before="120" w:after="0"/>
        <w:jc w:val="both"/>
        <w:rPr>
          <w:lang w:val="sr-Cyrl-CS"/>
        </w:rPr>
      </w:pPr>
      <w:r w:rsidRPr="00E84C93">
        <w:rPr>
          <w:lang w:val="sr-Cyrl-CS"/>
        </w:rPr>
        <w:t>н</w:t>
      </w:r>
      <w:r w:rsidR="00600A81" w:rsidRPr="00E84C93">
        <w:rPr>
          <w:lang w:val="sr-Cyrl-CS"/>
        </w:rPr>
        <w:t>ижи ризик од (непоправљиве) штете природним ресурсима</w:t>
      </w:r>
      <w:r w:rsidR="00235462" w:rsidRPr="00E84C93">
        <w:rPr>
          <w:lang w:val="sr-Cyrl-CS"/>
        </w:rPr>
        <w:t>,</w:t>
      </w:r>
      <w:r w:rsidR="00600A81" w:rsidRPr="00E84C93">
        <w:rPr>
          <w:lang w:val="sr-Cyrl-CS"/>
        </w:rPr>
        <w:t xml:space="preserve"> као што су подземне воде</w:t>
      </w:r>
      <w:r w:rsidR="00C45A7D" w:rsidRPr="00E84C93">
        <w:rPr>
          <w:lang w:val="sr-Cyrl-CS"/>
        </w:rPr>
        <w:t>;</w:t>
      </w:r>
    </w:p>
    <w:p w14:paraId="3DDE16DE" w14:textId="5B6D69BF" w:rsidR="00600A81" w:rsidRPr="00E84C93" w:rsidRDefault="002B01E5" w:rsidP="00202007">
      <w:pPr>
        <w:pStyle w:val="ListParagraph"/>
        <w:widowControl w:val="0"/>
        <w:numPr>
          <w:ilvl w:val="0"/>
          <w:numId w:val="34"/>
        </w:numPr>
        <w:tabs>
          <w:tab w:val="left" w:pos="720"/>
          <w:tab w:val="left" w:pos="993"/>
          <w:tab w:val="left" w:pos="1134"/>
        </w:tabs>
        <w:suppressAutoHyphens/>
        <w:spacing w:before="120" w:after="0"/>
        <w:ind w:left="851" w:hanging="131"/>
        <w:jc w:val="both"/>
        <w:rPr>
          <w:lang w:val="sr-Cyrl-CS"/>
        </w:rPr>
      </w:pPr>
      <w:r w:rsidRPr="00E84C93">
        <w:rPr>
          <w:lang w:val="sr-Cyrl-CS"/>
        </w:rPr>
        <w:t>б</w:t>
      </w:r>
      <w:r w:rsidR="00600A81" w:rsidRPr="00E84C93">
        <w:rPr>
          <w:lang w:val="sr-Cyrl-CS"/>
        </w:rPr>
        <w:t>оља заштита природних екосистема и (угрожених) врста</w:t>
      </w:r>
      <w:r w:rsidR="00C45A7D" w:rsidRPr="00E84C93">
        <w:rPr>
          <w:lang w:val="sr-Cyrl-CS"/>
        </w:rPr>
        <w:t>;</w:t>
      </w:r>
    </w:p>
    <w:p w14:paraId="0C2027E1" w14:textId="29900DE6" w:rsidR="00600A81" w:rsidRPr="00E84C93" w:rsidRDefault="002B01E5" w:rsidP="00202007">
      <w:pPr>
        <w:pStyle w:val="ListParagraph"/>
        <w:widowControl w:val="0"/>
        <w:numPr>
          <w:ilvl w:val="0"/>
          <w:numId w:val="34"/>
        </w:numPr>
        <w:tabs>
          <w:tab w:val="left" w:pos="993"/>
        </w:tabs>
        <w:suppressAutoHyphens/>
        <w:spacing w:before="120" w:after="0"/>
        <w:ind w:left="0" w:firstLine="720"/>
        <w:jc w:val="both"/>
        <w:rPr>
          <w:lang w:val="sr-Cyrl-CS"/>
        </w:rPr>
      </w:pPr>
      <w:r w:rsidRPr="00E84C93">
        <w:rPr>
          <w:lang w:val="sr-Cyrl-CS"/>
        </w:rPr>
        <w:t>ч</w:t>
      </w:r>
      <w:r w:rsidR="00600A81" w:rsidRPr="00E84C93">
        <w:rPr>
          <w:lang w:val="sr-Cyrl-CS"/>
        </w:rPr>
        <w:t xml:space="preserve">истија вода, побољшана естетска вредност </w:t>
      </w:r>
      <w:r w:rsidR="00A60296" w:rsidRPr="00E84C93">
        <w:rPr>
          <w:lang w:val="sr-Cyrl-CS"/>
        </w:rPr>
        <w:t>животне средине и</w:t>
      </w:r>
      <w:r w:rsidR="00600A81" w:rsidRPr="00E84C93">
        <w:rPr>
          <w:lang w:val="sr-Cyrl-CS"/>
        </w:rPr>
        <w:t xml:space="preserve"> простора и развој туризма подстичу веће запошљавање чиме се додатно убрзава локални и регионални развој</w:t>
      </w:r>
      <w:r w:rsidR="00C45A7D" w:rsidRPr="00E84C93">
        <w:rPr>
          <w:lang w:val="sr-Cyrl-CS"/>
        </w:rPr>
        <w:t>;</w:t>
      </w:r>
    </w:p>
    <w:p w14:paraId="48A6A56D" w14:textId="5F9EE097" w:rsidR="00600A81" w:rsidRPr="00E84C93" w:rsidRDefault="002B01E5" w:rsidP="00202007">
      <w:pPr>
        <w:pStyle w:val="ListParagraph"/>
        <w:widowControl w:val="0"/>
        <w:numPr>
          <w:ilvl w:val="0"/>
          <w:numId w:val="34"/>
        </w:numPr>
        <w:tabs>
          <w:tab w:val="left" w:pos="993"/>
        </w:tabs>
        <w:suppressAutoHyphens/>
        <w:spacing w:before="120" w:after="0"/>
        <w:ind w:left="0" w:firstLine="720"/>
        <w:jc w:val="both"/>
        <w:rPr>
          <w:lang w:val="sr-Cyrl-CS"/>
        </w:rPr>
      </w:pPr>
      <w:r w:rsidRPr="00E84C93">
        <w:rPr>
          <w:lang w:val="sr-Cyrl-CS"/>
        </w:rPr>
        <w:t>к</w:t>
      </w:r>
      <w:r w:rsidR="00600A81" w:rsidRPr="00E84C93">
        <w:rPr>
          <w:lang w:val="sr-Cyrl-CS"/>
        </w:rPr>
        <w:t>ористи по питању ресурса – повећање квалитета ресурса који се комерцијално користе у, на пример, шумарству, пољопривреди и рибарству и повећава бруто додату вредност ових делатности.</w:t>
      </w:r>
    </w:p>
    <w:p w14:paraId="3C251366" w14:textId="0E030758" w:rsidR="00600A81" w:rsidRPr="00E84C93" w:rsidRDefault="00600A81" w:rsidP="00600A81">
      <w:pPr>
        <w:pStyle w:val="ListParagraph"/>
        <w:widowControl w:val="0"/>
        <w:suppressAutoHyphens/>
        <w:spacing w:after="0"/>
        <w:ind w:left="0" w:firstLine="720"/>
        <w:jc w:val="both"/>
        <w:rPr>
          <w:lang w:val="sr-Cyrl-CS"/>
        </w:rPr>
      </w:pPr>
      <w:r w:rsidRPr="00E84C93">
        <w:rPr>
          <w:rFonts w:cs="Times New Roman"/>
          <w:noProof/>
          <w:szCs w:val="24"/>
          <w:lang w:val="sr-Cyrl-CS"/>
        </w:rPr>
        <w:t xml:space="preserve">С друге стране, поред позитивних ефеката на животну средину и здравља људи, приликом успостављања и функцонисања система управљања муљем може доћи и до извесних негативних ефеката на животну средину уколико се не примене мере за смањење тих негативних утицаја. На пример, приликом изградње неопходне инфраструктуре може доћи до негативних утицаја на животну средину (утицај на пејзаж, утицај на природу, губитак површина локалног земљишта и смањење вредности некретнина услед недостатка удобности, као што је бука и </w:t>
      </w:r>
      <w:r w:rsidR="003965D4" w:rsidRPr="00E84C93">
        <w:rPr>
          <w:rFonts w:cs="Times New Roman"/>
          <w:noProof/>
          <w:szCs w:val="24"/>
          <w:lang w:val="sr-Cyrl-CS"/>
        </w:rPr>
        <w:t>непријатни мириси</w:t>
      </w:r>
      <w:r w:rsidRPr="00E84C93">
        <w:rPr>
          <w:rFonts w:cs="Times New Roman"/>
          <w:noProof/>
          <w:szCs w:val="24"/>
          <w:lang w:val="sr-Cyrl-CS"/>
        </w:rPr>
        <w:t>), негативних утицаја услед отварања локације за грађење (привремени ефекат) или повећана емисија СО</w:t>
      </w:r>
      <w:r w:rsidRPr="00E84C93">
        <w:rPr>
          <w:rFonts w:cs="Times New Roman"/>
          <w:noProof/>
          <w:szCs w:val="24"/>
          <w:vertAlign w:val="subscript"/>
          <w:lang w:val="sr-Cyrl-CS"/>
        </w:rPr>
        <w:t>2</w:t>
      </w:r>
      <w:r w:rsidRPr="00E84C93">
        <w:rPr>
          <w:rFonts w:cs="Times New Roman"/>
          <w:noProof/>
          <w:szCs w:val="24"/>
          <w:lang w:val="sr-Cyrl-CS"/>
        </w:rPr>
        <w:t xml:space="preserve"> услед изградње и функционисања постројења за третирање и одлагање муља. Такође, може доћи до повећања </w:t>
      </w:r>
      <w:r w:rsidRPr="00E84C93">
        <w:rPr>
          <w:lang w:val="sr-Cyrl-CS"/>
        </w:rPr>
        <w:t>емисије CO</w:t>
      </w:r>
      <w:r w:rsidRPr="00E84C93">
        <w:rPr>
          <w:vertAlign w:val="subscript"/>
          <w:lang w:val="sr-Cyrl-CS"/>
        </w:rPr>
        <w:t>2</w:t>
      </w:r>
      <w:r w:rsidRPr="00E84C93">
        <w:rPr>
          <w:lang w:val="sr-Cyrl-CS"/>
        </w:rPr>
        <w:t xml:space="preserve"> због транспорта муља из постројења за пречишћавање отпадних вода до локација за одлагање или третман.</w:t>
      </w:r>
    </w:p>
    <w:p w14:paraId="13C90240" w14:textId="77777777" w:rsidR="00A21A53" w:rsidRPr="00E84C93" w:rsidRDefault="00A21A53" w:rsidP="00600A81">
      <w:pPr>
        <w:spacing w:after="0"/>
        <w:ind w:firstLine="720"/>
        <w:jc w:val="both"/>
        <w:rPr>
          <w:rFonts w:cs="Times New Roman"/>
          <w:noProof/>
          <w:szCs w:val="24"/>
          <w:lang w:val="sr-Cyrl-CS"/>
        </w:rPr>
      </w:pPr>
    </w:p>
    <w:p w14:paraId="67A1BBD5" w14:textId="77777777" w:rsidR="00600A81" w:rsidRPr="00E84C93" w:rsidRDefault="00600A81" w:rsidP="00600A81">
      <w:pPr>
        <w:spacing w:after="0"/>
        <w:ind w:firstLine="720"/>
        <w:jc w:val="both"/>
        <w:rPr>
          <w:rFonts w:cs="Times New Roman"/>
          <w:b/>
          <w:bCs/>
          <w:noProof/>
          <w:szCs w:val="24"/>
          <w:lang w:val="sr-Cyrl-CS"/>
        </w:rPr>
      </w:pPr>
      <w:r w:rsidRPr="00E84C93">
        <w:rPr>
          <w:rFonts w:cs="Times New Roman"/>
          <w:b/>
          <w:bCs/>
          <w:noProof/>
          <w:szCs w:val="24"/>
          <w:lang w:val="sr-Cyrl-CS"/>
        </w:rPr>
        <w:t>Ефекти на друштво</w:t>
      </w:r>
    </w:p>
    <w:p w14:paraId="42AFDA95" w14:textId="6C33556D"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Примена овог Програма ће проузроковати грађанима додатне трошкове и користи. Користи се огледају пре свега у одређеним уштедама по основу чистије животне средине (мањи здравствени трошкови), као</w:t>
      </w:r>
      <w:r w:rsidR="0004479D" w:rsidRPr="00E84C93">
        <w:rPr>
          <w:rFonts w:cs="Times New Roman"/>
          <w:noProof/>
          <w:szCs w:val="24"/>
          <w:lang w:val="sr-Cyrl-CS"/>
        </w:rPr>
        <w:t xml:space="preserve"> и</w:t>
      </w:r>
      <w:r w:rsidRPr="00E84C93">
        <w:rPr>
          <w:rFonts w:cs="Times New Roman"/>
          <w:noProof/>
          <w:szCs w:val="24"/>
          <w:lang w:val="sr-Cyrl-CS"/>
        </w:rPr>
        <w:t xml:space="preserve"> повећавања вредности њихове имовине (земљишта, некретнина).</w:t>
      </w:r>
    </w:p>
    <w:p w14:paraId="6F6157CC" w14:textId="6F29A112"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lastRenderedPageBreak/>
        <w:t>Са друге стране, грађани ће се суочити са повећањем цена за услуге сакупља</w:t>
      </w:r>
      <w:r w:rsidR="002378E3" w:rsidRPr="00E84C93">
        <w:rPr>
          <w:rFonts w:cs="Times New Roman"/>
          <w:noProof/>
          <w:szCs w:val="24"/>
          <w:lang w:val="sr-Cyrl-CS"/>
        </w:rPr>
        <w:t>ња и третмана отпадних вода. У Т</w:t>
      </w:r>
      <w:r w:rsidRPr="00E84C93">
        <w:rPr>
          <w:rFonts w:cs="Times New Roman"/>
          <w:noProof/>
          <w:szCs w:val="24"/>
          <w:lang w:val="sr-Cyrl-CS"/>
        </w:rPr>
        <w:t xml:space="preserve">абели </w:t>
      </w:r>
      <w:r w:rsidR="002B01E5" w:rsidRPr="00E84C93">
        <w:rPr>
          <w:rFonts w:cs="Times New Roman"/>
          <w:noProof/>
          <w:szCs w:val="24"/>
          <w:lang w:val="sr-Cyrl-CS"/>
        </w:rPr>
        <w:t>7</w:t>
      </w:r>
      <w:r w:rsidRPr="00E84C93">
        <w:rPr>
          <w:rFonts w:cs="Times New Roman"/>
          <w:noProof/>
          <w:szCs w:val="24"/>
          <w:lang w:val="sr-Cyrl-CS"/>
        </w:rPr>
        <w:t>.</w:t>
      </w:r>
      <w:r w:rsidR="001A3E2E" w:rsidRPr="00E84C93">
        <w:rPr>
          <w:rFonts w:cs="Times New Roman"/>
          <w:noProof/>
          <w:szCs w:val="24"/>
          <w:lang w:val="sr-Cyrl-CS"/>
        </w:rPr>
        <w:t xml:space="preserve">8 </w:t>
      </w:r>
      <w:r w:rsidRPr="00E84C93">
        <w:rPr>
          <w:rFonts w:cs="Times New Roman"/>
          <w:noProof/>
          <w:szCs w:val="24"/>
          <w:lang w:val="sr-Cyrl-CS"/>
        </w:rPr>
        <w:t>приказани</w:t>
      </w:r>
      <w:r w:rsidR="0004479D" w:rsidRPr="00E84C93">
        <w:rPr>
          <w:rFonts w:cs="Times New Roman"/>
          <w:noProof/>
          <w:szCs w:val="24"/>
          <w:lang w:val="sr-Cyrl-CS"/>
        </w:rPr>
        <w:t xml:space="preserve"> су</w:t>
      </w:r>
      <w:r w:rsidRPr="00E84C93">
        <w:rPr>
          <w:rFonts w:cs="Times New Roman"/>
          <w:noProof/>
          <w:szCs w:val="24"/>
          <w:lang w:val="sr-Cyrl-CS"/>
        </w:rPr>
        <w:t xml:space="preserve"> просечни коефицијенти приуштивости услуга снабдевања пијаћом водом, сакупљања и третмана отпадних вода и третмана муља. Ови коефицијенти представљају учешће издатака домаћинстава за наведене услуге у њиховом укупном дохотку. Према стандардима Европске уније, коефицијент приуштивости за ове услуге не би требало да пређе 3,0%.</w:t>
      </w:r>
    </w:p>
    <w:p w14:paraId="04722CDE" w14:textId="77777777" w:rsidR="00600A81" w:rsidRPr="00E84C93" w:rsidRDefault="00600A81" w:rsidP="00600A81">
      <w:pPr>
        <w:spacing w:after="0"/>
        <w:jc w:val="both"/>
        <w:rPr>
          <w:rFonts w:cs="Times New Roman"/>
          <w:b/>
          <w:bCs/>
          <w:szCs w:val="24"/>
          <w:lang w:val="sr-Cyrl-CS"/>
        </w:rPr>
      </w:pPr>
    </w:p>
    <w:p w14:paraId="2B2FE896" w14:textId="21C553AE" w:rsidR="00600A81" w:rsidRPr="00E84C93" w:rsidRDefault="00600A81" w:rsidP="00600A81">
      <w:pPr>
        <w:spacing w:after="0"/>
        <w:jc w:val="both"/>
        <w:rPr>
          <w:rFonts w:cs="Times New Roman"/>
          <w:szCs w:val="24"/>
          <w:lang w:val="sr-Cyrl-CS"/>
        </w:rPr>
      </w:pPr>
      <w:r w:rsidRPr="00E84C93">
        <w:rPr>
          <w:rFonts w:cs="Times New Roman"/>
          <w:b/>
          <w:bCs/>
          <w:szCs w:val="24"/>
          <w:lang w:val="sr-Cyrl-CS"/>
        </w:rPr>
        <w:t xml:space="preserve">Табела </w:t>
      </w:r>
      <w:r w:rsidR="00AA2A9D" w:rsidRPr="00E84C93">
        <w:rPr>
          <w:rFonts w:cs="Times New Roman"/>
          <w:b/>
          <w:bCs/>
          <w:szCs w:val="24"/>
          <w:lang w:val="sr-Cyrl-CS"/>
        </w:rPr>
        <w:t>7</w:t>
      </w:r>
      <w:r w:rsidRPr="00E84C93">
        <w:rPr>
          <w:rFonts w:cs="Times New Roman"/>
          <w:b/>
          <w:bCs/>
          <w:szCs w:val="24"/>
          <w:lang w:val="sr-Cyrl-CS"/>
        </w:rPr>
        <w:t>.</w:t>
      </w:r>
      <w:r w:rsidR="001A3E2E" w:rsidRPr="00E84C93">
        <w:rPr>
          <w:rFonts w:cs="Times New Roman"/>
          <w:b/>
          <w:bCs/>
          <w:szCs w:val="24"/>
          <w:lang w:val="sr-Cyrl-CS"/>
        </w:rPr>
        <w:t>8</w:t>
      </w:r>
      <w:r w:rsidRPr="00E84C93">
        <w:rPr>
          <w:rFonts w:cs="Times New Roman"/>
          <w:b/>
          <w:bCs/>
          <w:szCs w:val="24"/>
          <w:lang w:val="sr-Cyrl-CS"/>
        </w:rPr>
        <w:t xml:space="preserve">. </w:t>
      </w:r>
      <w:r w:rsidRPr="00E84C93">
        <w:rPr>
          <w:rFonts w:cs="Times New Roman"/>
          <w:szCs w:val="24"/>
          <w:lang w:val="sr-Cyrl-CS"/>
        </w:rPr>
        <w:t>Просечни</w:t>
      </w:r>
      <w:r w:rsidRPr="00E84C93">
        <w:rPr>
          <w:rFonts w:cs="Times New Roman"/>
          <w:b/>
          <w:bCs/>
          <w:szCs w:val="24"/>
          <w:lang w:val="sr-Cyrl-CS"/>
        </w:rPr>
        <w:t xml:space="preserve"> </w:t>
      </w:r>
      <w:r w:rsidR="00E84C93">
        <w:rPr>
          <w:rFonts w:cs="Times New Roman"/>
          <w:szCs w:val="24"/>
          <w:lang w:val="sr-Cyrl-CS"/>
        </w:rPr>
        <w:t>к</w:t>
      </w:r>
      <w:r w:rsidRPr="00E84C93">
        <w:rPr>
          <w:rFonts w:cs="Times New Roman"/>
          <w:szCs w:val="24"/>
          <w:lang w:val="sr-Cyrl-CS"/>
        </w:rPr>
        <w:t>о</w:t>
      </w:r>
      <w:r w:rsidR="00E84C93">
        <w:rPr>
          <w:rFonts w:cs="Times New Roman"/>
          <w:szCs w:val="24"/>
          <w:lang w:val="sr-Cyrl-CS"/>
        </w:rPr>
        <w:t>е</w:t>
      </w:r>
      <w:r w:rsidRPr="00E84C93">
        <w:rPr>
          <w:rFonts w:cs="Times New Roman"/>
          <w:szCs w:val="24"/>
          <w:lang w:val="sr-Cyrl-CS"/>
        </w:rPr>
        <w:t xml:space="preserve">фицијенти приуштивости комуналних услуга </w:t>
      </w:r>
      <w:r w:rsidR="00A60296" w:rsidRPr="00E84C93">
        <w:rPr>
          <w:rFonts w:cs="Times New Roman"/>
          <w:szCs w:val="24"/>
          <w:lang w:val="sr-Cyrl-CS"/>
        </w:rPr>
        <w:t>коришћења</w:t>
      </w:r>
      <w:r w:rsidRPr="00E84C93">
        <w:rPr>
          <w:rFonts w:cs="Times New Roman"/>
          <w:szCs w:val="24"/>
          <w:lang w:val="sr-Cyrl-CS"/>
        </w:rPr>
        <w:t xml:space="preserve"> вода </w:t>
      </w:r>
      <w:r w:rsidR="00A60296" w:rsidRPr="00E84C93">
        <w:rPr>
          <w:rFonts w:cs="Times New Roman"/>
          <w:szCs w:val="24"/>
          <w:lang w:val="sr-Cyrl-CS"/>
        </w:rPr>
        <w:t>за</w:t>
      </w:r>
      <w:r w:rsidRPr="00E84C93">
        <w:rPr>
          <w:rFonts w:cs="Times New Roman"/>
          <w:szCs w:val="24"/>
          <w:lang w:val="sr-Cyrl-CS"/>
        </w:rPr>
        <w:t xml:space="preserve"> домаћинства у периоду спровођења Програма (%)</w:t>
      </w:r>
    </w:p>
    <w:p w14:paraId="5F4DC0FF" w14:textId="77777777" w:rsidR="00600A81" w:rsidRPr="00E84C93" w:rsidRDefault="00600A81" w:rsidP="00600A81">
      <w:pPr>
        <w:spacing w:after="0"/>
        <w:jc w:val="both"/>
        <w:rPr>
          <w:rFonts w:cs="Times New Roman"/>
          <w:szCs w:val="24"/>
          <w:lang w:val="sr-Cyrl-CS"/>
        </w:rPr>
      </w:pP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309"/>
        <w:gridCol w:w="566"/>
        <w:gridCol w:w="648"/>
        <w:gridCol w:w="648"/>
        <w:gridCol w:w="648"/>
        <w:gridCol w:w="648"/>
        <w:gridCol w:w="648"/>
        <w:gridCol w:w="648"/>
        <w:gridCol w:w="648"/>
        <w:gridCol w:w="648"/>
        <w:gridCol w:w="648"/>
        <w:gridCol w:w="648"/>
      </w:tblGrid>
      <w:tr w:rsidR="00600A81" w:rsidRPr="00E84C93" w14:paraId="44994E9D" w14:textId="77777777" w:rsidTr="008C3BC9">
        <w:trPr>
          <w:trHeight w:val="215"/>
        </w:trPr>
        <w:tc>
          <w:tcPr>
            <w:tcW w:w="2309" w:type="dxa"/>
            <w:shd w:val="clear" w:color="auto" w:fill="9CC2E5" w:themeFill="accent1" w:themeFillTint="99"/>
            <w:vAlign w:val="center"/>
          </w:tcPr>
          <w:p w14:paraId="44F1EDFF" w14:textId="77777777"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rPr>
              <w:t>Регион/округ</w:t>
            </w:r>
          </w:p>
        </w:tc>
        <w:tc>
          <w:tcPr>
            <w:tcW w:w="566" w:type="dxa"/>
            <w:shd w:val="clear" w:color="auto" w:fill="9CC2E5" w:themeFill="accent1" w:themeFillTint="99"/>
            <w:vAlign w:val="center"/>
            <w:hideMark/>
          </w:tcPr>
          <w:p w14:paraId="1044370A" w14:textId="53BC7E29"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2021</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24004796" w14:textId="0140CC3B"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2022</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39C70DE0" w14:textId="2DE7A50A"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2023</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246C0FB0" w14:textId="2AB32D8D"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2024</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60A28716" w14:textId="36E7530D"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2025</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56254104" w14:textId="6369ED3A"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2026</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6E3C111D" w14:textId="71BEC7F2"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2027</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11697D80" w14:textId="3F09951C"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2028</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170043A3" w14:textId="6DAA394C"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2029</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002F772C" w14:textId="3665088E"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2030</w:t>
            </w:r>
            <w:r w:rsidR="00643C4C" w:rsidRPr="00E84C93">
              <w:rPr>
                <w:rFonts w:eastAsia="Times New Roman" w:cs="Times New Roman"/>
                <w:b/>
                <w:bCs/>
                <w:sz w:val="16"/>
                <w:szCs w:val="16"/>
                <w:lang w:val="sr-Cyrl-CS" w:eastAsia="sr-Latn-RS"/>
              </w:rPr>
              <w:t>.</w:t>
            </w:r>
          </w:p>
        </w:tc>
        <w:tc>
          <w:tcPr>
            <w:tcW w:w="648" w:type="dxa"/>
            <w:shd w:val="clear" w:color="auto" w:fill="9CC2E5" w:themeFill="accent1" w:themeFillTint="99"/>
            <w:vAlign w:val="center"/>
            <w:hideMark/>
          </w:tcPr>
          <w:p w14:paraId="37FB73E1" w14:textId="5D05F172" w:rsidR="00600A81" w:rsidRPr="00E84C93" w:rsidRDefault="00600A81" w:rsidP="008C3BC9">
            <w:pPr>
              <w:spacing w:after="0"/>
              <w:jc w:val="center"/>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2031</w:t>
            </w:r>
            <w:r w:rsidR="00643C4C" w:rsidRPr="00E84C93">
              <w:rPr>
                <w:rFonts w:eastAsia="Times New Roman" w:cs="Times New Roman"/>
                <w:b/>
                <w:bCs/>
                <w:sz w:val="16"/>
                <w:szCs w:val="16"/>
                <w:lang w:val="sr-Cyrl-CS" w:eastAsia="sr-Latn-RS"/>
              </w:rPr>
              <w:t>.</w:t>
            </w:r>
          </w:p>
        </w:tc>
      </w:tr>
      <w:tr w:rsidR="00600A81" w:rsidRPr="00E84C93" w14:paraId="2C50FF73" w14:textId="77777777" w:rsidTr="008C3BC9">
        <w:trPr>
          <w:trHeight w:val="243"/>
        </w:trPr>
        <w:tc>
          <w:tcPr>
            <w:tcW w:w="2309" w:type="dxa"/>
            <w:shd w:val="clear" w:color="auto" w:fill="auto"/>
            <w:vAlign w:val="center"/>
          </w:tcPr>
          <w:p w14:paraId="4869B706"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СРБИЈА</w:t>
            </w:r>
          </w:p>
        </w:tc>
        <w:tc>
          <w:tcPr>
            <w:tcW w:w="566" w:type="dxa"/>
            <w:shd w:val="clear" w:color="auto" w:fill="auto"/>
            <w:noWrap/>
            <w:vAlign w:val="center"/>
            <w:hideMark/>
          </w:tcPr>
          <w:p w14:paraId="1A9F40CA"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2,04%</w:t>
            </w:r>
          </w:p>
        </w:tc>
        <w:tc>
          <w:tcPr>
            <w:tcW w:w="648" w:type="dxa"/>
            <w:shd w:val="clear" w:color="auto" w:fill="auto"/>
            <w:noWrap/>
            <w:vAlign w:val="center"/>
            <w:hideMark/>
          </w:tcPr>
          <w:p w14:paraId="6A855687"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w:t>
            </w:r>
          </w:p>
        </w:tc>
        <w:tc>
          <w:tcPr>
            <w:tcW w:w="648" w:type="dxa"/>
            <w:shd w:val="clear" w:color="auto" w:fill="auto"/>
            <w:noWrap/>
            <w:vAlign w:val="center"/>
            <w:hideMark/>
          </w:tcPr>
          <w:p w14:paraId="18556E6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2,01%</w:t>
            </w:r>
          </w:p>
        </w:tc>
        <w:tc>
          <w:tcPr>
            <w:tcW w:w="648" w:type="dxa"/>
            <w:shd w:val="clear" w:color="auto" w:fill="auto"/>
            <w:noWrap/>
            <w:vAlign w:val="center"/>
            <w:hideMark/>
          </w:tcPr>
          <w:p w14:paraId="20786A5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2,11%</w:t>
            </w:r>
          </w:p>
        </w:tc>
        <w:tc>
          <w:tcPr>
            <w:tcW w:w="648" w:type="dxa"/>
            <w:shd w:val="clear" w:color="auto" w:fill="auto"/>
            <w:noWrap/>
            <w:vAlign w:val="center"/>
            <w:hideMark/>
          </w:tcPr>
          <w:p w14:paraId="4693483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2,20%</w:t>
            </w:r>
          </w:p>
        </w:tc>
        <w:tc>
          <w:tcPr>
            <w:tcW w:w="648" w:type="dxa"/>
            <w:shd w:val="clear" w:color="auto" w:fill="auto"/>
            <w:noWrap/>
            <w:vAlign w:val="center"/>
            <w:hideMark/>
          </w:tcPr>
          <w:p w14:paraId="1B45646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2,29%</w:t>
            </w:r>
          </w:p>
        </w:tc>
        <w:tc>
          <w:tcPr>
            <w:tcW w:w="648" w:type="dxa"/>
            <w:shd w:val="clear" w:color="auto" w:fill="auto"/>
            <w:noWrap/>
            <w:vAlign w:val="center"/>
            <w:hideMark/>
          </w:tcPr>
          <w:p w14:paraId="502AA7A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2,32%</w:t>
            </w:r>
          </w:p>
        </w:tc>
        <w:tc>
          <w:tcPr>
            <w:tcW w:w="648" w:type="dxa"/>
            <w:shd w:val="clear" w:color="auto" w:fill="auto"/>
            <w:noWrap/>
            <w:vAlign w:val="center"/>
            <w:hideMark/>
          </w:tcPr>
          <w:p w14:paraId="0F6D92E6"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2,39%</w:t>
            </w:r>
          </w:p>
        </w:tc>
        <w:tc>
          <w:tcPr>
            <w:tcW w:w="648" w:type="dxa"/>
            <w:shd w:val="clear" w:color="auto" w:fill="auto"/>
            <w:noWrap/>
            <w:vAlign w:val="center"/>
            <w:hideMark/>
          </w:tcPr>
          <w:p w14:paraId="79A9390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2,45%</w:t>
            </w:r>
          </w:p>
        </w:tc>
        <w:tc>
          <w:tcPr>
            <w:tcW w:w="648" w:type="dxa"/>
            <w:shd w:val="clear" w:color="auto" w:fill="auto"/>
            <w:noWrap/>
            <w:vAlign w:val="center"/>
            <w:hideMark/>
          </w:tcPr>
          <w:p w14:paraId="6BFC9EB9"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2,55%</w:t>
            </w:r>
          </w:p>
        </w:tc>
        <w:tc>
          <w:tcPr>
            <w:tcW w:w="648" w:type="dxa"/>
            <w:shd w:val="clear" w:color="auto" w:fill="auto"/>
            <w:noWrap/>
            <w:vAlign w:val="center"/>
            <w:hideMark/>
          </w:tcPr>
          <w:p w14:paraId="5562046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2,68%</w:t>
            </w:r>
          </w:p>
        </w:tc>
      </w:tr>
      <w:tr w:rsidR="00600A81" w:rsidRPr="00E84C93" w14:paraId="01D33464" w14:textId="77777777" w:rsidTr="008C3BC9">
        <w:trPr>
          <w:trHeight w:val="243"/>
        </w:trPr>
        <w:tc>
          <w:tcPr>
            <w:tcW w:w="2309" w:type="dxa"/>
            <w:shd w:val="clear" w:color="auto" w:fill="auto"/>
            <w:vAlign w:val="center"/>
          </w:tcPr>
          <w:p w14:paraId="3A64B28C"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СРБИЈА – СЕВЕР</w:t>
            </w:r>
          </w:p>
        </w:tc>
        <w:tc>
          <w:tcPr>
            <w:tcW w:w="566" w:type="dxa"/>
            <w:shd w:val="clear" w:color="auto" w:fill="auto"/>
            <w:noWrap/>
            <w:vAlign w:val="center"/>
            <w:hideMark/>
          </w:tcPr>
          <w:p w14:paraId="4422818C"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1,85%</w:t>
            </w:r>
          </w:p>
        </w:tc>
        <w:tc>
          <w:tcPr>
            <w:tcW w:w="648" w:type="dxa"/>
            <w:shd w:val="clear" w:color="auto" w:fill="auto"/>
            <w:noWrap/>
            <w:vAlign w:val="center"/>
            <w:hideMark/>
          </w:tcPr>
          <w:p w14:paraId="7AD0A5C8"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1,83%</w:t>
            </w:r>
          </w:p>
        </w:tc>
        <w:tc>
          <w:tcPr>
            <w:tcW w:w="648" w:type="dxa"/>
            <w:shd w:val="clear" w:color="auto" w:fill="auto"/>
            <w:noWrap/>
            <w:vAlign w:val="center"/>
            <w:hideMark/>
          </w:tcPr>
          <w:p w14:paraId="3174E643"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1,81%</w:t>
            </w:r>
          </w:p>
        </w:tc>
        <w:tc>
          <w:tcPr>
            <w:tcW w:w="648" w:type="dxa"/>
            <w:shd w:val="clear" w:color="auto" w:fill="auto"/>
            <w:noWrap/>
            <w:vAlign w:val="center"/>
            <w:hideMark/>
          </w:tcPr>
          <w:p w14:paraId="6CB274E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1,87%</w:t>
            </w:r>
          </w:p>
        </w:tc>
        <w:tc>
          <w:tcPr>
            <w:tcW w:w="648" w:type="dxa"/>
            <w:shd w:val="clear" w:color="auto" w:fill="auto"/>
            <w:noWrap/>
            <w:vAlign w:val="center"/>
            <w:hideMark/>
          </w:tcPr>
          <w:p w14:paraId="153A9BB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1,91%</w:t>
            </w:r>
          </w:p>
        </w:tc>
        <w:tc>
          <w:tcPr>
            <w:tcW w:w="648" w:type="dxa"/>
            <w:shd w:val="clear" w:color="auto" w:fill="auto"/>
            <w:noWrap/>
            <w:vAlign w:val="center"/>
            <w:hideMark/>
          </w:tcPr>
          <w:p w14:paraId="04750D3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1,98%</w:t>
            </w:r>
          </w:p>
        </w:tc>
        <w:tc>
          <w:tcPr>
            <w:tcW w:w="648" w:type="dxa"/>
            <w:shd w:val="clear" w:color="auto" w:fill="auto"/>
            <w:noWrap/>
            <w:vAlign w:val="center"/>
            <w:hideMark/>
          </w:tcPr>
          <w:p w14:paraId="19886D8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2,02%</w:t>
            </w:r>
          </w:p>
        </w:tc>
        <w:tc>
          <w:tcPr>
            <w:tcW w:w="648" w:type="dxa"/>
            <w:shd w:val="clear" w:color="auto" w:fill="auto"/>
            <w:noWrap/>
            <w:vAlign w:val="center"/>
            <w:hideMark/>
          </w:tcPr>
          <w:p w14:paraId="21DF255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2,10%</w:t>
            </w:r>
          </w:p>
        </w:tc>
        <w:tc>
          <w:tcPr>
            <w:tcW w:w="648" w:type="dxa"/>
            <w:shd w:val="clear" w:color="auto" w:fill="auto"/>
            <w:noWrap/>
            <w:vAlign w:val="center"/>
            <w:hideMark/>
          </w:tcPr>
          <w:p w14:paraId="08A77AA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2,17%</w:t>
            </w:r>
          </w:p>
        </w:tc>
        <w:tc>
          <w:tcPr>
            <w:tcW w:w="648" w:type="dxa"/>
            <w:shd w:val="clear" w:color="auto" w:fill="auto"/>
            <w:noWrap/>
            <w:vAlign w:val="center"/>
            <w:hideMark/>
          </w:tcPr>
          <w:p w14:paraId="1C18430A"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2,28%</w:t>
            </w:r>
          </w:p>
        </w:tc>
        <w:tc>
          <w:tcPr>
            <w:tcW w:w="648" w:type="dxa"/>
            <w:shd w:val="clear" w:color="auto" w:fill="auto"/>
            <w:noWrap/>
            <w:vAlign w:val="center"/>
            <w:hideMark/>
          </w:tcPr>
          <w:p w14:paraId="69D09439"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2,36%</w:t>
            </w:r>
          </w:p>
        </w:tc>
      </w:tr>
      <w:tr w:rsidR="00600A81" w:rsidRPr="00E84C93" w14:paraId="31D78801" w14:textId="77777777" w:rsidTr="008C3BC9">
        <w:trPr>
          <w:trHeight w:val="243"/>
        </w:trPr>
        <w:tc>
          <w:tcPr>
            <w:tcW w:w="2309" w:type="dxa"/>
            <w:shd w:val="clear" w:color="auto" w:fill="auto"/>
            <w:vAlign w:val="center"/>
          </w:tcPr>
          <w:p w14:paraId="1E8D801A"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Београдски регион</w:t>
            </w:r>
          </w:p>
        </w:tc>
        <w:tc>
          <w:tcPr>
            <w:tcW w:w="566" w:type="dxa"/>
            <w:shd w:val="clear" w:color="auto" w:fill="auto"/>
            <w:noWrap/>
            <w:vAlign w:val="center"/>
            <w:hideMark/>
          </w:tcPr>
          <w:p w14:paraId="35781986"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1,53%</w:t>
            </w:r>
          </w:p>
        </w:tc>
        <w:tc>
          <w:tcPr>
            <w:tcW w:w="648" w:type="dxa"/>
            <w:shd w:val="clear" w:color="auto" w:fill="auto"/>
            <w:noWrap/>
            <w:vAlign w:val="center"/>
            <w:hideMark/>
          </w:tcPr>
          <w:p w14:paraId="5B77FD6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1,52%</w:t>
            </w:r>
          </w:p>
        </w:tc>
        <w:tc>
          <w:tcPr>
            <w:tcW w:w="648" w:type="dxa"/>
            <w:shd w:val="clear" w:color="auto" w:fill="auto"/>
            <w:noWrap/>
            <w:vAlign w:val="center"/>
            <w:hideMark/>
          </w:tcPr>
          <w:p w14:paraId="25402198"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1,50%</w:t>
            </w:r>
          </w:p>
        </w:tc>
        <w:tc>
          <w:tcPr>
            <w:tcW w:w="648" w:type="dxa"/>
            <w:shd w:val="clear" w:color="auto" w:fill="auto"/>
            <w:noWrap/>
            <w:vAlign w:val="center"/>
            <w:hideMark/>
          </w:tcPr>
          <w:p w14:paraId="28559644"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1,53%</w:t>
            </w:r>
          </w:p>
        </w:tc>
        <w:tc>
          <w:tcPr>
            <w:tcW w:w="648" w:type="dxa"/>
            <w:shd w:val="clear" w:color="auto" w:fill="auto"/>
            <w:noWrap/>
            <w:vAlign w:val="center"/>
            <w:hideMark/>
          </w:tcPr>
          <w:p w14:paraId="7672849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1,56%</w:t>
            </w:r>
          </w:p>
        </w:tc>
        <w:tc>
          <w:tcPr>
            <w:tcW w:w="648" w:type="dxa"/>
            <w:shd w:val="clear" w:color="auto" w:fill="auto"/>
            <w:noWrap/>
            <w:vAlign w:val="center"/>
            <w:hideMark/>
          </w:tcPr>
          <w:p w14:paraId="2254B506"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1,63%</w:t>
            </w:r>
          </w:p>
        </w:tc>
        <w:tc>
          <w:tcPr>
            <w:tcW w:w="648" w:type="dxa"/>
            <w:shd w:val="clear" w:color="auto" w:fill="auto"/>
            <w:noWrap/>
            <w:vAlign w:val="center"/>
            <w:hideMark/>
          </w:tcPr>
          <w:p w14:paraId="26B174E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1,69%</w:t>
            </w:r>
          </w:p>
        </w:tc>
        <w:tc>
          <w:tcPr>
            <w:tcW w:w="648" w:type="dxa"/>
            <w:shd w:val="clear" w:color="auto" w:fill="auto"/>
            <w:noWrap/>
            <w:vAlign w:val="center"/>
            <w:hideMark/>
          </w:tcPr>
          <w:p w14:paraId="00DDC37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1,77%</w:t>
            </w:r>
          </w:p>
        </w:tc>
        <w:tc>
          <w:tcPr>
            <w:tcW w:w="648" w:type="dxa"/>
            <w:shd w:val="clear" w:color="auto" w:fill="auto"/>
            <w:noWrap/>
            <w:vAlign w:val="center"/>
            <w:hideMark/>
          </w:tcPr>
          <w:p w14:paraId="569F8883"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1,84%</w:t>
            </w:r>
          </w:p>
        </w:tc>
        <w:tc>
          <w:tcPr>
            <w:tcW w:w="648" w:type="dxa"/>
            <w:shd w:val="clear" w:color="auto" w:fill="auto"/>
            <w:noWrap/>
            <w:vAlign w:val="center"/>
            <w:hideMark/>
          </w:tcPr>
          <w:p w14:paraId="4144E7DA"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1,96%</w:t>
            </w:r>
          </w:p>
        </w:tc>
        <w:tc>
          <w:tcPr>
            <w:tcW w:w="648" w:type="dxa"/>
            <w:shd w:val="clear" w:color="auto" w:fill="auto"/>
            <w:noWrap/>
            <w:vAlign w:val="center"/>
            <w:hideMark/>
          </w:tcPr>
          <w:p w14:paraId="0B7F6878"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2,00%</w:t>
            </w:r>
          </w:p>
        </w:tc>
      </w:tr>
      <w:tr w:rsidR="00600A81" w:rsidRPr="00E84C93" w14:paraId="49340F84" w14:textId="77777777" w:rsidTr="008C3BC9">
        <w:trPr>
          <w:trHeight w:val="243"/>
        </w:trPr>
        <w:tc>
          <w:tcPr>
            <w:tcW w:w="2309" w:type="dxa"/>
            <w:shd w:val="clear" w:color="auto" w:fill="auto"/>
            <w:vAlign w:val="center"/>
          </w:tcPr>
          <w:p w14:paraId="348961FC"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Београдски округ</w:t>
            </w:r>
          </w:p>
        </w:tc>
        <w:tc>
          <w:tcPr>
            <w:tcW w:w="566" w:type="dxa"/>
            <w:shd w:val="clear" w:color="auto" w:fill="auto"/>
            <w:noWrap/>
            <w:vAlign w:val="center"/>
            <w:hideMark/>
          </w:tcPr>
          <w:p w14:paraId="1580CF4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1,53%</w:t>
            </w:r>
          </w:p>
        </w:tc>
        <w:tc>
          <w:tcPr>
            <w:tcW w:w="648" w:type="dxa"/>
            <w:shd w:val="clear" w:color="auto" w:fill="auto"/>
            <w:noWrap/>
            <w:vAlign w:val="center"/>
            <w:hideMark/>
          </w:tcPr>
          <w:p w14:paraId="099D6CC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1,52%</w:t>
            </w:r>
          </w:p>
        </w:tc>
        <w:tc>
          <w:tcPr>
            <w:tcW w:w="648" w:type="dxa"/>
            <w:shd w:val="clear" w:color="auto" w:fill="auto"/>
            <w:noWrap/>
            <w:vAlign w:val="center"/>
            <w:hideMark/>
          </w:tcPr>
          <w:p w14:paraId="7762E3C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1,50%</w:t>
            </w:r>
          </w:p>
        </w:tc>
        <w:tc>
          <w:tcPr>
            <w:tcW w:w="648" w:type="dxa"/>
            <w:shd w:val="clear" w:color="auto" w:fill="auto"/>
            <w:noWrap/>
            <w:vAlign w:val="center"/>
            <w:hideMark/>
          </w:tcPr>
          <w:p w14:paraId="27C9798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1,53%</w:t>
            </w:r>
          </w:p>
        </w:tc>
        <w:tc>
          <w:tcPr>
            <w:tcW w:w="648" w:type="dxa"/>
            <w:shd w:val="clear" w:color="auto" w:fill="auto"/>
            <w:noWrap/>
            <w:vAlign w:val="center"/>
            <w:hideMark/>
          </w:tcPr>
          <w:p w14:paraId="7747EBE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1,56%</w:t>
            </w:r>
          </w:p>
        </w:tc>
        <w:tc>
          <w:tcPr>
            <w:tcW w:w="648" w:type="dxa"/>
            <w:shd w:val="clear" w:color="auto" w:fill="auto"/>
            <w:noWrap/>
            <w:vAlign w:val="center"/>
            <w:hideMark/>
          </w:tcPr>
          <w:p w14:paraId="1D32288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1,63%</w:t>
            </w:r>
          </w:p>
        </w:tc>
        <w:tc>
          <w:tcPr>
            <w:tcW w:w="648" w:type="dxa"/>
            <w:shd w:val="clear" w:color="auto" w:fill="auto"/>
            <w:noWrap/>
            <w:vAlign w:val="center"/>
            <w:hideMark/>
          </w:tcPr>
          <w:p w14:paraId="2848B53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1,69%</w:t>
            </w:r>
          </w:p>
        </w:tc>
        <w:tc>
          <w:tcPr>
            <w:tcW w:w="648" w:type="dxa"/>
            <w:shd w:val="clear" w:color="auto" w:fill="auto"/>
            <w:noWrap/>
            <w:vAlign w:val="center"/>
            <w:hideMark/>
          </w:tcPr>
          <w:p w14:paraId="085C6BA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1,77%</w:t>
            </w:r>
          </w:p>
        </w:tc>
        <w:tc>
          <w:tcPr>
            <w:tcW w:w="648" w:type="dxa"/>
            <w:shd w:val="clear" w:color="auto" w:fill="auto"/>
            <w:noWrap/>
            <w:vAlign w:val="center"/>
            <w:hideMark/>
          </w:tcPr>
          <w:p w14:paraId="5C9A9E6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1,84%</w:t>
            </w:r>
          </w:p>
        </w:tc>
        <w:tc>
          <w:tcPr>
            <w:tcW w:w="648" w:type="dxa"/>
            <w:shd w:val="clear" w:color="auto" w:fill="auto"/>
            <w:noWrap/>
            <w:vAlign w:val="center"/>
            <w:hideMark/>
          </w:tcPr>
          <w:p w14:paraId="32BB291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1,96%</w:t>
            </w:r>
          </w:p>
        </w:tc>
        <w:tc>
          <w:tcPr>
            <w:tcW w:w="648" w:type="dxa"/>
            <w:shd w:val="clear" w:color="auto" w:fill="auto"/>
            <w:noWrap/>
            <w:vAlign w:val="center"/>
            <w:hideMark/>
          </w:tcPr>
          <w:p w14:paraId="5123104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2,00%</w:t>
            </w:r>
          </w:p>
        </w:tc>
      </w:tr>
      <w:tr w:rsidR="00600A81" w:rsidRPr="00E84C93" w14:paraId="48C94704" w14:textId="77777777" w:rsidTr="008C3BC9">
        <w:trPr>
          <w:trHeight w:val="243"/>
        </w:trPr>
        <w:tc>
          <w:tcPr>
            <w:tcW w:w="2309" w:type="dxa"/>
            <w:shd w:val="clear" w:color="auto" w:fill="auto"/>
            <w:vAlign w:val="center"/>
          </w:tcPr>
          <w:p w14:paraId="6D441CBB"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Регион Војводина</w:t>
            </w:r>
          </w:p>
        </w:tc>
        <w:tc>
          <w:tcPr>
            <w:tcW w:w="566" w:type="dxa"/>
            <w:shd w:val="clear" w:color="auto" w:fill="auto"/>
            <w:noWrap/>
            <w:vAlign w:val="center"/>
            <w:hideMark/>
          </w:tcPr>
          <w:p w14:paraId="690F33B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2,33%</w:t>
            </w:r>
          </w:p>
        </w:tc>
        <w:tc>
          <w:tcPr>
            <w:tcW w:w="648" w:type="dxa"/>
            <w:shd w:val="clear" w:color="auto" w:fill="auto"/>
            <w:noWrap/>
            <w:vAlign w:val="center"/>
            <w:hideMark/>
          </w:tcPr>
          <w:p w14:paraId="073F97AD"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2,31%</w:t>
            </w:r>
          </w:p>
        </w:tc>
        <w:tc>
          <w:tcPr>
            <w:tcW w:w="648" w:type="dxa"/>
            <w:shd w:val="clear" w:color="auto" w:fill="auto"/>
            <w:noWrap/>
            <w:vAlign w:val="center"/>
            <w:hideMark/>
          </w:tcPr>
          <w:p w14:paraId="2DAA710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2,29%</w:t>
            </w:r>
          </w:p>
        </w:tc>
        <w:tc>
          <w:tcPr>
            <w:tcW w:w="648" w:type="dxa"/>
            <w:shd w:val="clear" w:color="auto" w:fill="auto"/>
            <w:noWrap/>
            <w:vAlign w:val="center"/>
            <w:hideMark/>
          </w:tcPr>
          <w:p w14:paraId="7EC0228A"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2,40%</w:t>
            </w:r>
          </w:p>
        </w:tc>
        <w:tc>
          <w:tcPr>
            <w:tcW w:w="648" w:type="dxa"/>
            <w:shd w:val="clear" w:color="auto" w:fill="auto"/>
            <w:noWrap/>
            <w:vAlign w:val="center"/>
            <w:hideMark/>
          </w:tcPr>
          <w:p w14:paraId="2BF9FD06"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2,45%</w:t>
            </w:r>
          </w:p>
        </w:tc>
        <w:tc>
          <w:tcPr>
            <w:tcW w:w="648" w:type="dxa"/>
            <w:shd w:val="clear" w:color="auto" w:fill="auto"/>
            <w:noWrap/>
            <w:vAlign w:val="center"/>
            <w:hideMark/>
          </w:tcPr>
          <w:p w14:paraId="306C907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2,50%</w:t>
            </w:r>
          </w:p>
        </w:tc>
        <w:tc>
          <w:tcPr>
            <w:tcW w:w="648" w:type="dxa"/>
            <w:shd w:val="clear" w:color="auto" w:fill="auto"/>
            <w:noWrap/>
            <w:vAlign w:val="center"/>
            <w:hideMark/>
          </w:tcPr>
          <w:p w14:paraId="4FEE20E8"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2,52%</w:t>
            </w:r>
          </w:p>
        </w:tc>
        <w:tc>
          <w:tcPr>
            <w:tcW w:w="648" w:type="dxa"/>
            <w:shd w:val="clear" w:color="auto" w:fill="auto"/>
            <w:noWrap/>
            <w:vAlign w:val="center"/>
            <w:hideMark/>
          </w:tcPr>
          <w:p w14:paraId="7D7146A9"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2,58%</w:t>
            </w:r>
          </w:p>
        </w:tc>
        <w:tc>
          <w:tcPr>
            <w:tcW w:w="648" w:type="dxa"/>
            <w:shd w:val="clear" w:color="auto" w:fill="auto"/>
            <w:noWrap/>
            <w:vAlign w:val="center"/>
            <w:hideMark/>
          </w:tcPr>
          <w:p w14:paraId="7DB0AE3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2,63%</w:t>
            </w:r>
          </w:p>
        </w:tc>
        <w:tc>
          <w:tcPr>
            <w:tcW w:w="648" w:type="dxa"/>
            <w:shd w:val="clear" w:color="auto" w:fill="auto"/>
            <w:noWrap/>
            <w:vAlign w:val="center"/>
            <w:hideMark/>
          </w:tcPr>
          <w:p w14:paraId="7E175DB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2,72%</w:t>
            </w:r>
          </w:p>
        </w:tc>
        <w:tc>
          <w:tcPr>
            <w:tcW w:w="648" w:type="dxa"/>
            <w:shd w:val="clear" w:color="auto" w:fill="auto"/>
            <w:noWrap/>
            <w:vAlign w:val="center"/>
            <w:hideMark/>
          </w:tcPr>
          <w:p w14:paraId="6174616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2,88%</w:t>
            </w:r>
          </w:p>
        </w:tc>
      </w:tr>
      <w:tr w:rsidR="00600A81" w:rsidRPr="00E84C93" w14:paraId="1187E7A1" w14:textId="77777777" w:rsidTr="008C3BC9">
        <w:trPr>
          <w:trHeight w:val="243"/>
        </w:trPr>
        <w:tc>
          <w:tcPr>
            <w:tcW w:w="2309" w:type="dxa"/>
            <w:shd w:val="clear" w:color="auto" w:fill="auto"/>
            <w:vAlign w:val="center"/>
          </w:tcPr>
          <w:p w14:paraId="6CB650CC"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Западнобачки округ</w:t>
            </w:r>
          </w:p>
        </w:tc>
        <w:tc>
          <w:tcPr>
            <w:tcW w:w="566" w:type="dxa"/>
            <w:shd w:val="clear" w:color="auto" w:fill="auto"/>
            <w:noWrap/>
            <w:vAlign w:val="center"/>
            <w:hideMark/>
          </w:tcPr>
          <w:p w14:paraId="294694F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2,60%</w:t>
            </w:r>
          </w:p>
        </w:tc>
        <w:tc>
          <w:tcPr>
            <w:tcW w:w="648" w:type="dxa"/>
            <w:shd w:val="clear" w:color="auto" w:fill="auto"/>
            <w:noWrap/>
            <w:vAlign w:val="center"/>
            <w:hideMark/>
          </w:tcPr>
          <w:p w14:paraId="13CDFFD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2,57%</w:t>
            </w:r>
          </w:p>
        </w:tc>
        <w:tc>
          <w:tcPr>
            <w:tcW w:w="648" w:type="dxa"/>
            <w:shd w:val="clear" w:color="auto" w:fill="auto"/>
            <w:noWrap/>
            <w:vAlign w:val="center"/>
            <w:hideMark/>
          </w:tcPr>
          <w:p w14:paraId="60DC4D0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2,59%</w:t>
            </w:r>
          </w:p>
        </w:tc>
        <w:tc>
          <w:tcPr>
            <w:tcW w:w="648" w:type="dxa"/>
            <w:shd w:val="clear" w:color="auto" w:fill="auto"/>
            <w:noWrap/>
            <w:vAlign w:val="center"/>
            <w:hideMark/>
          </w:tcPr>
          <w:p w14:paraId="7E838CF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3,10%</w:t>
            </w:r>
          </w:p>
        </w:tc>
        <w:tc>
          <w:tcPr>
            <w:tcW w:w="648" w:type="dxa"/>
            <w:shd w:val="clear" w:color="auto" w:fill="auto"/>
            <w:noWrap/>
            <w:vAlign w:val="center"/>
            <w:hideMark/>
          </w:tcPr>
          <w:p w14:paraId="17C3928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3,15%</w:t>
            </w:r>
          </w:p>
        </w:tc>
        <w:tc>
          <w:tcPr>
            <w:tcW w:w="648" w:type="dxa"/>
            <w:shd w:val="clear" w:color="auto" w:fill="auto"/>
            <w:noWrap/>
            <w:vAlign w:val="center"/>
            <w:hideMark/>
          </w:tcPr>
          <w:p w14:paraId="44D94B3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3,12%</w:t>
            </w:r>
          </w:p>
        </w:tc>
        <w:tc>
          <w:tcPr>
            <w:tcW w:w="648" w:type="dxa"/>
            <w:shd w:val="clear" w:color="auto" w:fill="auto"/>
            <w:noWrap/>
            <w:vAlign w:val="center"/>
            <w:hideMark/>
          </w:tcPr>
          <w:p w14:paraId="5F28493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3,09%</w:t>
            </w:r>
          </w:p>
        </w:tc>
        <w:tc>
          <w:tcPr>
            <w:tcW w:w="648" w:type="dxa"/>
            <w:shd w:val="clear" w:color="auto" w:fill="auto"/>
            <w:noWrap/>
            <w:vAlign w:val="center"/>
            <w:hideMark/>
          </w:tcPr>
          <w:p w14:paraId="278D859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3,05%</w:t>
            </w:r>
          </w:p>
        </w:tc>
        <w:tc>
          <w:tcPr>
            <w:tcW w:w="648" w:type="dxa"/>
            <w:shd w:val="clear" w:color="auto" w:fill="auto"/>
            <w:noWrap/>
            <w:vAlign w:val="center"/>
            <w:hideMark/>
          </w:tcPr>
          <w:p w14:paraId="7B4ADE0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3,02%</w:t>
            </w:r>
          </w:p>
        </w:tc>
        <w:tc>
          <w:tcPr>
            <w:tcW w:w="648" w:type="dxa"/>
            <w:shd w:val="clear" w:color="auto" w:fill="auto"/>
            <w:noWrap/>
            <w:vAlign w:val="center"/>
            <w:hideMark/>
          </w:tcPr>
          <w:p w14:paraId="02357DA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3,05%</w:t>
            </w:r>
          </w:p>
        </w:tc>
        <w:tc>
          <w:tcPr>
            <w:tcW w:w="648" w:type="dxa"/>
            <w:shd w:val="clear" w:color="auto" w:fill="auto"/>
            <w:noWrap/>
            <w:vAlign w:val="center"/>
            <w:hideMark/>
          </w:tcPr>
          <w:p w14:paraId="59223CE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3,70%</w:t>
            </w:r>
          </w:p>
        </w:tc>
      </w:tr>
      <w:tr w:rsidR="00600A81" w:rsidRPr="00E84C93" w14:paraId="06A0E7FE" w14:textId="77777777" w:rsidTr="008C3BC9">
        <w:trPr>
          <w:trHeight w:val="243"/>
        </w:trPr>
        <w:tc>
          <w:tcPr>
            <w:tcW w:w="2309" w:type="dxa"/>
            <w:shd w:val="clear" w:color="auto" w:fill="auto"/>
            <w:vAlign w:val="center"/>
          </w:tcPr>
          <w:p w14:paraId="25CDD751"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Јужнобанатски округ</w:t>
            </w:r>
          </w:p>
        </w:tc>
        <w:tc>
          <w:tcPr>
            <w:tcW w:w="566" w:type="dxa"/>
            <w:shd w:val="clear" w:color="auto" w:fill="auto"/>
            <w:noWrap/>
            <w:vAlign w:val="center"/>
            <w:hideMark/>
          </w:tcPr>
          <w:p w14:paraId="64CA115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2,77%</w:t>
            </w:r>
          </w:p>
        </w:tc>
        <w:tc>
          <w:tcPr>
            <w:tcW w:w="648" w:type="dxa"/>
            <w:shd w:val="clear" w:color="auto" w:fill="auto"/>
            <w:noWrap/>
            <w:vAlign w:val="center"/>
            <w:hideMark/>
          </w:tcPr>
          <w:p w14:paraId="3709464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2,74%</w:t>
            </w:r>
          </w:p>
        </w:tc>
        <w:tc>
          <w:tcPr>
            <w:tcW w:w="648" w:type="dxa"/>
            <w:shd w:val="clear" w:color="auto" w:fill="auto"/>
            <w:noWrap/>
            <w:vAlign w:val="center"/>
            <w:hideMark/>
          </w:tcPr>
          <w:p w14:paraId="79D9C05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2,70%</w:t>
            </w:r>
          </w:p>
        </w:tc>
        <w:tc>
          <w:tcPr>
            <w:tcW w:w="648" w:type="dxa"/>
            <w:shd w:val="clear" w:color="auto" w:fill="auto"/>
            <w:noWrap/>
            <w:vAlign w:val="center"/>
            <w:hideMark/>
          </w:tcPr>
          <w:p w14:paraId="31B4024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2,67%</w:t>
            </w:r>
          </w:p>
        </w:tc>
        <w:tc>
          <w:tcPr>
            <w:tcW w:w="648" w:type="dxa"/>
            <w:shd w:val="clear" w:color="auto" w:fill="auto"/>
            <w:noWrap/>
            <w:vAlign w:val="center"/>
            <w:hideMark/>
          </w:tcPr>
          <w:p w14:paraId="61C8144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2,64%</w:t>
            </w:r>
          </w:p>
        </w:tc>
        <w:tc>
          <w:tcPr>
            <w:tcW w:w="648" w:type="dxa"/>
            <w:shd w:val="clear" w:color="auto" w:fill="auto"/>
            <w:noWrap/>
            <w:vAlign w:val="center"/>
            <w:hideMark/>
          </w:tcPr>
          <w:p w14:paraId="53BE509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2,62%</w:t>
            </w:r>
          </w:p>
        </w:tc>
        <w:tc>
          <w:tcPr>
            <w:tcW w:w="648" w:type="dxa"/>
            <w:shd w:val="clear" w:color="auto" w:fill="auto"/>
            <w:noWrap/>
            <w:vAlign w:val="center"/>
            <w:hideMark/>
          </w:tcPr>
          <w:p w14:paraId="472598A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2,58%</w:t>
            </w:r>
          </w:p>
        </w:tc>
        <w:tc>
          <w:tcPr>
            <w:tcW w:w="648" w:type="dxa"/>
            <w:shd w:val="clear" w:color="auto" w:fill="auto"/>
            <w:noWrap/>
            <w:vAlign w:val="center"/>
            <w:hideMark/>
          </w:tcPr>
          <w:p w14:paraId="085F021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2,54%</w:t>
            </w:r>
          </w:p>
        </w:tc>
        <w:tc>
          <w:tcPr>
            <w:tcW w:w="648" w:type="dxa"/>
            <w:shd w:val="clear" w:color="auto" w:fill="auto"/>
            <w:noWrap/>
            <w:vAlign w:val="center"/>
            <w:hideMark/>
          </w:tcPr>
          <w:p w14:paraId="3FDED1C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2,51%</w:t>
            </w:r>
          </w:p>
        </w:tc>
        <w:tc>
          <w:tcPr>
            <w:tcW w:w="648" w:type="dxa"/>
            <w:shd w:val="clear" w:color="auto" w:fill="auto"/>
            <w:noWrap/>
            <w:vAlign w:val="center"/>
            <w:hideMark/>
          </w:tcPr>
          <w:p w14:paraId="6223122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2,49%</w:t>
            </w:r>
          </w:p>
        </w:tc>
        <w:tc>
          <w:tcPr>
            <w:tcW w:w="648" w:type="dxa"/>
            <w:shd w:val="clear" w:color="auto" w:fill="auto"/>
            <w:noWrap/>
            <w:vAlign w:val="center"/>
            <w:hideMark/>
          </w:tcPr>
          <w:p w14:paraId="767BCE2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2,71%</w:t>
            </w:r>
          </w:p>
        </w:tc>
      </w:tr>
      <w:tr w:rsidR="00600A81" w:rsidRPr="00E84C93" w14:paraId="318F04A6" w14:textId="77777777" w:rsidTr="008C3BC9">
        <w:trPr>
          <w:trHeight w:val="243"/>
        </w:trPr>
        <w:tc>
          <w:tcPr>
            <w:tcW w:w="2309" w:type="dxa"/>
            <w:shd w:val="clear" w:color="auto" w:fill="auto"/>
            <w:vAlign w:val="center"/>
          </w:tcPr>
          <w:p w14:paraId="65F0C0BB"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Јужнобачки округ</w:t>
            </w:r>
          </w:p>
        </w:tc>
        <w:tc>
          <w:tcPr>
            <w:tcW w:w="566" w:type="dxa"/>
            <w:shd w:val="clear" w:color="auto" w:fill="auto"/>
            <w:noWrap/>
            <w:vAlign w:val="center"/>
            <w:hideMark/>
          </w:tcPr>
          <w:p w14:paraId="601EAE6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2,17%</w:t>
            </w:r>
          </w:p>
        </w:tc>
        <w:tc>
          <w:tcPr>
            <w:tcW w:w="648" w:type="dxa"/>
            <w:shd w:val="clear" w:color="auto" w:fill="auto"/>
            <w:noWrap/>
            <w:vAlign w:val="center"/>
            <w:hideMark/>
          </w:tcPr>
          <w:p w14:paraId="1414C76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2,14%</w:t>
            </w:r>
          </w:p>
        </w:tc>
        <w:tc>
          <w:tcPr>
            <w:tcW w:w="648" w:type="dxa"/>
            <w:shd w:val="clear" w:color="auto" w:fill="auto"/>
            <w:noWrap/>
            <w:vAlign w:val="center"/>
            <w:hideMark/>
          </w:tcPr>
          <w:p w14:paraId="7C31D60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2,11%</w:t>
            </w:r>
          </w:p>
        </w:tc>
        <w:tc>
          <w:tcPr>
            <w:tcW w:w="648" w:type="dxa"/>
            <w:shd w:val="clear" w:color="auto" w:fill="auto"/>
            <w:noWrap/>
            <w:vAlign w:val="center"/>
            <w:hideMark/>
          </w:tcPr>
          <w:p w14:paraId="1EEC220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2,21%</w:t>
            </w:r>
          </w:p>
        </w:tc>
        <w:tc>
          <w:tcPr>
            <w:tcW w:w="648" w:type="dxa"/>
            <w:shd w:val="clear" w:color="auto" w:fill="auto"/>
            <w:noWrap/>
            <w:vAlign w:val="center"/>
            <w:hideMark/>
          </w:tcPr>
          <w:p w14:paraId="63E1766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2,26%</w:t>
            </w:r>
          </w:p>
        </w:tc>
        <w:tc>
          <w:tcPr>
            <w:tcW w:w="648" w:type="dxa"/>
            <w:shd w:val="clear" w:color="auto" w:fill="auto"/>
            <w:noWrap/>
            <w:vAlign w:val="center"/>
            <w:hideMark/>
          </w:tcPr>
          <w:p w14:paraId="5B871DE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2,32%</w:t>
            </w:r>
          </w:p>
        </w:tc>
        <w:tc>
          <w:tcPr>
            <w:tcW w:w="648" w:type="dxa"/>
            <w:shd w:val="clear" w:color="auto" w:fill="auto"/>
            <w:noWrap/>
            <w:vAlign w:val="center"/>
            <w:hideMark/>
          </w:tcPr>
          <w:p w14:paraId="69944A9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2,38%</w:t>
            </w:r>
          </w:p>
        </w:tc>
        <w:tc>
          <w:tcPr>
            <w:tcW w:w="648" w:type="dxa"/>
            <w:shd w:val="clear" w:color="auto" w:fill="auto"/>
            <w:noWrap/>
            <w:vAlign w:val="center"/>
            <w:hideMark/>
          </w:tcPr>
          <w:p w14:paraId="78FE6AD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2,51%</w:t>
            </w:r>
          </w:p>
        </w:tc>
        <w:tc>
          <w:tcPr>
            <w:tcW w:w="648" w:type="dxa"/>
            <w:shd w:val="clear" w:color="auto" w:fill="auto"/>
            <w:noWrap/>
            <w:vAlign w:val="center"/>
            <w:hideMark/>
          </w:tcPr>
          <w:p w14:paraId="535631E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2,63%</w:t>
            </w:r>
          </w:p>
        </w:tc>
        <w:tc>
          <w:tcPr>
            <w:tcW w:w="648" w:type="dxa"/>
            <w:shd w:val="clear" w:color="auto" w:fill="auto"/>
            <w:noWrap/>
            <w:vAlign w:val="center"/>
            <w:hideMark/>
          </w:tcPr>
          <w:p w14:paraId="2CC4EC0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2,76%</w:t>
            </w:r>
          </w:p>
        </w:tc>
        <w:tc>
          <w:tcPr>
            <w:tcW w:w="648" w:type="dxa"/>
            <w:shd w:val="clear" w:color="auto" w:fill="auto"/>
            <w:noWrap/>
            <w:vAlign w:val="center"/>
            <w:hideMark/>
          </w:tcPr>
          <w:p w14:paraId="19A0314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2,70%</w:t>
            </w:r>
          </w:p>
        </w:tc>
      </w:tr>
      <w:tr w:rsidR="00600A81" w:rsidRPr="00E84C93" w14:paraId="781432D7" w14:textId="77777777" w:rsidTr="008C3BC9">
        <w:trPr>
          <w:trHeight w:val="243"/>
        </w:trPr>
        <w:tc>
          <w:tcPr>
            <w:tcW w:w="2309" w:type="dxa"/>
            <w:shd w:val="clear" w:color="auto" w:fill="auto"/>
            <w:vAlign w:val="center"/>
          </w:tcPr>
          <w:p w14:paraId="56B23350"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Севернобанатски округ</w:t>
            </w:r>
          </w:p>
        </w:tc>
        <w:tc>
          <w:tcPr>
            <w:tcW w:w="566" w:type="dxa"/>
            <w:shd w:val="clear" w:color="auto" w:fill="auto"/>
            <w:noWrap/>
            <w:vAlign w:val="center"/>
            <w:hideMark/>
          </w:tcPr>
          <w:p w14:paraId="0D676A3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2,26%</w:t>
            </w:r>
          </w:p>
        </w:tc>
        <w:tc>
          <w:tcPr>
            <w:tcW w:w="648" w:type="dxa"/>
            <w:shd w:val="clear" w:color="auto" w:fill="auto"/>
            <w:noWrap/>
            <w:vAlign w:val="center"/>
            <w:hideMark/>
          </w:tcPr>
          <w:p w14:paraId="5361A36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2,24%</w:t>
            </w:r>
          </w:p>
        </w:tc>
        <w:tc>
          <w:tcPr>
            <w:tcW w:w="648" w:type="dxa"/>
            <w:shd w:val="clear" w:color="auto" w:fill="auto"/>
            <w:noWrap/>
            <w:vAlign w:val="center"/>
            <w:hideMark/>
          </w:tcPr>
          <w:p w14:paraId="63C5A85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2,21%</w:t>
            </w:r>
          </w:p>
        </w:tc>
        <w:tc>
          <w:tcPr>
            <w:tcW w:w="648" w:type="dxa"/>
            <w:shd w:val="clear" w:color="auto" w:fill="auto"/>
            <w:noWrap/>
            <w:vAlign w:val="center"/>
            <w:hideMark/>
          </w:tcPr>
          <w:p w14:paraId="30D6EA5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2,20%</w:t>
            </w:r>
          </w:p>
        </w:tc>
        <w:tc>
          <w:tcPr>
            <w:tcW w:w="648" w:type="dxa"/>
            <w:shd w:val="clear" w:color="auto" w:fill="auto"/>
            <w:noWrap/>
            <w:vAlign w:val="center"/>
            <w:hideMark/>
          </w:tcPr>
          <w:p w14:paraId="3FE9E1C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2,32%</w:t>
            </w:r>
          </w:p>
        </w:tc>
        <w:tc>
          <w:tcPr>
            <w:tcW w:w="648" w:type="dxa"/>
            <w:shd w:val="clear" w:color="auto" w:fill="auto"/>
            <w:noWrap/>
            <w:vAlign w:val="center"/>
            <w:hideMark/>
          </w:tcPr>
          <w:p w14:paraId="0A88648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2,35%</w:t>
            </w:r>
          </w:p>
        </w:tc>
        <w:tc>
          <w:tcPr>
            <w:tcW w:w="648" w:type="dxa"/>
            <w:shd w:val="clear" w:color="auto" w:fill="auto"/>
            <w:noWrap/>
            <w:vAlign w:val="center"/>
            <w:hideMark/>
          </w:tcPr>
          <w:p w14:paraId="2D84FD2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2,35%</w:t>
            </w:r>
          </w:p>
        </w:tc>
        <w:tc>
          <w:tcPr>
            <w:tcW w:w="648" w:type="dxa"/>
            <w:shd w:val="clear" w:color="auto" w:fill="auto"/>
            <w:noWrap/>
            <w:vAlign w:val="center"/>
            <w:hideMark/>
          </w:tcPr>
          <w:p w14:paraId="61EFF1B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4D19F18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2,33%</w:t>
            </w:r>
          </w:p>
        </w:tc>
        <w:tc>
          <w:tcPr>
            <w:tcW w:w="648" w:type="dxa"/>
            <w:shd w:val="clear" w:color="auto" w:fill="auto"/>
            <w:noWrap/>
            <w:vAlign w:val="center"/>
            <w:hideMark/>
          </w:tcPr>
          <w:p w14:paraId="7754546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2,44%</w:t>
            </w:r>
          </w:p>
        </w:tc>
        <w:tc>
          <w:tcPr>
            <w:tcW w:w="648" w:type="dxa"/>
            <w:shd w:val="clear" w:color="auto" w:fill="auto"/>
            <w:noWrap/>
            <w:vAlign w:val="center"/>
            <w:hideMark/>
          </w:tcPr>
          <w:p w14:paraId="7938189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2,74%</w:t>
            </w:r>
          </w:p>
        </w:tc>
      </w:tr>
      <w:tr w:rsidR="00600A81" w:rsidRPr="00E84C93" w14:paraId="1A1AFEAA" w14:textId="77777777" w:rsidTr="008C3BC9">
        <w:trPr>
          <w:trHeight w:val="243"/>
        </w:trPr>
        <w:tc>
          <w:tcPr>
            <w:tcW w:w="2309" w:type="dxa"/>
            <w:shd w:val="clear" w:color="auto" w:fill="auto"/>
            <w:vAlign w:val="center"/>
          </w:tcPr>
          <w:p w14:paraId="39EF6827"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Севернобачки округ</w:t>
            </w:r>
          </w:p>
        </w:tc>
        <w:tc>
          <w:tcPr>
            <w:tcW w:w="566" w:type="dxa"/>
            <w:shd w:val="clear" w:color="auto" w:fill="auto"/>
            <w:noWrap/>
            <w:vAlign w:val="center"/>
            <w:hideMark/>
          </w:tcPr>
          <w:p w14:paraId="307B785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2,59%</w:t>
            </w:r>
          </w:p>
        </w:tc>
        <w:tc>
          <w:tcPr>
            <w:tcW w:w="648" w:type="dxa"/>
            <w:shd w:val="clear" w:color="auto" w:fill="auto"/>
            <w:noWrap/>
            <w:vAlign w:val="center"/>
            <w:hideMark/>
          </w:tcPr>
          <w:p w14:paraId="0BC5333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2,57%</w:t>
            </w:r>
          </w:p>
        </w:tc>
        <w:tc>
          <w:tcPr>
            <w:tcW w:w="648" w:type="dxa"/>
            <w:shd w:val="clear" w:color="auto" w:fill="auto"/>
            <w:noWrap/>
            <w:vAlign w:val="center"/>
            <w:hideMark/>
          </w:tcPr>
          <w:p w14:paraId="274BB8D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2,54%</w:t>
            </w:r>
          </w:p>
        </w:tc>
        <w:tc>
          <w:tcPr>
            <w:tcW w:w="648" w:type="dxa"/>
            <w:shd w:val="clear" w:color="auto" w:fill="auto"/>
            <w:noWrap/>
            <w:vAlign w:val="center"/>
            <w:hideMark/>
          </w:tcPr>
          <w:p w14:paraId="1EFF492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42A7363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3,12%</w:t>
            </w:r>
          </w:p>
        </w:tc>
        <w:tc>
          <w:tcPr>
            <w:tcW w:w="648" w:type="dxa"/>
            <w:shd w:val="clear" w:color="auto" w:fill="auto"/>
            <w:noWrap/>
            <w:vAlign w:val="center"/>
            <w:hideMark/>
          </w:tcPr>
          <w:p w14:paraId="23D7A0E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3,26%</w:t>
            </w:r>
          </w:p>
        </w:tc>
        <w:tc>
          <w:tcPr>
            <w:tcW w:w="648" w:type="dxa"/>
            <w:shd w:val="clear" w:color="auto" w:fill="auto"/>
            <w:noWrap/>
            <w:vAlign w:val="center"/>
            <w:hideMark/>
          </w:tcPr>
          <w:p w14:paraId="22450F0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3,18%</w:t>
            </w:r>
          </w:p>
        </w:tc>
        <w:tc>
          <w:tcPr>
            <w:tcW w:w="648" w:type="dxa"/>
            <w:shd w:val="clear" w:color="auto" w:fill="auto"/>
            <w:noWrap/>
            <w:vAlign w:val="center"/>
            <w:hideMark/>
          </w:tcPr>
          <w:p w14:paraId="4E5EF14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3,15%</w:t>
            </w:r>
          </w:p>
        </w:tc>
        <w:tc>
          <w:tcPr>
            <w:tcW w:w="648" w:type="dxa"/>
            <w:shd w:val="clear" w:color="auto" w:fill="auto"/>
            <w:noWrap/>
            <w:vAlign w:val="center"/>
            <w:hideMark/>
          </w:tcPr>
          <w:p w14:paraId="2B5A702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3,11%</w:t>
            </w:r>
          </w:p>
        </w:tc>
        <w:tc>
          <w:tcPr>
            <w:tcW w:w="648" w:type="dxa"/>
            <w:shd w:val="clear" w:color="auto" w:fill="auto"/>
            <w:noWrap/>
            <w:vAlign w:val="center"/>
            <w:hideMark/>
          </w:tcPr>
          <w:p w14:paraId="478C853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3,11%</w:t>
            </w:r>
          </w:p>
        </w:tc>
        <w:tc>
          <w:tcPr>
            <w:tcW w:w="648" w:type="dxa"/>
            <w:shd w:val="clear" w:color="auto" w:fill="auto"/>
            <w:noWrap/>
            <w:vAlign w:val="center"/>
            <w:hideMark/>
          </w:tcPr>
          <w:p w14:paraId="74DE958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3,29%</w:t>
            </w:r>
          </w:p>
        </w:tc>
      </w:tr>
      <w:tr w:rsidR="00600A81" w:rsidRPr="00E84C93" w14:paraId="40CFE69F" w14:textId="77777777" w:rsidTr="008C3BC9">
        <w:trPr>
          <w:trHeight w:val="243"/>
        </w:trPr>
        <w:tc>
          <w:tcPr>
            <w:tcW w:w="2309" w:type="dxa"/>
            <w:shd w:val="clear" w:color="auto" w:fill="auto"/>
            <w:vAlign w:val="center"/>
          </w:tcPr>
          <w:p w14:paraId="18A8703D"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Средњобанатски округ</w:t>
            </w:r>
          </w:p>
        </w:tc>
        <w:tc>
          <w:tcPr>
            <w:tcW w:w="566" w:type="dxa"/>
            <w:shd w:val="clear" w:color="auto" w:fill="auto"/>
            <w:noWrap/>
            <w:vAlign w:val="center"/>
            <w:hideMark/>
          </w:tcPr>
          <w:p w14:paraId="10E69BA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1,57%</w:t>
            </w:r>
          </w:p>
        </w:tc>
        <w:tc>
          <w:tcPr>
            <w:tcW w:w="648" w:type="dxa"/>
            <w:shd w:val="clear" w:color="auto" w:fill="auto"/>
            <w:noWrap/>
            <w:vAlign w:val="center"/>
            <w:hideMark/>
          </w:tcPr>
          <w:p w14:paraId="79EDC75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1,56%</w:t>
            </w:r>
          </w:p>
        </w:tc>
        <w:tc>
          <w:tcPr>
            <w:tcW w:w="648" w:type="dxa"/>
            <w:shd w:val="clear" w:color="auto" w:fill="auto"/>
            <w:noWrap/>
            <w:vAlign w:val="center"/>
            <w:hideMark/>
          </w:tcPr>
          <w:p w14:paraId="3205D3A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1,55%</w:t>
            </w:r>
          </w:p>
        </w:tc>
        <w:tc>
          <w:tcPr>
            <w:tcW w:w="648" w:type="dxa"/>
            <w:shd w:val="clear" w:color="auto" w:fill="auto"/>
            <w:noWrap/>
            <w:vAlign w:val="center"/>
            <w:hideMark/>
          </w:tcPr>
          <w:p w14:paraId="2495DFE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1,53%</w:t>
            </w:r>
          </w:p>
        </w:tc>
        <w:tc>
          <w:tcPr>
            <w:tcW w:w="648" w:type="dxa"/>
            <w:shd w:val="clear" w:color="auto" w:fill="auto"/>
            <w:noWrap/>
            <w:vAlign w:val="center"/>
            <w:hideMark/>
          </w:tcPr>
          <w:p w14:paraId="24BC3F4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1,53%</w:t>
            </w:r>
          </w:p>
        </w:tc>
        <w:tc>
          <w:tcPr>
            <w:tcW w:w="648" w:type="dxa"/>
            <w:shd w:val="clear" w:color="auto" w:fill="auto"/>
            <w:noWrap/>
            <w:vAlign w:val="center"/>
            <w:hideMark/>
          </w:tcPr>
          <w:p w14:paraId="64D502E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1,55%</w:t>
            </w:r>
          </w:p>
        </w:tc>
        <w:tc>
          <w:tcPr>
            <w:tcW w:w="648" w:type="dxa"/>
            <w:shd w:val="clear" w:color="auto" w:fill="auto"/>
            <w:noWrap/>
            <w:vAlign w:val="center"/>
            <w:hideMark/>
          </w:tcPr>
          <w:p w14:paraId="5ADE206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1,53%</w:t>
            </w:r>
          </w:p>
        </w:tc>
        <w:tc>
          <w:tcPr>
            <w:tcW w:w="648" w:type="dxa"/>
            <w:shd w:val="clear" w:color="auto" w:fill="auto"/>
            <w:noWrap/>
            <w:vAlign w:val="center"/>
            <w:hideMark/>
          </w:tcPr>
          <w:p w14:paraId="168DF54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1,52%</w:t>
            </w:r>
          </w:p>
        </w:tc>
        <w:tc>
          <w:tcPr>
            <w:tcW w:w="648" w:type="dxa"/>
            <w:shd w:val="clear" w:color="auto" w:fill="auto"/>
            <w:noWrap/>
            <w:vAlign w:val="center"/>
            <w:hideMark/>
          </w:tcPr>
          <w:p w14:paraId="5F0645F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1,52%</w:t>
            </w:r>
          </w:p>
        </w:tc>
        <w:tc>
          <w:tcPr>
            <w:tcW w:w="648" w:type="dxa"/>
            <w:shd w:val="clear" w:color="auto" w:fill="auto"/>
            <w:noWrap/>
            <w:vAlign w:val="center"/>
            <w:hideMark/>
          </w:tcPr>
          <w:p w14:paraId="0EB69A3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1,55%</w:t>
            </w:r>
          </w:p>
        </w:tc>
        <w:tc>
          <w:tcPr>
            <w:tcW w:w="648" w:type="dxa"/>
            <w:shd w:val="clear" w:color="auto" w:fill="auto"/>
            <w:noWrap/>
            <w:vAlign w:val="center"/>
            <w:hideMark/>
          </w:tcPr>
          <w:p w14:paraId="0E467A5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1,84%</w:t>
            </w:r>
          </w:p>
        </w:tc>
      </w:tr>
      <w:tr w:rsidR="00600A81" w:rsidRPr="00E84C93" w14:paraId="46CD4D31" w14:textId="77777777" w:rsidTr="008C3BC9">
        <w:trPr>
          <w:trHeight w:val="243"/>
        </w:trPr>
        <w:tc>
          <w:tcPr>
            <w:tcW w:w="2309" w:type="dxa"/>
            <w:shd w:val="clear" w:color="auto" w:fill="auto"/>
            <w:vAlign w:val="center"/>
          </w:tcPr>
          <w:p w14:paraId="02CF3024"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Сремски округ</w:t>
            </w:r>
          </w:p>
        </w:tc>
        <w:tc>
          <w:tcPr>
            <w:tcW w:w="566" w:type="dxa"/>
            <w:shd w:val="clear" w:color="auto" w:fill="auto"/>
            <w:noWrap/>
            <w:vAlign w:val="center"/>
            <w:hideMark/>
          </w:tcPr>
          <w:p w14:paraId="6176886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2,07%</w:t>
            </w:r>
          </w:p>
        </w:tc>
        <w:tc>
          <w:tcPr>
            <w:tcW w:w="648" w:type="dxa"/>
            <w:shd w:val="clear" w:color="auto" w:fill="auto"/>
            <w:noWrap/>
            <w:vAlign w:val="center"/>
            <w:hideMark/>
          </w:tcPr>
          <w:p w14:paraId="1B5BC18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2,05%</w:t>
            </w:r>
          </w:p>
        </w:tc>
        <w:tc>
          <w:tcPr>
            <w:tcW w:w="648" w:type="dxa"/>
            <w:shd w:val="clear" w:color="auto" w:fill="auto"/>
            <w:noWrap/>
            <w:vAlign w:val="center"/>
            <w:hideMark/>
          </w:tcPr>
          <w:p w14:paraId="2A1BDD9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2,09%</w:t>
            </w:r>
          </w:p>
        </w:tc>
        <w:tc>
          <w:tcPr>
            <w:tcW w:w="648" w:type="dxa"/>
            <w:shd w:val="clear" w:color="auto" w:fill="auto"/>
            <w:noWrap/>
            <w:vAlign w:val="center"/>
            <w:hideMark/>
          </w:tcPr>
          <w:p w14:paraId="0A10AE4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2,14%</w:t>
            </w:r>
          </w:p>
        </w:tc>
        <w:tc>
          <w:tcPr>
            <w:tcW w:w="648" w:type="dxa"/>
            <w:shd w:val="clear" w:color="auto" w:fill="auto"/>
            <w:noWrap/>
            <w:vAlign w:val="center"/>
            <w:hideMark/>
          </w:tcPr>
          <w:p w14:paraId="3CFA3A5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2,18%</w:t>
            </w:r>
          </w:p>
        </w:tc>
        <w:tc>
          <w:tcPr>
            <w:tcW w:w="648" w:type="dxa"/>
            <w:shd w:val="clear" w:color="auto" w:fill="auto"/>
            <w:noWrap/>
            <w:vAlign w:val="center"/>
            <w:hideMark/>
          </w:tcPr>
          <w:p w14:paraId="669C50E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2,15%</w:t>
            </w:r>
          </w:p>
        </w:tc>
        <w:tc>
          <w:tcPr>
            <w:tcW w:w="648" w:type="dxa"/>
            <w:shd w:val="clear" w:color="auto" w:fill="auto"/>
            <w:noWrap/>
            <w:vAlign w:val="center"/>
            <w:hideMark/>
          </w:tcPr>
          <w:p w14:paraId="15D8841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2,13%</w:t>
            </w:r>
          </w:p>
        </w:tc>
        <w:tc>
          <w:tcPr>
            <w:tcW w:w="648" w:type="dxa"/>
            <w:shd w:val="clear" w:color="auto" w:fill="auto"/>
            <w:noWrap/>
            <w:vAlign w:val="center"/>
            <w:hideMark/>
          </w:tcPr>
          <w:p w14:paraId="2E50157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2,10%</w:t>
            </w:r>
          </w:p>
        </w:tc>
        <w:tc>
          <w:tcPr>
            <w:tcW w:w="648" w:type="dxa"/>
            <w:shd w:val="clear" w:color="auto" w:fill="auto"/>
            <w:noWrap/>
            <w:vAlign w:val="center"/>
            <w:hideMark/>
          </w:tcPr>
          <w:p w14:paraId="5155198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2,08%</w:t>
            </w:r>
          </w:p>
        </w:tc>
        <w:tc>
          <w:tcPr>
            <w:tcW w:w="648" w:type="dxa"/>
            <w:shd w:val="clear" w:color="auto" w:fill="auto"/>
            <w:noWrap/>
            <w:vAlign w:val="center"/>
            <w:hideMark/>
          </w:tcPr>
          <w:p w14:paraId="48C2187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2,09%</w:t>
            </w:r>
          </w:p>
        </w:tc>
        <w:tc>
          <w:tcPr>
            <w:tcW w:w="648" w:type="dxa"/>
            <w:shd w:val="clear" w:color="auto" w:fill="auto"/>
            <w:noWrap/>
            <w:vAlign w:val="center"/>
            <w:hideMark/>
          </w:tcPr>
          <w:p w14:paraId="5930F90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2,50%</w:t>
            </w:r>
          </w:p>
        </w:tc>
      </w:tr>
      <w:tr w:rsidR="00600A81" w:rsidRPr="00E84C93" w14:paraId="6C0C9EF4" w14:textId="77777777" w:rsidTr="008C3BC9">
        <w:trPr>
          <w:trHeight w:val="243"/>
        </w:trPr>
        <w:tc>
          <w:tcPr>
            <w:tcW w:w="2309" w:type="dxa"/>
            <w:shd w:val="clear" w:color="auto" w:fill="auto"/>
            <w:vAlign w:val="center"/>
          </w:tcPr>
          <w:p w14:paraId="4D17229F"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 xml:space="preserve">СРБИЈА – ЈУГ </w:t>
            </w:r>
          </w:p>
        </w:tc>
        <w:tc>
          <w:tcPr>
            <w:tcW w:w="566" w:type="dxa"/>
            <w:shd w:val="clear" w:color="auto" w:fill="auto"/>
            <w:noWrap/>
            <w:vAlign w:val="center"/>
            <w:hideMark/>
          </w:tcPr>
          <w:p w14:paraId="0B981517"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2,15%</w:t>
            </w:r>
          </w:p>
        </w:tc>
        <w:tc>
          <w:tcPr>
            <w:tcW w:w="648" w:type="dxa"/>
            <w:shd w:val="clear" w:color="auto" w:fill="auto"/>
            <w:noWrap/>
            <w:vAlign w:val="center"/>
            <w:hideMark/>
          </w:tcPr>
          <w:p w14:paraId="646DD956"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2,13%</w:t>
            </w:r>
          </w:p>
        </w:tc>
        <w:tc>
          <w:tcPr>
            <w:tcW w:w="648" w:type="dxa"/>
            <w:shd w:val="clear" w:color="auto" w:fill="auto"/>
            <w:noWrap/>
            <w:vAlign w:val="center"/>
            <w:hideMark/>
          </w:tcPr>
          <w:p w14:paraId="6537AB1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2,14%</w:t>
            </w:r>
          </w:p>
        </w:tc>
        <w:tc>
          <w:tcPr>
            <w:tcW w:w="648" w:type="dxa"/>
            <w:shd w:val="clear" w:color="auto" w:fill="auto"/>
            <w:noWrap/>
            <w:vAlign w:val="center"/>
            <w:hideMark/>
          </w:tcPr>
          <w:p w14:paraId="23AC161C"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2,30%</w:t>
            </w:r>
          </w:p>
        </w:tc>
        <w:tc>
          <w:tcPr>
            <w:tcW w:w="648" w:type="dxa"/>
            <w:shd w:val="clear" w:color="auto" w:fill="auto"/>
            <w:noWrap/>
            <w:vAlign w:val="center"/>
            <w:hideMark/>
          </w:tcPr>
          <w:p w14:paraId="1BD8E7D9"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2,45%</w:t>
            </w:r>
          </w:p>
        </w:tc>
        <w:tc>
          <w:tcPr>
            <w:tcW w:w="648" w:type="dxa"/>
            <w:shd w:val="clear" w:color="auto" w:fill="auto"/>
            <w:noWrap/>
            <w:vAlign w:val="center"/>
            <w:hideMark/>
          </w:tcPr>
          <w:p w14:paraId="6B4321B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2,56%</w:t>
            </w:r>
          </w:p>
        </w:tc>
        <w:tc>
          <w:tcPr>
            <w:tcW w:w="648" w:type="dxa"/>
            <w:shd w:val="clear" w:color="auto" w:fill="auto"/>
            <w:noWrap/>
            <w:vAlign w:val="center"/>
            <w:hideMark/>
          </w:tcPr>
          <w:p w14:paraId="09720217"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2,57%</w:t>
            </w:r>
          </w:p>
        </w:tc>
        <w:tc>
          <w:tcPr>
            <w:tcW w:w="648" w:type="dxa"/>
            <w:shd w:val="clear" w:color="auto" w:fill="auto"/>
            <w:noWrap/>
            <w:vAlign w:val="center"/>
            <w:hideMark/>
          </w:tcPr>
          <w:p w14:paraId="75C6E94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2,61%</w:t>
            </w:r>
          </w:p>
        </w:tc>
        <w:tc>
          <w:tcPr>
            <w:tcW w:w="648" w:type="dxa"/>
            <w:shd w:val="clear" w:color="auto" w:fill="auto"/>
            <w:noWrap/>
            <w:vAlign w:val="center"/>
            <w:hideMark/>
          </w:tcPr>
          <w:p w14:paraId="6AEFEFC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2,64%</w:t>
            </w:r>
          </w:p>
        </w:tc>
        <w:tc>
          <w:tcPr>
            <w:tcW w:w="648" w:type="dxa"/>
            <w:shd w:val="clear" w:color="auto" w:fill="auto"/>
            <w:noWrap/>
            <w:vAlign w:val="center"/>
            <w:hideMark/>
          </w:tcPr>
          <w:p w14:paraId="11CDAA57"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2,71%</w:t>
            </w:r>
          </w:p>
        </w:tc>
        <w:tc>
          <w:tcPr>
            <w:tcW w:w="648" w:type="dxa"/>
            <w:shd w:val="clear" w:color="auto" w:fill="auto"/>
            <w:noWrap/>
            <w:vAlign w:val="center"/>
            <w:hideMark/>
          </w:tcPr>
          <w:p w14:paraId="1A0C7C63"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2,91%</w:t>
            </w:r>
          </w:p>
        </w:tc>
      </w:tr>
      <w:tr w:rsidR="00600A81" w:rsidRPr="00E84C93" w14:paraId="4AE050D0" w14:textId="77777777" w:rsidTr="008C3BC9">
        <w:trPr>
          <w:trHeight w:val="243"/>
        </w:trPr>
        <w:tc>
          <w:tcPr>
            <w:tcW w:w="2309" w:type="dxa"/>
            <w:shd w:val="clear" w:color="auto" w:fill="auto"/>
            <w:vAlign w:val="center"/>
          </w:tcPr>
          <w:p w14:paraId="3B3AF14D"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Шумадија и Западна Србија</w:t>
            </w:r>
          </w:p>
        </w:tc>
        <w:tc>
          <w:tcPr>
            <w:tcW w:w="566" w:type="dxa"/>
            <w:shd w:val="clear" w:color="auto" w:fill="auto"/>
            <w:noWrap/>
            <w:vAlign w:val="center"/>
            <w:hideMark/>
          </w:tcPr>
          <w:p w14:paraId="5F47D7C9"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2,22%</w:t>
            </w:r>
          </w:p>
        </w:tc>
        <w:tc>
          <w:tcPr>
            <w:tcW w:w="648" w:type="dxa"/>
            <w:shd w:val="clear" w:color="auto" w:fill="auto"/>
            <w:noWrap/>
            <w:vAlign w:val="center"/>
            <w:hideMark/>
          </w:tcPr>
          <w:p w14:paraId="622E186D"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2,19%</w:t>
            </w:r>
          </w:p>
        </w:tc>
        <w:tc>
          <w:tcPr>
            <w:tcW w:w="648" w:type="dxa"/>
            <w:shd w:val="clear" w:color="auto" w:fill="auto"/>
            <w:noWrap/>
            <w:vAlign w:val="center"/>
            <w:hideMark/>
          </w:tcPr>
          <w:p w14:paraId="1D6C08B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2,23%</w:t>
            </w:r>
          </w:p>
        </w:tc>
        <w:tc>
          <w:tcPr>
            <w:tcW w:w="648" w:type="dxa"/>
            <w:shd w:val="clear" w:color="auto" w:fill="auto"/>
            <w:noWrap/>
            <w:vAlign w:val="center"/>
            <w:hideMark/>
          </w:tcPr>
          <w:p w14:paraId="5496CBF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2,41%</w:t>
            </w:r>
          </w:p>
        </w:tc>
        <w:tc>
          <w:tcPr>
            <w:tcW w:w="648" w:type="dxa"/>
            <w:shd w:val="clear" w:color="auto" w:fill="auto"/>
            <w:noWrap/>
            <w:vAlign w:val="center"/>
            <w:hideMark/>
          </w:tcPr>
          <w:p w14:paraId="381A9B44"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2,61%</w:t>
            </w:r>
          </w:p>
        </w:tc>
        <w:tc>
          <w:tcPr>
            <w:tcW w:w="648" w:type="dxa"/>
            <w:shd w:val="clear" w:color="auto" w:fill="auto"/>
            <w:noWrap/>
            <w:vAlign w:val="center"/>
            <w:hideMark/>
          </w:tcPr>
          <w:p w14:paraId="6FC35AD0"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2,72%</w:t>
            </w:r>
          </w:p>
        </w:tc>
        <w:tc>
          <w:tcPr>
            <w:tcW w:w="648" w:type="dxa"/>
            <w:shd w:val="clear" w:color="auto" w:fill="auto"/>
            <w:noWrap/>
            <w:vAlign w:val="center"/>
            <w:hideMark/>
          </w:tcPr>
          <w:p w14:paraId="347FD8F8"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2,73%</w:t>
            </w:r>
          </w:p>
        </w:tc>
        <w:tc>
          <w:tcPr>
            <w:tcW w:w="648" w:type="dxa"/>
            <w:shd w:val="clear" w:color="auto" w:fill="auto"/>
            <w:noWrap/>
            <w:vAlign w:val="center"/>
            <w:hideMark/>
          </w:tcPr>
          <w:p w14:paraId="27B3823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2,73%</w:t>
            </w:r>
          </w:p>
        </w:tc>
        <w:tc>
          <w:tcPr>
            <w:tcW w:w="648" w:type="dxa"/>
            <w:shd w:val="clear" w:color="auto" w:fill="auto"/>
            <w:noWrap/>
            <w:vAlign w:val="center"/>
            <w:hideMark/>
          </w:tcPr>
          <w:p w14:paraId="2C97C6A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2,74%</w:t>
            </w:r>
          </w:p>
        </w:tc>
        <w:tc>
          <w:tcPr>
            <w:tcW w:w="648" w:type="dxa"/>
            <w:shd w:val="clear" w:color="auto" w:fill="auto"/>
            <w:noWrap/>
            <w:vAlign w:val="center"/>
            <w:hideMark/>
          </w:tcPr>
          <w:p w14:paraId="55AC0D57"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2,75%</w:t>
            </w:r>
          </w:p>
        </w:tc>
        <w:tc>
          <w:tcPr>
            <w:tcW w:w="648" w:type="dxa"/>
            <w:shd w:val="clear" w:color="auto" w:fill="auto"/>
            <w:noWrap/>
            <w:vAlign w:val="center"/>
            <w:hideMark/>
          </w:tcPr>
          <w:p w14:paraId="4488B04D"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3,01%</w:t>
            </w:r>
          </w:p>
        </w:tc>
      </w:tr>
      <w:tr w:rsidR="00600A81" w:rsidRPr="00E84C93" w14:paraId="214DCBA8" w14:textId="77777777" w:rsidTr="008C3BC9">
        <w:trPr>
          <w:trHeight w:val="243"/>
        </w:trPr>
        <w:tc>
          <w:tcPr>
            <w:tcW w:w="2309" w:type="dxa"/>
            <w:shd w:val="clear" w:color="auto" w:fill="auto"/>
            <w:vAlign w:val="center"/>
          </w:tcPr>
          <w:p w14:paraId="1A892969"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Златиборски округ</w:t>
            </w:r>
          </w:p>
        </w:tc>
        <w:tc>
          <w:tcPr>
            <w:tcW w:w="566" w:type="dxa"/>
            <w:shd w:val="clear" w:color="auto" w:fill="auto"/>
            <w:noWrap/>
            <w:vAlign w:val="center"/>
            <w:hideMark/>
          </w:tcPr>
          <w:p w14:paraId="1B065F9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2,14%</w:t>
            </w:r>
          </w:p>
        </w:tc>
        <w:tc>
          <w:tcPr>
            <w:tcW w:w="648" w:type="dxa"/>
            <w:shd w:val="clear" w:color="auto" w:fill="auto"/>
            <w:noWrap/>
            <w:vAlign w:val="center"/>
            <w:hideMark/>
          </w:tcPr>
          <w:p w14:paraId="5E8CD68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2,11%</w:t>
            </w:r>
          </w:p>
        </w:tc>
        <w:tc>
          <w:tcPr>
            <w:tcW w:w="648" w:type="dxa"/>
            <w:shd w:val="clear" w:color="auto" w:fill="auto"/>
            <w:noWrap/>
            <w:vAlign w:val="center"/>
            <w:hideMark/>
          </w:tcPr>
          <w:p w14:paraId="5C0FC4C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2,10%</w:t>
            </w:r>
          </w:p>
        </w:tc>
        <w:tc>
          <w:tcPr>
            <w:tcW w:w="648" w:type="dxa"/>
            <w:shd w:val="clear" w:color="auto" w:fill="auto"/>
            <w:noWrap/>
            <w:vAlign w:val="center"/>
            <w:hideMark/>
          </w:tcPr>
          <w:p w14:paraId="63FBD84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2,19%</w:t>
            </w:r>
          </w:p>
        </w:tc>
        <w:tc>
          <w:tcPr>
            <w:tcW w:w="648" w:type="dxa"/>
            <w:shd w:val="clear" w:color="auto" w:fill="auto"/>
            <w:noWrap/>
            <w:vAlign w:val="center"/>
            <w:hideMark/>
          </w:tcPr>
          <w:p w14:paraId="4FA6316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2,23%</w:t>
            </w:r>
          </w:p>
        </w:tc>
        <w:tc>
          <w:tcPr>
            <w:tcW w:w="648" w:type="dxa"/>
            <w:shd w:val="clear" w:color="auto" w:fill="auto"/>
            <w:noWrap/>
            <w:vAlign w:val="center"/>
            <w:hideMark/>
          </w:tcPr>
          <w:p w14:paraId="35C1388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50A3125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1B02CE3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55AE32E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16E3ABB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2,34%</w:t>
            </w:r>
          </w:p>
        </w:tc>
        <w:tc>
          <w:tcPr>
            <w:tcW w:w="648" w:type="dxa"/>
            <w:shd w:val="clear" w:color="auto" w:fill="auto"/>
            <w:noWrap/>
            <w:vAlign w:val="center"/>
            <w:hideMark/>
          </w:tcPr>
          <w:p w14:paraId="373FAFF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2,58%</w:t>
            </w:r>
          </w:p>
        </w:tc>
      </w:tr>
      <w:tr w:rsidR="00600A81" w:rsidRPr="00E84C93" w14:paraId="6401304C" w14:textId="77777777" w:rsidTr="008C3BC9">
        <w:trPr>
          <w:trHeight w:val="243"/>
        </w:trPr>
        <w:tc>
          <w:tcPr>
            <w:tcW w:w="2309" w:type="dxa"/>
            <w:shd w:val="clear" w:color="auto" w:fill="auto"/>
            <w:vAlign w:val="center"/>
          </w:tcPr>
          <w:p w14:paraId="408A9F5C"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Колубарски округ</w:t>
            </w:r>
          </w:p>
        </w:tc>
        <w:tc>
          <w:tcPr>
            <w:tcW w:w="566" w:type="dxa"/>
            <w:shd w:val="clear" w:color="auto" w:fill="auto"/>
            <w:noWrap/>
            <w:vAlign w:val="center"/>
            <w:hideMark/>
          </w:tcPr>
          <w:p w14:paraId="2110502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2,02%</w:t>
            </w:r>
          </w:p>
        </w:tc>
        <w:tc>
          <w:tcPr>
            <w:tcW w:w="648" w:type="dxa"/>
            <w:shd w:val="clear" w:color="auto" w:fill="auto"/>
            <w:noWrap/>
            <w:vAlign w:val="center"/>
            <w:hideMark/>
          </w:tcPr>
          <w:p w14:paraId="09DFF02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2,00%</w:t>
            </w:r>
          </w:p>
        </w:tc>
        <w:tc>
          <w:tcPr>
            <w:tcW w:w="648" w:type="dxa"/>
            <w:shd w:val="clear" w:color="auto" w:fill="auto"/>
            <w:noWrap/>
            <w:vAlign w:val="center"/>
            <w:hideMark/>
          </w:tcPr>
          <w:p w14:paraId="6F0D48B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2,06%</w:t>
            </w:r>
          </w:p>
        </w:tc>
        <w:tc>
          <w:tcPr>
            <w:tcW w:w="648" w:type="dxa"/>
            <w:shd w:val="clear" w:color="auto" w:fill="auto"/>
            <w:noWrap/>
            <w:vAlign w:val="center"/>
            <w:hideMark/>
          </w:tcPr>
          <w:p w14:paraId="6BAC271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2,13%</w:t>
            </w:r>
          </w:p>
        </w:tc>
        <w:tc>
          <w:tcPr>
            <w:tcW w:w="648" w:type="dxa"/>
            <w:shd w:val="clear" w:color="auto" w:fill="auto"/>
            <w:noWrap/>
            <w:vAlign w:val="center"/>
            <w:hideMark/>
          </w:tcPr>
          <w:p w14:paraId="4664929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2,32%</w:t>
            </w:r>
          </w:p>
        </w:tc>
        <w:tc>
          <w:tcPr>
            <w:tcW w:w="648" w:type="dxa"/>
            <w:shd w:val="clear" w:color="auto" w:fill="auto"/>
            <w:noWrap/>
            <w:vAlign w:val="center"/>
            <w:hideMark/>
          </w:tcPr>
          <w:p w14:paraId="1B599B9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2,38%</w:t>
            </w:r>
          </w:p>
        </w:tc>
        <w:tc>
          <w:tcPr>
            <w:tcW w:w="648" w:type="dxa"/>
            <w:shd w:val="clear" w:color="auto" w:fill="auto"/>
            <w:noWrap/>
            <w:vAlign w:val="center"/>
            <w:hideMark/>
          </w:tcPr>
          <w:p w14:paraId="57B250F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2,39%</w:t>
            </w:r>
          </w:p>
        </w:tc>
        <w:tc>
          <w:tcPr>
            <w:tcW w:w="648" w:type="dxa"/>
            <w:shd w:val="clear" w:color="auto" w:fill="auto"/>
            <w:noWrap/>
            <w:vAlign w:val="center"/>
            <w:hideMark/>
          </w:tcPr>
          <w:p w14:paraId="6ED9B3A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2,39%</w:t>
            </w:r>
          </w:p>
        </w:tc>
        <w:tc>
          <w:tcPr>
            <w:tcW w:w="648" w:type="dxa"/>
            <w:shd w:val="clear" w:color="auto" w:fill="auto"/>
            <w:noWrap/>
            <w:vAlign w:val="center"/>
            <w:hideMark/>
          </w:tcPr>
          <w:p w14:paraId="30CEF5C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2,39%</w:t>
            </w:r>
          </w:p>
        </w:tc>
        <w:tc>
          <w:tcPr>
            <w:tcW w:w="648" w:type="dxa"/>
            <w:shd w:val="clear" w:color="auto" w:fill="auto"/>
            <w:noWrap/>
            <w:vAlign w:val="center"/>
            <w:hideMark/>
          </w:tcPr>
          <w:p w14:paraId="0EB7859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2,41%</w:t>
            </w:r>
          </w:p>
        </w:tc>
        <w:tc>
          <w:tcPr>
            <w:tcW w:w="648" w:type="dxa"/>
            <w:shd w:val="clear" w:color="auto" w:fill="auto"/>
            <w:noWrap/>
            <w:vAlign w:val="center"/>
            <w:hideMark/>
          </w:tcPr>
          <w:p w14:paraId="318C074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2,69%</w:t>
            </w:r>
          </w:p>
        </w:tc>
      </w:tr>
      <w:tr w:rsidR="00600A81" w:rsidRPr="00E84C93" w14:paraId="7F2D0A4E" w14:textId="77777777" w:rsidTr="008C3BC9">
        <w:trPr>
          <w:trHeight w:val="243"/>
        </w:trPr>
        <w:tc>
          <w:tcPr>
            <w:tcW w:w="2309" w:type="dxa"/>
            <w:shd w:val="clear" w:color="auto" w:fill="auto"/>
            <w:vAlign w:val="center"/>
          </w:tcPr>
          <w:p w14:paraId="1CA6C235"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Мачвански округ</w:t>
            </w:r>
          </w:p>
        </w:tc>
        <w:tc>
          <w:tcPr>
            <w:tcW w:w="566" w:type="dxa"/>
            <w:shd w:val="clear" w:color="auto" w:fill="auto"/>
            <w:noWrap/>
            <w:vAlign w:val="center"/>
            <w:hideMark/>
          </w:tcPr>
          <w:p w14:paraId="447522A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2,53%</w:t>
            </w:r>
          </w:p>
        </w:tc>
        <w:tc>
          <w:tcPr>
            <w:tcW w:w="648" w:type="dxa"/>
            <w:shd w:val="clear" w:color="auto" w:fill="auto"/>
            <w:noWrap/>
            <w:vAlign w:val="center"/>
            <w:hideMark/>
          </w:tcPr>
          <w:p w14:paraId="5CBE36E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2,51%</w:t>
            </w:r>
          </w:p>
        </w:tc>
        <w:tc>
          <w:tcPr>
            <w:tcW w:w="648" w:type="dxa"/>
            <w:shd w:val="clear" w:color="auto" w:fill="auto"/>
            <w:noWrap/>
            <w:vAlign w:val="center"/>
            <w:hideMark/>
          </w:tcPr>
          <w:p w14:paraId="084C3F0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2,51%</w:t>
            </w:r>
          </w:p>
        </w:tc>
        <w:tc>
          <w:tcPr>
            <w:tcW w:w="648" w:type="dxa"/>
            <w:shd w:val="clear" w:color="auto" w:fill="auto"/>
            <w:noWrap/>
            <w:vAlign w:val="center"/>
            <w:hideMark/>
          </w:tcPr>
          <w:p w14:paraId="701A37C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2,82%</w:t>
            </w:r>
          </w:p>
        </w:tc>
        <w:tc>
          <w:tcPr>
            <w:tcW w:w="648" w:type="dxa"/>
            <w:shd w:val="clear" w:color="auto" w:fill="auto"/>
            <w:noWrap/>
            <w:vAlign w:val="center"/>
            <w:hideMark/>
          </w:tcPr>
          <w:p w14:paraId="38DB618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2,90%</w:t>
            </w:r>
          </w:p>
        </w:tc>
        <w:tc>
          <w:tcPr>
            <w:tcW w:w="648" w:type="dxa"/>
            <w:shd w:val="clear" w:color="auto" w:fill="auto"/>
            <w:noWrap/>
            <w:vAlign w:val="center"/>
            <w:hideMark/>
          </w:tcPr>
          <w:p w14:paraId="533A535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3,01%</w:t>
            </w:r>
          </w:p>
        </w:tc>
        <w:tc>
          <w:tcPr>
            <w:tcW w:w="648" w:type="dxa"/>
            <w:shd w:val="clear" w:color="auto" w:fill="auto"/>
            <w:noWrap/>
            <w:vAlign w:val="center"/>
            <w:hideMark/>
          </w:tcPr>
          <w:p w14:paraId="7F9BE06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19FCF1A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2,99%</w:t>
            </w:r>
          </w:p>
        </w:tc>
        <w:tc>
          <w:tcPr>
            <w:tcW w:w="648" w:type="dxa"/>
            <w:shd w:val="clear" w:color="auto" w:fill="auto"/>
            <w:noWrap/>
            <w:vAlign w:val="center"/>
            <w:hideMark/>
          </w:tcPr>
          <w:p w14:paraId="17CEDDC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2,98%</w:t>
            </w:r>
          </w:p>
        </w:tc>
        <w:tc>
          <w:tcPr>
            <w:tcW w:w="648" w:type="dxa"/>
            <w:shd w:val="clear" w:color="auto" w:fill="auto"/>
            <w:noWrap/>
            <w:vAlign w:val="center"/>
            <w:hideMark/>
          </w:tcPr>
          <w:p w14:paraId="761F9DF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2,98%</w:t>
            </w:r>
          </w:p>
        </w:tc>
        <w:tc>
          <w:tcPr>
            <w:tcW w:w="648" w:type="dxa"/>
            <w:shd w:val="clear" w:color="auto" w:fill="auto"/>
            <w:noWrap/>
            <w:vAlign w:val="center"/>
            <w:hideMark/>
          </w:tcPr>
          <w:p w14:paraId="35FB27A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3,19%</w:t>
            </w:r>
          </w:p>
        </w:tc>
      </w:tr>
      <w:tr w:rsidR="00600A81" w:rsidRPr="00E84C93" w14:paraId="754784F1" w14:textId="77777777" w:rsidTr="008C3BC9">
        <w:trPr>
          <w:trHeight w:val="243"/>
        </w:trPr>
        <w:tc>
          <w:tcPr>
            <w:tcW w:w="2309" w:type="dxa"/>
            <w:shd w:val="clear" w:color="auto" w:fill="auto"/>
            <w:vAlign w:val="center"/>
          </w:tcPr>
          <w:p w14:paraId="7DF14DF7"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Моравички округ</w:t>
            </w:r>
          </w:p>
        </w:tc>
        <w:tc>
          <w:tcPr>
            <w:tcW w:w="566" w:type="dxa"/>
            <w:shd w:val="clear" w:color="auto" w:fill="auto"/>
            <w:noWrap/>
            <w:vAlign w:val="center"/>
            <w:hideMark/>
          </w:tcPr>
          <w:p w14:paraId="2D48F1D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1,89%</w:t>
            </w:r>
          </w:p>
        </w:tc>
        <w:tc>
          <w:tcPr>
            <w:tcW w:w="648" w:type="dxa"/>
            <w:shd w:val="clear" w:color="auto" w:fill="auto"/>
            <w:noWrap/>
            <w:vAlign w:val="center"/>
            <w:hideMark/>
          </w:tcPr>
          <w:p w14:paraId="6272C1B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1,87%</w:t>
            </w:r>
          </w:p>
        </w:tc>
        <w:tc>
          <w:tcPr>
            <w:tcW w:w="648" w:type="dxa"/>
            <w:shd w:val="clear" w:color="auto" w:fill="auto"/>
            <w:noWrap/>
            <w:vAlign w:val="center"/>
            <w:hideMark/>
          </w:tcPr>
          <w:p w14:paraId="677E3F9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1,86%</w:t>
            </w:r>
          </w:p>
        </w:tc>
        <w:tc>
          <w:tcPr>
            <w:tcW w:w="648" w:type="dxa"/>
            <w:shd w:val="clear" w:color="auto" w:fill="auto"/>
            <w:noWrap/>
            <w:vAlign w:val="center"/>
            <w:hideMark/>
          </w:tcPr>
          <w:p w14:paraId="7159F02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1,85%</w:t>
            </w:r>
          </w:p>
        </w:tc>
        <w:tc>
          <w:tcPr>
            <w:tcW w:w="648" w:type="dxa"/>
            <w:shd w:val="clear" w:color="auto" w:fill="auto"/>
            <w:noWrap/>
            <w:vAlign w:val="center"/>
            <w:hideMark/>
          </w:tcPr>
          <w:p w14:paraId="225EC46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1,86%</w:t>
            </w:r>
          </w:p>
        </w:tc>
        <w:tc>
          <w:tcPr>
            <w:tcW w:w="648" w:type="dxa"/>
            <w:shd w:val="clear" w:color="auto" w:fill="auto"/>
            <w:noWrap/>
            <w:vAlign w:val="center"/>
            <w:hideMark/>
          </w:tcPr>
          <w:p w14:paraId="28A1CB7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1,92%</w:t>
            </w:r>
          </w:p>
        </w:tc>
        <w:tc>
          <w:tcPr>
            <w:tcW w:w="648" w:type="dxa"/>
            <w:shd w:val="clear" w:color="auto" w:fill="auto"/>
            <w:noWrap/>
            <w:vAlign w:val="center"/>
            <w:hideMark/>
          </w:tcPr>
          <w:p w14:paraId="620817A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1,91%</w:t>
            </w:r>
          </w:p>
        </w:tc>
        <w:tc>
          <w:tcPr>
            <w:tcW w:w="648" w:type="dxa"/>
            <w:shd w:val="clear" w:color="auto" w:fill="auto"/>
            <w:noWrap/>
            <w:vAlign w:val="center"/>
            <w:hideMark/>
          </w:tcPr>
          <w:p w14:paraId="6B7F758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1,90%</w:t>
            </w:r>
          </w:p>
        </w:tc>
        <w:tc>
          <w:tcPr>
            <w:tcW w:w="648" w:type="dxa"/>
            <w:shd w:val="clear" w:color="auto" w:fill="auto"/>
            <w:noWrap/>
            <w:vAlign w:val="center"/>
            <w:hideMark/>
          </w:tcPr>
          <w:p w14:paraId="13CD519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1,88%</w:t>
            </w:r>
          </w:p>
        </w:tc>
        <w:tc>
          <w:tcPr>
            <w:tcW w:w="648" w:type="dxa"/>
            <w:shd w:val="clear" w:color="auto" w:fill="auto"/>
            <w:noWrap/>
            <w:vAlign w:val="center"/>
            <w:hideMark/>
          </w:tcPr>
          <w:p w14:paraId="46BF6CD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1,87%</w:t>
            </w:r>
          </w:p>
        </w:tc>
        <w:tc>
          <w:tcPr>
            <w:tcW w:w="648" w:type="dxa"/>
            <w:shd w:val="clear" w:color="auto" w:fill="auto"/>
            <w:noWrap/>
            <w:vAlign w:val="center"/>
            <w:hideMark/>
          </w:tcPr>
          <w:p w14:paraId="38BE3D6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2,18%</w:t>
            </w:r>
          </w:p>
        </w:tc>
      </w:tr>
      <w:tr w:rsidR="00600A81" w:rsidRPr="00E84C93" w14:paraId="1F5DD388" w14:textId="77777777" w:rsidTr="008C3BC9">
        <w:trPr>
          <w:trHeight w:val="243"/>
        </w:trPr>
        <w:tc>
          <w:tcPr>
            <w:tcW w:w="2309" w:type="dxa"/>
            <w:shd w:val="clear" w:color="auto" w:fill="auto"/>
            <w:vAlign w:val="center"/>
          </w:tcPr>
          <w:p w14:paraId="53C4058A"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Поморавски округ</w:t>
            </w:r>
          </w:p>
        </w:tc>
        <w:tc>
          <w:tcPr>
            <w:tcW w:w="566" w:type="dxa"/>
            <w:shd w:val="clear" w:color="auto" w:fill="auto"/>
            <w:noWrap/>
            <w:vAlign w:val="center"/>
            <w:hideMark/>
          </w:tcPr>
          <w:p w14:paraId="22155FD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2,59%</w:t>
            </w:r>
          </w:p>
        </w:tc>
        <w:tc>
          <w:tcPr>
            <w:tcW w:w="648" w:type="dxa"/>
            <w:shd w:val="clear" w:color="auto" w:fill="auto"/>
            <w:noWrap/>
            <w:vAlign w:val="center"/>
            <w:hideMark/>
          </w:tcPr>
          <w:p w14:paraId="290B8E3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2,57%</w:t>
            </w:r>
          </w:p>
        </w:tc>
        <w:tc>
          <w:tcPr>
            <w:tcW w:w="648" w:type="dxa"/>
            <w:shd w:val="clear" w:color="auto" w:fill="auto"/>
            <w:noWrap/>
            <w:vAlign w:val="center"/>
            <w:hideMark/>
          </w:tcPr>
          <w:p w14:paraId="3B5C4B5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2,56%</w:t>
            </w:r>
          </w:p>
        </w:tc>
        <w:tc>
          <w:tcPr>
            <w:tcW w:w="648" w:type="dxa"/>
            <w:shd w:val="clear" w:color="auto" w:fill="auto"/>
            <w:noWrap/>
            <w:vAlign w:val="center"/>
            <w:hideMark/>
          </w:tcPr>
          <w:p w14:paraId="5EC2531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2,62%</w:t>
            </w:r>
          </w:p>
        </w:tc>
        <w:tc>
          <w:tcPr>
            <w:tcW w:w="648" w:type="dxa"/>
            <w:shd w:val="clear" w:color="auto" w:fill="auto"/>
            <w:noWrap/>
            <w:vAlign w:val="center"/>
            <w:hideMark/>
          </w:tcPr>
          <w:p w14:paraId="5FFB86E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2,81%</w:t>
            </w:r>
          </w:p>
        </w:tc>
        <w:tc>
          <w:tcPr>
            <w:tcW w:w="648" w:type="dxa"/>
            <w:shd w:val="clear" w:color="auto" w:fill="auto"/>
            <w:noWrap/>
            <w:vAlign w:val="center"/>
            <w:hideMark/>
          </w:tcPr>
          <w:p w14:paraId="4F743AE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3,04%</w:t>
            </w:r>
          </w:p>
        </w:tc>
        <w:tc>
          <w:tcPr>
            <w:tcW w:w="648" w:type="dxa"/>
            <w:shd w:val="clear" w:color="auto" w:fill="auto"/>
            <w:noWrap/>
            <w:vAlign w:val="center"/>
            <w:hideMark/>
          </w:tcPr>
          <w:p w14:paraId="390516C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3,01%</w:t>
            </w:r>
          </w:p>
        </w:tc>
        <w:tc>
          <w:tcPr>
            <w:tcW w:w="648" w:type="dxa"/>
            <w:shd w:val="clear" w:color="auto" w:fill="auto"/>
            <w:noWrap/>
            <w:vAlign w:val="center"/>
            <w:hideMark/>
          </w:tcPr>
          <w:p w14:paraId="134775C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377D666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60CF19F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0425208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3,33%</w:t>
            </w:r>
          </w:p>
        </w:tc>
      </w:tr>
      <w:tr w:rsidR="00600A81" w:rsidRPr="00E84C93" w14:paraId="71BD7C42" w14:textId="77777777" w:rsidTr="008C3BC9">
        <w:trPr>
          <w:trHeight w:val="243"/>
        </w:trPr>
        <w:tc>
          <w:tcPr>
            <w:tcW w:w="2309" w:type="dxa"/>
            <w:shd w:val="clear" w:color="auto" w:fill="auto"/>
            <w:vAlign w:val="center"/>
          </w:tcPr>
          <w:p w14:paraId="6D88BEE0"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Расински округ</w:t>
            </w:r>
          </w:p>
        </w:tc>
        <w:tc>
          <w:tcPr>
            <w:tcW w:w="566" w:type="dxa"/>
            <w:shd w:val="clear" w:color="auto" w:fill="auto"/>
            <w:noWrap/>
            <w:vAlign w:val="center"/>
            <w:hideMark/>
          </w:tcPr>
          <w:p w14:paraId="320F999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2,18%</w:t>
            </w:r>
          </w:p>
        </w:tc>
        <w:tc>
          <w:tcPr>
            <w:tcW w:w="648" w:type="dxa"/>
            <w:shd w:val="clear" w:color="auto" w:fill="auto"/>
            <w:noWrap/>
            <w:vAlign w:val="center"/>
            <w:hideMark/>
          </w:tcPr>
          <w:p w14:paraId="1B84771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2,16%</w:t>
            </w:r>
          </w:p>
        </w:tc>
        <w:tc>
          <w:tcPr>
            <w:tcW w:w="648" w:type="dxa"/>
            <w:shd w:val="clear" w:color="auto" w:fill="auto"/>
            <w:noWrap/>
            <w:vAlign w:val="center"/>
            <w:hideMark/>
          </w:tcPr>
          <w:p w14:paraId="43D9BED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2,15%</w:t>
            </w:r>
          </w:p>
        </w:tc>
        <w:tc>
          <w:tcPr>
            <w:tcW w:w="648" w:type="dxa"/>
            <w:shd w:val="clear" w:color="auto" w:fill="auto"/>
            <w:noWrap/>
            <w:vAlign w:val="center"/>
            <w:hideMark/>
          </w:tcPr>
          <w:p w14:paraId="137C1AC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2,71%</w:t>
            </w:r>
          </w:p>
        </w:tc>
        <w:tc>
          <w:tcPr>
            <w:tcW w:w="648" w:type="dxa"/>
            <w:shd w:val="clear" w:color="auto" w:fill="auto"/>
            <w:noWrap/>
            <w:vAlign w:val="center"/>
            <w:hideMark/>
          </w:tcPr>
          <w:p w14:paraId="1B1AF1E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2,77%</w:t>
            </w:r>
          </w:p>
        </w:tc>
        <w:tc>
          <w:tcPr>
            <w:tcW w:w="648" w:type="dxa"/>
            <w:shd w:val="clear" w:color="auto" w:fill="auto"/>
            <w:noWrap/>
            <w:vAlign w:val="center"/>
            <w:hideMark/>
          </w:tcPr>
          <w:p w14:paraId="73BEB63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2,84%</w:t>
            </w:r>
          </w:p>
        </w:tc>
        <w:tc>
          <w:tcPr>
            <w:tcW w:w="648" w:type="dxa"/>
            <w:shd w:val="clear" w:color="auto" w:fill="auto"/>
            <w:noWrap/>
            <w:vAlign w:val="center"/>
            <w:hideMark/>
          </w:tcPr>
          <w:p w14:paraId="7661DFA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2,81%</w:t>
            </w:r>
          </w:p>
        </w:tc>
        <w:tc>
          <w:tcPr>
            <w:tcW w:w="648" w:type="dxa"/>
            <w:shd w:val="clear" w:color="auto" w:fill="auto"/>
            <w:noWrap/>
            <w:vAlign w:val="center"/>
            <w:hideMark/>
          </w:tcPr>
          <w:p w14:paraId="23CF05E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2,79%</w:t>
            </w:r>
          </w:p>
        </w:tc>
        <w:tc>
          <w:tcPr>
            <w:tcW w:w="648" w:type="dxa"/>
            <w:shd w:val="clear" w:color="auto" w:fill="auto"/>
            <w:noWrap/>
            <w:vAlign w:val="center"/>
            <w:hideMark/>
          </w:tcPr>
          <w:p w14:paraId="58234EB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2,77%</w:t>
            </w:r>
          </w:p>
        </w:tc>
        <w:tc>
          <w:tcPr>
            <w:tcW w:w="648" w:type="dxa"/>
            <w:shd w:val="clear" w:color="auto" w:fill="auto"/>
            <w:noWrap/>
            <w:vAlign w:val="center"/>
            <w:hideMark/>
          </w:tcPr>
          <w:p w14:paraId="5D8F480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2,75%</w:t>
            </w:r>
          </w:p>
        </w:tc>
        <w:tc>
          <w:tcPr>
            <w:tcW w:w="648" w:type="dxa"/>
            <w:shd w:val="clear" w:color="auto" w:fill="auto"/>
            <w:noWrap/>
            <w:vAlign w:val="center"/>
            <w:hideMark/>
          </w:tcPr>
          <w:p w14:paraId="5CCAF8F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2,84%</w:t>
            </w:r>
          </w:p>
        </w:tc>
      </w:tr>
      <w:tr w:rsidR="00600A81" w:rsidRPr="00E84C93" w14:paraId="1C56426D" w14:textId="77777777" w:rsidTr="008C3BC9">
        <w:trPr>
          <w:trHeight w:val="243"/>
        </w:trPr>
        <w:tc>
          <w:tcPr>
            <w:tcW w:w="2309" w:type="dxa"/>
            <w:shd w:val="clear" w:color="auto" w:fill="auto"/>
            <w:vAlign w:val="center"/>
          </w:tcPr>
          <w:p w14:paraId="0D54E518"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Рашки округ</w:t>
            </w:r>
          </w:p>
        </w:tc>
        <w:tc>
          <w:tcPr>
            <w:tcW w:w="566" w:type="dxa"/>
            <w:shd w:val="clear" w:color="auto" w:fill="auto"/>
            <w:noWrap/>
            <w:vAlign w:val="center"/>
            <w:hideMark/>
          </w:tcPr>
          <w:p w14:paraId="0CE5799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2,41%</w:t>
            </w:r>
          </w:p>
        </w:tc>
        <w:tc>
          <w:tcPr>
            <w:tcW w:w="648" w:type="dxa"/>
            <w:shd w:val="clear" w:color="auto" w:fill="auto"/>
            <w:noWrap/>
            <w:vAlign w:val="center"/>
            <w:hideMark/>
          </w:tcPr>
          <w:p w14:paraId="5A76BF0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2,39%</w:t>
            </w:r>
          </w:p>
        </w:tc>
        <w:tc>
          <w:tcPr>
            <w:tcW w:w="648" w:type="dxa"/>
            <w:shd w:val="clear" w:color="auto" w:fill="auto"/>
            <w:noWrap/>
            <w:vAlign w:val="center"/>
            <w:hideMark/>
          </w:tcPr>
          <w:p w14:paraId="188BE86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2,44%</w:t>
            </w:r>
          </w:p>
        </w:tc>
        <w:tc>
          <w:tcPr>
            <w:tcW w:w="648" w:type="dxa"/>
            <w:shd w:val="clear" w:color="auto" w:fill="auto"/>
            <w:noWrap/>
            <w:vAlign w:val="center"/>
            <w:hideMark/>
          </w:tcPr>
          <w:p w14:paraId="4A5EB3D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2,57%</w:t>
            </w:r>
          </w:p>
        </w:tc>
        <w:tc>
          <w:tcPr>
            <w:tcW w:w="648" w:type="dxa"/>
            <w:shd w:val="clear" w:color="auto" w:fill="auto"/>
            <w:noWrap/>
            <w:vAlign w:val="center"/>
            <w:hideMark/>
          </w:tcPr>
          <w:p w14:paraId="2E2640C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2,76%</w:t>
            </w:r>
          </w:p>
        </w:tc>
        <w:tc>
          <w:tcPr>
            <w:tcW w:w="648" w:type="dxa"/>
            <w:shd w:val="clear" w:color="auto" w:fill="auto"/>
            <w:noWrap/>
            <w:vAlign w:val="center"/>
            <w:hideMark/>
          </w:tcPr>
          <w:p w14:paraId="0C9108C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2,89%</w:t>
            </w:r>
          </w:p>
        </w:tc>
        <w:tc>
          <w:tcPr>
            <w:tcW w:w="648" w:type="dxa"/>
            <w:shd w:val="clear" w:color="auto" w:fill="auto"/>
            <w:noWrap/>
            <w:vAlign w:val="center"/>
            <w:hideMark/>
          </w:tcPr>
          <w:p w14:paraId="330ADAB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c>
          <w:tcPr>
            <w:tcW w:w="648" w:type="dxa"/>
            <w:shd w:val="clear" w:color="auto" w:fill="auto"/>
            <w:noWrap/>
            <w:vAlign w:val="center"/>
            <w:hideMark/>
          </w:tcPr>
          <w:p w14:paraId="4275743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c>
          <w:tcPr>
            <w:tcW w:w="648" w:type="dxa"/>
            <w:shd w:val="clear" w:color="auto" w:fill="auto"/>
            <w:noWrap/>
            <w:vAlign w:val="center"/>
            <w:hideMark/>
          </w:tcPr>
          <w:p w14:paraId="2EF79A9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c>
          <w:tcPr>
            <w:tcW w:w="648" w:type="dxa"/>
            <w:shd w:val="clear" w:color="auto" w:fill="auto"/>
            <w:noWrap/>
            <w:vAlign w:val="center"/>
            <w:hideMark/>
          </w:tcPr>
          <w:p w14:paraId="6BF1CF4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c>
          <w:tcPr>
            <w:tcW w:w="648" w:type="dxa"/>
            <w:shd w:val="clear" w:color="auto" w:fill="auto"/>
            <w:noWrap/>
            <w:vAlign w:val="center"/>
            <w:hideMark/>
          </w:tcPr>
          <w:p w14:paraId="36A96A0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3,47%</w:t>
            </w:r>
          </w:p>
        </w:tc>
      </w:tr>
      <w:tr w:rsidR="00600A81" w:rsidRPr="00E84C93" w14:paraId="475DB6C5" w14:textId="77777777" w:rsidTr="008C3BC9">
        <w:trPr>
          <w:trHeight w:val="243"/>
        </w:trPr>
        <w:tc>
          <w:tcPr>
            <w:tcW w:w="2309" w:type="dxa"/>
            <w:shd w:val="clear" w:color="auto" w:fill="auto"/>
            <w:vAlign w:val="center"/>
          </w:tcPr>
          <w:p w14:paraId="343F10F0"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Шумадијски округ</w:t>
            </w:r>
          </w:p>
        </w:tc>
        <w:tc>
          <w:tcPr>
            <w:tcW w:w="566" w:type="dxa"/>
            <w:shd w:val="clear" w:color="auto" w:fill="auto"/>
            <w:noWrap/>
            <w:vAlign w:val="center"/>
            <w:hideMark/>
          </w:tcPr>
          <w:p w14:paraId="727989A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1,90%</w:t>
            </w:r>
          </w:p>
        </w:tc>
        <w:tc>
          <w:tcPr>
            <w:tcW w:w="648" w:type="dxa"/>
            <w:shd w:val="clear" w:color="auto" w:fill="auto"/>
            <w:noWrap/>
            <w:vAlign w:val="center"/>
            <w:hideMark/>
          </w:tcPr>
          <w:p w14:paraId="3BA2839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1,88%</w:t>
            </w:r>
          </w:p>
        </w:tc>
        <w:tc>
          <w:tcPr>
            <w:tcW w:w="648" w:type="dxa"/>
            <w:shd w:val="clear" w:color="auto" w:fill="auto"/>
            <w:noWrap/>
            <w:vAlign w:val="center"/>
            <w:hideMark/>
          </w:tcPr>
          <w:p w14:paraId="649E18A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2,02%</w:t>
            </w:r>
          </w:p>
        </w:tc>
        <w:tc>
          <w:tcPr>
            <w:tcW w:w="648" w:type="dxa"/>
            <w:shd w:val="clear" w:color="auto" w:fill="auto"/>
            <w:noWrap/>
            <w:vAlign w:val="center"/>
            <w:hideMark/>
          </w:tcPr>
          <w:p w14:paraId="2023D93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2,25%</w:t>
            </w:r>
          </w:p>
        </w:tc>
        <w:tc>
          <w:tcPr>
            <w:tcW w:w="648" w:type="dxa"/>
            <w:shd w:val="clear" w:color="auto" w:fill="auto"/>
            <w:noWrap/>
            <w:vAlign w:val="center"/>
            <w:hideMark/>
          </w:tcPr>
          <w:p w14:paraId="1A50EF1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2,81%</w:t>
            </w:r>
          </w:p>
        </w:tc>
        <w:tc>
          <w:tcPr>
            <w:tcW w:w="648" w:type="dxa"/>
            <w:shd w:val="clear" w:color="auto" w:fill="auto"/>
            <w:noWrap/>
            <w:vAlign w:val="center"/>
            <w:hideMark/>
          </w:tcPr>
          <w:p w14:paraId="2DF0421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2,90%</w:t>
            </w:r>
          </w:p>
        </w:tc>
        <w:tc>
          <w:tcPr>
            <w:tcW w:w="648" w:type="dxa"/>
            <w:shd w:val="clear" w:color="auto" w:fill="auto"/>
            <w:noWrap/>
            <w:vAlign w:val="center"/>
            <w:hideMark/>
          </w:tcPr>
          <w:p w14:paraId="7523F07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2,98%</w:t>
            </w:r>
          </w:p>
        </w:tc>
        <w:tc>
          <w:tcPr>
            <w:tcW w:w="648" w:type="dxa"/>
            <w:shd w:val="clear" w:color="auto" w:fill="auto"/>
            <w:noWrap/>
            <w:vAlign w:val="center"/>
            <w:hideMark/>
          </w:tcPr>
          <w:p w14:paraId="7ECD51C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3,00%</w:t>
            </w:r>
          </w:p>
        </w:tc>
        <w:tc>
          <w:tcPr>
            <w:tcW w:w="648" w:type="dxa"/>
            <w:shd w:val="clear" w:color="auto" w:fill="auto"/>
            <w:noWrap/>
            <w:vAlign w:val="center"/>
            <w:hideMark/>
          </w:tcPr>
          <w:p w14:paraId="25C7615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3,06%</w:t>
            </w:r>
          </w:p>
        </w:tc>
        <w:tc>
          <w:tcPr>
            <w:tcW w:w="648" w:type="dxa"/>
            <w:shd w:val="clear" w:color="auto" w:fill="auto"/>
            <w:noWrap/>
            <w:vAlign w:val="center"/>
            <w:hideMark/>
          </w:tcPr>
          <w:p w14:paraId="6CEF026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3,11%</w:t>
            </w:r>
          </w:p>
        </w:tc>
        <w:tc>
          <w:tcPr>
            <w:tcW w:w="648" w:type="dxa"/>
            <w:shd w:val="clear" w:color="auto" w:fill="auto"/>
            <w:noWrap/>
            <w:vAlign w:val="center"/>
            <w:hideMark/>
          </w:tcPr>
          <w:p w14:paraId="283D010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3,09%</w:t>
            </w:r>
          </w:p>
        </w:tc>
      </w:tr>
      <w:tr w:rsidR="00600A81" w:rsidRPr="00E84C93" w14:paraId="081965F5" w14:textId="77777777" w:rsidTr="008C3BC9">
        <w:trPr>
          <w:trHeight w:val="243"/>
        </w:trPr>
        <w:tc>
          <w:tcPr>
            <w:tcW w:w="2309" w:type="dxa"/>
            <w:shd w:val="clear" w:color="auto" w:fill="auto"/>
            <w:vAlign w:val="center"/>
          </w:tcPr>
          <w:p w14:paraId="7139911C" w14:textId="77777777" w:rsidR="00600A81" w:rsidRPr="00E84C93" w:rsidRDefault="00600A81" w:rsidP="008C3BC9">
            <w:pPr>
              <w:spacing w:after="0"/>
              <w:rPr>
                <w:rFonts w:eastAsia="Times New Roman" w:cs="Times New Roman"/>
                <w:b/>
                <w:bCs/>
                <w:sz w:val="16"/>
                <w:szCs w:val="16"/>
                <w:lang w:val="sr-Cyrl-CS" w:eastAsia="sr-Latn-RS"/>
              </w:rPr>
            </w:pPr>
            <w:r w:rsidRPr="00E84C93">
              <w:rPr>
                <w:rFonts w:eastAsia="Times New Roman" w:cs="Times New Roman"/>
                <w:b/>
                <w:bCs/>
                <w:sz w:val="16"/>
                <w:szCs w:val="16"/>
                <w:lang w:val="sr-Cyrl-CS"/>
              </w:rPr>
              <w:t>Јужна и Источна Србија</w:t>
            </w:r>
          </w:p>
        </w:tc>
        <w:tc>
          <w:tcPr>
            <w:tcW w:w="566" w:type="dxa"/>
            <w:shd w:val="clear" w:color="auto" w:fill="auto"/>
            <w:noWrap/>
            <w:vAlign w:val="center"/>
            <w:hideMark/>
          </w:tcPr>
          <w:p w14:paraId="4880CE7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2,25%</w:t>
            </w:r>
          </w:p>
        </w:tc>
        <w:tc>
          <w:tcPr>
            <w:tcW w:w="648" w:type="dxa"/>
            <w:shd w:val="clear" w:color="auto" w:fill="auto"/>
            <w:noWrap/>
            <w:vAlign w:val="center"/>
            <w:hideMark/>
          </w:tcPr>
          <w:p w14:paraId="107C94DA"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2,23%</w:t>
            </w:r>
          </w:p>
        </w:tc>
        <w:tc>
          <w:tcPr>
            <w:tcW w:w="648" w:type="dxa"/>
            <w:shd w:val="clear" w:color="auto" w:fill="auto"/>
            <w:noWrap/>
            <w:vAlign w:val="center"/>
            <w:hideMark/>
          </w:tcPr>
          <w:p w14:paraId="166733D5"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2,22%</w:t>
            </w:r>
          </w:p>
        </w:tc>
        <w:tc>
          <w:tcPr>
            <w:tcW w:w="648" w:type="dxa"/>
            <w:shd w:val="clear" w:color="auto" w:fill="auto"/>
            <w:noWrap/>
            <w:vAlign w:val="center"/>
            <w:hideMark/>
          </w:tcPr>
          <w:p w14:paraId="103C348B"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2,37%</w:t>
            </w:r>
          </w:p>
        </w:tc>
        <w:tc>
          <w:tcPr>
            <w:tcW w:w="648" w:type="dxa"/>
            <w:shd w:val="clear" w:color="auto" w:fill="auto"/>
            <w:noWrap/>
            <w:vAlign w:val="center"/>
            <w:hideMark/>
          </w:tcPr>
          <w:p w14:paraId="70B87AE1"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2,47%</w:t>
            </w:r>
          </w:p>
        </w:tc>
        <w:tc>
          <w:tcPr>
            <w:tcW w:w="648" w:type="dxa"/>
            <w:shd w:val="clear" w:color="auto" w:fill="auto"/>
            <w:noWrap/>
            <w:vAlign w:val="center"/>
            <w:hideMark/>
          </w:tcPr>
          <w:p w14:paraId="704F0764"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2,58%</w:t>
            </w:r>
          </w:p>
        </w:tc>
        <w:tc>
          <w:tcPr>
            <w:tcW w:w="648" w:type="dxa"/>
            <w:shd w:val="clear" w:color="auto" w:fill="auto"/>
            <w:noWrap/>
            <w:vAlign w:val="center"/>
            <w:hideMark/>
          </w:tcPr>
          <w:p w14:paraId="22DB78B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2,61%</w:t>
            </w:r>
          </w:p>
        </w:tc>
        <w:tc>
          <w:tcPr>
            <w:tcW w:w="648" w:type="dxa"/>
            <w:shd w:val="clear" w:color="auto" w:fill="auto"/>
            <w:noWrap/>
            <w:vAlign w:val="center"/>
            <w:hideMark/>
          </w:tcPr>
          <w:p w14:paraId="58B217C2"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2,69%</w:t>
            </w:r>
          </w:p>
        </w:tc>
        <w:tc>
          <w:tcPr>
            <w:tcW w:w="648" w:type="dxa"/>
            <w:shd w:val="clear" w:color="auto" w:fill="auto"/>
            <w:noWrap/>
            <w:vAlign w:val="center"/>
            <w:hideMark/>
          </w:tcPr>
          <w:p w14:paraId="4346582D"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2,76%</w:t>
            </w:r>
          </w:p>
        </w:tc>
        <w:tc>
          <w:tcPr>
            <w:tcW w:w="648" w:type="dxa"/>
            <w:shd w:val="clear" w:color="auto" w:fill="auto"/>
            <w:noWrap/>
            <w:vAlign w:val="center"/>
            <w:hideMark/>
          </w:tcPr>
          <w:p w14:paraId="7CB182F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2,91%</w:t>
            </w:r>
          </w:p>
        </w:tc>
        <w:tc>
          <w:tcPr>
            <w:tcW w:w="648" w:type="dxa"/>
            <w:shd w:val="clear" w:color="auto" w:fill="auto"/>
            <w:noWrap/>
            <w:vAlign w:val="center"/>
            <w:hideMark/>
          </w:tcPr>
          <w:p w14:paraId="40FB69DF" w14:textId="77777777" w:rsidR="00600A81" w:rsidRPr="00E84C93" w:rsidRDefault="00600A81" w:rsidP="008C3BC9">
            <w:pPr>
              <w:spacing w:after="0"/>
              <w:jc w:val="right"/>
              <w:rPr>
                <w:rFonts w:eastAsia="Times New Roman" w:cs="Times New Roman"/>
                <w:b/>
                <w:bCs/>
                <w:sz w:val="16"/>
                <w:szCs w:val="16"/>
                <w:lang w:val="sr-Cyrl-CS" w:eastAsia="sr-Latn-RS"/>
              </w:rPr>
            </w:pPr>
            <w:r w:rsidRPr="00E84C93">
              <w:rPr>
                <w:rFonts w:eastAsia="Times New Roman" w:cs="Times New Roman"/>
                <w:b/>
                <w:bCs/>
                <w:sz w:val="16"/>
                <w:szCs w:val="16"/>
                <w:lang w:val="sr-Cyrl-CS" w:eastAsia="sr-Latn-RS"/>
              </w:rPr>
              <w:t>3,05%</w:t>
            </w:r>
          </w:p>
        </w:tc>
      </w:tr>
      <w:tr w:rsidR="00600A81" w:rsidRPr="00E84C93" w14:paraId="09A007BA" w14:textId="77777777" w:rsidTr="008C3BC9">
        <w:trPr>
          <w:trHeight w:val="243"/>
        </w:trPr>
        <w:tc>
          <w:tcPr>
            <w:tcW w:w="2309" w:type="dxa"/>
            <w:shd w:val="clear" w:color="auto" w:fill="auto"/>
            <w:vAlign w:val="center"/>
          </w:tcPr>
          <w:p w14:paraId="51692897"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Борски округ</w:t>
            </w:r>
          </w:p>
        </w:tc>
        <w:tc>
          <w:tcPr>
            <w:tcW w:w="566" w:type="dxa"/>
            <w:shd w:val="clear" w:color="auto" w:fill="auto"/>
            <w:noWrap/>
            <w:vAlign w:val="center"/>
            <w:hideMark/>
          </w:tcPr>
          <w:p w14:paraId="4A4718B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2,04%</w:t>
            </w:r>
          </w:p>
        </w:tc>
        <w:tc>
          <w:tcPr>
            <w:tcW w:w="648" w:type="dxa"/>
            <w:shd w:val="clear" w:color="auto" w:fill="auto"/>
            <w:noWrap/>
            <w:vAlign w:val="center"/>
            <w:hideMark/>
          </w:tcPr>
          <w:p w14:paraId="248C525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2,02%</w:t>
            </w:r>
          </w:p>
        </w:tc>
        <w:tc>
          <w:tcPr>
            <w:tcW w:w="648" w:type="dxa"/>
            <w:shd w:val="clear" w:color="auto" w:fill="auto"/>
            <w:noWrap/>
            <w:vAlign w:val="center"/>
            <w:hideMark/>
          </w:tcPr>
          <w:p w14:paraId="363EB07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2,04%</w:t>
            </w:r>
          </w:p>
        </w:tc>
        <w:tc>
          <w:tcPr>
            <w:tcW w:w="648" w:type="dxa"/>
            <w:shd w:val="clear" w:color="auto" w:fill="auto"/>
            <w:noWrap/>
            <w:vAlign w:val="center"/>
            <w:hideMark/>
          </w:tcPr>
          <w:p w14:paraId="1E0574B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2,06%</w:t>
            </w:r>
          </w:p>
        </w:tc>
        <w:tc>
          <w:tcPr>
            <w:tcW w:w="648" w:type="dxa"/>
            <w:shd w:val="clear" w:color="auto" w:fill="auto"/>
            <w:noWrap/>
            <w:vAlign w:val="center"/>
            <w:hideMark/>
          </w:tcPr>
          <w:p w14:paraId="525A768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2,26%</w:t>
            </w:r>
          </w:p>
        </w:tc>
        <w:tc>
          <w:tcPr>
            <w:tcW w:w="648" w:type="dxa"/>
            <w:shd w:val="clear" w:color="auto" w:fill="auto"/>
            <w:noWrap/>
            <w:vAlign w:val="center"/>
            <w:hideMark/>
          </w:tcPr>
          <w:p w14:paraId="7381024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2,26%</w:t>
            </w:r>
          </w:p>
        </w:tc>
        <w:tc>
          <w:tcPr>
            <w:tcW w:w="648" w:type="dxa"/>
            <w:shd w:val="clear" w:color="auto" w:fill="auto"/>
            <w:noWrap/>
            <w:vAlign w:val="center"/>
            <w:hideMark/>
          </w:tcPr>
          <w:p w14:paraId="3741990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2,25%</w:t>
            </w:r>
          </w:p>
        </w:tc>
        <w:tc>
          <w:tcPr>
            <w:tcW w:w="648" w:type="dxa"/>
            <w:shd w:val="clear" w:color="auto" w:fill="auto"/>
            <w:noWrap/>
            <w:vAlign w:val="center"/>
            <w:hideMark/>
          </w:tcPr>
          <w:p w14:paraId="6A98EB7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2,24%</w:t>
            </w:r>
          </w:p>
        </w:tc>
        <w:tc>
          <w:tcPr>
            <w:tcW w:w="648" w:type="dxa"/>
            <w:shd w:val="clear" w:color="auto" w:fill="auto"/>
            <w:noWrap/>
            <w:vAlign w:val="center"/>
            <w:hideMark/>
          </w:tcPr>
          <w:p w14:paraId="078E6EC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2,23%</w:t>
            </w:r>
          </w:p>
        </w:tc>
        <w:tc>
          <w:tcPr>
            <w:tcW w:w="648" w:type="dxa"/>
            <w:shd w:val="clear" w:color="auto" w:fill="auto"/>
            <w:noWrap/>
            <w:vAlign w:val="center"/>
            <w:hideMark/>
          </w:tcPr>
          <w:p w14:paraId="7E3D933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2,25%</w:t>
            </w:r>
          </w:p>
        </w:tc>
        <w:tc>
          <w:tcPr>
            <w:tcW w:w="648" w:type="dxa"/>
            <w:shd w:val="clear" w:color="auto" w:fill="auto"/>
            <w:noWrap/>
            <w:vAlign w:val="center"/>
            <w:hideMark/>
          </w:tcPr>
          <w:p w14:paraId="1B46E3D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2,47%</w:t>
            </w:r>
          </w:p>
        </w:tc>
      </w:tr>
      <w:tr w:rsidR="00600A81" w:rsidRPr="00E84C93" w14:paraId="77A668D4" w14:textId="77777777" w:rsidTr="008C3BC9">
        <w:trPr>
          <w:trHeight w:val="243"/>
        </w:trPr>
        <w:tc>
          <w:tcPr>
            <w:tcW w:w="2309" w:type="dxa"/>
            <w:shd w:val="clear" w:color="auto" w:fill="auto"/>
            <w:vAlign w:val="center"/>
          </w:tcPr>
          <w:p w14:paraId="5B5522C4"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Браничевски округ</w:t>
            </w:r>
          </w:p>
        </w:tc>
        <w:tc>
          <w:tcPr>
            <w:tcW w:w="566" w:type="dxa"/>
            <w:shd w:val="clear" w:color="auto" w:fill="auto"/>
            <w:noWrap/>
            <w:vAlign w:val="center"/>
            <w:hideMark/>
          </w:tcPr>
          <w:p w14:paraId="6C239BE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2,43%</w:t>
            </w:r>
          </w:p>
        </w:tc>
        <w:tc>
          <w:tcPr>
            <w:tcW w:w="648" w:type="dxa"/>
            <w:shd w:val="clear" w:color="auto" w:fill="auto"/>
            <w:noWrap/>
            <w:vAlign w:val="center"/>
            <w:hideMark/>
          </w:tcPr>
          <w:p w14:paraId="2D200F6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2,41%</w:t>
            </w:r>
          </w:p>
        </w:tc>
        <w:tc>
          <w:tcPr>
            <w:tcW w:w="648" w:type="dxa"/>
            <w:shd w:val="clear" w:color="auto" w:fill="auto"/>
            <w:noWrap/>
            <w:vAlign w:val="center"/>
            <w:hideMark/>
          </w:tcPr>
          <w:p w14:paraId="41FBEE9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2,39%</w:t>
            </w:r>
          </w:p>
        </w:tc>
        <w:tc>
          <w:tcPr>
            <w:tcW w:w="648" w:type="dxa"/>
            <w:shd w:val="clear" w:color="auto" w:fill="auto"/>
            <w:noWrap/>
            <w:vAlign w:val="center"/>
            <w:hideMark/>
          </w:tcPr>
          <w:p w14:paraId="78FDAAB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2,37%</w:t>
            </w:r>
          </w:p>
        </w:tc>
        <w:tc>
          <w:tcPr>
            <w:tcW w:w="648" w:type="dxa"/>
            <w:shd w:val="clear" w:color="auto" w:fill="auto"/>
            <w:noWrap/>
            <w:vAlign w:val="center"/>
            <w:hideMark/>
          </w:tcPr>
          <w:p w14:paraId="368C0D3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2,41%</w:t>
            </w:r>
          </w:p>
        </w:tc>
        <w:tc>
          <w:tcPr>
            <w:tcW w:w="648" w:type="dxa"/>
            <w:shd w:val="clear" w:color="auto" w:fill="auto"/>
            <w:noWrap/>
            <w:vAlign w:val="center"/>
            <w:hideMark/>
          </w:tcPr>
          <w:p w14:paraId="35E4013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2,52%</w:t>
            </w:r>
          </w:p>
        </w:tc>
        <w:tc>
          <w:tcPr>
            <w:tcW w:w="648" w:type="dxa"/>
            <w:shd w:val="clear" w:color="auto" w:fill="auto"/>
            <w:noWrap/>
            <w:vAlign w:val="center"/>
            <w:hideMark/>
          </w:tcPr>
          <w:p w14:paraId="070FC66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2,53%</w:t>
            </w:r>
          </w:p>
        </w:tc>
        <w:tc>
          <w:tcPr>
            <w:tcW w:w="648" w:type="dxa"/>
            <w:shd w:val="clear" w:color="auto" w:fill="auto"/>
            <w:noWrap/>
            <w:vAlign w:val="center"/>
            <w:hideMark/>
          </w:tcPr>
          <w:p w14:paraId="033BC12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2,54%</w:t>
            </w:r>
          </w:p>
        </w:tc>
        <w:tc>
          <w:tcPr>
            <w:tcW w:w="648" w:type="dxa"/>
            <w:shd w:val="clear" w:color="auto" w:fill="auto"/>
            <w:noWrap/>
            <w:vAlign w:val="center"/>
            <w:hideMark/>
          </w:tcPr>
          <w:p w14:paraId="266CC2B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2,54%</w:t>
            </w:r>
          </w:p>
        </w:tc>
        <w:tc>
          <w:tcPr>
            <w:tcW w:w="648" w:type="dxa"/>
            <w:shd w:val="clear" w:color="auto" w:fill="auto"/>
            <w:noWrap/>
            <w:vAlign w:val="center"/>
            <w:hideMark/>
          </w:tcPr>
          <w:p w14:paraId="3575C08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2,59%</w:t>
            </w:r>
          </w:p>
        </w:tc>
        <w:tc>
          <w:tcPr>
            <w:tcW w:w="648" w:type="dxa"/>
            <w:shd w:val="clear" w:color="auto" w:fill="auto"/>
            <w:noWrap/>
            <w:vAlign w:val="center"/>
            <w:hideMark/>
          </w:tcPr>
          <w:p w14:paraId="01676BF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2,99%</w:t>
            </w:r>
          </w:p>
        </w:tc>
      </w:tr>
      <w:tr w:rsidR="00600A81" w:rsidRPr="00E84C93" w14:paraId="52CA3E5F" w14:textId="77777777" w:rsidTr="008C3BC9">
        <w:trPr>
          <w:trHeight w:val="243"/>
        </w:trPr>
        <w:tc>
          <w:tcPr>
            <w:tcW w:w="2309" w:type="dxa"/>
            <w:shd w:val="clear" w:color="auto" w:fill="auto"/>
            <w:vAlign w:val="center"/>
          </w:tcPr>
          <w:p w14:paraId="46107564"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Зајечарски округ</w:t>
            </w:r>
          </w:p>
        </w:tc>
        <w:tc>
          <w:tcPr>
            <w:tcW w:w="566" w:type="dxa"/>
            <w:shd w:val="clear" w:color="auto" w:fill="auto"/>
            <w:noWrap/>
            <w:vAlign w:val="center"/>
            <w:hideMark/>
          </w:tcPr>
          <w:p w14:paraId="007463C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2,98%</w:t>
            </w:r>
          </w:p>
        </w:tc>
        <w:tc>
          <w:tcPr>
            <w:tcW w:w="648" w:type="dxa"/>
            <w:shd w:val="clear" w:color="auto" w:fill="auto"/>
            <w:noWrap/>
            <w:vAlign w:val="center"/>
            <w:hideMark/>
          </w:tcPr>
          <w:p w14:paraId="0C23C89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2,94%</w:t>
            </w:r>
          </w:p>
        </w:tc>
        <w:tc>
          <w:tcPr>
            <w:tcW w:w="648" w:type="dxa"/>
            <w:shd w:val="clear" w:color="auto" w:fill="auto"/>
            <w:noWrap/>
            <w:vAlign w:val="center"/>
            <w:hideMark/>
          </w:tcPr>
          <w:p w14:paraId="53D23A4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2,92%</w:t>
            </w:r>
          </w:p>
        </w:tc>
        <w:tc>
          <w:tcPr>
            <w:tcW w:w="648" w:type="dxa"/>
            <w:shd w:val="clear" w:color="auto" w:fill="auto"/>
            <w:noWrap/>
            <w:vAlign w:val="center"/>
            <w:hideMark/>
          </w:tcPr>
          <w:p w14:paraId="4312350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2,90%</w:t>
            </w:r>
          </w:p>
        </w:tc>
        <w:tc>
          <w:tcPr>
            <w:tcW w:w="648" w:type="dxa"/>
            <w:shd w:val="clear" w:color="auto" w:fill="auto"/>
            <w:noWrap/>
            <w:vAlign w:val="center"/>
            <w:hideMark/>
          </w:tcPr>
          <w:p w14:paraId="2C8857E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2,97%</w:t>
            </w:r>
          </w:p>
        </w:tc>
        <w:tc>
          <w:tcPr>
            <w:tcW w:w="648" w:type="dxa"/>
            <w:shd w:val="clear" w:color="auto" w:fill="auto"/>
            <w:noWrap/>
            <w:vAlign w:val="center"/>
            <w:hideMark/>
          </w:tcPr>
          <w:p w14:paraId="05A1326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2,96%</w:t>
            </w:r>
          </w:p>
        </w:tc>
        <w:tc>
          <w:tcPr>
            <w:tcW w:w="648" w:type="dxa"/>
            <w:shd w:val="clear" w:color="auto" w:fill="auto"/>
            <w:noWrap/>
            <w:vAlign w:val="center"/>
            <w:hideMark/>
          </w:tcPr>
          <w:p w14:paraId="1416779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2,92%</w:t>
            </w:r>
          </w:p>
        </w:tc>
        <w:tc>
          <w:tcPr>
            <w:tcW w:w="648" w:type="dxa"/>
            <w:shd w:val="clear" w:color="auto" w:fill="auto"/>
            <w:noWrap/>
            <w:vAlign w:val="center"/>
            <w:hideMark/>
          </w:tcPr>
          <w:p w14:paraId="3CF60F0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c>
          <w:tcPr>
            <w:tcW w:w="648" w:type="dxa"/>
            <w:shd w:val="clear" w:color="auto" w:fill="auto"/>
            <w:noWrap/>
            <w:vAlign w:val="center"/>
            <w:hideMark/>
          </w:tcPr>
          <w:p w14:paraId="46AC5EF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2,85%</w:t>
            </w:r>
          </w:p>
        </w:tc>
        <w:tc>
          <w:tcPr>
            <w:tcW w:w="648" w:type="dxa"/>
            <w:shd w:val="clear" w:color="auto" w:fill="auto"/>
            <w:noWrap/>
            <w:vAlign w:val="center"/>
            <w:hideMark/>
          </w:tcPr>
          <w:p w14:paraId="5DC3B2C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2,84%</w:t>
            </w:r>
          </w:p>
        </w:tc>
        <w:tc>
          <w:tcPr>
            <w:tcW w:w="648" w:type="dxa"/>
            <w:shd w:val="clear" w:color="auto" w:fill="auto"/>
            <w:noWrap/>
            <w:vAlign w:val="center"/>
            <w:hideMark/>
          </w:tcPr>
          <w:p w14:paraId="37AF152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2,93%</w:t>
            </w:r>
          </w:p>
        </w:tc>
      </w:tr>
      <w:tr w:rsidR="00600A81" w:rsidRPr="00E84C93" w14:paraId="08FEBFE4" w14:textId="77777777" w:rsidTr="008C3BC9">
        <w:trPr>
          <w:trHeight w:val="243"/>
        </w:trPr>
        <w:tc>
          <w:tcPr>
            <w:tcW w:w="2309" w:type="dxa"/>
            <w:shd w:val="clear" w:color="auto" w:fill="auto"/>
            <w:vAlign w:val="center"/>
          </w:tcPr>
          <w:p w14:paraId="33C7A2DF"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Јабланички округ</w:t>
            </w:r>
          </w:p>
        </w:tc>
        <w:tc>
          <w:tcPr>
            <w:tcW w:w="566" w:type="dxa"/>
            <w:shd w:val="clear" w:color="auto" w:fill="auto"/>
            <w:noWrap/>
            <w:vAlign w:val="center"/>
            <w:hideMark/>
          </w:tcPr>
          <w:p w14:paraId="0CC00F1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2,48%</w:t>
            </w:r>
          </w:p>
        </w:tc>
        <w:tc>
          <w:tcPr>
            <w:tcW w:w="648" w:type="dxa"/>
            <w:shd w:val="clear" w:color="auto" w:fill="auto"/>
            <w:noWrap/>
            <w:vAlign w:val="center"/>
            <w:hideMark/>
          </w:tcPr>
          <w:p w14:paraId="3F10BE0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2,46%</w:t>
            </w:r>
          </w:p>
        </w:tc>
        <w:tc>
          <w:tcPr>
            <w:tcW w:w="648" w:type="dxa"/>
            <w:shd w:val="clear" w:color="auto" w:fill="auto"/>
            <w:noWrap/>
            <w:vAlign w:val="center"/>
            <w:hideMark/>
          </w:tcPr>
          <w:p w14:paraId="0056DB0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2,46%</w:t>
            </w:r>
          </w:p>
        </w:tc>
        <w:tc>
          <w:tcPr>
            <w:tcW w:w="648" w:type="dxa"/>
            <w:shd w:val="clear" w:color="auto" w:fill="auto"/>
            <w:noWrap/>
            <w:vAlign w:val="center"/>
            <w:hideMark/>
          </w:tcPr>
          <w:p w14:paraId="1F1C5B4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3,16%</w:t>
            </w:r>
          </w:p>
        </w:tc>
        <w:tc>
          <w:tcPr>
            <w:tcW w:w="648" w:type="dxa"/>
            <w:shd w:val="clear" w:color="auto" w:fill="auto"/>
            <w:noWrap/>
            <w:vAlign w:val="center"/>
            <w:hideMark/>
          </w:tcPr>
          <w:p w14:paraId="1DE6893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3,29%</w:t>
            </w:r>
          </w:p>
        </w:tc>
        <w:tc>
          <w:tcPr>
            <w:tcW w:w="648" w:type="dxa"/>
            <w:shd w:val="clear" w:color="auto" w:fill="auto"/>
            <w:noWrap/>
            <w:vAlign w:val="center"/>
            <w:hideMark/>
          </w:tcPr>
          <w:p w14:paraId="3029C8D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3,42%</w:t>
            </w:r>
          </w:p>
        </w:tc>
        <w:tc>
          <w:tcPr>
            <w:tcW w:w="648" w:type="dxa"/>
            <w:shd w:val="clear" w:color="auto" w:fill="auto"/>
            <w:noWrap/>
            <w:vAlign w:val="center"/>
            <w:hideMark/>
          </w:tcPr>
          <w:p w14:paraId="4E0B724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3,41%</w:t>
            </w:r>
          </w:p>
        </w:tc>
        <w:tc>
          <w:tcPr>
            <w:tcW w:w="648" w:type="dxa"/>
            <w:shd w:val="clear" w:color="auto" w:fill="auto"/>
            <w:noWrap/>
            <w:vAlign w:val="center"/>
            <w:hideMark/>
          </w:tcPr>
          <w:p w14:paraId="282B8C7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3,40%</w:t>
            </w:r>
          </w:p>
        </w:tc>
        <w:tc>
          <w:tcPr>
            <w:tcW w:w="648" w:type="dxa"/>
            <w:shd w:val="clear" w:color="auto" w:fill="auto"/>
            <w:noWrap/>
            <w:vAlign w:val="center"/>
            <w:hideMark/>
          </w:tcPr>
          <w:p w14:paraId="29B7C0E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3,39%</w:t>
            </w:r>
          </w:p>
        </w:tc>
        <w:tc>
          <w:tcPr>
            <w:tcW w:w="648" w:type="dxa"/>
            <w:shd w:val="clear" w:color="auto" w:fill="auto"/>
            <w:noWrap/>
            <w:vAlign w:val="center"/>
            <w:hideMark/>
          </w:tcPr>
          <w:p w14:paraId="0970A02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3,38%</w:t>
            </w:r>
          </w:p>
        </w:tc>
        <w:tc>
          <w:tcPr>
            <w:tcW w:w="648" w:type="dxa"/>
            <w:shd w:val="clear" w:color="auto" w:fill="auto"/>
            <w:noWrap/>
            <w:vAlign w:val="center"/>
            <w:hideMark/>
          </w:tcPr>
          <w:p w14:paraId="40BC0AF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3,51%</w:t>
            </w:r>
          </w:p>
        </w:tc>
      </w:tr>
      <w:tr w:rsidR="00600A81" w:rsidRPr="00E84C93" w14:paraId="6F3AB804" w14:textId="77777777" w:rsidTr="008C3BC9">
        <w:trPr>
          <w:trHeight w:val="243"/>
        </w:trPr>
        <w:tc>
          <w:tcPr>
            <w:tcW w:w="2309" w:type="dxa"/>
            <w:shd w:val="clear" w:color="auto" w:fill="auto"/>
            <w:vAlign w:val="center"/>
          </w:tcPr>
          <w:p w14:paraId="30144CD8"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lastRenderedPageBreak/>
              <w:t>Нишавски округ</w:t>
            </w:r>
          </w:p>
        </w:tc>
        <w:tc>
          <w:tcPr>
            <w:tcW w:w="566" w:type="dxa"/>
            <w:shd w:val="clear" w:color="auto" w:fill="auto"/>
            <w:noWrap/>
            <w:vAlign w:val="center"/>
            <w:hideMark/>
          </w:tcPr>
          <w:p w14:paraId="15D4CB1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1,98%</w:t>
            </w:r>
          </w:p>
        </w:tc>
        <w:tc>
          <w:tcPr>
            <w:tcW w:w="648" w:type="dxa"/>
            <w:shd w:val="clear" w:color="auto" w:fill="auto"/>
            <w:noWrap/>
            <w:vAlign w:val="center"/>
            <w:hideMark/>
          </w:tcPr>
          <w:p w14:paraId="1F801C4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1,96%</w:t>
            </w:r>
          </w:p>
        </w:tc>
        <w:tc>
          <w:tcPr>
            <w:tcW w:w="648" w:type="dxa"/>
            <w:shd w:val="clear" w:color="auto" w:fill="auto"/>
            <w:noWrap/>
            <w:vAlign w:val="center"/>
            <w:hideMark/>
          </w:tcPr>
          <w:p w14:paraId="10C9B15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1,95%</w:t>
            </w:r>
          </w:p>
        </w:tc>
        <w:tc>
          <w:tcPr>
            <w:tcW w:w="648" w:type="dxa"/>
            <w:shd w:val="clear" w:color="auto" w:fill="auto"/>
            <w:noWrap/>
            <w:vAlign w:val="center"/>
            <w:hideMark/>
          </w:tcPr>
          <w:p w14:paraId="24A5903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2,02%</w:t>
            </w:r>
          </w:p>
        </w:tc>
        <w:tc>
          <w:tcPr>
            <w:tcW w:w="648" w:type="dxa"/>
            <w:shd w:val="clear" w:color="auto" w:fill="auto"/>
            <w:noWrap/>
            <w:vAlign w:val="center"/>
            <w:hideMark/>
          </w:tcPr>
          <w:p w14:paraId="7E99F1C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2,12%</w:t>
            </w:r>
          </w:p>
        </w:tc>
        <w:tc>
          <w:tcPr>
            <w:tcW w:w="648" w:type="dxa"/>
            <w:shd w:val="clear" w:color="auto" w:fill="auto"/>
            <w:noWrap/>
            <w:vAlign w:val="center"/>
            <w:hideMark/>
          </w:tcPr>
          <w:p w14:paraId="72DE60A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2,26%</w:t>
            </w:r>
          </w:p>
        </w:tc>
        <w:tc>
          <w:tcPr>
            <w:tcW w:w="648" w:type="dxa"/>
            <w:shd w:val="clear" w:color="auto" w:fill="auto"/>
            <w:noWrap/>
            <w:vAlign w:val="center"/>
            <w:hideMark/>
          </w:tcPr>
          <w:p w14:paraId="582EA10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2,37%</w:t>
            </w:r>
          </w:p>
        </w:tc>
        <w:tc>
          <w:tcPr>
            <w:tcW w:w="648" w:type="dxa"/>
            <w:shd w:val="clear" w:color="auto" w:fill="auto"/>
            <w:noWrap/>
            <w:vAlign w:val="center"/>
            <w:hideMark/>
          </w:tcPr>
          <w:p w14:paraId="0FE4C34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2,62%</w:t>
            </w:r>
          </w:p>
        </w:tc>
        <w:tc>
          <w:tcPr>
            <w:tcW w:w="648" w:type="dxa"/>
            <w:shd w:val="clear" w:color="auto" w:fill="auto"/>
            <w:noWrap/>
            <w:vAlign w:val="center"/>
            <w:hideMark/>
          </w:tcPr>
          <w:p w14:paraId="5624D2B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2,83%</w:t>
            </w:r>
          </w:p>
        </w:tc>
        <w:tc>
          <w:tcPr>
            <w:tcW w:w="648" w:type="dxa"/>
            <w:shd w:val="clear" w:color="auto" w:fill="auto"/>
            <w:noWrap/>
            <w:vAlign w:val="center"/>
            <w:hideMark/>
          </w:tcPr>
          <w:p w14:paraId="5DB562D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3,27%</w:t>
            </w:r>
          </w:p>
        </w:tc>
        <w:tc>
          <w:tcPr>
            <w:tcW w:w="648" w:type="dxa"/>
            <w:shd w:val="clear" w:color="auto" w:fill="auto"/>
            <w:noWrap/>
            <w:vAlign w:val="center"/>
            <w:hideMark/>
          </w:tcPr>
          <w:p w14:paraId="129EC00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3,17%</w:t>
            </w:r>
          </w:p>
        </w:tc>
      </w:tr>
      <w:tr w:rsidR="00600A81" w:rsidRPr="00E84C93" w14:paraId="2BFAF2FE" w14:textId="77777777" w:rsidTr="008C3BC9">
        <w:trPr>
          <w:trHeight w:val="243"/>
        </w:trPr>
        <w:tc>
          <w:tcPr>
            <w:tcW w:w="2309" w:type="dxa"/>
            <w:shd w:val="clear" w:color="auto" w:fill="auto"/>
            <w:vAlign w:val="center"/>
          </w:tcPr>
          <w:p w14:paraId="3AB276FA"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Пиротски округ</w:t>
            </w:r>
          </w:p>
        </w:tc>
        <w:tc>
          <w:tcPr>
            <w:tcW w:w="566" w:type="dxa"/>
            <w:shd w:val="clear" w:color="auto" w:fill="auto"/>
            <w:noWrap/>
            <w:vAlign w:val="center"/>
            <w:hideMark/>
          </w:tcPr>
          <w:p w14:paraId="6B8B22A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1,79%</w:t>
            </w:r>
          </w:p>
        </w:tc>
        <w:tc>
          <w:tcPr>
            <w:tcW w:w="648" w:type="dxa"/>
            <w:shd w:val="clear" w:color="auto" w:fill="auto"/>
            <w:noWrap/>
            <w:vAlign w:val="center"/>
            <w:hideMark/>
          </w:tcPr>
          <w:p w14:paraId="53BDEFC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1,77%</w:t>
            </w:r>
          </w:p>
        </w:tc>
        <w:tc>
          <w:tcPr>
            <w:tcW w:w="648" w:type="dxa"/>
            <w:shd w:val="clear" w:color="auto" w:fill="auto"/>
            <w:noWrap/>
            <w:vAlign w:val="center"/>
            <w:hideMark/>
          </w:tcPr>
          <w:p w14:paraId="38A3C63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1,75%</w:t>
            </w:r>
          </w:p>
        </w:tc>
        <w:tc>
          <w:tcPr>
            <w:tcW w:w="648" w:type="dxa"/>
            <w:shd w:val="clear" w:color="auto" w:fill="auto"/>
            <w:noWrap/>
            <w:vAlign w:val="center"/>
            <w:hideMark/>
          </w:tcPr>
          <w:p w14:paraId="7DF7CC3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1,73%</w:t>
            </w:r>
          </w:p>
        </w:tc>
        <w:tc>
          <w:tcPr>
            <w:tcW w:w="648" w:type="dxa"/>
            <w:shd w:val="clear" w:color="auto" w:fill="auto"/>
            <w:noWrap/>
            <w:vAlign w:val="center"/>
            <w:hideMark/>
          </w:tcPr>
          <w:p w14:paraId="26619E6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1,71%</w:t>
            </w:r>
          </w:p>
        </w:tc>
        <w:tc>
          <w:tcPr>
            <w:tcW w:w="648" w:type="dxa"/>
            <w:shd w:val="clear" w:color="auto" w:fill="auto"/>
            <w:noWrap/>
            <w:vAlign w:val="center"/>
            <w:hideMark/>
          </w:tcPr>
          <w:p w14:paraId="0A0712E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1,76%</w:t>
            </w:r>
          </w:p>
        </w:tc>
        <w:tc>
          <w:tcPr>
            <w:tcW w:w="648" w:type="dxa"/>
            <w:shd w:val="clear" w:color="auto" w:fill="auto"/>
            <w:noWrap/>
            <w:vAlign w:val="center"/>
            <w:hideMark/>
          </w:tcPr>
          <w:p w14:paraId="4C6D5CA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1,72%</w:t>
            </w:r>
          </w:p>
        </w:tc>
        <w:tc>
          <w:tcPr>
            <w:tcW w:w="648" w:type="dxa"/>
            <w:shd w:val="clear" w:color="auto" w:fill="auto"/>
            <w:noWrap/>
            <w:vAlign w:val="center"/>
            <w:hideMark/>
          </w:tcPr>
          <w:p w14:paraId="1A880447"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1,71%</w:t>
            </w:r>
          </w:p>
        </w:tc>
        <w:tc>
          <w:tcPr>
            <w:tcW w:w="648" w:type="dxa"/>
            <w:shd w:val="clear" w:color="auto" w:fill="auto"/>
            <w:noWrap/>
            <w:vAlign w:val="center"/>
            <w:hideMark/>
          </w:tcPr>
          <w:p w14:paraId="6F18E59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1,69%</w:t>
            </w:r>
          </w:p>
        </w:tc>
        <w:tc>
          <w:tcPr>
            <w:tcW w:w="648" w:type="dxa"/>
            <w:shd w:val="clear" w:color="auto" w:fill="auto"/>
            <w:noWrap/>
            <w:vAlign w:val="center"/>
            <w:hideMark/>
          </w:tcPr>
          <w:p w14:paraId="292BDA59"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1,68%</w:t>
            </w:r>
          </w:p>
        </w:tc>
        <w:tc>
          <w:tcPr>
            <w:tcW w:w="648" w:type="dxa"/>
            <w:shd w:val="clear" w:color="auto" w:fill="auto"/>
            <w:noWrap/>
            <w:vAlign w:val="center"/>
            <w:hideMark/>
          </w:tcPr>
          <w:p w14:paraId="126446C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1,75%</w:t>
            </w:r>
          </w:p>
        </w:tc>
      </w:tr>
      <w:tr w:rsidR="00600A81" w:rsidRPr="00E84C93" w14:paraId="26FBEDF7" w14:textId="77777777" w:rsidTr="008C3BC9">
        <w:trPr>
          <w:trHeight w:val="243"/>
        </w:trPr>
        <w:tc>
          <w:tcPr>
            <w:tcW w:w="2309" w:type="dxa"/>
            <w:shd w:val="clear" w:color="auto" w:fill="auto"/>
            <w:vAlign w:val="center"/>
          </w:tcPr>
          <w:p w14:paraId="5548B970"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Подунавски округ</w:t>
            </w:r>
          </w:p>
        </w:tc>
        <w:tc>
          <w:tcPr>
            <w:tcW w:w="566" w:type="dxa"/>
            <w:shd w:val="clear" w:color="auto" w:fill="auto"/>
            <w:noWrap/>
            <w:vAlign w:val="center"/>
            <w:hideMark/>
          </w:tcPr>
          <w:p w14:paraId="61FEDC3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2,35%</w:t>
            </w:r>
          </w:p>
        </w:tc>
        <w:tc>
          <w:tcPr>
            <w:tcW w:w="648" w:type="dxa"/>
            <w:shd w:val="clear" w:color="auto" w:fill="auto"/>
            <w:noWrap/>
            <w:vAlign w:val="center"/>
            <w:hideMark/>
          </w:tcPr>
          <w:p w14:paraId="09543F9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2,33%</w:t>
            </w:r>
          </w:p>
        </w:tc>
        <w:tc>
          <w:tcPr>
            <w:tcW w:w="648" w:type="dxa"/>
            <w:shd w:val="clear" w:color="auto" w:fill="auto"/>
            <w:noWrap/>
            <w:vAlign w:val="center"/>
            <w:hideMark/>
          </w:tcPr>
          <w:p w14:paraId="00177FF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2,33%</w:t>
            </w:r>
          </w:p>
        </w:tc>
        <w:tc>
          <w:tcPr>
            <w:tcW w:w="648" w:type="dxa"/>
            <w:shd w:val="clear" w:color="auto" w:fill="auto"/>
            <w:noWrap/>
            <w:vAlign w:val="center"/>
            <w:hideMark/>
          </w:tcPr>
          <w:p w14:paraId="2095A60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2,33%</w:t>
            </w:r>
          </w:p>
        </w:tc>
        <w:tc>
          <w:tcPr>
            <w:tcW w:w="648" w:type="dxa"/>
            <w:shd w:val="clear" w:color="auto" w:fill="auto"/>
            <w:noWrap/>
            <w:vAlign w:val="center"/>
            <w:hideMark/>
          </w:tcPr>
          <w:p w14:paraId="280E952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2,47%</w:t>
            </w:r>
          </w:p>
        </w:tc>
        <w:tc>
          <w:tcPr>
            <w:tcW w:w="648" w:type="dxa"/>
            <w:shd w:val="clear" w:color="auto" w:fill="auto"/>
            <w:noWrap/>
            <w:vAlign w:val="center"/>
            <w:hideMark/>
          </w:tcPr>
          <w:p w14:paraId="527D25B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2,55%</w:t>
            </w:r>
          </w:p>
        </w:tc>
        <w:tc>
          <w:tcPr>
            <w:tcW w:w="648" w:type="dxa"/>
            <w:shd w:val="clear" w:color="auto" w:fill="auto"/>
            <w:noWrap/>
            <w:vAlign w:val="center"/>
            <w:hideMark/>
          </w:tcPr>
          <w:p w14:paraId="261D36A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2,53%</w:t>
            </w:r>
          </w:p>
        </w:tc>
        <w:tc>
          <w:tcPr>
            <w:tcW w:w="648" w:type="dxa"/>
            <w:shd w:val="clear" w:color="auto" w:fill="auto"/>
            <w:noWrap/>
            <w:vAlign w:val="center"/>
            <w:hideMark/>
          </w:tcPr>
          <w:p w14:paraId="49C55AB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2,53%</w:t>
            </w:r>
          </w:p>
        </w:tc>
        <w:tc>
          <w:tcPr>
            <w:tcW w:w="648" w:type="dxa"/>
            <w:shd w:val="clear" w:color="auto" w:fill="auto"/>
            <w:noWrap/>
            <w:vAlign w:val="center"/>
            <w:hideMark/>
          </w:tcPr>
          <w:p w14:paraId="3336CA7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2,52%</w:t>
            </w:r>
          </w:p>
        </w:tc>
        <w:tc>
          <w:tcPr>
            <w:tcW w:w="648" w:type="dxa"/>
            <w:shd w:val="clear" w:color="auto" w:fill="auto"/>
            <w:noWrap/>
            <w:vAlign w:val="center"/>
            <w:hideMark/>
          </w:tcPr>
          <w:p w14:paraId="580328B3"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2,51%</w:t>
            </w:r>
          </w:p>
        </w:tc>
        <w:tc>
          <w:tcPr>
            <w:tcW w:w="648" w:type="dxa"/>
            <w:shd w:val="clear" w:color="auto" w:fill="auto"/>
            <w:noWrap/>
            <w:vAlign w:val="center"/>
            <w:hideMark/>
          </w:tcPr>
          <w:p w14:paraId="0C3D4E9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2,88%</w:t>
            </w:r>
          </w:p>
        </w:tc>
      </w:tr>
      <w:tr w:rsidR="00600A81" w:rsidRPr="00E84C93" w14:paraId="55C7D21F" w14:textId="77777777" w:rsidTr="008C3BC9">
        <w:trPr>
          <w:trHeight w:val="243"/>
        </w:trPr>
        <w:tc>
          <w:tcPr>
            <w:tcW w:w="2309" w:type="dxa"/>
            <w:shd w:val="clear" w:color="auto" w:fill="auto"/>
            <w:vAlign w:val="center"/>
          </w:tcPr>
          <w:p w14:paraId="29E4D5AD"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Пчињски округ</w:t>
            </w:r>
          </w:p>
        </w:tc>
        <w:tc>
          <w:tcPr>
            <w:tcW w:w="566" w:type="dxa"/>
            <w:shd w:val="clear" w:color="auto" w:fill="auto"/>
            <w:noWrap/>
            <w:vAlign w:val="center"/>
            <w:hideMark/>
          </w:tcPr>
          <w:p w14:paraId="4AE6297C"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2,62%</w:t>
            </w:r>
          </w:p>
        </w:tc>
        <w:tc>
          <w:tcPr>
            <w:tcW w:w="648" w:type="dxa"/>
            <w:shd w:val="clear" w:color="auto" w:fill="auto"/>
            <w:noWrap/>
            <w:vAlign w:val="center"/>
            <w:hideMark/>
          </w:tcPr>
          <w:p w14:paraId="7AD2598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2,60%</w:t>
            </w:r>
          </w:p>
        </w:tc>
        <w:tc>
          <w:tcPr>
            <w:tcW w:w="648" w:type="dxa"/>
            <w:shd w:val="clear" w:color="auto" w:fill="auto"/>
            <w:noWrap/>
            <w:vAlign w:val="center"/>
            <w:hideMark/>
          </w:tcPr>
          <w:p w14:paraId="72C0936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2,60%</w:t>
            </w:r>
          </w:p>
        </w:tc>
        <w:tc>
          <w:tcPr>
            <w:tcW w:w="648" w:type="dxa"/>
            <w:shd w:val="clear" w:color="auto" w:fill="auto"/>
            <w:noWrap/>
            <w:vAlign w:val="center"/>
            <w:hideMark/>
          </w:tcPr>
          <w:p w14:paraId="60E506F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3,20%</w:t>
            </w:r>
          </w:p>
        </w:tc>
        <w:tc>
          <w:tcPr>
            <w:tcW w:w="648" w:type="dxa"/>
            <w:shd w:val="clear" w:color="auto" w:fill="auto"/>
            <w:noWrap/>
            <w:vAlign w:val="center"/>
            <w:hideMark/>
          </w:tcPr>
          <w:p w14:paraId="4D499630"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3,36%</w:t>
            </w:r>
          </w:p>
        </w:tc>
        <w:tc>
          <w:tcPr>
            <w:tcW w:w="648" w:type="dxa"/>
            <w:shd w:val="clear" w:color="auto" w:fill="auto"/>
            <w:noWrap/>
            <w:vAlign w:val="center"/>
            <w:hideMark/>
          </w:tcPr>
          <w:p w14:paraId="1B13827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3,51%</w:t>
            </w:r>
          </w:p>
        </w:tc>
        <w:tc>
          <w:tcPr>
            <w:tcW w:w="648" w:type="dxa"/>
            <w:shd w:val="clear" w:color="auto" w:fill="auto"/>
            <w:noWrap/>
            <w:vAlign w:val="center"/>
            <w:hideMark/>
          </w:tcPr>
          <w:p w14:paraId="5680A63B"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3,49%</w:t>
            </w:r>
          </w:p>
        </w:tc>
        <w:tc>
          <w:tcPr>
            <w:tcW w:w="648" w:type="dxa"/>
            <w:shd w:val="clear" w:color="auto" w:fill="auto"/>
            <w:noWrap/>
            <w:vAlign w:val="center"/>
            <w:hideMark/>
          </w:tcPr>
          <w:p w14:paraId="20761C92"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3,48%</w:t>
            </w:r>
          </w:p>
        </w:tc>
        <w:tc>
          <w:tcPr>
            <w:tcW w:w="648" w:type="dxa"/>
            <w:shd w:val="clear" w:color="auto" w:fill="auto"/>
            <w:noWrap/>
            <w:vAlign w:val="center"/>
            <w:hideMark/>
          </w:tcPr>
          <w:p w14:paraId="6E32DF88"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3,48%</w:t>
            </w:r>
          </w:p>
        </w:tc>
        <w:tc>
          <w:tcPr>
            <w:tcW w:w="648" w:type="dxa"/>
            <w:shd w:val="clear" w:color="auto" w:fill="auto"/>
            <w:noWrap/>
            <w:vAlign w:val="center"/>
            <w:hideMark/>
          </w:tcPr>
          <w:p w14:paraId="30B6641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3,49%</w:t>
            </w:r>
          </w:p>
        </w:tc>
        <w:tc>
          <w:tcPr>
            <w:tcW w:w="648" w:type="dxa"/>
            <w:shd w:val="clear" w:color="auto" w:fill="auto"/>
            <w:noWrap/>
            <w:vAlign w:val="center"/>
            <w:hideMark/>
          </w:tcPr>
          <w:p w14:paraId="602A673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3,79%</w:t>
            </w:r>
          </w:p>
        </w:tc>
      </w:tr>
      <w:tr w:rsidR="00600A81" w:rsidRPr="00E84C93" w14:paraId="0056C85C" w14:textId="77777777" w:rsidTr="008C3BC9">
        <w:trPr>
          <w:trHeight w:val="243"/>
        </w:trPr>
        <w:tc>
          <w:tcPr>
            <w:tcW w:w="2309" w:type="dxa"/>
            <w:shd w:val="clear" w:color="auto" w:fill="auto"/>
            <w:vAlign w:val="center"/>
          </w:tcPr>
          <w:p w14:paraId="6DD4E13A" w14:textId="77777777" w:rsidR="00600A81" w:rsidRPr="00E84C93" w:rsidRDefault="00600A81" w:rsidP="008C3BC9">
            <w:pPr>
              <w:spacing w:after="0"/>
              <w:rPr>
                <w:rFonts w:eastAsia="Times New Roman" w:cs="Times New Roman"/>
                <w:sz w:val="16"/>
                <w:szCs w:val="16"/>
                <w:lang w:val="sr-Cyrl-CS" w:eastAsia="sr-Latn-RS"/>
              </w:rPr>
            </w:pPr>
            <w:r w:rsidRPr="00E84C93">
              <w:rPr>
                <w:rFonts w:eastAsia="Times New Roman" w:cs="Times New Roman"/>
                <w:sz w:val="16"/>
                <w:szCs w:val="16"/>
                <w:lang w:val="sr-Cyrl-CS"/>
              </w:rPr>
              <w:t>Топлички округ</w:t>
            </w:r>
          </w:p>
        </w:tc>
        <w:tc>
          <w:tcPr>
            <w:tcW w:w="566" w:type="dxa"/>
            <w:shd w:val="clear" w:color="auto" w:fill="auto"/>
            <w:noWrap/>
            <w:vAlign w:val="center"/>
            <w:hideMark/>
          </w:tcPr>
          <w:p w14:paraId="1AD1527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1,72%</w:t>
            </w:r>
          </w:p>
        </w:tc>
        <w:tc>
          <w:tcPr>
            <w:tcW w:w="648" w:type="dxa"/>
            <w:shd w:val="clear" w:color="auto" w:fill="auto"/>
            <w:noWrap/>
            <w:vAlign w:val="center"/>
            <w:hideMark/>
          </w:tcPr>
          <w:p w14:paraId="6B55D51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1,71%</w:t>
            </w:r>
          </w:p>
        </w:tc>
        <w:tc>
          <w:tcPr>
            <w:tcW w:w="648" w:type="dxa"/>
            <w:shd w:val="clear" w:color="auto" w:fill="auto"/>
            <w:noWrap/>
            <w:vAlign w:val="center"/>
            <w:hideMark/>
          </w:tcPr>
          <w:p w14:paraId="56DC5A66"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1,71%</w:t>
            </w:r>
          </w:p>
        </w:tc>
        <w:tc>
          <w:tcPr>
            <w:tcW w:w="648" w:type="dxa"/>
            <w:shd w:val="clear" w:color="auto" w:fill="auto"/>
            <w:noWrap/>
            <w:vAlign w:val="center"/>
            <w:hideMark/>
          </w:tcPr>
          <w:p w14:paraId="5E84D7E4"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1,70%</w:t>
            </w:r>
          </w:p>
        </w:tc>
        <w:tc>
          <w:tcPr>
            <w:tcW w:w="648" w:type="dxa"/>
            <w:shd w:val="clear" w:color="auto" w:fill="auto"/>
            <w:noWrap/>
            <w:vAlign w:val="center"/>
            <w:hideMark/>
          </w:tcPr>
          <w:p w14:paraId="295B21B1"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1,78%</w:t>
            </w:r>
          </w:p>
        </w:tc>
        <w:tc>
          <w:tcPr>
            <w:tcW w:w="648" w:type="dxa"/>
            <w:shd w:val="clear" w:color="auto" w:fill="auto"/>
            <w:noWrap/>
            <w:vAlign w:val="center"/>
            <w:hideMark/>
          </w:tcPr>
          <w:p w14:paraId="2828514E"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1,99%</w:t>
            </w:r>
          </w:p>
        </w:tc>
        <w:tc>
          <w:tcPr>
            <w:tcW w:w="648" w:type="dxa"/>
            <w:shd w:val="clear" w:color="auto" w:fill="auto"/>
            <w:noWrap/>
            <w:vAlign w:val="center"/>
            <w:hideMark/>
          </w:tcPr>
          <w:p w14:paraId="2DC3D42F"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2,02%</w:t>
            </w:r>
          </w:p>
        </w:tc>
        <w:tc>
          <w:tcPr>
            <w:tcW w:w="648" w:type="dxa"/>
            <w:shd w:val="clear" w:color="auto" w:fill="auto"/>
            <w:noWrap/>
            <w:vAlign w:val="center"/>
            <w:hideMark/>
          </w:tcPr>
          <w:p w14:paraId="4CAFE76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2,06%</w:t>
            </w:r>
          </w:p>
        </w:tc>
        <w:tc>
          <w:tcPr>
            <w:tcW w:w="648" w:type="dxa"/>
            <w:shd w:val="clear" w:color="auto" w:fill="auto"/>
            <w:noWrap/>
            <w:vAlign w:val="center"/>
            <w:hideMark/>
          </w:tcPr>
          <w:p w14:paraId="134DAD45"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2,09%</w:t>
            </w:r>
          </w:p>
        </w:tc>
        <w:tc>
          <w:tcPr>
            <w:tcW w:w="648" w:type="dxa"/>
            <w:shd w:val="clear" w:color="auto" w:fill="auto"/>
            <w:noWrap/>
            <w:vAlign w:val="center"/>
            <w:hideMark/>
          </w:tcPr>
          <w:p w14:paraId="25FCE8CA"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2,12%</w:t>
            </w:r>
          </w:p>
        </w:tc>
        <w:tc>
          <w:tcPr>
            <w:tcW w:w="648" w:type="dxa"/>
            <w:shd w:val="clear" w:color="auto" w:fill="auto"/>
            <w:noWrap/>
            <w:vAlign w:val="center"/>
            <w:hideMark/>
          </w:tcPr>
          <w:p w14:paraId="727B541D" w14:textId="77777777" w:rsidR="00600A81" w:rsidRPr="00E84C93" w:rsidRDefault="00600A81" w:rsidP="008C3BC9">
            <w:pPr>
              <w:spacing w:after="0"/>
              <w:jc w:val="right"/>
              <w:rPr>
                <w:rFonts w:eastAsia="Times New Roman" w:cs="Times New Roman"/>
                <w:sz w:val="16"/>
                <w:szCs w:val="16"/>
                <w:lang w:val="sr-Cyrl-CS" w:eastAsia="sr-Latn-RS"/>
              </w:rPr>
            </w:pPr>
            <w:r w:rsidRPr="00E84C93">
              <w:rPr>
                <w:rFonts w:eastAsia="Times New Roman" w:cs="Times New Roman"/>
                <w:sz w:val="16"/>
                <w:szCs w:val="16"/>
                <w:lang w:val="sr-Cyrl-CS" w:eastAsia="sr-Latn-RS"/>
              </w:rPr>
              <w:t>2,27%</w:t>
            </w:r>
          </w:p>
        </w:tc>
      </w:tr>
    </w:tbl>
    <w:p w14:paraId="1C513396" w14:textId="77777777" w:rsidR="00600A81" w:rsidRPr="00E84C93" w:rsidRDefault="00600A81" w:rsidP="00600A81">
      <w:pPr>
        <w:spacing w:after="0"/>
        <w:jc w:val="both"/>
        <w:rPr>
          <w:rFonts w:cs="Times New Roman"/>
          <w:szCs w:val="24"/>
          <w:lang w:val="sr-Cyrl-CS"/>
        </w:rPr>
      </w:pPr>
    </w:p>
    <w:p w14:paraId="7234C3E1" w14:textId="77777777"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С обзиром да ће се просечна приуштивост ових услуга за становништво на нивоу округа смањити, то значи да ће у лошијем положају потенцијално бити најсиромашнија домаћинства (прва три децила, односно 30% најсиромашнијих домаћинстава) за које ће коефицијент приуштивости прелазити и 8%. У том смислу спровођење Програма може да утиче на животни стандард становништва, те је због тога неопходно планирати и одређена средства за субвенционисање ове групе становништва у складу са могућностима буџета ЈЛС.</w:t>
      </w:r>
    </w:p>
    <w:p w14:paraId="6D4B746A" w14:textId="32A45381"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 xml:space="preserve">Спровођење Програма неће </w:t>
      </w:r>
      <w:r w:rsidR="003965D4" w:rsidRPr="00E84C93">
        <w:rPr>
          <w:rFonts w:cs="Times New Roman"/>
          <w:noProof/>
          <w:szCs w:val="24"/>
          <w:lang w:val="sr-Cyrl-CS"/>
        </w:rPr>
        <w:t>негативно</w:t>
      </w:r>
      <w:r w:rsidRPr="00E84C93">
        <w:rPr>
          <w:rFonts w:cs="Times New Roman"/>
          <w:noProof/>
          <w:szCs w:val="24"/>
          <w:lang w:val="sr-Cyrl-CS"/>
        </w:rPr>
        <w:t xml:space="preserve"> утицати на </w:t>
      </w:r>
      <w:r w:rsidR="0004479D" w:rsidRPr="00E84C93">
        <w:rPr>
          <w:rFonts w:cs="Times New Roman"/>
          <w:noProof/>
          <w:szCs w:val="24"/>
          <w:lang w:val="sr-Cyrl-CS"/>
        </w:rPr>
        <w:t>одређену</w:t>
      </w:r>
      <w:r w:rsidRPr="00E84C93">
        <w:rPr>
          <w:rFonts w:cs="Times New Roman"/>
          <w:noProof/>
          <w:szCs w:val="24"/>
          <w:lang w:val="sr-Cyrl-CS"/>
        </w:rPr>
        <w:t xml:space="preserve"> групу популације нити на осетљиве друштвене групе.</w:t>
      </w:r>
    </w:p>
    <w:p w14:paraId="02BDF315" w14:textId="529B04B6"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Спровођење Програма ће утицати на тржиште рада. Током изградње ифраструктуре (</w:t>
      </w:r>
      <w:r w:rsidR="00D010D1" w:rsidRPr="00E84C93">
        <w:rPr>
          <w:rFonts w:cs="Times New Roman"/>
          <w:noProof/>
          <w:szCs w:val="24"/>
          <w:lang w:val="sr-Cyrl-CS"/>
        </w:rPr>
        <w:t>моно</w:t>
      </w:r>
      <w:r w:rsidRPr="00E84C93">
        <w:rPr>
          <w:rFonts w:cs="Times New Roman"/>
          <w:noProof/>
          <w:szCs w:val="24"/>
          <w:lang w:val="sr-Cyrl-CS"/>
        </w:rPr>
        <w:t xml:space="preserve">инсинератора, </w:t>
      </w:r>
      <w:r w:rsidR="00D010D1" w:rsidRPr="00E84C93">
        <w:rPr>
          <w:rFonts w:cs="Times New Roman"/>
          <w:noProof/>
          <w:szCs w:val="24"/>
          <w:lang w:val="sr-Cyrl-CS"/>
        </w:rPr>
        <w:t>моно</w:t>
      </w:r>
      <w:r w:rsidRPr="00E84C93">
        <w:rPr>
          <w:rFonts w:cs="Times New Roman"/>
          <w:noProof/>
          <w:szCs w:val="24"/>
          <w:lang w:val="sr-Cyrl-CS"/>
        </w:rPr>
        <w:t>депонија и осталих физичких елемената система за управљање отпадом) повећа</w:t>
      </w:r>
      <w:r w:rsidR="00F8664C" w:rsidRPr="00E84C93">
        <w:rPr>
          <w:rFonts w:cs="Times New Roman"/>
          <w:noProof/>
          <w:szCs w:val="24"/>
          <w:lang w:val="sr-Cyrl-CS"/>
        </w:rPr>
        <w:t xml:space="preserve">ће </w:t>
      </w:r>
      <w:r w:rsidRPr="00E84C93">
        <w:rPr>
          <w:rFonts w:cs="Times New Roman"/>
          <w:noProof/>
          <w:szCs w:val="24"/>
          <w:lang w:val="sr-Cyrl-CS"/>
        </w:rPr>
        <w:t xml:space="preserve">се тражња за грађевинским радницима. По отпочињању функционисања ових постројења и депонија, повећаће се тражња како за кадровима са високим степеном образовања (пре свега инжењерима), тако и за кадровима нижих степена образовања (радници на одржавању, возачи, чувари). </w:t>
      </w:r>
    </w:p>
    <w:p w14:paraId="4C2327BF" w14:textId="77777777" w:rsidR="00600A81" w:rsidRPr="00E84C93" w:rsidRDefault="00600A81" w:rsidP="00600A81">
      <w:pPr>
        <w:spacing w:after="0"/>
        <w:ind w:firstLine="720"/>
        <w:jc w:val="both"/>
        <w:rPr>
          <w:rFonts w:cs="Times New Roman"/>
          <w:noProof/>
          <w:szCs w:val="24"/>
          <w:lang w:val="sr-Cyrl-CS"/>
        </w:rPr>
      </w:pPr>
      <w:r w:rsidRPr="00E84C93">
        <w:rPr>
          <w:rFonts w:cs="Times New Roman"/>
          <w:noProof/>
          <w:szCs w:val="24"/>
          <w:lang w:val="sr-Cyrl-CS"/>
        </w:rPr>
        <w:t>Реализација Програма би могла да утиче на побољшање социјалне ситуације у свим оним регионима у којима би се извршило инвестирање у систем за управљање муљем због запошљавања нове радне снаге током и после изградње инфраструктуре, повећања тражње за радном снагом због развоја туризма, као и због повећања вредности имовине становништва.</w:t>
      </w:r>
    </w:p>
    <w:p w14:paraId="084CFB0D" w14:textId="563111B4" w:rsidR="00BA767F" w:rsidRPr="00E84C93" w:rsidRDefault="00600A81" w:rsidP="00B63897">
      <w:pPr>
        <w:ind w:firstLine="540"/>
        <w:jc w:val="both"/>
        <w:rPr>
          <w:rFonts w:cs="Times New Roman"/>
          <w:noProof/>
          <w:szCs w:val="24"/>
          <w:lang w:val="sr-Cyrl-CS"/>
        </w:rPr>
      </w:pPr>
      <w:r w:rsidRPr="00E84C93">
        <w:rPr>
          <w:rFonts w:cs="Times New Roman"/>
          <w:noProof/>
          <w:szCs w:val="24"/>
          <w:lang w:val="sr-Cyrl-CS"/>
        </w:rPr>
        <w:t xml:space="preserve">Реализација овог Програма нема </w:t>
      </w:r>
      <w:r w:rsidR="003965D4" w:rsidRPr="00E84C93">
        <w:rPr>
          <w:rFonts w:cs="Times New Roman"/>
          <w:noProof/>
          <w:szCs w:val="24"/>
          <w:lang w:val="sr-Cyrl-CS"/>
        </w:rPr>
        <w:t>утицаја</w:t>
      </w:r>
      <w:r w:rsidRPr="00E84C93">
        <w:rPr>
          <w:rFonts w:cs="Times New Roman"/>
          <w:noProof/>
          <w:szCs w:val="24"/>
          <w:lang w:val="sr-Cyrl-CS"/>
        </w:rPr>
        <w:t xml:space="preserve">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r w:rsidR="006B4EE1" w:rsidRPr="00E84C93">
        <w:rPr>
          <w:rFonts w:cs="Times New Roman"/>
          <w:noProof/>
          <w:szCs w:val="24"/>
          <w:lang w:val="sr-Cyrl-CS"/>
        </w:rPr>
        <w:t>.</w:t>
      </w:r>
    </w:p>
    <w:p w14:paraId="1B632799" w14:textId="65791B87" w:rsidR="006E7EA4" w:rsidRPr="00E84C93" w:rsidRDefault="006E7EA4" w:rsidP="000C54C0">
      <w:pPr>
        <w:pStyle w:val="Heading1"/>
        <w:numPr>
          <w:ilvl w:val="0"/>
          <w:numId w:val="8"/>
        </w:numPr>
        <w:spacing w:before="0"/>
        <w:rPr>
          <w:lang w:val="sr-Cyrl-CS"/>
        </w:rPr>
      </w:pPr>
      <w:bookmarkStart w:id="120" w:name="_Toc99920917"/>
      <w:r w:rsidRPr="00E84C93">
        <w:rPr>
          <w:lang w:val="sr-Cyrl-CS"/>
        </w:rPr>
        <w:t xml:space="preserve">OРГАНИЗАЦИЈА УПРАВЉАЊА </w:t>
      </w:r>
      <w:r w:rsidR="004A466E" w:rsidRPr="00E84C93">
        <w:rPr>
          <w:lang w:val="sr-Cyrl-CS"/>
        </w:rPr>
        <w:t>МУЉЕМ</w:t>
      </w:r>
      <w:bookmarkEnd w:id="120"/>
    </w:p>
    <w:p w14:paraId="45F2E2B0" w14:textId="77777777" w:rsidR="006E7EA4" w:rsidRPr="00E84C93" w:rsidRDefault="006E7EA4" w:rsidP="006E7EA4">
      <w:pPr>
        <w:spacing w:after="0"/>
        <w:rPr>
          <w:lang w:val="sr-Cyrl-CS"/>
        </w:rPr>
      </w:pPr>
    </w:p>
    <w:p w14:paraId="5857B9BA" w14:textId="738C0060" w:rsidR="004A466E" w:rsidRPr="00E84C93" w:rsidRDefault="006E7EA4" w:rsidP="004A466E">
      <w:pPr>
        <w:pStyle w:val="NormalWeb"/>
        <w:tabs>
          <w:tab w:val="left" w:pos="0"/>
        </w:tabs>
        <w:spacing w:before="0" w:beforeAutospacing="0" w:after="0" w:afterAutospacing="0"/>
        <w:ind w:right="26"/>
        <w:jc w:val="both"/>
        <w:rPr>
          <w:lang w:val="sr-Cyrl-CS"/>
        </w:rPr>
      </w:pPr>
      <w:r w:rsidRPr="00E84C93">
        <w:rPr>
          <w:lang w:val="sr-Cyrl-CS"/>
        </w:rPr>
        <w:tab/>
      </w:r>
      <w:r w:rsidR="00EF52BF" w:rsidRPr="00E84C93">
        <w:rPr>
          <w:lang w:val="sr-Cyrl-CS"/>
        </w:rPr>
        <w:t>У овом поглављу је анализиран</w:t>
      </w:r>
      <w:r w:rsidR="004A466E" w:rsidRPr="00E84C93">
        <w:rPr>
          <w:lang w:val="sr-Cyrl-CS"/>
        </w:rPr>
        <w:t xml:space="preserve"> начин на који региони могу да развијају процес управљања муљем у будућности и разрађују одговарајуће пословне аранжмане. Тренутно производња муља у</w:t>
      </w:r>
      <w:r w:rsidR="008E0F3E" w:rsidRPr="00E84C93">
        <w:rPr>
          <w:lang w:val="sr-Cyrl-CS"/>
        </w:rPr>
        <w:t xml:space="preserve"> Републици</w:t>
      </w:r>
      <w:r w:rsidR="004A466E" w:rsidRPr="00E84C93">
        <w:rPr>
          <w:lang w:val="sr-Cyrl-CS"/>
        </w:rPr>
        <w:t xml:space="preserve"> Србији не представља значајно оптерећење, али ће изградња нових комуналних објеката </w:t>
      </w:r>
      <w:r w:rsidR="0016531B" w:rsidRPr="00E84C93">
        <w:rPr>
          <w:lang w:val="sr-Cyrl-CS"/>
        </w:rPr>
        <w:t>за пречишћавање отпадних вода</w:t>
      </w:r>
      <w:r w:rsidR="004A466E" w:rsidRPr="00E84C93">
        <w:rPr>
          <w:lang w:val="sr-Cyrl-CS"/>
        </w:rPr>
        <w:t xml:space="preserve"> у наредним годинама резултирати стоструко већим количинама муља које ће се третирати, транспортовати и одлагати, што ће захтевати нови приступ управљању муљем.</w:t>
      </w:r>
    </w:p>
    <w:p w14:paraId="387D02B7" w14:textId="19398D81" w:rsidR="004A466E" w:rsidRPr="00E84C93" w:rsidRDefault="004A466E" w:rsidP="004A466E">
      <w:pPr>
        <w:pStyle w:val="NormalWeb"/>
        <w:tabs>
          <w:tab w:val="left" w:pos="0"/>
        </w:tabs>
        <w:spacing w:before="0" w:beforeAutospacing="0" w:after="0" w:afterAutospacing="0"/>
        <w:ind w:right="26"/>
        <w:jc w:val="both"/>
        <w:rPr>
          <w:lang w:val="sr-Cyrl-CS"/>
        </w:rPr>
      </w:pPr>
      <w:r w:rsidRPr="00E84C93">
        <w:rPr>
          <w:lang w:val="sr-Cyrl-CS"/>
        </w:rPr>
        <w:tab/>
        <w:t xml:space="preserve">Очекује се да ће будући </w:t>
      </w:r>
      <w:r w:rsidR="00961835" w:rsidRPr="00E84C93">
        <w:rPr>
          <w:lang w:val="sr-Cyrl-CS"/>
        </w:rPr>
        <w:t>р</w:t>
      </w:r>
      <w:r w:rsidRPr="00E84C93">
        <w:rPr>
          <w:lang w:val="sr-Cyrl-CS"/>
        </w:rPr>
        <w:t>егиони управљања муљем бити форм</w:t>
      </w:r>
      <w:r w:rsidR="008E0F3E" w:rsidRPr="00E84C93">
        <w:rPr>
          <w:lang w:val="sr-Cyrl-CS"/>
        </w:rPr>
        <w:t>ирани</w:t>
      </w:r>
      <w:r w:rsidRPr="00E84C93">
        <w:rPr>
          <w:lang w:val="sr-Cyrl-CS"/>
        </w:rPr>
        <w:t xml:space="preserve"> на сличан начин као и постојећи </w:t>
      </w:r>
      <w:r w:rsidR="00961835" w:rsidRPr="00E84C93">
        <w:rPr>
          <w:lang w:val="sr-Cyrl-CS"/>
        </w:rPr>
        <w:t>р</w:t>
      </w:r>
      <w:r w:rsidRPr="00E84C93">
        <w:rPr>
          <w:lang w:val="sr-Cyrl-CS"/>
        </w:rPr>
        <w:t xml:space="preserve">егиони управљања отпадом. Тренутно, регионалним објектима за управљање отпадом и активностима управљања отпадом управљају различите врсте регионалних компанија. Нека од њих су јавна комунална предузећа у потпуном власништву општина </w:t>
      </w:r>
      <w:r w:rsidRPr="00E84C93">
        <w:rPr>
          <w:lang w:val="sr-Cyrl-CS"/>
        </w:rPr>
        <w:lastRenderedPageBreak/>
        <w:t>сарадница, а друга су приватна јавна партнерства са међународним партнерима основаним као друштва са ограниченом одговорношћу.</w:t>
      </w:r>
    </w:p>
    <w:p w14:paraId="15F9AE82" w14:textId="2C2698D8" w:rsidR="00EF52BF" w:rsidRPr="00E84C93" w:rsidRDefault="004A466E" w:rsidP="00EF52BF">
      <w:pPr>
        <w:pStyle w:val="NormalWeb"/>
        <w:tabs>
          <w:tab w:val="left" w:pos="0"/>
        </w:tabs>
        <w:spacing w:before="0" w:beforeAutospacing="0" w:after="0" w:afterAutospacing="0"/>
        <w:ind w:right="26"/>
        <w:jc w:val="both"/>
        <w:rPr>
          <w:lang w:val="sr-Cyrl-CS"/>
        </w:rPr>
      </w:pPr>
      <w:r w:rsidRPr="00E84C93">
        <w:rPr>
          <w:lang w:val="sr-Cyrl-CS"/>
        </w:rPr>
        <w:tab/>
        <w:t>На неким од ових модела би се могао организовати рад центара за третман муља, транспорт, коришћење или одлагање муља.</w:t>
      </w:r>
      <w:r w:rsidR="00EF52BF" w:rsidRPr="00E84C93">
        <w:rPr>
          <w:lang w:val="sr-Cyrl-CS"/>
        </w:rPr>
        <w:t xml:space="preserve"> </w:t>
      </w:r>
    </w:p>
    <w:p w14:paraId="087BE66C" w14:textId="04B69E50" w:rsidR="00EF52BF" w:rsidRPr="00E84C93" w:rsidRDefault="004A466E" w:rsidP="00EF52BF">
      <w:pPr>
        <w:spacing w:after="0"/>
        <w:ind w:firstLine="720"/>
        <w:jc w:val="both"/>
        <w:rPr>
          <w:rFonts w:cs="Times New Roman"/>
          <w:szCs w:val="24"/>
          <w:lang w:val="sr-Cyrl-CS"/>
        </w:rPr>
      </w:pPr>
      <w:r w:rsidRPr="00E84C93">
        <w:rPr>
          <w:rFonts w:cs="Times New Roman"/>
          <w:szCs w:val="24"/>
          <w:lang w:val="sr-Cyrl-CS"/>
        </w:rPr>
        <w:t xml:space="preserve">У овом </w:t>
      </w:r>
      <w:r w:rsidR="00961835" w:rsidRPr="00E84C93">
        <w:rPr>
          <w:rFonts w:cs="Times New Roman"/>
          <w:szCs w:val="24"/>
          <w:lang w:val="sr-Cyrl-CS"/>
        </w:rPr>
        <w:t>П</w:t>
      </w:r>
      <w:r w:rsidRPr="00E84C93">
        <w:rPr>
          <w:rFonts w:cs="Times New Roman"/>
          <w:szCs w:val="24"/>
          <w:lang w:val="sr-Cyrl-CS"/>
        </w:rPr>
        <w:t xml:space="preserve">рограму предлаже се регионални приступ управљању муљем, односно формирање </w:t>
      </w:r>
      <w:r w:rsidR="00961835" w:rsidRPr="00E84C93">
        <w:rPr>
          <w:rFonts w:cs="Times New Roman"/>
          <w:szCs w:val="24"/>
          <w:lang w:val="sr-Cyrl-CS"/>
        </w:rPr>
        <w:t>р</w:t>
      </w:r>
      <w:r w:rsidRPr="00E84C93">
        <w:rPr>
          <w:rFonts w:cs="Times New Roman"/>
          <w:szCs w:val="24"/>
          <w:lang w:val="sr-Cyrl-CS"/>
        </w:rPr>
        <w:t>егионалних центара за управљање муљем</w:t>
      </w:r>
      <w:r w:rsidR="0000007B" w:rsidRPr="00E84C93">
        <w:rPr>
          <w:rFonts w:cs="Times New Roman"/>
          <w:szCs w:val="24"/>
          <w:lang w:val="sr-Cyrl-CS"/>
        </w:rPr>
        <w:t xml:space="preserve"> и </w:t>
      </w:r>
      <w:r w:rsidR="00961835" w:rsidRPr="00E84C93">
        <w:rPr>
          <w:rFonts w:cs="Times New Roman"/>
          <w:szCs w:val="24"/>
          <w:lang w:val="sr-Cyrl-CS"/>
        </w:rPr>
        <w:t>ц</w:t>
      </w:r>
      <w:r w:rsidR="0000007B" w:rsidRPr="00E84C93">
        <w:rPr>
          <w:rFonts w:cs="Times New Roman"/>
          <w:szCs w:val="24"/>
          <w:lang w:val="sr-Cyrl-CS"/>
        </w:rPr>
        <w:t>ентара за третман муља на нивоу округа</w:t>
      </w:r>
      <w:r w:rsidRPr="00E84C93">
        <w:rPr>
          <w:rFonts w:cs="Times New Roman"/>
          <w:szCs w:val="24"/>
          <w:lang w:val="sr-Cyrl-CS"/>
        </w:rPr>
        <w:t xml:space="preserve">. Производња муља ће махом зависити од усвојене технологије третмана отпадних вода и муља. Иако се очекује реструктурирање јавних комуналних предузећа у </w:t>
      </w:r>
      <w:r w:rsidR="00600A81" w:rsidRPr="00E84C93">
        <w:rPr>
          <w:rFonts w:cs="Times New Roman"/>
          <w:szCs w:val="24"/>
          <w:lang w:val="sr-Cyrl-CS"/>
        </w:rPr>
        <w:t xml:space="preserve">Републици </w:t>
      </w:r>
      <w:r w:rsidRPr="00E84C93">
        <w:rPr>
          <w:rFonts w:cs="Times New Roman"/>
          <w:szCs w:val="24"/>
          <w:lang w:val="sr-Cyrl-CS"/>
        </w:rPr>
        <w:t xml:space="preserve">Србији, како би се ојачали њихови капацитети за ефикасније и одрживије пружање различитих комуналних услуга, велика је вероватноћа да ће </w:t>
      </w:r>
      <w:r w:rsidR="0000007B" w:rsidRPr="00E84C93">
        <w:rPr>
          <w:rFonts w:cs="Times New Roman"/>
          <w:szCs w:val="24"/>
          <w:lang w:val="sr-Cyrl-CS"/>
        </w:rPr>
        <w:t xml:space="preserve">се </w:t>
      </w:r>
      <w:r w:rsidRPr="00E84C93">
        <w:rPr>
          <w:rFonts w:cs="Times New Roman"/>
          <w:szCs w:val="24"/>
          <w:lang w:val="sr-Cyrl-CS"/>
        </w:rPr>
        <w:t xml:space="preserve">у управљање </w:t>
      </w:r>
      <w:r w:rsidR="00961835" w:rsidRPr="00E84C93">
        <w:rPr>
          <w:rFonts w:cs="Times New Roman"/>
          <w:szCs w:val="24"/>
          <w:lang w:val="sr-Cyrl-CS"/>
        </w:rPr>
        <w:t>р</w:t>
      </w:r>
      <w:r w:rsidR="0000007B" w:rsidRPr="00E84C93">
        <w:rPr>
          <w:rFonts w:cs="Times New Roman"/>
          <w:szCs w:val="24"/>
          <w:lang w:val="sr-Cyrl-CS"/>
        </w:rPr>
        <w:t xml:space="preserve">егионалним </w:t>
      </w:r>
      <w:r w:rsidRPr="00E84C93">
        <w:rPr>
          <w:rFonts w:cs="Times New Roman"/>
          <w:szCs w:val="24"/>
          <w:lang w:val="sr-Cyrl-CS"/>
        </w:rPr>
        <w:t>центрима за управљање муљем укључити приватни партнер са искуством у управљању муљем што ће захтевати високо технолошко управљање.</w:t>
      </w:r>
      <w:r w:rsidR="00EF52BF" w:rsidRPr="00E84C93">
        <w:rPr>
          <w:rFonts w:cs="Times New Roman"/>
          <w:szCs w:val="24"/>
          <w:lang w:val="sr-Cyrl-CS"/>
        </w:rPr>
        <w:t xml:space="preserve"> Морају се поштовати основни тржишни принцип пуне надокнаде трошкова, без обзира из којих извора долазе почетни ресурси.</w:t>
      </w:r>
      <w:r w:rsidR="00EF52BF" w:rsidRPr="00E84C93">
        <w:rPr>
          <w:lang w:val="sr-Cyrl-CS"/>
        </w:rPr>
        <w:t xml:space="preserve"> </w:t>
      </w:r>
      <w:r w:rsidR="00EF52BF" w:rsidRPr="00E84C93">
        <w:rPr>
          <w:rFonts w:cs="Times New Roman"/>
          <w:szCs w:val="24"/>
          <w:lang w:val="sr-Cyrl-CS"/>
        </w:rPr>
        <w:t>Оперативни трошкови и трошкови одржавања морају се финансирати директно и искључиво из накнада које плаћају корисници.</w:t>
      </w:r>
    </w:p>
    <w:p w14:paraId="3CC2D608" w14:textId="424D6F5E"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Постој</w:t>
      </w:r>
      <w:r w:rsidR="00A2465A" w:rsidRPr="00E84C93">
        <w:rPr>
          <w:rFonts w:cs="Times New Roman"/>
          <w:szCs w:val="24"/>
          <w:lang w:val="sr-Cyrl-CS"/>
        </w:rPr>
        <w:t>е</w:t>
      </w:r>
      <w:r w:rsidRPr="00E84C93">
        <w:rPr>
          <w:rFonts w:cs="Times New Roman"/>
          <w:szCs w:val="24"/>
          <w:lang w:val="sr-Cyrl-CS"/>
        </w:rPr>
        <w:t xml:space="preserve"> различит</w:t>
      </w:r>
      <w:r w:rsidR="00A2465A" w:rsidRPr="00E84C93">
        <w:rPr>
          <w:rFonts w:cs="Times New Roman"/>
          <w:szCs w:val="24"/>
          <w:lang w:val="sr-Cyrl-CS"/>
        </w:rPr>
        <w:t>е</w:t>
      </w:r>
      <w:r w:rsidRPr="00E84C93">
        <w:rPr>
          <w:rFonts w:cs="Times New Roman"/>
          <w:szCs w:val="24"/>
          <w:lang w:val="sr-Cyrl-CS"/>
        </w:rPr>
        <w:t xml:space="preserve"> пословн</w:t>
      </w:r>
      <w:r w:rsidR="00A2465A" w:rsidRPr="00E84C93">
        <w:rPr>
          <w:rFonts w:cs="Times New Roman"/>
          <w:szCs w:val="24"/>
          <w:lang w:val="sr-Cyrl-CS"/>
        </w:rPr>
        <w:t>е</w:t>
      </w:r>
      <w:r w:rsidRPr="00E84C93">
        <w:rPr>
          <w:rFonts w:cs="Times New Roman"/>
          <w:szCs w:val="24"/>
          <w:lang w:val="sr-Cyrl-CS"/>
        </w:rPr>
        <w:t xml:space="preserve"> могућности за управљање регионалним центрима, али </w:t>
      </w:r>
      <w:r w:rsidR="0000007B" w:rsidRPr="00E84C93">
        <w:rPr>
          <w:rFonts w:cs="Times New Roman"/>
          <w:szCs w:val="24"/>
          <w:lang w:val="sr-Cyrl-CS"/>
        </w:rPr>
        <w:t xml:space="preserve">су </w:t>
      </w:r>
      <w:r w:rsidR="00A2465A" w:rsidRPr="00E84C93">
        <w:rPr>
          <w:rFonts w:cs="Times New Roman"/>
          <w:szCs w:val="24"/>
          <w:lang w:val="sr-Cyrl-CS"/>
        </w:rPr>
        <w:t xml:space="preserve">облици наведени у наставку </w:t>
      </w:r>
      <w:r w:rsidRPr="00E84C93">
        <w:rPr>
          <w:rFonts w:cs="Times New Roman"/>
          <w:szCs w:val="24"/>
          <w:lang w:val="sr-Cyrl-CS"/>
        </w:rPr>
        <w:t>најзаступљени</w:t>
      </w:r>
      <w:r w:rsidR="0000007B" w:rsidRPr="00E84C93">
        <w:rPr>
          <w:rFonts w:cs="Times New Roman"/>
          <w:szCs w:val="24"/>
          <w:lang w:val="sr-Cyrl-CS"/>
        </w:rPr>
        <w:t>ји</w:t>
      </w:r>
      <w:r w:rsidRPr="00E84C93">
        <w:rPr>
          <w:rFonts w:cs="Times New Roman"/>
          <w:szCs w:val="24"/>
          <w:lang w:val="sr-Cyrl-CS"/>
        </w:rPr>
        <w:t xml:space="preserve"> у </w:t>
      </w:r>
      <w:r w:rsidR="008E0F3E" w:rsidRPr="00E84C93">
        <w:rPr>
          <w:rFonts w:cs="Times New Roman"/>
          <w:szCs w:val="24"/>
          <w:lang w:val="sr-Cyrl-CS"/>
        </w:rPr>
        <w:t xml:space="preserve">Републици </w:t>
      </w:r>
      <w:r w:rsidRPr="00E84C93">
        <w:rPr>
          <w:rFonts w:cs="Times New Roman"/>
          <w:szCs w:val="24"/>
          <w:lang w:val="sr-Cyrl-CS"/>
        </w:rPr>
        <w:t xml:space="preserve">Србији. </w:t>
      </w:r>
    </w:p>
    <w:p w14:paraId="1999D4A4" w14:textId="77777777" w:rsidR="003F4CFE" w:rsidRPr="00E84C93" w:rsidRDefault="003F4CFE" w:rsidP="003F4CFE">
      <w:pPr>
        <w:spacing w:after="0"/>
        <w:ind w:firstLine="720"/>
        <w:jc w:val="both"/>
        <w:rPr>
          <w:rFonts w:cs="Times New Roman"/>
          <w:szCs w:val="24"/>
          <w:lang w:val="sr-Cyrl-CS"/>
        </w:rPr>
      </w:pPr>
    </w:p>
    <w:p w14:paraId="3D7F58FE" w14:textId="4E7118D2" w:rsidR="003F4CFE" w:rsidRPr="00E84C93" w:rsidRDefault="003F4CFE" w:rsidP="003F4CFE">
      <w:pPr>
        <w:spacing w:after="0"/>
        <w:ind w:firstLine="720"/>
        <w:jc w:val="both"/>
        <w:rPr>
          <w:rFonts w:cs="Times New Roman"/>
          <w:b/>
          <w:bCs/>
          <w:szCs w:val="24"/>
          <w:lang w:val="sr-Cyrl-CS"/>
        </w:rPr>
      </w:pPr>
      <w:r w:rsidRPr="00E84C93">
        <w:rPr>
          <w:rFonts w:cs="Times New Roman"/>
          <w:b/>
          <w:bCs/>
          <w:szCs w:val="24"/>
          <w:lang w:val="sr-Cyrl-CS"/>
        </w:rPr>
        <w:t xml:space="preserve">Регионално јавно комунално предузеће </w:t>
      </w:r>
    </w:p>
    <w:p w14:paraId="5985D1B4" w14:textId="675AF030"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У сектору управљања отпадом</w:t>
      </w:r>
      <w:r w:rsidR="00285BCC" w:rsidRPr="00E84C93">
        <w:rPr>
          <w:rFonts w:cs="Times New Roman"/>
          <w:szCs w:val="24"/>
          <w:lang w:val="sr-Cyrl-CS"/>
        </w:rPr>
        <w:t xml:space="preserve"> </w:t>
      </w:r>
      <w:r w:rsidRPr="00E84C93">
        <w:rPr>
          <w:rFonts w:cs="Times New Roman"/>
          <w:szCs w:val="24"/>
          <w:lang w:val="sr-Cyrl-CS"/>
        </w:rPr>
        <w:t xml:space="preserve">у </w:t>
      </w:r>
      <w:r w:rsidR="008E0F3E" w:rsidRPr="00E84C93">
        <w:rPr>
          <w:rFonts w:cs="Times New Roman"/>
          <w:szCs w:val="24"/>
          <w:lang w:val="sr-Cyrl-CS"/>
        </w:rPr>
        <w:t xml:space="preserve">Републици </w:t>
      </w:r>
      <w:r w:rsidRPr="00E84C93">
        <w:rPr>
          <w:rFonts w:cs="Times New Roman"/>
          <w:szCs w:val="24"/>
          <w:lang w:val="sr-Cyrl-CS"/>
        </w:rPr>
        <w:t>Србији оваквих модела је мало, међутим</w:t>
      </w:r>
      <w:r w:rsidR="0000007B" w:rsidRPr="00E84C93">
        <w:rPr>
          <w:rFonts w:cs="Times New Roman"/>
          <w:szCs w:val="24"/>
          <w:lang w:val="sr-Cyrl-CS"/>
        </w:rPr>
        <w:t>,</w:t>
      </w:r>
      <w:r w:rsidRPr="00E84C93">
        <w:rPr>
          <w:rFonts w:cs="Times New Roman"/>
          <w:szCs w:val="24"/>
          <w:lang w:val="sr-Cyrl-CS"/>
        </w:rPr>
        <w:t xml:space="preserve"> иста је ситуација и у неким другим секторима, попут водоснабдевања. Принципи оснивања, развоја и управљања овим предузећима су готово исти, без обзира на сектор у коме послују или ресурс којим управљају.</w:t>
      </w:r>
    </w:p>
    <w:p w14:paraId="7DCAC087" w14:textId="77777777"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 xml:space="preserve">Кључни кораци у оснивању Регионалног ЈКП су следећи: </w:t>
      </w:r>
    </w:p>
    <w:p w14:paraId="6648E896" w14:textId="30DDF79B" w:rsidR="003F4CFE" w:rsidRPr="00E84C93" w:rsidRDefault="004F27E4" w:rsidP="003B03B9">
      <w:pPr>
        <w:pStyle w:val="ListParagraph"/>
        <w:numPr>
          <w:ilvl w:val="0"/>
          <w:numId w:val="15"/>
        </w:numPr>
        <w:spacing w:after="0"/>
        <w:ind w:left="0" w:firstLine="720"/>
        <w:jc w:val="both"/>
        <w:rPr>
          <w:rFonts w:cs="Times New Roman"/>
          <w:szCs w:val="24"/>
          <w:lang w:val="sr-Cyrl-CS"/>
        </w:rPr>
      </w:pPr>
      <w:r w:rsidRPr="00E84C93">
        <w:rPr>
          <w:rFonts w:cs="Times New Roman"/>
          <w:szCs w:val="24"/>
          <w:lang w:val="sr-Cyrl-CS"/>
        </w:rPr>
        <w:t>с</w:t>
      </w:r>
      <w:r w:rsidR="003F4CFE" w:rsidRPr="00E84C93">
        <w:rPr>
          <w:rFonts w:cs="Times New Roman"/>
          <w:szCs w:val="24"/>
          <w:lang w:val="sr-Cyrl-CS"/>
        </w:rPr>
        <w:t xml:space="preserve">поразум/меморандум између две или више </w:t>
      </w:r>
      <w:r w:rsidR="00C51EC4" w:rsidRPr="00E84C93">
        <w:rPr>
          <w:rFonts w:cs="Times New Roman"/>
          <w:szCs w:val="24"/>
          <w:lang w:val="sr-Cyrl-CS"/>
        </w:rPr>
        <w:t>градова/</w:t>
      </w:r>
      <w:r w:rsidR="003F4CFE" w:rsidRPr="00E84C93">
        <w:rPr>
          <w:rFonts w:cs="Times New Roman"/>
          <w:szCs w:val="24"/>
          <w:lang w:val="sr-Cyrl-CS"/>
        </w:rPr>
        <w:t xml:space="preserve">општина о оснивању регионалног предузећа и заједничком управљању предузећем – у овом споразуму </w:t>
      </w:r>
      <w:r w:rsidR="00C51EC4" w:rsidRPr="00E84C93">
        <w:rPr>
          <w:rFonts w:cs="Times New Roman"/>
          <w:szCs w:val="24"/>
          <w:lang w:val="sr-Cyrl-CS"/>
        </w:rPr>
        <w:t>градова/</w:t>
      </w:r>
      <w:r w:rsidR="003F4CFE" w:rsidRPr="00E84C93">
        <w:rPr>
          <w:rFonts w:cs="Times New Roman"/>
          <w:szCs w:val="24"/>
          <w:lang w:val="sr-Cyrl-CS"/>
        </w:rPr>
        <w:t>општине дефинишу регион, број укључених општина, делатност предузећа итд</w:t>
      </w:r>
      <w:r w:rsidR="003B03B9" w:rsidRPr="00E84C93">
        <w:rPr>
          <w:rFonts w:cs="Times New Roman"/>
          <w:szCs w:val="24"/>
          <w:lang w:val="sr-Cyrl-CS"/>
        </w:rPr>
        <w:t>;</w:t>
      </w:r>
    </w:p>
    <w:p w14:paraId="160FB1EA" w14:textId="640429BD" w:rsidR="003F4CFE" w:rsidRPr="00E84C93" w:rsidRDefault="003F4CFE" w:rsidP="003B03B9">
      <w:pPr>
        <w:pStyle w:val="ListParagraph"/>
        <w:numPr>
          <w:ilvl w:val="0"/>
          <w:numId w:val="15"/>
        </w:numPr>
        <w:spacing w:after="0"/>
        <w:ind w:left="0" w:firstLine="720"/>
        <w:jc w:val="both"/>
        <w:rPr>
          <w:rFonts w:cs="Times New Roman"/>
          <w:szCs w:val="24"/>
          <w:lang w:val="sr-Cyrl-CS"/>
        </w:rPr>
      </w:pPr>
      <w:r w:rsidRPr="00E84C93">
        <w:rPr>
          <w:rFonts w:cs="Times New Roman"/>
          <w:szCs w:val="24"/>
          <w:lang w:val="sr-Cyrl-CS"/>
        </w:rPr>
        <w:t>Оснивачки акт – ради оснивања предузећа и одређивања оснивача, основних улагања, броја акција које припадају сваком од оснивача итд</w:t>
      </w:r>
      <w:r w:rsidR="003B03B9" w:rsidRPr="00E84C93">
        <w:rPr>
          <w:rFonts w:cs="Times New Roman"/>
          <w:szCs w:val="24"/>
          <w:lang w:val="sr-Cyrl-CS"/>
        </w:rPr>
        <w:t>;</w:t>
      </w:r>
    </w:p>
    <w:p w14:paraId="7329154D" w14:textId="787659F8" w:rsidR="003F4CFE" w:rsidRPr="00E84C93" w:rsidRDefault="003F4CFE" w:rsidP="003B03B9">
      <w:pPr>
        <w:pStyle w:val="ListParagraph"/>
        <w:numPr>
          <w:ilvl w:val="0"/>
          <w:numId w:val="15"/>
        </w:numPr>
        <w:spacing w:after="0"/>
        <w:ind w:left="0" w:firstLine="720"/>
        <w:jc w:val="both"/>
        <w:rPr>
          <w:rFonts w:cs="Times New Roman"/>
          <w:szCs w:val="24"/>
          <w:lang w:val="sr-Cyrl-CS"/>
        </w:rPr>
      </w:pPr>
      <w:r w:rsidRPr="00E84C93">
        <w:rPr>
          <w:rFonts w:cs="Times New Roman"/>
          <w:szCs w:val="24"/>
          <w:lang w:val="sr-Cyrl-CS"/>
        </w:rPr>
        <w:t>Статут – ради дефинисања управљачких, надзорних и административних процедура, као и процеса и начина доношења одлука.</w:t>
      </w:r>
    </w:p>
    <w:p w14:paraId="0A232D20" w14:textId="77777777"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У оваквим предузећима је од пресудног значаја постојање јасно дефинисаног начина одлучивања, обавеза оснивача (градова/општина) и предузећа (њене управе). Такође је важно утврдити обавезе локалних ЈКП и међусобне односе тих ЈКП и регионалног ЈКП.</w:t>
      </w:r>
    </w:p>
    <w:p w14:paraId="0286EBBC" w14:textId="30239FDE" w:rsidR="003F4CFE" w:rsidRPr="00E84C93" w:rsidRDefault="004F27E4" w:rsidP="003F4CFE">
      <w:pPr>
        <w:spacing w:after="0"/>
        <w:ind w:firstLine="720"/>
        <w:jc w:val="both"/>
        <w:rPr>
          <w:rFonts w:cs="Times New Roman"/>
          <w:szCs w:val="24"/>
          <w:lang w:val="sr-Cyrl-CS"/>
        </w:rPr>
      </w:pPr>
      <w:r w:rsidRPr="00E84C93">
        <w:rPr>
          <w:rFonts w:cs="Times New Roman"/>
          <w:szCs w:val="24"/>
          <w:lang w:val="sr-Cyrl-CS"/>
        </w:rPr>
        <w:t>ЈКП</w:t>
      </w:r>
      <w:r w:rsidR="003F4CFE" w:rsidRPr="00E84C93">
        <w:rPr>
          <w:rFonts w:cs="Times New Roman"/>
          <w:szCs w:val="24"/>
          <w:lang w:val="sr-Cyrl-CS"/>
        </w:rPr>
        <w:t xml:space="preserve"> је</w:t>
      </w:r>
      <w:r w:rsidRPr="00E84C93">
        <w:rPr>
          <w:rFonts w:cs="Times New Roman"/>
          <w:szCs w:val="24"/>
          <w:lang w:val="sr-Cyrl-CS"/>
        </w:rPr>
        <w:t>,</w:t>
      </w:r>
      <w:r w:rsidR="003F4CFE" w:rsidRPr="00E84C93">
        <w:rPr>
          <w:rFonts w:cs="Times New Roman"/>
          <w:szCs w:val="24"/>
          <w:lang w:val="sr-Cyrl-CS"/>
        </w:rPr>
        <w:t xml:space="preserve"> углавном</w:t>
      </w:r>
      <w:r w:rsidRPr="00E84C93">
        <w:rPr>
          <w:rFonts w:cs="Times New Roman"/>
          <w:szCs w:val="24"/>
          <w:lang w:val="sr-Cyrl-CS"/>
        </w:rPr>
        <w:t>,</w:t>
      </w:r>
      <w:r w:rsidR="003F4CFE" w:rsidRPr="00E84C93">
        <w:rPr>
          <w:rFonts w:cs="Times New Roman"/>
          <w:szCs w:val="24"/>
          <w:lang w:val="sr-Cyrl-CS"/>
        </w:rPr>
        <w:t xml:space="preserve"> одговорно за:</w:t>
      </w:r>
    </w:p>
    <w:p w14:paraId="0D0E4D3D" w14:textId="779B6856"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р</w:t>
      </w:r>
      <w:r w:rsidR="003F4CFE" w:rsidRPr="00E84C93">
        <w:rPr>
          <w:rFonts w:cs="Times New Roman"/>
          <w:szCs w:val="24"/>
          <w:lang w:val="sr-Cyrl-CS"/>
        </w:rPr>
        <w:t>едовно извештавање оснивача о свим важним питањима</w:t>
      </w:r>
      <w:r w:rsidR="003B03B9" w:rsidRPr="00E84C93">
        <w:rPr>
          <w:rFonts w:cs="Times New Roman"/>
          <w:szCs w:val="24"/>
          <w:lang w:val="sr-Cyrl-CS"/>
        </w:rPr>
        <w:t>;</w:t>
      </w:r>
    </w:p>
    <w:p w14:paraId="78B5CAA4" w14:textId="6149D1A4" w:rsidR="003F4CFE" w:rsidRPr="00E84C93" w:rsidRDefault="004F27E4" w:rsidP="003B03B9">
      <w:pPr>
        <w:pStyle w:val="ListParagraph"/>
        <w:numPr>
          <w:ilvl w:val="0"/>
          <w:numId w:val="16"/>
        </w:numPr>
        <w:tabs>
          <w:tab w:val="left" w:pos="1134"/>
        </w:tabs>
        <w:spacing w:after="0"/>
        <w:ind w:left="0" w:firstLine="720"/>
        <w:jc w:val="both"/>
        <w:rPr>
          <w:rFonts w:cs="Times New Roman"/>
          <w:szCs w:val="24"/>
          <w:lang w:val="sr-Cyrl-CS"/>
        </w:rPr>
      </w:pPr>
      <w:r w:rsidRPr="00E84C93">
        <w:rPr>
          <w:rFonts w:cs="Times New Roman"/>
          <w:szCs w:val="24"/>
          <w:lang w:val="sr-Cyrl-CS"/>
        </w:rPr>
        <w:lastRenderedPageBreak/>
        <w:t>п</w:t>
      </w:r>
      <w:r w:rsidR="003F4CFE" w:rsidRPr="00E84C93">
        <w:rPr>
          <w:rFonts w:cs="Times New Roman"/>
          <w:szCs w:val="24"/>
          <w:lang w:val="sr-Cyrl-CS"/>
        </w:rPr>
        <w:t>раћење прописа и разматрање нових прописа који ступају на снагу</w:t>
      </w:r>
      <w:r w:rsidR="003438CE" w:rsidRPr="00E84C93">
        <w:rPr>
          <w:rFonts w:cs="Times New Roman"/>
          <w:szCs w:val="24"/>
          <w:lang w:val="sr-Cyrl-CS"/>
        </w:rPr>
        <w:t>,</w:t>
      </w:r>
      <w:r w:rsidR="003F4CFE" w:rsidRPr="00E84C93">
        <w:rPr>
          <w:rFonts w:cs="Times New Roman"/>
          <w:szCs w:val="24"/>
          <w:lang w:val="sr-Cyrl-CS"/>
        </w:rPr>
        <w:t xml:space="preserve"> као и израду и усклађивање планова предузећа и интерних докумената</w:t>
      </w:r>
      <w:r w:rsidR="003B03B9" w:rsidRPr="00E84C93">
        <w:rPr>
          <w:rFonts w:cs="Times New Roman"/>
          <w:szCs w:val="24"/>
          <w:lang w:val="sr-Cyrl-CS"/>
        </w:rPr>
        <w:t>;</w:t>
      </w:r>
    </w:p>
    <w:p w14:paraId="712BF039" w14:textId="00747549" w:rsidR="003F4CFE" w:rsidRPr="00E84C93" w:rsidRDefault="004F27E4" w:rsidP="003B03B9">
      <w:pPr>
        <w:pStyle w:val="ListParagraph"/>
        <w:numPr>
          <w:ilvl w:val="0"/>
          <w:numId w:val="16"/>
        </w:numPr>
        <w:tabs>
          <w:tab w:val="left" w:pos="1134"/>
        </w:tabs>
        <w:spacing w:after="0"/>
        <w:ind w:left="0" w:firstLine="720"/>
        <w:jc w:val="both"/>
        <w:rPr>
          <w:rFonts w:cs="Times New Roman"/>
          <w:szCs w:val="24"/>
          <w:lang w:val="sr-Cyrl-CS"/>
        </w:rPr>
      </w:pPr>
      <w:r w:rsidRPr="00E84C93">
        <w:rPr>
          <w:rFonts w:cs="Times New Roman"/>
          <w:szCs w:val="24"/>
          <w:lang w:val="sr-Cyrl-CS"/>
        </w:rPr>
        <w:t>п</w:t>
      </w:r>
      <w:r w:rsidR="003F4CFE" w:rsidRPr="00E84C93">
        <w:rPr>
          <w:rFonts w:cs="Times New Roman"/>
          <w:szCs w:val="24"/>
          <w:lang w:val="sr-Cyrl-CS"/>
        </w:rPr>
        <w:t xml:space="preserve">омоћ оснивачима у </w:t>
      </w:r>
      <w:r w:rsidR="003438CE" w:rsidRPr="00E84C93">
        <w:rPr>
          <w:rFonts w:cs="Times New Roman"/>
          <w:szCs w:val="24"/>
          <w:lang w:val="sr-Cyrl-CS"/>
        </w:rPr>
        <w:t>доношењу</w:t>
      </w:r>
      <w:r w:rsidR="003F4CFE" w:rsidRPr="00E84C93">
        <w:rPr>
          <w:rFonts w:cs="Times New Roman"/>
          <w:szCs w:val="24"/>
          <w:lang w:val="sr-Cyrl-CS"/>
        </w:rPr>
        <w:t xml:space="preserve"> заједничког правилника и прописа који се одно</w:t>
      </w:r>
      <w:r w:rsidR="003B03B9" w:rsidRPr="00E84C93">
        <w:rPr>
          <w:rFonts w:cs="Times New Roman"/>
          <w:szCs w:val="24"/>
          <w:lang w:val="sr-Cyrl-CS"/>
        </w:rPr>
        <w:t>се на рад регионалног предузећа</w:t>
      </w:r>
      <w:r w:rsidR="003F4CFE" w:rsidRPr="00E84C93">
        <w:rPr>
          <w:rFonts w:cs="Times New Roman"/>
          <w:szCs w:val="24"/>
          <w:lang w:val="sr-Cyrl-CS"/>
        </w:rPr>
        <w:t xml:space="preserve"> и по потреби у успостављању сарадње и комуникације са локалним ЈКП</w:t>
      </w:r>
      <w:r w:rsidR="003B03B9" w:rsidRPr="00E84C93">
        <w:rPr>
          <w:rFonts w:cs="Times New Roman"/>
          <w:szCs w:val="24"/>
          <w:lang w:val="sr-Cyrl-CS"/>
        </w:rPr>
        <w:t>;</w:t>
      </w:r>
    </w:p>
    <w:p w14:paraId="3DABB8F6" w14:textId="2E58D23D"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с</w:t>
      </w:r>
      <w:r w:rsidR="003F4CFE" w:rsidRPr="00E84C93">
        <w:rPr>
          <w:rFonts w:cs="Times New Roman"/>
          <w:szCs w:val="24"/>
          <w:lang w:val="sr-Cyrl-CS"/>
        </w:rPr>
        <w:t>провођење студија и пробних испитивања применом нових технологија и решења за унапређење пословања</w:t>
      </w:r>
      <w:r w:rsidR="00BA7EF0" w:rsidRPr="00E84C93">
        <w:rPr>
          <w:rFonts w:cs="Times New Roman"/>
          <w:szCs w:val="24"/>
          <w:lang w:val="sr-Cyrl-CS"/>
        </w:rPr>
        <w:t>;</w:t>
      </w:r>
    </w:p>
    <w:p w14:paraId="7FE391C0" w14:textId="54B6C838"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п</w:t>
      </w:r>
      <w:r w:rsidR="003F4CFE" w:rsidRPr="00E84C93">
        <w:rPr>
          <w:rFonts w:cs="Times New Roman"/>
          <w:szCs w:val="24"/>
          <w:lang w:val="sr-Cyrl-CS"/>
        </w:rPr>
        <w:t>ромовисање међуопштинске сарадње</w:t>
      </w:r>
      <w:r w:rsidR="00BA7EF0" w:rsidRPr="00E84C93">
        <w:rPr>
          <w:rFonts w:cs="Times New Roman"/>
          <w:szCs w:val="24"/>
          <w:lang w:val="sr-Cyrl-CS"/>
        </w:rPr>
        <w:t>;</w:t>
      </w:r>
    </w:p>
    <w:p w14:paraId="585B7187" w14:textId="3D492B91"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и</w:t>
      </w:r>
      <w:r w:rsidR="003F4CFE" w:rsidRPr="00E84C93">
        <w:rPr>
          <w:rFonts w:cs="Times New Roman"/>
          <w:szCs w:val="24"/>
          <w:lang w:val="sr-Cyrl-CS"/>
        </w:rPr>
        <w:t>нформисање јавности и подизање свести јавности</w:t>
      </w:r>
      <w:r w:rsidR="00BA7EF0" w:rsidRPr="00E84C93">
        <w:rPr>
          <w:rFonts w:cs="Times New Roman"/>
          <w:szCs w:val="24"/>
          <w:lang w:val="sr-Cyrl-CS"/>
        </w:rPr>
        <w:t>;</w:t>
      </w:r>
    </w:p>
    <w:p w14:paraId="471F2EC5" w14:textId="67F2823F"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и</w:t>
      </w:r>
      <w:r w:rsidR="003F4CFE" w:rsidRPr="00E84C93">
        <w:rPr>
          <w:rFonts w:cs="Times New Roman"/>
          <w:szCs w:val="24"/>
          <w:lang w:val="sr-Cyrl-CS"/>
        </w:rPr>
        <w:t>страживање области за сарадњу са другим партнерима, како јавним тако и приватним</w:t>
      </w:r>
      <w:r w:rsidR="00BA7EF0" w:rsidRPr="00E84C93">
        <w:rPr>
          <w:rFonts w:cs="Times New Roman"/>
          <w:szCs w:val="24"/>
          <w:lang w:val="sr-Cyrl-CS"/>
        </w:rPr>
        <w:t>;</w:t>
      </w:r>
    </w:p>
    <w:p w14:paraId="12521688" w14:textId="6B800C77" w:rsidR="003F4CFE" w:rsidRPr="00E84C93" w:rsidRDefault="004F27E4" w:rsidP="00D75873">
      <w:pPr>
        <w:pStyle w:val="ListParagraph"/>
        <w:numPr>
          <w:ilvl w:val="0"/>
          <w:numId w:val="16"/>
        </w:numPr>
        <w:spacing w:after="0"/>
        <w:jc w:val="both"/>
        <w:rPr>
          <w:rFonts w:cs="Times New Roman"/>
          <w:szCs w:val="24"/>
          <w:lang w:val="sr-Cyrl-CS"/>
        </w:rPr>
      </w:pPr>
      <w:r w:rsidRPr="00E84C93">
        <w:rPr>
          <w:rFonts w:cs="Times New Roman"/>
          <w:szCs w:val="24"/>
          <w:lang w:val="sr-Cyrl-CS"/>
        </w:rPr>
        <w:t>у</w:t>
      </w:r>
      <w:r w:rsidR="003F4CFE" w:rsidRPr="00E84C93">
        <w:rPr>
          <w:rFonts w:cs="Times New Roman"/>
          <w:szCs w:val="24"/>
          <w:lang w:val="sr-Cyrl-CS"/>
        </w:rPr>
        <w:t>прављање имовином предузећа на најбољи могући начин итд.</w:t>
      </w:r>
    </w:p>
    <w:p w14:paraId="72372683" w14:textId="5A75EEE7" w:rsidR="003F4CFE" w:rsidRPr="00E84C93" w:rsidRDefault="004F27E4" w:rsidP="004F27E4">
      <w:pPr>
        <w:pStyle w:val="ListParagraph"/>
        <w:spacing w:after="0"/>
        <w:jc w:val="both"/>
        <w:rPr>
          <w:rFonts w:cs="Times New Roman"/>
          <w:szCs w:val="24"/>
          <w:lang w:val="sr-Cyrl-CS"/>
        </w:rPr>
      </w:pPr>
      <w:r w:rsidRPr="00E84C93">
        <w:rPr>
          <w:rFonts w:cs="Times New Roman"/>
          <w:szCs w:val="24"/>
          <w:lang w:val="sr-Cyrl-CS"/>
        </w:rPr>
        <w:t>О</w:t>
      </w:r>
      <w:r w:rsidR="003F4CFE" w:rsidRPr="00E84C93">
        <w:rPr>
          <w:rFonts w:cs="Times New Roman"/>
          <w:szCs w:val="24"/>
          <w:lang w:val="sr-Cyrl-CS"/>
        </w:rPr>
        <w:t>бавезе оснивача (градова/општина) се</w:t>
      </w:r>
      <w:r w:rsidRPr="00E84C93">
        <w:rPr>
          <w:rFonts w:cs="Times New Roman"/>
          <w:szCs w:val="24"/>
          <w:lang w:val="sr-Cyrl-CS"/>
        </w:rPr>
        <w:t>,</w:t>
      </w:r>
      <w:r w:rsidR="003F4CFE" w:rsidRPr="00E84C93">
        <w:rPr>
          <w:rFonts w:cs="Times New Roman"/>
          <w:szCs w:val="24"/>
          <w:lang w:val="sr-Cyrl-CS"/>
        </w:rPr>
        <w:t xml:space="preserve"> пре свега</w:t>
      </w:r>
      <w:r w:rsidRPr="00E84C93">
        <w:rPr>
          <w:rFonts w:cs="Times New Roman"/>
          <w:szCs w:val="24"/>
          <w:lang w:val="sr-Cyrl-CS"/>
        </w:rPr>
        <w:t>,</w:t>
      </w:r>
      <w:r w:rsidR="003F4CFE" w:rsidRPr="00E84C93">
        <w:rPr>
          <w:rFonts w:cs="Times New Roman"/>
          <w:szCs w:val="24"/>
          <w:lang w:val="sr-Cyrl-CS"/>
        </w:rPr>
        <w:t xml:space="preserve"> огледају у:</w:t>
      </w:r>
    </w:p>
    <w:p w14:paraId="48CD57E4" w14:textId="1715C07F" w:rsidR="003F4CFE" w:rsidRPr="00E84C93" w:rsidRDefault="004F27E4" w:rsidP="007B109D">
      <w:pPr>
        <w:pStyle w:val="ListParagraph"/>
        <w:numPr>
          <w:ilvl w:val="0"/>
          <w:numId w:val="37"/>
        </w:numPr>
        <w:tabs>
          <w:tab w:val="left" w:pos="1418"/>
        </w:tabs>
        <w:spacing w:after="0"/>
        <w:ind w:left="0" w:firstLine="1080"/>
        <w:jc w:val="both"/>
        <w:rPr>
          <w:rFonts w:cs="Times New Roman"/>
          <w:szCs w:val="24"/>
          <w:lang w:val="sr-Cyrl-CS"/>
        </w:rPr>
      </w:pPr>
      <w:r w:rsidRPr="00E84C93">
        <w:rPr>
          <w:rFonts w:cs="Times New Roman"/>
          <w:szCs w:val="24"/>
          <w:lang w:val="sr-Cyrl-CS"/>
        </w:rPr>
        <w:t>о</w:t>
      </w:r>
      <w:r w:rsidR="003F4CFE" w:rsidRPr="00E84C93">
        <w:rPr>
          <w:rFonts w:cs="Times New Roman"/>
          <w:szCs w:val="24"/>
          <w:lang w:val="sr-Cyrl-CS"/>
        </w:rPr>
        <w:t>безбеђивању земљишта и простора за инфраструктуру предузећа (нпр. трансфер станице) или опрем</w:t>
      </w:r>
      <w:r w:rsidR="003438CE" w:rsidRPr="00E84C93">
        <w:rPr>
          <w:rFonts w:cs="Times New Roman"/>
          <w:szCs w:val="24"/>
          <w:lang w:val="sr-Cyrl-CS"/>
        </w:rPr>
        <w:t>е</w:t>
      </w:r>
      <w:r w:rsidR="003F4CFE" w:rsidRPr="00E84C93">
        <w:rPr>
          <w:rFonts w:cs="Times New Roman"/>
          <w:szCs w:val="24"/>
          <w:lang w:val="sr-Cyrl-CS"/>
        </w:rPr>
        <w:t xml:space="preserve"> (нпр. контејнере, канте, итд) по потреби</w:t>
      </w:r>
      <w:r w:rsidR="007B109D" w:rsidRPr="00E84C93">
        <w:rPr>
          <w:rFonts w:cs="Times New Roman"/>
          <w:szCs w:val="24"/>
          <w:lang w:val="sr-Cyrl-CS"/>
        </w:rPr>
        <w:t>;</w:t>
      </w:r>
    </w:p>
    <w:p w14:paraId="08B199AD" w14:textId="55E38062" w:rsidR="003F4CFE" w:rsidRPr="00E84C93" w:rsidRDefault="004F27E4" w:rsidP="007B109D">
      <w:pPr>
        <w:pStyle w:val="ListParagraph"/>
        <w:numPr>
          <w:ilvl w:val="0"/>
          <w:numId w:val="37"/>
        </w:numPr>
        <w:spacing w:after="0"/>
        <w:ind w:left="0" w:firstLine="1080"/>
        <w:jc w:val="both"/>
        <w:rPr>
          <w:rFonts w:cs="Times New Roman"/>
          <w:szCs w:val="24"/>
          <w:lang w:val="sr-Cyrl-CS"/>
        </w:rPr>
      </w:pPr>
      <w:r w:rsidRPr="00E84C93">
        <w:rPr>
          <w:rFonts w:cs="Times New Roman"/>
          <w:szCs w:val="24"/>
          <w:lang w:val="sr-Cyrl-CS"/>
        </w:rPr>
        <w:t>о</w:t>
      </w:r>
      <w:r w:rsidR="003F4CFE" w:rsidRPr="00E84C93">
        <w:rPr>
          <w:rFonts w:cs="Times New Roman"/>
          <w:szCs w:val="24"/>
          <w:lang w:val="sr-Cyrl-CS"/>
        </w:rPr>
        <w:t>безбеђивању спровођења свих активности на територији у њеној надлежности у циљу успостављања и управљања регионалном шемом</w:t>
      </w:r>
      <w:r w:rsidR="007B109D" w:rsidRPr="00E84C93">
        <w:rPr>
          <w:rFonts w:cs="Times New Roman"/>
          <w:szCs w:val="24"/>
          <w:lang w:val="sr-Cyrl-CS"/>
        </w:rPr>
        <w:t>;</w:t>
      </w:r>
    </w:p>
    <w:p w14:paraId="20613F24" w14:textId="5FAE89F9" w:rsidR="003F4CFE" w:rsidRPr="00E84C93" w:rsidRDefault="003438CE" w:rsidP="00D75873">
      <w:pPr>
        <w:pStyle w:val="ListParagraph"/>
        <w:numPr>
          <w:ilvl w:val="0"/>
          <w:numId w:val="37"/>
        </w:numPr>
        <w:spacing w:after="0"/>
        <w:jc w:val="both"/>
        <w:rPr>
          <w:rFonts w:cs="Times New Roman"/>
          <w:szCs w:val="24"/>
          <w:lang w:val="sr-Cyrl-CS"/>
        </w:rPr>
      </w:pPr>
      <w:r w:rsidRPr="00E84C93">
        <w:rPr>
          <w:rFonts w:cs="Times New Roman"/>
          <w:szCs w:val="24"/>
          <w:lang w:val="sr-Cyrl-CS"/>
        </w:rPr>
        <w:t xml:space="preserve"> </w:t>
      </w:r>
      <w:r w:rsidR="004F27E4" w:rsidRPr="00E84C93">
        <w:rPr>
          <w:rFonts w:cs="Times New Roman"/>
          <w:szCs w:val="24"/>
          <w:lang w:val="sr-Cyrl-CS"/>
        </w:rPr>
        <w:t>о</w:t>
      </w:r>
      <w:r w:rsidR="003F4CFE" w:rsidRPr="00E84C93">
        <w:rPr>
          <w:rFonts w:cs="Times New Roman"/>
          <w:szCs w:val="24"/>
          <w:lang w:val="sr-Cyrl-CS"/>
        </w:rPr>
        <w:t>безбеђивању сарадње између свог локалног ЈКП са регионалним ЈКП.</w:t>
      </w:r>
    </w:p>
    <w:p w14:paraId="4DC011E2" w14:textId="203B873B"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 xml:space="preserve">Предност оснивања регионалног јавног комуналног предузећа у власништву градова/општина </w:t>
      </w:r>
      <w:r w:rsidR="0000007B" w:rsidRPr="00E84C93">
        <w:rPr>
          <w:rFonts w:cs="Times New Roman"/>
          <w:szCs w:val="24"/>
          <w:lang w:val="sr-Cyrl-CS"/>
        </w:rPr>
        <w:t>је</w:t>
      </w:r>
      <w:r w:rsidRPr="00E84C93">
        <w:rPr>
          <w:rFonts w:cs="Times New Roman"/>
          <w:szCs w:val="24"/>
          <w:lang w:val="sr-Cyrl-CS"/>
        </w:rPr>
        <w:t xml:space="preserve"> чињеница да </w:t>
      </w:r>
      <w:r w:rsidR="004F27E4" w:rsidRPr="00E84C93">
        <w:rPr>
          <w:rFonts w:cs="Times New Roman"/>
          <w:szCs w:val="24"/>
          <w:lang w:val="sr-Cyrl-CS"/>
        </w:rPr>
        <w:t xml:space="preserve">Република </w:t>
      </w:r>
      <w:r w:rsidRPr="00E84C93">
        <w:rPr>
          <w:rFonts w:cs="Times New Roman"/>
          <w:szCs w:val="24"/>
          <w:lang w:val="sr-Cyrl-CS"/>
        </w:rPr>
        <w:t>Србија поседује искуства у управљању оваквим јавним предузећима. Јавна предузећа су превасходно предузећа основана за обављање послова или делатности од јавног интереса.</w:t>
      </w:r>
    </w:p>
    <w:p w14:paraId="2C5371CD" w14:textId="77777777" w:rsidR="003F4CFE" w:rsidRPr="00E84C93" w:rsidRDefault="003F4CFE" w:rsidP="003F4CFE">
      <w:pPr>
        <w:spacing w:after="0"/>
        <w:ind w:firstLine="720"/>
        <w:jc w:val="both"/>
        <w:rPr>
          <w:rFonts w:cs="Times New Roman"/>
          <w:szCs w:val="24"/>
          <w:lang w:val="sr-Cyrl-CS"/>
        </w:rPr>
      </w:pPr>
    </w:p>
    <w:p w14:paraId="2467C154" w14:textId="28AD8B30" w:rsidR="003F4CFE" w:rsidRPr="00E84C93" w:rsidRDefault="003F4CFE" w:rsidP="003F4CFE">
      <w:pPr>
        <w:spacing w:after="0"/>
        <w:ind w:firstLine="720"/>
        <w:jc w:val="both"/>
        <w:rPr>
          <w:rFonts w:cs="Times New Roman"/>
          <w:b/>
          <w:bCs/>
          <w:szCs w:val="24"/>
          <w:lang w:val="sr-Cyrl-CS"/>
        </w:rPr>
      </w:pPr>
      <w:r w:rsidRPr="00E84C93">
        <w:rPr>
          <w:rFonts w:cs="Times New Roman"/>
          <w:b/>
          <w:bCs/>
          <w:szCs w:val="24"/>
          <w:lang w:val="sr-Cyrl-CS"/>
        </w:rPr>
        <w:t>Јавно приватно партнерство</w:t>
      </w:r>
    </w:p>
    <w:p w14:paraId="65288D8B" w14:textId="77777777"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Приватни сектор може бити важан извор финансирања капиталних инвестиција и трансфера техничког и оперативног знања. Приватни сектор кроз аранжмане јавног приватног партнерства може се укључити у рад комуналног сектора јавних комуналних предузећа и реализацију капиталних инвестиција.</w:t>
      </w:r>
    </w:p>
    <w:p w14:paraId="5FCAF738" w14:textId="1CE6F5F3"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Према Закону о јавно-приватном партнерству и концесијама, овај облик партнерства представ</w:t>
      </w:r>
      <w:r w:rsidR="0000007B" w:rsidRPr="00E84C93">
        <w:rPr>
          <w:rFonts w:cs="Times New Roman"/>
          <w:szCs w:val="24"/>
          <w:lang w:val="sr-Cyrl-CS"/>
        </w:rPr>
        <w:t>љ</w:t>
      </w:r>
      <w:r w:rsidRPr="00E84C93">
        <w:rPr>
          <w:rFonts w:cs="Times New Roman"/>
          <w:szCs w:val="24"/>
          <w:lang w:val="sr-Cyrl-CS"/>
        </w:rPr>
        <w:t>а дугорочну сарадњу између јавних и приватних партнера ради обезбеђења средстава финансирања, изградње, реконструкције, управљања или одржавања инфраструктуре или других објеката од јавног значаја и пружања услуга од јавног значаја, а која може бити успостављена уговорно или институционално и концесијама.</w:t>
      </w:r>
    </w:p>
    <w:p w14:paraId="087B0480" w14:textId="77777777"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 xml:space="preserve">Основни елементи јавно-приватног партнерства су: </w:t>
      </w:r>
    </w:p>
    <w:p w14:paraId="72685E37" w14:textId="69F84AD1" w:rsidR="003F4CFE" w:rsidRPr="00E84C93" w:rsidRDefault="00CA426C" w:rsidP="00D75873">
      <w:pPr>
        <w:pStyle w:val="ListParagraph"/>
        <w:numPr>
          <w:ilvl w:val="0"/>
          <w:numId w:val="17"/>
        </w:numPr>
        <w:spacing w:after="0"/>
        <w:jc w:val="both"/>
        <w:rPr>
          <w:rFonts w:cs="Times New Roman"/>
          <w:szCs w:val="24"/>
          <w:lang w:val="sr-Cyrl-CS"/>
        </w:rPr>
      </w:pPr>
      <w:r w:rsidRPr="00E84C93">
        <w:rPr>
          <w:rFonts w:cs="Times New Roman"/>
          <w:szCs w:val="24"/>
          <w:lang w:val="sr-Cyrl-CS"/>
        </w:rPr>
        <w:t>п</w:t>
      </w:r>
      <w:r w:rsidR="003F4CFE" w:rsidRPr="00E84C93">
        <w:rPr>
          <w:rFonts w:cs="Times New Roman"/>
          <w:szCs w:val="24"/>
          <w:lang w:val="sr-Cyrl-CS"/>
        </w:rPr>
        <w:t>редмет ЈПП, који не може бити искључиво комерцијално коришћење добра у општој употреби или другог добра</w:t>
      </w:r>
      <w:r w:rsidR="00034467" w:rsidRPr="00E84C93">
        <w:rPr>
          <w:rFonts w:cs="Times New Roman"/>
          <w:szCs w:val="24"/>
          <w:lang w:val="sr-Cyrl-CS"/>
        </w:rPr>
        <w:t>;</w:t>
      </w:r>
    </w:p>
    <w:p w14:paraId="28F35B45" w14:textId="3D20F446" w:rsidR="003F4CFE" w:rsidRPr="00E84C93" w:rsidRDefault="00CA426C" w:rsidP="00371B1C">
      <w:pPr>
        <w:pStyle w:val="ListParagraph"/>
        <w:numPr>
          <w:ilvl w:val="0"/>
          <w:numId w:val="17"/>
        </w:numPr>
        <w:tabs>
          <w:tab w:val="left" w:pos="1134"/>
        </w:tabs>
        <w:spacing w:after="0"/>
        <w:ind w:left="0" w:firstLine="720"/>
        <w:jc w:val="both"/>
        <w:rPr>
          <w:rFonts w:cs="Times New Roman"/>
          <w:szCs w:val="24"/>
          <w:lang w:val="sr-Cyrl-CS"/>
        </w:rPr>
      </w:pPr>
      <w:r w:rsidRPr="00E84C93">
        <w:rPr>
          <w:rFonts w:cs="Times New Roman"/>
          <w:szCs w:val="24"/>
          <w:lang w:val="sr-Cyrl-CS"/>
        </w:rPr>
        <w:t>о</w:t>
      </w:r>
      <w:r w:rsidR="003F4CFE" w:rsidRPr="00E84C93">
        <w:rPr>
          <w:rFonts w:cs="Times New Roman"/>
          <w:szCs w:val="24"/>
          <w:lang w:val="sr-Cyrl-CS"/>
        </w:rPr>
        <w:t>блик ЈПП које може бити институционално ЈПП или уговорно ЈПП, или као концесија која представља посебан облик ЈПП у складу са овим законом</w:t>
      </w:r>
      <w:r w:rsidR="00034467" w:rsidRPr="00E84C93">
        <w:rPr>
          <w:rFonts w:cs="Times New Roman"/>
          <w:szCs w:val="24"/>
          <w:lang w:val="sr-Cyrl-CS"/>
        </w:rPr>
        <w:t>;</w:t>
      </w:r>
    </w:p>
    <w:p w14:paraId="1B012023" w14:textId="6C87D8D5" w:rsidR="003F4CFE" w:rsidRPr="00E84C93" w:rsidRDefault="00CA426C" w:rsidP="00371B1C">
      <w:pPr>
        <w:pStyle w:val="ListParagraph"/>
        <w:numPr>
          <w:ilvl w:val="0"/>
          <w:numId w:val="17"/>
        </w:numPr>
        <w:tabs>
          <w:tab w:val="left" w:pos="1134"/>
        </w:tabs>
        <w:spacing w:after="0"/>
        <w:ind w:left="0" w:firstLine="720"/>
        <w:jc w:val="both"/>
        <w:rPr>
          <w:rFonts w:cs="Times New Roman"/>
          <w:szCs w:val="24"/>
          <w:lang w:val="sr-Cyrl-CS"/>
        </w:rPr>
      </w:pPr>
      <w:r w:rsidRPr="00E84C93">
        <w:rPr>
          <w:rFonts w:cs="Times New Roman"/>
          <w:szCs w:val="24"/>
          <w:lang w:val="sr-Cyrl-CS"/>
        </w:rPr>
        <w:t>о</w:t>
      </w:r>
      <w:r w:rsidR="003F4CFE" w:rsidRPr="00E84C93">
        <w:rPr>
          <w:rFonts w:cs="Times New Roman"/>
          <w:szCs w:val="24"/>
          <w:lang w:val="sr-Cyrl-CS"/>
        </w:rPr>
        <w:t xml:space="preserve">бавеза приватног партнера да од јавног партнера преузме пројектовање, изградњу и реконструкцију јавне инфраструктуре, односно објеката од јавног значаја, као и одржавање јавне инфраструктуре, обављање услуга од јавног </w:t>
      </w:r>
      <w:r w:rsidR="003F4CFE" w:rsidRPr="00E84C93">
        <w:rPr>
          <w:rFonts w:cs="Times New Roman"/>
          <w:szCs w:val="24"/>
          <w:lang w:val="sr-Cyrl-CS"/>
        </w:rPr>
        <w:lastRenderedPageBreak/>
        <w:t>значаја, са једном или више обавеза као што су: финансирање, управљање и одржавање, у циљу пружања услуга од јавног значаја крајњим корисницима из оквира надлежности јавног партнера, или у циљу обезбеђивања неопходних предуслова јавном партнеру за пружање услуга од јавног интереса из оквира његове надлежности, или пружање услуга од јавног значаја из оквира надлежности јавног партнера крајњим корисницима</w:t>
      </w:r>
      <w:r w:rsidR="00034467" w:rsidRPr="00E84C93">
        <w:rPr>
          <w:rFonts w:cs="Times New Roman"/>
          <w:szCs w:val="24"/>
          <w:lang w:val="sr-Cyrl-CS"/>
        </w:rPr>
        <w:t>;</w:t>
      </w:r>
    </w:p>
    <w:p w14:paraId="153AAFCA" w14:textId="63E841EC" w:rsidR="003F4CFE" w:rsidRPr="00E84C93" w:rsidRDefault="00CA426C" w:rsidP="00D75873">
      <w:pPr>
        <w:pStyle w:val="ListParagraph"/>
        <w:numPr>
          <w:ilvl w:val="0"/>
          <w:numId w:val="17"/>
        </w:numPr>
        <w:spacing w:after="0"/>
        <w:jc w:val="both"/>
        <w:rPr>
          <w:rFonts w:cs="Times New Roman"/>
          <w:szCs w:val="24"/>
          <w:lang w:val="sr-Cyrl-CS"/>
        </w:rPr>
      </w:pPr>
      <w:r w:rsidRPr="00E84C93">
        <w:rPr>
          <w:rFonts w:cs="Times New Roman"/>
          <w:szCs w:val="24"/>
          <w:lang w:val="sr-Cyrl-CS"/>
        </w:rPr>
        <w:t>д</w:t>
      </w:r>
      <w:r w:rsidR="003F4CFE" w:rsidRPr="00E84C93">
        <w:rPr>
          <w:rFonts w:cs="Times New Roman"/>
          <w:szCs w:val="24"/>
          <w:lang w:val="sr-Cyrl-CS"/>
        </w:rPr>
        <w:t>елимично или потпуно финансирање пројекта ЈПП од стране приватног партнера</w:t>
      </w:r>
      <w:r w:rsidR="00034467" w:rsidRPr="00E84C93">
        <w:rPr>
          <w:rFonts w:cs="Times New Roman"/>
          <w:szCs w:val="24"/>
          <w:lang w:val="sr-Cyrl-CS"/>
        </w:rPr>
        <w:t>;</w:t>
      </w:r>
    </w:p>
    <w:p w14:paraId="0776A065" w14:textId="633478B4" w:rsidR="003F4CFE" w:rsidRPr="00E84C93" w:rsidRDefault="00CA426C" w:rsidP="00034467">
      <w:pPr>
        <w:pStyle w:val="ListParagraph"/>
        <w:numPr>
          <w:ilvl w:val="0"/>
          <w:numId w:val="17"/>
        </w:numPr>
        <w:tabs>
          <w:tab w:val="left" w:pos="993"/>
          <w:tab w:val="left" w:pos="1134"/>
        </w:tabs>
        <w:spacing w:after="0"/>
        <w:ind w:left="0" w:firstLine="720"/>
        <w:jc w:val="both"/>
        <w:rPr>
          <w:rFonts w:cs="Times New Roman"/>
          <w:szCs w:val="24"/>
          <w:lang w:val="sr-Cyrl-CS"/>
        </w:rPr>
      </w:pPr>
      <w:r w:rsidRPr="00E84C93">
        <w:rPr>
          <w:rFonts w:cs="Times New Roman"/>
          <w:szCs w:val="24"/>
          <w:lang w:val="sr-Cyrl-CS"/>
        </w:rPr>
        <w:t>м</w:t>
      </w:r>
      <w:r w:rsidR="003F4CFE" w:rsidRPr="00E84C93">
        <w:rPr>
          <w:rFonts w:cs="Times New Roman"/>
          <w:szCs w:val="24"/>
          <w:lang w:val="sr-Cyrl-CS"/>
        </w:rPr>
        <w:t>огућност јавног партнера да приватном партнеру за преузете обавезе изврши преношење одређених стварних права или да му додели концесију или да му за преузете обавезе врши плаћање у новцу</w:t>
      </w:r>
      <w:r w:rsidR="00034467" w:rsidRPr="00E84C93">
        <w:rPr>
          <w:rFonts w:cs="Times New Roman"/>
          <w:szCs w:val="24"/>
          <w:lang w:val="sr-Cyrl-CS"/>
        </w:rPr>
        <w:t>;</w:t>
      </w:r>
    </w:p>
    <w:p w14:paraId="6CF3E528" w14:textId="546F7F6E" w:rsidR="003F4CFE" w:rsidRPr="00E84C93" w:rsidRDefault="00CA426C" w:rsidP="00034467">
      <w:pPr>
        <w:pStyle w:val="ListParagraph"/>
        <w:numPr>
          <w:ilvl w:val="0"/>
          <w:numId w:val="17"/>
        </w:numPr>
        <w:tabs>
          <w:tab w:val="left" w:pos="993"/>
        </w:tabs>
        <w:spacing w:after="0"/>
        <w:ind w:left="0" w:firstLine="720"/>
        <w:jc w:val="both"/>
        <w:rPr>
          <w:rFonts w:cs="Times New Roman"/>
          <w:szCs w:val="24"/>
          <w:lang w:val="sr-Cyrl-CS"/>
        </w:rPr>
      </w:pPr>
      <w:r w:rsidRPr="00E84C93">
        <w:rPr>
          <w:rFonts w:cs="Times New Roman"/>
          <w:szCs w:val="24"/>
          <w:lang w:val="sr-Cyrl-CS"/>
        </w:rPr>
        <w:t>п</w:t>
      </w:r>
      <w:r w:rsidR="003F4CFE" w:rsidRPr="00E84C93">
        <w:rPr>
          <w:rFonts w:cs="Times New Roman"/>
          <w:szCs w:val="24"/>
          <w:lang w:val="sr-Cyrl-CS"/>
        </w:rPr>
        <w:t>реузимање одговорности сваког партнера за ризик којим може на бољи начин да управља, односно на који може да утиче</w:t>
      </w:r>
      <w:r w:rsidR="00700ACD" w:rsidRPr="00E84C93">
        <w:rPr>
          <w:rFonts w:cs="Times New Roman"/>
          <w:szCs w:val="24"/>
          <w:lang w:val="sr-Cyrl-CS"/>
        </w:rPr>
        <w:t xml:space="preserve"> </w:t>
      </w:r>
      <w:r w:rsidR="003F4CFE" w:rsidRPr="00E84C93">
        <w:rPr>
          <w:rFonts w:cs="Times New Roman"/>
          <w:szCs w:val="24"/>
          <w:lang w:val="sr-Cyrl-CS"/>
        </w:rPr>
        <w:t>или се ризици деле у избалансираном односу, све у циљу оптималног управљања ризиком током трајања пројекта ЈПП, уз коришћење управљачких, техничких, финансијских и иновативних способности приватног партнера</w:t>
      </w:r>
      <w:r w:rsidR="00700ACD" w:rsidRPr="00E84C93">
        <w:rPr>
          <w:rFonts w:cs="Times New Roman"/>
          <w:szCs w:val="24"/>
          <w:lang w:val="sr-Cyrl-CS"/>
        </w:rPr>
        <w:t>.</w:t>
      </w:r>
    </w:p>
    <w:p w14:paraId="36C3AE88" w14:textId="62B9A771" w:rsidR="003F4CFE" w:rsidRPr="00E84C93" w:rsidRDefault="0000007B" w:rsidP="003F4CFE">
      <w:pPr>
        <w:spacing w:after="0"/>
        <w:ind w:firstLine="720"/>
        <w:jc w:val="both"/>
        <w:rPr>
          <w:rFonts w:cs="Times New Roman"/>
          <w:szCs w:val="24"/>
          <w:lang w:val="sr-Cyrl-CS"/>
        </w:rPr>
      </w:pPr>
      <w:r w:rsidRPr="00E84C93">
        <w:rPr>
          <w:rFonts w:cs="Times New Roman"/>
          <w:szCs w:val="24"/>
          <w:lang w:val="sr-Cyrl-CS"/>
        </w:rPr>
        <w:t>Закон препознаје три</w:t>
      </w:r>
      <w:r w:rsidR="003F4CFE" w:rsidRPr="00E84C93">
        <w:rPr>
          <w:rFonts w:cs="Times New Roman"/>
          <w:szCs w:val="24"/>
          <w:lang w:val="sr-Cyrl-CS"/>
        </w:rPr>
        <w:t xml:space="preserve"> основна облика ЈПП, уговорно, институционално или као концесија.</w:t>
      </w:r>
    </w:p>
    <w:p w14:paraId="7E90D5B6" w14:textId="062312C4"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 xml:space="preserve">Закон о јавно-приватним партнерствима и концесијама уредио је ову област </w:t>
      </w:r>
      <w:r w:rsidR="00925D09" w:rsidRPr="00E84C93">
        <w:rPr>
          <w:rFonts w:cs="Times New Roman"/>
          <w:szCs w:val="24"/>
          <w:lang w:val="sr-Cyrl-CS"/>
        </w:rPr>
        <w:t>и дао одговоре на</w:t>
      </w:r>
      <w:r w:rsidRPr="00E84C93">
        <w:rPr>
          <w:rFonts w:cs="Times New Roman"/>
          <w:szCs w:val="24"/>
          <w:lang w:val="sr-Cyrl-CS"/>
        </w:rPr>
        <w:t xml:space="preserve"> многа питања која су била нејасна када су пројекти ЈПП започети у</w:t>
      </w:r>
      <w:r w:rsidR="00600A81" w:rsidRPr="00E84C93">
        <w:rPr>
          <w:rFonts w:cs="Times New Roman"/>
          <w:szCs w:val="24"/>
          <w:lang w:val="sr-Cyrl-CS"/>
        </w:rPr>
        <w:t xml:space="preserve"> Републици</w:t>
      </w:r>
      <w:r w:rsidRPr="00E84C93">
        <w:rPr>
          <w:rFonts w:cs="Times New Roman"/>
          <w:szCs w:val="24"/>
          <w:lang w:val="sr-Cyrl-CS"/>
        </w:rPr>
        <w:t xml:space="preserve"> Србији. Међутим, приликом укључивања приватног сектора важно је изабрати опције које ће мотивисати приватног партнера, а јавни сектор треба да буде свестан својих циљеви и интереса. Пре доношења било какве одлуке, јавни партнер мора да дефинише шта жели да добије од приватног партнера: </w:t>
      </w:r>
    </w:p>
    <w:p w14:paraId="1563A380" w14:textId="6A265CFA" w:rsidR="003F4CFE" w:rsidRPr="00E84C93" w:rsidRDefault="00133433" w:rsidP="00D75873">
      <w:pPr>
        <w:pStyle w:val="ListParagraph"/>
        <w:numPr>
          <w:ilvl w:val="0"/>
          <w:numId w:val="18"/>
        </w:numPr>
        <w:spacing w:after="0"/>
        <w:jc w:val="both"/>
        <w:rPr>
          <w:rFonts w:cs="Times New Roman"/>
          <w:szCs w:val="24"/>
          <w:lang w:val="sr-Cyrl-CS"/>
        </w:rPr>
      </w:pPr>
      <w:r w:rsidRPr="00E84C93">
        <w:rPr>
          <w:rFonts w:cs="Times New Roman"/>
          <w:szCs w:val="24"/>
          <w:lang w:val="sr-Cyrl-CS"/>
        </w:rPr>
        <w:t>т</w:t>
      </w:r>
      <w:r w:rsidR="003F4CFE" w:rsidRPr="00E84C93">
        <w:rPr>
          <w:rFonts w:cs="Times New Roman"/>
          <w:szCs w:val="24"/>
          <w:lang w:val="sr-Cyrl-CS"/>
        </w:rPr>
        <w:t>ехничко и управљачко знање и експертизу</w:t>
      </w:r>
      <w:r w:rsidR="00034467" w:rsidRPr="00E84C93">
        <w:rPr>
          <w:rFonts w:cs="Times New Roman"/>
          <w:szCs w:val="24"/>
          <w:lang w:val="sr-Cyrl-CS"/>
        </w:rPr>
        <w:t>;</w:t>
      </w:r>
    </w:p>
    <w:p w14:paraId="2A842D0F" w14:textId="79F0CF4F" w:rsidR="003F4CFE" w:rsidRPr="00E84C93" w:rsidRDefault="00133433" w:rsidP="00D75873">
      <w:pPr>
        <w:pStyle w:val="ListParagraph"/>
        <w:numPr>
          <w:ilvl w:val="0"/>
          <w:numId w:val="18"/>
        </w:numPr>
        <w:spacing w:after="0"/>
        <w:jc w:val="both"/>
        <w:rPr>
          <w:rFonts w:cs="Times New Roman"/>
          <w:szCs w:val="24"/>
          <w:lang w:val="sr-Cyrl-CS"/>
        </w:rPr>
      </w:pPr>
      <w:r w:rsidRPr="00E84C93">
        <w:rPr>
          <w:rFonts w:cs="Times New Roman"/>
          <w:szCs w:val="24"/>
          <w:lang w:val="sr-Cyrl-CS"/>
        </w:rPr>
        <w:t xml:space="preserve">укључивање </w:t>
      </w:r>
      <w:r w:rsidR="003F4CFE" w:rsidRPr="00E84C93">
        <w:rPr>
          <w:rFonts w:cs="Times New Roman"/>
          <w:szCs w:val="24"/>
          <w:lang w:val="sr-Cyrl-CS"/>
        </w:rPr>
        <w:t>нових технологија</w:t>
      </w:r>
      <w:r w:rsidR="00034467" w:rsidRPr="00E84C93">
        <w:rPr>
          <w:rFonts w:cs="Times New Roman"/>
          <w:szCs w:val="24"/>
          <w:lang w:val="sr-Cyrl-CS"/>
        </w:rPr>
        <w:t>;</w:t>
      </w:r>
    </w:p>
    <w:p w14:paraId="2BC15DD6" w14:textId="1CB57741" w:rsidR="003F4CFE" w:rsidRPr="00E84C93" w:rsidRDefault="00133433" w:rsidP="00D75873">
      <w:pPr>
        <w:pStyle w:val="ListParagraph"/>
        <w:numPr>
          <w:ilvl w:val="0"/>
          <w:numId w:val="18"/>
        </w:numPr>
        <w:spacing w:after="0"/>
        <w:jc w:val="both"/>
        <w:rPr>
          <w:rFonts w:cs="Times New Roman"/>
          <w:szCs w:val="24"/>
          <w:lang w:val="sr-Cyrl-CS"/>
        </w:rPr>
      </w:pPr>
      <w:r w:rsidRPr="00E84C93">
        <w:rPr>
          <w:rFonts w:cs="Times New Roman"/>
          <w:szCs w:val="24"/>
          <w:lang w:val="sr-Cyrl-CS"/>
        </w:rPr>
        <w:t xml:space="preserve">инвестиције </w:t>
      </w:r>
      <w:r w:rsidR="00034467" w:rsidRPr="00E84C93">
        <w:rPr>
          <w:rFonts w:cs="Times New Roman"/>
          <w:szCs w:val="24"/>
          <w:lang w:val="sr-Cyrl-CS"/>
        </w:rPr>
        <w:t>у објекте и инфраструктур</w:t>
      </w:r>
      <w:r w:rsidR="000022B1">
        <w:rPr>
          <w:rFonts w:cs="Times New Roman"/>
          <w:szCs w:val="24"/>
          <w:lang w:val="sr-Cyrl-CS"/>
        </w:rPr>
        <w:t>у</w:t>
      </w:r>
      <w:r w:rsidR="00034467" w:rsidRPr="00E84C93">
        <w:rPr>
          <w:rFonts w:cs="Times New Roman"/>
          <w:szCs w:val="24"/>
          <w:lang w:val="sr-Cyrl-CS"/>
        </w:rPr>
        <w:t>;</w:t>
      </w:r>
    </w:p>
    <w:p w14:paraId="343995DD" w14:textId="5E5793B8" w:rsidR="003F4CFE" w:rsidRPr="00E84C93" w:rsidRDefault="00133433" w:rsidP="00D75873">
      <w:pPr>
        <w:pStyle w:val="ListParagraph"/>
        <w:numPr>
          <w:ilvl w:val="0"/>
          <w:numId w:val="18"/>
        </w:numPr>
        <w:spacing w:after="0"/>
        <w:jc w:val="both"/>
        <w:rPr>
          <w:rFonts w:cs="Times New Roman"/>
          <w:szCs w:val="24"/>
          <w:lang w:val="sr-Cyrl-CS"/>
        </w:rPr>
      </w:pPr>
      <w:r w:rsidRPr="00E84C93">
        <w:rPr>
          <w:rFonts w:cs="Times New Roman"/>
          <w:szCs w:val="24"/>
          <w:lang w:val="sr-Cyrl-CS"/>
        </w:rPr>
        <w:t xml:space="preserve">било </w:t>
      </w:r>
      <w:r w:rsidR="003F4CFE" w:rsidRPr="00E84C93">
        <w:rPr>
          <w:rFonts w:cs="Times New Roman"/>
          <w:szCs w:val="24"/>
          <w:lang w:val="sr-Cyrl-CS"/>
        </w:rPr>
        <w:t>коју комбинацију горе наведеног, итд.</w:t>
      </w:r>
    </w:p>
    <w:p w14:paraId="2036FED4" w14:textId="3A808F4D" w:rsidR="003F4CFE" w:rsidRPr="00E84C93" w:rsidRDefault="003F4CFE" w:rsidP="003F4CFE">
      <w:pPr>
        <w:spacing w:after="0"/>
        <w:ind w:firstLine="720"/>
        <w:jc w:val="both"/>
        <w:rPr>
          <w:rFonts w:cs="Times New Roman"/>
          <w:szCs w:val="24"/>
          <w:lang w:val="sr-Cyrl-CS"/>
        </w:rPr>
      </w:pPr>
      <w:r w:rsidRPr="00E84C93">
        <w:rPr>
          <w:rFonts w:cs="Times New Roman"/>
          <w:szCs w:val="24"/>
          <w:lang w:val="sr-Cyrl-CS"/>
        </w:rPr>
        <w:t>Предности ЈПП</w:t>
      </w:r>
      <w:r w:rsidR="00133433" w:rsidRPr="00E84C93">
        <w:rPr>
          <w:rFonts w:cs="Times New Roman"/>
          <w:szCs w:val="24"/>
          <w:lang w:val="sr-Cyrl-CS"/>
        </w:rPr>
        <w:t xml:space="preserve"> су</w:t>
      </w:r>
      <w:r w:rsidRPr="00E84C93">
        <w:rPr>
          <w:rFonts w:cs="Times New Roman"/>
          <w:szCs w:val="24"/>
          <w:lang w:val="sr-Cyrl-CS"/>
        </w:rPr>
        <w:t>:</w:t>
      </w:r>
    </w:p>
    <w:p w14:paraId="78DABFB0" w14:textId="455FF877" w:rsidR="003F4CFE" w:rsidRPr="00E84C93" w:rsidRDefault="00133433" w:rsidP="00D75873">
      <w:pPr>
        <w:pStyle w:val="ListParagraph"/>
        <w:numPr>
          <w:ilvl w:val="0"/>
          <w:numId w:val="19"/>
        </w:numPr>
        <w:spacing w:after="0"/>
        <w:jc w:val="both"/>
        <w:rPr>
          <w:rFonts w:cs="Times New Roman"/>
          <w:szCs w:val="24"/>
          <w:lang w:val="sr-Cyrl-CS"/>
        </w:rPr>
      </w:pPr>
      <w:r w:rsidRPr="00E84C93">
        <w:rPr>
          <w:rFonts w:cs="Times New Roman"/>
          <w:szCs w:val="24"/>
          <w:lang w:val="sr-Cyrl-CS"/>
        </w:rPr>
        <w:t xml:space="preserve">имплементација </w:t>
      </w:r>
      <w:r w:rsidR="003F4CFE" w:rsidRPr="00E84C93">
        <w:rPr>
          <w:rFonts w:cs="Times New Roman"/>
          <w:szCs w:val="24"/>
          <w:lang w:val="sr-Cyrl-CS"/>
        </w:rPr>
        <w:t>захтевних пројеката којима би било тешко управљати или финансирати из јавних извора</w:t>
      </w:r>
      <w:r w:rsidR="00034467" w:rsidRPr="00E84C93">
        <w:rPr>
          <w:rFonts w:cs="Times New Roman"/>
          <w:szCs w:val="24"/>
          <w:lang w:val="sr-Cyrl-CS"/>
        </w:rPr>
        <w:t>;</w:t>
      </w:r>
    </w:p>
    <w:p w14:paraId="7AF8B75F" w14:textId="769B6081" w:rsidR="003F4CFE" w:rsidRPr="00E84C93" w:rsidRDefault="00133433" w:rsidP="00D75873">
      <w:pPr>
        <w:pStyle w:val="ListParagraph"/>
        <w:numPr>
          <w:ilvl w:val="0"/>
          <w:numId w:val="19"/>
        </w:numPr>
        <w:spacing w:after="0"/>
        <w:jc w:val="both"/>
        <w:rPr>
          <w:rFonts w:cs="Times New Roman"/>
          <w:szCs w:val="24"/>
          <w:lang w:val="sr-Cyrl-CS"/>
        </w:rPr>
      </w:pPr>
      <w:r w:rsidRPr="00E84C93">
        <w:rPr>
          <w:rFonts w:cs="Times New Roman"/>
          <w:szCs w:val="24"/>
          <w:lang w:val="sr-Cyrl-CS"/>
        </w:rPr>
        <w:t xml:space="preserve">подела </w:t>
      </w:r>
      <w:r w:rsidR="003F4CFE" w:rsidRPr="00E84C93">
        <w:rPr>
          <w:rFonts w:cs="Times New Roman"/>
          <w:szCs w:val="24"/>
          <w:lang w:val="sr-Cyrl-CS"/>
        </w:rPr>
        <w:t>ризика са приватним партнером</w:t>
      </w:r>
      <w:r w:rsidR="00034467" w:rsidRPr="00E84C93">
        <w:rPr>
          <w:rFonts w:cs="Times New Roman"/>
          <w:szCs w:val="24"/>
          <w:lang w:val="sr-Cyrl-CS"/>
        </w:rPr>
        <w:t>;</w:t>
      </w:r>
    </w:p>
    <w:p w14:paraId="329FC235" w14:textId="01A8C029" w:rsidR="003F4CFE" w:rsidRPr="00E84C93" w:rsidRDefault="00133433" w:rsidP="00D75873">
      <w:pPr>
        <w:pStyle w:val="ListParagraph"/>
        <w:numPr>
          <w:ilvl w:val="0"/>
          <w:numId w:val="19"/>
        </w:numPr>
        <w:spacing w:after="0"/>
        <w:jc w:val="both"/>
        <w:rPr>
          <w:rFonts w:cs="Times New Roman"/>
          <w:szCs w:val="24"/>
          <w:lang w:val="sr-Cyrl-CS"/>
        </w:rPr>
      </w:pPr>
      <w:r w:rsidRPr="00E84C93">
        <w:rPr>
          <w:rFonts w:cs="Times New Roman"/>
          <w:szCs w:val="24"/>
          <w:lang w:val="sr-Cyrl-CS"/>
        </w:rPr>
        <w:t xml:space="preserve">предвидљивост </w:t>
      </w:r>
      <w:r w:rsidR="003F4CFE" w:rsidRPr="00E84C93">
        <w:rPr>
          <w:rFonts w:cs="Times New Roman"/>
          <w:szCs w:val="24"/>
          <w:lang w:val="sr-Cyrl-CS"/>
        </w:rPr>
        <w:t xml:space="preserve">укупних инвестиција и/или оперативних трошкова. </w:t>
      </w:r>
    </w:p>
    <w:p w14:paraId="35EA271F" w14:textId="53CB13F8" w:rsidR="003F4CFE" w:rsidRPr="00E84C93" w:rsidRDefault="00FA6E24" w:rsidP="00FA6E24">
      <w:pPr>
        <w:spacing w:after="0"/>
        <w:ind w:left="720"/>
        <w:jc w:val="both"/>
        <w:rPr>
          <w:rFonts w:cs="Times New Roman"/>
          <w:szCs w:val="24"/>
          <w:lang w:val="sr-Cyrl-CS"/>
        </w:rPr>
      </w:pPr>
      <w:r w:rsidRPr="00E84C93">
        <w:rPr>
          <w:rFonts w:cs="Times New Roman"/>
          <w:szCs w:val="24"/>
          <w:lang w:val="sr-Cyrl-CS"/>
        </w:rPr>
        <w:t>Н</w:t>
      </w:r>
      <w:r w:rsidR="00133433" w:rsidRPr="00E84C93">
        <w:rPr>
          <w:rFonts w:cs="Times New Roman"/>
          <w:szCs w:val="24"/>
          <w:lang w:val="sr-Cyrl-CS"/>
        </w:rPr>
        <w:t xml:space="preserve">едостаци </w:t>
      </w:r>
      <w:r w:rsidR="003F4CFE" w:rsidRPr="00E84C93">
        <w:rPr>
          <w:rFonts w:cs="Times New Roman"/>
          <w:szCs w:val="24"/>
          <w:lang w:val="sr-Cyrl-CS"/>
        </w:rPr>
        <w:t>ЈПП</w:t>
      </w:r>
      <w:r w:rsidRPr="00E84C93">
        <w:rPr>
          <w:rFonts w:cs="Times New Roman"/>
          <w:szCs w:val="24"/>
          <w:lang w:val="sr-Cyrl-CS"/>
        </w:rPr>
        <w:t xml:space="preserve"> су</w:t>
      </w:r>
      <w:r w:rsidR="003F4CFE" w:rsidRPr="00E84C93">
        <w:rPr>
          <w:rFonts w:cs="Times New Roman"/>
          <w:szCs w:val="24"/>
          <w:lang w:val="sr-Cyrl-CS"/>
        </w:rPr>
        <w:t>:</w:t>
      </w:r>
    </w:p>
    <w:p w14:paraId="72EBAF1E" w14:textId="75BBB41F" w:rsidR="003F4CFE" w:rsidRPr="00E84C93" w:rsidRDefault="00133433" w:rsidP="00D75873">
      <w:pPr>
        <w:pStyle w:val="ListParagraph"/>
        <w:numPr>
          <w:ilvl w:val="0"/>
          <w:numId w:val="38"/>
        </w:numPr>
        <w:spacing w:after="0"/>
        <w:jc w:val="both"/>
        <w:rPr>
          <w:rFonts w:cs="Times New Roman"/>
          <w:szCs w:val="24"/>
          <w:lang w:val="sr-Cyrl-CS"/>
        </w:rPr>
      </w:pPr>
      <w:r w:rsidRPr="00E84C93">
        <w:rPr>
          <w:rFonts w:cs="Times New Roman"/>
          <w:szCs w:val="24"/>
          <w:lang w:val="sr-Cyrl-CS"/>
        </w:rPr>
        <w:t xml:space="preserve">сложена </w:t>
      </w:r>
      <w:r w:rsidR="003F4CFE" w:rsidRPr="00E84C93">
        <w:rPr>
          <w:rFonts w:cs="Times New Roman"/>
          <w:szCs w:val="24"/>
          <w:lang w:val="sr-Cyrl-CS"/>
        </w:rPr>
        <w:t>и скупа припрема пројекта</w:t>
      </w:r>
      <w:r w:rsidR="00034467" w:rsidRPr="00E84C93">
        <w:rPr>
          <w:rFonts w:cs="Times New Roman"/>
          <w:szCs w:val="24"/>
          <w:lang w:val="sr-Cyrl-CS"/>
        </w:rPr>
        <w:t>;</w:t>
      </w:r>
    </w:p>
    <w:p w14:paraId="56AA1074" w14:textId="18BD263B" w:rsidR="003F4CFE" w:rsidRPr="00E84C93" w:rsidRDefault="00133433" w:rsidP="00D75873">
      <w:pPr>
        <w:pStyle w:val="ListParagraph"/>
        <w:numPr>
          <w:ilvl w:val="0"/>
          <w:numId w:val="38"/>
        </w:numPr>
        <w:spacing w:after="0"/>
        <w:jc w:val="both"/>
        <w:rPr>
          <w:rFonts w:cs="Times New Roman"/>
          <w:szCs w:val="24"/>
          <w:lang w:val="sr-Cyrl-CS"/>
        </w:rPr>
      </w:pPr>
      <w:r w:rsidRPr="00E84C93">
        <w:rPr>
          <w:rFonts w:cs="Times New Roman"/>
          <w:szCs w:val="24"/>
          <w:lang w:val="sr-Cyrl-CS"/>
        </w:rPr>
        <w:t xml:space="preserve">компликована </w:t>
      </w:r>
      <w:r w:rsidR="003F4CFE" w:rsidRPr="00E84C93">
        <w:rPr>
          <w:rFonts w:cs="Times New Roman"/>
          <w:szCs w:val="24"/>
          <w:lang w:val="sr-Cyrl-CS"/>
        </w:rPr>
        <w:t>процедура усвајања пројекта</w:t>
      </w:r>
      <w:r w:rsidR="00034467" w:rsidRPr="00E84C93">
        <w:rPr>
          <w:rFonts w:cs="Times New Roman"/>
          <w:szCs w:val="24"/>
          <w:lang w:val="sr-Cyrl-CS"/>
        </w:rPr>
        <w:t>;</w:t>
      </w:r>
    </w:p>
    <w:p w14:paraId="08AF20E9" w14:textId="3BF2FDBB" w:rsidR="006E7EA4" w:rsidRPr="00E84C93" w:rsidRDefault="00133433" w:rsidP="00D75873">
      <w:pPr>
        <w:pStyle w:val="ListParagraph"/>
        <w:numPr>
          <w:ilvl w:val="0"/>
          <w:numId w:val="38"/>
        </w:numPr>
        <w:spacing w:after="0"/>
        <w:jc w:val="both"/>
        <w:rPr>
          <w:rFonts w:cs="Times New Roman"/>
          <w:szCs w:val="24"/>
          <w:lang w:val="sr-Cyrl-CS"/>
        </w:rPr>
      </w:pPr>
      <w:r w:rsidRPr="00E84C93">
        <w:rPr>
          <w:rFonts w:cs="Times New Roman"/>
          <w:szCs w:val="24"/>
          <w:lang w:val="sr-Cyrl-CS"/>
        </w:rPr>
        <w:t xml:space="preserve">већи </w:t>
      </w:r>
      <w:r w:rsidR="003F4CFE" w:rsidRPr="00E84C93">
        <w:rPr>
          <w:rFonts w:cs="Times New Roman"/>
          <w:szCs w:val="24"/>
          <w:lang w:val="sr-Cyrl-CS"/>
        </w:rPr>
        <w:t>трошкови пројекта.</w:t>
      </w:r>
    </w:p>
    <w:p w14:paraId="3CEC4199" w14:textId="479C59AE" w:rsidR="00C57A19" w:rsidRPr="00E84C93" w:rsidRDefault="00C57A19" w:rsidP="00FA6E24">
      <w:pPr>
        <w:spacing w:after="0"/>
        <w:jc w:val="both"/>
        <w:rPr>
          <w:rFonts w:cs="Times New Roman"/>
          <w:szCs w:val="24"/>
          <w:lang w:val="sr-Cyrl-CS"/>
        </w:rPr>
      </w:pPr>
    </w:p>
    <w:p w14:paraId="1EC3CD71" w14:textId="795A3A38" w:rsidR="006E7EA4" w:rsidRPr="00E84C93" w:rsidRDefault="00323B3E" w:rsidP="000C54C0">
      <w:pPr>
        <w:pStyle w:val="Heading1"/>
        <w:numPr>
          <w:ilvl w:val="0"/>
          <w:numId w:val="8"/>
        </w:numPr>
        <w:tabs>
          <w:tab w:val="left" w:pos="1170"/>
        </w:tabs>
        <w:spacing w:before="0"/>
        <w:rPr>
          <w:lang w:val="sr-Cyrl-CS"/>
        </w:rPr>
      </w:pPr>
      <w:bookmarkStart w:id="121" w:name="_Toc99920918"/>
      <w:r w:rsidRPr="00E84C93">
        <w:rPr>
          <w:lang w:val="sr-Cyrl-CS"/>
        </w:rPr>
        <w:t xml:space="preserve">МЕХАНИЗАМ ЗА КООРДИНАЦИЈУ </w:t>
      </w:r>
      <w:r w:rsidR="006E7EA4" w:rsidRPr="00E84C93">
        <w:rPr>
          <w:lang w:val="sr-Cyrl-CS"/>
        </w:rPr>
        <w:t>СПРОВОЂЕЊА</w:t>
      </w:r>
      <w:r w:rsidRPr="00E84C93">
        <w:rPr>
          <w:lang w:val="sr-Cyrl-CS"/>
        </w:rPr>
        <w:t>, ПРАЋЕЊЕ И</w:t>
      </w:r>
      <w:r w:rsidR="006E7EA4" w:rsidRPr="00E84C93">
        <w:rPr>
          <w:lang w:val="sr-Cyrl-CS"/>
        </w:rPr>
        <w:t xml:space="preserve"> ИЗВЕШТАВАЊ</w:t>
      </w:r>
      <w:r w:rsidRPr="00E84C93">
        <w:rPr>
          <w:lang w:val="sr-Cyrl-CS"/>
        </w:rPr>
        <w:t>Е</w:t>
      </w:r>
      <w:bookmarkEnd w:id="121"/>
    </w:p>
    <w:p w14:paraId="58AD30BB" w14:textId="77777777" w:rsidR="006E7EA4" w:rsidRPr="00E84C93" w:rsidRDefault="006E7EA4" w:rsidP="006E7EA4">
      <w:pPr>
        <w:spacing w:after="0"/>
        <w:rPr>
          <w:highlight w:val="cyan"/>
          <w:lang w:val="sr-Cyrl-CS"/>
        </w:rPr>
      </w:pPr>
    </w:p>
    <w:p w14:paraId="2D84C06F" w14:textId="6AFA21B0" w:rsidR="00760423" w:rsidRPr="00E84C93" w:rsidRDefault="00760423" w:rsidP="00760423">
      <w:pPr>
        <w:spacing w:after="0"/>
        <w:ind w:firstLine="720"/>
        <w:jc w:val="both"/>
        <w:rPr>
          <w:rFonts w:cs="Times New Roman"/>
          <w:szCs w:val="24"/>
          <w:lang w:val="sr-Cyrl-CS"/>
        </w:rPr>
      </w:pPr>
      <w:r w:rsidRPr="00E84C93">
        <w:rPr>
          <w:rFonts w:cs="Times New Roman"/>
          <w:szCs w:val="24"/>
          <w:lang w:val="sr-Cyrl-CS"/>
        </w:rPr>
        <w:t xml:space="preserve">За координацију спровођења и праћење напретка у спровођењу Програма задужено је Министарство </w:t>
      </w:r>
      <w:bookmarkStart w:id="122" w:name="_Hlk145932905"/>
      <w:r w:rsidRPr="00E84C93">
        <w:rPr>
          <w:rFonts w:cs="Times New Roman"/>
          <w:szCs w:val="24"/>
          <w:lang w:val="sr-Cyrl-CS"/>
        </w:rPr>
        <w:t>заштите животне средине</w:t>
      </w:r>
      <w:bookmarkEnd w:id="122"/>
      <w:r w:rsidR="00580A9E" w:rsidRPr="00E84C93">
        <w:rPr>
          <w:rFonts w:cs="Times New Roman"/>
          <w:szCs w:val="24"/>
          <w:lang w:val="sr-Cyrl-CS"/>
        </w:rPr>
        <w:t xml:space="preserve"> које </w:t>
      </w:r>
      <w:r w:rsidRPr="00E84C93">
        <w:rPr>
          <w:rFonts w:cs="Times New Roman"/>
          <w:szCs w:val="24"/>
          <w:lang w:val="sr-Cyrl-CS"/>
        </w:rPr>
        <w:t>је задужено</w:t>
      </w:r>
      <w:r w:rsidR="00580A9E" w:rsidRPr="00E84C93">
        <w:rPr>
          <w:rFonts w:cs="Times New Roman"/>
          <w:szCs w:val="24"/>
          <w:lang w:val="sr-Cyrl-CS"/>
        </w:rPr>
        <w:t xml:space="preserve"> и</w:t>
      </w:r>
      <w:r w:rsidRPr="00E84C93">
        <w:rPr>
          <w:rFonts w:cs="Times New Roman"/>
          <w:szCs w:val="24"/>
          <w:lang w:val="sr-Cyrl-CS"/>
        </w:rPr>
        <w:t xml:space="preserve"> да пружа подршку другим субјектима који учествују у систему управљања муљем у спровођењу </w:t>
      </w:r>
      <w:r w:rsidRPr="00E84C93">
        <w:rPr>
          <w:rFonts w:cs="Times New Roman"/>
          <w:szCs w:val="24"/>
          <w:lang w:val="sr-Cyrl-CS"/>
        </w:rPr>
        <w:lastRenderedPageBreak/>
        <w:t>активности које су у њиховом делокругу. Такође, Министарство</w:t>
      </w:r>
      <w:r w:rsidR="00580A9E" w:rsidRPr="00E84C93">
        <w:rPr>
          <w:rFonts w:cs="Times New Roman"/>
          <w:szCs w:val="24"/>
          <w:lang w:val="sr-Cyrl-CS"/>
        </w:rPr>
        <w:t xml:space="preserve"> заштите животне средине</w:t>
      </w:r>
      <w:r w:rsidRPr="00E84C93">
        <w:rPr>
          <w:rFonts w:cs="Times New Roman"/>
          <w:szCs w:val="24"/>
          <w:lang w:val="sr-Cyrl-CS"/>
        </w:rPr>
        <w:t xml:space="preserve"> остварује комуникацију са партнерима и јавношћу у вези са спровођењем Програма. Надлежни органи и организације за спровођење акти</w:t>
      </w:r>
      <w:r w:rsidR="000022B1">
        <w:rPr>
          <w:rFonts w:cs="Times New Roman"/>
          <w:szCs w:val="24"/>
          <w:lang w:val="sr-Cyrl-CS"/>
        </w:rPr>
        <w:t>в</w:t>
      </w:r>
      <w:r w:rsidRPr="00E84C93">
        <w:rPr>
          <w:rFonts w:cs="Times New Roman"/>
          <w:szCs w:val="24"/>
          <w:lang w:val="sr-Cyrl-CS"/>
        </w:rPr>
        <w:t>ности су у обавези да благовремено спроводе активности из своје надлежности и о томе достављају информације на захтев Министарства</w:t>
      </w:r>
      <w:r w:rsidR="00580A9E" w:rsidRPr="00E84C93">
        <w:rPr>
          <w:lang w:val="sr-Cyrl-CS"/>
        </w:rPr>
        <w:t xml:space="preserve"> </w:t>
      </w:r>
      <w:r w:rsidR="00580A9E" w:rsidRPr="00E84C93">
        <w:rPr>
          <w:rFonts w:cs="Times New Roman"/>
          <w:szCs w:val="24"/>
          <w:lang w:val="sr-Cyrl-CS"/>
        </w:rPr>
        <w:t>заштите животне средине</w:t>
      </w:r>
      <w:r w:rsidRPr="00E84C93">
        <w:rPr>
          <w:rFonts w:cs="Times New Roman"/>
          <w:szCs w:val="24"/>
          <w:lang w:val="sr-Cyrl-CS"/>
        </w:rPr>
        <w:t xml:space="preserve">, ради потпуне временске усклађености у сврху ефикасног постизања утврђених циљева. </w:t>
      </w:r>
    </w:p>
    <w:p w14:paraId="58D7314C" w14:textId="52F89768" w:rsidR="00760423" w:rsidRPr="00E84C93" w:rsidRDefault="00760423" w:rsidP="00760423">
      <w:pPr>
        <w:pStyle w:val="basic-paragraph"/>
        <w:spacing w:before="0" w:beforeAutospacing="0" w:after="0" w:afterAutospacing="0"/>
        <w:ind w:firstLine="720"/>
        <w:jc w:val="both"/>
        <w:rPr>
          <w:lang w:val="sr-Cyrl-CS"/>
        </w:rPr>
      </w:pPr>
      <w:r w:rsidRPr="00E84C93">
        <w:rPr>
          <w:lang w:val="sr-Cyrl-CS"/>
        </w:rPr>
        <w:t>Извештаје о напретку у спровођењу акционог плана припрема Министарство</w:t>
      </w:r>
      <w:r w:rsidR="000C4C2F" w:rsidRPr="00E84C93">
        <w:rPr>
          <w:lang w:val="sr-Cyrl-CS"/>
        </w:rPr>
        <w:t xml:space="preserve"> заштите животне средине</w:t>
      </w:r>
      <w:r w:rsidRPr="00E84C93">
        <w:rPr>
          <w:lang w:val="sr-Cyrl-CS"/>
        </w:rPr>
        <w:t xml:space="preserve">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органи и организације надлежни за спровођење мера и активности, у складу са Законом о планском систему и подзаконским актима којима су уређени начин извештавања и обавезни елементи извештаја.</w:t>
      </w:r>
    </w:p>
    <w:p w14:paraId="528B1BAE" w14:textId="7B41D9D5" w:rsidR="00760423" w:rsidRPr="00E84C93" w:rsidRDefault="00760423" w:rsidP="00760423">
      <w:pPr>
        <w:pStyle w:val="basic-paragraph"/>
        <w:spacing w:before="0" w:beforeAutospacing="0" w:after="0" w:afterAutospacing="0"/>
        <w:ind w:firstLine="720"/>
        <w:jc w:val="both"/>
        <w:rPr>
          <w:lang w:val="sr-Cyrl-CS"/>
        </w:rPr>
      </w:pPr>
      <w:r w:rsidRPr="00E84C93">
        <w:rPr>
          <w:lang w:val="sr-Cyrl-CS"/>
        </w:rPr>
        <w:t>Агенција за заштиту животне средине је у обавези да успостави систем прикупљања и праћења података у вези са количинама муља од значаја за праћење оств</w:t>
      </w:r>
      <w:r w:rsidR="000022B1">
        <w:rPr>
          <w:lang w:val="sr-Cyrl-CS"/>
        </w:rPr>
        <w:t>а</w:t>
      </w:r>
      <w:r w:rsidRPr="00E84C93">
        <w:rPr>
          <w:lang w:val="sr-Cyrl-CS"/>
        </w:rPr>
        <w:t>ривања циљева и мера Програма, као и за будуће планирање активности. Податке о оств</w:t>
      </w:r>
      <w:r w:rsidR="000022B1">
        <w:rPr>
          <w:lang w:val="sr-Cyrl-CS"/>
        </w:rPr>
        <w:t>а</w:t>
      </w:r>
      <w:r w:rsidRPr="00E84C93">
        <w:rPr>
          <w:lang w:val="sr-Cyrl-CS"/>
        </w:rPr>
        <w:t>реним вредностима показатеља учинка, које у складу са својим надлежностима прати Агенција</w:t>
      </w:r>
      <w:r w:rsidR="00D33BC2" w:rsidRPr="00E84C93">
        <w:rPr>
          <w:lang w:val="sr-Cyrl-CS"/>
        </w:rPr>
        <w:t xml:space="preserve"> за заштиту животне средине</w:t>
      </w:r>
      <w:r w:rsidRPr="00E84C93">
        <w:rPr>
          <w:lang w:val="sr-Cyrl-CS"/>
        </w:rPr>
        <w:t>, доставља Министарству</w:t>
      </w:r>
      <w:r w:rsidR="002C605E" w:rsidRPr="00E84C93">
        <w:rPr>
          <w:lang w:val="sr-Cyrl-CS"/>
        </w:rPr>
        <w:t xml:space="preserve"> заштите животне средине</w:t>
      </w:r>
      <w:r w:rsidRPr="00E84C93">
        <w:rPr>
          <w:lang w:val="sr-Cyrl-CS"/>
        </w:rPr>
        <w:t xml:space="preserve"> и уноси у ЈИС-а за потребе израде годишњих извештаја о спровођењу акционог плана. Агенција</w:t>
      </w:r>
      <w:r w:rsidR="002C605E" w:rsidRPr="00E84C93">
        <w:rPr>
          <w:lang w:val="sr-Cyrl-CS"/>
        </w:rPr>
        <w:t xml:space="preserve"> за заштиту животне средине</w:t>
      </w:r>
      <w:r w:rsidRPr="00E84C93">
        <w:rPr>
          <w:lang w:val="sr-Cyrl-CS"/>
        </w:rPr>
        <w:t>, поред годишњег извештавања, Министарству</w:t>
      </w:r>
      <w:r w:rsidR="002C605E" w:rsidRPr="00E84C93">
        <w:rPr>
          <w:lang w:val="sr-Cyrl-CS"/>
        </w:rPr>
        <w:t xml:space="preserve"> заштите животне средине</w:t>
      </w:r>
      <w:r w:rsidRPr="00E84C93">
        <w:rPr>
          <w:lang w:val="sr-Cyrl-CS"/>
        </w:rPr>
        <w:t xml:space="preserve"> доставља податке и на његов захтев. </w:t>
      </w:r>
    </w:p>
    <w:p w14:paraId="3DB1D1B4" w14:textId="6373482F" w:rsidR="00760423" w:rsidRPr="00E84C93" w:rsidRDefault="00760423" w:rsidP="00760423">
      <w:pPr>
        <w:pStyle w:val="basic-paragraph"/>
        <w:spacing w:before="0" w:beforeAutospacing="0" w:after="0" w:afterAutospacing="0"/>
        <w:ind w:firstLine="720"/>
        <w:jc w:val="both"/>
        <w:rPr>
          <w:lang w:val="sr-Cyrl-CS"/>
        </w:rPr>
      </w:pPr>
      <w:r w:rsidRPr="00E84C93">
        <w:rPr>
          <w:lang w:val="sr-Cyrl-CS"/>
        </w:rPr>
        <w:t>Надлежни органи и организације, као органи и организације које су препознате као партнери у спровођењу мера и активности имају обавезу да једном годишње извештавају Министарство</w:t>
      </w:r>
      <w:r w:rsidR="002C605E" w:rsidRPr="00E84C93">
        <w:rPr>
          <w:lang w:val="sr-Cyrl-CS"/>
        </w:rPr>
        <w:t xml:space="preserve"> заштите животне средине</w:t>
      </w:r>
      <w:r w:rsidRPr="00E84C93">
        <w:rPr>
          <w:lang w:val="sr-Cyrl-CS"/>
        </w:rPr>
        <w:t xml:space="preserve"> о напретку у реализацији активности из своје надлежности утврђених Програмом и напретку у реализацији пројеката од значаја за систем управљања муљем, као и о евентуалним проблемима у достизању предвиђених резултата. На основу тога, Министарство</w:t>
      </w:r>
      <w:r w:rsidR="002C605E" w:rsidRPr="00E84C93">
        <w:rPr>
          <w:lang w:val="sr-Cyrl-CS"/>
        </w:rPr>
        <w:t xml:space="preserve"> заштите животне средине</w:t>
      </w:r>
      <w:r w:rsidRPr="00E84C93">
        <w:rPr>
          <w:lang w:val="sr-Cyrl-CS"/>
        </w:rPr>
        <w:t xml:space="preserve"> оцењује напредак у спровођења Програма и идентификује актуелне проблеме и потенцијалне ризике и потребу да се у складу са њима активности прилагоде и донесу правовремене одлуке да би се постигли предвиђени резултати. </w:t>
      </w:r>
    </w:p>
    <w:p w14:paraId="69C6CB04" w14:textId="3DB25B0F" w:rsidR="00760423" w:rsidRPr="00E84C93" w:rsidRDefault="00760423" w:rsidP="00760423">
      <w:pPr>
        <w:pStyle w:val="basic-paragraph"/>
        <w:spacing w:before="0" w:beforeAutospacing="0" w:after="0" w:afterAutospacing="0"/>
        <w:ind w:firstLine="720"/>
        <w:jc w:val="both"/>
        <w:rPr>
          <w:lang w:val="sr-Cyrl-CS"/>
        </w:rPr>
      </w:pPr>
      <w:r w:rsidRPr="00E84C93">
        <w:rPr>
          <w:lang w:val="sr-Cyrl-CS"/>
        </w:rPr>
        <w:t xml:space="preserve">Израда годишњих извештаја о спровођењу акционог плана и достављање Влади врши се у складу са роковима утврђеним Законом о планском систему. </w:t>
      </w:r>
    </w:p>
    <w:p w14:paraId="0A67567C" w14:textId="174C6406" w:rsidR="00760423" w:rsidRPr="00E84C93" w:rsidRDefault="00760423" w:rsidP="00760423">
      <w:pPr>
        <w:pStyle w:val="basic-paragraph"/>
        <w:spacing w:before="0" w:beforeAutospacing="0" w:after="0" w:afterAutospacing="0"/>
        <w:ind w:firstLine="720"/>
        <w:jc w:val="both"/>
        <w:rPr>
          <w:highlight w:val="cyan"/>
          <w:lang w:val="sr-Cyrl-CS"/>
        </w:rPr>
      </w:pPr>
      <w:r w:rsidRPr="00E84C93">
        <w:rPr>
          <w:lang w:val="sr-Cyrl-CS"/>
        </w:rPr>
        <w:t>Извештај о резултатима у достизању утврђених циљева Програма Министарство</w:t>
      </w:r>
      <w:r w:rsidR="009A04F7" w:rsidRPr="00E84C93">
        <w:rPr>
          <w:lang w:val="sr-Cyrl-CS"/>
        </w:rPr>
        <w:t xml:space="preserve"> заштите животне средине</w:t>
      </w:r>
      <w:r w:rsidRPr="00E84C93">
        <w:rPr>
          <w:lang w:val="sr-Cyrl-CS"/>
        </w:rPr>
        <w:t xml:space="preserve"> припрем</w:t>
      </w:r>
      <w:r w:rsidR="009A04F7" w:rsidRPr="00E84C93">
        <w:rPr>
          <w:lang w:val="sr-Cyrl-CS"/>
        </w:rPr>
        <w:t>а</w:t>
      </w:r>
      <w:r w:rsidRPr="00E84C93">
        <w:rPr>
          <w:lang w:val="sr-Cyrl-CS"/>
        </w:rPr>
        <w:t xml:space="preserve"> на основу спроведене </w:t>
      </w:r>
      <w:r w:rsidRPr="00E84C93">
        <w:rPr>
          <w:i/>
          <w:iCs/>
          <w:lang w:val="sr-Cyrl-CS"/>
        </w:rPr>
        <w:t>ex-post</w:t>
      </w:r>
      <w:r w:rsidRPr="00E84C93">
        <w:rPr>
          <w:lang w:val="sr-Cyrl-CS"/>
        </w:rPr>
        <w:t xml:space="preserve"> анализа ефекaта, након сваке три године спровођења Програма, у оквиру којег може да предложи и евент</w:t>
      </w:r>
      <w:r w:rsidR="000022B1">
        <w:rPr>
          <w:lang w:val="sr-Cyrl-CS"/>
        </w:rPr>
        <w:t>у</w:t>
      </w:r>
      <w:r w:rsidRPr="00E84C93">
        <w:rPr>
          <w:lang w:val="sr-Cyrl-CS"/>
        </w:rPr>
        <w:t xml:space="preserve">алну </w:t>
      </w:r>
      <w:r w:rsidR="00577BFF" w:rsidRPr="00E84C93">
        <w:rPr>
          <w:lang w:val="sr-Cyrl-CS"/>
        </w:rPr>
        <w:t xml:space="preserve">ревизију </w:t>
      </w:r>
      <w:r w:rsidRPr="00E84C93">
        <w:rPr>
          <w:lang w:val="sr-Cyrl-CS"/>
        </w:rPr>
        <w:t xml:space="preserve">Програма. Финални извештај биће поднет Влади на усвајање након истека важења Програма, у складу са законом. Вредновање учинка Програма врши се тако што се анализира да ли су и у којој мери постигнути учинци у складу са показатељима ефеката на нивоу општег циља, показатељима исхода на нивоу посебних циљева и показатељима резултата на нивоу појединачних мера. </w:t>
      </w:r>
    </w:p>
    <w:p w14:paraId="396D9A74" w14:textId="1E7FE17A" w:rsidR="00760423" w:rsidRPr="00E84C93" w:rsidRDefault="00760423" w:rsidP="00760423">
      <w:pPr>
        <w:spacing w:after="0"/>
        <w:ind w:firstLine="720"/>
        <w:jc w:val="both"/>
        <w:rPr>
          <w:rFonts w:cs="Times New Roman"/>
          <w:szCs w:val="24"/>
          <w:lang w:val="sr-Cyrl-CS"/>
        </w:rPr>
      </w:pPr>
      <w:r w:rsidRPr="00E84C93">
        <w:rPr>
          <w:rFonts w:cs="Times New Roman"/>
          <w:szCs w:val="24"/>
          <w:lang w:val="sr-Cyrl-CS"/>
        </w:rPr>
        <w:t>Министарс</w:t>
      </w:r>
      <w:r w:rsidR="006D29C7" w:rsidRPr="00E84C93">
        <w:rPr>
          <w:rFonts w:cs="Times New Roman"/>
          <w:szCs w:val="24"/>
          <w:lang w:val="sr-Cyrl-CS"/>
        </w:rPr>
        <w:t>т</w:t>
      </w:r>
      <w:r w:rsidRPr="00E84C93">
        <w:rPr>
          <w:rFonts w:cs="Times New Roman"/>
          <w:szCs w:val="24"/>
          <w:lang w:val="sr-Cyrl-CS"/>
        </w:rPr>
        <w:t>во</w:t>
      </w:r>
      <w:r w:rsidR="009A04F7" w:rsidRPr="00E84C93">
        <w:rPr>
          <w:lang w:val="sr-Cyrl-CS"/>
        </w:rPr>
        <w:t xml:space="preserve"> </w:t>
      </w:r>
      <w:r w:rsidR="009A04F7" w:rsidRPr="00E84C93">
        <w:rPr>
          <w:rFonts w:cs="Times New Roman"/>
          <w:szCs w:val="24"/>
          <w:lang w:val="sr-Cyrl-CS"/>
        </w:rPr>
        <w:t>заштите животне средине</w:t>
      </w:r>
      <w:r w:rsidRPr="00E84C93">
        <w:rPr>
          <w:rFonts w:cs="Times New Roman"/>
          <w:szCs w:val="24"/>
          <w:lang w:val="sr-Cyrl-CS"/>
        </w:rPr>
        <w:t xml:space="preserve"> од надлежних органа и организација и партнера, може затражити достављање података и извештаја и чешће од редовног годишњег извештавања.</w:t>
      </w:r>
    </w:p>
    <w:p w14:paraId="451B1451" w14:textId="070732F4" w:rsidR="006E7EA4" w:rsidRPr="00E84C93" w:rsidRDefault="00760423" w:rsidP="00760423">
      <w:pPr>
        <w:ind w:firstLine="720"/>
        <w:jc w:val="both"/>
        <w:rPr>
          <w:rFonts w:cs="Times New Roman"/>
          <w:szCs w:val="24"/>
          <w:lang w:val="sr-Cyrl-CS"/>
        </w:rPr>
      </w:pPr>
      <w:r w:rsidRPr="00E84C93">
        <w:rPr>
          <w:rFonts w:cs="Times New Roman"/>
          <w:szCs w:val="24"/>
          <w:lang w:val="sr-Cyrl-CS"/>
        </w:rPr>
        <w:t>У случају потребе, односно у случају да се количине муља које се генеришу из постројења за прешићавање отпадних вода разликују од пројектованих, у сврху ефикасног решавања питања на терену ради заштите животне средине имајући у виду врем</w:t>
      </w:r>
      <w:r w:rsidR="000022B1">
        <w:rPr>
          <w:rFonts w:cs="Times New Roman"/>
          <w:szCs w:val="24"/>
          <w:lang w:val="sr-Cyrl-CS"/>
        </w:rPr>
        <w:t>е</w:t>
      </w:r>
      <w:r w:rsidRPr="00E84C93">
        <w:rPr>
          <w:rFonts w:cs="Times New Roman"/>
          <w:szCs w:val="24"/>
          <w:lang w:val="sr-Cyrl-CS"/>
        </w:rPr>
        <w:t>н</w:t>
      </w:r>
      <w:r w:rsidR="000022B1">
        <w:rPr>
          <w:rFonts w:cs="Times New Roman"/>
          <w:szCs w:val="24"/>
          <w:lang w:val="sr-Cyrl-CS"/>
        </w:rPr>
        <w:t>с</w:t>
      </w:r>
      <w:r w:rsidRPr="00E84C93">
        <w:rPr>
          <w:rFonts w:cs="Times New Roman"/>
          <w:szCs w:val="24"/>
          <w:lang w:val="sr-Cyrl-CS"/>
        </w:rPr>
        <w:t xml:space="preserve">ки оквир у којем напредује изградња постројења за пречишћавање отпадних вода и додатних објеката за управљање </w:t>
      </w:r>
      <w:r w:rsidRPr="00E84C93">
        <w:rPr>
          <w:rFonts w:cs="Times New Roman"/>
          <w:szCs w:val="24"/>
          <w:lang w:val="sr-Cyrl-CS"/>
        </w:rPr>
        <w:lastRenderedPageBreak/>
        <w:t>муљем, као и друг</w:t>
      </w:r>
      <w:r w:rsidR="00552D3C" w:rsidRPr="00E84C93">
        <w:rPr>
          <w:rFonts w:cs="Times New Roman"/>
          <w:szCs w:val="24"/>
          <w:lang w:val="sr-Cyrl-CS"/>
        </w:rPr>
        <w:t>е</w:t>
      </w:r>
      <w:r w:rsidRPr="00E84C93">
        <w:rPr>
          <w:rFonts w:cs="Times New Roman"/>
          <w:szCs w:val="24"/>
          <w:lang w:val="sr-Cyrl-CS"/>
        </w:rPr>
        <w:t xml:space="preserve"> околности, Министарство</w:t>
      </w:r>
      <w:r w:rsidR="00552D3C" w:rsidRPr="00E84C93">
        <w:rPr>
          <w:lang w:val="sr-Cyrl-CS"/>
        </w:rPr>
        <w:t xml:space="preserve"> </w:t>
      </w:r>
      <w:r w:rsidR="00552D3C" w:rsidRPr="00E84C93">
        <w:rPr>
          <w:rFonts w:cs="Times New Roman"/>
          <w:szCs w:val="24"/>
          <w:lang w:val="sr-Cyrl-CS"/>
        </w:rPr>
        <w:t>заштите животне средине</w:t>
      </w:r>
      <w:r w:rsidRPr="00E84C93">
        <w:rPr>
          <w:rFonts w:cs="Times New Roman"/>
          <w:szCs w:val="24"/>
          <w:lang w:val="sr-Cyrl-CS"/>
        </w:rPr>
        <w:t xml:space="preserve"> може покренути преиспитивање потребе за ревизијом и предложити ревизију Програма и раније од истека прве три године спровођења Програма.</w:t>
      </w:r>
    </w:p>
    <w:p w14:paraId="06D1D888" w14:textId="2A32C9DC" w:rsidR="00C57A19" w:rsidRPr="00E84C93" w:rsidRDefault="00C57A19" w:rsidP="006E7EA4">
      <w:pPr>
        <w:spacing w:after="0"/>
        <w:rPr>
          <w:highlight w:val="cyan"/>
          <w:lang w:val="sr-Cyrl-CS"/>
        </w:rPr>
      </w:pPr>
    </w:p>
    <w:p w14:paraId="3E709262" w14:textId="5F1F9E9B" w:rsidR="006E7EA4" w:rsidRPr="00E84C93" w:rsidRDefault="006E7EA4" w:rsidP="000C54C0">
      <w:pPr>
        <w:pStyle w:val="Heading1"/>
        <w:numPr>
          <w:ilvl w:val="0"/>
          <w:numId w:val="8"/>
        </w:numPr>
        <w:tabs>
          <w:tab w:val="left" w:pos="1440"/>
        </w:tabs>
        <w:spacing w:before="0"/>
        <w:rPr>
          <w:lang w:val="sr-Cyrl-CS"/>
        </w:rPr>
      </w:pPr>
      <w:bookmarkStart w:id="123" w:name="_Toc99920919"/>
      <w:r w:rsidRPr="00E84C93">
        <w:rPr>
          <w:lang w:val="sr-Cyrl-CS"/>
        </w:rPr>
        <w:t>КОНСУЛТА</w:t>
      </w:r>
      <w:r w:rsidR="00323B3E" w:rsidRPr="00E84C93">
        <w:rPr>
          <w:lang w:val="sr-Cyrl-CS"/>
        </w:rPr>
        <w:t xml:space="preserve">ТИВНИ ПРОЦЕС </w:t>
      </w:r>
      <w:r w:rsidRPr="00E84C93">
        <w:rPr>
          <w:lang w:val="sr-Cyrl-CS"/>
        </w:rPr>
        <w:t>СА ЗАИНТЕРЕСОВАНИМ СТРАНАМА</w:t>
      </w:r>
      <w:bookmarkEnd w:id="123"/>
    </w:p>
    <w:p w14:paraId="7FAC90D1" w14:textId="77777777" w:rsidR="006E7EA4" w:rsidRPr="00E84C93" w:rsidRDefault="006E7EA4" w:rsidP="006E7EA4">
      <w:pPr>
        <w:spacing w:after="0"/>
        <w:rPr>
          <w:lang w:val="sr-Cyrl-CS"/>
        </w:rPr>
      </w:pPr>
    </w:p>
    <w:p w14:paraId="0B724B39" w14:textId="6DBD56FC" w:rsidR="00F50D9B" w:rsidRPr="00E84C93" w:rsidRDefault="00F50D9B" w:rsidP="00F50D9B">
      <w:pPr>
        <w:spacing w:after="0"/>
        <w:ind w:firstLine="720"/>
        <w:jc w:val="both"/>
        <w:rPr>
          <w:rStyle w:val="jlqj4b"/>
          <w:rFonts w:cs="Times New Roman"/>
          <w:szCs w:val="24"/>
          <w:lang w:val="sr-Cyrl-CS"/>
        </w:rPr>
      </w:pPr>
      <w:r w:rsidRPr="00E84C93">
        <w:rPr>
          <w:rStyle w:val="jlqj4b"/>
          <w:rFonts w:cs="Times New Roman"/>
          <w:szCs w:val="24"/>
          <w:lang w:val="sr-Cyrl-CS"/>
        </w:rPr>
        <w:t>Консултативни процес са заи</w:t>
      </w:r>
      <w:r w:rsidR="00E263C9" w:rsidRPr="00E84C93">
        <w:rPr>
          <w:rStyle w:val="jlqj4b"/>
          <w:rFonts w:cs="Times New Roman"/>
          <w:szCs w:val="24"/>
          <w:lang w:val="sr-Cyrl-CS"/>
        </w:rPr>
        <w:t>н</w:t>
      </w:r>
      <w:r w:rsidRPr="00E84C93">
        <w:rPr>
          <w:rStyle w:val="jlqj4b"/>
          <w:rFonts w:cs="Times New Roman"/>
          <w:szCs w:val="24"/>
          <w:lang w:val="sr-Cyrl-CS"/>
        </w:rPr>
        <w:t>тересованим странама је спроведен током свих фаза израде Програма, на основу спроведене анализе заинтересованих страна</w:t>
      </w:r>
      <w:r w:rsidR="003C2E5D" w:rsidRPr="00E84C93">
        <w:rPr>
          <w:rStyle w:val="jlqj4b"/>
          <w:rFonts w:cs="Times New Roman"/>
          <w:szCs w:val="24"/>
          <w:lang w:val="sr-Cyrl-CS"/>
        </w:rPr>
        <w:t xml:space="preserve"> </w:t>
      </w:r>
      <w:r w:rsidR="003C2E5D" w:rsidRPr="00E84C93">
        <w:rPr>
          <w:lang w:val="sr-Cyrl-CS"/>
        </w:rPr>
        <w:t xml:space="preserve">и кроз </w:t>
      </w:r>
      <w:r w:rsidR="00F4560D" w:rsidRPr="00E84C93">
        <w:rPr>
          <w:lang w:val="sr-Cyrl-CS"/>
        </w:rPr>
        <w:t>образовану</w:t>
      </w:r>
      <w:r w:rsidR="003C2E5D" w:rsidRPr="00E84C93">
        <w:rPr>
          <w:lang w:val="sr-Cyrl-CS"/>
        </w:rPr>
        <w:t xml:space="preserve"> радну групу </w:t>
      </w:r>
      <w:r w:rsidR="00F4560D" w:rsidRPr="00E84C93">
        <w:rPr>
          <w:lang w:val="sr-Cyrl-CS"/>
        </w:rPr>
        <w:t>од</w:t>
      </w:r>
      <w:r w:rsidR="003C2E5D" w:rsidRPr="00E84C93">
        <w:rPr>
          <w:lang w:val="sr-Cyrl-CS"/>
        </w:rPr>
        <w:t xml:space="preserve"> представни</w:t>
      </w:r>
      <w:r w:rsidR="00F4560D" w:rsidRPr="00E84C93">
        <w:rPr>
          <w:lang w:val="sr-Cyrl-CS"/>
        </w:rPr>
        <w:t>ка</w:t>
      </w:r>
      <w:r w:rsidR="003C2E5D" w:rsidRPr="00E84C93">
        <w:rPr>
          <w:lang w:val="sr-Cyrl-CS"/>
        </w:rPr>
        <w:t xml:space="preserve"> свих доле наведених институција</w:t>
      </w:r>
      <w:r w:rsidRPr="00E84C93">
        <w:rPr>
          <w:rStyle w:val="jlqj4b"/>
          <w:rFonts w:cs="Times New Roman"/>
          <w:szCs w:val="24"/>
          <w:lang w:val="sr-Cyrl-CS"/>
        </w:rPr>
        <w:t>. Идентифи</w:t>
      </w:r>
      <w:r w:rsidR="000022B1">
        <w:rPr>
          <w:rStyle w:val="jlqj4b"/>
          <w:rFonts w:cs="Times New Roman"/>
          <w:szCs w:val="24"/>
          <w:lang w:val="sr-Cyrl-CS"/>
        </w:rPr>
        <w:t>к</w:t>
      </w:r>
      <w:r w:rsidRPr="00E84C93">
        <w:rPr>
          <w:rStyle w:val="jlqj4b"/>
          <w:rFonts w:cs="Times New Roman"/>
          <w:szCs w:val="24"/>
          <w:lang w:val="sr-Cyrl-CS"/>
        </w:rPr>
        <w:t>овање релевантних заинтересованих страна је спроведено на основу инс</w:t>
      </w:r>
      <w:r w:rsidR="00E263C9" w:rsidRPr="00E84C93">
        <w:rPr>
          <w:rStyle w:val="jlqj4b"/>
          <w:rFonts w:cs="Times New Roman"/>
          <w:szCs w:val="24"/>
          <w:lang w:val="sr-Cyrl-CS"/>
        </w:rPr>
        <w:t>т</w:t>
      </w:r>
      <w:r w:rsidRPr="00E84C93">
        <w:rPr>
          <w:rStyle w:val="jlqj4b"/>
          <w:rFonts w:cs="Times New Roman"/>
          <w:szCs w:val="24"/>
          <w:lang w:val="sr-Cyrl-CS"/>
        </w:rPr>
        <w:t>итуцион</w:t>
      </w:r>
      <w:r w:rsidR="00E263C9" w:rsidRPr="00E84C93">
        <w:rPr>
          <w:rStyle w:val="jlqj4b"/>
          <w:rFonts w:cs="Times New Roman"/>
          <w:szCs w:val="24"/>
          <w:lang w:val="sr-Cyrl-CS"/>
        </w:rPr>
        <w:t>а</w:t>
      </w:r>
      <w:r w:rsidRPr="00E84C93">
        <w:rPr>
          <w:rStyle w:val="jlqj4b"/>
          <w:rFonts w:cs="Times New Roman"/>
          <w:szCs w:val="24"/>
          <w:lang w:val="sr-Cyrl-CS"/>
        </w:rPr>
        <w:t>лних овлашћења и одговорности, као и на основу препознатих интереса које одређене заинтересоване стране имају у вези са успостављањем одрживог система за управљање муљем у Републици Србији.</w:t>
      </w:r>
    </w:p>
    <w:p w14:paraId="3ABC874C" w14:textId="5C73D5BF" w:rsidR="00F50D9B" w:rsidRPr="00E84C93" w:rsidRDefault="00F50D9B" w:rsidP="00F50D9B">
      <w:pPr>
        <w:spacing w:after="0"/>
        <w:ind w:firstLine="720"/>
        <w:jc w:val="both"/>
        <w:rPr>
          <w:rStyle w:val="jlqj4b"/>
          <w:rFonts w:cs="Times New Roman"/>
          <w:szCs w:val="24"/>
          <w:lang w:val="sr-Cyrl-CS"/>
        </w:rPr>
      </w:pPr>
      <w:r w:rsidRPr="00E84C93">
        <w:rPr>
          <w:rStyle w:val="jlqj4b"/>
          <w:rFonts w:cs="Times New Roman"/>
          <w:szCs w:val="24"/>
          <w:lang w:val="sr-Cyrl-CS"/>
        </w:rPr>
        <w:t>Наведеном анализом су идентификовани органи државне управе у чијој надлежности су питања од значаја за управљање муљем и поред Министарства заштите животне средине и Агенције за заштиту животне средине, као органа у саставу тог министарства, идентификована су следећа релевантна министар</w:t>
      </w:r>
      <w:r w:rsidR="009F4435" w:rsidRPr="00E84C93">
        <w:rPr>
          <w:rStyle w:val="jlqj4b"/>
          <w:rFonts w:cs="Times New Roman"/>
          <w:szCs w:val="24"/>
          <w:lang w:val="sr-Cyrl-CS"/>
        </w:rPr>
        <w:t>с</w:t>
      </w:r>
      <w:r w:rsidRPr="00E84C93">
        <w:rPr>
          <w:rStyle w:val="jlqj4b"/>
          <w:rFonts w:cs="Times New Roman"/>
          <w:szCs w:val="24"/>
          <w:lang w:val="sr-Cyrl-CS"/>
        </w:rPr>
        <w:t xml:space="preserve">тва: Министарство пољопривреде, шумарства и водопривреде (Републичка дирекција за воде, Управа за шуме, Управа за пољопривредно земљиште), Министарство грађевинарства, саобраћаја и инфраструктуре, Министарство рударства и енергетике, Министарство финансија и други органи у складу са надлежностима. Такође, идентификовани су органи локалних власти: </w:t>
      </w:r>
      <w:r w:rsidRPr="00E84C93">
        <w:rPr>
          <w:rFonts w:eastAsia="Calibri" w:cs="Times New Roman"/>
          <w:color w:val="000000"/>
          <w:szCs w:val="24"/>
          <w:lang w:val="sr-Cyrl-CS" w:eastAsia="en-GB"/>
        </w:rPr>
        <w:t xml:space="preserve">Покрајински секретаријати за заштиту животне средине, пољопривреду, водопривреду, шумарство, енергетику и грађевинарство, јединице локалнe самоуправе </w:t>
      </w:r>
      <w:r w:rsidRPr="00E84C93">
        <w:rPr>
          <w:rStyle w:val="jlqj4b"/>
          <w:rFonts w:cs="Times New Roman"/>
          <w:szCs w:val="24"/>
          <w:lang w:val="sr-Cyrl-CS"/>
        </w:rPr>
        <w:t xml:space="preserve">и Стална конференција градова и општина, затим јавна предузећа: </w:t>
      </w:r>
      <w:r w:rsidR="00F4560D" w:rsidRPr="00E84C93">
        <w:rPr>
          <w:rStyle w:val="jlqj4b"/>
          <w:rFonts w:cs="Times New Roman"/>
          <w:szCs w:val="24"/>
          <w:lang w:val="sr-Cyrl-CS"/>
        </w:rPr>
        <w:t>„</w:t>
      </w:r>
      <w:r w:rsidRPr="00E84C93">
        <w:rPr>
          <w:rFonts w:eastAsia="Calibri" w:cs="Times New Roman"/>
          <w:color w:val="000000"/>
          <w:szCs w:val="24"/>
          <w:lang w:val="sr-Cyrl-CS" w:eastAsia="en-GB"/>
        </w:rPr>
        <w:t>Србијаводе</w:t>
      </w:r>
      <w:r w:rsidR="00F4560D" w:rsidRPr="00E84C93">
        <w:rPr>
          <w:rFonts w:eastAsia="Calibri" w:cs="Times New Roman"/>
          <w:color w:val="000000"/>
          <w:szCs w:val="24"/>
          <w:lang w:val="sr-Cyrl-CS" w:eastAsia="en-GB"/>
        </w:rPr>
        <w:t>”</w:t>
      </w:r>
      <w:r w:rsidRPr="00E84C93">
        <w:rPr>
          <w:rFonts w:eastAsia="Calibri" w:cs="Times New Roman"/>
          <w:color w:val="000000"/>
          <w:szCs w:val="24"/>
          <w:lang w:val="sr-Cyrl-CS" w:eastAsia="en-GB"/>
        </w:rPr>
        <w:t xml:space="preserve">, </w:t>
      </w:r>
      <w:r w:rsidR="00F4560D" w:rsidRPr="00E84C93">
        <w:rPr>
          <w:rFonts w:eastAsia="Calibri" w:cs="Times New Roman"/>
          <w:color w:val="000000"/>
          <w:szCs w:val="24"/>
          <w:lang w:val="sr-Cyrl-CS" w:eastAsia="en-GB"/>
        </w:rPr>
        <w:t>„</w:t>
      </w:r>
      <w:r w:rsidRPr="00E84C93">
        <w:rPr>
          <w:rFonts w:eastAsia="Calibri" w:cs="Times New Roman"/>
          <w:color w:val="000000"/>
          <w:szCs w:val="24"/>
          <w:lang w:val="sr-Cyrl-CS" w:eastAsia="en-GB"/>
        </w:rPr>
        <w:t>Воде Војводине</w:t>
      </w:r>
      <w:r w:rsidR="00F4560D" w:rsidRPr="00E84C93">
        <w:rPr>
          <w:rFonts w:eastAsia="Calibri" w:cs="Times New Roman"/>
          <w:color w:val="000000"/>
          <w:szCs w:val="24"/>
          <w:lang w:val="sr-Cyrl-CS" w:eastAsia="en-GB"/>
        </w:rPr>
        <w:t>”</w:t>
      </w:r>
      <w:r w:rsidRPr="00E84C93">
        <w:rPr>
          <w:rFonts w:eastAsia="Calibri" w:cs="Times New Roman"/>
          <w:color w:val="000000"/>
          <w:szCs w:val="24"/>
          <w:lang w:val="sr-Cyrl-CS" w:eastAsia="en-GB"/>
        </w:rPr>
        <w:t xml:space="preserve"> и </w:t>
      </w:r>
      <w:r w:rsidRPr="00E84C93">
        <w:rPr>
          <w:rStyle w:val="jlqj4b"/>
          <w:rFonts w:cs="Times New Roman"/>
          <w:szCs w:val="24"/>
          <w:lang w:val="sr-Cyrl-CS"/>
        </w:rPr>
        <w:t>ЕПС, као и локална јавна комунална предузећа. Као знач</w:t>
      </w:r>
      <w:r w:rsidR="001B6C96" w:rsidRPr="00E84C93">
        <w:rPr>
          <w:rStyle w:val="jlqj4b"/>
          <w:rFonts w:cs="Times New Roman"/>
          <w:szCs w:val="24"/>
          <w:lang w:val="sr-Cyrl-CS"/>
        </w:rPr>
        <w:t>а</w:t>
      </w:r>
      <w:r w:rsidRPr="00E84C93">
        <w:rPr>
          <w:rStyle w:val="jlqj4b"/>
          <w:rFonts w:cs="Times New Roman"/>
          <w:szCs w:val="24"/>
          <w:lang w:val="sr-Cyrl-CS"/>
        </w:rPr>
        <w:t xml:space="preserve">јни субјекти у систему управљања муљем препознати су и привредни субјекти у индустрији </w:t>
      </w:r>
      <w:r w:rsidR="001B6C96" w:rsidRPr="00E84C93">
        <w:rPr>
          <w:rStyle w:val="jlqj4b"/>
          <w:rFonts w:cs="Times New Roman"/>
          <w:szCs w:val="24"/>
          <w:lang w:val="sr-Cyrl-CS"/>
        </w:rPr>
        <w:t xml:space="preserve">производње </w:t>
      </w:r>
      <w:r w:rsidRPr="00E84C93">
        <w:rPr>
          <w:rStyle w:val="jlqj4b"/>
          <w:rFonts w:cs="Times New Roman"/>
          <w:szCs w:val="24"/>
          <w:lang w:val="sr-Cyrl-CS"/>
        </w:rPr>
        <w:t xml:space="preserve">цемента, оператери </w:t>
      </w:r>
      <w:r w:rsidR="001B6C96" w:rsidRPr="00E84C93">
        <w:rPr>
          <w:rStyle w:val="jlqj4b"/>
          <w:rFonts w:cs="Times New Roman"/>
          <w:szCs w:val="24"/>
          <w:lang w:val="sr-Cyrl-CS"/>
        </w:rPr>
        <w:t xml:space="preserve">санитарних </w:t>
      </w:r>
      <w:r w:rsidRPr="00E84C93">
        <w:rPr>
          <w:rStyle w:val="jlqj4b"/>
          <w:rFonts w:cs="Times New Roman"/>
          <w:szCs w:val="24"/>
          <w:lang w:val="sr-Cyrl-CS"/>
        </w:rPr>
        <w:t>депонија, као и Привредна комора Србије. Такође, као актери у успостављању и унапређивању система за управљање муљем препоз</w:t>
      </w:r>
      <w:r w:rsidR="001B6C96" w:rsidRPr="00E84C93">
        <w:rPr>
          <w:rStyle w:val="jlqj4b"/>
          <w:rFonts w:cs="Times New Roman"/>
          <w:szCs w:val="24"/>
          <w:lang w:val="sr-Cyrl-CS"/>
        </w:rPr>
        <w:t>нати</w:t>
      </w:r>
      <w:r w:rsidRPr="00E84C93">
        <w:rPr>
          <w:rStyle w:val="jlqj4b"/>
          <w:rFonts w:cs="Times New Roman"/>
          <w:szCs w:val="24"/>
          <w:lang w:val="sr-Cyrl-CS"/>
        </w:rPr>
        <w:t xml:space="preserve"> су и релевантни факултети Универзитета у Београду и Новом Саду (Технолошки, Грађевински, П</w:t>
      </w:r>
      <w:r w:rsidR="001B6C96" w:rsidRPr="00E84C93">
        <w:rPr>
          <w:rStyle w:val="jlqj4b"/>
          <w:rFonts w:cs="Times New Roman"/>
          <w:szCs w:val="24"/>
          <w:lang w:val="sr-Cyrl-CS"/>
        </w:rPr>
        <w:t>о</w:t>
      </w:r>
      <w:r w:rsidRPr="00E84C93">
        <w:rPr>
          <w:rStyle w:val="jlqj4b"/>
          <w:rFonts w:cs="Times New Roman"/>
          <w:szCs w:val="24"/>
          <w:lang w:val="sr-Cyrl-CS"/>
        </w:rPr>
        <w:t xml:space="preserve">љопривредни и др.), Институт </w:t>
      </w:r>
      <w:r w:rsidRPr="00E84C93">
        <w:rPr>
          <w:rFonts w:eastAsia="Calibri" w:cs="Times New Roman"/>
          <w:color w:val="000000"/>
          <w:szCs w:val="24"/>
          <w:lang w:val="sr-Cyrl-CS" w:eastAsia="en-GB"/>
        </w:rPr>
        <w:t xml:space="preserve">за </w:t>
      </w:r>
      <w:r w:rsidR="00E263C9" w:rsidRPr="00E84C93">
        <w:rPr>
          <w:rFonts w:eastAsia="Calibri" w:cs="Times New Roman"/>
          <w:color w:val="000000"/>
          <w:szCs w:val="24"/>
          <w:lang w:val="sr-Cyrl-CS" w:eastAsia="en-GB"/>
        </w:rPr>
        <w:t>водопривреду</w:t>
      </w:r>
      <w:r w:rsidRPr="00E84C93">
        <w:rPr>
          <w:rFonts w:eastAsia="Calibri" w:cs="Times New Roman"/>
          <w:color w:val="000000"/>
          <w:szCs w:val="24"/>
          <w:lang w:val="sr-Cyrl-CS" w:eastAsia="en-GB"/>
        </w:rPr>
        <w:t xml:space="preserve"> „Јарослав Черни</w:t>
      </w:r>
      <w:bookmarkStart w:id="124" w:name="_Hlk145933043"/>
      <w:r w:rsidRPr="00E84C93">
        <w:rPr>
          <w:rFonts w:eastAsia="Calibri" w:cs="Times New Roman"/>
          <w:color w:val="000000"/>
          <w:szCs w:val="24"/>
          <w:lang w:val="sr-Cyrl-CS" w:eastAsia="en-GB"/>
        </w:rPr>
        <w:t>”</w:t>
      </w:r>
      <w:bookmarkEnd w:id="124"/>
      <w:r w:rsidRPr="00E84C93">
        <w:rPr>
          <w:rFonts w:eastAsia="Calibri" w:cs="Times New Roman"/>
          <w:color w:val="000000"/>
          <w:szCs w:val="24"/>
          <w:lang w:val="sr-Cyrl-CS" w:eastAsia="en-GB"/>
        </w:rPr>
        <w:t xml:space="preserve"> и Институт за стандардизацију</w:t>
      </w:r>
      <w:r w:rsidR="00D96D48" w:rsidRPr="00E84C93">
        <w:rPr>
          <w:rFonts w:eastAsia="Calibri" w:cs="Times New Roman"/>
          <w:color w:val="000000"/>
          <w:szCs w:val="24"/>
          <w:lang w:val="sr-Cyrl-CS" w:eastAsia="en-GB"/>
        </w:rPr>
        <w:t xml:space="preserve"> Србије</w:t>
      </w:r>
      <w:r w:rsidRPr="00E84C93">
        <w:rPr>
          <w:rStyle w:val="jlqj4b"/>
          <w:rFonts w:cs="Times New Roman"/>
          <w:szCs w:val="24"/>
          <w:lang w:val="sr-Cyrl-CS"/>
        </w:rPr>
        <w:t xml:space="preserve">. </w:t>
      </w:r>
      <w:r w:rsidR="001B6C96" w:rsidRPr="00E84C93">
        <w:rPr>
          <w:rStyle w:val="jlqj4b"/>
          <w:rFonts w:cs="Times New Roman"/>
          <w:szCs w:val="24"/>
          <w:lang w:val="sr-Cyrl-CS"/>
        </w:rPr>
        <w:t xml:space="preserve">Као посебна </w:t>
      </w:r>
      <w:r w:rsidRPr="00E84C93">
        <w:rPr>
          <w:rStyle w:val="jlqj4b"/>
          <w:rFonts w:cs="Times New Roman"/>
          <w:szCs w:val="24"/>
          <w:lang w:val="sr-Cyrl-CS"/>
        </w:rPr>
        <w:t>циљна група у консултацијама препоз</w:t>
      </w:r>
      <w:r w:rsidR="001B6C96" w:rsidRPr="00E84C93">
        <w:rPr>
          <w:rStyle w:val="jlqj4b"/>
          <w:rFonts w:cs="Times New Roman"/>
          <w:szCs w:val="24"/>
          <w:lang w:val="sr-Cyrl-CS"/>
        </w:rPr>
        <w:t>н</w:t>
      </w:r>
      <w:r w:rsidRPr="00E84C93">
        <w:rPr>
          <w:rStyle w:val="jlqj4b"/>
          <w:rFonts w:cs="Times New Roman"/>
          <w:szCs w:val="24"/>
          <w:lang w:val="sr-Cyrl-CS"/>
        </w:rPr>
        <w:t xml:space="preserve">ати су пољопривредници и жене, </w:t>
      </w:r>
      <w:r w:rsidR="001B6C96" w:rsidRPr="00E84C93">
        <w:rPr>
          <w:rStyle w:val="jlqj4b"/>
          <w:rFonts w:cs="Times New Roman"/>
          <w:szCs w:val="24"/>
          <w:lang w:val="sr-Cyrl-CS"/>
        </w:rPr>
        <w:t xml:space="preserve">организације </w:t>
      </w:r>
      <w:r w:rsidRPr="00E84C93">
        <w:rPr>
          <w:rStyle w:val="jlqj4b"/>
          <w:rFonts w:cs="Times New Roman"/>
          <w:szCs w:val="24"/>
          <w:lang w:val="sr-Cyrl-CS"/>
        </w:rPr>
        <w:t>цивилног друштва, а такође и медији и сами грађани. Такође, као партнер у консултатив</w:t>
      </w:r>
      <w:r w:rsidR="008603D1" w:rsidRPr="00E84C93">
        <w:rPr>
          <w:rStyle w:val="jlqj4b"/>
          <w:rFonts w:cs="Times New Roman"/>
          <w:szCs w:val="24"/>
          <w:lang w:val="sr-Cyrl-CS"/>
        </w:rPr>
        <w:t>н</w:t>
      </w:r>
      <w:r w:rsidRPr="00E84C93">
        <w:rPr>
          <w:rStyle w:val="jlqj4b"/>
          <w:rFonts w:cs="Times New Roman"/>
          <w:szCs w:val="24"/>
          <w:lang w:val="sr-Cyrl-CS"/>
        </w:rPr>
        <w:t>ом процесу препозн</w:t>
      </w:r>
      <w:r w:rsidR="008603D1" w:rsidRPr="00E84C93">
        <w:rPr>
          <w:rStyle w:val="jlqj4b"/>
          <w:rFonts w:cs="Times New Roman"/>
          <w:szCs w:val="24"/>
          <w:lang w:val="sr-Cyrl-CS"/>
        </w:rPr>
        <w:t>а</w:t>
      </w:r>
      <w:r w:rsidRPr="00E84C93">
        <w:rPr>
          <w:rStyle w:val="jlqj4b"/>
          <w:rFonts w:cs="Times New Roman"/>
          <w:szCs w:val="24"/>
          <w:lang w:val="sr-Cyrl-CS"/>
        </w:rPr>
        <w:t>та је и донаторска заједница у Републици Србији (</w:t>
      </w:r>
      <w:r w:rsidRPr="00E84C93">
        <w:rPr>
          <w:rFonts w:eastAsia="Calibri" w:cs="Times New Roman"/>
          <w:color w:val="000000"/>
          <w:szCs w:val="24"/>
          <w:lang w:val="sr-Cyrl-CS" w:eastAsia="en-GB"/>
        </w:rPr>
        <w:t>ЕУ, SIDA, КfW, Народна Република Кина</w:t>
      </w:r>
      <w:r w:rsidR="00AF15AE" w:rsidRPr="00E84C93">
        <w:rPr>
          <w:rFonts w:eastAsia="Calibri" w:cs="Times New Roman"/>
          <w:color w:val="000000"/>
          <w:szCs w:val="24"/>
          <w:lang w:val="sr-Cyrl-CS" w:eastAsia="en-GB"/>
        </w:rPr>
        <w:t>, CEB</w:t>
      </w:r>
      <w:r w:rsidRPr="00E84C93">
        <w:rPr>
          <w:rFonts w:eastAsia="Calibri" w:cs="Times New Roman"/>
          <w:color w:val="000000"/>
          <w:szCs w:val="24"/>
          <w:lang w:val="sr-Cyrl-CS" w:eastAsia="en-GB"/>
        </w:rPr>
        <w:t xml:space="preserve"> и др</w:t>
      </w:r>
      <w:r w:rsidRPr="00E84C93">
        <w:rPr>
          <w:rStyle w:val="jlqj4b"/>
          <w:rFonts w:cs="Times New Roman"/>
          <w:szCs w:val="24"/>
          <w:lang w:val="sr-Cyrl-CS"/>
        </w:rPr>
        <w:t>), с обзиром на значајну подршку коју пружа успостављању система и изгра</w:t>
      </w:r>
      <w:r w:rsidR="008603D1" w:rsidRPr="00E84C93">
        <w:rPr>
          <w:rStyle w:val="jlqj4b"/>
          <w:rFonts w:cs="Times New Roman"/>
          <w:szCs w:val="24"/>
          <w:lang w:val="sr-Cyrl-CS"/>
        </w:rPr>
        <w:t>д</w:t>
      </w:r>
      <w:r w:rsidRPr="00E84C93">
        <w:rPr>
          <w:rStyle w:val="jlqj4b"/>
          <w:rFonts w:cs="Times New Roman"/>
          <w:szCs w:val="24"/>
          <w:lang w:val="sr-Cyrl-CS"/>
        </w:rPr>
        <w:t>њи инфраструктуре у области заштите животне средине.</w:t>
      </w:r>
    </w:p>
    <w:p w14:paraId="6D9F5449" w14:textId="3C29CD34" w:rsidR="00F50D9B" w:rsidRPr="00E84C93" w:rsidRDefault="00F50D9B" w:rsidP="00F50D9B">
      <w:pPr>
        <w:spacing w:after="0"/>
        <w:ind w:firstLine="720"/>
        <w:jc w:val="both"/>
        <w:rPr>
          <w:rStyle w:val="jlqj4b"/>
          <w:rFonts w:cs="Times New Roman"/>
          <w:szCs w:val="24"/>
          <w:lang w:val="sr-Cyrl-CS"/>
        </w:rPr>
      </w:pPr>
      <w:r w:rsidRPr="00E84C93">
        <w:rPr>
          <w:rFonts w:cs="Times New Roman"/>
          <w:szCs w:val="24"/>
          <w:lang w:val="sr-Cyrl-CS"/>
        </w:rPr>
        <w:t>Министарство заштите животне ср</w:t>
      </w:r>
      <w:r w:rsidR="003C2E5D" w:rsidRPr="00E84C93">
        <w:rPr>
          <w:rFonts w:cs="Times New Roman"/>
          <w:szCs w:val="24"/>
          <w:lang w:val="sr-Cyrl-CS"/>
        </w:rPr>
        <w:t>е</w:t>
      </w:r>
      <w:r w:rsidRPr="00E84C93">
        <w:rPr>
          <w:rFonts w:cs="Times New Roman"/>
          <w:szCs w:val="24"/>
          <w:lang w:val="sr-Cyrl-CS"/>
        </w:rPr>
        <w:t>дине, као орган који је координирао израду Програма, успостави</w:t>
      </w:r>
      <w:r w:rsidR="003C2E5D" w:rsidRPr="00E84C93">
        <w:rPr>
          <w:rFonts w:cs="Times New Roman"/>
          <w:szCs w:val="24"/>
          <w:lang w:val="sr-Cyrl-CS"/>
        </w:rPr>
        <w:t>л</w:t>
      </w:r>
      <w:r w:rsidRPr="00E84C93">
        <w:rPr>
          <w:rFonts w:cs="Times New Roman"/>
          <w:szCs w:val="24"/>
          <w:lang w:val="sr-Cyrl-CS"/>
        </w:rPr>
        <w:t>о је и одржава</w:t>
      </w:r>
      <w:r w:rsidR="003C2E5D" w:rsidRPr="00E84C93">
        <w:rPr>
          <w:rFonts w:cs="Times New Roman"/>
          <w:szCs w:val="24"/>
          <w:lang w:val="sr-Cyrl-CS"/>
        </w:rPr>
        <w:t>л</w:t>
      </w:r>
      <w:r w:rsidRPr="00E84C93">
        <w:rPr>
          <w:rFonts w:cs="Times New Roman"/>
          <w:szCs w:val="24"/>
          <w:lang w:val="sr-Cyrl-CS"/>
        </w:rPr>
        <w:t xml:space="preserve">о конструктивну комуникацију са заинтересованим странама током припреме анализа у оквиру израде Програма. </w:t>
      </w:r>
    </w:p>
    <w:p w14:paraId="49DEE21C" w14:textId="64DE49E4" w:rsidR="00C414EB" w:rsidRPr="00E84C93" w:rsidRDefault="00F50D9B" w:rsidP="00C414EB">
      <w:pPr>
        <w:spacing w:after="0"/>
        <w:ind w:firstLine="720"/>
        <w:jc w:val="both"/>
        <w:rPr>
          <w:rFonts w:cs="Times New Roman"/>
          <w:szCs w:val="24"/>
          <w:lang w:val="sr-Cyrl-CS"/>
        </w:rPr>
      </w:pPr>
      <w:r w:rsidRPr="00E84C93">
        <w:rPr>
          <w:rStyle w:val="jlqj4b"/>
          <w:rFonts w:cs="Times New Roman"/>
          <w:szCs w:val="24"/>
          <w:lang w:val="sr-Cyrl-CS"/>
        </w:rPr>
        <w:t xml:space="preserve">Изради </w:t>
      </w:r>
      <w:r w:rsidR="00D07444" w:rsidRPr="00E84C93">
        <w:rPr>
          <w:rStyle w:val="jlqj4b"/>
          <w:rFonts w:cs="Times New Roman"/>
          <w:szCs w:val="24"/>
          <w:lang w:val="sr-Cyrl-CS"/>
        </w:rPr>
        <w:t>П</w:t>
      </w:r>
      <w:r w:rsidRPr="00E84C93">
        <w:rPr>
          <w:rStyle w:val="jlqj4b"/>
          <w:rFonts w:cs="Times New Roman"/>
          <w:szCs w:val="24"/>
          <w:lang w:val="sr-Cyrl-CS"/>
        </w:rPr>
        <w:t xml:space="preserve">рограма претходила је израда </w:t>
      </w:r>
      <w:r w:rsidRPr="00E84C93">
        <w:rPr>
          <w:rStyle w:val="jlqj4b"/>
          <w:rFonts w:cs="Times New Roman"/>
          <w:i/>
          <w:iCs/>
          <w:szCs w:val="24"/>
          <w:lang w:val="sr-Cyrl-CS"/>
        </w:rPr>
        <w:t>ex ante</w:t>
      </w:r>
      <w:r w:rsidRPr="00E84C93">
        <w:rPr>
          <w:rStyle w:val="jlqj4b"/>
          <w:rFonts w:cs="Times New Roman"/>
          <w:szCs w:val="24"/>
          <w:lang w:val="sr-Cyrl-CS"/>
        </w:rPr>
        <w:t xml:space="preserve"> анализе која је припремљена уз подршку Програма за развој Уједињених нација (</w:t>
      </w:r>
      <w:hyperlink r:id="rId12" w:history="1">
        <w:r w:rsidRPr="00E84C93">
          <w:rPr>
            <w:rFonts w:cs="Times New Roman"/>
            <w:i/>
            <w:iCs/>
            <w:szCs w:val="24"/>
            <w:lang w:val="sr-Cyrl-CS"/>
          </w:rPr>
          <w:t>United Nations Development Programme</w:t>
        </w:r>
      </w:hyperlink>
      <w:r w:rsidRPr="00E84C93">
        <w:rPr>
          <w:lang w:val="sr-Cyrl-CS"/>
        </w:rPr>
        <w:t>/</w:t>
      </w:r>
      <w:r w:rsidRPr="00E84C93">
        <w:rPr>
          <w:rStyle w:val="jlqj4b"/>
          <w:rFonts w:cs="Times New Roman"/>
          <w:szCs w:val="24"/>
          <w:lang w:val="sr-Cyrl-CS"/>
        </w:rPr>
        <w:t xml:space="preserve">UNDP), при чему су коришћени </w:t>
      </w:r>
      <w:r w:rsidRPr="00E84C93">
        <w:rPr>
          <w:rFonts w:cs="Times New Roman"/>
          <w:szCs w:val="24"/>
          <w:lang w:val="sr-Cyrl-CS"/>
        </w:rPr>
        <w:t>налази и препоруке из студије спроведене у оквиру Фазе 2 Пројекта „Подршка програму развоја инфраструктуре за заштиту животне средине”</w:t>
      </w:r>
      <w:r w:rsidRPr="00E84C93">
        <w:rPr>
          <w:rFonts w:cs="Times New Roman"/>
          <w:szCs w:val="24"/>
          <w:lang w:val="sr-Cyrl-CS" w:bidi="en-US"/>
        </w:rPr>
        <w:t xml:space="preserve"> (</w:t>
      </w:r>
      <w:r w:rsidRPr="00E84C93">
        <w:rPr>
          <w:rFonts w:cs="Times New Roman"/>
          <w:szCs w:val="24"/>
          <w:lang w:val="sr-Cyrl-CS"/>
        </w:rPr>
        <w:t>EIPS2), која је завршена у децембру 2020. године. Прва студија за процену потенцијала различитих опција за управљање муљем је израђена 2015. године уз подршку Пројекта „Подршка програму развоја инфраструктуре за заштиту животне средине”</w:t>
      </w:r>
      <w:r w:rsidRPr="00E84C93">
        <w:rPr>
          <w:rFonts w:cs="Times New Roman"/>
          <w:szCs w:val="24"/>
          <w:lang w:val="sr-Cyrl-CS" w:bidi="en-US"/>
        </w:rPr>
        <w:t xml:space="preserve"> (</w:t>
      </w:r>
      <w:r w:rsidRPr="00E84C93">
        <w:rPr>
          <w:rFonts w:cs="Times New Roman"/>
          <w:szCs w:val="24"/>
          <w:lang w:val="sr-Cyrl-CS"/>
        </w:rPr>
        <w:t xml:space="preserve">EIPS1), а од децембра 2018. </w:t>
      </w:r>
      <w:r w:rsidRPr="00E84C93">
        <w:rPr>
          <w:rFonts w:cs="Times New Roman"/>
          <w:szCs w:val="24"/>
          <w:lang w:val="sr-Cyrl-CS"/>
        </w:rPr>
        <w:lastRenderedPageBreak/>
        <w:t>године до јуна 20</w:t>
      </w:r>
      <w:r w:rsidR="001B6C96" w:rsidRPr="00E84C93">
        <w:rPr>
          <w:rFonts w:cs="Times New Roman"/>
          <w:szCs w:val="24"/>
          <w:lang w:val="sr-Cyrl-CS"/>
        </w:rPr>
        <w:t>1</w:t>
      </w:r>
      <w:r w:rsidRPr="00E84C93">
        <w:rPr>
          <w:rFonts w:cs="Times New Roman"/>
          <w:szCs w:val="24"/>
          <w:lang w:val="sr-Cyrl-CS"/>
        </w:rPr>
        <w:t xml:space="preserve">9. године разматране су полазне основе за </w:t>
      </w:r>
      <w:r w:rsidR="00D07444" w:rsidRPr="00E84C93">
        <w:rPr>
          <w:rFonts w:cs="Times New Roman"/>
          <w:szCs w:val="24"/>
          <w:lang w:val="sr-Cyrl-CS"/>
        </w:rPr>
        <w:t xml:space="preserve">израду Националне </w:t>
      </w:r>
      <w:r w:rsidRPr="00E84C93">
        <w:rPr>
          <w:rFonts w:cs="Times New Roman"/>
          <w:szCs w:val="24"/>
          <w:lang w:val="sr-Cyrl-CS"/>
        </w:rPr>
        <w:t xml:space="preserve">стратегије управљања </w:t>
      </w:r>
      <w:r w:rsidR="00D07444" w:rsidRPr="00E84C93">
        <w:rPr>
          <w:rFonts w:cs="Times New Roman"/>
          <w:szCs w:val="24"/>
          <w:lang w:val="sr-Cyrl-CS"/>
        </w:rPr>
        <w:t xml:space="preserve">отпадним </w:t>
      </w:r>
      <w:r w:rsidRPr="00E84C93">
        <w:rPr>
          <w:rFonts w:cs="Times New Roman"/>
          <w:szCs w:val="24"/>
          <w:lang w:val="sr-Cyrl-CS"/>
        </w:rPr>
        <w:t>муљем у Србији.</w:t>
      </w:r>
      <w:r w:rsidR="00C414EB" w:rsidRPr="00E84C93">
        <w:rPr>
          <w:rFonts w:cs="Times New Roman"/>
          <w:szCs w:val="24"/>
          <w:lang w:val="sr-Cyrl-CS"/>
        </w:rPr>
        <w:t xml:space="preserve"> </w:t>
      </w:r>
    </w:p>
    <w:p w14:paraId="5CA3B0E4" w14:textId="27848B69" w:rsidR="00F50D9B" w:rsidRPr="00E84C93" w:rsidRDefault="00C414EB" w:rsidP="00C414EB">
      <w:pPr>
        <w:spacing w:after="0"/>
        <w:ind w:firstLine="720"/>
        <w:jc w:val="both"/>
        <w:rPr>
          <w:rStyle w:val="jlqj4b"/>
          <w:rFonts w:cs="Times New Roman"/>
          <w:szCs w:val="24"/>
          <w:lang w:val="sr-Cyrl-CS"/>
        </w:rPr>
      </w:pPr>
      <w:r w:rsidRPr="00E84C93">
        <w:rPr>
          <w:rStyle w:val="jlqj4b"/>
          <w:rFonts w:cs="Times New Roman"/>
          <w:szCs w:val="24"/>
          <w:lang w:val="sr-Cyrl-CS"/>
        </w:rPr>
        <w:t>Путем различитих активности и применом</w:t>
      </w:r>
      <w:r w:rsidR="00F50D9B" w:rsidRPr="00E84C93">
        <w:rPr>
          <w:rStyle w:val="jlqj4b"/>
          <w:rFonts w:cs="Times New Roman"/>
          <w:szCs w:val="24"/>
          <w:lang w:val="sr-Cyrl-CS"/>
        </w:rPr>
        <w:t xml:space="preserve"> различитих метода консултација (састанци, фокус групе, писана комуникација) у консултативном процесу су прикупљени подаци и информ</w:t>
      </w:r>
      <w:r w:rsidR="00E263C9" w:rsidRPr="00E84C93">
        <w:rPr>
          <w:rStyle w:val="jlqj4b"/>
          <w:rFonts w:cs="Times New Roman"/>
          <w:szCs w:val="24"/>
          <w:lang w:val="sr-Cyrl-CS"/>
        </w:rPr>
        <w:t>а</w:t>
      </w:r>
      <w:r w:rsidR="00F50D9B" w:rsidRPr="00E84C93">
        <w:rPr>
          <w:rStyle w:val="jlqj4b"/>
          <w:rFonts w:cs="Times New Roman"/>
          <w:szCs w:val="24"/>
          <w:lang w:val="sr-Cyrl-CS"/>
        </w:rPr>
        <w:t>ције потребне за анализу постој</w:t>
      </w:r>
      <w:r w:rsidR="00E263C9" w:rsidRPr="00E84C93">
        <w:rPr>
          <w:rStyle w:val="jlqj4b"/>
          <w:rFonts w:cs="Times New Roman"/>
          <w:szCs w:val="24"/>
          <w:lang w:val="sr-Cyrl-CS"/>
        </w:rPr>
        <w:t>е</w:t>
      </w:r>
      <w:r w:rsidR="00F50D9B" w:rsidRPr="00E84C93">
        <w:rPr>
          <w:rStyle w:val="jlqj4b"/>
          <w:rFonts w:cs="Times New Roman"/>
          <w:szCs w:val="24"/>
          <w:lang w:val="sr-Cyrl-CS"/>
        </w:rPr>
        <w:t xml:space="preserve">ћег стања, израду пројекција будућег стања, као и за разматрање потенцијала различитих опција за управљање </w:t>
      </w:r>
      <w:r w:rsidR="00E263C9" w:rsidRPr="00E84C93">
        <w:rPr>
          <w:rStyle w:val="jlqj4b"/>
          <w:rFonts w:cs="Times New Roman"/>
          <w:szCs w:val="24"/>
          <w:lang w:val="sr-Cyrl-CS"/>
        </w:rPr>
        <w:t>муљем</w:t>
      </w:r>
      <w:r w:rsidR="00F50D9B" w:rsidRPr="00E84C93">
        <w:rPr>
          <w:rStyle w:val="jlqj4b"/>
          <w:rFonts w:cs="Times New Roman"/>
          <w:szCs w:val="24"/>
          <w:lang w:val="sr-Cyrl-CS"/>
        </w:rPr>
        <w:t xml:space="preserve">. Такође, кроз консултативни процес размотрене су све могућности за третман и одлагање муља и размењена су мишљења и ставови заинтересованих страна о избору најповољнијих решења на основу којих су предложени циљеви и мере за успостављање система управљања муљем. </w:t>
      </w:r>
    </w:p>
    <w:p w14:paraId="0EC5FDE3" w14:textId="586407EB" w:rsidR="00F50D9B" w:rsidRPr="00E84C93" w:rsidRDefault="00CC3EFA" w:rsidP="00F50D9B">
      <w:pPr>
        <w:spacing w:after="0"/>
        <w:ind w:firstLine="720"/>
        <w:jc w:val="both"/>
        <w:rPr>
          <w:rStyle w:val="jlqj4b"/>
          <w:rFonts w:cs="Times New Roman"/>
          <w:szCs w:val="24"/>
          <w:lang w:val="sr-Cyrl-CS"/>
        </w:rPr>
      </w:pPr>
      <w:r w:rsidRPr="00E84C93">
        <w:rPr>
          <w:rStyle w:val="jlqj4b"/>
          <w:rFonts w:cs="Times New Roman"/>
          <w:szCs w:val="24"/>
          <w:lang w:val="sr-Cyrl-CS"/>
        </w:rPr>
        <w:t>За израду Програма, Решењем Министа</w:t>
      </w:r>
      <w:r w:rsidR="000022B1">
        <w:rPr>
          <w:rStyle w:val="jlqj4b"/>
          <w:rFonts w:cs="Times New Roman"/>
          <w:szCs w:val="24"/>
          <w:lang w:val="sr-Cyrl-CS"/>
        </w:rPr>
        <w:t>р</w:t>
      </w:r>
      <w:r w:rsidRPr="00E84C93">
        <w:rPr>
          <w:rStyle w:val="jlqj4b"/>
          <w:rFonts w:cs="Times New Roman"/>
          <w:szCs w:val="24"/>
          <w:lang w:val="sr-Cyrl-CS"/>
        </w:rPr>
        <w:t>ства заштите животне средине број: 119-01-236/2021-0</w:t>
      </w:r>
      <w:r w:rsidR="00C444FB" w:rsidRPr="00E84C93">
        <w:rPr>
          <w:rStyle w:val="jlqj4b"/>
          <w:rFonts w:cs="Times New Roman"/>
          <w:szCs w:val="24"/>
          <w:lang w:val="sr-Cyrl-CS"/>
        </w:rPr>
        <w:t xml:space="preserve">6 од 27. октобра </w:t>
      </w:r>
      <w:r w:rsidRPr="00E84C93">
        <w:rPr>
          <w:rStyle w:val="jlqj4b"/>
          <w:rFonts w:cs="Times New Roman"/>
          <w:szCs w:val="24"/>
          <w:lang w:val="sr-Cyrl-CS"/>
        </w:rPr>
        <w:t>2021. године, о</w:t>
      </w:r>
      <w:r w:rsidR="0041088E" w:rsidRPr="00E84C93">
        <w:rPr>
          <w:rStyle w:val="jlqj4b"/>
          <w:rFonts w:cs="Times New Roman"/>
          <w:szCs w:val="24"/>
          <w:lang w:val="sr-Cyrl-CS"/>
        </w:rPr>
        <w:t>бразована</w:t>
      </w:r>
      <w:r w:rsidRPr="00E84C93">
        <w:rPr>
          <w:rStyle w:val="jlqj4b"/>
          <w:rFonts w:cs="Times New Roman"/>
          <w:szCs w:val="24"/>
          <w:lang w:val="sr-Cyrl-CS"/>
        </w:rPr>
        <w:t xml:space="preserve"> је Радна група коју чине представници Министарства заштите животне средине, Министарства пољопривреде, шумарства и водопривреде</w:t>
      </w:r>
      <w:r w:rsidR="00AF15AE" w:rsidRPr="00E84C93">
        <w:rPr>
          <w:rStyle w:val="jlqj4b"/>
          <w:rFonts w:cs="Times New Roman"/>
          <w:szCs w:val="24"/>
          <w:lang w:val="sr-Cyrl-CS"/>
        </w:rPr>
        <w:t xml:space="preserve"> </w:t>
      </w:r>
      <w:r w:rsidR="00AF15AE" w:rsidRPr="00E84C93">
        <w:rPr>
          <w:rStyle w:val="jlqj4b"/>
          <w:rFonts w:ascii="Courier New" w:hAnsi="Courier New" w:cs="Courier New"/>
          <w:szCs w:val="24"/>
          <w:lang w:val="sr-Cyrl-CS"/>
        </w:rPr>
        <w:t>-</w:t>
      </w:r>
      <w:r w:rsidR="00C17713" w:rsidRPr="00E84C93">
        <w:rPr>
          <w:rStyle w:val="jlqj4b"/>
          <w:rFonts w:cs="Times New Roman"/>
          <w:szCs w:val="24"/>
          <w:lang w:val="sr-Cyrl-CS"/>
        </w:rPr>
        <w:t xml:space="preserve"> </w:t>
      </w:r>
      <w:r w:rsidR="00E263C9" w:rsidRPr="00E84C93">
        <w:rPr>
          <w:rStyle w:val="jlqj4b"/>
          <w:rFonts w:cs="Times New Roman"/>
          <w:szCs w:val="24"/>
          <w:lang w:val="sr-Cyrl-CS"/>
        </w:rPr>
        <w:t xml:space="preserve">Републичка </w:t>
      </w:r>
      <w:r w:rsidRPr="00E84C93">
        <w:rPr>
          <w:rStyle w:val="jlqj4b"/>
          <w:rFonts w:cs="Times New Roman"/>
          <w:szCs w:val="24"/>
          <w:lang w:val="sr-Cyrl-CS"/>
        </w:rPr>
        <w:t>дирекција за воде</w:t>
      </w:r>
      <w:r w:rsidR="00AF15AE" w:rsidRPr="00E84C93">
        <w:rPr>
          <w:rStyle w:val="jlqj4b"/>
          <w:rFonts w:cs="Times New Roman"/>
          <w:szCs w:val="24"/>
          <w:lang w:val="sr-Cyrl-CS"/>
        </w:rPr>
        <w:t xml:space="preserve"> и Управа за пољопривредно земљиште</w:t>
      </w:r>
      <w:r w:rsidRPr="00E84C93">
        <w:rPr>
          <w:rStyle w:val="jlqj4b"/>
          <w:rFonts w:cs="Times New Roman"/>
          <w:szCs w:val="24"/>
          <w:lang w:val="sr-Cyrl-CS"/>
        </w:rPr>
        <w:t>, Министарства грађевинарства, саобраћаја и инфраструктуре, Министарства рударства и енергетике, Агенције за заштиту животне средине, Секретариј</w:t>
      </w:r>
      <w:r w:rsidR="00C444FB" w:rsidRPr="00E84C93">
        <w:rPr>
          <w:rStyle w:val="jlqj4b"/>
          <w:rFonts w:cs="Times New Roman"/>
          <w:szCs w:val="24"/>
          <w:lang w:val="sr-Cyrl-CS"/>
        </w:rPr>
        <w:t>ата за заштиту животне средине г</w:t>
      </w:r>
      <w:r w:rsidRPr="00E84C93">
        <w:rPr>
          <w:rStyle w:val="jlqj4b"/>
          <w:rFonts w:cs="Times New Roman"/>
          <w:szCs w:val="24"/>
          <w:lang w:val="sr-Cyrl-CS"/>
        </w:rPr>
        <w:t xml:space="preserve">рада Београда, Технолошко-металуршког факултета Универзитета у Београду и Института за водопривреду „Јарослав Черни”. </w:t>
      </w:r>
      <w:r w:rsidR="0041088E" w:rsidRPr="00E84C93">
        <w:rPr>
          <w:rStyle w:val="jlqj4b"/>
          <w:rFonts w:cs="Times New Roman"/>
          <w:szCs w:val="24"/>
          <w:lang w:val="sr-Cyrl-CS"/>
        </w:rPr>
        <w:t xml:space="preserve">Задатак </w:t>
      </w:r>
      <w:r w:rsidRPr="00E84C93">
        <w:rPr>
          <w:rStyle w:val="jlqj4b"/>
          <w:rFonts w:cs="Times New Roman"/>
          <w:szCs w:val="24"/>
          <w:lang w:val="sr-Cyrl-CS"/>
        </w:rPr>
        <w:t>Радн</w:t>
      </w:r>
      <w:r w:rsidR="0041088E" w:rsidRPr="00E84C93">
        <w:rPr>
          <w:rStyle w:val="jlqj4b"/>
          <w:rFonts w:cs="Times New Roman"/>
          <w:szCs w:val="24"/>
          <w:lang w:val="sr-Cyrl-CS"/>
        </w:rPr>
        <w:t>е</w:t>
      </w:r>
      <w:r w:rsidRPr="00E84C93">
        <w:rPr>
          <w:rStyle w:val="jlqj4b"/>
          <w:rFonts w:cs="Times New Roman"/>
          <w:szCs w:val="24"/>
          <w:lang w:val="sr-Cyrl-CS"/>
        </w:rPr>
        <w:t xml:space="preserve"> група је да припреми предлог Програма</w:t>
      </w:r>
      <w:r w:rsidR="00637A58" w:rsidRPr="00E84C93">
        <w:rPr>
          <w:rStyle w:val="jlqj4b"/>
          <w:rFonts w:cs="Times New Roman"/>
          <w:szCs w:val="24"/>
          <w:lang w:val="sr-Cyrl-CS"/>
        </w:rPr>
        <w:t>.</w:t>
      </w:r>
      <w:r w:rsidRPr="00E84C93">
        <w:rPr>
          <w:rStyle w:val="jlqj4b"/>
          <w:rFonts w:cs="Times New Roman"/>
          <w:szCs w:val="24"/>
          <w:lang w:val="sr-Cyrl-CS"/>
        </w:rPr>
        <w:t xml:space="preserve"> Од октобра 2021. године, Радна група је спровела консултације кроз низ одржаних састанака</w:t>
      </w:r>
      <w:r w:rsidR="00F50D9B" w:rsidRPr="00E84C93">
        <w:rPr>
          <w:rStyle w:val="jlqj4b"/>
          <w:rFonts w:cs="Times New Roman"/>
          <w:szCs w:val="24"/>
          <w:lang w:val="sr-Cyrl-CS"/>
        </w:rPr>
        <w:t xml:space="preserve">. </w:t>
      </w:r>
    </w:p>
    <w:p w14:paraId="4E5FCC08" w14:textId="2B324CF0" w:rsidR="00C57A19" w:rsidRPr="00E84C93" w:rsidRDefault="00C57A19" w:rsidP="006E5F1F">
      <w:pPr>
        <w:jc w:val="both"/>
        <w:rPr>
          <w:lang w:val="sr-Cyrl-CS"/>
        </w:rPr>
      </w:pPr>
    </w:p>
    <w:p w14:paraId="497E4484" w14:textId="24DC6E30" w:rsidR="006E7EA4" w:rsidRPr="00E84C93" w:rsidRDefault="006E7EA4" w:rsidP="000C54C0">
      <w:pPr>
        <w:pStyle w:val="Heading1"/>
        <w:numPr>
          <w:ilvl w:val="0"/>
          <w:numId w:val="8"/>
        </w:numPr>
        <w:spacing w:before="0"/>
        <w:rPr>
          <w:lang w:val="sr-Cyrl-CS"/>
        </w:rPr>
      </w:pPr>
      <w:bookmarkStart w:id="125" w:name="_Toc99920920"/>
      <w:r w:rsidRPr="00E84C93">
        <w:rPr>
          <w:lang w:val="sr-Cyrl-CS"/>
        </w:rPr>
        <w:t>АНАЛИЗА РИЗИКА</w:t>
      </w:r>
      <w:bookmarkEnd w:id="125"/>
    </w:p>
    <w:p w14:paraId="0C176861" w14:textId="77777777" w:rsidR="006E7EA4" w:rsidRPr="00E84C93" w:rsidRDefault="006E7EA4" w:rsidP="006E7EA4">
      <w:pPr>
        <w:spacing w:after="0"/>
        <w:rPr>
          <w:lang w:val="sr-Cyrl-CS"/>
        </w:rPr>
      </w:pPr>
    </w:p>
    <w:p w14:paraId="790BFE58" w14:textId="77777777" w:rsidR="006E7EA4" w:rsidRPr="00E84C93" w:rsidRDefault="006E7EA4" w:rsidP="006E7EA4">
      <w:pPr>
        <w:spacing w:after="0"/>
        <w:ind w:firstLine="720"/>
        <w:rPr>
          <w:rFonts w:cs="Times New Roman"/>
          <w:szCs w:val="24"/>
          <w:lang w:val="sr-Cyrl-CS"/>
        </w:rPr>
      </w:pPr>
      <w:r w:rsidRPr="00E84C93">
        <w:rPr>
          <w:rFonts w:cs="Times New Roman"/>
          <w:szCs w:val="24"/>
          <w:lang w:val="sr-Cyrl-CS"/>
        </w:rPr>
        <w:t>Ризици за спровођење Програма су следећи:</w:t>
      </w:r>
    </w:p>
    <w:p w14:paraId="5C295D25" w14:textId="36F84FA7" w:rsidR="006E7EA4" w:rsidRPr="00E84C93" w:rsidRDefault="006E7EA4" w:rsidP="00D75873">
      <w:pPr>
        <w:pStyle w:val="ListParagraph"/>
        <w:numPr>
          <w:ilvl w:val="0"/>
          <w:numId w:val="10"/>
        </w:numPr>
        <w:tabs>
          <w:tab w:val="left" w:pos="1134"/>
        </w:tabs>
        <w:spacing w:after="0" w:line="259" w:lineRule="auto"/>
        <w:ind w:left="0" w:firstLine="720"/>
        <w:rPr>
          <w:rFonts w:cs="Times New Roman"/>
          <w:szCs w:val="24"/>
          <w:lang w:val="sr-Cyrl-CS"/>
        </w:rPr>
      </w:pPr>
      <w:r w:rsidRPr="00E84C93">
        <w:rPr>
          <w:rFonts w:cs="Times New Roman"/>
          <w:szCs w:val="24"/>
          <w:lang w:val="sr-Cyrl-CS"/>
        </w:rPr>
        <w:t>измене временског оквира за спровођење Програма као резултат преговора са ЕУ о поглављу 27</w:t>
      </w:r>
      <w:r w:rsidR="00C444FB" w:rsidRPr="00E84C93">
        <w:rPr>
          <w:rFonts w:cs="Times New Roman"/>
          <w:szCs w:val="24"/>
          <w:lang w:val="sr-Cyrl-CS"/>
        </w:rPr>
        <w:t>;</w:t>
      </w:r>
    </w:p>
    <w:p w14:paraId="39E732ED" w14:textId="213EDCB8" w:rsidR="006E7EA4" w:rsidRPr="00E84C93" w:rsidRDefault="006E7EA4"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недостатак финансијских средстава</w:t>
      </w:r>
      <w:r w:rsidR="00C444FB" w:rsidRPr="00E84C93">
        <w:rPr>
          <w:rFonts w:cs="Times New Roman"/>
          <w:szCs w:val="24"/>
          <w:lang w:val="sr-Cyrl-CS"/>
        </w:rPr>
        <w:t>;</w:t>
      </w:r>
    </w:p>
    <w:p w14:paraId="759989CF" w14:textId="4DB9D7C1" w:rsidR="006E7EA4" w:rsidRPr="00E84C93" w:rsidRDefault="006E7EA4"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проблеми са добијањем помоћи из ЕУ ИПА фондова</w:t>
      </w:r>
      <w:r w:rsidR="00C444FB" w:rsidRPr="00E84C93">
        <w:rPr>
          <w:rFonts w:cs="Times New Roman"/>
          <w:szCs w:val="24"/>
          <w:lang w:val="sr-Cyrl-CS"/>
        </w:rPr>
        <w:t>;</w:t>
      </w:r>
    </w:p>
    <w:p w14:paraId="1E48B0A1" w14:textId="012B5A4E" w:rsidR="006E7EA4" w:rsidRPr="00E84C93" w:rsidRDefault="006E7EA4"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проблеми са добијањем кредита међународних финансијских институција</w:t>
      </w:r>
      <w:r w:rsidR="00C444FB" w:rsidRPr="00E84C93">
        <w:rPr>
          <w:rFonts w:cs="Times New Roman"/>
          <w:szCs w:val="24"/>
          <w:lang w:val="sr-Cyrl-CS"/>
        </w:rPr>
        <w:t>;</w:t>
      </w:r>
    </w:p>
    <w:p w14:paraId="65ACCFA7" w14:textId="6A6D03AB" w:rsidR="006E7EA4" w:rsidRPr="00E84C93" w:rsidRDefault="00BD0D08"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 xml:space="preserve">законска ограничења због </w:t>
      </w:r>
      <w:r w:rsidR="006E7EA4" w:rsidRPr="00E84C93">
        <w:rPr>
          <w:rFonts w:cs="Times New Roman"/>
          <w:szCs w:val="24"/>
          <w:lang w:val="sr-Cyrl-CS"/>
        </w:rPr>
        <w:t>кашњењ</w:t>
      </w:r>
      <w:r w:rsidRPr="00E84C93">
        <w:rPr>
          <w:rFonts w:cs="Times New Roman"/>
          <w:szCs w:val="24"/>
          <w:lang w:val="sr-Cyrl-CS"/>
        </w:rPr>
        <w:t>а</w:t>
      </w:r>
      <w:r w:rsidR="006E7EA4" w:rsidRPr="00E84C93">
        <w:rPr>
          <w:rFonts w:cs="Times New Roman"/>
          <w:szCs w:val="24"/>
          <w:lang w:val="sr-Cyrl-CS"/>
        </w:rPr>
        <w:t xml:space="preserve"> у усклађивању прописа са ЕУ директивама</w:t>
      </w:r>
      <w:r w:rsidR="00C444FB" w:rsidRPr="00E84C93">
        <w:rPr>
          <w:rFonts w:cs="Times New Roman"/>
          <w:szCs w:val="24"/>
          <w:lang w:val="sr-Cyrl-CS"/>
        </w:rPr>
        <w:t>;</w:t>
      </w:r>
    </w:p>
    <w:p w14:paraId="31A7183B" w14:textId="0EEC5788" w:rsidR="006E7EA4" w:rsidRPr="00E84C93" w:rsidRDefault="006E7EA4" w:rsidP="00D75873">
      <w:pPr>
        <w:pStyle w:val="ListParagraph"/>
        <w:numPr>
          <w:ilvl w:val="0"/>
          <w:numId w:val="10"/>
        </w:numPr>
        <w:tabs>
          <w:tab w:val="left" w:pos="1134"/>
        </w:tabs>
        <w:spacing w:after="0" w:line="259" w:lineRule="auto"/>
        <w:ind w:left="0" w:firstLine="720"/>
        <w:rPr>
          <w:rFonts w:cs="Times New Roman"/>
          <w:szCs w:val="24"/>
          <w:lang w:val="sr-Cyrl-CS"/>
        </w:rPr>
      </w:pPr>
      <w:r w:rsidRPr="00E84C93">
        <w:rPr>
          <w:rFonts w:cs="Times New Roman"/>
          <w:szCs w:val="24"/>
          <w:lang w:val="sr-Cyrl-CS"/>
        </w:rPr>
        <w:t>недовољни административни капацитети Министарства</w:t>
      </w:r>
      <w:r w:rsidR="0041088E" w:rsidRPr="00E84C93">
        <w:rPr>
          <w:rFonts w:cs="Times New Roman"/>
          <w:szCs w:val="24"/>
          <w:lang w:val="sr-Cyrl-CS"/>
        </w:rPr>
        <w:t xml:space="preserve"> заштите животне средине</w:t>
      </w:r>
      <w:r w:rsidRPr="00E84C93">
        <w:rPr>
          <w:rFonts w:cs="Times New Roman"/>
          <w:szCs w:val="24"/>
          <w:lang w:val="sr-Cyrl-CS"/>
        </w:rPr>
        <w:t xml:space="preserve">, </w:t>
      </w:r>
      <w:r w:rsidR="0041088E" w:rsidRPr="00E84C93">
        <w:rPr>
          <w:rFonts w:cs="Times New Roman"/>
          <w:szCs w:val="24"/>
          <w:lang w:val="sr-Cyrl-CS"/>
        </w:rPr>
        <w:t>А</w:t>
      </w:r>
      <w:r w:rsidR="00C444FB" w:rsidRPr="00E84C93">
        <w:rPr>
          <w:rFonts w:cs="Times New Roman"/>
          <w:szCs w:val="24"/>
          <w:lang w:val="sr-Cyrl-CS"/>
        </w:rPr>
        <w:t>П</w:t>
      </w:r>
      <w:r w:rsidRPr="00E84C93">
        <w:rPr>
          <w:rFonts w:cs="Times New Roman"/>
          <w:szCs w:val="24"/>
          <w:lang w:val="sr-Cyrl-CS"/>
        </w:rPr>
        <w:t xml:space="preserve"> и </w:t>
      </w:r>
      <w:r w:rsidR="0041088E" w:rsidRPr="00E84C93">
        <w:rPr>
          <w:rFonts w:cs="Times New Roman"/>
          <w:szCs w:val="24"/>
          <w:lang w:val="sr-Cyrl-CS"/>
        </w:rPr>
        <w:t xml:space="preserve">јединица </w:t>
      </w:r>
      <w:r w:rsidRPr="00E84C93">
        <w:rPr>
          <w:rFonts w:cs="Times New Roman"/>
          <w:szCs w:val="24"/>
          <w:lang w:val="sr-Cyrl-CS"/>
        </w:rPr>
        <w:t>локалних самоуправа за спровођење мера</w:t>
      </w:r>
      <w:r w:rsidR="005B451E" w:rsidRPr="00E84C93">
        <w:rPr>
          <w:rFonts w:cs="Times New Roman"/>
          <w:szCs w:val="24"/>
          <w:lang w:val="sr-Cyrl-CS"/>
        </w:rPr>
        <w:t>;</w:t>
      </w:r>
    </w:p>
    <w:p w14:paraId="72594BC0" w14:textId="1F0E8F6D" w:rsidR="006E7EA4" w:rsidRPr="00E84C93" w:rsidRDefault="006E7EA4"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недовољни капацитети институција за контролу спровођења мера</w:t>
      </w:r>
      <w:r w:rsidR="005B451E" w:rsidRPr="00E84C93">
        <w:rPr>
          <w:rFonts w:cs="Times New Roman"/>
          <w:szCs w:val="24"/>
          <w:lang w:val="sr-Cyrl-CS"/>
        </w:rPr>
        <w:t>;</w:t>
      </w:r>
    </w:p>
    <w:p w14:paraId="66BBE70E" w14:textId="7F07AD3D" w:rsidR="006E7EA4" w:rsidRPr="00E84C93" w:rsidRDefault="00BD0D08" w:rsidP="00D75873">
      <w:pPr>
        <w:pStyle w:val="ListParagraph"/>
        <w:numPr>
          <w:ilvl w:val="0"/>
          <w:numId w:val="10"/>
        </w:numPr>
        <w:tabs>
          <w:tab w:val="left" w:pos="1134"/>
        </w:tabs>
        <w:spacing w:after="0" w:line="259" w:lineRule="auto"/>
        <w:ind w:left="0" w:firstLine="720"/>
        <w:rPr>
          <w:rFonts w:cs="Times New Roman"/>
          <w:szCs w:val="24"/>
          <w:lang w:val="sr-Cyrl-CS"/>
        </w:rPr>
      </w:pPr>
      <w:r w:rsidRPr="00E84C93">
        <w:rPr>
          <w:rFonts w:cs="Times New Roman"/>
          <w:szCs w:val="24"/>
          <w:lang w:val="sr-Cyrl-CS"/>
        </w:rPr>
        <w:t xml:space="preserve">недовољни капацитети крајњег корисника </w:t>
      </w:r>
      <w:r w:rsidR="006E7EA4" w:rsidRPr="00E84C93">
        <w:rPr>
          <w:rFonts w:cs="Times New Roman"/>
          <w:szCs w:val="24"/>
          <w:lang w:val="sr-Cyrl-CS"/>
        </w:rPr>
        <w:t xml:space="preserve">за успостављање система управљања </w:t>
      </w:r>
      <w:r w:rsidR="0000007B" w:rsidRPr="00E84C93">
        <w:rPr>
          <w:rFonts w:cs="Times New Roman"/>
          <w:szCs w:val="24"/>
          <w:lang w:val="sr-Cyrl-CS"/>
        </w:rPr>
        <w:t>муљем</w:t>
      </w:r>
      <w:r w:rsidR="006E7EA4" w:rsidRPr="00E84C93">
        <w:rPr>
          <w:rFonts w:cs="Times New Roman"/>
          <w:szCs w:val="24"/>
          <w:lang w:val="sr-Cyrl-CS"/>
        </w:rPr>
        <w:t xml:space="preserve"> у локалним и регионалним системима</w:t>
      </w:r>
      <w:r w:rsidR="005B451E" w:rsidRPr="00E84C93">
        <w:rPr>
          <w:rFonts w:cs="Times New Roman"/>
          <w:szCs w:val="24"/>
          <w:lang w:val="sr-Cyrl-CS"/>
        </w:rPr>
        <w:t>;</w:t>
      </w:r>
    </w:p>
    <w:p w14:paraId="519BE9EA" w14:textId="56AD709C" w:rsidR="006E7EA4" w:rsidRPr="00E84C93" w:rsidRDefault="006E7EA4" w:rsidP="00D75873">
      <w:pPr>
        <w:pStyle w:val="ListParagraph"/>
        <w:numPr>
          <w:ilvl w:val="0"/>
          <w:numId w:val="10"/>
        </w:numPr>
        <w:tabs>
          <w:tab w:val="left" w:pos="1134"/>
        </w:tabs>
        <w:spacing w:after="0" w:line="259" w:lineRule="auto"/>
        <w:ind w:left="0" w:firstLine="720"/>
        <w:jc w:val="both"/>
        <w:rPr>
          <w:rFonts w:cs="Times New Roman"/>
          <w:szCs w:val="24"/>
          <w:lang w:val="sr-Cyrl-CS"/>
        </w:rPr>
      </w:pPr>
      <w:r w:rsidRPr="00E84C93">
        <w:rPr>
          <w:rFonts w:cs="Times New Roman"/>
          <w:szCs w:val="24"/>
          <w:lang w:val="sr-Cyrl-CS"/>
        </w:rPr>
        <w:t>значајно кашњење у припреми техничке документације за изградњу инфраструктуре</w:t>
      </w:r>
      <w:r w:rsidR="005B451E" w:rsidRPr="00E84C93">
        <w:rPr>
          <w:rFonts w:cs="Times New Roman"/>
          <w:szCs w:val="24"/>
          <w:lang w:val="sr-Cyrl-CS"/>
        </w:rPr>
        <w:t>;</w:t>
      </w:r>
    </w:p>
    <w:p w14:paraId="1CE2F377" w14:textId="53430977" w:rsidR="006E7EA4" w:rsidRPr="00E84C93" w:rsidRDefault="006E7EA4" w:rsidP="00D75873">
      <w:pPr>
        <w:pStyle w:val="ListParagraph"/>
        <w:numPr>
          <w:ilvl w:val="0"/>
          <w:numId w:val="10"/>
        </w:numPr>
        <w:spacing w:after="0" w:line="259" w:lineRule="auto"/>
        <w:rPr>
          <w:rFonts w:cs="Times New Roman"/>
          <w:szCs w:val="24"/>
          <w:lang w:val="sr-Cyrl-CS"/>
        </w:rPr>
      </w:pPr>
      <w:r w:rsidRPr="00E84C93">
        <w:rPr>
          <w:rFonts w:cs="Times New Roman"/>
          <w:szCs w:val="24"/>
          <w:lang w:val="sr-Cyrl-CS"/>
        </w:rPr>
        <w:t xml:space="preserve">наплата за услуге </w:t>
      </w:r>
      <w:r w:rsidR="0000007B" w:rsidRPr="00E84C93">
        <w:rPr>
          <w:rFonts w:cs="Times New Roman"/>
          <w:szCs w:val="24"/>
          <w:lang w:val="sr-Cyrl-CS"/>
        </w:rPr>
        <w:t>пречишћавања</w:t>
      </w:r>
      <w:r w:rsidRPr="00E84C93">
        <w:rPr>
          <w:rFonts w:cs="Times New Roman"/>
          <w:szCs w:val="24"/>
          <w:lang w:val="sr-Cyrl-CS"/>
        </w:rPr>
        <w:t xml:space="preserve"> отпад</w:t>
      </w:r>
      <w:r w:rsidR="0000007B" w:rsidRPr="00E84C93">
        <w:rPr>
          <w:rFonts w:cs="Times New Roman"/>
          <w:szCs w:val="24"/>
          <w:lang w:val="sr-Cyrl-CS"/>
        </w:rPr>
        <w:t>них вода</w:t>
      </w:r>
      <w:r w:rsidRPr="00E84C93">
        <w:rPr>
          <w:rFonts w:cs="Times New Roman"/>
          <w:szCs w:val="24"/>
          <w:lang w:val="sr-Cyrl-CS"/>
        </w:rPr>
        <w:t xml:space="preserve"> нижа</w:t>
      </w:r>
      <w:r w:rsidR="000D1A73" w:rsidRPr="00E84C93">
        <w:rPr>
          <w:rFonts w:cs="Times New Roman"/>
          <w:szCs w:val="24"/>
          <w:lang w:val="sr-Cyrl-CS"/>
        </w:rPr>
        <w:t xml:space="preserve"> је</w:t>
      </w:r>
      <w:r w:rsidRPr="00E84C93">
        <w:rPr>
          <w:rFonts w:cs="Times New Roman"/>
          <w:szCs w:val="24"/>
          <w:lang w:val="sr-Cyrl-CS"/>
        </w:rPr>
        <w:t xml:space="preserve"> од очекиване</w:t>
      </w:r>
      <w:r w:rsidR="005B451E" w:rsidRPr="00E84C93">
        <w:rPr>
          <w:rFonts w:cs="Times New Roman"/>
          <w:szCs w:val="24"/>
          <w:lang w:val="sr-Cyrl-CS"/>
        </w:rPr>
        <w:t>;</w:t>
      </w:r>
    </w:p>
    <w:p w14:paraId="2197DED3" w14:textId="3D64985B" w:rsidR="0000007B" w:rsidRPr="00E84C93" w:rsidRDefault="00BD0D08" w:rsidP="00D75873">
      <w:pPr>
        <w:pStyle w:val="ListParagraph"/>
        <w:numPr>
          <w:ilvl w:val="0"/>
          <w:numId w:val="10"/>
        </w:numPr>
        <w:tabs>
          <w:tab w:val="left" w:pos="1080"/>
        </w:tabs>
        <w:spacing w:after="0" w:line="259" w:lineRule="auto"/>
        <w:ind w:left="0" w:firstLine="720"/>
        <w:jc w:val="both"/>
        <w:rPr>
          <w:rFonts w:cs="Times New Roman"/>
          <w:szCs w:val="24"/>
          <w:lang w:val="sr-Cyrl-CS"/>
        </w:rPr>
      </w:pPr>
      <w:r w:rsidRPr="00E84C93">
        <w:rPr>
          <w:rFonts w:cs="Times New Roman"/>
          <w:szCs w:val="24"/>
          <w:lang w:val="sr-Cyrl-CS"/>
        </w:rPr>
        <w:lastRenderedPageBreak/>
        <w:t>не</w:t>
      </w:r>
      <w:r w:rsidR="0000007B" w:rsidRPr="00E84C93">
        <w:rPr>
          <w:rFonts w:cs="Times New Roman"/>
          <w:szCs w:val="24"/>
          <w:lang w:val="sr-Cyrl-CS"/>
        </w:rPr>
        <w:t>благовремено доношење одлуке о имплементацији Центара за третман муља/</w:t>
      </w:r>
      <w:r w:rsidR="00224CEA" w:rsidRPr="00E84C93">
        <w:rPr>
          <w:rFonts w:cs="Times New Roman"/>
          <w:szCs w:val="24"/>
          <w:lang w:val="sr-Cyrl-CS" w:bidi="en-US"/>
        </w:rPr>
        <w:t xml:space="preserve"> Регионалних центара </w:t>
      </w:r>
      <w:r w:rsidR="0000007B" w:rsidRPr="00E84C93">
        <w:rPr>
          <w:rFonts w:cs="Times New Roman"/>
          <w:szCs w:val="24"/>
          <w:lang w:val="sr-Cyrl-CS"/>
        </w:rPr>
        <w:t xml:space="preserve">за управљање муљем. </w:t>
      </w:r>
    </w:p>
    <w:p w14:paraId="49A2D9AC" w14:textId="189C0653" w:rsidR="006E7EA4" w:rsidRPr="00E84C93" w:rsidRDefault="006E7EA4" w:rsidP="006E7EA4">
      <w:pPr>
        <w:spacing w:after="0"/>
        <w:ind w:firstLine="720"/>
        <w:jc w:val="both"/>
        <w:rPr>
          <w:rFonts w:cs="Times New Roman"/>
          <w:szCs w:val="24"/>
          <w:lang w:val="sr-Cyrl-CS"/>
        </w:rPr>
      </w:pPr>
      <w:r w:rsidRPr="00E84C93">
        <w:rPr>
          <w:rFonts w:cs="Times New Roman"/>
          <w:szCs w:val="24"/>
          <w:lang w:val="sr-Cyrl-CS"/>
        </w:rPr>
        <w:t>Ризици се могу ублажити редовним праћењем спровођења Програма и правовременим реаговањем и предузимањем мера за ублажавање ризика.</w:t>
      </w:r>
    </w:p>
    <w:p w14:paraId="0785733B" w14:textId="77777777" w:rsidR="006E7EA4" w:rsidRPr="00E84C93" w:rsidRDefault="006E7EA4" w:rsidP="006E7EA4">
      <w:pPr>
        <w:spacing w:after="0"/>
        <w:rPr>
          <w:lang w:val="sr-Cyrl-CS"/>
        </w:rPr>
      </w:pPr>
    </w:p>
    <w:p w14:paraId="21F33A5C" w14:textId="77777777" w:rsidR="00D63B05" w:rsidRPr="00E84C93" w:rsidRDefault="00D63B05" w:rsidP="00D63B05">
      <w:pPr>
        <w:pStyle w:val="Heading1"/>
        <w:numPr>
          <w:ilvl w:val="0"/>
          <w:numId w:val="8"/>
        </w:numPr>
        <w:spacing w:before="0"/>
        <w:rPr>
          <w:lang w:val="sr-Cyrl-CS"/>
        </w:rPr>
      </w:pPr>
      <w:bookmarkStart w:id="126" w:name="_Toc99920921"/>
      <w:r w:rsidRPr="00E84C93">
        <w:rPr>
          <w:lang w:val="sr-Cyrl-CS"/>
        </w:rPr>
        <w:t>ЛИСТА ПРОПИСА КОЈЕ ТРЕБА ИЗМЕНИТИ ИЛИ УСВОЈИТИ РАДИ СПРОВОЂЕЊА ПРОГРАМА</w:t>
      </w:r>
      <w:bookmarkEnd w:id="126"/>
    </w:p>
    <w:p w14:paraId="0B128F93" w14:textId="77777777" w:rsidR="00D63B05" w:rsidRPr="00E84C93" w:rsidRDefault="00D63B05" w:rsidP="00D63B05">
      <w:pPr>
        <w:spacing w:after="0"/>
        <w:rPr>
          <w:lang w:val="sr-Cyrl-CS"/>
        </w:rPr>
      </w:pPr>
    </w:p>
    <w:p w14:paraId="621ABE10" w14:textId="1DF67F73" w:rsidR="00D63B05" w:rsidRPr="00E84C93" w:rsidRDefault="00D63B05" w:rsidP="00D63B05">
      <w:pPr>
        <w:spacing w:after="0"/>
        <w:ind w:firstLine="720"/>
        <w:jc w:val="both"/>
        <w:rPr>
          <w:rFonts w:cs="Times New Roman"/>
          <w:szCs w:val="24"/>
          <w:lang w:val="sr-Cyrl-CS"/>
        </w:rPr>
      </w:pPr>
      <w:r w:rsidRPr="00E84C93">
        <w:rPr>
          <w:lang w:val="sr-Cyrl-CS"/>
        </w:rPr>
        <w:t xml:space="preserve">Кључне нормативне активности у оквиру Програма се односе на усклађивање правног оквира са Директивом ЕУ о муљу из постројења за пречишћавање отпадних вода. У вези с тим приоритетно је потребно изменити и допунити законе којима се уређује област отпада и вода, као и </w:t>
      </w:r>
      <w:r w:rsidR="008D6729" w:rsidRPr="00E84C93">
        <w:rPr>
          <w:lang w:val="sr-Cyrl-CS"/>
        </w:rPr>
        <w:t>донети</w:t>
      </w:r>
      <w:r w:rsidRPr="00E84C93">
        <w:rPr>
          <w:lang w:val="sr-Cyrl-CS"/>
        </w:rPr>
        <w:t xml:space="preserve"> одређене уредбе и правилнике. Након спроведеног мапирања усаглашености националних прописа са прописима ЕУ релевантним за област управљања муљем, биће прецизније идентификоване потребне измене и допуне прописа, као и потребе за усвајањем нових прописа. Поред усаглашавања регулативе са Директивом о муљу, потребне су и измене и допуне прописа којима се омогућава искоришћење муља коинсинерацијом, одлагање муља на депоније као краткорочне мере за збрињавање муља</w:t>
      </w:r>
      <w:r w:rsidR="008E3C23" w:rsidRPr="00E84C93">
        <w:rPr>
          <w:lang w:val="sr-Cyrl-CS"/>
        </w:rPr>
        <w:t xml:space="preserve"> и примену муља у пољопривреди</w:t>
      </w:r>
      <w:r w:rsidRPr="00E84C93">
        <w:rPr>
          <w:lang w:val="sr-Cyrl-CS"/>
        </w:rPr>
        <w:t>. За спровођење Програм</w:t>
      </w:r>
      <w:r w:rsidR="008D6729" w:rsidRPr="00E84C93">
        <w:rPr>
          <w:lang w:val="sr-Cyrl-CS"/>
        </w:rPr>
        <w:t>а</w:t>
      </w:r>
      <w:r w:rsidRPr="00E84C93">
        <w:rPr>
          <w:lang w:val="sr-Cyrl-CS"/>
        </w:rPr>
        <w:t>, као кључни прописи идентификовани су следећи</w:t>
      </w:r>
      <w:r w:rsidRPr="00E84C93">
        <w:rPr>
          <w:rFonts w:cs="Times New Roman"/>
          <w:szCs w:val="24"/>
          <w:lang w:val="sr-Cyrl-CS"/>
        </w:rPr>
        <w:t>:</w:t>
      </w:r>
    </w:p>
    <w:p w14:paraId="36FA467A" w14:textId="5A52A8E4" w:rsidR="00D63B05" w:rsidRPr="00E84C93" w:rsidRDefault="00D63B05" w:rsidP="00D75873">
      <w:pPr>
        <w:pStyle w:val="ListParagraph"/>
        <w:numPr>
          <w:ilvl w:val="0"/>
          <w:numId w:val="9"/>
        </w:numPr>
        <w:spacing w:after="0"/>
        <w:contextualSpacing w:val="0"/>
        <w:jc w:val="both"/>
        <w:rPr>
          <w:noProof/>
          <w:lang w:val="sr-Cyrl-CS"/>
        </w:rPr>
      </w:pPr>
      <w:r w:rsidRPr="00E84C93">
        <w:rPr>
          <w:noProof/>
          <w:lang w:val="sr-Cyrl-CS"/>
        </w:rPr>
        <w:t>Закон о управљању отпадом</w:t>
      </w:r>
      <w:r w:rsidR="008E060E" w:rsidRPr="00E84C93">
        <w:rPr>
          <w:noProof/>
          <w:lang w:val="sr-Cyrl-CS"/>
        </w:rPr>
        <w:t>;</w:t>
      </w:r>
    </w:p>
    <w:p w14:paraId="4FF22919" w14:textId="77E54DE3" w:rsidR="004B1727" w:rsidRPr="00E84C93" w:rsidRDefault="004B1727" w:rsidP="00D75873">
      <w:pPr>
        <w:pStyle w:val="ListParagraph"/>
        <w:numPr>
          <w:ilvl w:val="0"/>
          <w:numId w:val="9"/>
        </w:numPr>
        <w:spacing w:after="0"/>
        <w:contextualSpacing w:val="0"/>
        <w:jc w:val="both"/>
        <w:rPr>
          <w:noProof/>
          <w:szCs w:val="24"/>
          <w:lang w:val="sr-Cyrl-CS"/>
        </w:rPr>
      </w:pPr>
      <w:r w:rsidRPr="00E84C93">
        <w:rPr>
          <w:noProof/>
          <w:szCs w:val="24"/>
          <w:lang w:val="sr-Cyrl-CS"/>
        </w:rPr>
        <w:t>Закон о пољопривредном земљишту</w:t>
      </w:r>
      <w:r w:rsidR="008E060E" w:rsidRPr="00E84C93">
        <w:rPr>
          <w:noProof/>
          <w:szCs w:val="24"/>
          <w:lang w:val="sr-Cyrl-CS"/>
        </w:rPr>
        <w:t>;</w:t>
      </w:r>
    </w:p>
    <w:p w14:paraId="3A6E87EB" w14:textId="74B649BE" w:rsidR="00D63B05" w:rsidRPr="00E84C93" w:rsidRDefault="00D63B05" w:rsidP="00D75873">
      <w:pPr>
        <w:pStyle w:val="ListParagraph"/>
        <w:numPr>
          <w:ilvl w:val="0"/>
          <w:numId w:val="9"/>
        </w:numPr>
        <w:spacing w:after="0"/>
        <w:contextualSpacing w:val="0"/>
        <w:jc w:val="both"/>
        <w:rPr>
          <w:noProof/>
          <w:lang w:val="sr-Cyrl-CS"/>
        </w:rPr>
      </w:pPr>
      <w:r w:rsidRPr="00E84C93">
        <w:rPr>
          <w:noProof/>
          <w:lang w:val="sr-Cyrl-CS"/>
        </w:rPr>
        <w:t>Закон о накнадама за коришћење јавних добара</w:t>
      </w:r>
      <w:r w:rsidR="008E060E" w:rsidRPr="00E84C93">
        <w:rPr>
          <w:noProof/>
          <w:lang w:val="sr-Cyrl-CS"/>
        </w:rPr>
        <w:t>;</w:t>
      </w:r>
    </w:p>
    <w:p w14:paraId="50678217" w14:textId="269DB91F" w:rsidR="00D63B05" w:rsidRPr="00E84C93" w:rsidRDefault="00D63B05" w:rsidP="00D75873">
      <w:pPr>
        <w:pStyle w:val="ListParagraph"/>
        <w:numPr>
          <w:ilvl w:val="0"/>
          <w:numId w:val="9"/>
        </w:numPr>
        <w:spacing w:after="0"/>
        <w:contextualSpacing w:val="0"/>
        <w:jc w:val="both"/>
        <w:rPr>
          <w:noProof/>
          <w:lang w:val="sr-Cyrl-CS"/>
        </w:rPr>
      </w:pPr>
      <w:r w:rsidRPr="00E84C93">
        <w:rPr>
          <w:noProof/>
          <w:lang w:val="sr-Cyrl-CS"/>
        </w:rPr>
        <w:t>Уредба о одлагању отпада на депоније</w:t>
      </w:r>
      <w:r w:rsidR="008E060E" w:rsidRPr="00E84C93">
        <w:rPr>
          <w:noProof/>
          <w:lang w:val="sr-Cyrl-CS"/>
        </w:rPr>
        <w:t>;</w:t>
      </w:r>
    </w:p>
    <w:p w14:paraId="2DF69E19" w14:textId="3C581360" w:rsidR="00D63B05" w:rsidRPr="00E84C93" w:rsidRDefault="00D63B05" w:rsidP="00D75873">
      <w:pPr>
        <w:pStyle w:val="ListParagraph"/>
        <w:numPr>
          <w:ilvl w:val="0"/>
          <w:numId w:val="9"/>
        </w:numPr>
        <w:spacing w:after="0"/>
        <w:contextualSpacing w:val="0"/>
        <w:jc w:val="both"/>
        <w:rPr>
          <w:noProof/>
          <w:lang w:val="sr-Cyrl-CS"/>
        </w:rPr>
      </w:pPr>
      <w:r w:rsidRPr="00E84C93">
        <w:rPr>
          <w:lang w:val="sr-Cyrl-CS"/>
        </w:rPr>
        <w:t>Уредба којом се усаглашава домаће законодавство са Директивом о муљу</w:t>
      </w:r>
      <w:r w:rsidR="008E060E" w:rsidRPr="00E84C93">
        <w:rPr>
          <w:lang w:val="sr-Cyrl-CS"/>
        </w:rPr>
        <w:t>;</w:t>
      </w:r>
    </w:p>
    <w:p w14:paraId="691BF494" w14:textId="1120241E" w:rsidR="00D63B05" w:rsidRPr="00E84C93" w:rsidRDefault="00D63B05" w:rsidP="008E060E">
      <w:pPr>
        <w:pStyle w:val="ListParagraph"/>
        <w:numPr>
          <w:ilvl w:val="0"/>
          <w:numId w:val="9"/>
        </w:numPr>
        <w:tabs>
          <w:tab w:val="left" w:pos="1134"/>
        </w:tabs>
        <w:spacing w:after="0"/>
        <w:ind w:left="0" w:firstLine="720"/>
        <w:contextualSpacing w:val="0"/>
        <w:jc w:val="both"/>
        <w:rPr>
          <w:noProof/>
          <w:lang w:val="sr-Cyrl-CS"/>
        </w:rPr>
      </w:pPr>
      <w:r w:rsidRPr="00E84C93">
        <w:rPr>
          <w:rFonts w:cs="Times New Roman"/>
          <w:lang w:val="sr-Cyrl-CS"/>
        </w:rPr>
        <w:t>Правилник о дозвољеним количинама опасних и штетних материја у земљишту и води за наводњавање и методама њиховог испитивања</w:t>
      </w:r>
      <w:r w:rsidR="008E060E" w:rsidRPr="00E84C93">
        <w:rPr>
          <w:rFonts w:cs="Times New Roman"/>
          <w:lang w:val="sr-Cyrl-CS"/>
        </w:rPr>
        <w:t>;</w:t>
      </w:r>
    </w:p>
    <w:p w14:paraId="742D9BEC" w14:textId="787714B9" w:rsidR="004B1727" w:rsidRPr="00E84C93" w:rsidRDefault="004B1727" w:rsidP="008E060E">
      <w:pPr>
        <w:pStyle w:val="ListParagraph"/>
        <w:numPr>
          <w:ilvl w:val="0"/>
          <w:numId w:val="9"/>
        </w:numPr>
        <w:tabs>
          <w:tab w:val="left" w:pos="1134"/>
        </w:tabs>
        <w:spacing w:after="0"/>
        <w:ind w:left="0" w:firstLine="720"/>
        <w:contextualSpacing w:val="0"/>
        <w:jc w:val="both"/>
        <w:rPr>
          <w:noProof/>
          <w:szCs w:val="24"/>
          <w:lang w:val="sr-Cyrl-CS"/>
        </w:rPr>
      </w:pPr>
      <w:r w:rsidRPr="00E84C93">
        <w:rPr>
          <w:szCs w:val="24"/>
          <w:lang w:val="sr-Cyrl-CS"/>
        </w:rPr>
        <w:t xml:space="preserve">Правилник који </w:t>
      </w:r>
      <w:r w:rsidR="00F76E44" w:rsidRPr="00E84C93">
        <w:rPr>
          <w:szCs w:val="24"/>
          <w:lang w:val="sr-Cyrl-CS"/>
        </w:rPr>
        <w:t>уређује</w:t>
      </w:r>
      <w:r w:rsidRPr="00E84C93">
        <w:rPr>
          <w:szCs w:val="24"/>
          <w:lang w:val="sr-Cyrl-CS"/>
        </w:rPr>
        <w:t xml:space="preserve"> минимални садржај суве материје и укупни садржај органског угљеника за одлагање муља на депонију</w:t>
      </w:r>
      <w:r w:rsidR="008A561C" w:rsidRPr="00E84C93">
        <w:rPr>
          <w:szCs w:val="24"/>
          <w:lang w:val="sr-Cyrl-CS"/>
        </w:rPr>
        <w:t>;</w:t>
      </w:r>
    </w:p>
    <w:p w14:paraId="778F76FD" w14:textId="4A340397" w:rsidR="00156481" w:rsidRPr="00E84C93" w:rsidRDefault="004B1727" w:rsidP="00D75873">
      <w:pPr>
        <w:pStyle w:val="ListParagraph"/>
        <w:numPr>
          <w:ilvl w:val="0"/>
          <w:numId w:val="9"/>
        </w:numPr>
        <w:spacing w:after="0"/>
        <w:contextualSpacing w:val="0"/>
        <w:jc w:val="both"/>
        <w:rPr>
          <w:noProof/>
          <w:szCs w:val="24"/>
          <w:lang w:val="sr-Cyrl-CS"/>
        </w:rPr>
      </w:pPr>
      <w:r w:rsidRPr="00E84C93">
        <w:rPr>
          <w:rFonts w:cs="Times New Roman"/>
          <w:szCs w:val="24"/>
          <w:lang w:val="sr-Cyrl-CS"/>
        </w:rPr>
        <w:t>Пропис ради омогућавања коинсинерације муља у цементарама и термоелектранама</w:t>
      </w:r>
      <w:r w:rsidR="008A561C" w:rsidRPr="00E84C93">
        <w:rPr>
          <w:rFonts w:cs="Times New Roman"/>
          <w:szCs w:val="24"/>
          <w:lang w:val="sr-Cyrl-CS"/>
        </w:rPr>
        <w:t>;</w:t>
      </w:r>
    </w:p>
    <w:p w14:paraId="333C6310" w14:textId="4403EB38" w:rsidR="00633B57" w:rsidRPr="00E84C93" w:rsidRDefault="00633B57" w:rsidP="008A561C">
      <w:pPr>
        <w:pStyle w:val="ListParagraph"/>
        <w:numPr>
          <w:ilvl w:val="0"/>
          <w:numId w:val="9"/>
        </w:numPr>
        <w:tabs>
          <w:tab w:val="left" w:pos="1134"/>
        </w:tabs>
        <w:spacing w:after="0"/>
        <w:ind w:left="0" w:firstLine="720"/>
        <w:contextualSpacing w:val="0"/>
        <w:jc w:val="both"/>
        <w:rPr>
          <w:noProof/>
          <w:szCs w:val="24"/>
          <w:lang w:val="sr-Cyrl-CS"/>
        </w:rPr>
      </w:pPr>
      <w:r w:rsidRPr="00E84C93">
        <w:rPr>
          <w:rFonts w:cs="Times New Roman"/>
          <w:szCs w:val="24"/>
          <w:lang w:val="sr-Cyrl-CS"/>
        </w:rPr>
        <w:t>Прописи из области заштите вода од загађења изазваног применом нитратних ђубрива у пољопривреди у сагласности са Директивом 91/676/ЕЕС (нитратна директива)</w:t>
      </w:r>
      <w:r w:rsidR="0082502D" w:rsidRPr="00E84C93">
        <w:rPr>
          <w:rFonts w:cs="Times New Roman"/>
          <w:szCs w:val="24"/>
          <w:lang w:val="sr-Cyrl-CS"/>
        </w:rPr>
        <w:t>;</w:t>
      </w:r>
    </w:p>
    <w:p w14:paraId="7082C740" w14:textId="55D4B920" w:rsidR="00D63B05" w:rsidRPr="00E84C93" w:rsidRDefault="00156481" w:rsidP="00D75873">
      <w:pPr>
        <w:pStyle w:val="ListParagraph"/>
        <w:numPr>
          <w:ilvl w:val="0"/>
          <w:numId w:val="9"/>
        </w:numPr>
        <w:spacing w:after="0"/>
        <w:contextualSpacing w:val="0"/>
        <w:jc w:val="both"/>
        <w:rPr>
          <w:noProof/>
          <w:lang w:val="sr-Cyrl-CS"/>
        </w:rPr>
      </w:pPr>
      <w:r w:rsidRPr="00E84C93">
        <w:rPr>
          <w:rFonts w:cs="Times New Roman"/>
          <w:color w:val="000000"/>
          <w:szCs w:val="24"/>
          <w:lang w:val="sr-Cyrl-CS"/>
        </w:rPr>
        <w:t>и други прописи уколико је потребно за спровођење циљева Програма</w:t>
      </w:r>
      <w:r w:rsidR="00D63B05" w:rsidRPr="00E84C93">
        <w:rPr>
          <w:lang w:val="sr-Cyrl-CS"/>
        </w:rPr>
        <w:t>.</w:t>
      </w:r>
    </w:p>
    <w:p w14:paraId="6060BE66" w14:textId="101699FB" w:rsidR="00D63B05" w:rsidRDefault="00D63B05" w:rsidP="006E5F1F">
      <w:pPr>
        <w:spacing w:after="0"/>
        <w:ind w:firstLine="720"/>
        <w:jc w:val="both"/>
        <w:rPr>
          <w:noProof/>
          <w:szCs w:val="24"/>
          <w:lang w:val="sr-Cyrl-CS"/>
        </w:rPr>
      </w:pPr>
      <w:r w:rsidRPr="00E84C93">
        <w:rPr>
          <w:noProof/>
          <w:szCs w:val="24"/>
          <w:lang w:val="sr-Cyrl-CS"/>
        </w:rPr>
        <w:t>Листа ће се ревидирати по потреби, у складу са могућим изменама регулативе ЕУ.</w:t>
      </w:r>
    </w:p>
    <w:p w14:paraId="4E1DE476" w14:textId="77777777" w:rsidR="00800BB4" w:rsidRPr="00E84C93" w:rsidRDefault="00800BB4" w:rsidP="006E5F1F">
      <w:pPr>
        <w:spacing w:after="0"/>
        <w:ind w:firstLine="720"/>
        <w:jc w:val="both"/>
        <w:rPr>
          <w:noProof/>
          <w:szCs w:val="24"/>
          <w:lang w:val="sr-Cyrl-CS"/>
        </w:rPr>
      </w:pPr>
    </w:p>
    <w:p w14:paraId="25A24672" w14:textId="57151F5B" w:rsidR="006E7EA4" w:rsidRPr="00E84C93" w:rsidRDefault="006E7EA4" w:rsidP="000C54C0">
      <w:pPr>
        <w:pStyle w:val="Heading1"/>
        <w:numPr>
          <w:ilvl w:val="0"/>
          <w:numId w:val="8"/>
        </w:numPr>
        <w:spacing w:before="0"/>
        <w:rPr>
          <w:lang w:val="sr-Cyrl-CS"/>
        </w:rPr>
      </w:pPr>
      <w:bookmarkStart w:id="127" w:name="_Toc99920922"/>
      <w:r w:rsidRPr="00E84C93">
        <w:rPr>
          <w:lang w:val="sr-Cyrl-CS"/>
        </w:rPr>
        <w:lastRenderedPageBreak/>
        <w:t>АКЦИОНИ ПЛАН</w:t>
      </w:r>
      <w:bookmarkEnd w:id="127"/>
    </w:p>
    <w:p w14:paraId="5D755D1A" w14:textId="77777777" w:rsidR="006E7EA4" w:rsidRPr="00E84C93" w:rsidRDefault="006E7EA4" w:rsidP="006E7EA4">
      <w:pPr>
        <w:spacing w:after="0"/>
        <w:jc w:val="both"/>
        <w:rPr>
          <w:rFonts w:cs="Times New Roman"/>
          <w:szCs w:val="24"/>
          <w:lang w:val="sr-Cyrl-CS"/>
        </w:rPr>
      </w:pPr>
    </w:p>
    <w:p w14:paraId="54E58E5F" w14:textId="19C6EB57" w:rsidR="00760423" w:rsidRPr="00E84C93" w:rsidRDefault="00760423" w:rsidP="00760423">
      <w:pPr>
        <w:spacing w:after="0"/>
        <w:ind w:firstLine="720"/>
        <w:jc w:val="both"/>
        <w:rPr>
          <w:rFonts w:cs="Times New Roman"/>
          <w:szCs w:val="24"/>
          <w:lang w:val="sr-Cyrl-CS"/>
        </w:rPr>
      </w:pPr>
      <w:r w:rsidRPr="00E84C93">
        <w:rPr>
          <w:rFonts w:cs="Times New Roman"/>
          <w:szCs w:val="24"/>
          <w:lang w:val="sr-Cyrl-CS"/>
        </w:rPr>
        <w:t>Акциони план за период од 202</w:t>
      </w:r>
      <w:r w:rsidR="00B26D8D" w:rsidRPr="00E84C93">
        <w:rPr>
          <w:rFonts w:cs="Times New Roman"/>
          <w:szCs w:val="24"/>
          <w:lang w:val="sr-Cyrl-CS"/>
        </w:rPr>
        <w:t>3</w:t>
      </w:r>
      <w:r w:rsidRPr="00E84C93">
        <w:rPr>
          <w:rFonts w:cs="Times New Roman"/>
          <w:szCs w:val="24"/>
          <w:lang w:val="sr-Cyrl-CS"/>
        </w:rPr>
        <w:t>. до 202</w:t>
      </w:r>
      <w:r w:rsidR="00B26D8D" w:rsidRPr="00E84C93">
        <w:rPr>
          <w:rFonts w:cs="Times New Roman"/>
          <w:szCs w:val="24"/>
          <w:lang w:val="sr-Cyrl-CS"/>
        </w:rPr>
        <w:t>7.</w:t>
      </w:r>
      <w:r w:rsidRPr="00E84C93">
        <w:rPr>
          <w:rFonts w:cs="Times New Roman"/>
          <w:szCs w:val="24"/>
          <w:lang w:val="sr-Cyrl-CS"/>
        </w:rPr>
        <w:t xml:space="preserve"> године за спровођење Програма управљања муљем у Републици Србији за период </w:t>
      </w:r>
      <w:r w:rsidR="002D073C" w:rsidRPr="00E84C93">
        <w:rPr>
          <w:rFonts w:cs="Times New Roman"/>
          <w:szCs w:val="24"/>
          <w:lang w:val="sr-Cyrl-CS"/>
        </w:rPr>
        <w:t>од 2023. до 2032.</w:t>
      </w:r>
      <w:r w:rsidRPr="00E84C93">
        <w:rPr>
          <w:rFonts w:cs="Times New Roman"/>
          <w:szCs w:val="24"/>
          <w:lang w:val="sr-Cyrl-CS"/>
        </w:rPr>
        <w:t xml:space="preserve"> године, је </w:t>
      </w:r>
      <w:r w:rsidR="006E5F1F" w:rsidRPr="00E84C93">
        <w:rPr>
          <w:rFonts w:cs="Times New Roman"/>
          <w:szCs w:val="24"/>
          <w:lang w:val="sr-Cyrl-CS"/>
        </w:rPr>
        <w:t>одштампан уз овај програм и чини његов саставни део.</w:t>
      </w:r>
    </w:p>
    <w:p w14:paraId="58C5EE20" w14:textId="0593C60E" w:rsidR="006E7EA4" w:rsidRPr="00E84C93" w:rsidRDefault="00760423" w:rsidP="00760423">
      <w:pPr>
        <w:pStyle w:val="basic-paragraph"/>
        <w:shd w:val="clear" w:color="auto" w:fill="FFFFFF"/>
        <w:spacing w:before="0" w:beforeAutospacing="0" w:after="0" w:afterAutospacing="0"/>
        <w:ind w:firstLine="720"/>
        <w:jc w:val="both"/>
        <w:rPr>
          <w:color w:val="333333"/>
          <w:lang w:val="sr-Cyrl-CS"/>
        </w:rPr>
      </w:pPr>
      <w:r w:rsidRPr="00E84C93">
        <w:rPr>
          <w:lang w:val="sr-Cyrl-CS"/>
        </w:rPr>
        <w:t xml:space="preserve">Акционим планом су утврђене </w:t>
      </w:r>
      <w:r w:rsidRPr="00E84C93">
        <w:rPr>
          <w:color w:val="333333"/>
          <w:lang w:val="sr-Cyrl-CS"/>
        </w:rPr>
        <w:t>активности за спровођење мера за остваривање циљева Програма, одређени су рокови, носиоци и партнери, као и финансијска средства и извори финансирања за спровођење утврђених активности</w:t>
      </w:r>
      <w:r w:rsidR="006E7EA4" w:rsidRPr="00E84C93">
        <w:rPr>
          <w:color w:val="333333"/>
          <w:lang w:val="sr-Cyrl-CS"/>
        </w:rPr>
        <w:t>.</w:t>
      </w:r>
    </w:p>
    <w:p w14:paraId="772622D9" w14:textId="71E7742F" w:rsidR="00714962" w:rsidRPr="00E84C93" w:rsidRDefault="00714962" w:rsidP="006E7EA4">
      <w:pPr>
        <w:pStyle w:val="basic-paragraph"/>
        <w:shd w:val="clear" w:color="auto" w:fill="FFFFFF"/>
        <w:spacing w:before="0" w:beforeAutospacing="0" w:after="0" w:afterAutospacing="0"/>
        <w:ind w:firstLine="720"/>
        <w:jc w:val="both"/>
        <w:rPr>
          <w:color w:val="333333"/>
          <w:lang w:val="sr-Cyrl-CS"/>
        </w:rPr>
      </w:pPr>
    </w:p>
    <w:p w14:paraId="55FF7CCC" w14:textId="77777777" w:rsidR="005B0C81" w:rsidRPr="00E84C93" w:rsidRDefault="005B0C81" w:rsidP="005B0C81">
      <w:pPr>
        <w:pStyle w:val="ListParagraph"/>
        <w:numPr>
          <w:ilvl w:val="0"/>
          <w:numId w:val="8"/>
        </w:numPr>
        <w:spacing w:after="0"/>
        <w:rPr>
          <w:rFonts w:cs="Times New Roman"/>
          <w:b/>
          <w:bCs/>
          <w:color w:val="2E74B5" w:themeColor="accent1" w:themeShade="BF"/>
          <w:sz w:val="32"/>
          <w:szCs w:val="32"/>
          <w:lang w:val="sr-Cyrl-CS"/>
        </w:rPr>
      </w:pPr>
      <w:r w:rsidRPr="00E84C93">
        <w:rPr>
          <w:rFonts w:cs="Times New Roman"/>
          <w:b/>
          <w:bCs/>
          <w:color w:val="2E74B5" w:themeColor="accent1" w:themeShade="BF"/>
          <w:sz w:val="32"/>
          <w:szCs w:val="32"/>
          <w:lang w:val="sr-Cyrl-CS"/>
        </w:rPr>
        <w:t>ЗАВРШНЕ ОДРЕДБЕ</w:t>
      </w:r>
    </w:p>
    <w:p w14:paraId="45638895" w14:textId="77777777" w:rsidR="005B0C81" w:rsidRPr="00E84C93" w:rsidRDefault="005B0C81" w:rsidP="005B0C81">
      <w:pPr>
        <w:pStyle w:val="basic-paragraph"/>
        <w:spacing w:before="0" w:beforeAutospacing="0" w:after="0" w:afterAutospacing="0"/>
        <w:ind w:firstLine="720"/>
        <w:jc w:val="both"/>
        <w:rPr>
          <w:lang w:val="sr-Cyrl-CS"/>
        </w:rPr>
      </w:pPr>
    </w:p>
    <w:p w14:paraId="167BA5B5" w14:textId="77777777" w:rsidR="005B0C81" w:rsidRPr="00E84C93" w:rsidRDefault="005B0C81" w:rsidP="005B0C81">
      <w:pPr>
        <w:pStyle w:val="basic-paragraph"/>
        <w:spacing w:before="0" w:beforeAutospacing="0" w:after="0" w:afterAutospacing="0"/>
        <w:ind w:firstLine="720"/>
        <w:jc w:val="both"/>
        <w:rPr>
          <w:lang w:val="sr-Cyrl-CS"/>
        </w:rPr>
      </w:pPr>
      <w:r w:rsidRPr="00E84C93">
        <w:rPr>
          <w:lang w:val="sr-Cyrl-CS"/>
        </w:rPr>
        <w:t xml:space="preserve">Овај програм објавити на интернет страници Владе, интернет страници Министарства заштите животне средине и Порталу е-Консултације, у року од седам радних дана од дана усвајања. </w:t>
      </w:r>
    </w:p>
    <w:p w14:paraId="2090C19C" w14:textId="77777777" w:rsidR="005B0C81" w:rsidRPr="00E84C93" w:rsidRDefault="005B0C81" w:rsidP="005B0C81">
      <w:pPr>
        <w:pStyle w:val="basic-paragraph"/>
        <w:spacing w:before="0" w:beforeAutospacing="0" w:after="0" w:afterAutospacing="0"/>
        <w:ind w:firstLine="720"/>
        <w:rPr>
          <w:lang w:val="sr-Cyrl-CS"/>
        </w:rPr>
      </w:pPr>
      <w:r w:rsidRPr="00E84C93">
        <w:rPr>
          <w:lang w:val="sr-Cyrl-CS"/>
        </w:rPr>
        <w:t>Овaj програм објавити у „Службеном гласнику Републике Србије”.</w:t>
      </w:r>
    </w:p>
    <w:p w14:paraId="6C6041A1" w14:textId="77777777" w:rsidR="005B0C81" w:rsidRPr="00E84C93" w:rsidRDefault="005B0C81" w:rsidP="005B0C81">
      <w:pPr>
        <w:pStyle w:val="basic-paragraph"/>
        <w:spacing w:before="0" w:beforeAutospacing="0" w:after="0" w:afterAutospacing="0"/>
        <w:ind w:firstLine="720"/>
        <w:rPr>
          <w:lang w:val="sr-Cyrl-CS"/>
        </w:rPr>
      </w:pPr>
    </w:p>
    <w:p w14:paraId="43C2B406" w14:textId="01965D27" w:rsidR="005B0C81" w:rsidRPr="00E84C93" w:rsidRDefault="005B0C81" w:rsidP="005B0C81">
      <w:pPr>
        <w:pStyle w:val="potpis"/>
        <w:spacing w:before="0" w:beforeAutospacing="0" w:after="0" w:afterAutospacing="0"/>
        <w:rPr>
          <w:lang w:val="sr-Cyrl-CS"/>
        </w:rPr>
      </w:pPr>
      <w:r w:rsidRPr="00E84C93">
        <w:rPr>
          <w:lang w:val="sr-Cyrl-CS"/>
        </w:rPr>
        <w:t xml:space="preserve">05 Број: </w:t>
      </w:r>
      <w:r w:rsidR="00146162">
        <w:rPr>
          <w:lang w:val="en-US"/>
        </w:rPr>
        <w:t>353-8358/2023-1</w:t>
      </w:r>
      <w:r w:rsidRPr="00E84C93">
        <w:rPr>
          <w:lang w:val="sr-Cyrl-CS"/>
        </w:rPr>
        <w:t xml:space="preserve"> </w:t>
      </w:r>
    </w:p>
    <w:p w14:paraId="1F8131CF" w14:textId="45EA9879" w:rsidR="005B0C81" w:rsidRPr="00E84C93" w:rsidRDefault="005B0C81" w:rsidP="005B0C81">
      <w:pPr>
        <w:pStyle w:val="potpis"/>
        <w:spacing w:before="0" w:beforeAutospacing="0" w:after="0" w:afterAutospacing="0"/>
        <w:rPr>
          <w:lang w:val="sr-Cyrl-CS"/>
        </w:rPr>
      </w:pPr>
      <w:r w:rsidRPr="00E84C93">
        <w:rPr>
          <w:lang w:val="sr-Cyrl-CS"/>
        </w:rPr>
        <w:t xml:space="preserve">У Београду, </w:t>
      </w:r>
      <w:r w:rsidR="00146162">
        <w:rPr>
          <w:lang w:val="sr-Cyrl-RS"/>
        </w:rPr>
        <w:t>28. септембра</w:t>
      </w:r>
      <w:r w:rsidRPr="00E84C93">
        <w:rPr>
          <w:lang w:val="sr-Cyrl-CS"/>
        </w:rPr>
        <w:t xml:space="preserve"> 2023. године</w:t>
      </w:r>
    </w:p>
    <w:p w14:paraId="3A608DB1" w14:textId="77777777" w:rsidR="005B0C81" w:rsidRPr="00E84C93" w:rsidRDefault="005B0C81" w:rsidP="005B0C81">
      <w:pPr>
        <w:pStyle w:val="potpis"/>
        <w:spacing w:before="0" w:beforeAutospacing="0" w:after="0" w:afterAutospacing="0"/>
        <w:jc w:val="center"/>
        <w:rPr>
          <w:rStyle w:val="bold"/>
          <w:lang w:val="sr-Cyrl-CS"/>
        </w:rPr>
      </w:pPr>
    </w:p>
    <w:p w14:paraId="2528A1AF" w14:textId="77777777" w:rsidR="005B0C81" w:rsidRPr="00E84C93" w:rsidRDefault="005B0C81" w:rsidP="005B0C81">
      <w:pPr>
        <w:pStyle w:val="potpis"/>
        <w:spacing w:before="0" w:beforeAutospacing="0" w:after="0" w:afterAutospacing="0"/>
        <w:jc w:val="center"/>
        <w:rPr>
          <w:rStyle w:val="bold"/>
          <w:lang w:val="sr-Cyrl-CS"/>
        </w:rPr>
      </w:pPr>
    </w:p>
    <w:p w14:paraId="22CF7D02" w14:textId="77777777" w:rsidR="005B0C81" w:rsidRPr="00E84C93" w:rsidRDefault="005B0C81" w:rsidP="005B0C81">
      <w:pPr>
        <w:pStyle w:val="potpis"/>
        <w:spacing w:before="0" w:beforeAutospacing="0" w:after="0" w:afterAutospacing="0"/>
        <w:jc w:val="center"/>
        <w:rPr>
          <w:lang w:val="sr-Cyrl-CS"/>
        </w:rPr>
      </w:pPr>
      <w:r w:rsidRPr="00E84C93">
        <w:rPr>
          <w:rStyle w:val="bold"/>
          <w:lang w:val="sr-Cyrl-CS"/>
        </w:rPr>
        <w:t>В Л А Д А</w:t>
      </w:r>
    </w:p>
    <w:p w14:paraId="0CFB85AE" w14:textId="77777777" w:rsidR="005B0C81" w:rsidRPr="00E84C93" w:rsidRDefault="005B0C81" w:rsidP="005B0C81">
      <w:pPr>
        <w:pStyle w:val="potpis"/>
        <w:spacing w:before="0" w:beforeAutospacing="0" w:after="0" w:afterAutospacing="0"/>
        <w:ind w:left="9360" w:right="95" w:firstLine="720"/>
        <w:rPr>
          <w:lang w:val="sr-Cyrl-CS"/>
        </w:rPr>
      </w:pPr>
      <w:r w:rsidRPr="00E84C93">
        <w:rPr>
          <w:lang w:val="sr-Cyrl-CS"/>
        </w:rPr>
        <w:t>ПРЕДСЕДНИК</w:t>
      </w:r>
    </w:p>
    <w:p w14:paraId="2844106C" w14:textId="77777777" w:rsidR="005B0C81" w:rsidRPr="00E84C93" w:rsidRDefault="005B0C81" w:rsidP="005B0C81">
      <w:pPr>
        <w:pStyle w:val="potpis"/>
        <w:spacing w:before="0" w:beforeAutospacing="0" w:after="0" w:afterAutospacing="0"/>
        <w:ind w:right="95"/>
        <w:rPr>
          <w:lang w:val="sr-Cyrl-CS"/>
        </w:rPr>
      </w:pPr>
    </w:p>
    <w:p w14:paraId="5636B927" w14:textId="77777777" w:rsidR="005B0C81" w:rsidRPr="00E84C93" w:rsidRDefault="005B0C81" w:rsidP="005B0C81">
      <w:pPr>
        <w:pStyle w:val="potpis"/>
        <w:spacing w:before="0" w:beforeAutospacing="0" w:after="0" w:afterAutospacing="0"/>
        <w:ind w:left="9360" w:firstLine="720"/>
        <w:rPr>
          <w:lang w:val="sr-Cyrl-CS"/>
        </w:rPr>
        <w:sectPr w:rsidR="005B0C81" w:rsidRPr="00E84C93" w:rsidSect="001B734A">
          <w:footerReference w:type="default" r:id="rId13"/>
          <w:pgSz w:w="15840" w:h="12240" w:orient="landscape"/>
          <w:pgMar w:top="1440" w:right="1440" w:bottom="1440" w:left="1440" w:header="720" w:footer="720" w:gutter="0"/>
          <w:cols w:space="720"/>
          <w:docGrid w:linePitch="360"/>
        </w:sectPr>
      </w:pPr>
      <w:r w:rsidRPr="00E84C93">
        <w:rPr>
          <w:rStyle w:val="bold"/>
          <w:lang w:val="sr-Cyrl-CS"/>
        </w:rPr>
        <w:t>Ана Брнабић, с.р</w:t>
      </w:r>
    </w:p>
    <w:p w14:paraId="63020660" w14:textId="5877C549" w:rsidR="005C3AF0" w:rsidRPr="00E84C93" w:rsidRDefault="005C3AF0" w:rsidP="009670F1">
      <w:pPr>
        <w:pStyle w:val="basic-paragraph"/>
        <w:shd w:val="clear" w:color="auto" w:fill="FFFFFF"/>
        <w:spacing w:before="0" w:beforeAutospacing="0" w:after="0" w:afterAutospacing="0"/>
        <w:jc w:val="both"/>
        <w:rPr>
          <w:color w:val="333333"/>
          <w:lang w:val="sr-Cyrl-CS"/>
        </w:rPr>
      </w:pPr>
    </w:p>
    <w:tbl>
      <w:tblPr>
        <w:tblStyle w:val="TableGrid"/>
        <w:tblW w:w="13491" w:type="dxa"/>
        <w:tblLook w:val="04A0" w:firstRow="1" w:lastRow="0" w:firstColumn="1" w:lastColumn="0" w:noHBand="0" w:noVBand="1"/>
      </w:tblPr>
      <w:tblGrid>
        <w:gridCol w:w="3423"/>
        <w:gridCol w:w="10068"/>
      </w:tblGrid>
      <w:tr w:rsidR="00921DBE" w:rsidRPr="00E84C93" w14:paraId="30122D28" w14:textId="77777777" w:rsidTr="00085A1A">
        <w:trPr>
          <w:trHeight w:val="377"/>
        </w:trPr>
        <w:tc>
          <w:tcPr>
            <w:tcW w:w="3423" w:type="dxa"/>
            <w:tcBorders>
              <w:left w:val="double" w:sz="4" w:space="0" w:color="auto"/>
            </w:tcBorders>
          </w:tcPr>
          <w:p w14:paraId="3124858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Акциони план:</w:t>
            </w:r>
          </w:p>
        </w:tc>
        <w:tc>
          <w:tcPr>
            <w:tcW w:w="10068" w:type="dxa"/>
            <w:tcBorders>
              <w:right w:val="double" w:sz="4" w:space="0" w:color="auto"/>
            </w:tcBorders>
          </w:tcPr>
          <w:p w14:paraId="6123A8DE" w14:textId="77777777" w:rsidR="00921DBE" w:rsidRPr="00E84C93" w:rsidRDefault="00921DBE" w:rsidP="00085A1A">
            <w:pPr>
              <w:rPr>
                <w:rFonts w:cs="Times New Roman"/>
                <w:b/>
                <w:bCs/>
                <w:sz w:val="20"/>
                <w:szCs w:val="20"/>
                <w:lang w:val="sr-Cyrl-CS"/>
              </w:rPr>
            </w:pPr>
            <w:r w:rsidRPr="00E84C93">
              <w:rPr>
                <w:rFonts w:cs="Times New Roman"/>
                <w:b/>
                <w:bCs/>
                <w:sz w:val="20"/>
                <w:szCs w:val="20"/>
                <w:lang w:val="sr-Cyrl-CS"/>
              </w:rPr>
              <w:t xml:space="preserve">Aкциони план </w:t>
            </w:r>
            <w:r w:rsidRPr="00E84C93">
              <w:rPr>
                <w:b/>
                <w:bCs/>
                <w:color w:val="333333"/>
                <w:sz w:val="20"/>
                <w:szCs w:val="20"/>
                <w:lang w:val="sr-Cyrl-CS"/>
              </w:rPr>
              <w:t>за период од 2023. до 2027 године, за спровођење Програма управљања муљем</w:t>
            </w:r>
          </w:p>
        </w:tc>
      </w:tr>
      <w:tr w:rsidR="00921DBE" w:rsidRPr="00E84C93" w14:paraId="2F288617" w14:textId="77777777" w:rsidTr="00085A1A">
        <w:trPr>
          <w:trHeight w:val="286"/>
        </w:trPr>
        <w:tc>
          <w:tcPr>
            <w:tcW w:w="3423" w:type="dxa"/>
            <w:tcBorders>
              <w:left w:val="double" w:sz="4" w:space="0" w:color="auto"/>
            </w:tcBorders>
          </w:tcPr>
          <w:p w14:paraId="445B2F9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Предлагач:</w:t>
            </w:r>
          </w:p>
        </w:tc>
        <w:tc>
          <w:tcPr>
            <w:tcW w:w="10068" w:type="dxa"/>
            <w:tcBorders>
              <w:right w:val="double" w:sz="4" w:space="0" w:color="auto"/>
            </w:tcBorders>
          </w:tcPr>
          <w:p w14:paraId="793CDE4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Министарство заштите животне средине</w:t>
            </w:r>
          </w:p>
        </w:tc>
      </w:tr>
      <w:tr w:rsidR="00921DBE" w:rsidRPr="00E84C93" w14:paraId="704C9216" w14:textId="77777777" w:rsidTr="00085A1A">
        <w:trPr>
          <w:trHeight w:val="286"/>
        </w:trPr>
        <w:tc>
          <w:tcPr>
            <w:tcW w:w="3423" w:type="dxa"/>
            <w:tcBorders>
              <w:left w:val="double" w:sz="4" w:space="0" w:color="auto"/>
            </w:tcBorders>
          </w:tcPr>
          <w:p w14:paraId="40ACE5A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Координација и извештавање:</w:t>
            </w:r>
          </w:p>
        </w:tc>
        <w:tc>
          <w:tcPr>
            <w:tcW w:w="10068" w:type="dxa"/>
            <w:tcBorders>
              <w:right w:val="double" w:sz="4" w:space="0" w:color="auto"/>
            </w:tcBorders>
          </w:tcPr>
          <w:p w14:paraId="43F3854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Министарство заштите животне средине</w:t>
            </w:r>
          </w:p>
        </w:tc>
      </w:tr>
    </w:tbl>
    <w:p w14:paraId="448D5705" w14:textId="77777777" w:rsidR="00921DBE" w:rsidRPr="00E84C93" w:rsidRDefault="00921DBE" w:rsidP="00921DBE">
      <w:pPr>
        <w:spacing w:after="0"/>
        <w:rPr>
          <w:rFonts w:cs="Times New Roman"/>
          <w:sz w:val="20"/>
          <w:szCs w:val="20"/>
          <w:lang w:val="sr-Cyrl-CS"/>
        </w:rPr>
      </w:pPr>
    </w:p>
    <w:p w14:paraId="7D502C8F" w14:textId="77777777" w:rsidR="00921DBE" w:rsidRPr="00E84C93" w:rsidRDefault="00921DBE" w:rsidP="00921DBE">
      <w:pPr>
        <w:spacing w:after="0"/>
        <w:rPr>
          <w:rFonts w:cs="Times New Roman"/>
          <w:sz w:val="20"/>
          <w:szCs w:val="20"/>
          <w:lang w:val="sr-Cyrl-CS"/>
        </w:rPr>
      </w:pPr>
    </w:p>
    <w:tbl>
      <w:tblPr>
        <w:tblStyle w:val="TableGrid"/>
        <w:tblW w:w="13534" w:type="dxa"/>
        <w:tblLook w:val="04A0" w:firstRow="1" w:lastRow="0" w:firstColumn="1" w:lastColumn="0" w:noHBand="0" w:noVBand="1"/>
      </w:tblPr>
      <w:tblGrid>
        <w:gridCol w:w="4663"/>
        <w:gridCol w:w="1111"/>
        <w:gridCol w:w="1680"/>
        <w:gridCol w:w="1587"/>
        <w:gridCol w:w="1493"/>
        <w:gridCol w:w="1400"/>
        <w:gridCol w:w="1600"/>
      </w:tblGrid>
      <w:tr w:rsidR="00921DBE" w:rsidRPr="00E84C93" w14:paraId="7C5140BC" w14:textId="77777777" w:rsidTr="00085A1A">
        <w:trPr>
          <w:trHeight w:val="454"/>
        </w:trPr>
        <w:tc>
          <w:tcPr>
            <w:tcW w:w="13534" w:type="dxa"/>
            <w:gridSpan w:val="7"/>
            <w:tcBorders>
              <w:top w:val="double" w:sz="4" w:space="0" w:color="auto"/>
              <w:left w:val="double" w:sz="4" w:space="0" w:color="auto"/>
              <w:right w:val="double" w:sz="4" w:space="0" w:color="auto"/>
            </w:tcBorders>
            <w:shd w:val="clear" w:color="auto" w:fill="DEEAF6" w:themeFill="accent1" w:themeFillTint="33"/>
          </w:tcPr>
          <w:p w14:paraId="07CA70AD"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Општи циљ 1: Успостављање безбедног, одрживог и исплативог система управљања муљем из постројења за пречишћавање отпадних вода у складу са принципима циркуларне економије</w:t>
            </w:r>
          </w:p>
        </w:tc>
      </w:tr>
      <w:tr w:rsidR="00921DBE" w:rsidRPr="00E84C93" w14:paraId="6DB0DBEE" w14:textId="77777777" w:rsidTr="00085A1A">
        <w:trPr>
          <w:trHeight w:val="424"/>
        </w:trPr>
        <w:tc>
          <w:tcPr>
            <w:tcW w:w="13534" w:type="dxa"/>
            <w:gridSpan w:val="7"/>
            <w:tcBorders>
              <w:top w:val="double" w:sz="4" w:space="0" w:color="auto"/>
            </w:tcBorders>
            <w:shd w:val="clear" w:color="auto" w:fill="DEEAF6" w:themeFill="accent1" w:themeFillTint="33"/>
            <w:vAlign w:val="center"/>
          </w:tcPr>
          <w:p w14:paraId="542D6CB9"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 xml:space="preserve">Институција одговорна за праћење и контролу реализације: </w:t>
            </w:r>
            <w:r w:rsidRPr="00E84C93">
              <w:rPr>
                <w:rFonts w:cs="Times New Roman"/>
                <w:sz w:val="20"/>
                <w:szCs w:val="20"/>
                <w:lang w:val="sr-Cyrl-CS"/>
              </w:rPr>
              <w:t>Министарство заштите животне средине</w:t>
            </w:r>
          </w:p>
        </w:tc>
      </w:tr>
      <w:tr w:rsidR="00921DBE" w:rsidRPr="00E84C93" w14:paraId="40B34927" w14:textId="77777777" w:rsidTr="00085A1A">
        <w:trPr>
          <w:trHeight w:val="424"/>
        </w:trPr>
        <w:tc>
          <w:tcPr>
            <w:tcW w:w="4663" w:type="dxa"/>
            <w:tcBorders>
              <w:top w:val="double" w:sz="4" w:space="0" w:color="auto"/>
            </w:tcBorders>
            <w:shd w:val="clear" w:color="auto" w:fill="D9D9D9" w:themeFill="background1" w:themeFillShade="D9"/>
          </w:tcPr>
          <w:p w14:paraId="34F23A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 (и) на нивоу oпштег циља </w:t>
            </w:r>
            <w:r w:rsidRPr="00E84C93">
              <w:rPr>
                <w:rFonts w:cs="Times New Roman"/>
                <w:i/>
                <w:sz w:val="20"/>
                <w:szCs w:val="20"/>
                <w:lang w:val="sr-Cyrl-CS"/>
              </w:rPr>
              <w:t>(показатељ eфекта)</w:t>
            </w:r>
          </w:p>
        </w:tc>
        <w:tc>
          <w:tcPr>
            <w:tcW w:w="1111" w:type="dxa"/>
            <w:tcBorders>
              <w:top w:val="double" w:sz="4" w:space="0" w:color="auto"/>
            </w:tcBorders>
            <w:shd w:val="clear" w:color="auto" w:fill="D9D9D9" w:themeFill="background1" w:themeFillShade="D9"/>
          </w:tcPr>
          <w:p w14:paraId="4BC61EA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p w14:paraId="0A924975" w14:textId="77777777" w:rsidR="00921DBE" w:rsidRPr="00E84C93" w:rsidRDefault="00921DBE" w:rsidP="00085A1A">
            <w:pPr>
              <w:rPr>
                <w:rFonts w:cs="Times New Roman"/>
                <w:sz w:val="20"/>
                <w:szCs w:val="20"/>
                <w:lang w:val="sr-Cyrl-CS"/>
              </w:rPr>
            </w:pPr>
          </w:p>
        </w:tc>
        <w:tc>
          <w:tcPr>
            <w:tcW w:w="1680" w:type="dxa"/>
            <w:tcBorders>
              <w:top w:val="double" w:sz="4" w:space="0" w:color="auto"/>
            </w:tcBorders>
            <w:shd w:val="clear" w:color="auto" w:fill="D9D9D9" w:themeFill="background1" w:themeFillShade="D9"/>
          </w:tcPr>
          <w:p w14:paraId="2918B2B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587" w:type="dxa"/>
            <w:tcBorders>
              <w:top w:val="double" w:sz="4" w:space="0" w:color="auto"/>
            </w:tcBorders>
            <w:shd w:val="clear" w:color="auto" w:fill="D9D9D9" w:themeFill="background1" w:themeFillShade="D9"/>
          </w:tcPr>
          <w:p w14:paraId="338E076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493" w:type="dxa"/>
            <w:tcBorders>
              <w:top w:val="double" w:sz="4" w:space="0" w:color="auto"/>
            </w:tcBorders>
            <w:shd w:val="clear" w:color="auto" w:fill="D9D9D9" w:themeFill="background1" w:themeFillShade="D9"/>
          </w:tcPr>
          <w:p w14:paraId="6ABFC9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Базна година </w:t>
            </w:r>
          </w:p>
        </w:tc>
        <w:tc>
          <w:tcPr>
            <w:tcW w:w="1400" w:type="dxa"/>
            <w:tcBorders>
              <w:top w:val="double" w:sz="4" w:space="0" w:color="auto"/>
            </w:tcBorders>
            <w:shd w:val="clear" w:color="auto" w:fill="D9D9D9" w:themeFill="background1" w:themeFillShade="D9"/>
          </w:tcPr>
          <w:p w14:paraId="5AAA91F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Циљaна вредност </w:t>
            </w:r>
          </w:p>
        </w:tc>
        <w:tc>
          <w:tcPr>
            <w:tcW w:w="1600" w:type="dxa"/>
            <w:tcBorders>
              <w:top w:val="double" w:sz="4" w:space="0" w:color="auto"/>
            </w:tcBorders>
            <w:shd w:val="clear" w:color="auto" w:fill="D9D9D9" w:themeFill="background1" w:themeFillShade="D9"/>
          </w:tcPr>
          <w:p w14:paraId="5CAF008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Последња година важења АП </w:t>
            </w:r>
          </w:p>
        </w:tc>
      </w:tr>
      <w:tr w:rsidR="00921DBE" w:rsidRPr="00E84C93" w14:paraId="6ECFE255" w14:textId="77777777" w:rsidTr="00085A1A">
        <w:trPr>
          <w:trHeight w:val="197"/>
        </w:trPr>
        <w:tc>
          <w:tcPr>
            <w:tcW w:w="4663" w:type="dxa"/>
            <w:tcBorders>
              <w:top w:val="double" w:sz="4" w:space="0" w:color="auto"/>
            </w:tcBorders>
            <w:shd w:val="clear" w:color="auto" w:fill="FFFFFF" w:themeFill="background1"/>
          </w:tcPr>
          <w:p w14:paraId="390A3369"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Степен искоришћеног муља у односу на генерисани</w:t>
            </w:r>
          </w:p>
        </w:tc>
        <w:tc>
          <w:tcPr>
            <w:tcW w:w="1111" w:type="dxa"/>
            <w:tcBorders>
              <w:top w:val="double" w:sz="4" w:space="0" w:color="auto"/>
            </w:tcBorders>
            <w:shd w:val="clear" w:color="auto" w:fill="FFFFFF" w:themeFill="background1"/>
          </w:tcPr>
          <w:p w14:paraId="57631F9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w:t>
            </w:r>
          </w:p>
        </w:tc>
        <w:tc>
          <w:tcPr>
            <w:tcW w:w="1680" w:type="dxa"/>
            <w:tcBorders>
              <w:top w:val="double" w:sz="4" w:space="0" w:color="auto"/>
            </w:tcBorders>
            <w:shd w:val="clear" w:color="auto" w:fill="FFFFFF" w:themeFill="background1"/>
          </w:tcPr>
          <w:p w14:paraId="10C05CB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Годишњи Извештај о стању животне средине у Републици Србији (АЗЖС)</w:t>
            </w:r>
          </w:p>
        </w:tc>
        <w:tc>
          <w:tcPr>
            <w:tcW w:w="1587" w:type="dxa"/>
            <w:tcBorders>
              <w:top w:val="double" w:sz="4" w:space="0" w:color="auto"/>
            </w:tcBorders>
            <w:shd w:val="clear" w:color="auto" w:fill="FFFFFF" w:themeFill="background1"/>
          </w:tcPr>
          <w:p w14:paraId="3EB0D4E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493" w:type="dxa"/>
            <w:tcBorders>
              <w:top w:val="double" w:sz="4" w:space="0" w:color="auto"/>
            </w:tcBorders>
            <w:shd w:val="clear" w:color="auto" w:fill="FFFFFF" w:themeFill="background1"/>
          </w:tcPr>
          <w:p w14:paraId="20E4A39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400" w:type="dxa"/>
            <w:tcBorders>
              <w:top w:val="double" w:sz="4" w:space="0" w:color="auto"/>
            </w:tcBorders>
            <w:shd w:val="clear" w:color="auto" w:fill="FFFFFF" w:themeFill="background1"/>
          </w:tcPr>
          <w:p w14:paraId="7E65CE5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50</w:t>
            </w:r>
          </w:p>
        </w:tc>
        <w:tc>
          <w:tcPr>
            <w:tcW w:w="1600" w:type="dxa"/>
            <w:tcBorders>
              <w:top w:val="double" w:sz="4" w:space="0" w:color="auto"/>
            </w:tcBorders>
            <w:shd w:val="clear" w:color="auto" w:fill="FFFFFF" w:themeFill="background1"/>
          </w:tcPr>
          <w:p w14:paraId="22AA000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2027</w:t>
            </w:r>
          </w:p>
        </w:tc>
      </w:tr>
    </w:tbl>
    <w:p w14:paraId="382AD642" w14:textId="77777777" w:rsidR="00921DBE" w:rsidRPr="00E84C93" w:rsidRDefault="00921DBE" w:rsidP="00921DBE">
      <w:pPr>
        <w:spacing w:after="0"/>
        <w:rPr>
          <w:rFonts w:cs="Times New Roman"/>
          <w:sz w:val="20"/>
          <w:szCs w:val="20"/>
          <w:lang w:val="sr-Cyrl-CS"/>
        </w:rPr>
      </w:pPr>
    </w:p>
    <w:p w14:paraId="5E6A73B9" w14:textId="77777777" w:rsidR="00921DBE" w:rsidRPr="00E84C93" w:rsidRDefault="00921DBE" w:rsidP="00921DBE">
      <w:pPr>
        <w:spacing w:after="0"/>
        <w:rPr>
          <w:rFonts w:cs="Times New Roman"/>
          <w:sz w:val="20"/>
          <w:szCs w:val="20"/>
          <w:lang w:val="sr-Cyrl-CS"/>
        </w:rPr>
      </w:pPr>
    </w:p>
    <w:tbl>
      <w:tblPr>
        <w:tblStyle w:val="TableGrid"/>
        <w:tblW w:w="13563"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158"/>
      </w:tblGrid>
      <w:tr w:rsidR="00921DBE" w:rsidRPr="00E84C93" w14:paraId="051364C9"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tcPr>
          <w:p w14:paraId="34E66091"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Посебан циљ 1: </w:t>
            </w:r>
            <w:r w:rsidRPr="00E84C93">
              <w:rPr>
                <w:b/>
                <w:sz w:val="20"/>
                <w:szCs w:val="20"/>
                <w:lang w:val="sr-Cyrl-CS"/>
              </w:rPr>
              <w:t>Усклађена национална регулатива са прописима ЕУ у области управљања муљем из постројења за пречишћавање отпадних вода</w:t>
            </w:r>
          </w:p>
        </w:tc>
      </w:tr>
      <w:tr w:rsidR="00921DBE" w:rsidRPr="00E84C93" w14:paraId="3BD99F7A"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vAlign w:val="center"/>
          </w:tcPr>
          <w:p w14:paraId="540E18C8" w14:textId="77777777" w:rsidR="00921DBE" w:rsidRPr="00E84C93" w:rsidRDefault="00921DBE" w:rsidP="00085A1A">
            <w:pPr>
              <w:rPr>
                <w:rFonts w:cs="Times New Roman"/>
                <w:sz w:val="20"/>
                <w:szCs w:val="20"/>
                <w:lang w:val="sr-Cyrl-CS"/>
              </w:rPr>
            </w:pPr>
            <w:r w:rsidRPr="00E84C93">
              <w:rPr>
                <w:rFonts w:eastAsia="Times New Roman" w:cs="Times New Roman"/>
                <w:sz w:val="20"/>
                <w:szCs w:val="20"/>
                <w:lang w:val="sr-Cyrl-CS"/>
              </w:rPr>
              <w:t xml:space="preserve">Институција одговорна за координацију и извештавање: Министарство </w:t>
            </w:r>
            <w:r w:rsidRPr="00E84C93">
              <w:rPr>
                <w:sz w:val="20"/>
                <w:szCs w:val="20"/>
                <w:lang w:val="sr-Cyrl-CS"/>
              </w:rPr>
              <w:t>пољопривреде, шумарства и водопривреде, Министарство заштите животне средине</w:t>
            </w:r>
          </w:p>
        </w:tc>
      </w:tr>
      <w:tr w:rsidR="00921DBE" w:rsidRPr="00E84C93" w14:paraId="75E8AED9" w14:textId="77777777" w:rsidTr="00085A1A">
        <w:trPr>
          <w:trHeight w:val="614"/>
        </w:trPr>
        <w:tc>
          <w:tcPr>
            <w:tcW w:w="3073" w:type="dxa"/>
            <w:tcBorders>
              <w:top w:val="double" w:sz="4" w:space="0" w:color="auto"/>
            </w:tcBorders>
            <w:shd w:val="clear" w:color="auto" w:fill="D9D9D9" w:themeFill="background1" w:themeFillShade="D9"/>
          </w:tcPr>
          <w:p w14:paraId="26C7D79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посебног циља </w:t>
            </w:r>
            <w:r w:rsidRPr="00E84C93">
              <w:rPr>
                <w:rFonts w:cs="Times New Roman"/>
                <w:i/>
                <w:sz w:val="20"/>
                <w:szCs w:val="20"/>
                <w:lang w:val="sr-Cyrl-CS"/>
              </w:rPr>
              <w:t>(показатељ исхода)</w:t>
            </w:r>
          </w:p>
        </w:tc>
        <w:tc>
          <w:tcPr>
            <w:tcW w:w="1413" w:type="dxa"/>
            <w:tcBorders>
              <w:top w:val="double" w:sz="4" w:space="0" w:color="auto"/>
            </w:tcBorders>
            <w:shd w:val="clear" w:color="auto" w:fill="D9D9D9" w:themeFill="background1" w:themeFillShade="D9"/>
          </w:tcPr>
          <w:p w14:paraId="5BA6DEF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p w14:paraId="2BC4E0DB" w14:textId="77777777" w:rsidR="00921DBE" w:rsidRPr="00E84C93" w:rsidRDefault="00921DBE" w:rsidP="00085A1A">
            <w:pPr>
              <w:rPr>
                <w:rFonts w:cs="Times New Roman"/>
                <w:sz w:val="20"/>
                <w:szCs w:val="20"/>
                <w:lang w:val="sr-Cyrl-CS"/>
              </w:rPr>
            </w:pPr>
          </w:p>
        </w:tc>
        <w:tc>
          <w:tcPr>
            <w:tcW w:w="1079" w:type="dxa"/>
            <w:tcBorders>
              <w:top w:val="double" w:sz="4" w:space="0" w:color="auto"/>
            </w:tcBorders>
            <w:shd w:val="clear" w:color="auto" w:fill="D9D9D9" w:themeFill="background1" w:themeFillShade="D9"/>
          </w:tcPr>
          <w:p w14:paraId="3AF308B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80" w:type="dxa"/>
            <w:tcBorders>
              <w:top w:val="double" w:sz="4" w:space="0" w:color="auto"/>
            </w:tcBorders>
            <w:shd w:val="clear" w:color="auto" w:fill="D9D9D9" w:themeFill="background1" w:themeFillShade="D9"/>
          </w:tcPr>
          <w:p w14:paraId="18A19E6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990" w:type="dxa"/>
            <w:tcBorders>
              <w:top w:val="double" w:sz="4" w:space="0" w:color="auto"/>
            </w:tcBorders>
            <w:shd w:val="clear" w:color="auto" w:fill="D9D9D9" w:themeFill="background1" w:themeFillShade="D9"/>
          </w:tcPr>
          <w:p w14:paraId="0B45E9E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170" w:type="dxa"/>
            <w:tcBorders>
              <w:top w:val="double" w:sz="4" w:space="0" w:color="auto"/>
            </w:tcBorders>
            <w:shd w:val="clear" w:color="auto" w:fill="D9D9D9" w:themeFill="background1" w:themeFillShade="D9"/>
          </w:tcPr>
          <w:p w14:paraId="142ADD4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170" w:type="dxa"/>
            <w:tcBorders>
              <w:top w:val="double" w:sz="4" w:space="0" w:color="auto"/>
            </w:tcBorders>
            <w:shd w:val="clear" w:color="auto" w:fill="D9D9D9" w:themeFill="background1" w:themeFillShade="D9"/>
          </w:tcPr>
          <w:p w14:paraId="4B785DB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260" w:type="dxa"/>
            <w:tcBorders>
              <w:top w:val="double" w:sz="4" w:space="0" w:color="auto"/>
              <w:right w:val="single" w:sz="4" w:space="0" w:color="auto"/>
            </w:tcBorders>
            <w:shd w:val="clear" w:color="auto" w:fill="D9D9D9" w:themeFill="background1" w:themeFillShade="D9"/>
          </w:tcPr>
          <w:p w14:paraId="63AF01C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4BE4FFA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158" w:type="dxa"/>
            <w:tcBorders>
              <w:top w:val="double" w:sz="4" w:space="0" w:color="auto"/>
              <w:left w:val="single" w:sz="4" w:space="0" w:color="auto"/>
              <w:right w:val="double" w:sz="4" w:space="0" w:color="auto"/>
            </w:tcBorders>
            <w:shd w:val="clear" w:color="auto" w:fill="D9D9D9" w:themeFill="background1" w:themeFillShade="D9"/>
          </w:tcPr>
          <w:p w14:paraId="2B30458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23D419BB" w14:textId="77777777" w:rsidTr="00085A1A">
        <w:trPr>
          <w:trHeight w:val="271"/>
        </w:trPr>
        <w:tc>
          <w:tcPr>
            <w:tcW w:w="3073" w:type="dxa"/>
            <w:tcBorders>
              <w:top w:val="double" w:sz="4" w:space="0" w:color="auto"/>
            </w:tcBorders>
            <w:shd w:val="clear" w:color="auto" w:fill="FFFFFF" w:themeFill="background1"/>
          </w:tcPr>
          <w:p w14:paraId="7A88B45D" w14:textId="77777777" w:rsidR="00921DBE" w:rsidRPr="00E84C93" w:rsidRDefault="00921DBE" w:rsidP="00085A1A">
            <w:pPr>
              <w:shd w:val="clear" w:color="auto" w:fill="FFFFFF" w:themeFill="background1"/>
              <w:rPr>
                <w:rFonts w:cs="Times New Roman"/>
                <w:iCs/>
                <w:sz w:val="20"/>
                <w:szCs w:val="20"/>
                <w:lang w:val="sr-Cyrl-CS"/>
              </w:rPr>
            </w:pPr>
            <w:r w:rsidRPr="00E84C93">
              <w:rPr>
                <w:rFonts w:cs="Times New Roman"/>
                <w:sz w:val="20"/>
                <w:szCs w:val="20"/>
                <w:lang w:val="sr-Cyrl-CS"/>
              </w:rPr>
              <w:t>Донет акт о примени муља у пољопривреди</w:t>
            </w:r>
          </w:p>
        </w:tc>
        <w:tc>
          <w:tcPr>
            <w:tcW w:w="1413" w:type="dxa"/>
            <w:tcBorders>
              <w:top w:val="double" w:sz="4" w:space="0" w:color="auto"/>
            </w:tcBorders>
            <w:shd w:val="clear" w:color="auto" w:fill="FFFFFF" w:themeFill="background1"/>
          </w:tcPr>
          <w:p w14:paraId="697C459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Да/Не</w:t>
            </w:r>
          </w:p>
        </w:tc>
        <w:tc>
          <w:tcPr>
            <w:tcW w:w="1079" w:type="dxa"/>
            <w:tcBorders>
              <w:top w:val="double" w:sz="4" w:space="0" w:color="auto"/>
            </w:tcBorders>
            <w:shd w:val="clear" w:color="auto" w:fill="FFFFFF" w:themeFill="background1"/>
          </w:tcPr>
          <w:p w14:paraId="5F86FB7C" w14:textId="77777777" w:rsidR="00921DBE" w:rsidRPr="00E84C93" w:rsidRDefault="00921DBE" w:rsidP="00085A1A">
            <w:pPr>
              <w:pStyle w:val="Default"/>
              <w:jc w:val="center"/>
              <w:rPr>
                <w:rFonts w:ascii="Times New Roman" w:hAnsi="Times New Roman" w:cs="Times New Roman"/>
                <w:sz w:val="20"/>
                <w:szCs w:val="20"/>
                <w:lang w:val="sr-Cyrl-CS"/>
              </w:rPr>
            </w:pPr>
            <w:r w:rsidRPr="00E84C93">
              <w:rPr>
                <w:rFonts w:ascii="Times New Roman" w:hAnsi="Times New Roman" w:cs="Times New Roman"/>
                <w:sz w:val="20"/>
                <w:szCs w:val="20"/>
                <w:lang w:val="sr-Cyrl-CS"/>
              </w:rPr>
              <w:t xml:space="preserve"> Извештај о раду Владе </w:t>
            </w:r>
          </w:p>
        </w:tc>
        <w:tc>
          <w:tcPr>
            <w:tcW w:w="1080" w:type="dxa"/>
            <w:tcBorders>
              <w:top w:val="double" w:sz="4" w:space="0" w:color="auto"/>
            </w:tcBorders>
            <w:shd w:val="clear" w:color="auto" w:fill="FFFFFF" w:themeFill="background1"/>
          </w:tcPr>
          <w:p w14:paraId="586ABC6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990" w:type="dxa"/>
            <w:tcBorders>
              <w:top w:val="double" w:sz="4" w:space="0" w:color="auto"/>
            </w:tcBorders>
            <w:shd w:val="clear" w:color="auto" w:fill="FFFFFF" w:themeFill="background1"/>
          </w:tcPr>
          <w:p w14:paraId="11C9CA8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170" w:type="dxa"/>
            <w:tcBorders>
              <w:top w:val="double" w:sz="4" w:space="0" w:color="auto"/>
            </w:tcBorders>
            <w:shd w:val="clear" w:color="auto" w:fill="FFFFFF" w:themeFill="background1"/>
          </w:tcPr>
          <w:p w14:paraId="056A749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170" w:type="dxa"/>
            <w:tcBorders>
              <w:top w:val="double" w:sz="4" w:space="0" w:color="auto"/>
            </w:tcBorders>
            <w:shd w:val="clear" w:color="auto" w:fill="FFFFFF" w:themeFill="background1"/>
          </w:tcPr>
          <w:p w14:paraId="60082B8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260" w:type="dxa"/>
            <w:tcBorders>
              <w:top w:val="double" w:sz="4" w:space="0" w:color="auto"/>
              <w:right w:val="single" w:sz="4" w:space="0" w:color="auto"/>
            </w:tcBorders>
            <w:shd w:val="clear" w:color="auto" w:fill="FFFFFF" w:themeFill="background1"/>
          </w:tcPr>
          <w:p w14:paraId="347BF13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170" w:type="dxa"/>
            <w:tcBorders>
              <w:top w:val="double" w:sz="4" w:space="0" w:color="auto"/>
              <w:left w:val="single" w:sz="4" w:space="0" w:color="auto"/>
              <w:right w:val="single" w:sz="4" w:space="0" w:color="auto"/>
            </w:tcBorders>
            <w:shd w:val="clear" w:color="auto" w:fill="FFFFFF" w:themeFill="background1"/>
          </w:tcPr>
          <w:p w14:paraId="11E1331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158" w:type="dxa"/>
            <w:tcBorders>
              <w:top w:val="double" w:sz="4" w:space="0" w:color="auto"/>
              <w:left w:val="single" w:sz="4" w:space="0" w:color="auto"/>
              <w:right w:val="double" w:sz="4" w:space="0" w:color="auto"/>
            </w:tcBorders>
            <w:shd w:val="clear" w:color="auto" w:fill="FFFFFF" w:themeFill="background1"/>
          </w:tcPr>
          <w:p w14:paraId="0771624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Да </w:t>
            </w:r>
          </w:p>
        </w:tc>
      </w:tr>
    </w:tbl>
    <w:p w14:paraId="1AEBEFE8" w14:textId="77777777" w:rsidR="00921DBE" w:rsidRPr="00E84C93" w:rsidRDefault="00921DBE" w:rsidP="00921DBE">
      <w:pPr>
        <w:tabs>
          <w:tab w:val="left" w:pos="1940"/>
        </w:tabs>
        <w:spacing w:after="0"/>
        <w:rPr>
          <w:rFonts w:cs="Times New Roman"/>
          <w:sz w:val="20"/>
          <w:szCs w:val="20"/>
          <w:lang w:val="sr-Cyrl-CS"/>
        </w:rPr>
      </w:pPr>
    </w:p>
    <w:p w14:paraId="685F4A01"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64D55649"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AA70771"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lastRenderedPageBreak/>
              <w:t xml:space="preserve">Мера 1.1: </w:t>
            </w:r>
            <w:r w:rsidRPr="00E84C93">
              <w:rPr>
                <w:bCs/>
                <w:sz w:val="20"/>
                <w:szCs w:val="20"/>
                <w:lang w:val="sr-Cyrl-CS"/>
              </w:rPr>
              <w:t>Усклађивање правног оквира са Директивом ЕУ о муљу из постројења за пречишћавање отпадних вода</w:t>
            </w:r>
          </w:p>
        </w:tc>
      </w:tr>
      <w:tr w:rsidR="00921DBE" w:rsidRPr="00E84C93" w14:paraId="542BFB64"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75C1F5C"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w:t>
            </w:r>
            <w:r w:rsidRPr="00E84C93">
              <w:rPr>
                <w:rFonts w:cs="Times New Roman"/>
                <w:sz w:val="20"/>
                <w:szCs w:val="20"/>
                <w:lang w:val="sr-Cyrl-CS" w:eastAsia="en-GB"/>
              </w:rPr>
              <w:t>пољопривреде, шумарства и водопривреде, Министарство заштите животне средине</w:t>
            </w:r>
          </w:p>
        </w:tc>
      </w:tr>
      <w:tr w:rsidR="00921DBE" w:rsidRPr="00E84C93" w14:paraId="56366C16"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658058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2023-2025</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9D973A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sz w:val="20"/>
                <w:szCs w:val="20"/>
                <w:lang w:val="sr-Cyrl-CS" w:eastAsia="en-GB"/>
              </w:rPr>
              <w:t>Регулаторна</w:t>
            </w:r>
          </w:p>
        </w:tc>
      </w:tr>
      <w:tr w:rsidR="00921DBE" w:rsidRPr="00E84C93" w14:paraId="6A470BC2"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DD7E7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4908A6" w14:textId="77777777" w:rsidR="00921DBE" w:rsidRPr="00E84C93" w:rsidRDefault="00921DBE" w:rsidP="00085A1A">
            <w:pPr>
              <w:spacing w:after="0"/>
              <w:rPr>
                <w:noProof/>
                <w:sz w:val="20"/>
                <w:szCs w:val="20"/>
                <w:lang w:val="sr-Cyrl-CS"/>
              </w:rPr>
            </w:pPr>
            <w:r w:rsidRPr="00E84C93">
              <w:rPr>
                <w:noProof/>
                <w:sz w:val="20"/>
                <w:szCs w:val="20"/>
                <w:lang w:val="sr-Cyrl-CS"/>
              </w:rPr>
              <w:t>Закон о управљању отпадом</w:t>
            </w:r>
          </w:p>
          <w:p w14:paraId="28DDA059" w14:textId="77777777" w:rsidR="00921DBE" w:rsidRPr="00E84C93" w:rsidRDefault="00921DBE" w:rsidP="00085A1A">
            <w:pPr>
              <w:spacing w:after="0"/>
              <w:rPr>
                <w:rFonts w:cs="Times New Roman"/>
                <w:sz w:val="20"/>
                <w:szCs w:val="20"/>
                <w:lang w:val="sr-Cyrl-CS"/>
              </w:rPr>
            </w:pPr>
            <w:r w:rsidRPr="00E84C93">
              <w:rPr>
                <w:noProof/>
                <w:sz w:val="20"/>
                <w:szCs w:val="20"/>
                <w:lang w:val="sr-Cyrl-CS"/>
              </w:rPr>
              <w:t>Закон о пољопривредном земљишту</w:t>
            </w:r>
          </w:p>
          <w:p w14:paraId="595D45AE" w14:textId="77777777" w:rsidR="00921DBE" w:rsidRPr="00E84C93" w:rsidRDefault="00921DBE" w:rsidP="00085A1A">
            <w:pPr>
              <w:spacing w:after="0"/>
              <w:rPr>
                <w:rFonts w:cs="Times New Roman"/>
                <w:sz w:val="20"/>
                <w:szCs w:val="20"/>
                <w:lang w:val="sr-Cyrl-CS"/>
              </w:rPr>
            </w:pPr>
            <w:r w:rsidRPr="00E84C93">
              <w:rPr>
                <w:rFonts w:cs="Times New Roman"/>
                <w:sz w:val="20"/>
                <w:szCs w:val="20"/>
                <w:lang w:val="sr-Cyrl-CS"/>
              </w:rPr>
              <w:t>Уредба за</w:t>
            </w:r>
            <w:r w:rsidRPr="00E84C93">
              <w:rPr>
                <w:sz w:val="20"/>
                <w:szCs w:val="20"/>
                <w:lang w:val="sr-Cyrl-CS"/>
              </w:rPr>
              <w:t xml:space="preserve"> усаглашавање домаћег законодавство са Директивом о муљу</w:t>
            </w:r>
          </w:p>
        </w:tc>
      </w:tr>
      <w:tr w:rsidR="00921DBE" w:rsidRPr="00E84C93" w14:paraId="66277329"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429B12B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522A501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3C4EAE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319AE6D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1E9686E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0FC2C3C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3DDDA46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AF8C79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50E440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7F54755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60B581A8"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1279C7D6"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Усклађен правни оквир са Директивом ЕУ о муљу из постројења за пречишћавање отпадних вода</w:t>
            </w:r>
          </w:p>
        </w:tc>
        <w:tc>
          <w:tcPr>
            <w:tcW w:w="1430" w:type="dxa"/>
            <w:tcBorders>
              <w:top w:val="double" w:sz="4" w:space="0" w:color="auto"/>
              <w:bottom w:val="double" w:sz="4" w:space="0" w:color="auto"/>
            </w:tcBorders>
            <w:shd w:val="clear" w:color="auto" w:fill="FFFFFF" w:themeFill="background1"/>
          </w:tcPr>
          <w:p w14:paraId="64F40B5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Да/Не</w:t>
            </w:r>
          </w:p>
        </w:tc>
        <w:tc>
          <w:tcPr>
            <w:tcW w:w="1337" w:type="dxa"/>
            <w:tcBorders>
              <w:top w:val="double" w:sz="4" w:space="0" w:color="auto"/>
              <w:bottom w:val="double" w:sz="4" w:space="0" w:color="auto"/>
            </w:tcBorders>
            <w:shd w:val="clear" w:color="auto" w:fill="FFFFFF" w:themeFill="background1"/>
          </w:tcPr>
          <w:p w14:paraId="01642E6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sz w:val="20"/>
                <w:szCs w:val="20"/>
                <w:lang w:val="sr-Cyrl-CS"/>
              </w:rPr>
              <w:t xml:space="preserve">Извештај МПШВ </w:t>
            </w:r>
          </w:p>
        </w:tc>
        <w:tc>
          <w:tcPr>
            <w:tcW w:w="1099" w:type="dxa"/>
            <w:gridSpan w:val="2"/>
            <w:tcBorders>
              <w:top w:val="double" w:sz="4" w:space="0" w:color="auto"/>
              <w:bottom w:val="double" w:sz="4" w:space="0" w:color="auto"/>
            </w:tcBorders>
            <w:shd w:val="clear" w:color="auto" w:fill="FFFFFF" w:themeFill="background1"/>
          </w:tcPr>
          <w:p w14:paraId="7B55BDF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350" w:type="dxa"/>
            <w:tcBorders>
              <w:top w:val="double" w:sz="4" w:space="0" w:color="auto"/>
              <w:bottom w:val="double" w:sz="4" w:space="0" w:color="auto"/>
            </w:tcBorders>
            <w:shd w:val="clear" w:color="auto" w:fill="FFFFFF" w:themeFill="background1"/>
          </w:tcPr>
          <w:p w14:paraId="2364EF8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7245710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6D0EA7E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664B70BA" w14:textId="77777777" w:rsidR="00921DBE" w:rsidRPr="00E84C93" w:rsidRDefault="00921DBE" w:rsidP="00085A1A">
            <w:pPr>
              <w:shd w:val="clear" w:color="auto" w:fill="FFFFFF" w:themeFill="background1"/>
              <w:jc w:val="center"/>
              <w:rPr>
                <w:rFonts w:cs="Times New Roman"/>
                <w:sz w:val="20"/>
                <w:szCs w:val="20"/>
                <w:highlight w:val="yellow"/>
                <w:lang w:val="sr-Cyrl-CS"/>
              </w:rPr>
            </w:pPr>
            <w:r w:rsidRPr="00E84C93">
              <w:rPr>
                <w:rFonts w:cs="Times New Roman"/>
                <w:sz w:val="20"/>
                <w:szCs w:val="20"/>
                <w:lang w:val="sr-Cyrl-CS"/>
              </w:rPr>
              <w:t>Не</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7730718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076" w:type="dxa"/>
            <w:tcBorders>
              <w:top w:val="double" w:sz="4" w:space="0" w:color="auto"/>
              <w:left w:val="single" w:sz="4" w:space="0" w:color="auto"/>
              <w:bottom w:val="double" w:sz="4" w:space="0" w:color="auto"/>
              <w:right w:val="double" w:sz="4" w:space="0" w:color="auto"/>
            </w:tcBorders>
            <w:shd w:val="clear" w:color="auto" w:fill="FFFFFF" w:themeFill="background1"/>
          </w:tcPr>
          <w:p w14:paraId="187F24DA"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Да</w:t>
            </w:r>
          </w:p>
        </w:tc>
      </w:tr>
    </w:tbl>
    <w:p w14:paraId="2E3BE84B"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4D74C223"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4B4B4C0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22B18184"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0EC262E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5259B387"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4919E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02425DAC"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13488A2A"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60E931BE"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26209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BDF1A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ECDD4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0F2A4F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7AEA6C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1C5EB947"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471041E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55BD6AD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0102-0003</w:t>
            </w:r>
          </w:p>
          <w:p w14:paraId="5EB90A8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0406-0001</w:t>
            </w:r>
          </w:p>
        </w:tc>
        <w:tc>
          <w:tcPr>
            <w:tcW w:w="1526" w:type="dxa"/>
            <w:tcBorders>
              <w:left w:val="double" w:sz="4" w:space="0" w:color="auto"/>
              <w:bottom w:val="double" w:sz="4" w:space="0" w:color="auto"/>
              <w:right w:val="double" w:sz="4" w:space="0" w:color="auto"/>
            </w:tcBorders>
            <w:shd w:val="clear" w:color="auto" w:fill="FFFFFF" w:themeFill="background1"/>
          </w:tcPr>
          <w:p w14:paraId="7BD6CFDC"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7AF128C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10B7204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5C5F367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13.000*</w:t>
            </w:r>
          </w:p>
        </w:tc>
        <w:tc>
          <w:tcPr>
            <w:tcW w:w="1440" w:type="dxa"/>
            <w:tcBorders>
              <w:left w:val="double" w:sz="4" w:space="0" w:color="auto"/>
              <w:bottom w:val="double" w:sz="4" w:space="0" w:color="auto"/>
              <w:right w:val="double" w:sz="4" w:space="0" w:color="auto"/>
            </w:tcBorders>
            <w:shd w:val="clear" w:color="auto" w:fill="FFFFFF" w:themeFill="background1"/>
          </w:tcPr>
          <w:p w14:paraId="4BB93C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13.000*</w:t>
            </w:r>
          </w:p>
        </w:tc>
      </w:tr>
    </w:tbl>
    <w:p w14:paraId="78F697BB"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72EDAC06" w14:textId="77777777" w:rsidTr="00085A1A">
        <w:trPr>
          <w:trHeight w:val="146"/>
        </w:trPr>
        <w:tc>
          <w:tcPr>
            <w:tcW w:w="2725" w:type="dxa"/>
            <w:vMerge w:val="restart"/>
            <w:shd w:val="clear" w:color="auto" w:fill="FFF2CC" w:themeFill="accent4" w:themeFillTint="33"/>
          </w:tcPr>
          <w:p w14:paraId="2727D0F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3D87E96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2211AFD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1B93B76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0CEEC9C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3FBF79F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2FB79635"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310A4B0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7E3B9ECA" w14:textId="77777777" w:rsidTr="00085A1A">
        <w:trPr>
          <w:trHeight w:val="405"/>
        </w:trPr>
        <w:tc>
          <w:tcPr>
            <w:tcW w:w="2725" w:type="dxa"/>
            <w:vMerge/>
            <w:shd w:val="clear" w:color="auto" w:fill="FFF2CC" w:themeFill="accent4" w:themeFillTint="33"/>
          </w:tcPr>
          <w:p w14:paraId="22ED69E0"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09038E6B"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687B62C1"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608875AE"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6E177FCE"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168EFBBF"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065C963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28FCA9C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000A2EA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21ACA41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771F137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0698BF20" w14:textId="77777777" w:rsidTr="00085A1A">
        <w:trPr>
          <w:trHeight w:val="320"/>
        </w:trPr>
        <w:tc>
          <w:tcPr>
            <w:tcW w:w="2725" w:type="dxa"/>
            <w:vMerge w:val="restart"/>
          </w:tcPr>
          <w:p w14:paraId="5047994D" w14:textId="77777777" w:rsidR="00921DBE" w:rsidRPr="00E84C93" w:rsidRDefault="00921DBE" w:rsidP="00085A1A">
            <w:pPr>
              <w:rPr>
                <w:rFonts w:cs="Times New Roman"/>
                <w:sz w:val="20"/>
                <w:szCs w:val="20"/>
                <w:highlight w:val="yellow"/>
                <w:lang w:val="sr-Cyrl-CS"/>
              </w:rPr>
            </w:pPr>
            <w:r w:rsidRPr="00E84C93">
              <w:rPr>
                <w:sz w:val="20"/>
                <w:szCs w:val="20"/>
                <w:lang w:val="sr-Cyrl-CS"/>
              </w:rPr>
              <w:t>1.1.1.Мапирање разлике у регулативи РС у односу на Директиву ЕУ о муљу</w:t>
            </w:r>
          </w:p>
        </w:tc>
        <w:tc>
          <w:tcPr>
            <w:tcW w:w="1239" w:type="dxa"/>
            <w:vMerge w:val="restart"/>
          </w:tcPr>
          <w:p w14:paraId="65D10AC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41" w:type="dxa"/>
            <w:vMerge w:val="restart"/>
          </w:tcPr>
          <w:p w14:paraId="1F97F63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 АП</w:t>
            </w:r>
          </w:p>
        </w:tc>
        <w:tc>
          <w:tcPr>
            <w:tcW w:w="1260" w:type="dxa"/>
            <w:vMerge w:val="restart"/>
            <w:shd w:val="clear" w:color="auto" w:fill="auto"/>
          </w:tcPr>
          <w:p w14:paraId="23CCBDF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2024.</w:t>
            </w:r>
          </w:p>
        </w:tc>
        <w:tc>
          <w:tcPr>
            <w:tcW w:w="1440" w:type="dxa"/>
            <w:vMerge w:val="restart"/>
          </w:tcPr>
          <w:p w14:paraId="009FC855"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0CD5091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0102-0003</w:t>
            </w:r>
          </w:p>
          <w:p w14:paraId="63C9C71D" w14:textId="77777777" w:rsidR="00921DBE" w:rsidRPr="00E84C93" w:rsidRDefault="00921DBE" w:rsidP="00085A1A">
            <w:pPr>
              <w:rPr>
                <w:rFonts w:cs="Times New Roman"/>
                <w:sz w:val="20"/>
                <w:szCs w:val="20"/>
                <w:lang w:val="sr-Cyrl-CS"/>
              </w:rPr>
            </w:pPr>
          </w:p>
        </w:tc>
        <w:tc>
          <w:tcPr>
            <w:tcW w:w="903" w:type="dxa"/>
          </w:tcPr>
          <w:p w14:paraId="4EE8852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w:t>
            </w:r>
          </w:p>
        </w:tc>
        <w:tc>
          <w:tcPr>
            <w:tcW w:w="904" w:type="dxa"/>
          </w:tcPr>
          <w:p w14:paraId="4948203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r w:rsidRPr="00E84C93">
              <w:rPr>
                <w:rStyle w:val="FootnoteReference"/>
                <w:rFonts w:cs="Times New Roman"/>
                <w:sz w:val="20"/>
                <w:szCs w:val="20"/>
                <w:lang w:val="sr-Cyrl-CS"/>
              </w:rPr>
              <w:footnoteReference w:id="6"/>
            </w:r>
          </w:p>
        </w:tc>
        <w:tc>
          <w:tcPr>
            <w:tcW w:w="903" w:type="dxa"/>
          </w:tcPr>
          <w:p w14:paraId="6F081CDE" w14:textId="77777777" w:rsidR="00921DBE" w:rsidRPr="00E84C93" w:rsidRDefault="00921DBE" w:rsidP="00085A1A">
            <w:pPr>
              <w:rPr>
                <w:rFonts w:cs="Times New Roman"/>
                <w:sz w:val="20"/>
                <w:szCs w:val="20"/>
                <w:lang w:val="sr-Cyrl-CS"/>
              </w:rPr>
            </w:pPr>
          </w:p>
        </w:tc>
        <w:tc>
          <w:tcPr>
            <w:tcW w:w="904" w:type="dxa"/>
          </w:tcPr>
          <w:p w14:paraId="2548506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4" w:type="dxa"/>
          </w:tcPr>
          <w:p w14:paraId="6241850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0E0AD05B" w14:textId="77777777" w:rsidTr="00085A1A">
        <w:trPr>
          <w:trHeight w:val="825"/>
        </w:trPr>
        <w:tc>
          <w:tcPr>
            <w:tcW w:w="2725" w:type="dxa"/>
            <w:vMerge/>
          </w:tcPr>
          <w:p w14:paraId="2CE8EBD8" w14:textId="77777777" w:rsidR="00921DBE" w:rsidRPr="00E84C93" w:rsidRDefault="00921DBE" w:rsidP="00085A1A">
            <w:pPr>
              <w:rPr>
                <w:sz w:val="20"/>
                <w:szCs w:val="20"/>
                <w:lang w:val="sr-Cyrl-CS"/>
              </w:rPr>
            </w:pPr>
          </w:p>
        </w:tc>
        <w:tc>
          <w:tcPr>
            <w:tcW w:w="1239" w:type="dxa"/>
            <w:vMerge/>
          </w:tcPr>
          <w:p w14:paraId="7EAC804D" w14:textId="77777777" w:rsidR="00921DBE" w:rsidRPr="00E84C93" w:rsidRDefault="00921DBE" w:rsidP="00085A1A">
            <w:pPr>
              <w:rPr>
                <w:rFonts w:cs="Times New Roman"/>
                <w:sz w:val="20"/>
                <w:szCs w:val="20"/>
                <w:lang w:val="sr-Cyrl-CS"/>
              </w:rPr>
            </w:pPr>
          </w:p>
        </w:tc>
        <w:tc>
          <w:tcPr>
            <w:tcW w:w="1241" w:type="dxa"/>
            <w:vMerge/>
          </w:tcPr>
          <w:p w14:paraId="3AC30B13" w14:textId="77777777" w:rsidR="00921DBE" w:rsidRPr="00E84C93" w:rsidRDefault="00921DBE" w:rsidP="00085A1A">
            <w:pPr>
              <w:rPr>
                <w:rFonts w:cs="Times New Roman"/>
                <w:sz w:val="20"/>
                <w:szCs w:val="20"/>
                <w:lang w:val="sr-Cyrl-CS"/>
              </w:rPr>
            </w:pPr>
          </w:p>
        </w:tc>
        <w:tc>
          <w:tcPr>
            <w:tcW w:w="1260" w:type="dxa"/>
            <w:vMerge/>
            <w:shd w:val="clear" w:color="auto" w:fill="auto"/>
          </w:tcPr>
          <w:p w14:paraId="678CB08A" w14:textId="77777777" w:rsidR="00921DBE" w:rsidRPr="00E84C93" w:rsidRDefault="00921DBE" w:rsidP="00085A1A">
            <w:pPr>
              <w:rPr>
                <w:rFonts w:cs="Times New Roman"/>
                <w:strike/>
                <w:sz w:val="20"/>
                <w:szCs w:val="20"/>
                <w:lang w:val="sr-Cyrl-CS"/>
              </w:rPr>
            </w:pPr>
          </w:p>
        </w:tc>
        <w:tc>
          <w:tcPr>
            <w:tcW w:w="1440" w:type="dxa"/>
            <w:vMerge/>
          </w:tcPr>
          <w:p w14:paraId="1B5D99C4" w14:textId="77777777" w:rsidR="00921DBE" w:rsidRPr="00E84C93" w:rsidRDefault="00921DBE" w:rsidP="00085A1A">
            <w:pPr>
              <w:rPr>
                <w:rFonts w:cs="Times New Roman"/>
                <w:sz w:val="18"/>
                <w:szCs w:val="18"/>
                <w:lang w:val="sr-Cyrl-CS"/>
              </w:rPr>
            </w:pPr>
          </w:p>
        </w:tc>
        <w:tc>
          <w:tcPr>
            <w:tcW w:w="1350" w:type="dxa"/>
          </w:tcPr>
          <w:p w14:paraId="70E0C2CD" w14:textId="77777777" w:rsidR="00921DBE" w:rsidRPr="00E84C93" w:rsidRDefault="00921DBE" w:rsidP="00085A1A">
            <w:pPr>
              <w:rPr>
                <w:rFonts w:cs="Times New Roman"/>
                <w:sz w:val="20"/>
                <w:szCs w:val="20"/>
                <w:lang w:val="sr-Cyrl-CS"/>
              </w:rPr>
            </w:pPr>
          </w:p>
        </w:tc>
        <w:tc>
          <w:tcPr>
            <w:tcW w:w="903" w:type="dxa"/>
          </w:tcPr>
          <w:p w14:paraId="799E2110" w14:textId="77777777" w:rsidR="00921DBE" w:rsidRPr="00E84C93" w:rsidRDefault="00921DBE" w:rsidP="00085A1A">
            <w:pPr>
              <w:rPr>
                <w:rFonts w:cs="Times New Roman"/>
                <w:sz w:val="20"/>
                <w:szCs w:val="20"/>
                <w:lang w:val="sr-Cyrl-CS"/>
              </w:rPr>
            </w:pPr>
          </w:p>
        </w:tc>
        <w:tc>
          <w:tcPr>
            <w:tcW w:w="904" w:type="dxa"/>
          </w:tcPr>
          <w:p w14:paraId="426766E9" w14:textId="77777777" w:rsidR="00921DBE" w:rsidRPr="00E84C93" w:rsidRDefault="00921DBE" w:rsidP="00085A1A">
            <w:pPr>
              <w:rPr>
                <w:rFonts w:cs="Times New Roman"/>
                <w:sz w:val="20"/>
                <w:szCs w:val="20"/>
                <w:lang w:val="sr-Cyrl-CS"/>
              </w:rPr>
            </w:pPr>
          </w:p>
        </w:tc>
        <w:tc>
          <w:tcPr>
            <w:tcW w:w="903" w:type="dxa"/>
          </w:tcPr>
          <w:p w14:paraId="13E3DB7A" w14:textId="77777777" w:rsidR="00921DBE" w:rsidRPr="00E84C93" w:rsidRDefault="00921DBE" w:rsidP="00085A1A">
            <w:pPr>
              <w:rPr>
                <w:rFonts w:cs="Times New Roman"/>
                <w:sz w:val="20"/>
                <w:szCs w:val="20"/>
                <w:lang w:val="sr-Cyrl-CS"/>
              </w:rPr>
            </w:pPr>
          </w:p>
        </w:tc>
        <w:tc>
          <w:tcPr>
            <w:tcW w:w="904" w:type="dxa"/>
          </w:tcPr>
          <w:p w14:paraId="2767A134" w14:textId="77777777" w:rsidR="00921DBE" w:rsidRPr="00E84C93" w:rsidRDefault="00921DBE" w:rsidP="00085A1A">
            <w:pPr>
              <w:rPr>
                <w:rFonts w:cs="Times New Roman"/>
                <w:sz w:val="20"/>
                <w:szCs w:val="20"/>
                <w:lang w:val="sr-Cyrl-CS"/>
              </w:rPr>
            </w:pPr>
          </w:p>
        </w:tc>
        <w:tc>
          <w:tcPr>
            <w:tcW w:w="904" w:type="dxa"/>
          </w:tcPr>
          <w:p w14:paraId="4D9FFF1D" w14:textId="77777777" w:rsidR="00921DBE" w:rsidRPr="00E84C93" w:rsidRDefault="00921DBE" w:rsidP="00085A1A">
            <w:pPr>
              <w:rPr>
                <w:rFonts w:cs="Times New Roman"/>
                <w:sz w:val="20"/>
                <w:szCs w:val="20"/>
                <w:lang w:val="sr-Cyrl-CS"/>
              </w:rPr>
            </w:pPr>
          </w:p>
        </w:tc>
      </w:tr>
      <w:tr w:rsidR="00921DBE" w:rsidRPr="00E84C93" w14:paraId="4D14F7C7" w14:textId="77777777" w:rsidTr="00085A1A">
        <w:trPr>
          <w:trHeight w:val="146"/>
        </w:trPr>
        <w:tc>
          <w:tcPr>
            <w:tcW w:w="2725" w:type="dxa"/>
          </w:tcPr>
          <w:p w14:paraId="4FE7FE36" w14:textId="77777777" w:rsidR="00921DBE" w:rsidRPr="00E84C93" w:rsidRDefault="00921DBE" w:rsidP="00085A1A">
            <w:pPr>
              <w:rPr>
                <w:sz w:val="20"/>
                <w:szCs w:val="20"/>
                <w:lang w:val="sr-Cyrl-CS"/>
              </w:rPr>
            </w:pPr>
            <w:r w:rsidRPr="00E84C93">
              <w:rPr>
                <w:rFonts w:cs="Times New Roman"/>
                <w:sz w:val="20"/>
                <w:szCs w:val="20"/>
                <w:lang w:val="sr-Cyrl-CS"/>
              </w:rPr>
              <w:t>1.1.2. Измене и допуне Закона о управљању отпадом</w:t>
            </w:r>
          </w:p>
        </w:tc>
        <w:tc>
          <w:tcPr>
            <w:tcW w:w="1239" w:type="dxa"/>
          </w:tcPr>
          <w:p w14:paraId="12103E9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143D68E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60" w:type="dxa"/>
          </w:tcPr>
          <w:p w14:paraId="12EDC45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 квартал 2023.</w:t>
            </w:r>
          </w:p>
        </w:tc>
        <w:tc>
          <w:tcPr>
            <w:tcW w:w="1440" w:type="dxa"/>
          </w:tcPr>
          <w:p w14:paraId="46927C26"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7CB19445" w14:textId="77777777" w:rsidR="00921DBE" w:rsidRPr="00E84C93" w:rsidRDefault="00921DBE" w:rsidP="00085A1A">
            <w:pPr>
              <w:rPr>
                <w:rFonts w:cs="Times New Roman"/>
                <w:sz w:val="20"/>
                <w:szCs w:val="20"/>
                <w:lang w:val="sr-Cyrl-CS"/>
              </w:rPr>
            </w:pPr>
          </w:p>
        </w:tc>
        <w:tc>
          <w:tcPr>
            <w:tcW w:w="903" w:type="dxa"/>
          </w:tcPr>
          <w:p w14:paraId="43920C6F" w14:textId="77777777" w:rsidR="00921DBE" w:rsidRPr="00E84C93" w:rsidRDefault="00921DBE" w:rsidP="00085A1A">
            <w:pPr>
              <w:rPr>
                <w:rFonts w:cs="Times New Roman"/>
                <w:sz w:val="20"/>
                <w:szCs w:val="20"/>
                <w:lang w:val="sr-Cyrl-CS"/>
              </w:rPr>
            </w:pPr>
          </w:p>
        </w:tc>
        <w:tc>
          <w:tcPr>
            <w:tcW w:w="904" w:type="dxa"/>
          </w:tcPr>
          <w:p w14:paraId="54F3D16B" w14:textId="77777777" w:rsidR="00921DBE" w:rsidRPr="00E84C93" w:rsidRDefault="00921DBE" w:rsidP="00085A1A">
            <w:pPr>
              <w:rPr>
                <w:rFonts w:cs="Times New Roman"/>
                <w:sz w:val="20"/>
                <w:szCs w:val="20"/>
                <w:lang w:val="sr-Cyrl-CS"/>
              </w:rPr>
            </w:pPr>
          </w:p>
        </w:tc>
        <w:tc>
          <w:tcPr>
            <w:tcW w:w="903" w:type="dxa"/>
          </w:tcPr>
          <w:p w14:paraId="28B5E092" w14:textId="77777777" w:rsidR="00921DBE" w:rsidRPr="00E84C93" w:rsidRDefault="00921DBE" w:rsidP="00085A1A">
            <w:pPr>
              <w:rPr>
                <w:rFonts w:cs="Times New Roman"/>
                <w:sz w:val="20"/>
                <w:szCs w:val="20"/>
                <w:lang w:val="sr-Cyrl-CS"/>
              </w:rPr>
            </w:pPr>
          </w:p>
        </w:tc>
        <w:tc>
          <w:tcPr>
            <w:tcW w:w="904" w:type="dxa"/>
          </w:tcPr>
          <w:p w14:paraId="64750DB0" w14:textId="77777777" w:rsidR="00921DBE" w:rsidRPr="00E84C93" w:rsidRDefault="00921DBE" w:rsidP="00085A1A">
            <w:pPr>
              <w:rPr>
                <w:rFonts w:cs="Times New Roman"/>
                <w:sz w:val="20"/>
                <w:szCs w:val="20"/>
                <w:lang w:val="sr-Cyrl-CS"/>
              </w:rPr>
            </w:pPr>
          </w:p>
        </w:tc>
        <w:tc>
          <w:tcPr>
            <w:tcW w:w="904" w:type="dxa"/>
          </w:tcPr>
          <w:p w14:paraId="799B122B" w14:textId="77777777" w:rsidR="00921DBE" w:rsidRPr="00E84C93" w:rsidRDefault="00921DBE" w:rsidP="00085A1A">
            <w:pPr>
              <w:rPr>
                <w:rFonts w:cs="Times New Roman"/>
                <w:sz w:val="20"/>
                <w:szCs w:val="20"/>
                <w:lang w:val="sr-Cyrl-CS"/>
              </w:rPr>
            </w:pPr>
          </w:p>
        </w:tc>
      </w:tr>
      <w:tr w:rsidR="00921DBE" w:rsidRPr="00E84C93" w14:paraId="6E6D5184" w14:textId="77777777" w:rsidTr="00085A1A">
        <w:trPr>
          <w:trHeight w:val="146"/>
        </w:trPr>
        <w:tc>
          <w:tcPr>
            <w:tcW w:w="2725" w:type="dxa"/>
          </w:tcPr>
          <w:p w14:paraId="3872666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1.1.3. Измене и допуне Закона о пољопривредном земљишту</w:t>
            </w:r>
          </w:p>
        </w:tc>
        <w:tc>
          <w:tcPr>
            <w:tcW w:w="1239" w:type="dxa"/>
          </w:tcPr>
          <w:p w14:paraId="17CE965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41" w:type="dxa"/>
          </w:tcPr>
          <w:p w14:paraId="6B697DA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60" w:type="dxa"/>
          </w:tcPr>
          <w:p w14:paraId="4906AD3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2027</w:t>
            </w:r>
          </w:p>
        </w:tc>
        <w:tc>
          <w:tcPr>
            <w:tcW w:w="1440" w:type="dxa"/>
          </w:tcPr>
          <w:p w14:paraId="2030C5EB"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01-приходи из буџета/редовна издвајања</w:t>
            </w:r>
          </w:p>
        </w:tc>
        <w:tc>
          <w:tcPr>
            <w:tcW w:w="1350" w:type="dxa"/>
          </w:tcPr>
          <w:p w14:paraId="0A258A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0102-0003</w:t>
            </w:r>
          </w:p>
          <w:p w14:paraId="5D320CC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411, 412</w:t>
            </w:r>
          </w:p>
        </w:tc>
        <w:tc>
          <w:tcPr>
            <w:tcW w:w="903" w:type="dxa"/>
          </w:tcPr>
          <w:p w14:paraId="6422005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4" w:type="dxa"/>
          </w:tcPr>
          <w:p w14:paraId="0775059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903" w:type="dxa"/>
          </w:tcPr>
          <w:p w14:paraId="2F63695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904" w:type="dxa"/>
          </w:tcPr>
          <w:p w14:paraId="13CCE40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904" w:type="dxa"/>
          </w:tcPr>
          <w:p w14:paraId="3654CDF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r>
      <w:tr w:rsidR="00921DBE" w:rsidRPr="00E84C93" w14:paraId="1EA665D9" w14:textId="77777777" w:rsidTr="00085A1A">
        <w:trPr>
          <w:trHeight w:val="146"/>
        </w:trPr>
        <w:tc>
          <w:tcPr>
            <w:tcW w:w="2725" w:type="dxa"/>
          </w:tcPr>
          <w:p w14:paraId="72DD334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1.1.4. Доношење </w:t>
            </w:r>
            <w:r w:rsidRPr="00E84C93">
              <w:rPr>
                <w:sz w:val="20"/>
                <w:szCs w:val="20"/>
                <w:lang w:val="sr-Cyrl-CS"/>
              </w:rPr>
              <w:t>уредбе којом се усаглашава домаће законодавство са Директивом о муљу</w:t>
            </w:r>
          </w:p>
        </w:tc>
        <w:tc>
          <w:tcPr>
            <w:tcW w:w="1239" w:type="dxa"/>
          </w:tcPr>
          <w:p w14:paraId="2B0534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 МЗЖС, АП</w:t>
            </w:r>
          </w:p>
        </w:tc>
        <w:tc>
          <w:tcPr>
            <w:tcW w:w="1241" w:type="dxa"/>
          </w:tcPr>
          <w:p w14:paraId="01BF39D5" w14:textId="77777777" w:rsidR="00921DBE" w:rsidRPr="00E84C93" w:rsidRDefault="00921DBE" w:rsidP="00085A1A">
            <w:pPr>
              <w:rPr>
                <w:rFonts w:cs="Times New Roman"/>
                <w:sz w:val="20"/>
                <w:szCs w:val="20"/>
                <w:lang w:val="sr-Cyrl-CS"/>
              </w:rPr>
            </w:pPr>
          </w:p>
        </w:tc>
        <w:tc>
          <w:tcPr>
            <w:tcW w:w="1260" w:type="dxa"/>
          </w:tcPr>
          <w:p w14:paraId="201A63F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2F79CE6E"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r w:rsidRPr="00E84C93" w:rsidDel="00401AD0">
              <w:rPr>
                <w:rFonts w:cs="Times New Roman"/>
                <w:sz w:val="18"/>
                <w:szCs w:val="18"/>
                <w:lang w:val="sr-Cyrl-CS"/>
              </w:rPr>
              <w:t xml:space="preserve"> </w:t>
            </w:r>
          </w:p>
        </w:tc>
        <w:tc>
          <w:tcPr>
            <w:tcW w:w="1350" w:type="dxa"/>
          </w:tcPr>
          <w:p w14:paraId="6EF11851" w14:textId="77777777" w:rsidR="00921DBE" w:rsidRPr="00E84C93" w:rsidRDefault="00921DBE" w:rsidP="00085A1A">
            <w:pPr>
              <w:rPr>
                <w:rFonts w:cs="Times New Roman"/>
                <w:sz w:val="20"/>
                <w:szCs w:val="20"/>
                <w:lang w:val="sr-Cyrl-CS"/>
              </w:rPr>
            </w:pPr>
          </w:p>
        </w:tc>
        <w:tc>
          <w:tcPr>
            <w:tcW w:w="903" w:type="dxa"/>
          </w:tcPr>
          <w:p w14:paraId="323ECAC5" w14:textId="77777777" w:rsidR="00921DBE" w:rsidRPr="00E84C93" w:rsidRDefault="00921DBE" w:rsidP="00085A1A">
            <w:pPr>
              <w:rPr>
                <w:rFonts w:cs="Times New Roman"/>
                <w:sz w:val="20"/>
                <w:szCs w:val="20"/>
                <w:lang w:val="sr-Cyrl-CS"/>
              </w:rPr>
            </w:pPr>
          </w:p>
        </w:tc>
        <w:tc>
          <w:tcPr>
            <w:tcW w:w="904" w:type="dxa"/>
          </w:tcPr>
          <w:p w14:paraId="2DF5BE69" w14:textId="77777777" w:rsidR="00921DBE" w:rsidRPr="00E84C93" w:rsidRDefault="00921DBE" w:rsidP="00085A1A">
            <w:pPr>
              <w:rPr>
                <w:rFonts w:cs="Times New Roman"/>
                <w:sz w:val="20"/>
                <w:szCs w:val="20"/>
                <w:lang w:val="sr-Cyrl-CS"/>
              </w:rPr>
            </w:pPr>
          </w:p>
        </w:tc>
        <w:tc>
          <w:tcPr>
            <w:tcW w:w="903" w:type="dxa"/>
          </w:tcPr>
          <w:p w14:paraId="479689A0" w14:textId="77777777" w:rsidR="00921DBE" w:rsidRPr="00E84C93" w:rsidRDefault="00921DBE" w:rsidP="00085A1A">
            <w:pPr>
              <w:rPr>
                <w:rFonts w:cs="Times New Roman"/>
                <w:sz w:val="20"/>
                <w:szCs w:val="20"/>
                <w:lang w:val="sr-Cyrl-CS"/>
              </w:rPr>
            </w:pPr>
          </w:p>
        </w:tc>
        <w:tc>
          <w:tcPr>
            <w:tcW w:w="904" w:type="dxa"/>
          </w:tcPr>
          <w:p w14:paraId="752AA3E7" w14:textId="77777777" w:rsidR="00921DBE" w:rsidRPr="00E84C93" w:rsidRDefault="00921DBE" w:rsidP="00085A1A">
            <w:pPr>
              <w:rPr>
                <w:rFonts w:cs="Times New Roman"/>
                <w:sz w:val="20"/>
                <w:szCs w:val="20"/>
                <w:lang w:val="sr-Cyrl-CS"/>
              </w:rPr>
            </w:pPr>
          </w:p>
        </w:tc>
        <w:tc>
          <w:tcPr>
            <w:tcW w:w="904" w:type="dxa"/>
          </w:tcPr>
          <w:p w14:paraId="7FDEBA84" w14:textId="77777777" w:rsidR="00921DBE" w:rsidRPr="00E84C93" w:rsidRDefault="00921DBE" w:rsidP="00085A1A">
            <w:pPr>
              <w:rPr>
                <w:rFonts w:cs="Times New Roman"/>
                <w:sz w:val="20"/>
                <w:szCs w:val="20"/>
                <w:lang w:val="sr-Cyrl-CS"/>
              </w:rPr>
            </w:pPr>
          </w:p>
        </w:tc>
      </w:tr>
      <w:tr w:rsidR="00921DBE" w:rsidRPr="00E84C93" w14:paraId="5C03116B" w14:textId="77777777" w:rsidTr="00085A1A">
        <w:trPr>
          <w:trHeight w:val="146"/>
        </w:trPr>
        <w:tc>
          <w:tcPr>
            <w:tcW w:w="2725" w:type="dxa"/>
          </w:tcPr>
          <w:p w14:paraId="709DEE1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1.1.5.</w:t>
            </w:r>
            <w:r w:rsidRPr="00E84C93">
              <w:rPr>
                <w:rFonts w:cs="Times New Roman"/>
                <w:bCs/>
                <w:noProof/>
                <w:sz w:val="20"/>
                <w:szCs w:val="20"/>
                <w:lang w:val="sr-Cyrl-CS"/>
              </w:rPr>
              <w:t xml:space="preserve"> Израда подзаконских аката којима би се дефинисали стандарди квалитета муља за разне видове коришћења истог и критеријуми који ће се користи за доношење одлуке да коришћење муља из постројења за пречишћавање отпадних вода</w:t>
            </w:r>
          </w:p>
        </w:tc>
        <w:tc>
          <w:tcPr>
            <w:tcW w:w="1239" w:type="dxa"/>
          </w:tcPr>
          <w:p w14:paraId="75C4451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059B880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60" w:type="dxa"/>
          </w:tcPr>
          <w:p w14:paraId="3ABF4EF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58441C76"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4804BB73" w14:textId="77777777" w:rsidR="00921DBE" w:rsidRPr="00E84C93" w:rsidRDefault="00921DBE" w:rsidP="00085A1A">
            <w:pPr>
              <w:rPr>
                <w:rFonts w:cs="Times New Roman"/>
                <w:sz w:val="20"/>
                <w:szCs w:val="20"/>
                <w:lang w:val="sr-Cyrl-CS"/>
              </w:rPr>
            </w:pPr>
          </w:p>
        </w:tc>
        <w:tc>
          <w:tcPr>
            <w:tcW w:w="903" w:type="dxa"/>
          </w:tcPr>
          <w:p w14:paraId="789809C9" w14:textId="77777777" w:rsidR="00921DBE" w:rsidRPr="00E84C93" w:rsidRDefault="00921DBE" w:rsidP="00085A1A">
            <w:pPr>
              <w:rPr>
                <w:rFonts w:cs="Times New Roman"/>
                <w:sz w:val="20"/>
                <w:szCs w:val="20"/>
                <w:lang w:val="sr-Cyrl-CS"/>
              </w:rPr>
            </w:pPr>
          </w:p>
        </w:tc>
        <w:tc>
          <w:tcPr>
            <w:tcW w:w="904" w:type="dxa"/>
          </w:tcPr>
          <w:p w14:paraId="7BBC4A25" w14:textId="77777777" w:rsidR="00921DBE" w:rsidRPr="00E84C93" w:rsidRDefault="00921DBE" w:rsidP="00085A1A">
            <w:pPr>
              <w:rPr>
                <w:rFonts w:cs="Times New Roman"/>
                <w:sz w:val="20"/>
                <w:szCs w:val="20"/>
                <w:lang w:val="sr-Cyrl-CS"/>
              </w:rPr>
            </w:pPr>
          </w:p>
        </w:tc>
        <w:tc>
          <w:tcPr>
            <w:tcW w:w="903" w:type="dxa"/>
          </w:tcPr>
          <w:p w14:paraId="01755D77" w14:textId="77777777" w:rsidR="00921DBE" w:rsidRPr="00E84C93" w:rsidRDefault="00921DBE" w:rsidP="00085A1A">
            <w:pPr>
              <w:rPr>
                <w:rFonts w:cs="Times New Roman"/>
                <w:sz w:val="20"/>
                <w:szCs w:val="20"/>
                <w:lang w:val="sr-Cyrl-CS"/>
              </w:rPr>
            </w:pPr>
          </w:p>
        </w:tc>
        <w:tc>
          <w:tcPr>
            <w:tcW w:w="904" w:type="dxa"/>
          </w:tcPr>
          <w:p w14:paraId="0E8F40A0" w14:textId="77777777" w:rsidR="00921DBE" w:rsidRPr="00E84C93" w:rsidRDefault="00921DBE" w:rsidP="00085A1A">
            <w:pPr>
              <w:rPr>
                <w:rFonts w:cs="Times New Roman"/>
                <w:sz w:val="20"/>
                <w:szCs w:val="20"/>
                <w:lang w:val="sr-Cyrl-CS"/>
              </w:rPr>
            </w:pPr>
          </w:p>
        </w:tc>
        <w:tc>
          <w:tcPr>
            <w:tcW w:w="904" w:type="dxa"/>
          </w:tcPr>
          <w:p w14:paraId="28AEFBEA" w14:textId="77777777" w:rsidR="00921DBE" w:rsidRPr="00E84C93" w:rsidRDefault="00921DBE" w:rsidP="00085A1A">
            <w:pPr>
              <w:rPr>
                <w:rFonts w:cs="Times New Roman"/>
                <w:sz w:val="20"/>
                <w:szCs w:val="20"/>
                <w:lang w:val="sr-Cyrl-CS"/>
              </w:rPr>
            </w:pPr>
          </w:p>
        </w:tc>
      </w:tr>
      <w:tr w:rsidR="00921DBE" w:rsidRPr="00E84C93" w14:paraId="61C95B67" w14:textId="77777777" w:rsidTr="00085A1A">
        <w:trPr>
          <w:trHeight w:val="146"/>
        </w:trPr>
        <w:tc>
          <w:tcPr>
            <w:tcW w:w="2725" w:type="dxa"/>
          </w:tcPr>
          <w:p w14:paraId="7CC00A0D" w14:textId="77777777" w:rsidR="00921DBE" w:rsidRPr="00E84C93" w:rsidRDefault="00921DBE" w:rsidP="00085A1A">
            <w:pPr>
              <w:rPr>
                <w:rFonts w:cs="Times New Roman"/>
                <w:sz w:val="20"/>
                <w:szCs w:val="20"/>
                <w:lang w:val="sr-Cyrl-CS"/>
              </w:rPr>
            </w:pPr>
            <w:r w:rsidRPr="00E84C93">
              <w:rPr>
                <w:rFonts w:cs="Times New Roman"/>
                <w:sz w:val="20"/>
                <w:szCs w:val="20"/>
                <w:lang w:val="sr-Cyrl-CS" w:bidi="en-US"/>
              </w:rPr>
              <w:t>1.1.6. Успостављање базе података о муљу</w:t>
            </w:r>
          </w:p>
        </w:tc>
        <w:tc>
          <w:tcPr>
            <w:tcW w:w="1239" w:type="dxa"/>
          </w:tcPr>
          <w:p w14:paraId="6E4E848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АЗЖС</w:t>
            </w:r>
          </w:p>
        </w:tc>
        <w:tc>
          <w:tcPr>
            <w:tcW w:w="1241" w:type="dxa"/>
          </w:tcPr>
          <w:p w14:paraId="553E961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 МПШВ</w:t>
            </w:r>
          </w:p>
        </w:tc>
        <w:tc>
          <w:tcPr>
            <w:tcW w:w="1260" w:type="dxa"/>
          </w:tcPr>
          <w:p w14:paraId="5D10DDF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6B208FB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 – приходи буџета</w:t>
            </w:r>
          </w:p>
        </w:tc>
        <w:tc>
          <w:tcPr>
            <w:tcW w:w="1350" w:type="dxa"/>
          </w:tcPr>
          <w:p w14:paraId="5B356B4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0406 - 0001</w:t>
            </w:r>
          </w:p>
        </w:tc>
        <w:tc>
          <w:tcPr>
            <w:tcW w:w="903" w:type="dxa"/>
          </w:tcPr>
          <w:p w14:paraId="2B60F42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4" w:type="dxa"/>
          </w:tcPr>
          <w:p w14:paraId="418478C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3" w:type="dxa"/>
          </w:tcPr>
          <w:p w14:paraId="121B467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4" w:type="dxa"/>
            <w:shd w:val="clear" w:color="auto" w:fill="auto"/>
          </w:tcPr>
          <w:p w14:paraId="3B6BE01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5.000*</w:t>
            </w:r>
          </w:p>
        </w:tc>
        <w:tc>
          <w:tcPr>
            <w:tcW w:w="904" w:type="dxa"/>
            <w:shd w:val="clear" w:color="auto" w:fill="auto"/>
          </w:tcPr>
          <w:p w14:paraId="34815C9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5.000*</w:t>
            </w:r>
          </w:p>
        </w:tc>
      </w:tr>
    </w:tbl>
    <w:p w14:paraId="04C45CC2" w14:textId="77777777" w:rsidR="00921DBE" w:rsidRPr="00E84C93" w:rsidRDefault="00921DBE" w:rsidP="00921DBE">
      <w:pPr>
        <w:spacing w:after="0"/>
        <w:rPr>
          <w:rFonts w:cs="Times New Roman"/>
          <w:sz w:val="20"/>
          <w:szCs w:val="20"/>
          <w:lang w:val="sr-Cyrl-CS"/>
        </w:rPr>
      </w:pPr>
      <w:r w:rsidRPr="00E84C93">
        <w:rPr>
          <w:rFonts w:cs="Times New Roman"/>
          <w:sz w:val="20"/>
          <w:szCs w:val="20"/>
          <w:lang w:val="sr-Cyrl-CS"/>
        </w:rPr>
        <w:t>*средства нису обезбеђена</w:t>
      </w:r>
    </w:p>
    <w:p w14:paraId="7C2725E3" w14:textId="77777777" w:rsidR="00921DBE" w:rsidRPr="00E84C93" w:rsidRDefault="00921DBE" w:rsidP="00921DBE">
      <w:pPr>
        <w:spacing w:after="0"/>
        <w:rPr>
          <w:rFonts w:cs="Times New Roman"/>
          <w:sz w:val="20"/>
          <w:szCs w:val="20"/>
          <w:lang w:val="sr-Cyrl-CS"/>
        </w:rPr>
      </w:pPr>
    </w:p>
    <w:p w14:paraId="04E56423"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6B184497"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F3F5121"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1.2: </w:t>
            </w:r>
            <w:r w:rsidRPr="00E84C93">
              <w:rPr>
                <w:rFonts w:cs="Times New Roman"/>
                <w:bCs/>
                <w:sz w:val="20"/>
                <w:szCs w:val="20"/>
                <w:lang w:val="sr-Cyrl-CS"/>
              </w:rPr>
              <w:t>И</w:t>
            </w:r>
            <w:r w:rsidRPr="00E84C93">
              <w:rPr>
                <w:rFonts w:cs="Times New Roman"/>
                <w:noProof/>
                <w:sz w:val="20"/>
                <w:szCs w:val="20"/>
                <w:lang w:val="sr-Cyrl-CS"/>
              </w:rPr>
              <w:t xml:space="preserve">спитивање могућности </w:t>
            </w:r>
            <w:r w:rsidRPr="00E84C93">
              <w:rPr>
                <w:rFonts w:cs="Times New Roman"/>
                <w:sz w:val="20"/>
                <w:szCs w:val="20"/>
                <w:lang w:val="sr-Cyrl-CS" w:bidi="en-US"/>
              </w:rPr>
              <w:t>употребе муља у пољопривреди</w:t>
            </w:r>
          </w:p>
        </w:tc>
      </w:tr>
      <w:tr w:rsidR="00921DBE" w:rsidRPr="00E84C93" w14:paraId="7928A03C"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D0C3A63"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w:t>
            </w:r>
            <w:r w:rsidRPr="00E84C93">
              <w:rPr>
                <w:rFonts w:cs="Times New Roman"/>
                <w:sz w:val="20"/>
                <w:szCs w:val="20"/>
                <w:lang w:val="sr-Cyrl-CS" w:eastAsia="en-GB"/>
              </w:rPr>
              <w:t xml:space="preserve">Министарство пољопривреде, шумарства и водопривреде, Министарство </w:t>
            </w:r>
            <w:r w:rsidRPr="00E84C93">
              <w:rPr>
                <w:sz w:val="20"/>
                <w:szCs w:val="20"/>
                <w:lang w:val="sr-Cyrl-CS" w:eastAsia="en-GB"/>
              </w:rPr>
              <w:t>заштите животне средине</w:t>
            </w:r>
          </w:p>
        </w:tc>
      </w:tr>
      <w:tr w:rsidR="00921DBE" w:rsidRPr="00E84C93" w14:paraId="2AA55987"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6980773" w14:textId="77777777" w:rsidR="00921DBE" w:rsidRPr="00E84C93" w:rsidRDefault="00921DBE" w:rsidP="00085A1A">
            <w:pPr>
              <w:rPr>
                <w:rFonts w:cs="Times New Roman"/>
                <w:sz w:val="20"/>
                <w:szCs w:val="20"/>
                <w:lang w:val="sr-Cyrl-CS"/>
              </w:rPr>
            </w:pPr>
            <w:r w:rsidRPr="00E84C93">
              <w:rPr>
                <w:rFonts w:cs="Times New Roman"/>
                <w:color w:val="000000" w:themeColor="text1"/>
                <w:sz w:val="20"/>
                <w:szCs w:val="20"/>
                <w:lang w:val="sr-Cyrl-CS"/>
              </w:rPr>
              <w:t>Период спровођења:2023-2027</w:t>
            </w:r>
            <w:r w:rsidRPr="00E84C93">
              <w:rPr>
                <w:rFonts w:cs="Times New Roman"/>
                <w:sz w:val="20"/>
                <w:szCs w:val="20"/>
                <w:lang w:val="sr-Cyrl-CS"/>
              </w:rPr>
              <w:t>.</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627EC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Тип мере: информативно-едукативна (ИО)</w:t>
            </w:r>
          </w:p>
        </w:tc>
      </w:tr>
      <w:tr w:rsidR="00921DBE" w:rsidRPr="00E84C93" w14:paraId="1F3CBEE8"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68585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12330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Правилник о дозвољеним количинама опасних и штетних материја у земљишту и води за наводњавање и методама њиховог испитивања</w:t>
            </w:r>
          </w:p>
        </w:tc>
      </w:tr>
      <w:tr w:rsidR="00921DBE" w:rsidRPr="00E84C93" w14:paraId="18A94781"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78748D9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2A67D1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6BEACB3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29823B0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041FF4D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59004F1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7BE6282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479F260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3F81B2E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6DBA21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487D48F9"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3128D8E3"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bCs/>
                <w:sz w:val="20"/>
                <w:szCs w:val="20"/>
                <w:lang w:val="sr-Cyrl-CS"/>
              </w:rPr>
              <w:t>Извршена анализа могућности за употребу муља у пољопривреди</w:t>
            </w:r>
          </w:p>
        </w:tc>
        <w:tc>
          <w:tcPr>
            <w:tcW w:w="1430" w:type="dxa"/>
            <w:tcBorders>
              <w:top w:val="double" w:sz="4" w:space="0" w:color="auto"/>
              <w:bottom w:val="double" w:sz="4" w:space="0" w:color="auto"/>
            </w:tcBorders>
            <w:shd w:val="clear" w:color="auto" w:fill="FFFFFF" w:themeFill="background1"/>
          </w:tcPr>
          <w:p w14:paraId="071538B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Да/Не</w:t>
            </w:r>
          </w:p>
        </w:tc>
        <w:tc>
          <w:tcPr>
            <w:tcW w:w="1337" w:type="dxa"/>
            <w:tcBorders>
              <w:top w:val="double" w:sz="4" w:space="0" w:color="auto"/>
              <w:bottom w:val="double" w:sz="4" w:space="0" w:color="auto"/>
            </w:tcBorders>
            <w:shd w:val="clear" w:color="auto" w:fill="FFFFFF" w:themeFill="background1"/>
          </w:tcPr>
          <w:p w14:paraId="542D531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Извештаји МПШВ и МЗЖС </w:t>
            </w:r>
          </w:p>
        </w:tc>
        <w:tc>
          <w:tcPr>
            <w:tcW w:w="1099" w:type="dxa"/>
            <w:gridSpan w:val="2"/>
            <w:tcBorders>
              <w:top w:val="double" w:sz="4" w:space="0" w:color="auto"/>
              <w:bottom w:val="double" w:sz="4" w:space="0" w:color="auto"/>
            </w:tcBorders>
            <w:shd w:val="clear" w:color="auto" w:fill="FFFFFF" w:themeFill="background1"/>
          </w:tcPr>
          <w:p w14:paraId="69D9834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Не </w:t>
            </w:r>
          </w:p>
        </w:tc>
        <w:tc>
          <w:tcPr>
            <w:tcW w:w="1350" w:type="dxa"/>
            <w:tcBorders>
              <w:top w:val="double" w:sz="4" w:space="0" w:color="auto"/>
              <w:bottom w:val="double" w:sz="4" w:space="0" w:color="auto"/>
            </w:tcBorders>
            <w:shd w:val="clear" w:color="auto" w:fill="FFFFFF" w:themeFill="background1"/>
          </w:tcPr>
          <w:p w14:paraId="588F1B0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050CD7A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58B8E72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Не</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488958DA"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Не </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5822832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Не </w:t>
            </w:r>
          </w:p>
        </w:tc>
        <w:tc>
          <w:tcPr>
            <w:tcW w:w="1076" w:type="dxa"/>
            <w:tcBorders>
              <w:top w:val="double" w:sz="4" w:space="0" w:color="auto"/>
              <w:left w:val="single" w:sz="4" w:space="0" w:color="auto"/>
              <w:bottom w:val="double" w:sz="4" w:space="0" w:color="auto"/>
              <w:right w:val="double" w:sz="4" w:space="0" w:color="auto"/>
            </w:tcBorders>
            <w:shd w:val="clear" w:color="auto" w:fill="FFFFFF" w:themeFill="background1"/>
          </w:tcPr>
          <w:p w14:paraId="3F0F495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Да </w:t>
            </w:r>
          </w:p>
        </w:tc>
      </w:tr>
    </w:tbl>
    <w:p w14:paraId="09656568"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54BD390E"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11EFFE4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3EFBC0AA"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5B1B1A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39DF99D7"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1D9A8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75E477BB"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7A42A107"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69288CAA"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A9512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19B985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92F300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520C6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B39EE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35411D85"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58D2436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156FE9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0102-0002</w:t>
            </w:r>
          </w:p>
          <w:p w14:paraId="0160D0F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0102-0003</w:t>
            </w:r>
          </w:p>
        </w:tc>
        <w:tc>
          <w:tcPr>
            <w:tcW w:w="1526" w:type="dxa"/>
            <w:tcBorders>
              <w:left w:val="double" w:sz="4" w:space="0" w:color="auto"/>
              <w:bottom w:val="double" w:sz="4" w:space="0" w:color="auto"/>
              <w:right w:val="double" w:sz="4" w:space="0" w:color="auto"/>
            </w:tcBorders>
            <w:shd w:val="clear" w:color="auto" w:fill="FFFFFF" w:themeFill="background1"/>
          </w:tcPr>
          <w:p w14:paraId="7A3CA941"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04361E8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B3EB08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1F06484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12.000*</w:t>
            </w:r>
          </w:p>
        </w:tc>
        <w:tc>
          <w:tcPr>
            <w:tcW w:w="1440" w:type="dxa"/>
            <w:tcBorders>
              <w:left w:val="double" w:sz="4" w:space="0" w:color="auto"/>
              <w:bottom w:val="double" w:sz="4" w:space="0" w:color="auto"/>
              <w:right w:val="double" w:sz="4" w:space="0" w:color="auto"/>
            </w:tcBorders>
            <w:shd w:val="clear" w:color="auto" w:fill="FFFFFF" w:themeFill="background1"/>
          </w:tcPr>
          <w:p w14:paraId="4F100949" w14:textId="77777777" w:rsidR="00921DBE" w:rsidRPr="00E84C93" w:rsidRDefault="00921DBE" w:rsidP="00085A1A">
            <w:pPr>
              <w:rPr>
                <w:rFonts w:cs="Times New Roman"/>
                <w:sz w:val="20"/>
                <w:szCs w:val="20"/>
                <w:lang w:val="sr-Cyrl-CS"/>
              </w:rPr>
            </w:pPr>
          </w:p>
        </w:tc>
      </w:tr>
    </w:tbl>
    <w:p w14:paraId="1E1655A7" w14:textId="77777777" w:rsidR="00921DBE" w:rsidRPr="00E84C93" w:rsidRDefault="00921DBE" w:rsidP="00921DBE">
      <w:pPr>
        <w:spacing w:after="0"/>
        <w:rPr>
          <w:sz w:val="20"/>
          <w:szCs w:val="20"/>
          <w:lang w:val="sr-Cyrl-CS"/>
        </w:rPr>
      </w:pPr>
      <w:r w:rsidRPr="00E84C93">
        <w:rPr>
          <w:sz w:val="20"/>
          <w:szCs w:val="20"/>
          <w:lang w:val="sr-Cyrl-CS"/>
        </w:rPr>
        <w:t>*средства нису обезбеђена</w:t>
      </w:r>
    </w:p>
    <w:p w14:paraId="59E0B571"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18"/>
        <w:gridCol w:w="889"/>
        <w:gridCol w:w="903"/>
        <w:gridCol w:w="904"/>
        <w:gridCol w:w="904"/>
      </w:tblGrid>
      <w:tr w:rsidR="00921DBE" w:rsidRPr="00E84C93" w14:paraId="5A9C68C3" w14:textId="77777777" w:rsidTr="00085A1A">
        <w:trPr>
          <w:trHeight w:val="146"/>
        </w:trPr>
        <w:tc>
          <w:tcPr>
            <w:tcW w:w="2725" w:type="dxa"/>
            <w:vMerge w:val="restart"/>
            <w:shd w:val="clear" w:color="auto" w:fill="FFF2CC" w:themeFill="accent4" w:themeFillTint="33"/>
          </w:tcPr>
          <w:p w14:paraId="1C9D9EB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65DEDD8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31E6227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64C6256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20967E6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487CB51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733B6A73"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496FA1B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15F8C313" w14:textId="77777777" w:rsidTr="00085A1A">
        <w:trPr>
          <w:trHeight w:val="405"/>
        </w:trPr>
        <w:tc>
          <w:tcPr>
            <w:tcW w:w="2725" w:type="dxa"/>
            <w:vMerge/>
            <w:shd w:val="clear" w:color="auto" w:fill="FFF2CC" w:themeFill="accent4" w:themeFillTint="33"/>
          </w:tcPr>
          <w:p w14:paraId="3D6BD4E9"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6CD3C0D7"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1299DBEA"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33965163"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28BD1157"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784F104B" w14:textId="77777777" w:rsidR="00921DBE" w:rsidRPr="00E84C93" w:rsidRDefault="00921DBE" w:rsidP="00085A1A">
            <w:pPr>
              <w:jc w:val="center"/>
              <w:rPr>
                <w:rFonts w:cs="Times New Roman"/>
                <w:sz w:val="20"/>
                <w:szCs w:val="20"/>
                <w:lang w:val="sr-Cyrl-CS"/>
              </w:rPr>
            </w:pPr>
          </w:p>
        </w:tc>
        <w:tc>
          <w:tcPr>
            <w:tcW w:w="918" w:type="dxa"/>
            <w:shd w:val="clear" w:color="auto" w:fill="FFF2CC" w:themeFill="accent4" w:themeFillTint="33"/>
          </w:tcPr>
          <w:p w14:paraId="0C30F75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889" w:type="dxa"/>
            <w:shd w:val="clear" w:color="auto" w:fill="FFF2CC" w:themeFill="accent4" w:themeFillTint="33"/>
          </w:tcPr>
          <w:p w14:paraId="4D8DCC9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53EEFD6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127CEB0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5D5160B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0307C584" w14:textId="77777777" w:rsidTr="00085A1A">
        <w:trPr>
          <w:trHeight w:val="365"/>
        </w:trPr>
        <w:tc>
          <w:tcPr>
            <w:tcW w:w="2725" w:type="dxa"/>
            <w:vMerge w:val="restart"/>
          </w:tcPr>
          <w:p w14:paraId="03605AEA" w14:textId="77777777" w:rsidR="00921DBE" w:rsidRPr="00E84C93" w:rsidRDefault="00921DBE" w:rsidP="00085A1A">
            <w:pPr>
              <w:rPr>
                <w:rFonts w:cs="Times New Roman"/>
                <w:sz w:val="20"/>
                <w:szCs w:val="20"/>
                <w:lang w:val="sr-Cyrl-CS"/>
              </w:rPr>
            </w:pPr>
            <w:r w:rsidRPr="00E84C93">
              <w:rPr>
                <w:sz w:val="20"/>
                <w:szCs w:val="20"/>
                <w:lang w:val="sr-Cyrl-CS"/>
              </w:rPr>
              <w:t>1.2.1. Ажурирање карте концентрација тешких метала у земљишту у Републици Србији</w:t>
            </w:r>
          </w:p>
        </w:tc>
        <w:tc>
          <w:tcPr>
            <w:tcW w:w="1239" w:type="dxa"/>
            <w:vMerge w:val="restart"/>
          </w:tcPr>
          <w:p w14:paraId="228C808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41" w:type="dxa"/>
            <w:vMerge w:val="restart"/>
          </w:tcPr>
          <w:p w14:paraId="032B736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 АП, ЈЛС</w:t>
            </w:r>
          </w:p>
        </w:tc>
        <w:tc>
          <w:tcPr>
            <w:tcW w:w="1260" w:type="dxa"/>
            <w:vMerge w:val="restart"/>
          </w:tcPr>
          <w:p w14:paraId="34F68D9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vMerge w:val="restart"/>
          </w:tcPr>
          <w:p w14:paraId="71A2673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из буџета/редовна издвајања</w:t>
            </w:r>
          </w:p>
        </w:tc>
        <w:tc>
          <w:tcPr>
            <w:tcW w:w="1350" w:type="dxa"/>
          </w:tcPr>
          <w:p w14:paraId="7E5DC061" w14:textId="77777777" w:rsidR="00921DBE" w:rsidRPr="00E84C93" w:rsidRDefault="00921DBE" w:rsidP="00085A1A">
            <w:pPr>
              <w:rPr>
                <w:rFonts w:cs="Times New Roman"/>
                <w:sz w:val="20"/>
                <w:szCs w:val="20"/>
                <w:lang w:val="sr-Cyrl-CS"/>
              </w:rPr>
            </w:pPr>
          </w:p>
        </w:tc>
        <w:tc>
          <w:tcPr>
            <w:tcW w:w="918" w:type="dxa"/>
          </w:tcPr>
          <w:p w14:paraId="6DAA338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889" w:type="dxa"/>
          </w:tcPr>
          <w:p w14:paraId="3588EB90" w14:textId="77777777" w:rsidR="00921DBE" w:rsidRPr="00E84C93" w:rsidRDefault="00921DBE" w:rsidP="00085A1A">
            <w:pPr>
              <w:rPr>
                <w:rFonts w:cs="Times New Roman"/>
                <w:sz w:val="20"/>
                <w:szCs w:val="20"/>
                <w:lang w:val="sr-Cyrl-CS"/>
              </w:rPr>
            </w:pPr>
          </w:p>
        </w:tc>
        <w:tc>
          <w:tcPr>
            <w:tcW w:w="903" w:type="dxa"/>
          </w:tcPr>
          <w:p w14:paraId="60C1BB77" w14:textId="77777777" w:rsidR="00921DBE" w:rsidRPr="00E84C93" w:rsidRDefault="00921DBE" w:rsidP="00085A1A">
            <w:pPr>
              <w:rPr>
                <w:rFonts w:cs="Times New Roman"/>
                <w:sz w:val="20"/>
                <w:szCs w:val="20"/>
                <w:lang w:val="sr-Cyrl-CS"/>
              </w:rPr>
            </w:pPr>
          </w:p>
        </w:tc>
        <w:tc>
          <w:tcPr>
            <w:tcW w:w="904" w:type="dxa"/>
          </w:tcPr>
          <w:p w14:paraId="0341C15D" w14:textId="77777777" w:rsidR="00921DBE" w:rsidRPr="00E84C93" w:rsidRDefault="00921DBE" w:rsidP="00085A1A">
            <w:pPr>
              <w:rPr>
                <w:rFonts w:cs="Times New Roman"/>
                <w:sz w:val="20"/>
                <w:szCs w:val="20"/>
                <w:lang w:val="sr-Cyrl-CS"/>
              </w:rPr>
            </w:pPr>
          </w:p>
        </w:tc>
        <w:tc>
          <w:tcPr>
            <w:tcW w:w="904" w:type="dxa"/>
          </w:tcPr>
          <w:p w14:paraId="0CA3CD4D" w14:textId="77777777" w:rsidR="00921DBE" w:rsidRPr="00E84C93" w:rsidRDefault="00921DBE" w:rsidP="00085A1A">
            <w:pPr>
              <w:rPr>
                <w:rFonts w:cs="Times New Roman"/>
                <w:sz w:val="20"/>
                <w:szCs w:val="20"/>
                <w:lang w:val="sr-Cyrl-CS"/>
              </w:rPr>
            </w:pPr>
          </w:p>
        </w:tc>
      </w:tr>
      <w:tr w:rsidR="00921DBE" w:rsidRPr="00E84C93" w14:paraId="5AB838C8" w14:textId="77777777" w:rsidTr="00085A1A">
        <w:trPr>
          <w:trHeight w:val="660"/>
        </w:trPr>
        <w:tc>
          <w:tcPr>
            <w:tcW w:w="2725" w:type="dxa"/>
            <w:vMerge/>
          </w:tcPr>
          <w:p w14:paraId="5C310872" w14:textId="77777777" w:rsidR="00921DBE" w:rsidRPr="00E84C93" w:rsidRDefault="00921DBE" w:rsidP="00085A1A">
            <w:pPr>
              <w:rPr>
                <w:sz w:val="20"/>
                <w:szCs w:val="20"/>
                <w:lang w:val="sr-Cyrl-CS"/>
              </w:rPr>
            </w:pPr>
          </w:p>
        </w:tc>
        <w:tc>
          <w:tcPr>
            <w:tcW w:w="1239" w:type="dxa"/>
            <w:vMerge/>
          </w:tcPr>
          <w:p w14:paraId="601DF481" w14:textId="77777777" w:rsidR="00921DBE" w:rsidRPr="00E84C93" w:rsidRDefault="00921DBE" w:rsidP="00085A1A">
            <w:pPr>
              <w:rPr>
                <w:rFonts w:cs="Times New Roman"/>
                <w:sz w:val="20"/>
                <w:szCs w:val="20"/>
                <w:lang w:val="sr-Cyrl-CS"/>
              </w:rPr>
            </w:pPr>
          </w:p>
        </w:tc>
        <w:tc>
          <w:tcPr>
            <w:tcW w:w="1241" w:type="dxa"/>
            <w:vMerge/>
          </w:tcPr>
          <w:p w14:paraId="7839E2CF" w14:textId="77777777" w:rsidR="00921DBE" w:rsidRPr="00E84C93" w:rsidRDefault="00921DBE" w:rsidP="00085A1A">
            <w:pPr>
              <w:rPr>
                <w:rFonts w:cs="Times New Roman"/>
                <w:sz w:val="20"/>
                <w:szCs w:val="20"/>
                <w:lang w:val="sr-Cyrl-CS"/>
              </w:rPr>
            </w:pPr>
          </w:p>
        </w:tc>
        <w:tc>
          <w:tcPr>
            <w:tcW w:w="1260" w:type="dxa"/>
            <w:vMerge/>
          </w:tcPr>
          <w:p w14:paraId="5FBF1941" w14:textId="77777777" w:rsidR="00921DBE" w:rsidRPr="00E84C93" w:rsidRDefault="00921DBE" w:rsidP="00085A1A">
            <w:pPr>
              <w:rPr>
                <w:rFonts w:cs="Times New Roman"/>
                <w:sz w:val="20"/>
                <w:szCs w:val="20"/>
                <w:lang w:val="sr-Cyrl-CS"/>
              </w:rPr>
            </w:pPr>
          </w:p>
        </w:tc>
        <w:tc>
          <w:tcPr>
            <w:tcW w:w="1440" w:type="dxa"/>
            <w:vMerge/>
          </w:tcPr>
          <w:p w14:paraId="4138CEC5" w14:textId="77777777" w:rsidR="00921DBE" w:rsidRPr="00E84C93" w:rsidRDefault="00921DBE" w:rsidP="00085A1A">
            <w:pPr>
              <w:rPr>
                <w:rFonts w:cs="Times New Roman"/>
                <w:sz w:val="20"/>
                <w:szCs w:val="20"/>
                <w:lang w:val="sr-Cyrl-CS"/>
              </w:rPr>
            </w:pPr>
          </w:p>
        </w:tc>
        <w:tc>
          <w:tcPr>
            <w:tcW w:w="1350" w:type="dxa"/>
          </w:tcPr>
          <w:p w14:paraId="3B61349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0102-0002</w:t>
            </w:r>
          </w:p>
          <w:p w14:paraId="1B2B09E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451</w:t>
            </w:r>
          </w:p>
        </w:tc>
        <w:tc>
          <w:tcPr>
            <w:tcW w:w="918" w:type="dxa"/>
          </w:tcPr>
          <w:p w14:paraId="5D26B6B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889" w:type="dxa"/>
          </w:tcPr>
          <w:p w14:paraId="313D146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4.000*</w:t>
            </w:r>
          </w:p>
        </w:tc>
        <w:tc>
          <w:tcPr>
            <w:tcW w:w="903" w:type="dxa"/>
          </w:tcPr>
          <w:p w14:paraId="0F447F8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4.000*</w:t>
            </w:r>
          </w:p>
        </w:tc>
        <w:tc>
          <w:tcPr>
            <w:tcW w:w="904" w:type="dxa"/>
          </w:tcPr>
          <w:p w14:paraId="51DDE65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4.000*</w:t>
            </w:r>
          </w:p>
        </w:tc>
        <w:tc>
          <w:tcPr>
            <w:tcW w:w="904" w:type="dxa"/>
          </w:tcPr>
          <w:p w14:paraId="48D97DB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1D77E7D3" w14:textId="77777777" w:rsidTr="00085A1A">
        <w:trPr>
          <w:trHeight w:val="395"/>
        </w:trPr>
        <w:tc>
          <w:tcPr>
            <w:tcW w:w="2725" w:type="dxa"/>
            <w:vMerge/>
          </w:tcPr>
          <w:p w14:paraId="68673B0D" w14:textId="77777777" w:rsidR="00921DBE" w:rsidRPr="00E84C93" w:rsidRDefault="00921DBE" w:rsidP="00085A1A">
            <w:pPr>
              <w:rPr>
                <w:sz w:val="20"/>
                <w:szCs w:val="20"/>
                <w:lang w:val="sr-Cyrl-CS"/>
              </w:rPr>
            </w:pPr>
          </w:p>
        </w:tc>
        <w:tc>
          <w:tcPr>
            <w:tcW w:w="1239" w:type="dxa"/>
            <w:vMerge/>
          </w:tcPr>
          <w:p w14:paraId="5B515F3A" w14:textId="77777777" w:rsidR="00921DBE" w:rsidRPr="00E84C93" w:rsidRDefault="00921DBE" w:rsidP="00085A1A">
            <w:pPr>
              <w:rPr>
                <w:rFonts w:cs="Times New Roman"/>
                <w:sz w:val="20"/>
                <w:szCs w:val="20"/>
                <w:lang w:val="sr-Cyrl-CS"/>
              </w:rPr>
            </w:pPr>
          </w:p>
        </w:tc>
        <w:tc>
          <w:tcPr>
            <w:tcW w:w="1241" w:type="dxa"/>
            <w:vMerge/>
          </w:tcPr>
          <w:p w14:paraId="5BBF176D" w14:textId="77777777" w:rsidR="00921DBE" w:rsidRPr="00E84C93" w:rsidRDefault="00921DBE" w:rsidP="00085A1A">
            <w:pPr>
              <w:rPr>
                <w:rFonts w:cs="Times New Roman"/>
                <w:sz w:val="20"/>
                <w:szCs w:val="20"/>
                <w:lang w:val="sr-Cyrl-CS"/>
              </w:rPr>
            </w:pPr>
          </w:p>
        </w:tc>
        <w:tc>
          <w:tcPr>
            <w:tcW w:w="1260" w:type="dxa"/>
            <w:vMerge/>
          </w:tcPr>
          <w:p w14:paraId="4CF284E4" w14:textId="77777777" w:rsidR="00921DBE" w:rsidRPr="00E84C93" w:rsidRDefault="00921DBE" w:rsidP="00085A1A">
            <w:pPr>
              <w:rPr>
                <w:rFonts w:cs="Times New Roman"/>
                <w:sz w:val="20"/>
                <w:szCs w:val="20"/>
                <w:lang w:val="sr-Cyrl-CS"/>
              </w:rPr>
            </w:pPr>
          </w:p>
        </w:tc>
        <w:tc>
          <w:tcPr>
            <w:tcW w:w="1440" w:type="dxa"/>
          </w:tcPr>
          <w:p w14:paraId="0EE105EF" w14:textId="77777777" w:rsidR="00921DBE" w:rsidRPr="00E84C93" w:rsidRDefault="00921DBE" w:rsidP="00085A1A">
            <w:pPr>
              <w:rPr>
                <w:rFonts w:cs="Times New Roman"/>
                <w:sz w:val="20"/>
                <w:szCs w:val="20"/>
                <w:lang w:val="sr-Cyrl-CS"/>
              </w:rPr>
            </w:pPr>
          </w:p>
        </w:tc>
        <w:tc>
          <w:tcPr>
            <w:tcW w:w="1350" w:type="dxa"/>
          </w:tcPr>
          <w:p w14:paraId="69AD52E6" w14:textId="77777777" w:rsidR="00921DBE" w:rsidRPr="00E84C93" w:rsidRDefault="00921DBE" w:rsidP="00085A1A">
            <w:pPr>
              <w:rPr>
                <w:rFonts w:cs="Times New Roman"/>
                <w:sz w:val="20"/>
                <w:szCs w:val="20"/>
                <w:lang w:val="sr-Cyrl-CS"/>
              </w:rPr>
            </w:pPr>
          </w:p>
        </w:tc>
        <w:tc>
          <w:tcPr>
            <w:tcW w:w="918" w:type="dxa"/>
          </w:tcPr>
          <w:p w14:paraId="395240C9" w14:textId="77777777" w:rsidR="00921DBE" w:rsidRPr="00E84C93" w:rsidRDefault="00921DBE" w:rsidP="00085A1A">
            <w:pPr>
              <w:rPr>
                <w:rFonts w:cs="Times New Roman"/>
                <w:sz w:val="20"/>
                <w:szCs w:val="20"/>
                <w:lang w:val="sr-Cyrl-CS"/>
              </w:rPr>
            </w:pPr>
          </w:p>
        </w:tc>
        <w:tc>
          <w:tcPr>
            <w:tcW w:w="889" w:type="dxa"/>
          </w:tcPr>
          <w:p w14:paraId="238C22D5" w14:textId="77777777" w:rsidR="00921DBE" w:rsidRPr="00E84C93" w:rsidRDefault="00921DBE" w:rsidP="00085A1A">
            <w:pPr>
              <w:rPr>
                <w:rFonts w:cs="Times New Roman"/>
                <w:sz w:val="20"/>
                <w:szCs w:val="20"/>
                <w:lang w:val="sr-Cyrl-CS"/>
              </w:rPr>
            </w:pPr>
          </w:p>
        </w:tc>
        <w:tc>
          <w:tcPr>
            <w:tcW w:w="903" w:type="dxa"/>
          </w:tcPr>
          <w:p w14:paraId="5221079D" w14:textId="77777777" w:rsidR="00921DBE" w:rsidRPr="00E84C93" w:rsidRDefault="00921DBE" w:rsidP="00085A1A">
            <w:pPr>
              <w:rPr>
                <w:rFonts w:cs="Times New Roman"/>
                <w:sz w:val="20"/>
                <w:szCs w:val="20"/>
                <w:lang w:val="sr-Cyrl-CS"/>
              </w:rPr>
            </w:pPr>
          </w:p>
        </w:tc>
        <w:tc>
          <w:tcPr>
            <w:tcW w:w="904" w:type="dxa"/>
          </w:tcPr>
          <w:p w14:paraId="582E01C1" w14:textId="77777777" w:rsidR="00921DBE" w:rsidRPr="00E84C93" w:rsidRDefault="00921DBE" w:rsidP="00085A1A">
            <w:pPr>
              <w:rPr>
                <w:rFonts w:cs="Times New Roman"/>
                <w:sz w:val="20"/>
                <w:szCs w:val="20"/>
                <w:lang w:val="sr-Cyrl-CS"/>
              </w:rPr>
            </w:pPr>
          </w:p>
        </w:tc>
        <w:tc>
          <w:tcPr>
            <w:tcW w:w="904" w:type="dxa"/>
          </w:tcPr>
          <w:p w14:paraId="78061C48" w14:textId="77777777" w:rsidR="00921DBE" w:rsidRPr="00E84C93" w:rsidRDefault="00921DBE" w:rsidP="00085A1A">
            <w:pPr>
              <w:rPr>
                <w:rFonts w:cs="Times New Roman"/>
                <w:sz w:val="20"/>
                <w:szCs w:val="20"/>
                <w:lang w:val="sr-Cyrl-CS"/>
              </w:rPr>
            </w:pPr>
          </w:p>
        </w:tc>
      </w:tr>
      <w:tr w:rsidR="00921DBE" w:rsidRPr="00E84C93" w14:paraId="25177970" w14:textId="77777777" w:rsidTr="00085A1A">
        <w:trPr>
          <w:trHeight w:val="146"/>
        </w:trPr>
        <w:tc>
          <w:tcPr>
            <w:tcW w:w="2725" w:type="dxa"/>
          </w:tcPr>
          <w:p w14:paraId="1C055243" w14:textId="77777777" w:rsidR="00921DBE" w:rsidRPr="00E84C93" w:rsidRDefault="00921DBE" w:rsidP="00085A1A">
            <w:pPr>
              <w:rPr>
                <w:sz w:val="20"/>
                <w:szCs w:val="20"/>
                <w:lang w:val="sr-Cyrl-CS"/>
              </w:rPr>
            </w:pPr>
            <w:r w:rsidRPr="00E84C93">
              <w:rPr>
                <w:sz w:val="20"/>
                <w:szCs w:val="20"/>
                <w:lang w:val="sr-Cyrl-CS"/>
              </w:rPr>
              <w:t>1.2.2. Одређивање рањивих подручја осетљивих на нитрате из пољопривредних извора</w:t>
            </w:r>
          </w:p>
        </w:tc>
        <w:tc>
          <w:tcPr>
            <w:tcW w:w="1239" w:type="dxa"/>
          </w:tcPr>
          <w:p w14:paraId="1331883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МПШВ-РДВ</w:t>
            </w:r>
          </w:p>
        </w:tc>
        <w:tc>
          <w:tcPr>
            <w:tcW w:w="1241" w:type="dxa"/>
          </w:tcPr>
          <w:p w14:paraId="6E428DF3" w14:textId="77777777" w:rsidR="00921DBE" w:rsidRPr="00E84C93" w:rsidRDefault="00921DBE" w:rsidP="00085A1A">
            <w:pPr>
              <w:rPr>
                <w:rFonts w:cs="Times New Roman"/>
                <w:sz w:val="20"/>
                <w:szCs w:val="20"/>
                <w:lang w:val="sr-Cyrl-CS"/>
              </w:rPr>
            </w:pPr>
          </w:p>
        </w:tc>
        <w:tc>
          <w:tcPr>
            <w:tcW w:w="1260" w:type="dxa"/>
          </w:tcPr>
          <w:p w14:paraId="0A4C8E6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3600BBD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редовна издвајања</w:t>
            </w:r>
          </w:p>
        </w:tc>
        <w:tc>
          <w:tcPr>
            <w:tcW w:w="1350" w:type="dxa"/>
          </w:tcPr>
          <w:p w14:paraId="55333BE9" w14:textId="77777777" w:rsidR="00921DBE" w:rsidRPr="00E84C93" w:rsidRDefault="00921DBE" w:rsidP="00085A1A">
            <w:pPr>
              <w:rPr>
                <w:rFonts w:cs="Times New Roman"/>
                <w:sz w:val="20"/>
                <w:szCs w:val="20"/>
                <w:lang w:val="sr-Cyrl-CS"/>
              </w:rPr>
            </w:pPr>
          </w:p>
        </w:tc>
        <w:tc>
          <w:tcPr>
            <w:tcW w:w="918" w:type="dxa"/>
          </w:tcPr>
          <w:p w14:paraId="298E4F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889" w:type="dxa"/>
          </w:tcPr>
          <w:p w14:paraId="53987CD5" w14:textId="77777777" w:rsidR="00921DBE" w:rsidRPr="00E84C93" w:rsidRDefault="00921DBE" w:rsidP="00085A1A">
            <w:pPr>
              <w:rPr>
                <w:rFonts w:cs="Times New Roman"/>
                <w:sz w:val="20"/>
                <w:szCs w:val="20"/>
                <w:lang w:val="sr-Cyrl-CS"/>
              </w:rPr>
            </w:pPr>
          </w:p>
        </w:tc>
        <w:tc>
          <w:tcPr>
            <w:tcW w:w="903" w:type="dxa"/>
          </w:tcPr>
          <w:p w14:paraId="1BF9DFE8" w14:textId="77777777" w:rsidR="00921DBE" w:rsidRPr="00E84C93" w:rsidRDefault="00921DBE" w:rsidP="00085A1A">
            <w:pPr>
              <w:rPr>
                <w:rFonts w:cs="Times New Roman"/>
                <w:sz w:val="20"/>
                <w:szCs w:val="20"/>
                <w:lang w:val="sr-Cyrl-CS"/>
              </w:rPr>
            </w:pPr>
          </w:p>
        </w:tc>
        <w:tc>
          <w:tcPr>
            <w:tcW w:w="904" w:type="dxa"/>
          </w:tcPr>
          <w:p w14:paraId="5C0F89AB" w14:textId="77777777" w:rsidR="00921DBE" w:rsidRPr="00E84C93" w:rsidRDefault="00921DBE" w:rsidP="00085A1A">
            <w:pPr>
              <w:rPr>
                <w:rFonts w:cs="Times New Roman"/>
                <w:sz w:val="20"/>
                <w:szCs w:val="20"/>
                <w:lang w:val="sr-Cyrl-CS"/>
              </w:rPr>
            </w:pPr>
          </w:p>
        </w:tc>
        <w:tc>
          <w:tcPr>
            <w:tcW w:w="904" w:type="dxa"/>
          </w:tcPr>
          <w:p w14:paraId="5B213C69" w14:textId="77777777" w:rsidR="00921DBE" w:rsidRPr="00E84C93" w:rsidRDefault="00921DBE" w:rsidP="00085A1A">
            <w:pPr>
              <w:rPr>
                <w:rFonts w:cs="Times New Roman"/>
                <w:sz w:val="20"/>
                <w:szCs w:val="20"/>
                <w:lang w:val="sr-Cyrl-CS"/>
              </w:rPr>
            </w:pPr>
          </w:p>
        </w:tc>
      </w:tr>
      <w:tr w:rsidR="00921DBE" w:rsidRPr="00E84C93" w14:paraId="3E452465" w14:textId="77777777" w:rsidTr="00085A1A">
        <w:trPr>
          <w:trHeight w:val="435"/>
        </w:trPr>
        <w:tc>
          <w:tcPr>
            <w:tcW w:w="2725" w:type="dxa"/>
            <w:vMerge w:val="restart"/>
          </w:tcPr>
          <w:p w14:paraId="109A89BE" w14:textId="77777777" w:rsidR="00921DBE" w:rsidRPr="00E84C93" w:rsidRDefault="00921DBE" w:rsidP="00085A1A">
            <w:pPr>
              <w:rPr>
                <w:rFonts w:cs="Times New Roman"/>
                <w:sz w:val="20"/>
                <w:szCs w:val="20"/>
                <w:lang w:val="sr-Cyrl-CS"/>
              </w:rPr>
            </w:pPr>
            <w:r w:rsidRPr="00E84C93">
              <w:rPr>
                <w:sz w:val="20"/>
                <w:szCs w:val="20"/>
                <w:lang w:val="sr-Cyrl-CS"/>
              </w:rPr>
              <w:t xml:space="preserve">1.2.3. Спровођење консултација о могућности измена и допуна постојеће </w:t>
            </w:r>
            <w:r w:rsidRPr="00E84C93">
              <w:rPr>
                <w:sz w:val="20"/>
                <w:szCs w:val="20"/>
                <w:lang w:val="sr-Cyrl-CS"/>
              </w:rPr>
              <w:lastRenderedPageBreak/>
              <w:t>регулативе ради омогућавања коришћења муља у пољопривреди</w:t>
            </w:r>
          </w:p>
        </w:tc>
        <w:tc>
          <w:tcPr>
            <w:tcW w:w="1239" w:type="dxa"/>
            <w:vMerge w:val="restart"/>
          </w:tcPr>
          <w:p w14:paraId="13A2FF8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МПШВ</w:t>
            </w:r>
          </w:p>
        </w:tc>
        <w:tc>
          <w:tcPr>
            <w:tcW w:w="1241" w:type="dxa"/>
            <w:vMerge w:val="restart"/>
          </w:tcPr>
          <w:p w14:paraId="6F3114F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МФ, АП, ЈЛС</w:t>
            </w:r>
          </w:p>
        </w:tc>
        <w:tc>
          <w:tcPr>
            <w:tcW w:w="1260" w:type="dxa"/>
            <w:vMerge w:val="restart"/>
          </w:tcPr>
          <w:p w14:paraId="48FF03E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vMerge w:val="restart"/>
          </w:tcPr>
          <w:p w14:paraId="7A46890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01-приходи из </w:t>
            </w:r>
            <w:r w:rsidRPr="00E84C93">
              <w:rPr>
                <w:rFonts w:cs="Times New Roman"/>
                <w:sz w:val="20"/>
                <w:szCs w:val="20"/>
                <w:lang w:val="sr-Cyrl-CS"/>
              </w:rPr>
              <w:lastRenderedPageBreak/>
              <w:t>буџета/редовна издвајања</w:t>
            </w:r>
          </w:p>
        </w:tc>
        <w:tc>
          <w:tcPr>
            <w:tcW w:w="1350" w:type="dxa"/>
          </w:tcPr>
          <w:p w14:paraId="7F034A3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0102-0003</w:t>
            </w:r>
          </w:p>
          <w:p w14:paraId="3C4268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423</w:t>
            </w:r>
          </w:p>
        </w:tc>
        <w:tc>
          <w:tcPr>
            <w:tcW w:w="918" w:type="dxa"/>
          </w:tcPr>
          <w:p w14:paraId="5AA2BA7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889" w:type="dxa"/>
          </w:tcPr>
          <w:p w14:paraId="2FD7812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3" w:type="dxa"/>
          </w:tcPr>
          <w:p w14:paraId="79838C6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4" w:type="dxa"/>
          </w:tcPr>
          <w:p w14:paraId="46AE9C0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4" w:type="dxa"/>
          </w:tcPr>
          <w:p w14:paraId="33A439A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303DE590" w14:textId="77777777" w:rsidTr="00085A1A">
        <w:trPr>
          <w:trHeight w:val="1080"/>
        </w:trPr>
        <w:tc>
          <w:tcPr>
            <w:tcW w:w="2725" w:type="dxa"/>
            <w:vMerge/>
          </w:tcPr>
          <w:p w14:paraId="7D921745" w14:textId="77777777" w:rsidR="00921DBE" w:rsidRPr="00E84C93" w:rsidRDefault="00921DBE" w:rsidP="00085A1A">
            <w:pPr>
              <w:rPr>
                <w:sz w:val="20"/>
                <w:szCs w:val="20"/>
                <w:lang w:val="sr-Cyrl-CS"/>
              </w:rPr>
            </w:pPr>
          </w:p>
        </w:tc>
        <w:tc>
          <w:tcPr>
            <w:tcW w:w="1239" w:type="dxa"/>
            <w:vMerge/>
          </w:tcPr>
          <w:p w14:paraId="6893B770" w14:textId="77777777" w:rsidR="00921DBE" w:rsidRPr="00E84C93" w:rsidRDefault="00921DBE" w:rsidP="00085A1A">
            <w:pPr>
              <w:rPr>
                <w:rFonts w:cs="Times New Roman"/>
                <w:sz w:val="20"/>
                <w:szCs w:val="20"/>
                <w:lang w:val="sr-Cyrl-CS"/>
              </w:rPr>
            </w:pPr>
          </w:p>
        </w:tc>
        <w:tc>
          <w:tcPr>
            <w:tcW w:w="1241" w:type="dxa"/>
            <w:vMerge/>
          </w:tcPr>
          <w:p w14:paraId="05F129D2" w14:textId="77777777" w:rsidR="00921DBE" w:rsidRPr="00E84C93" w:rsidRDefault="00921DBE" w:rsidP="00085A1A">
            <w:pPr>
              <w:rPr>
                <w:rFonts w:cs="Times New Roman"/>
                <w:sz w:val="20"/>
                <w:szCs w:val="20"/>
                <w:lang w:val="sr-Cyrl-CS"/>
              </w:rPr>
            </w:pPr>
          </w:p>
        </w:tc>
        <w:tc>
          <w:tcPr>
            <w:tcW w:w="1260" w:type="dxa"/>
            <w:vMerge/>
          </w:tcPr>
          <w:p w14:paraId="0FDE0082" w14:textId="77777777" w:rsidR="00921DBE" w:rsidRPr="00E84C93" w:rsidRDefault="00921DBE" w:rsidP="00085A1A">
            <w:pPr>
              <w:rPr>
                <w:rFonts w:cs="Times New Roman"/>
                <w:sz w:val="20"/>
                <w:szCs w:val="20"/>
                <w:lang w:val="sr-Cyrl-CS"/>
              </w:rPr>
            </w:pPr>
          </w:p>
        </w:tc>
        <w:tc>
          <w:tcPr>
            <w:tcW w:w="1440" w:type="dxa"/>
            <w:vMerge/>
          </w:tcPr>
          <w:p w14:paraId="52C63CF0" w14:textId="77777777" w:rsidR="00921DBE" w:rsidRPr="00E84C93" w:rsidRDefault="00921DBE" w:rsidP="00085A1A">
            <w:pPr>
              <w:rPr>
                <w:rFonts w:cs="Times New Roman"/>
                <w:sz w:val="20"/>
                <w:szCs w:val="20"/>
                <w:lang w:val="sr-Cyrl-CS"/>
              </w:rPr>
            </w:pPr>
          </w:p>
        </w:tc>
        <w:tc>
          <w:tcPr>
            <w:tcW w:w="1350" w:type="dxa"/>
          </w:tcPr>
          <w:p w14:paraId="1A1CA87E" w14:textId="77777777" w:rsidR="00921DBE" w:rsidRPr="00E84C93" w:rsidRDefault="00921DBE" w:rsidP="00085A1A">
            <w:pPr>
              <w:rPr>
                <w:rFonts w:cs="Times New Roman"/>
                <w:sz w:val="20"/>
                <w:szCs w:val="20"/>
                <w:lang w:val="sr-Cyrl-CS"/>
              </w:rPr>
            </w:pPr>
          </w:p>
        </w:tc>
        <w:tc>
          <w:tcPr>
            <w:tcW w:w="918" w:type="dxa"/>
          </w:tcPr>
          <w:p w14:paraId="5878B36D" w14:textId="77777777" w:rsidR="00921DBE" w:rsidRPr="00E84C93" w:rsidRDefault="00921DBE" w:rsidP="00085A1A">
            <w:pPr>
              <w:rPr>
                <w:rFonts w:cs="Times New Roman"/>
                <w:sz w:val="20"/>
                <w:szCs w:val="20"/>
                <w:lang w:val="sr-Cyrl-CS"/>
              </w:rPr>
            </w:pPr>
          </w:p>
        </w:tc>
        <w:tc>
          <w:tcPr>
            <w:tcW w:w="889" w:type="dxa"/>
          </w:tcPr>
          <w:p w14:paraId="29884BA5" w14:textId="77777777" w:rsidR="00921DBE" w:rsidRPr="00E84C93" w:rsidRDefault="00921DBE" w:rsidP="00085A1A">
            <w:pPr>
              <w:rPr>
                <w:rFonts w:cs="Times New Roman"/>
                <w:sz w:val="20"/>
                <w:szCs w:val="20"/>
                <w:lang w:val="sr-Cyrl-CS"/>
              </w:rPr>
            </w:pPr>
          </w:p>
        </w:tc>
        <w:tc>
          <w:tcPr>
            <w:tcW w:w="903" w:type="dxa"/>
          </w:tcPr>
          <w:p w14:paraId="6CCAB3C2" w14:textId="77777777" w:rsidR="00921DBE" w:rsidRPr="00E84C93" w:rsidRDefault="00921DBE" w:rsidP="00085A1A">
            <w:pPr>
              <w:rPr>
                <w:rFonts w:cs="Times New Roman"/>
                <w:sz w:val="20"/>
                <w:szCs w:val="20"/>
                <w:lang w:val="sr-Cyrl-CS"/>
              </w:rPr>
            </w:pPr>
          </w:p>
        </w:tc>
        <w:tc>
          <w:tcPr>
            <w:tcW w:w="904" w:type="dxa"/>
          </w:tcPr>
          <w:p w14:paraId="375F09DF" w14:textId="77777777" w:rsidR="00921DBE" w:rsidRPr="00E84C93" w:rsidRDefault="00921DBE" w:rsidP="00085A1A">
            <w:pPr>
              <w:rPr>
                <w:rFonts w:cs="Times New Roman"/>
                <w:sz w:val="20"/>
                <w:szCs w:val="20"/>
                <w:lang w:val="sr-Cyrl-CS"/>
              </w:rPr>
            </w:pPr>
          </w:p>
        </w:tc>
        <w:tc>
          <w:tcPr>
            <w:tcW w:w="904" w:type="dxa"/>
          </w:tcPr>
          <w:p w14:paraId="540A752B" w14:textId="77777777" w:rsidR="00921DBE" w:rsidRPr="00E84C93" w:rsidRDefault="00921DBE" w:rsidP="00085A1A">
            <w:pPr>
              <w:rPr>
                <w:rFonts w:cs="Times New Roman"/>
                <w:sz w:val="20"/>
                <w:szCs w:val="20"/>
                <w:lang w:val="sr-Cyrl-CS"/>
              </w:rPr>
            </w:pPr>
          </w:p>
        </w:tc>
      </w:tr>
      <w:tr w:rsidR="00921DBE" w:rsidRPr="00E84C93" w14:paraId="3E8A46B2" w14:textId="77777777" w:rsidTr="00085A1A">
        <w:trPr>
          <w:trHeight w:val="510"/>
        </w:trPr>
        <w:tc>
          <w:tcPr>
            <w:tcW w:w="2725" w:type="dxa"/>
            <w:vMerge w:val="restart"/>
          </w:tcPr>
          <w:p w14:paraId="519C9137" w14:textId="77777777" w:rsidR="00921DBE" w:rsidRPr="00E84C93" w:rsidRDefault="00921DBE" w:rsidP="00085A1A">
            <w:pPr>
              <w:rPr>
                <w:rFonts w:cs="Times New Roman"/>
                <w:sz w:val="20"/>
                <w:szCs w:val="20"/>
                <w:lang w:val="sr-Cyrl-CS"/>
              </w:rPr>
            </w:pPr>
            <w:r w:rsidRPr="00E84C93">
              <w:rPr>
                <w:rFonts w:cs="Times New Roman"/>
                <w:sz w:val="20"/>
                <w:szCs w:val="20"/>
                <w:lang w:val="sr-Cyrl-CS" w:bidi="en-US"/>
              </w:rPr>
              <w:t>1.2.4. Упознавање пољопривредне заједнице (информативни скупови, кампање, обуке, и др.) са добром праксом за примену муља у пољопривреди</w:t>
            </w:r>
          </w:p>
        </w:tc>
        <w:tc>
          <w:tcPr>
            <w:tcW w:w="1239" w:type="dxa"/>
            <w:vMerge w:val="restart"/>
          </w:tcPr>
          <w:p w14:paraId="7E7BC4E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41" w:type="dxa"/>
            <w:vMerge w:val="restart"/>
          </w:tcPr>
          <w:p w14:paraId="6D3D5DD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 АП, ЈЛС</w:t>
            </w:r>
          </w:p>
        </w:tc>
        <w:tc>
          <w:tcPr>
            <w:tcW w:w="1260" w:type="dxa"/>
            <w:vMerge w:val="restart"/>
          </w:tcPr>
          <w:p w14:paraId="664589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vMerge w:val="restart"/>
          </w:tcPr>
          <w:p w14:paraId="14C153DA" w14:textId="77777777" w:rsidR="00921DBE" w:rsidRPr="00E84C93" w:rsidRDefault="00921DBE" w:rsidP="00085A1A">
            <w:pPr>
              <w:rPr>
                <w:rFonts w:cs="Times New Roman"/>
                <w:sz w:val="20"/>
                <w:szCs w:val="20"/>
                <w:lang w:val="sr-Cyrl-CS"/>
              </w:rPr>
            </w:pPr>
          </w:p>
        </w:tc>
        <w:tc>
          <w:tcPr>
            <w:tcW w:w="1350" w:type="dxa"/>
          </w:tcPr>
          <w:p w14:paraId="57BA9D4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Пројектна средства</w:t>
            </w:r>
          </w:p>
        </w:tc>
        <w:tc>
          <w:tcPr>
            <w:tcW w:w="918" w:type="dxa"/>
          </w:tcPr>
          <w:p w14:paraId="2D30606C" w14:textId="77777777" w:rsidR="00921DBE" w:rsidRPr="00E84C93" w:rsidRDefault="00921DBE" w:rsidP="00085A1A">
            <w:pPr>
              <w:rPr>
                <w:rFonts w:cs="Times New Roman"/>
                <w:sz w:val="20"/>
                <w:szCs w:val="20"/>
                <w:lang w:val="sr-Cyrl-CS"/>
              </w:rPr>
            </w:pPr>
            <w:r w:rsidRPr="00E84C93">
              <w:rPr>
                <w:lang w:val="sr-Cyrl-CS"/>
              </w:rPr>
              <w:t>-</w:t>
            </w:r>
          </w:p>
        </w:tc>
        <w:tc>
          <w:tcPr>
            <w:tcW w:w="889" w:type="dxa"/>
          </w:tcPr>
          <w:p w14:paraId="33EFC87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3" w:type="dxa"/>
          </w:tcPr>
          <w:p w14:paraId="10EAE7D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4" w:type="dxa"/>
          </w:tcPr>
          <w:p w14:paraId="1ECCA55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2.000*</w:t>
            </w:r>
          </w:p>
        </w:tc>
        <w:tc>
          <w:tcPr>
            <w:tcW w:w="904" w:type="dxa"/>
          </w:tcPr>
          <w:p w14:paraId="2BF058C5" w14:textId="77777777" w:rsidR="00921DBE" w:rsidRPr="00E84C93" w:rsidRDefault="00921DBE" w:rsidP="00085A1A">
            <w:pPr>
              <w:rPr>
                <w:rFonts w:cs="Times New Roman"/>
                <w:sz w:val="20"/>
                <w:szCs w:val="20"/>
                <w:lang w:val="sr-Cyrl-CS"/>
              </w:rPr>
            </w:pPr>
            <w:r w:rsidRPr="00E84C93">
              <w:rPr>
                <w:lang w:val="sr-Cyrl-CS"/>
              </w:rPr>
              <w:t>-</w:t>
            </w:r>
          </w:p>
        </w:tc>
      </w:tr>
      <w:tr w:rsidR="00921DBE" w:rsidRPr="00E84C93" w14:paraId="6D822AFC" w14:textId="77777777" w:rsidTr="00085A1A">
        <w:trPr>
          <w:trHeight w:val="975"/>
        </w:trPr>
        <w:tc>
          <w:tcPr>
            <w:tcW w:w="2725" w:type="dxa"/>
            <w:vMerge/>
          </w:tcPr>
          <w:p w14:paraId="59C6FF4B" w14:textId="77777777" w:rsidR="00921DBE" w:rsidRPr="00E84C93" w:rsidRDefault="00921DBE" w:rsidP="00085A1A">
            <w:pPr>
              <w:rPr>
                <w:rFonts w:cs="Times New Roman"/>
                <w:sz w:val="20"/>
                <w:szCs w:val="20"/>
                <w:lang w:val="sr-Cyrl-CS" w:bidi="en-US"/>
              </w:rPr>
            </w:pPr>
          </w:p>
        </w:tc>
        <w:tc>
          <w:tcPr>
            <w:tcW w:w="1239" w:type="dxa"/>
            <w:vMerge/>
          </w:tcPr>
          <w:p w14:paraId="423CB7EA" w14:textId="77777777" w:rsidR="00921DBE" w:rsidRPr="00E84C93" w:rsidRDefault="00921DBE" w:rsidP="00085A1A">
            <w:pPr>
              <w:rPr>
                <w:rFonts w:cs="Times New Roman"/>
                <w:sz w:val="20"/>
                <w:szCs w:val="20"/>
                <w:lang w:val="sr-Cyrl-CS"/>
              </w:rPr>
            </w:pPr>
          </w:p>
        </w:tc>
        <w:tc>
          <w:tcPr>
            <w:tcW w:w="1241" w:type="dxa"/>
            <w:vMerge/>
          </w:tcPr>
          <w:p w14:paraId="2E68536A" w14:textId="77777777" w:rsidR="00921DBE" w:rsidRPr="00E84C93" w:rsidRDefault="00921DBE" w:rsidP="00085A1A">
            <w:pPr>
              <w:rPr>
                <w:rFonts w:cs="Times New Roman"/>
                <w:sz w:val="20"/>
                <w:szCs w:val="20"/>
                <w:lang w:val="sr-Cyrl-CS"/>
              </w:rPr>
            </w:pPr>
          </w:p>
        </w:tc>
        <w:tc>
          <w:tcPr>
            <w:tcW w:w="1260" w:type="dxa"/>
            <w:vMerge/>
          </w:tcPr>
          <w:p w14:paraId="7354E751" w14:textId="77777777" w:rsidR="00921DBE" w:rsidRPr="00E84C93" w:rsidRDefault="00921DBE" w:rsidP="00085A1A">
            <w:pPr>
              <w:rPr>
                <w:rFonts w:cs="Times New Roman"/>
                <w:sz w:val="20"/>
                <w:szCs w:val="20"/>
                <w:lang w:val="sr-Cyrl-CS"/>
              </w:rPr>
            </w:pPr>
          </w:p>
        </w:tc>
        <w:tc>
          <w:tcPr>
            <w:tcW w:w="1440" w:type="dxa"/>
            <w:vMerge/>
          </w:tcPr>
          <w:p w14:paraId="1B3AF827" w14:textId="77777777" w:rsidR="00921DBE" w:rsidRPr="00E84C93" w:rsidRDefault="00921DBE" w:rsidP="00085A1A">
            <w:pPr>
              <w:rPr>
                <w:rFonts w:cs="Times New Roman"/>
                <w:sz w:val="20"/>
                <w:szCs w:val="20"/>
                <w:lang w:val="sr-Cyrl-CS"/>
              </w:rPr>
            </w:pPr>
          </w:p>
        </w:tc>
        <w:tc>
          <w:tcPr>
            <w:tcW w:w="1350" w:type="dxa"/>
          </w:tcPr>
          <w:p w14:paraId="404EAF08" w14:textId="77777777" w:rsidR="00921DBE" w:rsidRPr="00E84C93" w:rsidRDefault="00921DBE" w:rsidP="00085A1A">
            <w:pPr>
              <w:rPr>
                <w:rFonts w:cs="Times New Roman"/>
                <w:sz w:val="20"/>
                <w:szCs w:val="20"/>
                <w:lang w:val="sr-Cyrl-CS"/>
              </w:rPr>
            </w:pPr>
          </w:p>
        </w:tc>
        <w:tc>
          <w:tcPr>
            <w:tcW w:w="918" w:type="dxa"/>
          </w:tcPr>
          <w:p w14:paraId="259DAEF5" w14:textId="77777777" w:rsidR="00921DBE" w:rsidRPr="00E84C93" w:rsidRDefault="00921DBE" w:rsidP="00085A1A">
            <w:pPr>
              <w:rPr>
                <w:rFonts w:cs="Times New Roman"/>
                <w:sz w:val="20"/>
                <w:szCs w:val="20"/>
                <w:lang w:val="sr-Cyrl-CS"/>
              </w:rPr>
            </w:pPr>
          </w:p>
        </w:tc>
        <w:tc>
          <w:tcPr>
            <w:tcW w:w="889" w:type="dxa"/>
          </w:tcPr>
          <w:p w14:paraId="2D4DB9CF" w14:textId="77777777" w:rsidR="00921DBE" w:rsidRPr="00E84C93" w:rsidRDefault="00921DBE" w:rsidP="00085A1A">
            <w:pPr>
              <w:rPr>
                <w:rFonts w:cs="Times New Roman"/>
                <w:sz w:val="20"/>
                <w:szCs w:val="20"/>
                <w:lang w:val="sr-Cyrl-CS"/>
              </w:rPr>
            </w:pPr>
          </w:p>
        </w:tc>
        <w:tc>
          <w:tcPr>
            <w:tcW w:w="903" w:type="dxa"/>
          </w:tcPr>
          <w:p w14:paraId="19DDF4A5" w14:textId="77777777" w:rsidR="00921DBE" w:rsidRPr="00E84C93" w:rsidRDefault="00921DBE" w:rsidP="00085A1A">
            <w:pPr>
              <w:rPr>
                <w:rFonts w:cs="Times New Roman"/>
                <w:sz w:val="20"/>
                <w:szCs w:val="20"/>
                <w:lang w:val="sr-Cyrl-CS"/>
              </w:rPr>
            </w:pPr>
          </w:p>
        </w:tc>
        <w:tc>
          <w:tcPr>
            <w:tcW w:w="904" w:type="dxa"/>
          </w:tcPr>
          <w:p w14:paraId="72FF2B7D" w14:textId="77777777" w:rsidR="00921DBE" w:rsidRPr="00E84C93" w:rsidRDefault="00921DBE" w:rsidP="00085A1A">
            <w:pPr>
              <w:rPr>
                <w:rFonts w:cs="Times New Roman"/>
                <w:sz w:val="20"/>
                <w:szCs w:val="20"/>
                <w:lang w:val="sr-Cyrl-CS"/>
              </w:rPr>
            </w:pPr>
          </w:p>
        </w:tc>
        <w:tc>
          <w:tcPr>
            <w:tcW w:w="904" w:type="dxa"/>
          </w:tcPr>
          <w:p w14:paraId="42345A8A" w14:textId="77777777" w:rsidR="00921DBE" w:rsidRPr="00E84C93" w:rsidRDefault="00921DBE" w:rsidP="00085A1A">
            <w:pPr>
              <w:rPr>
                <w:rFonts w:cs="Times New Roman"/>
                <w:sz w:val="20"/>
                <w:szCs w:val="20"/>
                <w:lang w:val="sr-Cyrl-CS"/>
              </w:rPr>
            </w:pPr>
          </w:p>
        </w:tc>
      </w:tr>
      <w:tr w:rsidR="00921DBE" w:rsidRPr="00E84C93" w14:paraId="3D1122F9" w14:textId="77777777" w:rsidTr="00085A1A">
        <w:trPr>
          <w:trHeight w:val="146"/>
        </w:trPr>
        <w:tc>
          <w:tcPr>
            <w:tcW w:w="2725" w:type="dxa"/>
          </w:tcPr>
          <w:p w14:paraId="35B7F0F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1.2.5. Израда студије о могућности поновне примене муља у пољопривреди</w:t>
            </w:r>
          </w:p>
        </w:tc>
        <w:tc>
          <w:tcPr>
            <w:tcW w:w="1239" w:type="dxa"/>
          </w:tcPr>
          <w:p w14:paraId="6CA52C6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w:t>
            </w:r>
          </w:p>
        </w:tc>
        <w:tc>
          <w:tcPr>
            <w:tcW w:w="1241" w:type="dxa"/>
          </w:tcPr>
          <w:p w14:paraId="17A4FCA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60" w:type="dxa"/>
          </w:tcPr>
          <w:p w14:paraId="2F7D641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78769761" w14:textId="77777777" w:rsidR="00921DBE" w:rsidRPr="00E84C93" w:rsidRDefault="00921DBE" w:rsidP="00085A1A">
            <w:pPr>
              <w:rPr>
                <w:rFonts w:cs="Times New Roman"/>
                <w:sz w:val="20"/>
                <w:szCs w:val="20"/>
                <w:lang w:val="sr-Cyrl-CS"/>
              </w:rPr>
            </w:pPr>
          </w:p>
        </w:tc>
        <w:tc>
          <w:tcPr>
            <w:tcW w:w="1350" w:type="dxa"/>
          </w:tcPr>
          <w:p w14:paraId="789A653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Пројектна средства</w:t>
            </w:r>
          </w:p>
        </w:tc>
        <w:tc>
          <w:tcPr>
            <w:tcW w:w="918" w:type="dxa"/>
          </w:tcPr>
          <w:p w14:paraId="5628D38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889" w:type="dxa"/>
          </w:tcPr>
          <w:p w14:paraId="7746D97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3" w:type="dxa"/>
          </w:tcPr>
          <w:p w14:paraId="7410E59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4" w:type="dxa"/>
          </w:tcPr>
          <w:p w14:paraId="4744E9B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4.000*</w:t>
            </w:r>
          </w:p>
        </w:tc>
        <w:tc>
          <w:tcPr>
            <w:tcW w:w="904" w:type="dxa"/>
          </w:tcPr>
          <w:p w14:paraId="39C7B25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bl>
    <w:p w14:paraId="557777DB" w14:textId="77777777" w:rsidR="00921DBE" w:rsidRPr="00E84C93" w:rsidRDefault="00921DBE" w:rsidP="00921DBE">
      <w:pPr>
        <w:spacing w:after="0"/>
        <w:rPr>
          <w:rFonts w:cs="Times New Roman"/>
          <w:sz w:val="20"/>
          <w:szCs w:val="20"/>
          <w:lang w:val="sr-Cyrl-CS"/>
        </w:rPr>
      </w:pPr>
    </w:p>
    <w:p w14:paraId="633DFEBF" w14:textId="77777777" w:rsidR="00921DBE" w:rsidRPr="00E84C93" w:rsidRDefault="00921DBE" w:rsidP="00921DBE">
      <w:pPr>
        <w:tabs>
          <w:tab w:val="left" w:pos="1940"/>
        </w:tabs>
        <w:spacing w:after="0"/>
        <w:rPr>
          <w:rFonts w:cs="Times New Roman"/>
          <w:sz w:val="20"/>
          <w:szCs w:val="20"/>
          <w:lang w:val="sr-Cyrl-CS"/>
        </w:rPr>
      </w:pPr>
    </w:p>
    <w:tbl>
      <w:tblPr>
        <w:tblStyle w:val="TableGrid"/>
        <w:tblW w:w="13563"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158"/>
      </w:tblGrid>
      <w:tr w:rsidR="00921DBE" w:rsidRPr="00E84C93" w14:paraId="58062F6D"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tcPr>
          <w:p w14:paraId="5C62DEB2"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Посебан циљ 2: </w:t>
            </w:r>
            <w:r w:rsidRPr="00E84C93">
              <w:rPr>
                <w:b/>
                <w:sz w:val="20"/>
                <w:szCs w:val="20"/>
                <w:lang w:val="sr-Cyrl-CS"/>
              </w:rPr>
              <w:t>Примењен привремени систем за третман и одлагање муља примарно кроз коинсинерацију у цементарама и искоришћење муља за рекултивацију девастираних локација</w:t>
            </w:r>
          </w:p>
        </w:tc>
      </w:tr>
      <w:tr w:rsidR="00921DBE" w:rsidRPr="00E84C93" w14:paraId="0781DCE6"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vAlign w:val="center"/>
          </w:tcPr>
          <w:p w14:paraId="00563D7F"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координацију и извештавање: Министарство заштите животне средине</w:t>
            </w:r>
          </w:p>
        </w:tc>
      </w:tr>
      <w:tr w:rsidR="00921DBE" w:rsidRPr="00E84C93" w14:paraId="187BD255" w14:textId="77777777" w:rsidTr="00085A1A">
        <w:trPr>
          <w:trHeight w:val="614"/>
        </w:trPr>
        <w:tc>
          <w:tcPr>
            <w:tcW w:w="3073" w:type="dxa"/>
            <w:tcBorders>
              <w:top w:val="double" w:sz="4" w:space="0" w:color="auto"/>
            </w:tcBorders>
            <w:shd w:val="clear" w:color="auto" w:fill="D9D9D9" w:themeFill="background1" w:themeFillShade="D9"/>
          </w:tcPr>
          <w:p w14:paraId="1C041A0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посебног циља </w:t>
            </w:r>
            <w:r w:rsidRPr="00E84C93">
              <w:rPr>
                <w:rFonts w:cs="Times New Roman"/>
                <w:i/>
                <w:sz w:val="20"/>
                <w:szCs w:val="20"/>
                <w:lang w:val="sr-Cyrl-CS"/>
              </w:rPr>
              <w:t>(показатељ исхода)</w:t>
            </w:r>
          </w:p>
        </w:tc>
        <w:tc>
          <w:tcPr>
            <w:tcW w:w="1413" w:type="dxa"/>
            <w:tcBorders>
              <w:top w:val="double" w:sz="4" w:space="0" w:color="auto"/>
            </w:tcBorders>
            <w:shd w:val="clear" w:color="auto" w:fill="D9D9D9" w:themeFill="background1" w:themeFillShade="D9"/>
          </w:tcPr>
          <w:p w14:paraId="646768C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p w14:paraId="6E2BA0F9" w14:textId="77777777" w:rsidR="00921DBE" w:rsidRPr="00E84C93" w:rsidRDefault="00921DBE" w:rsidP="00085A1A">
            <w:pPr>
              <w:rPr>
                <w:rFonts w:cs="Times New Roman"/>
                <w:sz w:val="20"/>
                <w:szCs w:val="20"/>
                <w:lang w:val="sr-Cyrl-CS"/>
              </w:rPr>
            </w:pPr>
          </w:p>
        </w:tc>
        <w:tc>
          <w:tcPr>
            <w:tcW w:w="1079" w:type="dxa"/>
            <w:tcBorders>
              <w:top w:val="double" w:sz="4" w:space="0" w:color="auto"/>
            </w:tcBorders>
            <w:shd w:val="clear" w:color="auto" w:fill="D9D9D9" w:themeFill="background1" w:themeFillShade="D9"/>
          </w:tcPr>
          <w:p w14:paraId="1ACB70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80" w:type="dxa"/>
            <w:tcBorders>
              <w:top w:val="double" w:sz="4" w:space="0" w:color="auto"/>
            </w:tcBorders>
            <w:shd w:val="clear" w:color="auto" w:fill="D9D9D9" w:themeFill="background1" w:themeFillShade="D9"/>
          </w:tcPr>
          <w:p w14:paraId="09AAF55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990" w:type="dxa"/>
            <w:tcBorders>
              <w:top w:val="double" w:sz="4" w:space="0" w:color="auto"/>
            </w:tcBorders>
            <w:shd w:val="clear" w:color="auto" w:fill="D9D9D9" w:themeFill="background1" w:themeFillShade="D9"/>
          </w:tcPr>
          <w:p w14:paraId="7E931C6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170" w:type="dxa"/>
            <w:tcBorders>
              <w:top w:val="double" w:sz="4" w:space="0" w:color="auto"/>
            </w:tcBorders>
            <w:shd w:val="clear" w:color="auto" w:fill="D9D9D9" w:themeFill="background1" w:themeFillShade="D9"/>
          </w:tcPr>
          <w:p w14:paraId="6CB5FA7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170" w:type="dxa"/>
            <w:tcBorders>
              <w:top w:val="double" w:sz="4" w:space="0" w:color="auto"/>
            </w:tcBorders>
            <w:shd w:val="clear" w:color="auto" w:fill="D9D9D9" w:themeFill="background1" w:themeFillShade="D9"/>
          </w:tcPr>
          <w:p w14:paraId="1C5710C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260" w:type="dxa"/>
            <w:tcBorders>
              <w:top w:val="double" w:sz="4" w:space="0" w:color="auto"/>
              <w:right w:val="single" w:sz="4" w:space="0" w:color="auto"/>
            </w:tcBorders>
            <w:shd w:val="clear" w:color="auto" w:fill="D9D9D9" w:themeFill="background1" w:themeFillShade="D9"/>
          </w:tcPr>
          <w:p w14:paraId="532BA93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4D08682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158" w:type="dxa"/>
            <w:tcBorders>
              <w:top w:val="double" w:sz="4" w:space="0" w:color="auto"/>
              <w:left w:val="single" w:sz="4" w:space="0" w:color="auto"/>
              <w:right w:val="double" w:sz="4" w:space="0" w:color="auto"/>
            </w:tcBorders>
            <w:shd w:val="clear" w:color="auto" w:fill="D9D9D9" w:themeFill="background1" w:themeFillShade="D9"/>
          </w:tcPr>
          <w:p w14:paraId="56911FB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6DCAE46B" w14:textId="77777777" w:rsidTr="00085A1A">
        <w:trPr>
          <w:trHeight w:val="271"/>
        </w:trPr>
        <w:tc>
          <w:tcPr>
            <w:tcW w:w="3073" w:type="dxa"/>
            <w:tcBorders>
              <w:top w:val="double" w:sz="4" w:space="0" w:color="auto"/>
            </w:tcBorders>
            <w:shd w:val="clear" w:color="auto" w:fill="FFFFFF" w:themeFill="background1"/>
          </w:tcPr>
          <w:p w14:paraId="6140C897" w14:textId="77777777" w:rsidR="00921DBE" w:rsidRPr="00E84C93" w:rsidRDefault="00921DBE" w:rsidP="00085A1A">
            <w:pPr>
              <w:shd w:val="clear" w:color="auto" w:fill="FFFFFF" w:themeFill="background1"/>
              <w:rPr>
                <w:rFonts w:cs="Times New Roman"/>
                <w:iCs/>
                <w:sz w:val="20"/>
                <w:szCs w:val="20"/>
                <w:lang w:val="sr-Cyrl-CS"/>
              </w:rPr>
            </w:pPr>
            <w:r w:rsidRPr="00E84C93">
              <w:rPr>
                <w:rFonts w:cs="Times New Roman"/>
                <w:sz w:val="20"/>
                <w:szCs w:val="20"/>
                <w:lang w:val="sr-Cyrl-CS"/>
              </w:rPr>
              <w:t>Степен збринутог муља у односу на генерисани кроз привремени систем за третман и одлагање муља</w:t>
            </w:r>
          </w:p>
        </w:tc>
        <w:tc>
          <w:tcPr>
            <w:tcW w:w="1413" w:type="dxa"/>
            <w:tcBorders>
              <w:top w:val="double" w:sz="4" w:space="0" w:color="auto"/>
            </w:tcBorders>
            <w:shd w:val="clear" w:color="auto" w:fill="FFFFFF" w:themeFill="background1"/>
          </w:tcPr>
          <w:p w14:paraId="0D5C2E29"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w:t>
            </w:r>
          </w:p>
        </w:tc>
        <w:tc>
          <w:tcPr>
            <w:tcW w:w="1079" w:type="dxa"/>
            <w:tcBorders>
              <w:top w:val="double" w:sz="4" w:space="0" w:color="auto"/>
            </w:tcBorders>
            <w:shd w:val="clear" w:color="auto" w:fill="FFFFFF" w:themeFill="background1"/>
          </w:tcPr>
          <w:p w14:paraId="2463A48D" w14:textId="77777777" w:rsidR="00921DBE" w:rsidRPr="00E84C93" w:rsidRDefault="00921DBE" w:rsidP="00085A1A">
            <w:pPr>
              <w:shd w:val="clear" w:color="auto" w:fill="FFFFFF" w:themeFill="background1"/>
              <w:rPr>
                <w:rFonts w:cs="Times New Roman"/>
                <w:sz w:val="20"/>
                <w:szCs w:val="20"/>
                <w:lang w:val="sr-Cyrl-CS"/>
              </w:rPr>
            </w:pPr>
            <w:r w:rsidRPr="00E84C93">
              <w:rPr>
                <w:sz w:val="20"/>
                <w:szCs w:val="20"/>
                <w:lang w:val="sr-Cyrl-CS"/>
              </w:rPr>
              <w:t>Извештај МЗЖС</w:t>
            </w:r>
          </w:p>
        </w:tc>
        <w:tc>
          <w:tcPr>
            <w:tcW w:w="1080" w:type="dxa"/>
            <w:tcBorders>
              <w:top w:val="double" w:sz="4" w:space="0" w:color="auto"/>
            </w:tcBorders>
            <w:shd w:val="clear" w:color="auto" w:fill="FFFFFF" w:themeFill="background1"/>
          </w:tcPr>
          <w:p w14:paraId="1DAC7DE8"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990" w:type="dxa"/>
            <w:tcBorders>
              <w:top w:val="double" w:sz="4" w:space="0" w:color="auto"/>
            </w:tcBorders>
            <w:shd w:val="clear" w:color="auto" w:fill="FFFFFF" w:themeFill="background1"/>
          </w:tcPr>
          <w:p w14:paraId="7D66E819"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2023.</w:t>
            </w:r>
          </w:p>
        </w:tc>
        <w:tc>
          <w:tcPr>
            <w:tcW w:w="1170" w:type="dxa"/>
            <w:tcBorders>
              <w:top w:val="double" w:sz="4" w:space="0" w:color="auto"/>
            </w:tcBorders>
            <w:shd w:val="clear" w:color="auto" w:fill="FFFFFF" w:themeFill="background1"/>
          </w:tcPr>
          <w:p w14:paraId="6FE2F779"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5</w:t>
            </w:r>
          </w:p>
        </w:tc>
        <w:tc>
          <w:tcPr>
            <w:tcW w:w="1170" w:type="dxa"/>
            <w:tcBorders>
              <w:top w:val="double" w:sz="4" w:space="0" w:color="auto"/>
            </w:tcBorders>
            <w:shd w:val="clear" w:color="auto" w:fill="FFFFFF" w:themeFill="background1"/>
          </w:tcPr>
          <w:p w14:paraId="713CC87A"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15</w:t>
            </w:r>
          </w:p>
        </w:tc>
        <w:tc>
          <w:tcPr>
            <w:tcW w:w="1260" w:type="dxa"/>
            <w:tcBorders>
              <w:top w:val="double" w:sz="4" w:space="0" w:color="auto"/>
              <w:right w:val="single" w:sz="4" w:space="0" w:color="auto"/>
            </w:tcBorders>
            <w:shd w:val="clear" w:color="auto" w:fill="FFFFFF" w:themeFill="background1"/>
          </w:tcPr>
          <w:p w14:paraId="43E3E356"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33</w:t>
            </w:r>
          </w:p>
        </w:tc>
        <w:tc>
          <w:tcPr>
            <w:tcW w:w="1170" w:type="dxa"/>
            <w:tcBorders>
              <w:top w:val="double" w:sz="4" w:space="0" w:color="auto"/>
              <w:left w:val="single" w:sz="4" w:space="0" w:color="auto"/>
              <w:right w:val="single" w:sz="4" w:space="0" w:color="auto"/>
            </w:tcBorders>
            <w:shd w:val="clear" w:color="auto" w:fill="FFFFFF" w:themeFill="background1"/>
          </w:tcPr>
          <w:p w14:paraId="18952D31"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58</w:t>
            </w:r>
          </w:p>
        </w:tc>
        <w:tc>
          <w:tcPr>
            <w:tcW w:w="1158" w:type="dxa"/>
            <w:tcBorders>
              <w:top w:val="double" w:sz="4" w:space="0" w:color="auto"/>
              <w:left w:val="single" w:sz="4" w:space="0" w:color="auto"/>
              <w:right w:val="double" w:sz="4" w:space="0" w:color="auto"/>
            </w:tcBorders>
            <w:shd w:val="clear" w:color="auto" w:fill="FFFFFF" w:themeFill="background1"/>
          </w:tcPr>
          <w:p w14:paraId="2DF36733"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44</w:t>
            </w:r>
          </w:p>
        </w:tc>
      </w:tr>
    </w:tbl>
    <w:p w14:paraId="1BA9D55C" w14:textId="77777777" w:rsidR="00921DBE" w:rsidRPr="00E84C93" w:rsidRDefault="00921DBE" w:rsidP="00921DBE">
      <w:pPr>
        <w:tabs>
          <w:tab w:val="left" w:pos="1940"/>
        </w:tabs>
        <w:spacing w:after="0"/>
        <w:rPr>
          <w:rFonts w:cs="Times New Roman"/>
          <w:sz w:val="20"/>
          <w:szCs w:val="20"/>
          <w:lang w:val="sr-Cyrl-CS"/>
        </w:rPr>
      </w:pPr>
    </w:p>
    <w:p w14:paraId="5D6AE0E5" w14:textId="77777777" w:rsidR="00921DBE" w:rsidRPr="00E84C93" w:rsidRDefault="00921DBE" w:rsidP="00921DBE">
      <w:pPr>
        <w:tabs>
          <w:tab w:val="left" w:pos="1940"/>
        </w:tabs>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5C2A2016"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428D0D"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2.1: </w:t>
            </w:r>
            <w:r w:rsidRPr="00E84C93">
              <w:rPr>
                <w:rFonts w:cs="Times New Roman"/>
                <w:bCs/>
                <w:sz w:val="20"/>
                <w:szCs w:val="20"/>
                <w:lang w:val="sr-Cyrl-CS"/>
              </w:rPr>
              <w:t>Збрињавање муља одлагањем на индустријске депоније, депоније пепела или рекултивацијом девастираних локација</w:t>
            </w:r>
          </w:p>
        </w:tc>
      </w:tr>
      <w:tr w:rsidR="00921DBE" w:rsidRPr="00E84C93" w14:paraId="2CBCA83C"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71DC934"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01A16034"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C8EBF3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2024-2027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4999E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пружање услуга</w:t>
            </w:r>
          </w:p>
        </w:tc>
      </w:tr>
      <w:tr w:rsidR="00921DBE" w:rsidRPr="00E84C93" w14:paraId="68AF93EB"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6F449F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C7310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793EFD7B"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32CA886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1EE0D54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3261EAA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7174639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191E281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34F410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22EE56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2C227B8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41E8BF5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901E87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0A2FF38B"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008F4E00"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bCs/>
                <w:sz w:val="20"/>
                <w:szCs w:val="20"/>
                <w:lang w:val="sr-Cyrl-CS"/>
              </w:rPr>
              <w:t>Удео одложеног муља на девастиране локације у односу на укупно генерисан</w:t>
            </w:r>
          </w:p>
        </w:tc>
        <w:tc>
          <w:tcPr>
            <w:tcW w:w="1430" w:type="dxa"/>
            <w:tcBorders>
              <w:top w:val="double" w:sz="4" w:space="0" w:color="auto"/>
              <w:bottom w:val="double" w:sz="4" w:space="0" w:color="auto"/>
            </w:tcBorders>
            <w:shd w:val="clear" w:color="auto" w:fill="FFFFFF" w:themeFill="background1"/>
          </w:tcPr>
          <w:p w14:paraId="14B0024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bCs/>
                <w:sz w:val="20"/>
                <w:szCs w:val="20"/>
                <w:lang w:val="sr-Cyrl-CS"/>
              </w:rPr>
              <w:t>%</w:t>
            </w:r>
          </w:p>
        </w:tc>
        <w:tc>
          <w:tcPr>
            <w:tcW w:w="1337" w:type="dxa"/>
            <w:tcBorders>
              <w:top w:val="double" w:sz="4" w:space="0" w:color="auto"/>
              <w:bottom w:val="double" w:sz="4" w:space="0" w:color="auto"/>
            </w:tcBorders>
            <w:shd w:val="clear" w:color="auto" w:fill="FFFFFF" w:themeFill="background1"/>
          </w:tcPr>
          <w:p w14:paraId="3F546B6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sz w:val="20"/>
                <w:szCs w:val="20"/>
                <w:lang w:val="sr-Cyrl-CS"/>
              </w:rPr>
              <w:t>Извештај МЗЖС</w:t>
            </w:r>
          </w:p>
        </w:tc>
        <w:tc>
          <w:tcPr>
            <w:tcW w:w="1099" w:type="dxa"/>
            <w:gridSpan w:val="2"/>
            <w:tcBorders>
              <w:top w:val="double" w:sz="4" w:space="0" w:color="auto"/>
              <w:bottom w:val="double" w:sz="4" w:space="0" w:color="auto"/>
            </w:tcBorders>
            <w:shd w:val="clear" w:color="auto" w:fill="FFFFFF" w:themeFill="background1"/>
          </w:tcPr>
          <w:p w14:paraId="24A965AA"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FFFFFF" w:themeFill="background1"/>
          </w:tcPr>
          <w:p w14:paraId="11ADE3B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57054C0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0142880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7068519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3</w:t>
            </w:r>
          </w:p>
        </w:tc>
        <w:tc>
          <w:tcPr>
            <w:tcW w:w="1080" w:type="dxa"/>
            <w:tcBorders>
              <w:top w:val="double" w:sz="4" w:space="0" w:color="auto"/>
              <w:left w:val="single" w:sz="4" w:space="0" w:color="auto"/>
              <w:bottom w:val="double" w:sz="4" w:space="0" w:color="auto"/>
              <w:right w:val="single" w:sz="4" w:space="0" w:color="auto"/>
            </w:tcBorders>
            <w:shd w:val="clear" w:color="auto" w:fill="FFFFFF" w:themeFill="background1"/>
          </w:tcPr>
          <w:p w14:paraId="6D0E4B9E"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3</w:t>
            </w:r>
          </w:p>
        </w:tc>
        <w:tc>
          <w:tcPr>
            <w:tcW w:w="1076" w:type="dxa"/>
            <w:tcBorders>
              <w:top w:val="double" w:sz="4" w:space="0" w:color="auto"/>
              <w:left w:val="single" w:sz="4" w:space="0" w:color="auto"/>
              <w:bottom w:val="double" w:sz="4" w:space="0" w:color="auto"/>
              <w:right w:val="double" w:sz="4" w:space="0" w:color="auto"/>
            </w:tcBorders>
            <w:shd w:val="clear" w:color="auto" w:fill="FFFFFF" w:themeFill="background1"/>
          </w:tcPr>
          <w:p w14:paraId="5877E24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r>
    </w:tbl>
    <w:p w14:paraId="6C9ECEBF"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583F2577"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236E588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5B46A5C8"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4052BDB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41455AC4"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B7F50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60B12C7A"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098D3AF9"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0A1C15C9"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27C83C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D764B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B40C0F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3690F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E63AB5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22A312B4"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0804388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буџета/редовна издваајња</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24F9AF0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0406-0004</w:t>
            </w: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19BD199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68B21C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29B8F0F"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44CBFC0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090809E" w14:textId="77777777" w:rsidR="00921DBE" w:rsidRPr="00E84C93" w:rsidRDefault="00921DBE" w:rsidP="00085A1A">
            <w:pPr>
              <w:rPr>
                <w:rFonts w:cs="Times New Roman"/>
                <w:sz w:val="20"/>
                <w:szCs w:val="20"/>
                <w:lang w:val="sr-Cyrl-CS"/>
              </w:rPr>
            </w:pPr>
          </w:p>
        </w:tc>
      </w:tr>
      <w:tr w:rsidR="00921DBE" w:rsidRPr="00E84C93" w14:paraId="3B6820EE"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65114D0B" w14:textId="77777777" w:rsidR="00921DBE" w:rsidRPr="00E84C93" w:rsidRDefault="00921DBE" w:rsidP="00085A1A">
            <w:pPr>
              <w:rPr>
                <w:sz w:val="20"/>
                <w:szCs w:val="20"/>
                <w:lang w:val="sr-Cyrl-CS"/>
              </w:rPr>
            </w:pPr>
            <w:r w:rsidRPr="00E84C93">
              <w:rPr>
                <w:sz w:val="20"/>
                <w:szCs w:val="20"/>
                <w:lang w:val="sr-Cyrl-CS"/>
              </w:rPr>
              <w:t>Зајам</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63C58E0A"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2CE6F6D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406.847*</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39779F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406.847*</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52E7129"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1B824D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069F1A5" w14:textId="77777777" w:rsidR="00921DBE" w:rsidRPr="00E84C93" w:rsidRDefault="00921DBE" w:rsidP="00085A1A">
            <w:pPr>
              <w:rPr>
                <w:rFonts w:cs="Times New Roman"/>
                <w:sz w:val="20"/>
                <w:szCs w:val="20"/>
                <w:lang w:val="sr-Cyrl-CS"/>
              </w:rPr>
            </w:pPr>
          </w:p>
        </w:tc>
      </w:tr>
      <w:tr w:rsidR="00921DBE" w:rsidRPr="00E84C93" w14:paraId="7474CDBE"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24C42A1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148EC5B0" w14:textId="77777777" w:rsidR="00921DBE" w:rsidRPr="00E84C93" w:rsidRDefault="00921DBE" w:rsidP="00085A1A">
            <w:pPr>
              <w:rPr>
                <w:rFonts w:cs="Times New Roman"/>
                <w:sz w:val="20"/>
                <w:szCs w:val="20"/>
                <w:lang w:val="sr-Cyrl-CS"/>
              </w:rPr>
            </w:pPr>
          </w:p>
        </w:tc>
        <w:tc>
          <w:tcPr>
            <w:tcW w:w="1526" w:type="dxa"/>
            <w:tcBorders>
              <w:left w:val="double" w:sz="4" w:space="0" w:color="auto"/>
              <w:bottom w:val="double" w:sz="4" w:space="0" w:color="auto"/>
              <w:right w:val="double" w:sz="4" w:space="0" w:color="auto"/>
            </w:tcBorders>
            <w:shd w:val="clear" w:color="auto" w:fill="auto"/>
          </w:tcPr>
          <w:p w14:paraId="4442BFE9"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4FC938B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591B3F9"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1B23C15"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5DB7EFBB" w14:textId="77777777" w:rsidR="00921DBE" w:rsidRPr="00E84C93" w:rsidRDefault="00921DBE" w:rsidP="00085A1A">
            <w:pPr>
              <w:rPr>
                <w:rFonts w:cs="Times New Roman"/>
                <w:sz w:val="20"/>
                <w:szCs w:val="20"/>
                <w:lang w:val="sr-Cyrl-CS"/>
              </w:rPr>
            </w:pPr>
          </w:p>
        </w:tc>
      </w:tr>
      <w:tr w:rsidR="00921DBE" w:rsidRPr="00E84C93" w14:paraId="7BEBCA58"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4005F90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0300120"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0CA7F23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2039CF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FA99508"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7C743ED"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285A3DB" w14:textId="77777777" w:rsidR="00921DBE" w:rsidRPr="00E84C93" w:rsidRDefault="00921DBE" w:rsidP="00085A1A">
            <w:pPr>
              <w:rPr>
                <w:rFonts w:cs="Times New Roman"/>
                <w:sz w:val="20"/>
                <w:szCs w:val="20"/>
                <w:lang w:val="sr-Cyrl-CS"/>
              </w:rPr>
            </w:pPr>
          </w:p>
        </w:tc>
      </w:tr>
    </w:tbl>
    <w:p w14:paraId="1FBE7E3E"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5FD45A80" w14:textId="77777777" w:rsidTr="00085A1A">
        <w:trPr>
          <w:trHeight w:val="146"/>
        </w:trPr>
        <w:tc>
          <w:tcPr>
            <w:tcW w:w="2725" w:type="dxa"/>
            <w:vMerge w:val="restart"/>
            <w:shd w:val="clear" w:color="auto" w:fill="FFF2CC" w:themeFill="accent4" w:themeFillTint="33"/>
          </w:tcPr>
          <w:p w14:paraId="69FDD62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4A0CA66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62578A6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5365E0A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0668EA0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01E5A85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6278D19F"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500EB8C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475C56C0" w14:textId="77777777" w:rsidTr="00085A1A">
        <w:trPr>
          <w:trHeight w:val="405"/>
        </w:trPr>
        <w:tc>
          <w:tcPr>
            <w:tcW w:w="2725" w:type="dxa"/>
            <w:vMerge/>
            <w:shd w:val="clear" w:color="auto" w:fill="FFF2CC" w:themeFill="accent4" w:themeFillTint="33"/>
          </w:tcPr>
          <w:p w14:paraId="70A0CC05"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63BFCEC1"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506BB487"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4EF986E5"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55B8CF97"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2E00A9E0"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6A81BDE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0E603F3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1D65B5B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61F9D33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4828269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22E4D96B" w14:textId="77777777" w:rsidTr="00085A1A">
        <w:trPr>
          <w:trHeight w:val="146"/>
        </w:trPr>
        <w:tc>
          <w:tcPr>
            <w:tcW w:w="2725" w:type="dxa"/>
          </w:tcPr>
          <w:p w14:paraId="3C78E7EE" w14:textId="77777777" w:rsidR="00921DBE" w:rsidRPr="00E84C93" w:rsidRDefault="00921DBE" w:rsidP="00085A1A">
            <w:pPr>
              <w:rPr>
                <w:sz w:val="20"/>
                <w:szCs w:val="20"/>
                <w:highlight w:val="yellow"/>
                <w:lang w:val="sr-Cyrl-CS"/>
              </w:rPr>
            </w:pPr>
            <w:bookmarkStart w:id="128" w:name="_Hlk145316502"/>
            <w:r w:rsidRPr="00E84C93">
              <w:rPr>
                <w:sz w:val="20"/>
                <w:szCs w:val="20"/>
                <w:lang w:val="sr-Cyrl-CS"/>
              </w:rPr>
              <w:t xml:space="preserve">2.1.1. Анализа могућности искоришћења муља за санацију и </w:t>
            </w:r>
            <w:r w:rsidRPr="00E84C93">
              <w:rPr>
                <w:bCs/>
                <w:sz w:val="20"/>
                <w:szCs w:val="20"/>
                <w:lang w:val="sr-Cyrl-CS"/>
              </w:rPr>
              <w:t>рекултивацију јаловишта, депонија пепела и других девастираних локација</w:t>
            </w:r>
          </w:p>
        </w:tc>
        <w:tc>
          <w:tcPr>
            <w:tcW w:w="1239" w:type="dxa"/>
          </w:tcPr>
          <w:p w14:paraId="056669A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44F1185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МРЕ</w:t>
            </w:r>
          </w:p>
        </w:tc>
        <w:tc>
          <w:tcPr>
            <w:tcW w:w="1260" w:type="dxa"/>
          </w:tcPr>
          <w:p w14:paraId="703FC38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593D10E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1350" w:type="dxa"/>
          </w:tcPr>
          <w:p w14:paraId="16BE0EF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0406-0004</w:t>
            </w:r>
          </w:p>
          <w:p w14:paraId="1450D12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 463</w:t>
            </w:r>
          </w:p>
        </w:tc>
        <w:tc>
          <w:tcPr>
            <w:tcW w:w="903" w:type="dxa"/>
          </w:tcPr>
          <w:p w14:paraId="7B759511" w14:textId="77777777" w:rsidR="00921DBE" w:rsidRPr="00E84C93" w:rsidRDefault="00921DBE" w:rsidP="00085A1A">
            <w:pPr>
              <w:rPr>
                <w:rFonts w:cs="Times New Roman"/>
                <w:sz w:val="20"/>
                <w:szCs w:val="20"/>
                <w:lang w:val="sr-Cyrl-CS"/>
              </w:rPr>
            </w:pPr>
          </w:p>
        </w:tc>
        <w:tc>
          <w:tcPr>
            <w:tcW w:w="904" w:type="dxa"/>
          </w:tcPr>
          <w:p w14:paraId="68E4B8B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298E4089" w14:textId="77777777" w:rsidR="00921DBE" w:rsidRPr="00E84C93" w:rsidRDefault="00921DBE" w:rsidP="00085A1A">
            <w:pPr>
              <w:rPr>
                <w:rFonts w:cs="Times New Roman"/>
                <w:sz w:val="20"/>
                <w:szCs w:val="20"/>
                <w:lang w:val="sr-Cyrl-CS"/>
              </w:rPr>
            </w:pPr>
          </w:p>
        </w:tc>
        <w:tc>
          <w:tcPr>
            <w:tcW w:w="903" w:type="dxa"/>
          </w:tcPr>
          <w:p w14:paraId="514E8044" w14:textId="77777777" w:rsidR="00921DBE" w:rsidRPr="00E84C93" w:rsidRDefault="00921DBE" w:rsidP="00085A1A">
            <w:pPr>
              <w:rPr>
                <w:rFonts w:cs="Times New Roman"/>
                <w:sz w:val="20"/>
                <w:szCs w:val="20"/>
                <w:lang w:val="sr-Cyrl-CS"/>
              </w:rPr>
            </w:pPr>
          </w:p>
        </w:tc>
        <w:tc>
          <w:tcPr>
            <w:tcW w:w="904" w:type="dxa"/>
          </w:tcPr>
          <w:p w14:paraId="4B9B88E5" w14:textId="77777777" w:rsidR="00921DBE" w:rsidRPr="00E84C93" w:rsidRDefault="00921DBE" w:rsidP="00085A1A">
            <w:pPr>
              <w:rPr>
                <w:rFonts w:cs="Times New Roman"/>
                <w:sz w:val="20"/>
                <w:szCs w:val="20"/>
                <w:lang w:val="sr-Cyrl-CS"/>
              </w:rPr>
            </w:pPr>
          </w:p>
        </w:tc>
        <w:tc>
          <w:tcPr>
            <w:tcW w:w="904" w:type="dxa"/>
          </w:tcPr>
          <w:p w14:paraId="28DF8B04" w14:textId="77777777" w:rsidR="00921DBE" w:rsidRPr="00E84C93" w:rsidRDefault="00921DBE" w:rsidP="00085A1A">
            <w:pPr>
              <w:rPr>
                <w:rFonts w:cs="Times New Roman"/>
                <w:sz w:val="20"/>
                <w:szCs w:val="20"/>
                <w:lang w:val="sr-Cyrl-CS"/>
              </w:rPr>
            </w:pPr>
          </w:p>
        </w:tc>
      </w:tr>
      <w:bookmarkEnd w:id="128"/>
      <w:tr w:rsidR="00921DBE" w:rsidRPr="00E84C93" w14:paraId="50D8F573" w14:textId="77777777" w:rsidTr="00085A1A">
        <w:trPr>
          <w:trHeight w:val="146"/>
        </w:trPr>
        <w:tc>
          <w:tcPr>
            <w:tcW w:w="2725" w:type="dxa"/>
          </w:tcPr>
          <w:p w14:paraId="4075A3D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2.1.2. Надоградња постројења за пречишћавање отпадних вода ради соларног сушења муља за одлагање на индустријске депоније и др.</w:t>
            </w:r>
          </w:p>
        </w:tc>
        <w:tc>
          <w:tcPr>
            <w:tcW w:w="1239" w:type="dxa"/>
          </w:tcPr>
          <w:p w14:paraId="7C1BD50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ЈКП </w:t>
            </w:r>
          </w:p>
        </w:tc>
        <w:tc>
          <w:tcPr>
            <w:tcW w:w="1241" w:type="dxa"/>
          </w:tcPr>
          <w:p w14:paraId="52C98BB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1902FC6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229A938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Зајам</w:t>
            </w:r>
          </w:p>
        </w:tc>
        <w:tc>
          <w:tcPr>
            <w:tcW w:w="1350" w:type="dxa"/>
          </w:tcPr>
          <w:p w14:paraId="1F196E4B" w14:textId="77777777" w:rsidR="00921DBE" w:rsidRPr="00E84C93" w:rsidRDefault="00921DBE" w:rsidP="00085A1A">
            <w:pPr>
              <w:rPr>
                <w:rFonts w:cs="Times New Roman"/>
                <w:sz w:val="20"/>
                <w:szCs w:val="20"/>
                <w:lang w:val="sr-Cyrl-CS"/>
              </w:rPr>
            </w:pPr>
          </w:p>
        </w:tc>
        <w:tc>
          <w:tcPr>
            <w:tcW w:w="903" w:type="dxa"/>
          </w:tcPr>
          <w:p w14:paraId="2DA8F017"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406.847*</w:t>
            </w:r>
          </w:p>
        </w:tc>
        <w:tc>
          <w:tcPr>
            <w:tcW w:w="904" w:type="dxa"/>
          </w:tcPr>
          <w:p w14:paraId="450F68B7"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406.847*</w:t>
            </w:r>
          </w:p>
        </w:tc>
        <w:tc>
          <w:tcPr>
            <w:tcW w:w="903" w:type="dxa"/>
          </w:tcPr>
          <w:p w14:paraId="7B30FD75" w14:textId="77777777" w:rsidR="00921DBE" w:rsidRPr="00E84C93" w:rsidRDefault="00921DBE" w:rsidP="00085A1A">
            <w:pPr>
              <w:rPr>
                <w:rFonts w:cs="Times New Roman"/>
                <w:sz w:val="20"/>
                <w:szCs w:val="20"/>
                <w:lang w:val="sr-Cyrl-CS"/>
              </w:rPr>
            </w:pPr>
          </w:p>
        </w:tc>
        <w:tc>
          <w:tcPr>
            <w:tcW w:w="904" w:type="dxa"/>
          </w:tcPr>
          <w:p w14:paraId="21786E90" w14:textId="77777777" w:rsidR="00921DBE" w:rsidRPr="00E84C93" w:rsidRDefault="00921DBE" w:rsidP="00085A1A">
            <w:pPr>
              <w:rPr>
                <w:rFonts w:cs="Times New Roman"/>
                <w:sz w:val="20"/>
                <w:szCs w:val="20"/>
                <w:lang w:val="sr-Cyrl-CS"/>
              </w:rPr>
            </w:pPr>
          </w:p>
        </w:tc>
        <w:tc>
          <w:tcPr>
            <w:tcW w:w="904" w:type="dxa"/>
          </w:tcPr>
          <w:p w14:paraId="243643EF" w14:textId="77777777" w:rsidR="00921DBE" w:rsidRPr="00E84C93" w:rsidRDefault="00921DBE" w:rsidP="00085A1A">
            <w:pPr>
              <w:rPr>
                <w:rFonts w:cs="Times New Roman"/>
                <w:sz w:val="20"/>
                <w:szCs w:val="20"/>
                <w:lang w:val="sr-Cyrl-CS"/>
              </w:rPr>
            </w:pPr>
          </w:p>
        </w:tc>
      </w:tr>
      <w:tr w:rsidR="00921DBE" w:rsidRPr="00E84C93" w14:paraId="255F2B61" w14:textId="77777777" w:rsidTr="00085A1A">
        <w:trPr>
          <w:trHeight w:val="146"/>
        </w:trPr>
        <w:tc>
          <w:tcPr>
            <w:tcW w:w="2725" w:type="dxa"/>
          </w:tcPr>
          <w:p w14:paraId="2E4D1D8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 xml:space="preserve">2.1.3.Израда анализа квалитета муља ради примене за </w:t>
            </w:r>
            <w:r w:rsidRPr="00E84C93">
              <w:rPr>
                <w:sz w:val="20"/>
                <w:szCs w:val="20"/>
                <w:lang w:val="sr-Cyrl-CS"/>
              </w:rPr>
              <w:t>за прекривање санитарних депонија и индустријских депонија пепела из производње електричне енергије</w:t>
            </w:r>
          </w:p>
        </w:tc>
        <w:tc>
          <w:tcPr>
            <w:tcW w:w="1239" w:type="dxa"/>
          </w:tcPr>
          <w:p w14:paraId="5F71F12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41" w:type="dxa"/>
          </w:tcPr>
          <w:p w14:paraId="313E02D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3300EF5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45EABDA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1350" w:type="dxa"/>
          </w:tcPr>
          <w:p w14:paraId="5979F8AB" w14:textId="77777777" w:rsidR="00921DBE" w:rsidRPr="00E84C93" w:rsidRDefault="00921DBE" w:rsidP="00085A1A">
            <w:pPr>
              <w:rPr>
                <w:rFonts w:cs="Times New Roman"/>
                <w:sz w:val="20"/>
                <w:szCs w:val="20"/>
                <w:lang w:val="sr-Cyrl-CS"/>
              </w:rPr>
            </w:pPr>
          </w:p>
        </w:tc>
        <w:tc>
          <w:tcPr>
            <w:tcW w:w="903" w:type="dxa"/>
          </w:tcPr>
          <w:p w14:paraId="3745ABE3" w14:textId="77777777" w:rsidR="00921DBE" w:rsidRPr="00E84C93" w:rsidRDefault="00921DBE" w:rsidP="00085A1A">
            <w:pPr>
              <w:rPr>
                <w:rFonts w:cs="Times New Roman"/>
                <w:sz w:val="20"/>
                <w:szCs w:val="20"/>
                <w:lang w:val="sr-Cyrl-CS"/>
              </w:rPr>
            </w:pPr>
          </w:p>
        </w:tc>
        <w:tc>
          <w:tcPr>
            <w:tcW w:w="904" w:type="dxa"/>
          </w:tcPr>
          <w:p w14:paraId="06DFEF4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903" w:type="dxa"/>
          </w:tcPr>
          <w:p w14:paraId="57EBE331" w14:textId="77777777" w:rsidR="00921DBE" w:rsidRPr="00E84C93" w:rsidRDefault="00921DBE" w:rsidP="00085A1A">
            <w:pPr>
              <w:rPr>
                <w:rFonts w:cs="Times New Roman"/>
                <w:sz w:val="20"/>
                <w:szCs w:val="20"/>
                <w:lang w:val="sr-Cyrl-CS"/>
              </w:rPr>
            </w:pPr>
          </w:p>
        </w:tc>
        <w:tc>
          <w:tcPr>
            <w:tcW w:w="904" w:type="dxa"/>
          </w:tcPr>
          <w:p w14:paraId="0F77AB91" w14:textId="77777777" w:rsidR="00921DBE" w:rsidRPr="00E84C93" w:rsidRDefault="00921DBE" w:rsidP="00085A1A">
            <w:pPr>
              <w:rPr>
                <w:rFonts w:cs="Times New Roman"/>
                <w:sz w:val="20"/>
                <w:szCs w:val="20"/>
                <w:lang w:val="sr-Cyrl-CS"/>
              </w:rPr>
            </w:pPr>
          </w:p>
        </w:tc>
        <w:tc>
          <w:tcPr>
            <w:tcW w:w="904" w:type="dxa"/>
          </w:tcPr>
          <w:p w14:paraId="7CFD8834" w14:textId="77777777" w:rsidR="00921DBE" w:rsidRPr="00E84C93" w:rsidRDefault="00921DBE" w:rsidP="00085A1A">
            <w:pPr>
              <w:rPr>
                <w:rFonts w:cs="Times New Roman"/>
                <w:sz w:val="20"/>
                <w:szCs w:val="20"/>
                <w:lang w:val="sr-Cyrl-CS"/>
              </w:rPr>
            </w:pPr>
          </w:p>
        </w:tc>
      </w:tr>
      <w:tr w:rsidR="00921DBE" w:rsidRPr="00E84C93" w14:paraId="4C967ED9" w14:textId="77777777" w:rsidTr="00085A1A">
        <w:trPr>
          <w:trHeight w:val="146"/>
        </w:trPr>
        <w:tc>
          <w:tcPr>
            <w:tcW w:w="2725" w:type="dxa"/>
          </w:tcPr>
          <w:p w14:paraId="4F0FDEB6" w14:textId="2E551B97" w:rsidR="00921DBE" w:rsidRPr="00E84C93" w:rsidRDefault="00921DBE" w:rsidP="000022B1">
            <w:pPr>
              <w:rPr>
                <w:rFonts w:cs="Times New Roman"/>
                <w:sz w:val="20"/>
                <w:szCs w:val="20"/>
                <w:lang w:val="sr-Cyrl-CS"/>
              </w:rPr>
            </w:pPr>
            <w:r w:rsidRPr="00E84C93">
              <w:rPr>
                <w:sz w:val="20"/>
                <w:szCs w:val="20"/>
                <w:lang w:val="sr-Cyrl-CS"/>
              </w:rPr>
              <w:t>2.1.4.</w:t>
            </w:r>
            <w:r w:rsidRPr="00E84C93">
              <w:rPr>
                <w:lang w:val="sr-Cyrl-CS"/>
              </w:rPr>
              <w:t xml:space="preserve"> </w:t>
            </w:r>
            <w:r w:rsidRPr="00E84C93">
              <w:rPr>
                <w:sz w:val="20"/>
                <w:szCs w:val="20"/>
                <w:lang w:val="sr-Cyrl-CS"/>
              </w:rPr>
              <w:t>Ревизија интегрисаних дозвола за индустријске депоније, депоније пепела и</w:t>
            </w:r>
            <w:r w:rsidR="000022B1">
              <w:rPr>
                <w:sz w:val="20"/>
                <w:szCs w:val="20"/>
                <w:lang w:val="sr-Cyrl-CS"/>
              </w:rPr>
              <w:t xml:space="preserve"> </w:t>
            </w:r>
            <w:r w:rsidRPr="00E84C93">
              <w:rPr>
                <w:sz w:val="20"/>
                <w:szCs w:val="20"/>
                <w:lang w:val="sr-Cyrl-CS"/>
              </w:rPr>
              <w:t>сл. на основу поднетих захтева оператера</w:t>
            </w:r>
          </w:p>
        </w:tc>
        <w:tc>
          <w:tcPr>
            <w:tcW w:w="1239" w:type="dxa"/>
          </w:tcPr>
          <w:p w14:paraId="2EDFC7F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5A07B62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w:t>
            </w:r>
          </w:p>
        </w:tc>
        <w:tc>
          <w:tcPr>
            <w:tcW w:w="1260" w:type="dxa"/>
          </w:tcPr>
          <w:p w14:paraId="74E5064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112EF6DD"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51C135C1" w14:textId="77777777" w:rsidR="00921DBE" w:rsidRPr="00E84C93" w:rsidRDefault="00921DBE" w:rsidP="00085A1A">
            <w:pPr>
              <w:rPr>
                <w:rFonts w:cs="Times New Roman"/>
                <w:sz w:val="20"/>
                <w:szCs w:val="20"/>
                <w:lang w:val="sr-Cyrl-CS"/>
              </w:rPr>
            </w:pPr>
          </w:p>
        </w:tc>
        <w:tc>
          <w:tcPr>
            <w:tcW w:w="903" w:type="dxa"/>
          </w:tcPr>
          <w:p w14:paraId="7C38132A" w14:textId="77777777" w:rsidR="00921DBE" w:rsidRPr="00E84C93" w:rsidRDefault="00921DBE" w:rsidP="00085A1A">
            <w:pPr>
              <w:rPr>
                <w:rFonts w:cs="Times New Roman"/>
                <w:sz w:val="20"/>
                <w:szCs w:val="20"/>
                <w:lang w:val="sr-Cyrl-CS"/>
              </w:rPr>
            </w:pPr>
          </w:p>
        </w:tc>
        <w:tc>
          <w:tcPr>
            <w:tcW w:w="904" w:type="dxa"/>
          </w:tcPr>
          <w:p w14:paraId="0E441B3C" w14:textId="77777777" w:rsidR="00921DBE" w:rsidRPr="00E84C93" w:rsidRDefault="00921DBE" w:rsidP="00085A1A">
            <w:pPr>
              <w:rPr>
                <w:rFonts w:cs="Times New Roman"/>
                <w:sz w:val="20"/>
                <w:szCs w:val="20"/>
                <w:lang w:val="sr-Cyrl-CS"/>
              </w:rPr>
            </w:pPr>
          </w:p>
        </w:tc>
        <w:tc>
          <w:tcPr>
            <w:tcW w:w="903" w:type="dxa"/>
          </w:tcPr>
          <w:p w14:paraId="65D592B4" w14:textId="77777777" w:rsidR="00921DBE" w:rsidRPr="00E84C93" w:rsidRDefault="00921DBE" w:rsidP="00085A1A">
            <w:pPr>
              <w:rPr>
                <w:rFonts w:cs="Times New Roman"/>
                <w:sz w:val="20"/>
                <w:szCs w:val="20"/>
                <w:lang w:val="sr-Cyrl-CS"/>
              </w:rPr>
            </w:pPr>
          </w:p>
        </w:tc>
        <w:tc>
          <w:tcPr>
            <w:tcW w:w="904" w:type="dxa"/>
          </w:tcPr>
          <w:p w14:paraId="4D69EF49" w14:textId="77777777" w:rsidR="00921DBE" w:rsidRPr="00E84C93" w:rsidRDefault="00921DBE" w:rsidP="00085A1A">
            <w:pPr>
              <w:rPr>
                <w:rFonts w:cs="Times New Roman"/>
                <w:sz w:val="20"/>
                <w:szCs w:val="20"/>
                <w:lang w:val="sr-Cyrl-CS"/>
              </w:rPr>
            </w:pPr>
          </w:p>
        </w:tc>
        <w:tc>
          <w:tcPr>
            <w:tcW w:w="904" w:type="dxa"/>
          </w:tcPr>
          <w:p w14:paraId="740DB2EF" w14:textId="77777777" w:rsidR="00921DBE" w:rsidRPr="00E84C93" w:rsidRDefault="00921DBE" w:rsidP="00085A1A">
            <w:pPr>
              <w:rPr>
                <w:rFonts w:cs="Times New Roman"/>
                <w:sz w:val="20"/>
                <w:szCs w:val="20"/>
                <w:lang w:val="sr-Cyrl-CS"/>
              </w:rPr>
            </w:pPr>
          </w:p>
        </w:tc>
      </w:tr>
      <w:tr w:rsidR="00921DBE" w:rsidRPr="00E84C93" w14:paraId="64C19DA1" w14:textId="77777777" w:rsidTr="00085A1A">
        <w:trPr>
          <w:trHeight w:val="146"/>
        </w:trPr>
        <w:tc>
          <w:tcPr>
            <w:tcW w:w="2725" w:type="dxa"/>
          </w:tcPr>
          <w:p w14:paraId="448D26C5" w14:textId="77777777" w:rsidR="00921DBE" w:rsidRPr="00E84C93" w:rsidRDefault="00921DBE" w:rsidP="00085A1A">
            <w:pPr>
              <w:pStyle w:val="CommentText"/>
              <w:jc w:val="left"/>
              <w:rPr>
                <w:rFonts w:ascii="Times New Roman" w:hAnsi="Times New Roman" w:cs="Times New Roman"/>
                <w:lang w:val="sr-Cyrl-CS"/>
              </w:rPr>
            </w:pPr>
            <w:r w:rsidRPr="00E84C93">
              <w:rPr>
                <w:rFonts w:ascii="Times New Roman" w:hAnsi="Times New Roman" w:cs="Times New Roman"/>
                <w:lang w:val="sr-Cyrl-CS"/>
              </w:rPr>
              <w:t xml:space="preserve">2.1.5.Праћење успостављања сарадње и спровођења уговора о прихватању муља </w:t>
            </w:r>
          </w:p>
        </w:tc>
        <w:tc>
          <w:tcPr>
            <w:tcW w:w="1239" w:type="dxa"/>
          </w:tcPr>
          <w:p w14:paraId="7615288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24C0E8DC" w14:textId="77777777" w:rsidR="00921DBE" w:rsidRPr="00E84C93" w:rsidRDefault="00921DBE" w:rsidP="00085A1A">
            <w:pPr>
              <w:rPr>
                <w:rFonts w:cs="Times New Roman"/>
                <w:sz w:val="20"/>
                <w:szCs w:val="20"/>
                <w:lang w:val="sr-Cyrl-CS"/>
              </w:rPr>
            </w:pPr>
            <w:r w:rsidRPr="00E84C93">
              <w:rPr>
                <w:rFonts w:cs="Times New Roman"/>
                <w:sz w:val="20"/>
                <w:szCs w:val="20"/>
                <w:lang w:val="sr-Cyrl-CS" w:eastAsia="en-GB"/>
              </w:rPr>
              <w:t>ЈКП</w:t>
            </w:r>
          </w:p>
        </w:tc>
        <w:tc>
          <w:tcPr>
            <w:tcW w:w="1260" w:type="dxa"/>
          </w:tcPr>
          <w:p w14:paraId="17B218B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266AE153"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D52F382" w14:textId="77777777" w:rsidR="00921DBE" w:rsidRPr="00E84C93" w:rsidRDefault="00921DBE" w:rsidP="00085A1A">
            <w:pPr>
              <w:rPr>
                <w:rFonts w:cs="Times New Roman"/>
                <w:sz w:val="20"/>
                <w:szCs w:val="20"/>
                <w:lang w:val="sr-Cyrl-CS"/>
              </w:rPr>
            </w:pPr>
          </w:p>
        </w:tc>
        <w:tc>
          <w:tcPr>
            <w:tcW w:w="903" w:type="dxa"/>
          </w:tcPr>
          <w:p w14:paraId="2254B192" w14:textId="77777777" w:rsidR="00921DBE" w:rsidRPr="00E84C93" w:rsidRDefault="00921DBE" w:rsidP="00085A1A">
            <w:pPr>
              <w:rPr>
                <w:rFonts w:cs="Times New Roman"/>
                <w:sz w:val="20"/>
                <w:szCs w:val="20"/>
                <w:lang w:val="sr-Cyrl-CS"/>
              </w:rPr>
            </w:pPr>
          </w:p>
        </w:tc>
        <w:tc>
          <w:tcPr>
            <w:tcW w:w="904" w:type="dxa"/>
          </w:tcPr>
          <w:p w14:paraId="262D04E2" w14:textId="77777777" w:rsidR="00921DBE" w:rsidRPr="00E84C93" w:rsidRDefault="00921DBE" w:rsidP="00085A1A">
            <w:pPr>
              <w:rPr>
                <w:rFonts w:cs="Times New Roman"/>
                <w:sz w:val="20"/>
                <w:szCs w:val="20"/>
                <w:lang w:val="sr-Cyrl-CS"/>
              </w:rPr>
            </w:pPr>
          </w:p>
        </w:tc>
        <w:tc>
          <w:tcPr>
            <w:tcW w:w="903" w:type="dxa"/>
          </w:tcPr>
          <w:p w14:paraId="28211996" w14:textId="77777777" w:rsidR="00921DBE" w:rsidRPr="00E84C93" w:rsidRDefault="00921DBE" w:rsidP="00085A1A">
            <w:pPr>
              <w:rPr>
                <w:rFonts w:cs="Times New Roman"/>
                <w:sz w:val="20"/>
                <w:szCs w:val="20"/>
                <w:lang w:val="sr-Cyrl-CS"/>
              </w:rPr>
            </w:pPr>
          </w:p>
        </w:tc>
        <w:tc>
          <w:tcPr>
            <w:tcW w:w="904" w:type="dxa"/>
          </w:tcPr>
          <w:p w14:paraId="18DF4DE9" w14:textId="77777777" w:rsidR="00921DBE" w:rsidRPr="00E84C93" w:rsidRDefault="00921DBE" w:rsidP="00085A1A">
            <w:pPr>
              <w:rPr>
                <w:rFonts w:cs="Times New Roman"/>
                <w:sz w:val="20"/>
                <w:szCs w:val="20"/>
                <w:lang w:val="sr-Cyrl-CS"/>
              </w:rPr>
            </w:pPr>
          </w:p>
        </w:tc>
        <w:tc>
          <w:tcPr>
            <w:tcW w:w="904" w:type="dxa"/>
          </w:tcPr>
          <w:p w14:paraId="49BCA2E2" w14:textId="77777777" w:rsidR="00921DBE" w:rsidRPr="00E84C93" w:rsidRDefault="00921DBE" w:rsidP="00085A1A">
            <w:pPr>
              <w:rPr>
                <w:rFonts w:cs="Times New Roman"/>
                <w:sz w:val="20"/>
                <w:szCs w:val="20"/>
                <w:lang w:val="sr-Cyrl-CS"/>
              </w:rPr>
            </w:pPr>
          </w:p>
        </w:tc>
      </w:tr>
    </w:tbl>
    <w:p w14:paraId="72C9080C" w14:textId="77777777" w:rsidR="00921DBE" w:rsidRPr="00E84C93" w:rsidRDefault="00921DBE" w:rsidP="00921DBE">
      <w:pPr>
        <w:spacing w:after="0"/>
        <w:rPr>
          <w:rFonts w:cs="Times New Roman"/>
          <w:sz w:val="20"/>
          <w:szCs w:val="20"/>
          <w:lang w:val="sr-Cyrl-CS"/>
        </w:rPr>
      </w:pPr>
    </w:p>
    <w:p w14:paraId="2546970B"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1CBA88E3"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01D3D04"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2.2: </w:t>
            </w:r>
            <w:r w:rsidRPr="00E84C93">
              <w:rPr>
                <w:rFonts w:cs="Times New Roman"/>
                <w:bCs/>
                <w:sz w:val="20"/>
                <w:szCs w:val="20"/>
                <w:lang w:val="sr-Cyrl-CS" w:bidi="en-US"/>
              </w:rPr>
              <w:t>Поновно искоришћење муља за дневно прекривање санитарних депонија у краткорочном периоду, мешањем са инертним материјалом</w:t>
            </w:r>
          </w:p>
        </w:tc>
      </w:tr>
      <w:tr w:rsidR="00921DBE" w:rsidRPr="00E84C93" w14:paraId="2B748115"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B223C6A"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076A09AD"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88BC8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2023-2027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B6305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пружање услуга</w:t>
            </w:r>
          </w:p>
        </w:tc>
      </w:tr>
      <w:tr w:rsidR="00921DBE" w:rsidRPr="00E84C93" w14:paraId="385CD9F5"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A01D39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1E317A" w14:textId="77777777" w:rsidR="00921DBE" w:rsidRPr="00E84C93" w:rsidRDefault="00921DBE" w:rsidP="00085A1A">
            <w:pPr>
              <w:rPr>
                <w:rFonts w:cs="Times New Roman"/>
                <w:sz w:val="20"/>
                <w:szCs w:val="20"/>
                <w:lang w:val="sr-Cyrl-CS"/>
              </w:rPr>
            </w:pPr>
            <w:r w:rsidRPr="00E84C93">
              <w:rPr>
                <w:noProof/>
                <w:sz w:val="20"/>
                <w:szCs w:val="20"/>
                <w:lang w:val="sr-Cyrl-CS"/>
              </w:rPr>
              <w:t>Уредба о одлагању отпада на депоније</w:t>
            </w:r>
          </w:p>
        </w:tc>
      </w:tr>
      <w:tr w:rsidR="00921DBE" w:rsidRPr="00E84C93" w14:paraId="324080CD"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5D224E2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81DA10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73B6BE5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44AFF52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2D5DB1C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7E796DB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1371EFB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5057C1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E777F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96E29A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4F727ADC"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6F99F47D"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bCs/>
                <w:sz w:val="20"/>
                <w:szCs w:val="20"/>
                <w:lang w:val="sr-Cyrl-CS"/>
              </w:rPr>
              <w:t>Удео искоришћеног муља за прекривање санитарних депонија у односу на укупно генерисан</w:t>
            </w:r>
          </w:p>
        </w:tc>
        <w:tc>
          <w:tcPr>
            <w:tcW w:w="1430" w:type="dxa"/>
            <w:tcBorders>
              <w:top w:val="double" w:sz="4" w:space="0" w:color="auto"/>
              <w:bottom w:val="double" w:sz="4" w:space="0" w:color="auto"/>
            </w:tcBorders>
            <w:shd w:val="clear" w:color="auto" w:fill="FFFFFF" w:themeFill="background1"/>
          </w:tcPr>
          <w:p w14:paraId="00454C3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w:t>
            </w:r>
          </w:p>
        </w:tc>
        <w:tc>
          <w:tcPr>
            <w:tcW w:w="1337" w:type="dxa"/>
            <w:tcBorders>
              <w:top w:val="double" w:sz="4" w:space="0" w:color="auto"/>
              <w:bottom w:val="double" w:sz="4" w:space="0" w:color="auto"/>
            </w:tcBorders>
            <w:shd w:val="clear" w:color="auto" w:fill="FFFFFF" w:themeFill="background1"/>
          </w:tcPr>
          <w:p w14:paraId="7D895D3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sz w:val="20"/>
                <w:szCs w:val="20"/>
                <w:lang w:val="sr-Cyrl-CS"/>
              </w:rPr>
              <w:t>Извештај МЗЖС</w:t>
            </w:r>
          </w:p>
        </w:tc>
        <w:tc>
          <w:tcPr>
            <w:tcW w:w="1099" w:type="dxa"/>
            <w:gridSpan w:val="2"/>
            <w:tcBorders>
              <w:top w:val="double" w:sz="4" w:space="0" w:color="auto"/>
              <w:bottom w:val="double" w:sz="4" w:space="0" w:color="auto"/>
            </w:tcBorders>
            <w:shd w:val="clear" w:color="auto" w:fill="FFFFFF" w:themeFill="background1"/>
          </w:tcPr>
          <w:p w14:paraId="19C9667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FFFFFF" w:themeFill="background1"/>
          </w:tcPr>
          <w:p w14:paraId="5E6CAB8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09FD8B7A"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5EDC7F9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auto"/>
          </w:tcPr>
          <w:p w14:paraId="4C17AD8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43680C0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10</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09A30E9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w:t>
            </w:r>
          </w:p>
        </w:tc>
      </w:tr>
    </w:tbl>
    <w:p w14:paraId="75E02DE0"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36189ACF"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344CD00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01D66F4C"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1A7871A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19ACF29B"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E3F41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5BF403A5"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68F7B95C"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028EE72D"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475A4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5F20B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773C4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C4FB52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E45DE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09FCB654"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3B3CB3C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01-приходи буџета/редовна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22C97CD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0406-0001</w:t>
            </w:r>
          </w:p>
        </w:tc>
        <w:tc>
          <w:tcPr>
            <w:tcW w:w="1526" w:type="dxa"/>
            <w:tcBorders>
              <w:left w:val="double" w:sz="4" w:space="0" w:color="auto"/>
              <w:bottom w:val="double" w:sz="4" w:space="0" w:color="auto"/>
              <w:right w:val="double" w:sz="4" w:space="0" w:color="auto"/>
            </w:tcBorders>
            <w:shd w:val="clear" w:color="auto" w:fill="FFFFFF" w:themeFill="background1"/>
          </w:tcPr>
          <w:p w14:paraId="26C5EEC9"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126669D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7DF72841"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0DD04CF0"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0B244877" w14:textId="77777777" w:rsidR="00921DBE" w:rsidRPr="00E84C93" w:rsidRDefault="00921DBE" w:rsidP="00085A1A">
            <w:pPr>
              <w:rPr>
                <w:rFonts w:cs="Times New Roman"/>
                <w:sz w:val="20"/>
                <w:szCs w:val="20"/>
                <w:lang w:val="sr-Cyrl-CS"/>
              </w:rPr>
            </w:pPr>
          </w:p>
        </w:tc>
      </w:tr>
      <w:tr w:rsidR="00921DBE" w:rsidRPr="00E84C93" w14:paraId="6832F117"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3EEB77B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6A5CF1C9"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0AB49659"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4CF87E24"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40C128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0E30A58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7B4A307C" w14:textId="77777777" w:rsidR="00921DBE" w:rsidRPr="00E84C93" w:rsidRDefault="00921DBE" w:rsidP="00085A1A">
            <w:pPr>
              <w:rPr>
                <w:rFonts w:cs="Times New Roman"/>
                <w:sz w:val="20"/>
                <w:szCs w:val="20"/>
                <w:lang w:val="sr-Cyrl-CS"/>
              </w:rPr>
            </w:pPr>
          </w:p>
        </w:tc>
      </w:tr>
      <w:tr w:rsidR="00921DBE" w:rsidRPr="00E84C93" w14:paraId="1250F3E8"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0557FC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Зајам</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1B8C6748"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7462E316"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10AEAA19"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7C0322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406.847*</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435127C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406.847*</w:t>
            </w: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1B6F27A7" w14:textId="77777777" w:rsidR="00921DBE" w:rsidRPr="00E84C93" w:rsidRDefault="00921DBE" w:rsidP="00085A1A">
            <w:pPr>
              <w:rPr>
                <w:rFonts w:cs="Times New Roman"/>
                <w:sz w:val="20"/>
                <w:szCs w:val="20"/>
                <w:lang w:val="sr-Cyrl-CS"/>
              </w:rPr>
            </w:pPr>
          </w:p>
        </w:tc>
      </w:tr>
    </w:tbl>
    <w:p w14:paraId="46A9D4A3"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4FE3A460" w14:textId="77777777" w:rsidTr="00085A1A">
        <w:trPr>
          <w:trHeight w:val="146"/>
        </w:trPr>
        <w:tc>
          <w:tcPr>
            <w:tcW w:w="2725" w:type="dxa"/>
            <w:vMerge w:val="restart"/>
            <w:shd w:val="clear" w:color="auto" w:fill="FFF2CC" w:themeFill="accent4" w:themeFillTint="33"/>
          </w:tcPr>
          <w:p w14:paraId="7C4F446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07FF554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697700A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1561A0B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Рок за </w:t>
            </w:r>
            <w:r w:rsidRPr="00E84C93">
              <w:rPr>
                <w:rFonts w:cs="Times New Roman"/>
                <w:sz w:val="20"/>
                <w:szCs w:val="20"/>
                <w:shd w:val="clear" w:color="auto" w:fill="FFF2CC" w:themeFill="accent4" w:themeFillTint="33"/>
                <w:lang w:val="sr-Cyrl-CS"/>
              </w:rPr>
              <w:t>завршетак активности</w:t>
            </w:r>
          </w:p>
        </w:tc>
        <w:tc>
          <w:tcPr>
            <w:tcW w:w="1440" w:type="dxa"/>
            <w:vMerge w:val="restart"/>
            <w:shd w:val="clear" w:color="auto" w:fill="FFF2CC" w:themeFill="accent4" w:themeFillTint="33"/>
          </w:tcPr>
          <w:p w14:paraId="5D5EC12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1725C67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1F3CC63D"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798DCC4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33AE7D36" w14:textId="77777777" w:rsidTr="00085A1A">
        <w:trPr>
          <w:trHeight w:val="405"/>
        </w:trPr>
        <w:tc>
          <w:tcPr>
            <w:tcW w:w="2725" w:type="dxa"/>
            <w:vMerge/>
            <w:shd w:val="clear" w:color="auto" w:fill="FFF2CC" w:themeFill="accent4" w:themeFillTint="33"/>
          </w:tcPr>
          <w:p w14:paraId="6B25E132"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273D31B4"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71A887A7"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6968F386"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7A533E35"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668671FC"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4ECFBEC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12D6467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4159EDD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32071EB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563112E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19A9BC55" w14:textId="77777777" w:rsidTr="00085A1A">
        <w:trPr>
          <w:trHeight w:val="146"/>
        </w:trPr>
        <w:tc>
          <w:tcPr>
            <w:tcW w:w="2725" w:type="dxa"/>
          </w:tcPr>
          <w:p w14:paraId="480645E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2.2.1.Измена и допуна постојеће регулативе ради омогућавања употребе муља за прекривање депонија</w:t>
            </w:r>
          </w:p>
        </w:tc>
        <w:tc>
          <w:tcPr>
            <w:tcW w:w="1239" w:type="dxa"/>
          </w:tcPr>
          <w:p w14:paraId="33B56F9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52879DB2" w14:textId="77777777" w:rsidR="00921DBE" w:rsidRPr="00E84C93" w:rsidRDefault="00921DBE" w:rsidP="00085A1A">
            <w:pPr>
              <w:rPr>
                <w:rFonts w:cs="Times New Roman"/>
                <w:sz w:val="20"/>
                <w:szCs w:val="20"/>
                <w:lang w:val="sr-Cyrl-CS"/>
              </w:rPr>
            </w:pPr>
          </w:p>
        </w:tc>
        <w:tc>
          <w:tcPr>
            <w:tcW w:w="1260" w:type="dxa"/>
          </w:tcPr>
          <w:p w14:paraId="37B9905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64E2B81C"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8BE02F4" w14:textId="77777777" w:rsidR="00921DBE" w:rsidRPr="00E84C93" w:rsidRDefault="00921DBE" w:rsidP="00085A1A">
            <w:pPr>
              <w:rPr>
                <w:rFonts w:cs="Times New Roman"/>
                <w:sz w:val="20"/>
                <w:szCs w:val="20"/>
                <w:lang w:val="sr-Cyrl-CS"/>
              </w:rPr>
            </w:pPr>
          </w:p>
        </w:tc>
        <w:tc>
          <w:tcPr>
            <w:tcW w:w="903" w:type="dxa"/>
          </w:tcPr>
          <w:p w14:paraId="5C844359" w14:textId="77777777" w:rsidR="00921DBE" w:rsidRPr="00E84C93" w:rsidRDefault="00921DBE" w:rsidP="00085A1A">
            <w:pPr>
              <w:rPr>
                <w:rFonts w:cs="Times New Roman"/>
                <w:sz w:val="20"/>
                <w:szCs w:val="20"/>
                <w:lang w:val="sr-Cyrl-CS"/>
              </w:rPr>
            </w:pPr>
          </w:p>
        </w:tc>
        <w:tc>
          <w:tcPr>
            <w:tcW w:w="904" w:type="dxa"/>
          </w:tcPr>
          <w:p w14:paraId="59189F12" w14:textId="77777777" w:rsidR="00921DBE" w:rsidRPr="00E84C93" w:rsidRDefault="00921DBE" w:rsidP="00085A1A">
            <w:pPr>
              <w:rPr>
                <w:rFonts w:cs="Times New Roman"/>
                <w:sz w:val="20"/>
                <w:szCs w:val="20"/>
                <w:lang w:val="sr-Cyrl-CS"/>
              </w:rPr>
            </w:pPr>
          </w:p>
        </w:tc>
        <w:tc>
          <w:tcPr>
            <w:tcW w:w="903" w:type="dxa"/>
          </w:tcPr>
          <w:p w14:paraId="209B6B67" w14:textId="77777777" w:rsidR="00921DBE" w:rsidRPr="00E84C93" w:rsidRDefault="00921DBE" w:rsidP="00085A1A">
            <w:pPr>
              <w:rPr>
                <w:rFonts w:cs="Times New Roman"/>
                <w:sz w:val="20"/>
                <w:szCs w:val="20"/>
                <w:lang w:val="sr-Cyrl-CS"/>
              </w:rPr>
            </w:pPr>
          </w:p>
        </w:tc>
        <w:tc>
          <w:tcPr>
            <w:tcW w:w="904" w:type="dxa"/>
          </w:tcPr>
          <w:p w14:paraId="05741D8C" w14:textId="77777777" w:rsidR="00921DBE" w:rsidRPr="00E84C93" w:rsidRDefault="00921DBE" w:rsidP="00085A1A">
            <w:pPr>
              <w:rPr>
                <w:rFonts w:cs="Times New Roman"/>
                <w:sz w:val="20"/>
                <w:szCs w:val="20"/>
                <w:lang w:val="sr-Cyrl-CS"/>
              </w:rPr>
            </w:pPr>
          </w:p>
        </w:tc>
        <w:tc>
          <w:tcPr>
            <w:tcW w:w="904" w:type="dxa"/>
          </w:tcPr>
          <w:p w14:paraId="529E3024" w14:textId="77777777" w:rsidR="00921DBE" w:rsidRPr="00E84C93" w:rsidRDefault="00921DBE" w:rsidP="00085A1A">
            <w:pPr>
              <w:rPr>
                <w:rFonts w:cs="Times New Roman"/>
                <w:sz w:val="20"/>
                <w:szCs w:val="20"/>
                <w:lang w:val="sr-Cyrl-CS"/>
              </w:rPr>
            </w:pPr>
          </w:p>
        </w:tc>
      </w:tr>
      <w:tr w:rsidR="00921DBE" w:rsidRPr="00E84C93" w14:paraId="42496E29" w14:textId="77777777" w:rsidTr="00085A1A">
        <w:trPr>
          <w:trHeight w:val="146"/>
        </w:trPr>
        <w:tc>
          <w:tcPr>
            <w:tcW w:w="2725" w:type="dxa"/>
          </w:tcPr>
          <w:p w14:paraId="1FAAC7E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2.2.2.Надоградња постројења за пречишћавање отпадних вода ради соларног сушења муља за прекривање санитарних депонија</w:t>
            </w:r>
          </w:p>
        </w:tc>
        <w:tc>
          <w:tcPr>
            <w:tcW w:w="1239" w:type="dxa"/>
          </w:tcPr>
          <w:p w14:paraId="75C36CD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ЈКП </w:t>
            </w:r>
          </w:p>
        </w:tc>
        <w:tc>
          <w:tcPr>
            <w:tcW w:w="1241" w:type="dxa"/>
          </w:tcPr>
          <w:p w14:paraId="6532527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569340A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6A2520A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Зајам</w:t>
            </w:r>
          </w:p>
        </w:tc>
        <w:tc>
          <w:tcPr>
            <w:tcW w:w="1350" w:type="dxa"/>
          </w:tcPr>
          <w:p w14:paraId="2D63D2BC" w14:textId="77777777" w:rsidR="00921DBE" w:rsidRPr="00E84C93" w:rsidRDefault="00921DBE" w:rsidP="00085A1A">
            <w:pPr>
              <w:rPr>
                <w:rFonts w:cs="Times New Roman"/>
                <w:sz w:val="20"/>
                <w:szCs w:val="20"/>
                <w:lang w:val="sr-Cyrl-CS"/>
              </w:rPr>
            </w:pPr>
          </w:p>
        </w:tc>
        <w:tc>
          <w:tcPr>
            <w:tcW w:w="903" w:type="dxa"/>
          </w:tcPr>
          <w:p w14:paraId="6998451F" w14:textId="77777777" w:rsidR="00921DBE" w:rsidRPr="00E84C93" w:rsidRDefault="00921DBE" w:rsidP="00085A1A">
            <w:pPr>
              <w:rPr>
                <w:rFonts w:cs="Times New Roman"/>
                <w:sz w:val="20"/>
                <w:szCs w:val="20"/>
                <w:lang w:val="sr-Cyrl-CS"/>
              </w:rPr>
            </w:pPr>
          </w:p>
        </w:tc>
        <w:tc>
          <w:tcPr>
            <w:tcW w:w="904" w:type="dxa"/>
          </w:tcPr>
          <w:p w14:paraId="11A09367" w14:textId="77777777" w:rsidR="00921DBE" w:rsidRPr="00E84C93" w:rsidRDefault="00921DBE" w:rsidP="00085A1A">
            <w:pPr>
              <w:rPr>
                <w:rFonts w:cs="Times New Roman"/>
                <w:sz w:val="20"/>
                <w:szCs w:val="20"/>
                <w:lang w:val="sr-Cyrl-CS"/>
              </w:rPr>
            </w:pPr>
          </w:p>
        </w:tc>
        <w:tc>
          <w:tcPr>
            <w:tcW w:w="903" w:type="dxa"/>
            <w:shd w:val="clear" w:color="auto" w:fill="auto"/>
          </w:tcPr>
          <w:p w14:paraId="5843816D"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406.847*</w:t>
            </w:r>
          </w:p>
        </w:tc>
        <w:tc>
          <w:tcPr>
            <w:tcW w:w="904" w:type="dxa"/>
            <w:shd w:val="clear" w:color="auto" w:fill="auto"/>
          </w:tcPr>
          <w:p w14:paraId="30C9167A"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406.847*</w:t>
            </w:r>
          </w:p>
        </w:tc>
        <w:tc>
          <w:tcPr>
            <w:tcW w:w="904" w:type="dxa"/>
          </w:tcPr>
          <w:p w14:paraId="2D702508" w14:textId="77777777" w:rsidR="00921DBE" w:rsidRPr="00E84C93" w:rsidRDefault="00921DBE" w:rsidP="00085A1A">
            <w:pPr>
              <w:rPr>
                <w:rFonts w:cs="Times New Roman"/>
                <w:sz w:val="20"/>
                <w:szCs w:val="20"/>
                <w:lang w:val="sr-Cyrl-CS"/>
              </w:rPr>
            </w:pPr>
          </w:p>
        </w:tc>
      </w:tr>
      <w:tr w:rsidR="00921DBE" w:rsidRPr="00E84C93" w14:paraId="5BB087B3" w14:textId="77777777" w:rsidTr="00085A1A">
        <w:trPr>
          <w:trHeight w:val="146"/>
        </w:trPr>
        <w:tc>
          <w:tcPr>
            <w:tcW w:w="2725" w:type="dxa"/>
          </w:tcPr>
          <w:p w14:paraId="1613F4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2.2.4.Израда анализа квалитета муља ради примене за </w:t>
            </w:r>
            <w:r w:rsidRPr="00E84C93">
              <w:rPr>
                <w:sz w:val="20"/>
                <w:szCs w:val="20"/>
                <w:lang w:val="sr-Cyrl-CS"/>
              </w:rPr>
              <w:t xml:space="preserve">прекривање санитарних депонија </w:t>
            </w:r>
          </w:p>
        </w:tc>
        <w:tc>
          <w:tcPr>
            <w:tcW w:w="1239" w:type="dxa"/>
          </w:tcPr>
          <w:p w14:paraId="16A9419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41" w:type="dxa"/>
          </w:tcPr>
          <w:p w14:paraId="7645BE2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6C9CD3E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5779465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1350" w:type="dxa"/>
          </w:tcPr>
          <w:p w14:paraId="628D3FB7" w14:textId="77777777" w:rsidR="00921DBE" w:rsidRPr="00E84C93" w:rsidRDefault="00921DBE" w:rsidP="00085A1A">
            <w:pPr>
              <w:rPr>
                <w:rFonts w:cs="Times New Roman"/>
                <w:sz w:val="20"/>
                <w:szCs w:val="20"/>
                <w:lang w:val="sr-Cyrl-CS"/>
              </w:rPr>
            </w:pPr>
          </w:p>
        </w:tc>
        <w:tc>
          <w:tcPr>
            <w:tcW w:w="903" w:type="dxa"/>
          </w:tcPr>
          <w:p w14:paraId="5FD238D4" w14:textId="77777777" w:rsidR="00921DBE" w:rsidRPr="00E84C93" w:rsidRDefault="00921DBE" w:rsidP="00085A1A">
            <w:pPr>
              <w:rPr>
                <w:rFonts w:cs="Times New Roman"/>
                <w:sz w:val="20"/>
                <w:szCs w:val="20"/>
                <w:lang w:val="sr-Cyrl-CS"/>
              </w:rPr>
            </w:pPr>
          </w:p>
        </w:tc>
        <w:tc>
          <w:tcPr>
            <w:tcW w:w="904" w:type="dxa"/>
          </w:tcPr>
          <w:p w14:paraId="1EDB05B1" w14:textId="77777777" w:rsidR="00921DBE" w:rsidRPr="00E84C93" w:rsidRDefault="00921DBE" w:rsidP="00085A1A">
            <w:pPr>
              <w:rPr>
                <w:rFonts w:cs="Times New Roman"/>
                <w:sz w:val="20"/>
                <w:szCs w:val="20"/>
                <w:lang w:val="sr-Cyrl-CS"/>
              </w:rPr>
            </w:pPr>
          </w:p>
        </w:tc>
        <w:tc>
          <w:tcPr>
            <w:tcW w:w="903" w:type="dxa"/>
            <w:shd w:val="clear" w:color="auto" w:fill="auto"/>
          </w:tcPr>
          <w:p w14:paraId="537627A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904" w:type="dxa"/>
            <w:shd w:val="clear" w:color="auto" w:fill="auto"/>
          </w:tcPr>
          <w:p w14:paraId="76DAF42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904" w:type="dxa"/>
          </w:tcPr>
          <w:p w14:paraId="48D62E06" w14:textId="77777777" w:rsidR="00921DBE" w:rsidRPr="00E84C93" w:rsidRDefault="00921DBE" w:rsidP="00085A1A">
            <w:pPr>
              <w:rPr>
                <w:rFonts w:cs="Times New Roman"/>
                <w:sz w:val="20"/>
                <w:szCs w:val="20"/>
                <w:lang w:val="sr-Cyrl-CS"/>
              </w:rPr>
            </w:pPr>
          </w:p>
        </w:tc>
      </w:tr>
      <w:tr w:rsidR="00921DBE" w:rsidRPr="00E84C93" w14:paraId="2BE70998" w14:textId="77777777" w:rsidTr="00085A1A">
        <w:trPr>
          <w:trHeight w:val="146"/>
        </w:trPr>
        <w:tc>
          <w:tcPr>
            <w:tcW w:w="2725" w:type="dxa"/>
          </w:tcPr>
          <w:p w14:paraId="1E52D0F8" w14:textId="77777777" w:rsidR="00921DBE" w:rsidRPr="00E84C93" w:rsidRDefault="00921DBE" w:rsidP="00085A1A">
            <w:pPr>
              <w:rPr>
                <w:rFonts w:cs="Times New Roman"/>
                <w:sz w:val="20"/>
                <w:szCs w:val="20"/>
                <w:lang w:val="sr-Cyrl-CS"/>
              </w:rPr>
            </w:pPr>
            <w:r w:rsidRPr="00E84C93">
              <w:rPr>
                <w:sz w:val="20"/>
                <w:szCs w:val="20"/>
                <w:lang w:val="sr-Cyrl-CS"/>
              </w:rPr>
              <w:t>2.2.5.</w:t>
            </w:r>
            <w:r w:rsidRPr="00E84C93">
              <w:rPr>
                <w:lang w:val="sr-Cyrl-CS"/>
              </w:rPr>
              <w:t xml:space="preserve"> </w:t>
            </w:r>
            <w:r w:rsidRPr="00E84C93">
              <w:rPr>
                <w:sz w:val="20"/>
                <w:szCs w:val="20"/>
                <w:lang w:val="sr-Cyrl-CS"/>
              </w:rPr>
              <w:t>Ревизија интегрисаних дозвола за санитарне депоније на основу поднетих захтева оператера</w:t>
            </w:r>
          </w:p>
        </w:tc>
        <w:tc>
          <w:tcPr>
            <w:tcW w:w="1239" w:type="dxa"/>
          </w:tcPr>
          <w:p w14:paraId="6A2785F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094C618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w:t>
            </w:r>
          </w:p>
        </w:tc>
        <w:tc>
          <w:tcPr>
            <w:tcW w:w="1260" w:type="dxa"/>
          </w:tcPr>
          <w:p w14:paraId="524736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1110918F"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43ACC330" w14:textId="77777777" w:rsidR="00921DBE" w:rsidRPr="00E84C93" w:rsidRDefault="00921DBE" w:rsidP="00085A1A">
            <w:pPr>
              <w:rPr>
                <w:rFonts w:cs="Times New Roman"/>
                <w:sz w:val="20"/>
                <w:szCs w:val="20"/>
                <w:lang w:val="sr-Cyrl-CS"/>
              </w:rPr>
            </w:pPr>
          </w:p>
        </w:tc>
        <w:tc>
          <w:tcPr>
            <w:tcW w:w="903" w:type="dxa"/>
          </w:tcPr>
          <w:p w14:paraId="55C8D0AB" w14:textId="77777777" w:rsidR="00921DBE" w:rsidRPr="00E84C93" w:rsidRDefault="00921DBE" w:rsidP="00085A1A">
            <w:pPr>
              <w:rPr>
                <w:rFonts w:cs="Times New Roman"/>
                <w:sz w:val="20"/>
                <w:szCs w:val="20"/>
                <w:lang w:val="sr-Cyrl-CS"/>
              </w:rPr>
            </w:pPr>
          </w:p>
        </w:tc>
        <w:tc>
          <w:tcPr>
            <w:tcW w:w="904" w:type="dxa"/>
          </w:tcPr>
          <w:p w14:paraId="13FA0DDC" w14:textId="77777777" w:rsidR="00921DBE" w:rsidRPr="00E84C93" w:rsidRDefault="00921DBE" w:rsidP="00085A1A">
            <w:pPr>
              <w:rPr>
                <w:rFonts w:cs="Times New Roman"/>
                <w:sz w:val="20"/>
                <w:szCs w:val="20"/>
                <w:lang w:val="sr-Cyrl-CS"/>
              </w:rPr>
            </w:pPr>
          </w:p>
        </w:tc>
        <w:tc>
          <w:tcPr>
            <w:tcW w:w="903" w:type="dxa"/>
          </w:tcPr>
          <w:p w14:paraId="7AF26D50" w14:textId="77777777" w:rsidR="00921DBE" w:rsidRPr="00E84C93" w:rsidRDefault="00921DBE" w:rsidP="00085A1A">
            <w:pPr>
              <w:rPr>
                <w:rFonts w:cs="Times New Roman"/>
                <w:sz w:val="20"/>
                <w:szCs w:val="20"/>
                <w:lang w:val="sr-Cyrl-CS"/>
              </w:rPr>
            </w:pPr>
          </w:p>
        </w:tc>
        <w:tc>
          <w:tcPr>
            <w:tcW w:w="904" w:type="dxa"/>
          </w:tcPr>
          <w:p w14:paraId="41587F56" w14:textId="77777777" w:rsidR="00921DBE" w:rsidRPr="00E84C93" w:rsidRDefault="00921DBE" w:rsidP="00085A1A">
            <w:pPr>
              <w:rPr>
                <w:rFonts w:cs="Times New Roman"/>
                <w:sz w:val="20"/>
                <w:szCs w:val="20"/>
                <w:lang w:val="sr-Cyrl-CS"/>
              </w:rPr>
            </w:pPr>
          </w:p>
        </w:tc>
        <w:tc>
          <w:tcPr>
            <w:tcW w:w="904" w:type="dxa"/>
          </w:tcPr>
          <w:p w14:paraId="7B19E805" w14:textId="77777777" w:rsidR="00921DBE" w:rsidRPr="00E84C93" w:rsidRDefault="00921DBE" w:rsidP="00085A1A">
            <w:pPr>
              <w:rPr>
                <w:rFonts w:cs="Times New Roman"/>
                <w:sz w:val="20"/>
                <w:szCs w:val="20"/>
                <w:lang w:val="sr-Cyrl-CS"/>
              </w:rPr>
            </w:pPr>
          </w:p>
        </w:tc>
      </w:tr>
      <w:tr w:rsidR="00921DBE" w:rsidRPr="00E84C93" w14:paraId="2B6F3977" w14:textId="77777777" w:rsidTr="00085A1A">
        <w:trPr>
          <w:trHeight w:val="146"/>
        </w:trPr>
        <w:tc>
          <w:tcPr>
            <w:tcW w:w="2725" w:type="dxa"/>
          </w:tcPr>
          <w:p w14:paraId="5967D6C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2.2.6. Израда смерница за поступање оператера </w:t>
            </w:r>
          </w:p>
        </w:tc>
        <w:tc>
          <w:tcPr>
            <w:tcW w:w="1239" w:type="dxa"/>
          </w:tcPr>
          <w:p w14:paraId="7FA7398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4D55DFF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ПКС</w:t>
            </w:r>
          </w:p>
        </w:tc>
        <w:tc>
          <w:tcPr>
            <w:tcW w:w="1260" w:type="dxa"/>
          </w:tcPr>
          <w:p w14:paraId="727D889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54EE6A8A"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597A0DDE" w14:textId="77777777" w:rsidR="00921DBE" w:rsidRPr="00E84C93" w:rsidRDefault="00921DBE" w:rsidP="00085A1A">
            <w:pPr>
              <w:rPr>
                <w:rFonts w:cs="Times New Roman"/>
                <w:sz w:val="20"/>
                <w:szCs w:val="20"/>
                <w:lang w:val="sr-Cyrl-CS"/>
              </w:rPr>
            </w:pPr>
          </w:p>
        </w:tc>
        <w:tc>
          <w:tcPr>
            <w:tcW w:w="903" w:type="dxa"/>
          </w:tcPr>
          <w:p w14:paraId="3A72E068" w14:textId="77777777" w:rsidR="00921DBE" w:rsidRPr="00E84C93" w:rsidRDefault="00921DBE" w:rsidP="00085A1A">
            <w:pPr>
              <w:rPr>
                <w:rFonts w:cs="Times New Roman"/>
                <w:sz w:val="20"/>
                <w:szCs w:val="20"/>
                <w:lang w:val="sr-Cyrl-CS"/>
              </w:rPr>
            </w:pPr>
          </w:p>
        </w:tc>
        <w:tc>
          <w:tcPr>
            <w:tcW w:w="904" w:type="dxa"/>
          </w:tcPr>
          <w:p w14:paraId="6417B8B1" w14:textId="77777777" w:rsidR="00921DBE" w:rsidRPr="00E84C93" w:rsidRDefault="00921DBE" w:rsidP="00085A1A">
            <w:pPr>
              <w:rPr>
                <w:rFonts w:cs="Times New Roman"/>
                <w:sz w:val="20"/>
                <w:szCs w:val="20"/>
                <w:lang w:val="sr-Cyrl-CS"/>
              </w:rPr>
            </w:pPr>
          </w:p>
        </w:tc>
        <w:tc>
          <w:tcPr>
            <w:tcW w:w="903" w:type="dxa"/>
          </w:tcPr>
          <w:p w14:paraId="7D154001" w14:textId="77777777" w:rsidR="00921DBE" w:rsidRPr="00E84C93" w:rsidRDefault="00921DBE" w:rsidP="00085A1A">
            <w:pPr>
              <w:rPr>
                <w:rFonts w:cs="Times New Roman"/>
                <w:sz w:val="20"/>
                <w:szCs w:val="20"/>
                <w:lang w:val="sr-Cyrl-CS"/>
              </w:rPr>
            </w:pPr>
          </w:p>
        </w:tc>
        <w:tc>
          <w:tcPr>
            <w:tcW w:w="904" w:type="dxa"/>
          </w:tcPr>
          <w:p w14:paraId="3345612C" w14:textId="77777777" w:rsidR="00921DBE" w:rsidRPr="00E84C93" w:rsidRDefault="00921DBE" w:rsidP="00085A1A">
            <w:pPr>
              <w:rPr>
                <w:rFonts w:cs="Times New Roman"/>
                <w:sz w:val="20"/>
                <w:szCs w:val="20"/>
                <w:lang w:val="sr-Cyrl-CS"/>
              </w:rPr>
            </w:pPr>
          </w:p>
        </w:tc>
        <w:tc>
          <w:tcPr>
            <w:tcW w:w="904" w:type="dxa"/>
          </w:tcPr>
          <w:p w14:paraId="07ADA3BD" w14:textId="77777777" w:rsidR="00921DBE" w:rsidRPr="00E84C93" w:rsidRDefault="00921DBE" w:rsidP="00085A1A">
            <w:pPr>
              <w:rPr>
                <w:rFonts w:cs="Times New Roman"/>
                <w:sz w:val="20"/>
                <w:szCs w:val="20"/>
                <w:lang w:val="sr-Cyrl-CS"/>
              </w:rPr>
            </w:pPr>
          </w:p>
        </w:tc>
      </w:tr>
      <w:tr w:rsidR="00921DBE" w:rsidRPr="00E84C93" w14:paraId="47D8574A" w14:textId="77777777" w:rsidTr="00085A1A">
        <w:trPr>
          <w:trHeight w:val="146"/>
        </w:trPr>
        <w:tc>
          <w:tcPr>
            <w:tcW w:w="2725" w:type="dxa"/>
          </w:tcPr>
          <w:p w14:paraId="64FC5FB9" w14:textId="77777777" w:rsidR="00921DBE" w:rsidRPr="00E84C93" w:rsidRDefault="00921DBE" w:rsidP="00085A1A">
            <w:pPr>
              <w:rPr>
                <w:rFonts w:cs="Times New Roman"/>
                <w:sz w:val="20"/>
                <w:szCs w:val="20"/>
                <w:lang w:val="sr-Cyrl-CS"/>
              </w:rPr>
            </w:pPr>
            <w:r w:rsidRPr="00E84C93">
              <w:rPr>
                <w:sz w:val="20"/>
                <w:szCs w:val="20"/>
                <w:lang w:val="sr-Cyrl-CS"/>
              </w:rPr>
              <w:t>2.2.7. Израда приручника или упутства за примену муља као материјала за прекривање депонија</w:t>
            </w:r>
          </w:p>
        </w:tc>
        <w:tc>
          <w:tcPr>
            <w:tcW w:w="1239" w:type="dxa"/>
          </w:tcPr>
          <w:p w14:paraId="40F11FB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7D5A6B58" w14:textId="77777777" w:rsidR="00921DBE" w:rsidRPr="00E84C93" w:rsidRDefault="00921DBE" w:rsidP="00085A1A">
            <w:pPr>
              <w:rPr>
                <w:rFonts w:cs="Times New Roman"/>
                <w:sz w:val="20"/>
                <w:szCs w:val="20"/>
                <w:lang w:val="sr-Cyrl-CS"/>
              </w:rPr>
            </w:pPr>
          </w:p>
        </w:tc>
        <w:tc>
          <w:tcPr>
            <w:tcW w:w="1260" w:type="dxa"/>
          </w:tcPr>
          <w:p w14:paraId="10D5143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59747424"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39868D6" w14:textId="77777777" w:rsidR="00921DBE" w:rsidRPr="00E84C93" w:rsidRDefault="00921DBE" w:rsidP="00085A1A">
            <w:pPr>
              <w:rPr>
                <w:rFonts w:cs="Times New Roman"/>
                <w:sz w:val="20"/>
                <w:szCs w:val="20"/>
                <w:lang w:val="sr-Cyrl-CS"/>
              </w:rPr>
            </w:pPr>
          </w:p>
        </w:tc>
        <w:tc>
          <w:tcPr>
            <w:tcW w:w="903" w:type="dxa"/>
          </w:tcPr>
          <w:p w14:paraId="68FAB8D3" w14:textId="77777777" w:rsidR="00921DBE" w:rsidRPr="00E84C93" w:rsidRDefault="00921DBE" w:rsidP="00085A1A">
            <w:pPr>
              <w:rPr>
                <w:rFonts w:cs="Times New Roman"/>
                <w:sz w:val="20"/>
                <w:szCs w:val="20"/>
                <w:lang w:val="sr-Cyrl-CS"/>
              </w:rPr>
            </w:pPr>
          </w:p>
        </w:tc>
        <w:tc>
          <w:tcPr>
            <w:tcW w:w="904" w:type="dxa"/>
          </w:tcPr>
          <w:p w14:paraId="759163BF" w14:textId="77777777" w:rsidR="00921DBE" w:rsidRPr="00E84C93" w:rsidRDefault="00921DBE" w:rsidP="00085A1A">
            <w:pPr>
              <w:rPr>
                <w:rFonts w:cs="Times New Roman"/>
                <w:sz w:val="20"/>
                <w:szCs w:val="20"/>
                <w:lang w:val="sr-Cyrl-CS"/>
              </w:rPr>
            </w:pPr>
          </w:p>
        </w:tc>
        <w:tc>
          <w:tcPr>
            <w:tcW w:w="903" w:type="dxa"/>
          </w:tcPr>
          <w:p w14:paraId="65AC8235" w14:textId="77777777" w:rsidR="00921DBE" w:rsidRPr="00E84C93" w:rsidRDefault="00921DBE" w:rsidP="00085A1A">
            <w:pPr>
              <w:rPr>
                <w:rFonts w:cs="Times New Roman"/>
                <w:sz w:val="20"/>
                <w:szCs w:val="20"/>
                <w:lang w:val="sr-Cyrl-CS"/>
              </w:rPr>
            </w:pPr>
          </w:p>
        </w:tc>
        <w:tc>
          <w:tcPr>
            <w:tcW w:w="904" w:type="dxa"/>
          </w:tcPr>
          <w:p w14:paraId="260C13C8" w14:textId="77777777" w:rsidR="00921DBE" w:rsidRPr="00E84C93" w:rsidRDefault="00921DBE" w:rsidP="00085A1A">
            <w:pPr>
              <w:rPr>
                <w:rFonts w:cs="Times New Roman"/>
                <w:sz w:val="20"/>
                <w:szCs w:val="20"/>
                <w:lang w:val="sr-Cyrl-CS"/>
              </w:rPr>
            </w:pPr>
          </w:p>
        </w:tc>
        <w:tc>
          <w:tcPr>
            <w:tcW w:w="904" w:type="dxa"/>
          </w:tcPr>
          <w:p w14:paraId="385FA20B" w14:textId="77777777" w:rsidR="00921DBE" w:rsidRPr="00E84C93" w:rsidRDefault="00921DBE" w:rsidP="00085A1A">
            <w:pPr>
              <w:rPr>
                <w:rFonts w:cs="Times New Roman"/>
                <w:sz w:val="20"/>
                <w:szCs w:val="20"/>
                <w:lang w:val="sr-Cyrl-CS"/>
              </w:rPr>
            </w:pPr>
          </w:p>
        </w:tc>
      </w:tr>
      <w:tr w:rsidR="00921DBE" w:rsidRPr="00E84C93" w14:paraId="43B539F4" w14:textId="77777777" w:rsidTr="00085A1A">
        <w:trPr>
          <w:trHeight w:val="146"/>
        </w:trPr>
        <w:tc>
          <w:tcPr>
            <w:tcW w:w="2725" w:type="dxa"/>
          </w:tcPr>
          <w:p w14:paraId="51997C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2.2.8.Праћење успостављања сарадње и спровођења </w:t>
            </w:r>
            <w:r w:rsidRPr="00E84C93">
              <w:rPr>
                <w:rFonts w:cs="Times New Roman"/>
                <w:sz w:val="20"/>
                <w:szCs w:val="20"/>
                <w:lang w:val="sr-Cyrl-CS"/>
              </w:rPr>
              <w:lastRenderedPageBreak/>
              <w:t>уговора о прихватању муља ради прекривања депонија</w:t>
            </w:r>
          </w:p>
        </w:tc>
        <w:tc>
          <w:tcPr>
            <w:tcW w:w="1239" w:type="dxa"/>
          </w:tcPr>
          <w:p w14:paraId="0856039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МЗЖС</w:t>
            </w:r>
          </w:p>
        </w:tc>
        <w:tc>
          <w:tcPr>
            <w:tcW w:w="1241" w:type="dxa"/>
          </w:tcPr>
          <w:p w14:paraId="66D585E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60" w:type="dxa"/>
          </w:tcPr>
          <w:p w14:paraId="287E25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2025.</w:t>
            </w:r>
          </w:p>
        </w:tc>
        <w:tc>
          <w:tcPr>
            <w:tcW w:w="1440" w:type="dxa"/>
          </w:tcPr>
          <w:p w14:paraId="0A7F654E"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545E28E4" w14:textId="77777777" w:rsidR="00921DBE" w:rsidRPr="00E84C93" w:rsidRDefault="00921DBE" w:rsidP="00085A1A">
            <w:pPr>
              <w:rPr>
                <w:rFonts w:cs="Times New Roman"/>
                <w:sz w:val="20"/>
                <w:szCs w:val="20"/>
                <w:lang w:val="sr-Cyrl-CS"/>
              </w:rPr>
            </w:pPr>
          </w:p>
        </w:tc>
        <w:tc>
          <w:tcPr>
            <w:tcW w:w="903" w:type="dxa"/>
          </w:tcPr>
          <w:p w14:paraId="3B539E93" w14:textId="77777777" w:rsidR="00921DBE" w:rsidRPr="00E84C93" w:rsidRDefault="00921DBE" w:rsidP="00085A1A">
            <w:pPr>
              <w:rPr>
                <w:rFonts w:cs="Times New Roman"/>
                <w:sz w:val="20"/>
                <w:szCs w:val="20"/>
                <w:lang w:val="sr-Cyrl-CS"/>
              </w:rPr>
            </w:pPr>
          </w:p>
        </w:tc>
        <w:tc>
          <w:tcPr>
            <w:tcW w:w="904" w:type="dxa"/>
          </w:tcPr>
          <w:p w14:paraId="11F74EE3" w14:textId="77777777" w:rsidR="00921DBE" w:rsidRPr="00E84C93" w:rsidRDefault="00921DBE" w:rsidP="00085A1A">
            <w:pPr>
              <w:rPr>
                <w:rFonts w:cs="Times New Roman"/>
                <w:sz w:val="20"/>
                <w:szCs w:val="20"/>
                <w:lang w:val="sr-Cyrl-CS"/>
              </w:rPr>
            </w:pPr>
          </w:p>
        </w:tc>
        <w:tc>
          <w:tcPr>
            <w:tcW w:w="903" w:type="dxa"/>
          </w:tcPr>
          <w:p w14:paraId="579A1A01" w14:textId="77777777" w:rsidR="00921DBE" w:rsidRPr="00E84C93" w:rsidRDefault="00921DBE" w:rsidP="00085A1A">
            <w:pPr>
              <w:rPr>
                <w:rFonts w:cs="Times New Roman"/>
                <w:sz w:val="20"/>
                <w:szCs w:val="20"/>
                <w:lang w:val="sr-Cyrl-CS"/>
              </w:rPr>
            </w:pPr>
          </w:p>
        </w:tc>
        <w:tc>
          <w:tcPr>
            <w:tcW w:w="904" w:type="dxa"/>
          </w:tcPr>
          <w:p w14:paraId="4DE47367" w14:textId="77777777" w:rsidR="00921DBE" w:rsidRPr="00E84C93" w:rsidRDefault="00921DBE" w:rsidP="00085A1A">
            <w:pPr>
              <w:rPr>
                <w:rFonts w:cs="Times New Roman"/>
                <w:sz w:val="20"/>
                <w:szCs w:val="20"/>
                <w:lang w:val="sr-Cyrl-CS"/>
              </w:rPr>
            </w:pPr>
          </w:p>
        </w:tc>
        <w:tc>
          <w:tcPr>
            <w:tcW w:w="904" w:type="dxa"/>
          </w:tcPr>
          <w:p w14:paraId="502C047E" w14:textId="77777777" w:rsidR="00921DBE" w:rsidRPr="00E84C93" w:rsidRDefault="00921DBE" w:rsidP="00085A1A">
            <w:pPr>
              <w:rPr>
                <w:rFonts w:cs="Times New Roman"/>
                <w:sz w:val="20"/>
                <w:szCs w:val="20"/>
                <w:lang w:val="sr-Cyrl-CS"/>
              </w:rPr>
            </w:pPr>
          </w:p>
        </w:tc>
      </w:tr>
    </w:tbl>
    <w:p w14:paraId="1A7D19DD" w14:textId="77777777" w:rsidR="00921DBE" w:rsidRPr="00E84C93" w:rsidRDefault="00921DBE" w:rsidP="00921DBE">
      <w:pPr>
        <w:spacing w:after="0"/>
        <w:rPr>
          <w:rFonts w:cs="Times New Roman"/>
          <w:sz w:val="20"/>
          <w:szCs w:val="20"/>
          <w:lang w:val="sr-Cyrl-CS"/>
        </w:rPr>
      </w:pPr>
    </w:p>
    <w:p w14:paraId="4C55ED0E"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5A3C71CB"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740DA7"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2.3: </w:t>
            </w:r>
            <w:r w:rsidRPr="00E84C93">
              <w:rPr>
                <w:rFonts w:cs="Times New Roman"/>
                <w:bCs/>
                <w:noProof/>
                <w:sz w:val="20"/>
                <w:szCs w:val="20"/>
                <w:lang w:val="sr-Cyrl-CS"/>
              </w:rPr>
              <w:t xml:space="preserve">Искоришћење </w:t>
            </w:r>
            <w:r w:rsidRPr="00E84C93">
              <w:rPr>
                <w:rFonts w:cs="Times New Roman"/>
                <w:bCs/>
                <w:sz w:val="20"/>
                <w:szCs w:val="20"/>
                <w:lang w:val="sr-Cyrl-CS" w:bidi="en-US"/>
              </w:rPr>
              <w:t>муља коинсинерацијом у цементарама и термоелектранама</w:t>
            </w:r>
          </w:p>
        </w:tc>
      </w:tr>
      <w:tr w:rsidR="00921DBE" w:rsidRPr="00E84C93" w14:paraId="30F4D3E5"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BE66671"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5CD705F1"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B71BFA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2024-2027.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D30E4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пружање услуга</w:t>
            </w:r>
          </w:p>
        </w:tc>
      </w:tr>
      <w:tr w:rsidR="00921DBE" w:rsidRPr="00E84C93" w14:paraId="7B8B3E54"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00BD41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0D3E1D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1E3D6DE4"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27E3253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501661E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05B6AEF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4C63F21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314BD99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45E833C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781727A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2B59A4D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2914836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1300BC1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6736152A"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35AD9700"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bCs/>
                <w:sz w:val="20"/>
                <w:szCs w:val="20"/>
                <w:lang w:val="sr-Cyrl-CS"/>
              </w:rPr>
              <w:t xml:space="preserve">Удео спаљеног муља у цементарама у односу на укупно генерисан </w:t>
            </w:r>
          </w:p>
        </w:tc>
        <w:tc>
          <w:tcPr>
            <w:tcW w:w="1430" w:type="dxa"/>
            <w:tcBorders>
              <w:top w:val="double" w:sz="4" w:space="0" w:color="auto"/>
              <w:bottom w:val="double" w:sz="4" w:space="0" w:color="auto"/>
            </w:tcBorders>
            <w:shd w:val="clear" w:color="auto" w:fill="FFFFFF" w:themeFill="background1"/>
          </w:tcPr>
          <w:p w14:paraId="5F86A64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bCs/>
                <w:sz w:val="20"/>
                <w:szCs w:val="20"/>
                <w:lang w:val="sr-Cyrl-CS"/>
              </w:rPr>
              <w:t>%</w:t>
            </w:r>
          </w:p>
        </w:tc>
        <w:tc>
          <w:tcPr>
            <w:tcW w:w="1337" w:type="dxa"/>
            <w:tcBorders>
              <w:top w:val="double" w:sz="4" w:space="0" w:color="auto"/>
              <w:bottom w:val="double" w:sz="4" w:space="0" w:color="auto"/>
            </w:tcBorders>
            <w:shd w:val="clear" w:color="auto" w:fill="FFFFFF" w:themeFill="background1"/>
          </w:tcPr>
          <w:p w14:paraId="4BA6C6DE" w14:textId="77777777" w:rsidR="00921DBE" w:rsidRPr="00E84C93" w:rsidRDefault="00921DBE" w:rsidP="00085A1A">
            <w:pPr>
              <w:shd w:val="clear" w:color="auto" w:fill="FFFFFF" w:themeFill="background1"/>
              <w:jc w:val="center"/>
              <w:rPr>
                <w:rFonts w:cs="Times New Roman"/>
                <w:sz w:val="20"/>
                <w:szCs w:val="20"/>
                <w:lang w:val="sr-Cyrl-CS"/>
              </w:rPr>
            </w:pPr>
            <w:r w:rsidRPr="00E84C93">
              <w:rPr>
                <w:sz w:val="20"/>
                <w:szCs w:val="20"/>
                <w:lang w:val="sr-Cyrl-CS"/>
              </w:rPr>
              <w:t>Извештај МЗЖС</w:t>
            </w:r>
          </w:p>
        </w:tc>
        <w:tc>
          <w:tcPr>
            <w:tcW w:w="1099" w:type="dxa"/>
            <w:gridSpan w:val="2"/>
            <w:tcBorders>
              <w:top w:val="double" w:sz="4" w:space="0" w:color="auto"/>
              <w:bottom w:val="double" w:sz="4" w:space="0" w:color="auto"/>
            </w:tcBorders>
            <w:shd w:val="clear" w:color="auto" w:fill="FFFFFF" w:themeFill="background1"/>
          </w:tcPr>
          <w:p w14:paraId="582805E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auto"/>
          </w:tcPr>
          <w:p w14:paraId="1276F47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auto"/>
          </w:tcPr>
          <w:p w14:paraId="788D3DA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auto"/>
          </w:tcPr>
          <w:p w14:paraId="5D82903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auto"/>
          </w:tcPr>
          <w:p w14:paraId="74E2C34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3A6A50F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10</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1BB0C30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w:t>
            </w:r>
          </w:p>
        </w:tc>
      </w:tr>
    </w:tbl>
    <w:p w14:paraId="20D6EC9D"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5BB3D048"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703FFC4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61BE274D"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56F6AA6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4FF363A4"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4275F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1FEACC2C"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1C4A2E4E"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64DF1923"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D4336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C4A82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746AD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337F3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6A3406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165A6065"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0DA7672A" w14:textId="77777777" w:rsidR="00921DBE" w:rsidRPr="00E84C93" w:rsidRDefault="00921DBE" w:rsidP="00085A1A">
            <w:pPr>
              <w:tabs>
                <w:tab w:val="left" w:pos="2334"/>
              </w:tabs>
              <w:rPr>
                <w:rFonts w:cs="Times New Roman"/>
                <w:sz w:val="20"/>
                <w:szCs w:val="20"/>
                <w:lang w:val="sr-Cyrl-CS"/>
              </w:rPr>
            </w:pPr>
            <w:r w:rsidRPr="00E84C93">
              <w:rPr>
                <w:rFonts w:cs="Times New Roman"/>
                <w:sz w:val="20"/>
                <w:szCs w:val="20"/>
                <w:lang w:val="sr-Cyrl-CS"/>
              </w:rPr>
              <w:t>01-Приходи буџета РС/редовна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6A2D6C0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0406-0004 </w:t>
            </w:r>
          </w:p>
        </w:tc>
        <w:tc>
          <w:tcPr>
            <w:tcW w:w="1526" w:type="dxa"/>
            <w:tcBorders>
              <w:left w:val="double" w:sz="4" w:space="0" w:color="auto"/>
              <w:bottom w:val="double" w:sz="4" w:space="0" w:color="auto"/>
              <w:right w:val="double" w:sz="4" w:space="0" w:color="auto"/>
            </w:tcBorders>
            <w:shd w:val="clear" w:color="auto" w:fill="auto"/>
          </w:tcPr>
          <w:p w14:paraId="6B973EF5"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24573019"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FDCE28F"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17EC59A0"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61370226" w14:textId="77777777" w:rsidR="00921DBE" w:rsidRPr="00E84C93" w:rsidRDefault="00921DBE" w:rsidP="00085A1A">
            <w:pPr>
              <w:rPr>
                <w:rFonts w:cs="Times New Roman"/>
                <w:sz w:val="20"/>
                <w:szCs w:val="20"/>
                <w:lang w:val="sr-Cyrl-CS"/>
              </w:rPr>
            </w:pPr>
          </w:p>
        </w:tc>
      </w:tr>
      <w:tr w:rsidR="00921DBE" w:rsidRPr="00E84C93" w14:paraId="591E1689"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2430CE72" w14:textId="77777777" w:rsidR="00921DBE" w:rsidRPr="00E84C93" w:rsidRDefault="00921DBE" w:rsidP="00085A1A">
            <w:pPr>
              <w:rPr>
                <w:sz w:val="20"/>
                <w:szCs w:val="20"/>
                <w:lang w:val="sr-Cyrl-CS"/>
              </w:rPr>
            </w:pPr>
            <w:r w:rsidRPr="00E84C93">
              <w:rPr>
                <w:sz w:val="20"/>
                <w:szCs w:val="20"/>
                <w:lang w:val="sr-Cyrl-CS"/>
              </w:rPr>
              <w:t>Приходи буџета ЈКП</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7F6CB763"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08C4583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F78E43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BD7C83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029466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A7E44B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r>
      <w:tr w:rsidR="00921DBE" w:rsidRPr="00E84C93" w14:paraId="1EF0BB55"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725376AF" w14:textId="77777777" w:rsidR="00921DBE" w:rsidRPr="00E84C93" w:rsidRDefault="00921DBE" w:rsidP="00085A1A">
            <w:pPr>
              <w:rPr>
                <w:sz w:val="20"/>
                <w:szCs w:val="20"/>
                <w:lang w:val="sr-Cyrl-CS"/>
              </w:rPr>
            </w:pPr>
            <w:r w:rsidRPr="00E84C93">
              <w:rPr>
                <w:sz w:val="20"/>
                <w:szCs w:val="20"/>
                <w:lang w:val="sr-Cyrl-CS"/>
              </w:rPr>
              <w:t>Зајам</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06FD0D84"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34FC30D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9EA37D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96D127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373.254*</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86B280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373.254*</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1EAFCC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373.254*</w:t>
            </w:r>
          </w:p>
        </w:tc>
      </w:tr>
      <w:tr w:rsidR="00921DBE" w:rsidRPr="00E84C93" w14:paraId="57B489E1"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auto"/>
          </w:tcPr>
          <w:p w14:paraId="144F7F94" w14:textId="77777777" w:rsidR="00921DBE" w:rsidRPr="00E84C93" w:rsidRDefault="00921DBE" w:rsidP="00085A1A">
            <w:pPr>
              <w:rPr>
                <w:sz w:val="20"/>
                <w:szCs w:val="20"/>
                <w:lang w:val="sr-Cyrl-CS"/>
              </w:rPr>
            </w:pPr>
            <w:r w:rsidRPr="00E84C93">
              <w:rPr>
                <w:sz w:val="20"/>
                <w:szCs w:val="20"/>
                <w:lang w:val="sr-Cyrl-CS"/>
              </w:rPr>
              <w:t>Донаторска средства</w:t>
            </w:r>
          </w:p>
        </w:tc>
        <w:tc>
          <w:tcPr>
            <w:tcW w:w="2746" w:type="dxa"/>
            <w:tcBorders>
              <w:top w:val="double" w:sz="4" w:space="0" w:color="auto"/>
              <w:left w:val="double" w:sz="4" w:space="0" w:color="auto"/>
              <w:bottom w:val="double" w:sz="4" w:space="0" w:color="auto"/>
              <w:right w:val="double" w:sz="4" w:space="0" w:color="auto"/>
            </w:tcBorders>
            <w:shd w:val="clear" w:color="auto" w:fill="auto"/>
          </w:tcPr>
          <w:p w14:paraId="48DE001F"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07B77750"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468E792"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78885A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B7C7204"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02F0A8C" w14:textId="77777777" w:rsidR="00921DBE" w:rsidRPr="00E84C93" w:rsidRDefault="00921DBE" w:rsidP="00085A1A">
            <w:pPr>
              <w:rPr>
                <w:rFonts w:cs="Times New Roman"/>
                <w:sz w:val="20"/>
                <w:szCs w:val="20"/>
                <w:lang w:val="sr-Cyrl-CS"/>
              </w:rPr>
            </w:pPr>
          </w:p>
        </w:tc>
      </w:tr>
    </w:tbl>
    <w:p w14:paraId="441A61AB"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6F7188AB" w14:textId="77777777" w:rsidTr="00085A1A">
        <w:trPr>
          <w:trHeight w:val="146"/>
        </w:trPr>
        <w:tc>
          <w:tcPr>
            <w:tcW w:w="2725" w:type="dxa"/>
            <w:vMerge w:val="restart"/>
            <w:shd w:val="clear" w:color="auto" w:fill="FFF2CC" w:themeFill="accent4" w:themeFillTint="33"/>
          </w:tcPr>
          <w:p w14:paraId="4321AA4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7D8F02E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726EEA7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24270C2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09097A4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4BA3B36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6227560E"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1A1D41C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52F59A20" w14:textId="77777777" w:rsidTr="00085A1A">
        <w:trPr>
          <w:trHeight w:val="405"/>
        </w:trPr>
        <w:tc>
          <w:tcPr>
            <w:tcW w:w="2725" w:type="dxa"/>
            <w:vMerge/>
            <w:shd w:val="clear" w:color="auto" w:fill="FFF2CC" w:themeFill="accent4" w:themeFillTint="33"/>
          </w:tcPr>
          <w:p w14:paraId="7195015A"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7C61D5FF"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505BA507"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66D6CE17"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59AD2C4F"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6389B860"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3573275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1DBA41F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0D80EA5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25AA9DA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1D6F53F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1B906297" w14:textId="77777777" w:rsidTr="00085A1A">
        <w:trPr>
          <w:trHeight w:val="146"/>
        </w:trPr>
        <w:tc>
          <w:tcPr>
            <w:tcW w:w="2725" w:type="dxa"/>
          </w:tcPr>
          <w:p w14:paraId="3326A49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2.3.1. Израда студије о оправданости искоришћења муља коинсинерацијом у термо постројењима (укључујући и ЕПС АД Београд)</w:t>
            </w:r>
          </w:p>
        </w:tc>
        <w:tc>
          <w:tcPr>
            <w:tcW w:w="1239" w:type="dxa"/>
          </w:tcPr>
          <w:p w14:paraId="6C848B4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33DFB72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МРЕ</w:t>
            </w:r>
          </w:p>
        </w:tc>
        <w:tc>
          <w:tcPr>
            <w:tcW w:w="1260" w:type="dxa"/>
          </w:tcPr>
          <w:p w14:paraId="2882FC69" w14:textId="77777777" w:rsidR="00921DBE" w:rsidRPr="00E84C93" w:rsidRDefault="00921DBE" w:rsidP="00085A1A">
            <w:pPr>
              <w:tabs>
                <w:tab w:val="left" w:pos="252"/>
              </w:tabs>
              <w:rPr>
                <w:rFonts w:cs="Times New Roman"/>
                <w:sz w:val="20"/>
                <w:szCs w:val="20"/>
                <w:lang w:val="sr-Cyrl-CS"/>
              </w:rPr>
            </w:pPr>
            <w:r w:rsidRPr="00E84C93">
              <w:rPr>
                <w:rFonts w:cs="Times New Roman"/>
                <w:sz w:val="20"/>
                <w:szCs w:val="20"/>
                <w:lang w:val="sr-Cyrl-CS"/>
              </w:rPr>
              <w:t>1. квартал 2025.</w:t>
            </w:r>
          </w:p>
        </w:tc>
        <w:tc>
          <w:tcPr>
            <w:tcW w:w="1440" w:type="dxa"/>
          </w:tcPr>
          <w:p w14:paraId="441A116D"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Донаторска средства</w:t>
            </w:r>
          </w:p>
        </w:tc>
        <w:tc>
          <w:tcPr>
            <w:tcW w:w="1350" w:type="dxa"/>
          </w:tcPr>
          <w:p w14:paraId="371B4EC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0406-0004</w:t>
            </w:r>
          </w:p>
          <w:p w14:paraId="2DAADDE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0F0F88B7" w14:textId="77777777" w:rsidR="00921DBE" w:rsidRPr="00E84C93" w:rsidRDefault="00921DBE" w:rsidP="00085A1A">
            <w:pPr>
              <w:rPr>
                <w:rFonts w:cs="Times New Roman"/>
                <w:sz w:val="20"/>
                <w:szCs w:val="20"/>
                <w:lang w:val="sr-Cyrl-CS"/>
              </w:rPr>
            </w:pPr>
          </w:p>
        </w:tc>
        <w:tc>
          <w:tcPr>
            <w:tcW w:w="904" w:type="dxa"/>
          </w:tcPr>
          <w:p w14:paraId="61FC84E2" w14:textId="77777777" w:rsidR="00921DBE" w:rsidRPr="00E84C93" w:rsidRDefault="00921DBE" w:rsidP="00085A1A">
            <w:pPr>
              <w:rPr>
                <w:rFonts w:cs="Times New Roman"/>
                <w:sz w:val="20"/>
                <w:szCs w:val="20"/>
                <w:lang w:val="sr-Cyrl-CS"/>
              </w:rPr>
            </w:pPr>
          </w:p>
        </w:tc>
        <w:tc>
          <w:tcPr>
            <w:tcW w:w="903" w:type="dxa"/>
          </w:tcPr>
          <w:p w14:paraId="2F82B8F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tc>
        <w:tc>
          <w:tcPr>
            <w:tcW w:w="904" w:type="dxa"/>
          </w:tcPr>
          <w:p w14:paraId="44FF37B8" w14:textId="77777777" w:rsidR="00921DBE" w:rsidRPr="00E84C93" w:rsidRDefault="00921DBE" w:rsidP="00085A1A">
            <w:pPr>
              <w:rPr>
                <w:rFonts w:cs="Times New Roman"/>
                <w:sz w:val="20"/>
                <w:szCs w:val="20"/>
                <w:lang w:val="sr-Cyrl-CS"/>
              </w:rPr>
            </w:pPr>
          </w:p>
        </w:tc>
        <w:tc>
          <w:tcPr>
            <w:tcW w:w="904" w:type="dxa"/>
          </w:tcPr>
          <w:p w14:paraId="0E097313" w14:textId="77777777" w:rsidR="00921DBE" w:rsidRPr="00E84C93" w:rsidRDefault="00921DBE" w:rsidP="00085A1A">
            <w:pPr>
              <w:rPr>
                <w:rFonts w:cs="Times New Roman"/>
                <w:sz w:val="20"/>
                <w:szCs w:val="20"/>
                <w:lang w:val="sr-Cyrl-CS"/>
              </w:rPr>
            </w:pPr>
          </w:p>
        </w:tc>
      </w:tr>
      <w:tr w:rsidR="00921DBE" w:rsidRPr="00E84C93" w14:paraId="7FF621DE" w14:textId="77777777" w:rsidTr="00085A1A">
        <w:trPr>
          <w:trHeight w:val="146"/>
        </w:trPr>
        <w:tc>
          <w:tcPr>
            <w:tcW w:w="2725" w:type="dxa"/>
          </w:tcPr>
          <w:p w14:paraId="0D2307A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2.3.2.Измена и допуна постојеће регулативе ради омогућавања коинсинерације муља у цементарама и термоелектранама</w:t>
            </w:r>
          </w:p>
        </w:tc>
        <w:tc>
          <w:tcPr>
            <w:tcW w:w="1239" w:type="dxa"/>
          </w:tcPr>
          <w:p w14:paraId="13E998D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03993DA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w:t>
            </w:r>
          </w:p>
        </w:tc>
        <w:tc>
          <w:tcPr>
            <w:tcW w:w="1260" w:type="dxa"/>
          </w:tcPr>
          <w:p w14:paraId="28DF2FC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15396FD1"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редовна издвајања</w:t>
            </w:r>
          </w:p>
        </w:tc>
        <w:tc>
          <w:tcPr>
            <w:tcW w:w="1350" w:type="dxa"/>
          </w:tcPr>
          <w:p w14:paraId="57835C12" w14:textId="77777777" w:rsidR="00921DBE" w:rsidRPr="00E84C93" w:rsidRDefault="00921DBE" w:rsidP="00085A1A">
            <w:pPr>
              <w:rPr>
                <w:rFonts w:cs="Times New Roman"/>
                <w:sz w:val="20"/>
                <w:szCs w:val="20"/>
                <w:lang w:val="sr-Cyrl-CS"/>
              </w:rPr>
            </w:pPr>
          </w:p>
        </w:tc>
        <w:tc>
          <w:tcPr>
            <w:tcW w:w="903" w:type="dxa"/>
          </w:tcPr>
          <w:p w14:paraId="657012C0" w14:textId="77777777" w:rsidR="00921DBE" w:rsidRPr="00E84C93" w:rsidRDefault="00921DBE" w:rsidP="00085A1A">
            <w:pPr>
              <w:rPr>
                <w:rFonts w:cs="Times New Roman"/>
                <w:sz w:val="20"/>
                <w:szCs w:val="20"/>
                <w:lang w:val="sr-Cyrl-CS"/>
              </w:rPr>
            </w:pPr>
          </w:p>
        </w:tc>
        <w:tc>
          <w:tcPr>
            <w:tcW w:w="904" w:type="dxa"/>
          </w:tcPr>
          <w:p w14:paraId="178C4564" w14:textId="77777777" w:rsidR="00921DBE" w:rsidRPr="00E84C93" w:rsidRDefault="00921DBE" w:rsidP="00085A1A">
            <w:pPr>
              <w:rPr>
                <w:rFonts w:cs="Times New Roman"/>
                <w:sz w:val="20"/>
                <w:szCs w:val="20"/>
                <w:lang w:val="sr-Cyrl-CS"/>
              </w:rPr>
            </w:pPr>
          </w:p>
        </w:tc>
        <w:tc>
          <w:tcPr>
            <w:tcW w:w="903" w:type="dxa"/>
          </w:tcPr>
          <w:p w14:paraId="7B4EC78B" w14:textId="77777777" w:rsidR="00921DBE" w:rsidRPr="00E84C93" w:rsidRDefault="00921DBE" w:rsidP="00085A1A">
            <w:pPr>
              <w:rPr>
                <w:rFonts w:cs="Times New Roman"/>
                <w:sz w:val="20"/>
                <w:szCs w:val="20"/>
                <w:lang w:val="sr-Cyrl-CS"/>
              </w:rPr>
            </w:pPr>
          </w:p>
        </w:tc>
        <w:tc>
          <w:tcPr>
            <w:tcW w:w="904" w:type="dxa"/>
          </w:tcPr>
          <w:p w14:paraId="184A24DF" w14:textId="77777777" w:rsidR="00921DBE" w:rsidRPr="00E84C93" w:rsidRDefault="00921DBE" w:rsidP="00085A1A">
            <w:pPr>
              <w:rPr>
                <w:rFonts w:cs="Times New Roman"/>
                <w:sz w:val="20"/>
                <w:szCs w:val="20"/>
                <w:lang w:val="sr-Cyrl-CS"/>
              </w:rPr>
            </w:pPr>
          </w:p>
        </w:tc>
        <w:tc>
          <w:tcPr>
            <w:tcW w:w="904" w:type="dxa"/>
          </w:tcPr>
          <w:p w14:paraId="6F753EC6" w14:textId="77777777" w:rsidR="00921DBE" w:rsidRPr="00E84C93" w:rsidRDefault="00921DBE" w:rsidP="00085A1A">
            <w:pPr>
              <w:rPr>
                <w:rFonts w:cs="Times New Roman"/>
                <w:sz w:val="20"/>
                <w:szCs w:val="20"/>
                <w:lang w:val="sr-Cyrl-CS"/>
              </w:rPr>
            </w:pPr>
          </w:p>
        </w:tc>
      </w:tr>
      <w:tr w:rsidR="00921DBE" w:rsidRPr="00E84C93" w14:paraId="6ED602BC" w14:textId="77777777" w:rsidTr="00085A1A">
        <w:trPr>
          <w:trHeight w:val="146"/>
        </w:trPr>
        <w:tc>
          <w:tcPr>
            <w:tcW w:w="2725" w:type="dxa"/>
          </w:tcPr>
          <w:p w14:paraId="207E503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2.3.3.Надоградња постројења за пречишћавање отпадних вода ради термичког сушења муља</w:t>
            </w:r>
          </w:p>
        </w:tc>
        <w:tc>
          <w:tcPr>
            <w:tcW w:w="1239" w:type="dxa"/>
          </w:tcPr>
          <w:p w14:paraId="28D9011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ЈКП </w:t>
            </w:r>
          </w:p>
        </w:tc>
        <w:tc>
          <w:tcPr>
            <w:tcW w:w="1241" w:type="dxa"/>
          </w:tcPr>
          <w:p w14:paraId="280C7DE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024765A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08149EB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1350" w:type="dxa"/>
          </w:tcPr>
          <w:p w14:paraId="1A1A093C" w14:textId="77777777" w:rsidR="00921DBE" w:rsidRPr="00E84C93" w:rsidRDefault="00921DBE" w:rsidP="00085A1A">
            <w:pPr>
              <w:rPr>
                <w:rFonts w:cs="Times New Roman"/>
                <w:sz w:val="20"/>
                <w:szCs w:val="20"/>
                <w:lang w:val="sr-Cyrl-CS"/>
              </w:rPr>
            </w:pPr>
          </w:p>
        </w:tc>
        <w:tc>
          <w:tcPr>
            <w:tcW w:w="903" w:type="dxa"/>
          </w:tcPr>
          <w:p w14:paraId="73E10E16" w14:textId="77777777" w:rsidR="00921DBE" w:rsidRPr="00E84C93" w:rsidRDefault="00921DBE" w:rsidP="00085A1A">
            <w:pPr>
              <w:rPr>
                <w:rFonts w:cs="Times New Roman"/>
                <w:sz w:val="20"/>
                <w:szCs w:val="20"/>
                <w:lang w:val="sr-Cyrl-CS"/>
              </w:rPr>
            </w:pPr>
          </w:p>
        </w:tc>
        <w:tc>
          <w:tcPr>
            <w:tcW w:w="904" w:type="dxa"/>
          </w:tcPr>
          <w:p w14:paraId="1BE66801" w14:textId="77777777" w:rsidR="00921DBE" w:rsidRPr="00E84C93" w:rsidRDefault="00921DBE" w:rsidP="00085A1A">
            <w:pPr>
              <w:rPr>
                <w:rFonts w:cs="Times New Roman"/>
                <w:sz w:val="20"/>
                <w:szCs w:val="20"/>
                <w:lang w:val="sr-Cyrl-CS"/>
              </w:rPr>
            </w:pPr>
          </w:p>
        </w:tc>
        <w:tc>
          <w:tcPr>
            <w:tcW w:w="903" w:type="dxa"/>
            <w:shd w:val="clear" w:color="auto" w:fill="auto"/>
          </w:tcPr>
          <w:p w14:paraId="7130AFEC"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373.254*</w:t>
            </w:r>
          </w:p>
        </w:tc>
        <w:tc>
          <w:tcPr>
            <w:tcW w:w="904" w:type="dxa"/>
            <w:shd w:val="clear" w:color="auto" w:fill="auto"/>
          </w:tcPr>
          <w:p w14:paraId="73D9EE76" w14:textId="77777777" w:rsidR="00921DBE" w:rsidRPr="00E84C93" w:rsidRDefault="00921DBE" w:rsidP="00085A1A">
            <w:pPr>
              <w:rPr>
                <w:rFonts w:cs="Times New Roman"/>
                <w:sz w:val="18"/>
                <w:szCs w:val="18"/>
                <w:lang w:val="sr-Cyrl-CS"/>
              </w:rPr>
            </w:pPr>
            <w:r w:rsidRPr="00E84C93">
              <w:rPr>
                <w:rFonts w:cs="Times New Roman"/>
                <w:sz w:val="18"/>
                <w:szCs w:val="18"/>
                <w:lang w:val="sr-Cyrl-CS"/>
              </w:rPr>
              <w:t>373.254*</w:t>
            </w:r>
          </w:p>
        </w:tc>
        <w:tc>
          <w:tcPr>
            <w:tcW w:w="904" w:type="dxa"/>
          </w:tcPr>
          <w:p w14:paraId="0A9E1D4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373.254*</w:t>
            </w:r>
          </w:p>
        </w:tc>
      </w:tr>
      <w:tr w:rsidR="00921DBE" w:rsidRPr="00E84C93" w14:paraId="12AACFB0" w14:textId="77777777" w:rsidTr="00085A1A">
        <w:trPr>
          <w:trHeight w:val="146"/>
        </w:trPr>
        <w:tc>
          <w:tcPr>
            <w:tcW w:w="2725" w:type="dxa"/>
          </w:tcPr>
          <w:p w14:paraId="2333CD4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2.3.4.Анализа квалитета муља ради коинсинерације</w:t>
            </w:r>
          </w:p>
        </w:tc>
        <w:tc>
          <w:tcPr>
            <w:tcW w:w="1239" w:type="dxa"/>
          </w:tcPr>
          <w:p w14:paraId="1555D9E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41" w:type="dxa"/>
          </w:tcPr>
          <w:p w14:paraId="199561F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12DBFB8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1C4E1A4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1350" w:type="dxa"/>
          </w:tcPr>
          <w:p w14:paraId="7B51F4C5" w14:textId="77777777" w:rsidR="00921DBE" w:rsidRPr="00E84C93" w:rsidRDefault="00921DBE" w:rsidP="00085A1A">
            <w:pPr>
              <w:rPr>
                <w:rFonts w:cs="Times New Roman"/>
                <w:sz w:val="20"/>
                <w:szCs w:val="20"/>
                <w:lang w:val="sr-Cyrl-CS"/>
              </w:rPr>
            </w:pPr>
          </w:p>
        </w:tc>
        <w:tc>
          <w:tcPr>
            <w:tcW w:w="903" w:type="dxa"/>
          </w:tcPr>
          <w:p w14:paraId="12281C82" w14:textId="77777777" w:rsidR="00921DBE" w:rsidRPr="00E84C93" w:rsidRDefault="00921DBE" w:rsidP="00085A1A">
            <w:pPr>
              <w:rPr>
                <w:rFonts w:cs="Times New Roman"/>
                <w:sz w:val="20"/>
                <w:szCs w:val="20"/>
                <w:lang w:val="sr-Cyrl-CS"/>
              </w:rPr>
            </w:pPr>
          </w:p>
        </w:tc>
        <w:tc>
          <w:tcPr>
            <w:tcW w:w="904" w:type="dxa"/>
          </w:tcPr>
          <w:p w14:paraId="27DA7348" w14:textId="77777777" w:rsidR="00921DBE" w:rsidRPr="00E84C93" w:rsidRDefault="00921DBE" w:rsidP="00085A1A">
            <w:pPr>
              <w:rPr>
                <w:rFonts w:cs="Times New Roman"/>
                <w:sz w:val="20"/>
                <w:szCs w:val="20"/>
                <w:lang w:val="sr-Cyrl-CS"/>
              </w:rPr>
            </w:pPr>
          </w:p>
        </w:tc>
        <w:tc>
          <w:tcPr>
            <w:tcW w:w="903" w:type="dxa"/>
            <w:shd w:val="clear" w:color="auto" w:fill="auto"/>
          </w:tcPr>
          <w:p w14:paraId="028552A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904" w:type="dxa"/>
            <w:shd w:val="clear" w:color="auto" w:fill="auto"/>
          </w:tcPr>
          <w:p w14:paraId="4FC0545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c>
          <w:tcPr>
            <w:tcW w:w="904" w:type="dxa"/>
          </w:tcPr>
          <w:p w14:paraId="207063A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5.900*</w:t>
            </w:r>
          </w:p>
        </w:tc>
      </w:tr>
      <w:tr w:rsidR="00921DBE" w:rsidRPr="00E84C93" w14:paraId="55F01FE8" w14:textId="77777777" w:rsidTr="00085A1A">
        <w:trPr>
          <w:trHeight w:val="146"/>
        </w:trPr>
        <w:tc>
          <w:tcPr>
            <w:tcW w:w="2725" w:type="dxa"/>
          </w:tcPr>
          <w:p w14:paraId="3DEE4F4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2.3.5. Израда смерница за поступање оператера и цементара</w:t>
            </w:r>
          </w:p>
        </w:tc>
        <w:tc>
          <w:tcPr>
            <w:tcW w:w="1239" w:type="dxa"/>
          </w:tcPr>
          <w:p w14:paraId="7A6352E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4F70E73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ПКС</w:t>
            </w:r>
          </w:p>
        </w:tc>
        <w:tc>
          <w:tcPr>
            <w:tcW w:w="1260" w:type="dxa"/>
          </w:tcPr>
          <w:p w14:paraId="396263A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2025.</w:t>
            </w:r>
          </w:p>
        </w:tc>
        <w:tc>
          <w:tcPr>
            <w:tcW w:w="1440" w:type="dxa"/>
          </w:tcPr>
          <w:p w14:paraId="0E9696A7"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421E3DFD" w14:textId="77777777" w:rsidR="00921DBE" w:rsidRPr="00E84C93" w:rsidRDefault="00921DBE" w:rsidP="00085A1A">
            <w:pPr>
              <w:rPr>
                <w:rFonts w:cs="Times New Roman"/>
                <w:sz w:val="20"/>
                <w:szCs w:val="20"/>
                <w:lang w:val="sr-Cyrl-CS"/>
              </w:rPr>
            </w:pPr>
          </w:p>
        </w:tc>
        <w:tc>
          <w:tcPr>
            <w:tcW w:w="903" w:type="dxa"/>
          </w:tcPr>
          <w:p w14:paraId="1D3CEB07" w14:textId="77777777" w:rsidR="00921DBE" w:rsidRPr="00E84C93" w:rsidRDefault="00921DBE" w:rsidP="00085A1A">
            <w:pPr>
              <w:rPr>
                <w:rFonts w:cs="Times New Roman"/>
                <w:sz w:val="20"/>
                <w:szCs w:val="20"/>
                <w:lang w:val="sr-Cyrl-CS"/>
              </w:rPr>
            </w:pPr>
          </w:p>
        </w:tc>
        <w:tc>
          <w:tcPr>
            <w:tcW w:w="904" w:type="dxa"/>
          </w:tcPr>
          <w:p w14:paraId="45113665" w14:textId="77777777" w:rsidR="00921DBE" w:rsidRPr="00E84C93" w:rsidRDefault="00921DBE" w:rsidP="00085A1A">
            <w:pPr>
              <w:rPr>
                <w:rFonts w:cs="Times New Roman"/>
                <w:sz w:val="20"/>
                <w:szCs w:val="20"/>
                <w:lang w:val="sr-Cyrl-CS"/>
              </w:rPr>
            </w:pPr>
          </w:p>
        </w:tc>
        <w:tc>
          <w:tcPr>
            <w:tcW w:w="903" w:type="dxa"/>
          </w:tcPr>
          <w:p w14:paraId="4060AC24" w14:textId="77777777" w:rsidR="00921DBE" w:rsidRPr="00E84C93" w:rsidRDefault="00921DBE" w:rsidP="00085A1A">
            <w:pPr>
              <w:rPr>
                <w:rFonts w:cs="Times New Roman"/>
                <w:sz w:val="20"/>
                <w:szCs w:val="20"/>
                <w:lang w:val="sr-Cyrl-CS"/>
              </w:rPr>
            </w:pPr>
          </w:p>
        </w:tc>
        <w:tc>
          <w:tcPr>
            <w:tcW w:w="904" w:type="dxa"/>
          </w:tcPr>
          <w:p w14:paraId="57B8A6AF" w14:textId="77777777" w:rsidR="00921DBE" w:rsidRPr="00E84C93" w:rsidRDefault="00921DBE" w:rsidP="00085A1A">
            <w:pPr>
              <w:rPr>
                <w:rFonts w:cs="Times New Roman"/>
                <w:sz w:val="20"/>
                <w:szCs w:val="20"/>
                <w:lang w:val="sr-Cyrl-CS"/>
              </w:rPr>
            </w:pPr>
          </w:p>
        </w:tc>
        <w:tc>
          <w:tcPr>
            <w:tcW w:w="904" w:type="dxa"/>
          </w:tcPr>
          <w:p w14:paraId="61DF7DF6" w14:textId="77777777" w:rsidR="00921DBE" w:rsidRPr="00E84C93" w:rsidRDefault="00921DBE" w:rsidP="00085A1A">
            <w:pPr>
              <w:rPr>
                <w:rFonts w:cs="Times New Roman"/>
                <w:sz w:val="20"/>
                <w:szCs w:val="20"/>
                <w:lang w:val="sr-Cyrl-CS"/>
              </w:rPr>
            </w:pPr>
          </w:p>
        </w:tc>
      </w:tr>
      <w:tr w:rsidR="00921DBE" w:rsidRPr="00E84C93" w14:paraId="46BA5524" w14:textId="77777777" w:rsidTr="00085A1A">
        <w:trPr>
          <w:trHeight w:val="146"/>
        </w:trPr>
        <w:tc>
          <w:tcPr>
            <w:tcW w:w="2725" w:type="dxa"/>
          </w:tcPr>
          <w:p w14:paraId="7804E371" w14:textId="77777777" w:rsidR="00921DBE" w:rsidRPr="00E84C93" w:rsidRDefault="00921DBE" w:rsidP="00085A1A">
            <w:pPr>
              <w:pStyle w:val="CommentText"/>
              <w:jc w:val="left"/>
              <w:rPr>
                <w:rFonts w:ascii="Times New Roman" w:hAnsi="Times New Roman" w:cs="Times New Roman"/>
                <w:lang w:val="sr-Cyrl-CS"/>
              </w:rPr>
            </w:pPr>
            <w:r w:rsidRPr="00E84C93">
              <w:rPr>
                <w:rFonts w:ascii="Times New Roman" w:hAnsi="Times New Roman" w:cs="Times New Roman"/>
                <w:lang w:val="sr-Cyrl-CS"/>
              </w:rPr>
              <w:t>2.3.6. Праћење успостављања сарадње и спровођења уговора о прихватању муља ради коинсинирације</w:t>
            </w:r>
          </w:p>
        </w:tc>
        <w:tc>
          <w:tcPr>
            <w:tcW w:w="1239" w:type="dxa"/>
          </w:tcPr>
          <w:p w14:paraId="6E964FE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178503E7" w14:textId="77777777" w:rsidR="00921DBE" w:rsidRPr="00E84C93" w:rsidRDefault="00921DBE" w:rsidP="00085A1A">
            <w:pPr>
              <w:rPr>
                <w:rFonts w:cs="Times New Roman"/>
                <w:sz w:val="20"/>
                <w:szCs w:val="20"/>
                <w:lang w:val="sr-Cyrl-CS"/>
              </w:rPr>
            </w:pPr>
            <w:r w:rsidRPr="00E84C93">
              <w:rPr>
                <w:rFonts w:cs="Times New Roman"/>
                <w:sz w:val="20"/>
                <w:szCs w:val="20"/>
                <w:lang w:val="sr-Cyrl-CS" w:eastAsia="en-GB"/>
              </w:rPr>
              <w:t>ЈКП,</w:t>
            </w:r>
            <w:r w:rsidRPr="00E84C93">
              <w:rPr>
                <w:rFonts w:cs="Times New Roman"/>
                <w:bCs/>
                <w:sz w:val="20"/>
                <w:szCs w:val="20"/>
                <w:lang w:val="sr-Cyrl-CS" w:eastAsia="en-GB"/>
              </w:rPr>
              <w:t xml:space="preserve"> фабрике цемента</w:t>
            </w:r>
          </w:p>
        </w:tc>
        <w:tc>
          <w:tcPr>
            <w:tcW w:w="1260" w:type="dxa"/>
          </w:tcPr>
          <w:p w14:paraId="64F36F6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6A06F034"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2739F6E6" w14:textId="77777777" w:rsidR="00921DBE" w:rsidRPr="00E84C93" w:rsidRDefault="00921DBE" w:rsidP="00085A1A">
            <w:pPr>
              <w:rPr>
                <w:rFonts w:cs="Times New Roman"/>
                <w:sz w:val="20"/>
                <w:szCs w:val="20"/>
                <w:lang w:val="sr-Cyrl-CS"/>
              </w:rPr>
            </w:pPr>
          </w:p>
        </w:tc>
        <w:tc>
          <w:tcPr>
            <w:tcW w:w="903" w:type="dxa"/>
          </w:tcPr>
          <w:p w14:paraId="75C1A0A1" w14:textId="77777777" w:rsidR="00921DBE" w:rsidRPr="00E84C93" w:rsidRDefault="00921DBE" w:rsidP="00085A1A">
            <w:pPr>
              <w:rPr>
                <w:rFonts w:cs="Times New Roman"/>
                <w:sz w:val="20"/>
                <w:szCs w:val="20"/>
                <w:lang w:val="sr-Cyrl-CS"/>
              </w:rPr>
            </w:pPr>
          </w:p>
        </w:tc>
        <w:tc>
          <w:tcPr>
            <w:tcW w:w="904" w:type="dxa"/>
          </w:tcPr>
          <w:p w14:paraId="203C40D8" w14:textId="77777777" w:rsidR="00921DBE" w:rsidRPr="00E84C93" w:rsidRDefault="00921DBE" w:rsidP="00085A1A">
            <w:pPr>
              <w:rPr>
                <w:rFonts w:cs="Times New Roman"/>
                <w:sz w:val="20"/>
                <w:szCs w:val="20"/>
                <w:lang w:val="sr-Cyrl-CS"/>
              </w:rPr>
            </w:pPr>
          </w:p>
        </w:tc>
        <w:tc>
          <w:tcPr>
            <w:tcW w:w="903" w:type="dxa"/>
          </w:tcPr>
          <w:p w14:paraId="429057CA" w14:textId="77777777" w:rsidR="00921DBE" w:rsidRPr="00E84C93" w:rsidRDefault="00921DBE" w:rsidP="00085A1A">
            <w:pPr>
              <w:rPr>
                <w:rFonts w:cs="Times New Roman"/>
                <w:sz w:val="20"/>
                <w:szCs w:val="20"/>
                <w:lang w:val="sr-Cyrl-CS"/>
              </w:rPr>
            </w:pPr>
          </w:p>
        </w:tc>
        <w:tc>
          <w:tcPr>
            <w:tcW w:w="904" w:type="dxa"/>
          </w:tcPr>
          <w:p w14:paraId="3684B880" w14:textId="77777777" w:rsidR="00921DBE" w:rsidRPr="00E84C93" w:rsidRDefault="00921DBE" w:rsidP="00085A1A">
            <w:pPr>
              <w:rPr>
                <w:rFonts w:cs="Times New Roman"/>
                <w:sz w:val="20"/>
                <w:szCs w:val="20"/>
                <w:lang w:val="sr-Cyrl-CS"/>
              </w:rPr>
            </w:pPr>
          </w:p>
        </w:tc>
        <w:tc>
          <w:tcPr>
            <w:tcW w:w="904" w:type="dxa"/>
          </w:tcPr>
          <w:p w14:paraId="1CA6D15B" w14:textId="77777777" w:rsidR="00921DBE" w:rsidRPr="00E84C93" w:rsidRDefault="00921DBE" w:rsidP="00085A1A">
            <w:pPr>
              <w:rPr>
                <w:rFonts w:cs="Times New Roman"/>
                <w:sz w:val="20"/>
                <w:szCs w:val="20"/>
                <w:lang w:val="sr-Cyrl-CS"/>
              </w:rPr>
            </w:pPr>
          </w:p>
        </w:tc>
      </w:tr>
    </w:tbl>
    <w:p w14:paraId="7561320C" w14:textId="77777777" w:rsidR="00921DBE" w:rsidRPr="00E84C93" w:rsidRDefault="00921DBE" w:rsidP="00921DBE">
      <w:pPr>
        <w:spacing w:after="0"/>
        <w:rPr>
          <w:rFonts w:cs="Times New Roman"/>
          <w:sz w:val="20"/>
          <w:szCs w:val="20"/>
          <w:lang w:val="sr-Cyrl-CS"/>
        </w:rPr>
      </w:pPr>
    </w:p>
    <w:p w14:paraId="2CC9ECBF"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72D74442"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98C34ED"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2.4: </w:t>
            </w:r>
            <w:r w:rsidRPr="00E84C93">
              <w:rPr>
                <w:rFonts w:cs="Times New Roman"/>
                <w:noProof/>
                <w:sz w:val="20"/>
                <w:szCs w:val="20"/>
                <w:lang w:val="sr-Cyrl-CS"/>
              </w:rPr>
              <w:t>Збрињавање муља</w:t>
            </w:r>
            <w:r w:rsidRPr="00E84C93">
              <w:rPr>
                <w:rFonts w:cs="Times New Roman"/>
                <w:b/>
                <w:bCs/>
                <w:noProof/>
                <w:sz w:val="20"/>
                <w:szCs w:val="20"/>
                <w:lang w:val="sr-Cyrl-CS"/>
              </w:rPr>
              <w:t xml:space="preserve"> </w:t>
            </w:r>
            <w:r w:rsidRPr="00E84C93">
              <w:rPr>
                <w:rFonts w:cs="Times New Roman"/>
                <w:bCs/>
                <w:sz w:val="20"/>
                <w:szCs w:val="20"/>
                <w:lang w:val="sr-Cyrl-CS" w:bidi="en-US"/>
              </w:rPr>
              <w:t xml:space="preserve">одлагањем у посебним касетама на регионалним санитарним депонијама </w:t>
            </w:r>
          </w:p>
        </w:tc>
      </w:tr>
      <w:tr w:rsidR="00921DBE" w:rsidRPr="00E84C93" w14:paraId="291C5500"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76281DA"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4BDEAA7F"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F59B7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2023-2027.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F5931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пружање услуга</w:t>
            </w:r>
          </w:p>
        </w:tc>
      </w:tr>
      <w:tr w:rsidR="00921DBE" w:rsidRPr="00E84C93" w14:paraId="0E5F2409"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3F94F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43995B" w14:textId="77777777" w:rsidR="00921DBE" w:rsidRPr="00E84C93" w:rsidRDefault="00921DBE" w:rsidP="00085A1A">
            <w:pPr>
              <w:rPr>
                <w:rFonts w:cs="Times New Roman"/>
                <w:sz w:val="20"/>
                <w:szCs w:val="20"/>
                <w:lang w:val="sr-Cyrl-CS"/>
              </w:rPr>
            </w:pPr>
            <w:r w:rsidRPr="00E84C93">
              <w:rPr>
                <w:noProof/>
                <w:sz w:val="20"/>
                <w:szCs w:val="20"/>
                <w:lang w:val="sr-Cyrl-CS"/>
              </w:rPr>
              <w:t>Уредба о одлагању отпада на депоније</w:t>
            </w:r>
          </w:p>
        </w:tc>
      </w:tr>
      <w:tr w:rsidR="00921DBE" w:rsidRPr="00E84C93" w14:paraId="2D2A53B0" w14:textId="77777777" w:rsidTr="00085A1A">
        <w:trPr>
          <w:trHeight w:val="780"/>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72F6170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65DD61D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7900800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233D5CF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042485D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082E4FB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73B5AA9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B5E9E7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7F2819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4D6169F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5FE64EF7"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4BD95A8F"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bCs/>
                <w:sz w:val="20"/>
                <w:szCs w:val="20"/>
                <w:lang w:val="sr-Cyrl-CS"/>
              </w:rPr>
              <w:t>Удео одложеног муља на регионалне санитарне депоније у односу на укупно генерисан</w:t>
            </w:r>
          </w:p>
        </w:tc>
        <w:tc>
          <w:tcPr>
            <w:tcW w:w="1430" w:type="dxa"/>
            <w:tcBorders>
              <w:top w:val="double" w:sz="4" w:space="0" w:color="auto"/>
              <w:bottom w:val="double" w:sz="4" w:space="0" w:color="auto"/>
            </w:tcBorders>
            <w:shd w:val="clear" w:color="auto" w:fill="FFFFFF" w:themeFill="background1"/>
          </w:tcPr>
          <w:p w14:paraId="6C73EEB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w:t>
            </w:r>
          </w:p>
        </w:tc>
        <w:tc>
          <w:tcPr>
            <w:tcW w:w="1337" w:type="dxa"/>
            <w:tcBorders>
              <w:top w:val="double" w:sz="4" w:space="0" w:color="auto"/>
              <w:bottom w:val="double" w:sz="4" w:space="0" w:color="auto"/>
            </w:tcBorders>
            <w:shd w:val="clear" w:color="auto" w:fill="FFFFFF" w:themeFill="background1"/>
          </w:tcPr>
          <w:p w14:paraId="36991F3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 МЗЖС </w:t>
            </w:r>
          </w:p>
        </w:tc>
        <w:tc>
          <w:tcPr>
            <w:tcW w:w="1099" w:type="dxa"/>
            <w:gridSpan w:val="2"/>
            <w:tcBorders>
              <w:top w:val="double" w:sz="4" w:space="0" w:color="auto"/>
              <w:bottom w:val="double" w:sz="4" w:space="0" w:color="auto"/>
            </w:tcBorders>
            <w:shd w:val="clear" w:color="auto" w:fill="FFFFFF" w:themeFill="background1"/>
          </w:tcPr>
          <w:p w14:paraId="2B4E96CF" w14:textId="77777777" w:rsidR="00921DBE" w:rsidRPr="00E84C93" w:rsidRDefault="00921DBE" w:rsidP="00085A1A">
            <w:pPr>
              <w:shd w:val="clear" w:color="auto" w:fill="FFFFFF" w:themeFill="background1"/>
              <w:jc w:val="center"/>
              <w:rPr>
                <w:rFonts w:cs="Times New Roman"/>
                <w:sz w:val="20"/>
                <w:szCs w:val="20"/>
                <w:highlight w:val="yellow"/>
                <w:lang w:val="sr-Cyrl-CS"/>
              </w:rPr>
            </w:pPr>
            <w:r w:rsidRPr="00E84C93">
              <w:rPr>
                <w:rFonts w:cs="Times New Roman"/>
                <w:sz w:val="20"/>
                <w:szCs w:val="20"/>
                <w:lang w:val="sr-Cyrl-CS"/>
              </w:rPr>
              <w:t>10</w:t>
            </w:r>
          </w:p>
        </w:tc>
        <w:tc>
          <w:tcPr>
            <w:tcW w:w="1350" w:type="dxa"/>
            <w:tcBorders>
              <w:top w:val="double" w:sz="4" w:space="0" w:color="auto"/>
              <w:bottom w:val="double" w:sz="4" w:space="0" w:color="auto"/>
            </w:tcBorders>
            <w:shd w:val="clear" w:color="auto" w:fill="FFFFFF" w:themeFill="background1"/>
          </w:tcPr>
          <w:p w14:paraId="00FC4E48" w14:textId="77777777" w:rsidR="00921DBE" w:rsidRPr="00E84C93" w:rsidRDefault="00921DBE" w:rsidP="00085A1A">
            <w:pPr>
              <w:shd w:val="clear" w:color="auto" w:fill="FFFFFF" w:themeFill="background1"/>
              <w:jc w:val="center"/>
              <w:rPr>
                <w:rFonts w:cs="Times New Roman"/>
                <w:sz w:val="20"/>
                <w:szCs w:val="20"/>
                <w:highlight w:val="yellow"/>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auto"/>
          </w:tcPr>
          <w:p w14:paraId="6A53D3C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auto"/>
          </w:tcPr>
          <w:p w14:paraId="2CF07F4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auto"/>
          </w:tcPr>
          <w:p w14:paraId="214F305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30</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75FD5A6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35</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13813BF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r>
    </w:tbl>
    <w:p w14:paraId="21704A93"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44B46AC2"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6BE9B20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7F5ED0F0"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73827BB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6FD06D3F"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FC076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00DE0E98"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58706FBD"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6C7B88A3"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35D36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FB9F0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10F1D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1A893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0EE11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1F5AA4C3"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61E28B8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из буџета/редовна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4B0F7743" w14:textId="77777777" w:rsidR="00921DBE" w:rsidRPr="00E84C93" w:rsidRDefault="00921DBE" w:rsidP="00085A1A">
            <w:pPr>
              <w:rPr>
                <w:rFonts w:cs="Times New Roman"/>
                <w:sz w:val="20"/>
                <w:szCs w:val="20"/>
                <w:lang w:val="sr-Cyrl-CS"/>
              </w:rPr>
            </w:pPr>
          </w:p>
        </w:tc>
        <w:tc>
          <w:tcPr>
            <w:tcW w:w="1526" w:type="dxa"/>
            <w:tcBorders>
              <w:left w:val="double" w:sz="4" w:space="0" w:color="auto"/>
              <w:bottom w:val="double" w:sz="4" w:space="0" w:color="auto"/>
              <w:right w:val="double" w:sz="4" w:space="0" w:color="auto"/>
            </w:tcBorders>
            <w:shd w:val="clear" w:color="auto" w:fill="FFFFFF" w:themeFill="background1"/>
          </w:tcPr>
          <w:p w14:paraId="2B5F13A4"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79814D4C"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707F4AD4"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5E668859"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1E899660" w14:textId="77777777" w:rsidR="00921DBE" w:rsidRPr="00E84C93" w:rsidRDefault="00921DBE" w:rsidP="00085A1A">
            <w:pPr>
              <w:rPr>
                <w:rFonts w:cs="Times New Roman"/>
                <w:sz w:val="20"/>
                <w:szCs w:val="20"/>
                <w:lang w:val="sr-Cyrl-CS"/>
              </w:rPr>
            </w:pPr>
          </w:p>
        </w:tc>
      </w:tr>
      <w:tr w:rsidR="00921DBE" w:rsidRPr="00E84C93" w14:paraId="523700A4"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736F960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1ADC0F99"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074F0DC5"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7ECFDFFB"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07D0A0D7"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69B706E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2.500*</w:t>
            </w: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2D91ECD2" w14:textId="77777777" w:rsidR="00921DBE" w:rsidRPr="00E84C93" w:rsidRDefault="00921DBE" w:rsidP="00085A1A">
            <w:pPr>
              <w:rPr>
                <w:rFonts w:cs="Times New Roman"/>
                <w:sz w:val="20"/>
                <w:szCs w:val="20"/>
                <w:lang w:val="sr-Cyrl-CS"/>
              </w:rPr>
            </w:pPr>
          </w:p>
        </w:tc>
      </w:tr>
    </w:tbl>
    <w:p w14:paraId="232070F1"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456B2478" w14:textId="77777777" w:rsidTr="00085A1A">
        <w:trPr>
          <w:trHeight w:val="146"/>
        </w:trPr>
        <w:tc>
          <w:tcPr>
            <w:tcW w:w="2725" w:type="dxa"/>
            <w:vMerge w:val="restart"/>
            <w:shd w:val="clear" w:color="auto" w:fill="FFF2CC" w:themeFill="accent4" w:themeFillTint="33"/>
          </w:tcPr>
          <w:p w14:paraId="2E998D7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53D4E5B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297EB03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7C3B3A6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073C1DA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284AEF0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5DC0CB70"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4849771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2BE09563" w14:textId="77777777" w:rsidTr="00085A1A">
        <w:trPr>
          <w:trHeight w:val="405"/>
        </w:trPr>
        <w:tc>
          <w:tcPr>
            <w:tcW w:w="2725" w:type="dxa"/>
            <w:vMerge/>
            <w:shd w:val="clear" w:color="auto" w:fill="FFF2CC" w:themeFill="accent4" w:themeFillTint="33"/>
          </w:tcPr>
          <w:p w14:paraId="3A62EB62"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7FECD5A1"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3BCC892F"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30B7A81E"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10B94AC9"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2F76CA3A"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7B38D84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4ECEFBE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75A1D4F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5C739C4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5A3E877C"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217D3D74" w14:textId="77777777" w:rsidTr="00085A1A">
        <w:trPr>
          <w:trHeight w:val="146"/>
        </w:trPr>
        <w:tc>
          <w:tcPr>
            <w:tcW w:w="2725" w:type="dxa"/>
          </w:tcPr>
          <w:p w14:paraId="61CFBBA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2.4.1.Доношење прописа о минималном садржају суве материје и укупном садржају органског угљеника за одлагање муља на депонију</w:t>
            </w:r>
          </w:p>
        </w:tc>
        <w:tc>
          <w:tcPr>
            <w:tcW w:w="1239" w:type="dxa"/>
          </w:tcPr>
          <w:p w14:paraId="795FA4F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6548EF72" w14:textId="77777777" w:rsidR="00921DBE" w:rsidRPr="00E84C93" w:rsidRDefault="00921DBE" w:rsidP="00085A1A">
            <w:pPr>
              <w:rPr>
                <w:rFonts w:cs="Times New Roman"/>
                <w:sz w:val="20"/>
                <w:szCs w:val="20"/>
                <w:lang w:val="sr-Cyrl-CS"/>
              </w:rPr>
            </w:pPr>
          </w:p>
        </w:tc>
        <w:tc>
          <w:tcPr>
            <w:tcW w:w="1260" w:type="dxa"/>
          </w:tcPr>
          <w:p w14:paraId="3A16E68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1B964AB2"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FBC41FD" w14:textId="77777777" w:rsidR="00921DBE" w:rsidRPr="00E84C93" w:rsidRDefault="00921DBE" w:rsidP="00085A1A">
            <w:pPr>
              <w:rPr>
                <w:rFonts w:cs="Times New Roman"/>
                <w:sz w:val="20"/>
                <w:szCs w:val="20"/>
                <w:lang w:val="sr-Cyrl-CS"/>
              </w:rPr>
            </w:pPr>
          </w:p>
        </w:tc>
        <w:tc>
          <w:tcPr>
            <w:tcW w:w="903" w:type="dxa"/>
          </w:tcPr>
          <w:p w14:paraId="243C7103" w14:textId="77777777" w:rsidR="00921DBE" w:rsidRPr="00E84C93" w:rsidRDefault="00921DBE" w:rsidP="00085A1A">
            <w:pPr>
              <w:rPr>
                <w:rFonts w:cs="Times New Roman"/>
                <w:sz w:val="20"/>
                <w:szCs w:val="20"/>
                <w:lang w:val="sr-Cyrl-CS"/>
              </w:rPr>
            </w:pPr>
          </w:p>
        </w:tc>
        <w:tc>
          <w:tcPr>
            <w:tcW w:w="904" w:type="dxa"/>
          </w:tcPr>
          <w:p w14:paraId="3DC83B5C" w14:textId="77777777" w:rsidR="00921DBE" w:rsidRPr="00E84C93" w:rsidRDefault="00921DBE" w:rsidP="00085A1A">
            <w:pPr>
              <w:rPr>
                <w:rFonts w:cs="Times New Roman"/>
                <w:sz w:val="20"/>
                <w:szCs w:val="20"/>
                <w:lang w:val="sr-Cyrl-CS"/>
              </w:rPr>
            </w:pPr>
          </w:p>
        </w:tc>
        <w:tc>
          <w:tcPr>
            <w:tcW w:w="903" w:type="dxa"/>
          </w:tcPr>
          <w:p w14:paraId="459A05E6" w14:textId="77777777" w:rsidR="00921DBE" w:rsidRPr="00E84C93" w:rsidRDefault="00921DBE" w:rsidP="00085A1A">
            <w:pPr>
              <w:rPr>
                <w:rFonts w:cs="Times New Roman"/>
                <w:sz w:val="20"/>
                <w:szCs w:val="20"/>
                <w:lang w:val="sr-Cyrl-CS"/>
              </w:rPr>
            </w:pPr>
          </w:p>
        </w:tc>
        <w:tc>
          <w:tcPr>
            <w:tcW w:w="904" w:type="dxa"/>
          </w:tcPr>
          <w:p w14:paraId="40E11B5A" w14:textId="77777777" w:rsidR="00921DBE" w:rsidRPr="00E84C93" w:rsidRDefault="00921DBE" w:rsidP="00085A1A">
            <w:pPr>
              <w:rPr>
                <w:rFonts w:cs="Times New Roman"/>
                <w:sz w:val="20"/>
                <w:szCs w:val="20"/>
                <w:lang w:val="sr-Cyrl-CS"/>
              </w:rPr>
            </w:pPr>
          </w:p>
        </w:tc>
        <w:tc>
          <w:tcPr>
            <w:tcW w:w="904" w:type="dxa"/>
          </w:tcPr>
          <w:p w14:paraId="16E31A86" w14:textId="77777777" w:rsidR="00921DBE" w:rsidRPr="00E84C93" w:rsidRDefault="00921DBE" w:rsidP="00085A1A">
            <w:pPr>
              <w:rPr>
                <w:rFonts w:cs="Times New Roman"/>
                <w:sz w:val="20"/>
                <w:szCs w:val="20"/>
                <w:lang w:val="sr-Cyrl-CS"/>
              </w:rPr>
            </w:pPr>
          </w:p>
        </w:tc>
      </w:tr>
      <w:tr w:rsidR="00921DBE" w:rsidRPr="00E84C93" w14:paraId="702F5D83" w14:textId="77777777" w:rsidTr="00085A1A">
        <w:trPr>
          <w:trHeight w:val="146"/>
        </w:trPr>
        <w:tc>
          <w:tcPr>
            <w:tcW w:w="2725" w:type="dxa"/>
          </w:tcPr>
          <w:p w14:paraId="5CAB5C8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2.4.2. Израда анализе којом се потврђује да није могуће </w:t>
            </w:r>
            <w:r w:rsidRPr="00E84C93">
              <w:rPr>
                <w:rFonts w:cs="Times New Roman"/>
                <w:sz w:val="20"/>
                <w:szCs w:val="20"/>
                <w:lang w:val="sr-Cyrl-CS" w:bidi="en-US"/>
              </w:rPr>
              <w:t>спровести друге опције управљања муљем, нпр. у случају неспремности монодепонија или неприменљивости других опција (спаљивање у цементарама, прекривање депонија)</w:t>
            </w:r>
          </w:p>
        </w:tc>
        <w:tc>
          <w:tcPr>
            <w:tcW w:w="1239" w:type="dxa"/>
          </w:tcPr>
          <w:p w14:paraId="3508F17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41" w:type="dxa"/>
          </w:tcPr>
          <w:p w14:paraId="3324674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60" w:type="dxa"/>
          </w:tcPr>
          <w:p w14:paraId="169BE59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75C3ABE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ЈКП</w:t>
            </w:r>
          </w:p>
        </w:tc>
        <w:tc>
          <w:tcPr>
            <w:tcW w:w="1350" w:type="dxa"/>
          </w:tcPr>
          <w:p w14:paraId="6EA73CF2" w14:textId="77777777" w:rsidR="00921DBE" w:rsidRPr="00E84C93" w:rsidRDefault="00921DBE" w:rsidP="00085A1A">
            <w:pPr>
              <w:rPr>
                <w:rFonts w:cs="Times New Roman"/>
                <w:sz w:val="20"/>
                <w:szCs w:val="20"/>
                <w:lang w:val="sr-Cyrl-CS"/>
              </w:rPr>
            </w:pPr>
          </w:p>
        </w:tc>
        <w:tc>
          <w:tcPr>
            <w:tcW w:w="903" w:type="dxa"/>
          </w:tcPr>
          <w:p w14:paraId="20DA0361" w14:textId="77777777" w:rsidR="00921DBE" w:rsidRPr="00E84C93" w:rsidRDefault="00921DBE" w:rsidP="00085A1A">
            <w:pPr>
              <w:rPr>
                <w:rFonts w:cs="Times New Roman"/>
                <w:sz w:val="20"/>
                <w:szCs w:val="20"/>
                <w:lang w:val="sr-Cyrl-CS"/>
              </w:rPr>
            </w:pPr>
          </w:p>
        </w:tc>
        <w:tc>
          <w:tcPr>
            <w:tcW w:w="904" w:type="dxa"/>
          </w:tcPr>
          <w:p w14:paraId="66C076A1" w14:textId="77777777" w:rsidR="00921DBE" w:rsidRPr="00E84C93" w:rsidRDefault="00921DBE" w:rsidP="00085A1A">
            <w:pPr>
              <w:rPr>
                <w:rFonts w:cs="Times New Roman"/>
                <w:sz w:val="20"/>
                <w:szCs w:val="20"/>
                <w:lang w:val="sr-Cyrl-CS"/>
              </w:rPr>
            </w:pPr>
          </w:p>
        </w:tc>
        <w:tc>
          <w:tcPr>
            <w:tcW w:w="903" w:type="dxa"/>
          </w:tcPr>
          <w:p w14:paraId="0093E8E4" w14:textId="77777777" w:rsidR="00921DBE" w:rsidRPr="00E84C93" w:rsidRDefault="00921DBE" w:rsidP="00085A1A">
            <w:pPr>
              <w:rPr>
                <w:rFonts w:cs="Times New Roman"/>
                <w:sz w:val="20"/>
                <w:szCs w:val="20"/>
                <w:lang w:val="sr-Cyrl-CS"/>
              </w:rPr>
            </w:pPr>
          </w:p>
        </w:tc>
        <w:tc>
          <w:tcPr>
            <w:tcW w:w="904" w:type="dxa"/>
            <w:shd w:val="clear" w:color="auto" w:fill="auto"/>
          </w:tcPr>
          <w:p w14:paraId="455A239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2.500*</w:t>
            </w:r>
          </w:p>
        </w:tc>
        <w:tc>
          <w:tcPr>
            <w:tcW w:w="904" w:type="dxa"/>
          </w:tcPr>
          <w:p w14:paraId="2E14D4AB" w14:textId="77777777" w:rsidR="00921DBE" w:rsidRPr="00E84C93" w:rsidRDefault="00921DBE" w:rsidP="00085A1A">
            <w:pPr>
              <w:rPr>
                <w:rFonts w:cs="Times New Roman"/>
                <w:sz w:val="20"/>
                <w:szCs w:val="20"/>
                <w:lang w:val="sr-Cyrl-CS"/>
              </w:rPr>
            </w:pPr>
          </w:p>
        </w:tc>
      </w:tr>
      <w:tr w:rsidR="00921DBE" w:rsidRPr="00E84C93" w14:paraId="11CB98C7" w14:textId="77777777" w:rsidTr="00085A1A">
        <w:trPr>
          <w:trHeight w:val="146"/>
        </w:trPr>
        <w:tc>
          <w:tcPr>
            <w:tcW w:w="2725" w:type="dxa"/>
          </w:tcPr>
          <w:p w14:paraId="64237009" w14:textId="77777777" w:rsidR="00921DBE" w:rsidRPr="00E84C93" w:rsidRDefault="00921DBE" w:rsidP="00085A1A">
            <w:pPr>
              <w:rPr>
                <w:rFonts w:cs="Times New Roman"/>
                <w:sz w:val="20"/>
                <w:szCs w:val="20"/>
                <w:lang w:val="sr-Cyrl-CS"/>
              </w:rPr>
            </w:pPr>
            <w:r w:rsidRPr="00E84C93">
              <w:rPr>
                <w:sz w:val="20"/>
                <w:szCs w:val="20"/>
                <w:lang w:val="sr-Cyrl-CS"/>
              </w:rPr>
              <w:lastRenderedPageBreak/>
              <w:t xml:space="preserve">2.4.3. Израда Смерница за поступање оператера </w:t>
            </w:r>
          </w:p>
        </w:tc>
        <w:tc>
          <w:tcPr>
            <w:tcW w:w="1239" w:type="dxa"/>
          </w:tcPr>
          <w:p w14:paraId="3E8DF67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6734197A" w14:textId="77777777" w:rsidR="00921DBE" w:rsidRPr="00E84C93" w:rsidRDefault="00921DBE" w:rsidP="00085A1A">
            <w:pPr>
              <w:rPr>
                <w:rFonts w:cs="Times New Roman"/>
                <w:sz w:val="20"/>
                <w:szCs w:val="20"/>
                <w:lang w:val="sr-Cyrl-CS"/>
              </w:rPr>
            </w:pPr>
          </w:p>
        </w:tc>
        <w:tc>
          <w:tcPr>
            <w:tcW w:w="1260" w:type="dxa"/>
          </w:tcPr>
          <w:p w14:paraId="54C241A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3B5D5F76"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082409C3" w14:textId="77777777" w:rsidR="00921DBE" w:rsidRPr="00E84C93" w:rsidRDefault="00921DBE" w:rsidP="00085A1A">
            <w:pPr>
              <w:rPr>
                <w:rFonts w:cs="Times New Roman"/>
                <w:sz w:val="20"/>
                <w:szCs w:val="20"/>
                <w:lang w:val="sr-Cyrl-CS"/>
              </w:rPr>
            </w:pPr>
          </w:p>
        </w:tc>
        <w:tc>
          <w:tcPr>
            <w:tcW w:w="903" w:type="dxa"/>
          </w:tcPr>
          <w:p w14:paraId="699733C9" w14:textId="77777777" w:rsidR="00921DBE" w:rsidRPr="00E84C93" w:rsidRDefault="00921DBE" w:rsidP="00085A1A">
            <w:pPr>
              <w:rPr>
                <w:rFonts w:cs="Times New Roman"/>
                <w:sz w:val="20"/>
                <w:szCs w:val="20"/>
                <w:lang w:val="sr-Cyrl-CS"/>
              </w:rPr>
            </w:pPr>
          </w:p>
        </w:tc>
        <w:tc>
          <w:tcPr>
            <w:tcW w:w="904" w:type="dxa"/>
          </w:tcPr>
          <w:p w14:paraId="68AA9DD4" w14:textId="77777777" w:rsidR="00921DBE" w:rsidRPr="00E84C93" w:rsidRDefault="00921DBE" w:rsidP="00085A1A">
            <w:pPr>
              <w:rPr>
                <w:rFonts w:cs="Times New Roman"/>
                <w:sz w:val="20"/>
                <w:szCs w:val="20"/>
                <w:lang w:val="sr-Cyrl-CS"/>
              </w:rPr>
            </w:pPr>
          </w:p>
        </w:tc>
        <w:tc>
          <w:tcPr>
            <w:tcW w:w="903" w:type="dxa"/>
          </w:tcPr>
          <w:p w14:paraId="7475B8DC" w14:textId="77777777" w:rsidR="00921DBE" w:rsidRPr="00E84C93" w:rsidRDefault="00921DBE" w:rsidP="00085A1A">
            <w:pPr>
              <w:rPr>
                <w:rFonts w:cs="Times New Roman"/>
                <w:sz w:val="20"/>
                <w:szCs w:val="20"/>
                <w:lang w:val="sr-Cyrl-CS"/>
              </w:rPr>
            </w:pPr>
          </w:p>
        </w:tc>
        <w:tc>
          <w:tcPr>
            <w:tcW w:w="904" w:type="dxa"/>
          </w:tcPr>
          <w:p w14:paraId="6341D0DF" w14:textId="77777777" w:rsidR="00921DBE" w:rsidRPr="00E84C93" w:rsidRDefault="00921DBE" w:rsidP="00085A1A">
            <w:pPr>
              <w:rPr>
                <w:rFonts w:cs="Times New Roman"/>
                <w:sz w:val="20"/>
                <w:szCs w:val="20"/>
                <w:lang w:val="sr-Cyrl-CS"/>
              </w:rPr>
            </w:pPr>
          </w:p>
        </w:tc>
        <w:tc>
          <w:tcPr>
            <w:tcW w:w="904" w:type="dxa"/>
          </w:tcPr>
          <w:p w14:paraId="6EF6EC13" w14:textId="77777777" w:rsidR="00921DBE" w:rsidRPr="00E84C93" w:rsidRDefault="00921DBE" w:rsidP="00085A1A">
            <w:pPr>
              <w:rPr>
                <w:rFonts w:cs="Times New Roman"/>
                <w:sz w:val="20"/>
                <w:szCs w:val="20"/>
                <w:lang w:val="sr-Cyrl-CS"/>
              </w:rPr>
            </w:pPr>
          </w:p>
        </w:tc>
      </w:tr>
    </w:tbl>
    <w:p w14:paraId="4AB0D825" w14:textId="77777777" w:rsidR="00921DBE" w:rsidRPr="00E84C93" w:rsidRDefault="00921DBE" w:rsidP="00921DBE">
      <w:pPr>
        <w:spacing w:after="0"/>
        <w:rPr>
          <w:rFonts w:cs="Times New Roman"/>
          <w:sz w:val="20"/>
          <w:szCs w:val="20"/>
          <w:lang w:val="sr-Cyrl-CS"/>
        </w:rPr>
      </w:pPr>
    </w:p>
    <w:p w14:paraId="7D60D2B6" w14:textId="77777777" w:rsidR="00921DBE" w:rsidRPr="00E84C93" w:rsidRDefault="00921DBE" w:rsidP="00921DBE">
      <w:pPr>
        <w:spacing w:after="0"/>
        <w:rPr>
          <w:rFonts w:cs="Times New Roman"/>
          <w:sz w:val="20"/>
          <w:szCs w:val="20"/>
          <w:lang w:val="sr-Cyrl-CS"/>
        </w:rPr>
      </w:pPr>
    </w:p>
    <w:p w14:paraId="06809711" w14:textId="77777777" w:rsidR="00921DBE" w:rsidRPr="00E84C93" w:rsidRDefault="00921DBE" w:rsidP="00921DBE">
      <w:pPr>
        <w:spacing w:after="0"/>
        <w:rPr>
          <w:rFonts w:cs="Times New Roman"/>
          <w:sz w:val="20"/>
          <w:szCs w:val="20"/>
          <w:lang w:val="sr-Cyrl-CS"/>
        </w:rPr>
      </w:pPr>
    </w:p>
    <w:tbl>
      <w:tblPr>
        <w:tblStyle w:val="TableGrid"/>
        <w:tblW w:w="13563"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158"/>
      </w:tblGrid>
      <w:tr w:rsidR="00921DBE" w:rsidRPr="00E84C93" w14:paraId="67448149"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tcPr>
          <w:p w14:paraId="0E301FE6"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Посебан циљ 3: </w:t>
            </w:r>
            <w:r w:rsidRPr="00E84C93">
              <w:rPr>
                <w:rFonts w:cs="Times New Roman"/>
                <w:b/>
                <w:bCs/>
                <w:iCs/>
                <w:sz w:val="20"/>
                <w:szCs w:val="20"/>
                <w:lang w:val="sr-Cyrl-CS"/>
              </w:rPr>
              <w:t xml:space="preserve">Успостављене основе система за дугорочно управљање муљем </w:t>
            </w:r>
            <w:r w:rsidRPr="00E84C93">
              <w:rPr>
                <w:b/>
                <w:bCs/>
                <w:iCs/>
                <w:sz w:val="20"/>
                <w:szCs w:val="20"/>
                <w:lang w:val="sr-Cyrl-CS"/>
              </w:rPr>
              <w:t>применом моноинсинерације са монодепонијама</w:t>
            </w:r>
          </w:p>
        </w:tc>
      </w:tr>
      <w:tr w:rsidR="00921DBE" w:rsidRPr="00E84C93" w14:paraId="6473270E"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vAlign w:val="center"/>
          </w:tcPr>
          <w:p w14:paraId="4A20B957"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координацију и извештавање: Министарство заштите животне средине</w:t>
            </w:r>
          </w:p>
        </w:tc>
      </w:tr>
      <w:tr w:rsidR="00921DBE" w:rsidRPr="00E84C93" w14:paraId="420E51B0" w14:textId="77777777" w:rsidTr="00085A1A">
        <w:trPr>
          <w:trHeight w:val="614"/>
        </w:trPr>
        <w:tc>
          <w:tcPr>
            <w:tcW w:w="3073" w:type="dxa"/>
            <w:tcBorders>
              <w:top w:val="double" w:sz="4" w:space="0" w:color="auto"/>
            </w:tcBorders>
            <w:shd w:val="clear" w:color="auto" w:fill="D9D9D9" w:themeFill="background1" w:themeFillShade="D9"/>
          </w:tcPr>
          <w:p w14:paraId="30AE25D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посебног циља </w:t>
            </w:r>
            <w:r w:rsidRPr="00E84C93">
              <w:rPr>
                <w:rFonts w:cs="Times New Roman"/>
                <w:i/>
                <w:sz w:val="20"/>
                <w:szCs w:val="20"/>
                <w:lang w:val="sr-Cyrl-CS"/>
              </w:rPr>
              <w:t>(показатељ исхода)</w:t>
            </w:r>
          </w:p>
        </w:tc>
        <w:tc>
          <w:tcPr>
            <w:tcW w:w="1413" w:type="dxa"/>
            <w:tcBorders>
              <w:top w:val="double" w:sz="4" w:space="0" w:color="auto"/>
            </w:tcBorders>
            <w:shd w:val="clear" w:color="auto" w:fill="D9D9D9" w:themeFill="background1" w:themeFillShade="D9"/>
          </w:tcPr>
          <w:p w14:paraId="23EF911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p w14:paraId="389CDD5E" w14:textId="77777777" w:rsidR="00921DBE" w:rsidRPr="00E84C93" w:rsidRDefault="00921DBE" w:rsidP="00085A1A">
            <w:pPr>
              <w:rPr>
                <w:rFonts w:cs="Times New Roman"/>
                <w:sz w:val="20"/>
                <w:szCs w:val="20"/>
                <w:lang w:val="sr-Cyrl-CS"/>
              </w:rPr>
            </w:pPr>
          </w:p>
        </w:tc>
        <w:tc>
          <w:tcPr>
            <w:tcW w:w="1079" w:type="dxa"/>
            <w:tcBorders>
              <w:top w:val="double" w:sz="4" w:space="0" w:color="auto"/>
            </w:tcBorders>
            <w:shd w:val="clear" w:color="auto" w:fill="D9D9D9" w:themeFill="background1" w:themeFillShade="D9"/>
          </w:tcPr>
          <w:p w14:paraId="74E52E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80" w:type="dxa"/>
            <w:tcBorders>
              <w:top w:val="double" w:sz="4" w:space="0" w:color="auto"/>
            </w:tcBorders>
            <w:shd w:val="clear" w:color="auto" w:fill="D9D9D9" w:themeFill="background1" w:themeFillShade="D9"/>
          </w:tcPr>
          <w:p w14:paraId="173E454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990" w:type="dxa"/>
            <w:tcBorders>
              <w:top w:val="double" w:sz="4" w:space="0" w:color="auto"/>
            </w:tcBorders>
            <w:shd w:val="clear" w:color="auto" w:fill="D9D9D9" w:themeFill="background1" w:themeFillShade="D9"/>
          </w:tcPr>
          <w:p w14:paraId="4AF5699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170" w:type="dxa"/>
            <w:tcBorders>
              <w:top w:val="double" w:sz="4" w:space="0" w:color="auto"/>
            </w:tcBorders>
            <w:shd w:val="clear" w:color="auto" w:fill="D9D9D9" w:themeFill="background1" w:themeFillShade="D9"/>
          </w:tcPr>
          <w:p w14:paraId="43DFF4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170" w:type="dxa"/>
            <w:tcBorders>
              <w:top w:val="double" w:sz="4" w:space="0" w:color="auto"/>
            </w:tcBorders>
            <w:shd w:val="clear" w:color="auto" w:fill="D9D9D9" w:themeFill="background1" w:themeFillShade="D9"/>
          </w:tcPr>
          <w:p w14:paraId="01B8C89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260" w:type="dxa"/>
            <w:tcBorders>
              <w:top w:val="double" w:sz="4" w:space="0" w:color="auto"/>
              <w:right w:val="single" w:sz="4" w:space="0" w:color="auto"/>
            </w:tcBorders>
            <w:shd w:val="clear" w:color="auto" w:fill="D9D9D9" w:themeFill="background1" w:themeFillShade="D9"/>
          </w:tcPr>
          <w:p w14:paraId="28F4054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347A2B2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158" w:type="dxa"/>
            <w:tcBorders>
              <w:top w:val="double" w:sz="4" w:space="0" w:color="auto"/>
              <w:left w:val="single" w:sz="4" w:space="0" w:color="auto"/>
              <w:right w:val="double" w:sz="4" w:space="0" w:color="auto"/>
            </w:tcBorders>
            <w:shd w:val="clear" w:color="auto" w:fill="D9D9D9" w:themeFill="background1" w:themeFillShade="D9"/>
          </w:tcPr>
          <w:p w14:paraId="4DD6BC9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0117B6E4" w14:textId="77777777" w:rsidTr="00085A1A">
        <w:trPr>
          <w:trHeight w:val="271"/>
        </w:trPr>
        <w:tc>
          <w:tcPr>
            <w:tcW w:w="3073" w:type="dxa"/>
            <w:tcBorders>
              <w:top w:val="double" w:sz="4" w:space="0" w:color="auto"/>
            </w:tcBorders>
            <w:shd w:val="clear" w:color="auto" w:fill="FFFFFF" w:themeFill="background1"/>
          </w:tcPr>
          <w:p w14:paraId="3A609C70" w14:textId="77777777" w:rsidR="00921DBE" w:rsidRPr="00E84C93" w:rsidRDefault="00921DBE" w:rsidP="00085A1A">
            <w:pPr>
              <w:shd w:val="clear" w:color="auto" w:fill="FFFFFF" w:themeFill="background1"/>
              <w:rPr>
                <w:rFonts w:cs="Times New Roman"/>
                <w:iCs/>
                <w:sz w:val="20"/>
                <w:szCs w:val="20"/>
                <w:lang w:val="sr-Cyrl-CS"/>
              </w:rPr>
            </w:pPr>
            <w:r w:rsidRPr="00E84C93">
              <w:rPr>
                <w:rFonts w:cs="Times New Roman"/>
                <w:noProof/>
                <w:sz w:val="20"/>
                <w:szCs w:val="20"/>
                <w:lang w:val="sr-Cyrl-CS"/>
              </w:rPr>
              <w:t>Удео спаљеног муља у моноинсинераторима у односу на укупно генерисан</w:t>
            </w:r>
          </w:p>
        </w:tc>
        <w:tc>
          <w:tcPr>
            <w:tcW w:w="1413" w:type="dxa"/>
            <w:tcBorders>
              <w:top w:val="double" w:sz="4" w:space="0" w:color="auto"/>
            </w:tcBorders>
            <w:shd w:val="clear" w:color="auto" w:fill="FFFFFF" w:themeFill="background1"/>
          </w:tcPr>
          <w:p w14:paraId="275E43D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w:t>
            </w:r>
          </w:p>
        </w:tc>
        <w:tc>
          <w:tcPr>
            <w:tcW w:w="1079" w:type="dxa"/>
            <w:tcBorders>
              <w:top w:val="double" w:sz="4" w:space="0" w:color="auto"/>
            </w:tcBorders>
            <w:shd w:val="clear" w:color="auto" w:fill="FFFFFF" w:themeFill="background1"/>
          </w:tcPr>
          <w:p w14:paraId="665C5535"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Годишњи Извештај о стању животне средине у Републици Србији (АЗЖС</w:t>
            </w:r>
            <w:r w:rsidRPr="00E84C93">
              <w:rPr>
                <w:sz w:val="20"/>
                <w:szCs w:val="20"/>
                <w:lang w:val="sr-Cyrl-CS"/>
              </w:rPr>
              <w:t>)</w:t>
            </w:r>
          </w:p>
        </w:tc>
        <w:tc>
          <w:tcPr>
            <w:tcW w:w="1080" w:type="dxa"/>
            <w:tcBorders>
              <w:top w:val="double" w:sz="4" w:space="0" w:color="auto"/>
            </w:tcBorders>
            <w:shd w:val="clear" w:color="auto" w:fill="FFFFFF" w:themeFill="background1"/>
          </w:tcPr>
          <w:p w14:paraId="7F3DB980"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990" w:type="dxa"/>
            <w:tcBorders>
              <w:top w:val="double" w:sz="4" w:space="0" w:color="auto"/>
            </w:tcBorders>
            <w:shd w:val="clear" w:color="auto" w:fill="FFFFFF" w:themeFill="background1"/>
          </w:tcPr>
          <w:p w14:paraId="7E026F3D"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2023.</w:t>
            </w:r>
          </w:p>
        </w:tc>
        <w:tc>
          <w:tcPr>
            <w:tcW w:w="1170" w:type="dxa"/>
            <w:tcBorders>
              <w:top w:val="double" w:sz="4" w:space="0" w:color="auto"/>
            </w:tcBorders>
            <w:shd w:val="clear" w:color="auto" w:fill="FFFFFF" w:themeFill="background1"/>
          </w:tcPr>
          <w:p w14:paraId="3E726E39"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1170" w:type="dxa"/>
            <w:tcBorders>
              <w:top w:val="double" w:sz="4" w:space="0" w:color="auto"/>
            </w:tcBorders>
            <w:shd w:val="clear" w:color="auto" w:fill="FFFFFF" w:themeFill="background1"/>
          </w:tcPr>
          <w:p w14:paraId="46FB4C4F"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1260" w:type="dxa"/>
            <w:tcBorders>
              <w:top w:val="double" w:sz="4" w:space="0" w:color="auto"/>
              <w:right w:val="single" w:sz="4" w:space="0" w:color="auto"/>
            </w:tcBorders>
            <w:shd w:val="clear" w:color="auto" w:fill="FFFFFF" w:themeFill="background1"/>
          </w:tcPr>
          <w:p w14:paraId="31AB571B"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1170" w:type="dxa"/>
            <w:tcBorders>
              <w:top w:val="double" w:sz="4" w:space="0" w:color="auto"/>
              <w:left w:val="single" w:sz="4" w:space="0" w:color="auto"/>
              <w:right w:val="single" w:sz="4" w:space="0" w:color="auto"/>
            </w:tcBorders>
            <w:shd w:val="clear" w:color="auto" w:fill="auto"/>
          </w:tcPr>
          <w:p w14:paraId="15396993"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0</w:t>
            </w:r>
          </w:p>
        </w:tc>
        <w:tc>
          <w:tcPr>
            <w:tcW w:w="1158" w:type="dxa"/>
            <w:tcBorders>
              <w:top w:val="double" w:sz="4" w:space="0" w:color="auto"/>
              <w:left w:val="single" w:sz="4" w:space="0" w:color="auto"/>
              <w:right w:val="double" w:sz="4" w:space="0" w:color="auto"/>
            </w:tcBorders>
            <w:shd w:val="clear" w:color="auto" w:fill="auto"/>
          </w:tcPr>
          <w:p w14:paraId="5693D9CF"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 xml:space="preserve">10 </w:t>
            </w:r>
          </w:p>
        </w:tc>
      </w:tr>
    </w:tbl>
    <w:p w14:paraId="05CFF065" w14:textId="77777777" w:rsidR="00921DBE" w:rsidRPr="00E84C93" w:rsidRDefault="00921DBE" w:rsidP="00921DBE">
      <w:pPr>
        <w:spacing w:after="0"/>
        <w:rPr>
          <w:rFonts w:cs="Times New Roman"/>
          <w:sz w:val="20"/>
          <w:szCs w:val="20"/>
          <w:lang w:val="sr-Cyrl-CS"/>
        </w:rPr>
      </w:pPr>
    </w:p>
    <w:p w14:paraId="15460293"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01F7570D"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DD8300"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3.1: </w:t>
            </w:r>
            <w:r w:rsidRPr="00E84C93">
              <w:rPr>
                <w:rFonts w:cs="Times New Roman"/>
                <w:bCs/>
                <w:sz w:val="20"/>
                <w:szCs w:val="20"/>
                <w:lang w:val="sr-Cyrl-CS" w:bidi="en-US"/>
              </w:rPr>
              <w:t>Формирање система регионалних центара за управљање муљем</w:t>
            </w:r>
          </w:p>
        </w:tc>
      </w:tr>
      <w:tr w:rsidR="00921DBE" w:rsidRPr="00E84C93" w14:paraId="28A4B3CB"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8D32E52"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063C987F"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1923F7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спровођења:2024-2027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9982D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услуга</w:t>
            </w:r>
          </w:p>
        </w:tc>
      </w:tr>
      <w:tr w:rsidR="00921DBE" w:rsidRPr="00E84C93" w14:paraId="6E3871B3"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B2EA5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D42FB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Закон о управљању отпадом</w:t>
            </w:r>
          </w:p>
        </w:tc>
      </w:tr>
      <w:tr w:rsidR="00921DBE" w:rsidRPr="00E84C93" w14:paraId="37833D50"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066ECC8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63A90B1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671C60F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46C04F6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5AB3D9D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40B8233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732C756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BA0207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190A7CC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4261A85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223BBBA7"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40D3F2A4"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 xml:space="preserve">Број израђених регионалних планова управљања муљем </w:t>
            </w:r>
          </w:p>
        </w:tc>
        <w:tc>
          <w:tcPr>
            <w:tcW w:w="1430" w:type="dxa"/>
            <w:tcBorders>
              <w:top w:val="double" w:sz="4" w:space="0" w:color="auto"/>
              <w:bottom w:val="double" w:sz="4" w:space="0" w:color="auto"/>
            </w:tcBorders>
            <w:shd w:val="clear" w:color="auto" w:fill="FFFFFF" w:themeFill="background1"/>
          </w:tcPr>
          <w:p w14:paraId="1E10497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337" w:type="dxa"/>
            <w:tcBorders>
              <w:top w:val="double" w:sz="4" w:space="0" w:color="auto"/>
              <w:bottom w:val="double" w:sz="4" w:space="0" w:color="auto"/>
            </w:tcBorders>
            <w:shd w:val="clear" w:color="auto" w:fill="FFFFFF" w:themeFill="background1"/>
          </w:tcPr>
          <w:p w14:paraId="71DFCD9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Извештај МЗЖС</w:t>
            </w:r>
          </w:p>
        </w:tc>
        <w:tc>
          <w:tcPr>
            <w:tcW w:w="1099" w:type="dxa"/>
            <w:gridSpan w:val="2"/>
            <w:tcBorders>
              <w:top w:val="double" w:sz="4" w:space="0" w:color="auto"/>
              <w:bottom w:val="double" w:sz="4" w:space="0" w:color="auto"/>
            </w:tcBorders>
            <w:shd w:val="clear" w:color="auto" w:fill="FFFFFF" w:themeFill="background1"/>
          </w:tcPr>
          <w:p w14:paraId="31DF3F3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FFFFFF" w:themeFill="background1"/>
          </w:tcPr>
          <w:p w14:paraId="5C89430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18DE1F4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1C63445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2742352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31FE91D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0E2E533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r>
      <w:tr w:rsidR="00921DBE" w:rsidRPr="00E84C93" w14:paraId="45FD7A2A"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689AB880" w14:textId="77777777" w:rsidR="00921DBE" w:rsidRPr="00E84C93" w:rsidRDefault="00921DBE" w:rsidP="00085A1A">
            <w:pPr>
              <w:shd w:val="clear" w:color="auto" w:fill="FFFFFF" w:themeFill="background1"/>
              <w:rPr>
                <w:rFonts w:cs="Times New Roman"/>
                <w:bCs/>
                <w:sz w:val="20"/>
                <w:szCs w:val="20"/>
                <w:lang w:val="sr-Cyrl-CS" w:bidi="en-US"/>
              </w:rPr>
            </w:pPr>
            <w:r w:rsidRPr="00E84C93">
              <w:rPr>
                <w:rFonts w:cs="Times New Roman"/>
                <w:sz w:val="20"/>
                <w:szCs w:val="20"/>
                <w:lang w:val="sr-Cyrl-CS"/>
              </w:rPr>
              <w:lastRenderedPageBreak/>
              <w:t>Број потписаних међуопштинских споразума за формирање региона за управљање муљем</w:t>
            </w:r>
          </w:p>
        </w:tc>
        <w:tc>
          <w:tcPr>
            <w:tcW w:w="1430" w:type="dxa"/>
            <w:tcBorders>
              <w:top w:val="double" w:sz="4" w:space="0" w:color="auto"/>
              <w:bottom w:val="double" w:sz="4" w:space="0" w:color="auto"/>
            </w:tcBorders>
            <w:shd w:val="clear" w:color="auto" w:fill="FFFFFF" w:themeFill="background1"/>
          </w:tcPr>
          <w:p w14:paraId="12A5079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337" w:type="dxa"/>
            <w:tcBorders>
              <w:top w:val="double" w:sz="4" w:space="0" w:color="auto"/>
              <w:bottom w:val="double" w:sz="4" w:space="0" w:color="auto"/>
            </w:tcBorders>
            <w:shd w:val="clear" w:color="auto" w:fill="FFFFFF" w:themeFill="background1"/>
          </w:tcPr>
          <w:p w14:paraId="60217782"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Извештај МЗЖС</w:t>
            </w:r>
          </w:p>
        </w:tc>
        <w:tc>
          <w:tcPr>
            <w:tcW w:w="1099" w:type="dxa"/>
            <w:gridSpan w:val="2"/>
            <w:tcBorders>
              <w:top w:val="double" w:sz="4" w:space="0" w:color="auto"/>
              <w:bottom w:val="double" w:sz="4" w:space="0" w:color="auto"/>
            </w:tcBorders>
            <w:shd w:val="clear" w:color="auto" w:fill="FFFFFF" w:themeFill="background1"/>
          </w:tcPr>
          <w:p w14:paraId="7EF2AAE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FFFFFF" w:themeFill="background1"/>
          </w:tcPr>
          <w:p w14:paraId="3E92BF8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1ECB4C1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78327C8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FFFFFF" w:themeFill="background1"/>
          </w:tcPr>
          <w:p w14:paraId="43DFF1A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0147615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2A6D811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r>
    </w:tbl>
    <w:p w14:paraId="28446E72"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5B370643"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644DCAA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17644E33"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7E18B2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148D45E4"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BEF7D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642A8BF5"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68F82EA6"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14228F3E"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DDF77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6A938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5AB587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6DE20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85696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13BD870E"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4F481E8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1CC809C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tc>
        <w:tc>
          <w:tcPr>
            <w:tcW w:w="1526" w:type="dxa"/>
            <w:tcBorders>
              <w:left w:val="double" w:sz="4" w:space="0" w:color="auto"/>
              <w:bottom w:val="double" w:sz="4" w:space="0" w:color="auto"/>
              <w:right w:val="double" w:sz="4" w:space="0" w:color="auto"/>
            </w:tcBorders>
            <w:shd w:val="clear" w:color="auto" w:fill="FFFFFF" w:themeFill="background1"/>
          </w:tcPr>
          <w:p w14:paraId="412C880A"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646BB28F"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12AE0A5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21.000*</w:t>
            </w: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39D079A3"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0DD7329E" w14:textId="77777777" w:rsidR="00921DBE" w:rsidRPr="00E84C93" w:rsidRDefault="00921DBE" w:rsidP="00085A1A">
            <w:pPr>
              <w:rPr>
                <w:rFonts w:cs="Times New Roman"/>
                <w:sz w:val="20"/>
                <w:szCs w:val="20"/>
                <w:lang w:val="sr-Cyrl-CS"/>
              </w:rPr>
            </w:pPr>
          </w:p>
        </w:tc>
      </w:tr>
      <w:tr w:rsidR="00921DBE" w:rsidRPr="00E84C93" w14:paraId="4110BD80"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68F2EBA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 АП</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4A46DE53"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1BCBF7A3"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AE7E7C0"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DB2B227"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3B695052"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523B1E93" w14:textId="77777777" w:rsidR="00921DBE" w:rsidRPr="00E84C93" w:rsidRDefault="00921DBE" w:rsidP="00085A1A">
            <w:pPr>
              <w:rPr>
                <w:rFonts w:cs="Times New Roman"/>
                <w:sz w:val="20"/>
                <w:szCs w:val="20"/>
                <w:lang w:val="sr-Cyrl-CS"/>
              </w:rPr>
            </w:pPr>
          </w:p>
        </w:tc>
      </w:tr>
      <w:tr w:rsidR="00921DBE" w:rsidRPr="00E84C93" w14:paraId="6915B0B2"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3A42B80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2C99FCC5"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2A82D574"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8438C58" w14:textId="77777777" w:rsidR="00921DBE" w:rsidRPr="00E84C93" w:rsidRDefault="00921DBE" w:rsidP="00085A1A">
            <w:pPr>
              <w:rPr>
                <w:rFonts w:cs="Times New Roman"/>
                <w:sz w:val="20"/>
                <w:szCs w:val="20"/>
                <w:highlight w:val="yellow"/>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26BF791" w14:textId="77777777" w:rsidR="00921DBE" w:rsidRPr="00E84C93" w:rsidRDefault="00921DBE" w:rsidP="00085A1A">
            <w:pPr>
              <w:rPr>
                <w:rFonts w:cs="Times New Roman"/>
                <w:sz w:val="20"/>
                <w:szCs w:val="20"/>
                <w:highlight w:val="yellow"/>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13054939"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4CD6D77D" w14:textId="77777777" w:rsidR="00921DBE" w:rsidRPr="00E84C93" w:rsidRDefault="00921DBE" w:rsidP="00085A1A">
            <w:pPr>
              <w:rPr>
                <w:rFonts w:cs="Times New Roman"/>
                <w:sz w:val="20"/>
                <w:szCs w:val="20"/>
                <w:lang w:val="sr-Cyrl-CS"/>
              </w:rPr>
            </w:pPr>
          </w:p>
        </w:tc>
      </w:tr>
    </w:tbl>
    <w:p w14:paraId="00289826" w14:textId="77777777" w:rsidR="00921DBE" w:rsidRPr="00E84C93" w:rsidRDefault="00921DBE" w:rsidP="00921DBE">
      <w:pPr>
        <w:spacing w:after="0"/>
        <w:rPr>
          <w:sz w:val="20"/>
          <w:szCs w:val="20"/>
          <w:lang w:val="sr-Cyrl-CS"/>
        </w:rPr>
      </w:pPr>
      <w:r w:rsidRPr="00E84C93">
        <w:rPr>
          <w:sz w:val="20"/>
          <w:szCs w:val="20"/>
          <w:lang w:val="sr-Cyrl-CS"/>
        </w:rPr>
        <w:t>**финансира се на нивоу мере</w:t>
      </w:r>
    </w:p>
    <w:p w14:paraId="3061AA78"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762125BD" w14:textId="77777777" w:rsidTr="00085A1A">
        <w:trPr>
          <w:trHeight w:val="146"/>
        </w:trPr>
        <w:tc>
          <w:tcPr>
            <w:tcW w:w="2725" w:type="dxa"/>
            <w:vMerge w:val="restart"/>
            <w:shd w:val="clear" w:color="auto" w:fill="FFF2CC" w:themeFill="accent4" w:themeFillTint="33"/>
          </w:tcPr>
          <w:p w14:paraId="2DD58E1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74B80D8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53EC98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36B12A6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45B5972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6273864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04F45CD2"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2D9988C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112AE81E" w14:textId="77777777" w:rsidTr="00085A1A">
        <w:trPr>
          <w:trHeight w:val="405"/>
        </w:trPr>
        <w:tc>
          <w:tcPr>
            <w:tcW w:w="2725" w:type="dxa"/>
            <w:vMerge/>
            <w:shd w:val="clear" w:color="auto" w:fill="FFF2CC" w:themeFill="accent4" w:themeFillTint="33"/>
          </w:tcPr>
          <w:p w14:paraId="70B1AFA1"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6BABA9F3"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33A3AFDC"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299E6A02" w14:textId="77777777" w:rsidR="00921DBE" w:rsidRPr="00E84C93" w:rsidRDefault="00921DBE" w:rsidP="00085A1A">
            <w:pPr>
              <w:rPr>
                <w:rFonts w:cs="Times New Roman"/>
                <w:sz w:val="20"/>
                <w:szCs w:val="20"/>
                <w:lang w:val="sr-Cyrl-CS"/>
              </w:rPr>
            </w:pPr>
          </w:p>
        </w:tc>
        <w:tc>
          <w:tcPr>
            <w:tcW w:w="1440" w:type="dxa"/>
            <w:vMerge/>
            <w:shd w:val="clear" w:color="auto" w:fill="FFF2CC" w:themeFill="accent4" w:themeFillTint="33"/>
          </w:tcPr>
          <w:p w14:paraId="3D559576"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17539554"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7C94799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6709EAB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027EBD1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5327B9F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361650E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3C28DE62" w14:textId="77777777" w:rsidTr="00085A1A">
        <w:trPr>
          <w:trHeight w:val="146"/>
        </w:trPr>
        <w:tc>
          <w:tcPr>
            <w:tcW w:w="2725" w:type="dxa"/>
          </w:tcPr>
          <w:p w14:paraId="361788D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3.1.1. Идентификовање центара за третман муља</w:t>
            </w:r>
          </w:p>
        </w:tc>
        <w:tc>
          <w:tcPr>
            <w:tcW w:w="1239" w:type="dxa"/>
          </w:tcPr>
          <w:p w14:paraId="3FE94D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7452572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w:t>
            </w:r>
          </w:p>
        </w:tc>
        <w:tc>
          <w:tcPr>
            <w:tcW w:w="1260" w:type="dxa"/>
          </w:tcPr>
          <w:p w14:paraId="15E6169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2024.</w:t>
            </w:r>
          </w:p>
        </w:tc>
        <w:tc>
          <w:tcPr>
            <w:tcW w:w="1440" w:type="dxa"/>
          </w:tcPr>
          <w:p w14:paraId="36FE355D"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515210B1" w14:textId="77777777" w:rsidR="00921DBE" w:rsidRPr="00E84C93" w:rsidRDefault="00921DBE" w:rsidP="00085A1A">
            <w:pPr>
              <w:rPr>
                <w:rFonts w:cs="Times New Roman"/>
                <w:sz w:val="20"/>
                <w:szCs w:val="20"/>
                <w:lang w:val="sr-Cyrl-CS"/>
              </w:rPr>
            </w:pPr>
          </w:p>
        </w:tc>
        <w:tc>
          <w:tcPr>
            <w:tcW w:w="903" w:type="dxa"/>
          </w:tcPr>
          <w:p w14:paraId="54574352" w14:textId="77777777" w:rsidR="00921DBE" w:rsidRPr="00E84C93" w:rsidRDefault="00921DBE" w:rsidP="00085A1A">
            <w:pPr>
              <w:rPr>
                <w:rFonts w:cs="Times New Roman"/>
                <w:sz w:val="20"/>
                <w:szCs w:val="20"/>
                <w:lang w:val="sr-Cyrl-CS"/>
              </w:rPr>
            </w:pPr>
          </w:p>
        </w:tc>
        <w:tc>
          <w:tcPr>
            <w:tcW w:w="904" w:type="dxa"/>
          </w:tcPr>
          <w:p w14:paraId="32BE85A5" w14:textId="77777777" w:rsidR="00921DBE" w:rsidRPr="00E84C93" w:rsidRDefault="00921DBE" w:rsidP="00085A1A">
            <w:pPr>
              <w:rPr>
                <w:rFonts w:cs="Times New Roman"/>
                <w:sz w:val="20"/>
                <w:szCs w:val="20"/>
                <w:lang w:val="sr-Cyrl-CS"/>
              </w:rPr>
            </w:pPr>
          </w:p>
        </w:tc>
        <w:tc>
          <w:tcPr>
            <w:tcW w:w="903" w:type="dxa"/>
          </w:tcPr>
          <w:p w14:paraId="5219D126" w14:textId="77777777" w:rsidR="00921DBE" w:rsidRPr="00E84C93" w:rsidRDefault="00921DBE" w:rsidP="00085A1A">
            <w:pPr>
              <w:rPr>
                <w:rFonts w:cs="Times New Roman"/>
                <w:sz w:val="20"/>
                <w:szCs w:val="20"/>
                <w:lang w:val="sr-Cyrl-CS"/>
              </w:rPr>
            </w:pPr>
          </w:p>
        </w:tc>
        <w:tc>
          <w:tcPr>
            <w:tcW w:w="904" w:type="dxa"/>
          </w:tcPr>
          <w:p w14:paraId="43798036" w14:textId="77777777" w:rsidR="00921DBE" w:rsidRPr="00E84C93" w:rsidRDefault="00921DBE" w:rsidP="00085A1A">
            <w:pPr>
              <w:rPr>
                <w:rFonts w:cs="Times New Roman"/>
                <w:sz w:val="20"/>
                <w:szCs w:val="20"/>
                <w:lang w:val="sr-Cyrl-CS"/>
              </w:rPr>
            </w:pPr>
          </w:p>
        </w:tc>
        <w:tc>
          <w:tcPr>
            <w:tcW w:w="904" w:type="dxa"/>
          </w:tcPr>
          <w:p w14:paraId="2738768E" w14:textId="77777777" w:rsidR="00921DBE" w:rsidRPr="00E84C93" w:rsidRDefault="00921DBE" w:rsidP="00085A1A">
            <w:pPr>
              <w:rPr>
                <w:rFonts w:cs="Times New Roman"/>
                <w:sz w:val="20"/>
                <w:szCs w:val="20"/>
                <w:lang w:val="sr-Cyrl-CS"/>
              </w:rPr>
            </w:pPr>
          </w:p>
        </w:tc>
      </w:tr>
      <w:tr w:rsidR="00921DBE" w:rsidRPr="00E84C93" w14:paraId="0C1925E0" w14:textId="77777777" w:rsidTr="00085A1A">
        <w:trPr>
          <w:trHeight w:val="146"/>
        </w:trPr>
        <w:tc>
          <w:tcPr>
            <w:tcW w:w="2725" w:type="dxa"/>
          </w:tcPr>
          <w:p w14:paraId="06E8234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3.1.2. Идентификовање локација монодепонија, намењених једној врсти отпада (додељене Центрима за третман муља) ради одлагања сувог муља на нивоу округа</w:t>
            </w:r>
          </w:p>
        </w:tc>
        <w:tc>
          <w:tcPr>
            <w:tcW w:w="1239" w:type="dxa"/>
          </w:tcPr>
          <w:p w14:paraId="129F28A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7EE8374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w:t>
            </w:r>
          </w:p>
        </w:tc>
        <w:tc>
          <w:tcPr>
            <w:tcW w:w="1260" w:type="dxa"/>
          </w:tcPr>
          <w:p w14:paraId="2D9EAF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2024.</w:t>
            </w:r>
          </w:p>
        </w:tc>
        <w:tc>
          <w:tcPr>
            <w:tcW w:w="1440" w:type="dxa"/>
          </w:tcPr>
          <w:p w14:paraId="3BD13753"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4444584" w14:textId="77777777" w:rsidR="00921DBE" w:rsidRPr="00E84C93" w:rsidRDefault="00921DBE" w:rsidP="00085A1A">
            <w:pPr>
              <w:rPr>
                <w:rFonts w:cs="Times New Roman"/>
                <w:sz w:val="20"/>
                <w:szCs w:val="20"/>
                <w:lang w:val="sr-Cyrl-CS"/>
              </w:rPr>
            </w:pPr>
          </w:p>
        </w:tc>
        <w:tc>
          <w:tcPr>
            <w:tcW w:w="903" w:type="dxa"/>
          </w:tcPr>
          <w:p w14:paraId="2A2BB50B" w14:textId="77777777" w:rsidR="00921DBE" w:rsidRPr="00E84C93" w:rsidRDefault="00921DBE" w:rsidP="00085A1A">
            <w:pPr>
              <w:rPr>
                <w:rFonts w:cs="Times New Roman"/>
                <w:sz w:val="20"/>
                <w:szCs w:val="20"/>
                <w:lang w:val="sr-Cyrl-CS"/>
              </w:rPr>
            </w:pPr>
          </w:p>
        </w:tc>
        <w:tc>
          <w:tcPr>
            <w:tcW w:w="904" w:type="dxa"/>
          </w:tcPr>
          <w:p w14:paraId="69CD2389" w14:textId="77777777" w:rsidR="00921DBE" w:rsidRPr="00E84C93" w:rsidRDefault="00921DBE" w:rsidP="00085A1A">
            <w:pPr>
              <w:rPr>
                <w:rFonts w:cs="Times New Roman"/>
                <w:sz w:val="20"/>
                <w:szCs w:val="20"/>
                <w:lang w:val="sr-Cyrl-CS"/>
              </w:rPr>
            </w:pPr>
          </w:p>
        </w:tc>
        <w:tc>
          <w:tcPr>
            <w:tcW w:w="903" w:type="dxa"/>
          </w:tcPr>
          <w:p w14:paraId="7DD935FA" w14:textId="77777777" w:rsidR="00921DBE" w:rsidRPr="00E84C93" w:rsidRDefault="00921DBE" w:rsidP="00085A1A">
            <w:pPr>
              <w:rPr>
                <w:rFonts w:cs="Times New Roman"/>
                <w:sz w:val="20"/>
                <w:szCs w:val="20"/>
                <w:lang w:val="sr-Cyrl-CS"/>
              </w:rPr>
            </w:pPr>
          </w:p>
        </w:tc>
        <w:tc>
          <w:tcPr>
            <w:tcW w:w="904" w:type="dxa"/>
          </w:tcPr>
          <w:p w14:paraId="10F8B7A7" w14:textId="77777777" w:rsidR="00921DBE" w:rsidRPr="00E84C93" w:rsidRDefault="00921DBE" w:rsidP="00085A1A">
            <w:pPr>
              <w:rPr>
                <w:rFonts w:cs="Times New Roman"/>
                <w:sz w:val="20"/>
                <w:szCs w:val="20"/>
                <w:lang w:val="sr-Cyrl-CS"/>
              </w:rPr>
            </w:pPr>
          </w:p>
        </w:tc>
        <w:tc>
          <w:tcPr>
            <w:tcW w:w="904" w:type="dxa"/>
          </w:tcPr>
          <w:p w14:paraId="30AA30A6" w14:textId="77777777" w:rsidR="00921DBE" w:rsidRPr="00E84C93" w:rsidRDefault="00921DBE" w:rsidP="00085A1A">
            <w:pPr>
              <w:rPr>
                <w:rFonts w:cs="Times New Roman"/>
                <w:sz w:val="20"/>
                <w:szCs w:val="20"/>
                <w:lang w:val="sr-Cyrl-CS"/>
              </w:rPr>
            </w:pPr>
          </w:p>
        </w:tc>
      </w:tr>
      <w:tr w:rsidR="00921DBE" w:rsidRPr="00E84C93" w14:paraId="2E157517" w14:textId="77777777" w:rsidTr="00085A1A">
        <w:trPr>
          <w:trHeight w:val="146"/>
        </w:trPr>
        <w:tc>
          <w:tcPr>
            <w:tcW w:w="2725" w:type="dxa"/>
          </w:tcPr>
          <w:p w14:paraId="3BCEC67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3.1.3.Идентификовање транспортних коридора за одводњени и суви муљ на међуокружном/међуопштинском и регионалном нивоу</w:t>
            </w:r>
          </w:p>
        </w:tc>
        <w:tc>
          <w:tcPr>
            <w:tcW w:w="1239" w:type="dxa"/>
          </w:tcPr>
          <w:p w14:paraId="06A161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78191AC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w:t>
            </w:r>
          </w:p>
        </w:tc>
        <w:tc>
          <w:tcPr>
            <w:tcW w:w="1260" w:type="dxa"/>
          </w:tcPr>
          <w:p w14:paraId="7624A5D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2023.</w:t>
            </w:r>
          </w:p>
        </w:tc>
        <w:tc>
          <w:tcPr>
            <w:tcW w:w="1440" w:type="dxa"/>
          </w:tcPr>
          <w:p w14:paraId="76FC3FBD"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46262CDF" w14:textId="77777777" w:rsidR="00921DBE" w:rsidRPr="00E84C93" w:rsidRDefault="00921DBE" w:rsidP="00085A1A">
            <w:pPr>
              <w:rPr>
                <w:rFonts w:cs="Times New Roman"/>
                <w:sz w:val="20"/>
                <w:szCs w:val="20"/>
                <w:lang w:val="sr-Cyrl-CS"/>
              </w:rPr>
            </w:pPr>
          </w:p>
        </w:tc>
        <w:tc>
          <w:tcPr>
            <w:tcW w:w="903" w:type="dxa"/>
          </w:tcPr>
          <w:p w14:paraId="4194408D" w14:textId="77777777" w:rsidR="00921DBE" w:rsidRPr="00E84C93" w:rsidRDefault="00921DBE" w:rsidP="00085A1A">
            <w:pPr>
              <w:rPr>
                <w:rFonts w:cs="Times New Roman"/>
                <w:sz w:val="20"/>
                <w:szCs w:val="20"/>
                <w:lang w:val="sr-Cyrl-CS"/>
              </w:rPr>
            </w:pPr>
          </w:p>
        </w:tc>
        <w:tc>
          <w:tcPr>
            <w:tcW w:w="904" w:type="dxa"/>
          </w:tcPr>
          <w:p w14:paraId="6F7D3D62" w14:textId="77777777" w:rsidR="00921DBE" w:rsidRPr="00E84C93" w:rsidRDefault="00921DBE" w:rsidP="00085A1A">
            <w:pPr>
              <w:rPr>
                <w:rFonts w:cs="Times New Roman"/>
                <w:sz w:val="20"/>
                <w:szCs w:val="20"/>
                <w:lang w:val="sr-Cyrl-CS"/>
              </w:rPr>
            </w:pPr>
          </w:p>
        </w:tc>
        <w:tc>
          <w:tcPr>
            <w:tcW w:w="903" w:type="dxa"/>
          </w:tcPr>
          <w:p w14:paraId="32A8C27A" w14:textId="77777777" w:rsidR="00921DBE" w:rsidRPr="00E84C93" w:rsidRDefault="00921DBE" w:rsidP="00085A1A">
            <w:pPr>
              <w:rPr>
                <w:rFonts w:cs="Times New Roman"/>
                <w:sz w:val="20"/>
                <w:szCs w:val="20"/>
                <w:lang w:val="sr-Cyrl-CS"/>
              </w:rPr>
            </w:pPr>
          </w:p>
        </w:tc>
        <w:tc>
          <w:tcPr>
            <w:tcW w:w="904" w:type="dxa"/>
          </w:tcPr>
          <w:p w14:paraId="0F398F20" w14:textId="77777777" w:rsidR="00921DBE" w:rsidRPr="00E84C93" w:rsidRDefault="00921DBE" w:rsidP="00085A1A">
            <w:pPr>
              <w:rPr>
                <w:rFonts w:cs="Times New Roman"/>
                <w:sz w:val="20"/>
                <w:szCs w:val="20"/>
                <w:lang w:val="sr-Cyrl-CS"/>
              </w:rPr>
            </w:pPr>
          </w:p>
        </w:tc>
        <w:tc>
          <w:tcPr>
            <w:tcW w:w="904" w:type="dxa"/>
          </w:tcPr>
          <w:p w14:paraId="2E347912" w14:textId="77777777" w:rsidR="00921DBE" w:rsidRPr="00E84C93" w:rsidRDefault="00921DBE" w:rsidP="00085A1A">
            <w:pPr>
              <w:rPr>
                <w:rFonts w:cs="Times New Roman"/>
                <w:sz w:val="20"/>
                <w:szCs w:val="20"/>
                <w:lang w:val="sr-Cyrl-CS"/>
              </w:rPr>
            </w:pPr>
          </w:p>
        </w:tc>
      </w:tr>
      <w:tr w:rsidR="00921DBE" w:rsidRPr="00E84C93" w14:paraId="5035812D" w14:textId="77777777" w:rsidTr="00085A1A">
        <w:trPr>
          <w:trHeight w:val="146"/>
        </w:trPr>
        <w:tc>
          <w:tcPr>
            <w:tcW w:w="2725" w:type="dxa"/>
          </w:tcPr>
          <w:p w14:paraId="0839CD20" w14:textId="77777777" w:rsidR="00921DBE" w:rsidRPr="00E84C93" w:rsidRDefault="00921DBE" w:rsidP="00085A1A">
            <w:pPr>
              <w:rPr>
                <w:rFonts w:cs="Times New Roman"/>
                <w:sz w:val="20"/>
                <w:szCs w:val="20"/>
                <w:lang w:val="sr-Cyrl-CS"/>
              </w:rPr>
            </w:pPr>
            <w:bookmarkStart w:id="129" w:name="_Hlk145316225"/>
            <w:bookmarkStart w:id="130" w:name="_Hlk145316330"/>
            <w:r w:rsidRPr="00E84C93">
              <w:rPr>
                <w:rFonts w:cs="Times New Roman"/>
                <w:sz w:val="20"/>
                <w:szCs w:val="20"/>
                <w:lang w:val="sr-Cyrl-CS"/>
              </w:rPr>
              <w:lastRenderedPageBreak/>
              <w:t>3.1.4.Идентификовање/потврђивање Регионалних центара за управљање муљем ради груписања Центара за третман муља</w:t>
            </w:r>
            <w:bookmarkEnd w:id="129"/>
          </w:p>
        </w:tc>
        <w:tc>
          <w:tcPr>
            <w:tcW w:w="1239" w:type="dxa"/>
          </w:tcPr>
          <w:p w14:paraId="2C7EE8F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1BBC293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w:t>
            </w:r>
          </w:p>
        </w:tc>
        <w:tc>
          <w:tcPr>
            <w:tcW w:w="1260" w:type="dxa"/>
          </w:tcPr>
          <w:p w14:paraId="1C86FD6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2025.</w:t>
            </w:r>
          </w:p>
        </w:tc>
        <w:tc>
          <w:tcPr>
            <w:tcW w:w="1440" w:type="dxa"/>
          </w:tcPr>
          <w:p w14:paraId="01B31B27"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4F256163" w14:textId="77777777" w:rsidR="00921DBE" w:rsidRPr="00E84C93" w:rsidRDefault="00921DBE" w:rsidP="00085A1A">
            <w:pPr>
              <w:rPr>
                <w:rFonts w:cs="Times New Roman"/>
                <w:sz w:val="20"/>
                <w:szCs w:val="20"/>
                <w:lang w:val="sr-Cyrl-CS"/>
              </w:rPr>
            </w:pPr>
            <w:bookmarkStart w:id="131" w:name="_Hlk145316283"/>
            <w:r w:rsidRPr="00E84C93">
              <w:rPr>
                <w:rFonts w:cs="Times New Roman"/>
                <w:sz w:val="20"/>
                <w:szCs w:val="20"/>
                <w:lang w:val="sr-Cyrl-CS"/>
              </w:rPr>
              <w:t>0406-0005</w:t>
            </w:r>
            <w:bookmarkEnd w:id="131"/>
          </w:p>
          <w:p w14:paraId="6815F1F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2CF0DA97" w14:textId="77777777" w:rsidR="00921DBE" w:rsidRPr="00E84C93" w:rsidRDefault="00921DBE" w:rsidP="00085A1A">
            <w:pPr>
              <w:rPr>
                <w:rFonts w:cs="Times New Roman"/>
                <w:sz w:val="20"/>
                <w:szCs w:val="20"/>
                <w:lang w:val="sr-Cyrl-CS"/>
              </w:rPr>
            </w:pPr>
          </w:p>
        </w:tc>
        <w:tc>
          <w:tcPr>
            <w:tcW w:w="904" w:type="dxa"/>
          </w:tcPr>
          <w:p w14:paraId="2EFE935F" w14:textId="77777777" w:rsidR="00921DBE" w:rsidRPr="00E84C93" w:rsidRDefault="00921DBE" w:rsidP="00085A1A">
            <w:pPr>
              <w:rPr>
                <w:rFonts w:cs="Times New Roman"/>
                <w:sz w:val="20"/>
                <w:szCs w:val="20"/>
                <w:lang w:val="sr-Cyrl-CS"/>
              </w:rPr>
            </w:pPr>
          </w:p>
        </w:tc>
        <w:tc>
          <w:tcPr>
            <w:tcW w:w="903" w:type="dxa"/>
          </w:tcPr>
          <w:p w14:paraId="7768660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p w14:paraId="7B1FBF96" w14:textId="77777777" w:rsidR="00921DBE" w:rsidRPr="00E84C93" w:rsidRDefault="00921DBE" w:rsidP="00085A1A">
            <w:pPr>
              <w:rPr>
                <w:rFonts w:cs="Times New Roman"/>
                <w:sz w:val="20"/>
                <w:szCs w:val="20"/>
                <w:lang w:val="sr-Cyrl-CS"/>
              </w:rPr>
            </w:pPr>
          </w:p>
        </w:tc>
        <w:tc>
          <w:tcPr>
            <w:tcW w:w="904" w:type="dxa"/>
          </w:tcPr>
          <w:p w14:paraId="0C05C69F" w14:textId="77777777" w:rsidR="00921DBE" w:rsidRPr="00E84C93" w:rsidRDefault="00921DBE" w:rsidP="00085A1A">
            <w:pPr>
              <w:rPr>
                <w:rFonts w:cs="Times New Roman"/>
                <w:sz w:val="20"/>
                <w:szCs w:val="20"/>
                <w:lang w:val="sr-Cyrl-CS"/>
              </w:rPr>
            </w:pPr>
          </w:p>
        </w:tc>
        <w:tc>
          <w:tcPr>
            <w:tcW w:w="904" w:type="dxa"/>
          </w:tcPr>
          <w:p w14:paraId="54A16F3E" w14:textId="77777777" w:rsidR="00921DBE" w:rsidRPr="00E84C93" w:rsidRDefault="00921DBE" w:rsidP="00085A1A">
            <w:pPr>
              <w:rPr>
                <w:rFonts w:cs="Times New Roman"/>
                <w:sz w:val="20"/>
                <w:szCs w:val="20"/>
                <w:lang w:val="sr-Cyrl-CS"/>
              </w:rPr>
            </w:pPr>
          </w:p>
        </w:tc>
      </w:tr>
      <w:tr w:rsidR="00921DBE" w:rsidRPr="00E84C93" w14:paraId="5ED568EB" w14:textId="77777777" w:rsidTr="00085A1A">
        <w:trPr>
          <w:trHeight w:val="146"/>
        </w:trPr>
        <w:tc>
          <w:tcPr>
            <w:tcW w:w="2725" w:type="dxa"/>
          </w:tcPr>
          <w:p w14:paraId="2FA98B84" w14:textId="77777777" w:rsidR="00921DBE" w:rsidRPr="00E84C93" w:rsidRDefault="00921DBE" w:rsidP="00085A1A">
            <w:pPr>
              <w:rPr>
                <w:rFonts w:cs="Times New Roman"/>
                <w:sz w:val="20"/>
                <w:szCs w:val="20"/>
                <w:lang w:val="sr-Cyrl-CS"/>
              </w:rPr>
            </w:pPr>
            <w:bookmarkStart w:id="132" w:name="_Hlk145316783"/>
            <w:bookmarkEnd w:id="130"/>
            <w:r w:rsidRPr="00E84C93">
              <w:rPr>
                <w:rFonts w:cs="Times New Roman"/>
                <w:sz w:val="20"/>
                <w:szCs w:val="20"/>
                <w:lang w:val="sr-Cyrl-CS"/>
              </w:rPr>
              <w:t>3.1.5.Дефинисање/потврђивање укупног третмана муља и капацитета спаљивања за Центре управљања муљем</w:t>
            </w:r>
            <w:bookmarkEnd w:id="132"/>
          </w:p>
        </w:tc>
        <w:tc>
          <w:tcPr>
            <w:tcW w:w="1239" w:type="dxa"/>
          </w:tcPr>
          <w:p w14:paraId="165A1D9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1A2D42F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 ЈЛС</w:t>
            </w:r>
          </w:p>
        </w:tc>
        <w:tc>
          <w:tcPr>
            <w:tcW w:w="1260" w:type="dxa"/>
          </w:tcPr>
          <w:p w14:paraId="556F61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2025</w:t>
            </w:r>
          </w:p>
        </w:tc>
        <w:tc>
          <w:tcPr>
            <w:tcW w:w="1440" w:type="dxa"/>
          </w:tcPr>
          <w:p w14:paraId="2D0DFED9"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0CF6949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6AAE27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363FE56E" w14:textId="77777777" w:rsidR="00921DBE" w:rsidRPr="00E84C93" w:rsidRDefault="00921DBE" w:rsidP="00085A1A">
            <w:pPr>
              <w:rPr>
                <w:rFonts w:cs="Times New Roman"/>
                <w:sz w:val="20"/>
                <w:szCs w:val="20"/>
                <w:lang w:val="sr-Cyrl-CS"/>
              </w:rPr>
            </w:pPr>
          </w:p>
        </w:tc>
        <w:tc>
          <w:tcPr>
            <w:tcW w:w="904" w:type="dxa"/>
          </w:tcPr>
          <w:p w14:paraId="4C51775D" w14:textId="77777777" w:rsidR="00921DBE" w:rsidRPr="00E84C93" w:rsidRDefault="00921DBE" w:rsidP="00085A1A">
            <w:pPr>
              <w:rPr>
                <w:rFonts w:cs="Times New Roman"/>
                <w:sz w:val="20"/>
                <w:szCs w:val="20"/>
                <w:highlight w:val="yellow"/>
                <w:lang w:val="sr-Cyrl-CS"/>
              </w:rPr>
            </w:pPr>
          </w:p>
        </w:tc>
        <w:tc>
          <w:tcPr>
            <w:tcW w:w="903" w:type="dxa"/>
          </w:tcPr>
          <w:p w14:paraId="6C5D12C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c>
          <w:tcPr>
            <w:tcW w:w="904" w:type="dxa"/>
          </w:tcPr>
          <w:p w14:paraId="49A6875B" w14:textId="77777777" w:rsidR="00921DBE" w:rsidRPr="00E84C93" w:rsidRDefault="00921DBE" w:rsidP="00085A1A">
            <w:pPr>
              <w:rPr>
                <w:rFonts w:cs="Times New Roman"/>
                <w:sz w:val="20"/>
                <w:szCs w:val="20"/>
                <w:lang w:val="sr-Cyrl-CS"/>
              </w:rPr>
            </w:pPr>
          </w:p>
        </w:tc>
        <w:tc>
          <w:tcPr>
            <w:tcW w:w="904" w:type="dxa"/>
          </w:tcPr>
          <w:p w14:paraId="14A37BE9" w14:textId="77777777" w:rsidR="00921DBE" w:rsidRPr="00E84C93" w:rsidRDefault="00921DBE" w:rsidP="00085A1A">
            <w:pPr>
              <w:rPr>
                <w:rFonts w:cs="Times New Roman"/>
                <w:sz w:val="20"/>
                <w:szCs w:val="20"/>
                <w:lang w:val="sr-Cyrl-CS"/>
              </w:rPr>
            </w:pPr>
          </w:p>
        </w:tc>
      </w:tr>
      <w:tr w:rsidR="00921DBE" w:rsidRPr="00E84C93" w14:paraId="3E2EFD9F" w14:textId="77777777" w:rsidTr="00085A1A">
        <w:trPr>
          <w:trHeight w:val="146"/>
        </w:trPr>
        <w:tc>
          <w:tcPr>
            <w:tcW w:w="2725" w:type="dxa"/>
          </w:tcPr>
          <w:p w14:paraId="3C26DFF4" w14:textId="77777777" w:rsidR="00921DBE" w:rsidRPr="00E84C93" w:rsidRDefault="00921DBE" w:rsidP="00085A1A">
            <w:pPr>
              <w:rPr>
                <w:rFonts w:cs="Times New Roman"/>
                <w:sz w:val="20"/>
                <w:szCs w:val="20"/>
                <w:lang w:val="sr-Cyrl-CS"/>
              </w:rPr>
            </w:pPr>
            <w:bookmarkStart w:id="133" w:name="_Hlk145316804"/>
            <w:r w:rsidRPr="00E84C93">
              <w:rPr>
                <w:rFonts w:cs="Times New Roman"/>
                <w:sz w:val="20"/>
                <w:szCs w:val="20"/>
                <w:lang w:val="sr-Cyrl-CS"/>
              </w:rPr>
              <w:t>3.1.6.Идентификовање/потврђивање локација депонија намењених једној врсти отпада за коначно одлагање муља и пепела из Регионалних центара за управљање муљем</w:t>
            </w:r>
            <w:bookmarkEnd w:id="133"/>
          </w:p>
        </w:tc>
        <w:tc>
          <w:tcPr>
            <w:tcW w:w="1239" w:type="dxa"/>
          </w:tcPr>
          <w:p w14:paraId="3A6A72A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20BD306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14F7DBE8" w14:textId="77777777" w:rsidR="00921DBE" w:rsidRPr="00E84C93" w:rsidRDefault="00921DBE" w:rsidP="00085A1A">
            <w:pPr>
              <w:rPr>
                <w:rFonts w:cs="Times New Roman"/>
                <w:strike/>
                <w:sz w:val="20"/>
                <w:szCs w:val="20"/>
                <w:lang w:val="sr-Cyrl-CS"/>
              </w:rPr>
            </w:pPr>
            <w:r w:rsidRPr="00E84C93">
              <w:rPr>
                <w:rFonts w:cs="Times New Roman"/>
                <w:strike/>
                <w:sz w:val="20"/>
                <w:szCs w:val="20"/>
                <w:lang w:val="sr-Cyrl-CS"/>
              </w:rPr>
              <w:t>4</w:t>
            </w:r>
            <w:r w:rsidRPr="00E84C93">
              <w:rPr>
                <w:rFonts w:cs="Times New Roman"/>
                <w:sz w:val="20"/>
                <w:szCs w:val="20"/>
                <w:lang w:val="sr-Cyrl-CS"/>
              </w:rPr>
              <w:t>. квартал 2025.</w:t>
            </w:r>
          </w:p>
        </w:tc>
        <w:tc>
          <w:tcPr>
            <w:tcW w:w="1440" w:type="dxa"/>
          </w:tcPr>
          <w:p w14:paraId="03BC14FF"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617E399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4273AC6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6AAA73EA" w14:textId="77777777" w:rsidR="00921DBE" w:rsidRPr="00E84C93" w:rsidRDefault="00921DBE" w:rsidP="00085A1A">
            <w:pPr>
              <w:rPr>
                <w:rFonts w:cs="Times New Roman"/>
                <w:sz w:val="20"/>
                <w:szCs w:val="20"/>
                <w:lang w:val="sr-Cyrl-CS"/>
              </w:rPr>
            </w:pPr>
          </w:p>
        </w:tc>
        <w:tc>
          <w:tcPr>
            <w:tcW w:w="904" w:type="dxa"/>
          </w:tcPr>
          <w:p w14:paraId="282DB931" w14:textId="77777777" w:rsidR="00921DBE" w:rsidRPr="00E84C93" w:rsidRDefault="00921DBE" w:rsidP="00085A1A">
            <w:pPr>
              <w:rPr>
                <w:rFonts w:cs="Times New Roman"/>
                <w:strike/>
                <w:sz w:val="20"/>
                <w:szCs w:val="20"/>
                <w:lang w:val="sr-Cyrl-CS"/>
              </w:rPr>
            </w:pPr>
          </w:p>
        </w:tc>
        <w:tc>
          <w:tcPr>
            <w:tcW w:w="903" w:type="dxa"/>
          </w:tcPr>
          <w:p w14:paraId="7D2656D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p w14:paraId="42DDEE8A" w14:textId="77777777" w:rsidR="00921DBE" w:rsidRPr="00E84C93" w:rsidRDefault="00921DBE" w:rsidP="00085A1A">
            <w:pPr>
              <w:rPr>
                <w:rFonts w:cs="Times New Roman"/>
                <w:sz w:val="20"/>
                <w:szCs w:val="20"/>
                <w:lang w:val="sr-Cyrl-CS"/>
              </w:rPr>
            </w:pPr>
          </w:p>
        </w:tc>
        <w:tc>
          <w:tcPr>
            <w:tcW w:w="904" w:type="dxa"/>
          </w:tcPr>
          <w:p w14:paraId="5714F0C9" w14:textId="77777777" w:rsidR="00921DBE" w:rsidRPr="00E84C93" w:rsidRDefault="00921DBE" w:rsidP="00085A1A">
            <w:pPr>
              <w:rPr>
                <w:rFonts w:cs="Times New Roman"/>
                <w:sz w:val="20"/>
                <w:szCs w:val="20"/>
                <w:lang w:val="sr-Cyrl-CS"/>
              </w:rPr>
            </w:pPr>
          </w:p>
        </w:tc>
        <w:tc>
          <w:tcPr>
            <w:tcW w:w="904" w:type="dxa"/>
          </w:tcPr>
          <w:p w14:paraId="596621E4" w14:textId="77777777" w:rsidR="00921DBE" w:rsidRPr="00E84C93" w:rsidRDefault="00921DBE" w:rsidP="00085A1A">
            <w:pPr>
              <w:rPr>
                <w:rFonts w:cs="Times New Roman"/>
                <w:sz w:val="20"/>
                <w:szCs w:val="20"/>
                <w:lang w:val="sr-Cyrl-CS"/>
              </w:rPr>
            </w:pPr>
          </w:p>
        </w:tc>
      </w:tr>
      <w:tr w:rsidR="00921DBE" w:rsidRPr="00E84C93" w14:paraId="7C5B9431" w14:textId="77777777" w:rsidTr="00085A1A">
        <w:trPr>
          <w:trHeight w:val="146"/>
        </w:trPr>
        <w:tc>
          <w:tcPr>
            <w:tcW w:w="2725" w:type="dxa"/>
          </w:tcPr>
          <w:p w14:paraId="2BC495C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3.1.7.Израда регионалних планова управљања муљем са детаљним плановима неопходним за прилагођавање локалним условима, избором најбољих могућности управљања или комбинацијом могућности и изводљивим плановима имплементације</w:t>
            </w:r>
          </w:p>
        </w:tc>
        <w:tc>
          <w:tcPr>
            <w:tcW w:w="1239" w:type="dxa"/>
          </w:tcPr>
          <w:p w14:paraId="2FB2C50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783DF0F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 ЈЛС</w:t>
            </w:r>
          </w:p>
        </w:tc>
        <w:tc>
          <w:tcPr>
            <w:tcW w:w="1260" w:type="dxa"/>
          </w:tcPr>
          <w:p w14:paraId="7B530A6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3BC1F771"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1B3E798D" w14:textId="77777777" w:rsidR="00921DBE" w:rsidRPr="00E84C93" w:rsidRDefault="00921DBE" w:rsidP="00085A1A">
            <w:pPr>
              <w:rPr>
                <w:rFonts w:cs="Times New Roman"/>
                <w:sz w:val="20"/>
                <w:szCs w:val="20"/>
                <w:lang w:val="sr-Cyrl-CS"/>
              </w:rPr>
            </w:pPr>
          </w:p>
        </w:tc>
        <w:tc>
          <w:tcPr>
            <w:tcW w:w="903" w:type="dxa"/>
          </w:tcPr>
          <w:p w14:paraId="46C9E559" w14:textId="77777777" w:rsidR="00921DBE" w:rsidRPr="00E84C93" w:rsidRDefault="00921DBE" w:rsidP="00085A1A">
            <w:pPr>
              <w:rPr>
                <w:rFonts w:cs="Times New Roman"/>
                <w:sz w:val="20"/>
                <w:szCs w:val="20"/>
                <w:lang w:val="sr-Cyrl-CS"/>
              </w:rPr>
            </w:pPr>
          </w:p>
        </w:tc>
        <w:tc>
          <w:tcPr>
            <w:tcW w:w="904" w:type="dxa"/>
          </w:tcPr>
          <w:p w14:paraId="4A7059FA" w14:textId="77777777" w:rsidR="00921DBE" w:rsidRPr="00E84C93" w:rsidRDefault="00921DBE" w:rsidP="00085A1A">
            <w:pPr>
              <w:rPr>
                <w:rFonts w:cs="Times New Roman"/>
                <w:sz w:val="20"/>
                <w:szCs w:val="20"/>
                <w:lang w:val="sr-Cyrl-CS"/>
              </w:rPr>
            </w:pPr>
          </w:p>
        </w:tc>
        <w:tc>
          <w:tcPr>
            <w:tcW w:w="903" w:type="dxa"/>
          </w:tcPr>
          <w:p w14:paraId="5338B312" w14:textId="77777777" w:rsidR="00921DBE" w:rsidRPr="00E84C93" w:rsidRDefault="00921DBE" w:rsidP="00085A1A">
            <w:pPr>
              <w:rPr>
                <w:rFonts w:cs="Times New Roman"/>
                <w:sz w:val="20"/>
                <w:szCs w:val="20"/>
                <w:lang w:val="sr-Cyrl-CS"/>
              </w:rPr>
            </w:pPr>
          </w:p>
        </w:tc>
        <w:tc>
          <w:tcPr>
            <w:tcW w:w="904" w:type="dxa"/>
          </w:tcPr>
          <w:p w14:paraId="413A9EEB" w14:textId="77777777" w:rsidR="00921DBE" w:rsidRPr="00E84C93" w:rsidRDefault="00921DBE" w:rsidP="00085A1A">
            <w:pPr>
              <w:rPr>
                <w:rFonts w:cs="Times New Roman"/>
                <w:sz w:val="20"/>
                <w:szCs w:val="20"/>
                <w:lang w:val="sr-Cyrl-CS"/>
              </w:rPr>
            </w:pPr>
          </w:p>
        </w:tc>
        <w:tc>
          <w:tcPr>
            <w:tcW w:w="904" w:type="dxa"/>
          </w:tcPr>
          <w:p w14:paraId="00EF6E00" w14:textId="77777777" w:rsidR="00921DBE" w:rsidRPr="00E84C93" w:rsidRDefault="00921DBE" w:rsidP="00085A1A">
            <w:pPr>
              <w:rPr>
                <w:rFonts w:cs="Times New Roman"/>
                <w:sz w:val="20"/>
                <w:szCs w:val="20"/>
                <w:lang w:val="sr-Cyrl-CS"/>
              </w:rPr>
            </w:pPr>
          </w:p>
        </w:tc>
      </w:tr>
      <w:tr w:rsidR="00921DBE" w:rsidRPr="00E84C93" w14:paraId="27DED425" w14:textId="77777777" w:rsidTr="00085A1A">
        <w:trPr>
          <w:trHeight w:val="146"/>
        </w:trPr>
        <w:tc>
          <w:tcPr>
            <w:tcW w:w="2725" w:type="dxa"/>
          </w:tcPr>
          <w:p w14:paraId="605123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3.1.8. Праћење закључивања међуопштинских споразума</w:t>
            </w:r>
          </w:p>
        </w:tc>
        <w:tc>
          <w:tcPr>
            <w:tcW w:w="1239" w:type="dxa"/>
          </w:tcPr>
          <w:p w14:paraId="23D4424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20FE8D7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 ЈЛС</w:t>
            </w:r>
          </w:p>
        </w:tc>
        <w:tc>
          <w:tcPr>
            <w:tcW w:w="1260" w:type="dxa"/>
          </w:tcPr>
          <w:p w14:paraId="608687A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2024.</w:t>
            </w:r>
          </w:p>
        </w:tc>
        <w:tc>
          <w:tcPr>
            <w:tcW w:w="1440" w:type="dxa"/>
          </w:tcPr>
          <w:p w14:paraId="240F78C0"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00981820" w14:textId="77777777" w:rsidR="00921DBE" w:rsidRPr="00E84C93" w:rsidRDefault="00921DBE" w:rsidP="00085A1A">
            <w:pPr>
              <w:rPr>
                <w:rFonts w:cs="Times New Roman"/>
                <w:sz w:val="20"/>
                <w:szCs w:val="20"/>
                <w:lang w:val="sr-Cyrl-CS"/>
              </w:rPr>
            </w:pPr>
          </w:p>
        </w:tc>
        <w:tc>
          <w:tcPr>
            <w:tcW w:w="903" w:type="dxa"/>
          </w:tcPr>
          <w:p w14:paraId="65E223D8" w14:textId="77777777" w:rsidR="00921DBE" w:rsidRPr="00E84C93" w:rsidRDefault="00921DBE" w:rsidP="00085A1A">
            <w:pPr>
              <w:rPr>
                <w:rFonts w:cs="Times New Roman"/>
                <w:sz w:val="20"/>
                <w:szCs w:val="20"/>
                <w:lang w:val="sr-Cyrl-CS"/>
              </w:rPr>
            </w:pPr>
          </w:p>
        </w:tc>
        <w:tc>
          <w:tcPr>
            <w:tcW w:w="904" w:type="dxa"/>
          </w:tcPr>
          <w:p w14:paraId="2F85F35B" w14:textId="77777777" w:rsidR="00921DBE" w:rsidRPr="00E84C93" w:rsidRDefault="00921DBE" w:rsidP="00085A1A">
            <w:pPr>
              <w:rPr>
                <w:rFonts w:cs="Times New Roman"/>
                <w:sz w:val="20"/>
                <w:szCs w:val="20"/>
                <w:lang w:val="sr-Cyrl-CS"/>
              </w:rPr>
            </w:pPr>
          </w:p>
        </w:tc>
        <w:tc>
          <w:tcPr>
            <w:tcW w:w="903" w:type="dxa"/>
          </w:tcPr>
          <w:p w14:paraId="40D5BFDA" w14:textId="77777777" w:rsidR="00921DBE" w:rsidRPr="00E84C93" w:rsidRDefault="00921DBE" w:rsidP="00085A1A">
            <w:pPr>
              <w:rPr>
                <w:rFonts w:cs="Times New Roman"/>
                <w:sz w:val="20"/>
                <w:szCs w:val="20"/>
                <w:lang w:val="sr-Cyrl-CS"/>
              </w:rPr>
            </w:pPr>
          </w:p>
        </w:tc>
        <w:tc>
          <w:tcPr>
            <w:tcW w:w="904" w:type="dxa"/>
          </w:tcPr>
          <w:p w14:paraId="632DE735" w14:textId="77777777" w:rsidR="00921DBE" w:rsidRPr="00E84C93" w:rsidRDefault="00921DBE" w:rsidP="00085A1A">
            <w:pPr>
              <w:rPr>
                <w:rFonts w:cs="Times New Roman"/>
                <w:sz w:val="20"/>
                <w:szCs w:val="20"/>
                <w:lang w:val="sr-Cyrl-CS"/>
              </w:rPr>
            </w:pPr>
          </w:p>
        </w:tc>
        <w:tc>
          <w:tcPr>
            <w:tcW w:w="904" w:type="dxa"/>
          </w:tcPr>
          <w:p w14:paraId="730BD45C" w14:textId="77777777" w:rsidR="00921DBE" w:rsidRPr="00E84C93" w:rsidRDefault="00921DBE" w:rsidP="00085A1A">
            <w:pPr>
              <w:rPr>
                <w:rFonts w:cs="Times New Roman"/>
                <w:sz w:val="20"/>
                <w:szCs w:val="20"/>
                <w:lang w:val="sr-Cyrl-CS"/>
              </w:rPr>
            </w:pPr>
          </w:p>
        </w:tc>
      </w:tr>
    </w:tbl>
    <w:p w14:paraId="2A7D59B2" w14:textId="77777777" w:rsidR="00921DBE" w:rsidRPr="00E84C93" w:rsidRDefault="00921DBE" w:rsidP="00921DBE">
      <w:pPr>
        <w:spacing w:after="0"/>
        <w:rPr>
          <w:rFonts w:cs="Times New Roman"/>
          <w:sz w:val="20"/>
          <w:szCs w:val="20"/>
          <w:lang w:val="sr-Cyrl-CS"/>
        </w:rPr>
      </w:pPr>
    </w:p>
    <w:p w14:paraId="25E6DBBB"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1D375FD5"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885526"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3.2: </w:t>
            </w:r>
            <w:r w:rsidRPr="00E84C93">
              <w:rPr>
                <w:rFonts w:cs="Times New Roman"/>
                <w:sz w:val="20"/>
                <w:szCs w:val="20"/>
                <w:lang w:val="sr-Cyrl-CS"/>
              </w:rPr>
              <w:t>Изградња постројења за моноинсинерацију муља и монодепонија</w:t>
            </w:r>
          </w:p>
        </w:tc>
      </w:tr>
      <w:tr w:rsidR="00921DBE" w:rsidRPr="00E84C93" w14:paraId="50A0F01F"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0643DBA"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Министарство заштите животне средине</w:t>
            </w:r>
          </w:p>
        </w:tc>
      </w:tr>
      <w:tr w:rsidR="00921DBE" w:rsidRPr="00E84C93" w14:paraId="5AD8D88A"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928B04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2023-2027.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00480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Обезбеђивање добара и услуга</w:t>
            </w:r>
          </w:p>
        </w:tc>
      </w:tr>
      <w:tr w:rsidR="00921DBE" w:rsidRPr="00E84C93" w14:paraId="1CAD5695"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BF7FA5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34C2ED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4DEBC39F"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40DF444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504A765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53A9A8D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2EBF086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71B288D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6938CB7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42E27DF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606DEC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509DF3D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569FDCF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19129853" w14:textId="77777777" w:rsidTr="00085A1A">
        <w:trPr>
          <w:trHeight w:val="492"/>
        </w:trPr>
        <w:tc>
          <w:tcPr>
            <w:tcW w:w="3126" w:type="dxa"/>
            <w:tcBorders>
              <w:top w:val="double" w:sz="4" w:space="0" w:color="auto"/>
              <w:left w:val="double" w:sz="4" w:space="0" w:color="auto"/>
              <w:bottom w:val="single" w:sz="4" w:space="0" w:color="auto"/>
            </w:tcBorders>
            <w:shd w:val="clear" w:color="auto" w:fill="FFFFFF" w:themeFill="background1"/>
          </w:tcPr>
          <w:p w14:paraId="68BC7BD5"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noProof/>
                <w:sz w:val="20"/>
                <w:szCs w:val="20"/>
                <w:lang w:val="sr-Cyrl-CS"/>
              </w:rPr>
              <w:t xml:space="preserve">Број постројења за моноинсинерацију муља </w:t>
            </w:r>
          </w:p>
        </w:tc>
        <w:tc>
          <w:tcPr>
            <w:tcW w:w="1430" w:type="dxa"/>
            <w:tcBorders>
              <w:top w:val="double" w:sz="4" w:space="0" w:color="auto"/>
              <w:bottom w:val="single" w:sz="4" w:space="0" w:color="auto"/>
            </w:tcBorders>
            <w:shd w:val="clear" w:color="auto" w:fill="FFFFFF" w:themeFill="background1"/>
          </w:tcPr>
          <w:p w14:paraId="21E788C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337" w:type="dxa"/>
            <w:tcBorders>
              <w:top w:val="double" w:sz="4" w:space="0" w:color="auto"/>
              <w:bottom w:val="single" w:sz="4" w:space="0" w:color="auto"/>
            </w:tcBorders>
            <w:shd w:val="clear" w:color="auto" w:fill="FFFFFF" w:themeFill="background1"/>
          </w:tcPr>
          <w:p w14:paraId="4A75F69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 МЗЖС </w:t>
            </w:r>
          </w:p>
        </w:tc>
        <w:tc>
          <w:tcPr>
            <w:tcW w:w="1099" w:type="dxa"/>
            <w:gridSpan w:val="2"/>
            <w:tcBorders>
              <w:top w:val="double" w:sz="4" w:space="0" w:color="auto"/>
              <w:bottom w:val="single" w:sz="4" w:space="0" w:color="auto"/>
            </w:tcBorders>
            <w:shd w:val="clear" w:color="auto" w:fill="FFFFFF" w:themeFill="background1"/>
          </w:tcPr>
          <w:p w14:paraId="2A817AE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single" w:sz="4" w:space="0" w:color="auto"/>
            </w:tcBorders>
            <w:shd w:val="clear" w:color="auto" w:fill="FFFFFF" w:themeFill="background1"/>
          </w:tcPr>
          <w:p w14:paraId="4454184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single" w:sz="4" w:space="0" w:color="auto"/>
            </w:tcBorders>
            <w:shd w:val="clear" w:color="auto" w:fill="FFFFFF" w:themeFill="background1"/>
          </w:tcPr>
          <w:p w14:paraId="69333B8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single" w:sz="4" w:space="0" w:color="auto"/>
              <w:right w:val="single" w:sz="4" w:space="0" w:color="auto"/>
            </w:tcBorders>
            <w:shd w:val="clear" w:color="auto" w:fill="FFFFFF" w:themeFill="background1"/>
          </w:tcPr>
          <w:p w14:paraId="6D7F4936"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single" w:sz="4" w:space="0" w:color="auto"/>
              <w:right w:val="single" w:sz="4" w:space="0" w:color="auto"/>
            </w:tcBorders>
            <w:shd w:val="clear" w:color="auto" w:fill="FFFFFF" w:themeFill="background1"/>
          </w:tcPr>
          <w:p w14:paraId="47288C0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double" w:sz="4" w:space="0" w:color="auto"/>
              <w:left w:val="single" w:sz="4" w:space="0" w:color="auto"/>
              <w:bottom w:val="single" w:sz="4" w:space="0" w:color="auto"/>
              <w:right w:val="single" w:sz="4" w:space="0" w:color="auto"/>
            </w:tcBorders>
            <w:shd w:val="clear" w:color="auto" w:fill="auto"/>
          </w:tcPr>
          <w:p w14:paraId="7991130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76" w:type="dxa"/>
            <w:tcBorders>
              <w:top w:val="double" w:sz="4" w:space="0" w:color="auto"/>
              <w:left w:val="single" w:sz="4" w:space="0" w:color="auto"/>
              <w:bottom w:val="single" w:sz="4" w:space="0" w:color="auto"/>
              <w:right w:val="double" w:sz="4" w:space="0" w:color="auto"/>
            </w:tcBorders>
            <w:shd w:val="clear" w:color="auto" w:fill="auto"/>
          </w:tcPr>
          <w:p w14:paraId="4D92F01E"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1</w:t>
            </w:r>
          </w:p>
        </w:tc>
      </w:tr>
      <w:tr w:rsidR="00921DBE" w:rsidRPr="00E84C93" w14:paraId="448FC575" w14:textId="77777777" w:rsidTr="00085A1A">
        <w:trPr>
          <w:trHeight w:val="449"/>
        </w:trPr>
        <w:tc>
          <w:tcPr>
            <w:tcW w:w="3126" w:type="dxa"/>
            <w:tcBorders>
              <w:top w:val="single" w:sz="4" w:space="0" w:color="auto"/>
              <w:left w:val="double" w:sz="4" w:space="0" w:color="auto"/>
              <w:bottom w:val="single" w:sz="4" w:space="0" w:color="auto"/>
            </w:tcBorders>
            <w:shd w:val="clear" w:color="auto" w:fill="FFFFFF" w:themeFill="background1"/>
          </w:tcPr>
          <w:p w14:paraId="796A716E"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noProof/>
                <w:sz w:val="20"/>
                <w:szCs w:val="20"/>
                <w:lang w:val="sr-Cyrl-CS"/>
              </w:rPr>
              <w:t>Број монодепонија</w:t>
            </w:r>
          </w:p>
        </w:tc>
        <w:tc>
          <w:tcPr>
            <w:tcW w:w="1430" w:type="dxa"/>
            <w:tcBorders>
              <w:top w:val="single" w:sz="4" w:space="0" w:color="auto"/>
              <w:bottom w:val="single" w:sz="4" w:space="0" w:color="auto"/>
            </w:tcBorders>
            <w:shd w:val="clear" w:color="auto" w:fill="FFFFFF" w:themeFill="background1"/>
          </w:tcPr>
          <w:p w14:paraId="038E7B8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337" w:type="dxa"/>
            <w:tcBorders>
              <w:top w:val="single" w:sz="4" w:space="0" w:color="auto"/>
              <w:bottom w:val="single" w:sz="4" w:space="0" w:color="auto"/>
            </w:tcBorders>
            <w:shd w:val="clear" w:color="auto" w:fill="FFFFFF" w:themeFill="background1"/>
          </w:tcPr>
          <w:p w14:paraId="0C25B98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Извештај МЗЖС</w:t>
            </w:r>
          </w:p>
        </w:tc>
        <w:tc>
          <w:tcPr>
            <w:tcW w:w="1099" w:type="dxa"/>
            <w:gridSpan w:val="2"/>
            <w:tcBorders>
              <w:top w:val="single" w:sz="4" w:space="0" w:color="auto"/>
              <w:bottom w:val="single" w:sz="4" w:space="0" w:color="auto"/>
            </w:tcBorders>
            <w:shd w:val="clear" w:color="auto" w:fill="FFFFFF" w:themeFill="background1"/>
          </w:tcPr>
          <w:p w14:paraId="1E4BD89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single" w:sz="4" w:space="0" w:color="auto"/>
              <w:bottom w:val="single" w:sz="4" w:space="0" w:color="auto"/>
            </w:tcBorders>
            <w:shd w:val="clear" w:color="auto" w:fill="FFFFFF" w:themeFill="background1"/>
          </w:tcPr>
          <w:p w14:paraId="5EC21E6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single" w:sz="4" w:space="0" w:color="auto"/>
              <w:bottom w:val="single" w:sz="4" w:space="0" w:color="auto"/>
            </w:tcBorders>
            <w:shd w:val="clear" w:color="auto" w:fill="FFFFFF" w:themeFill="background1"/>
          </w:tcPr>
          <w:p w14:paraId="5815630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single" w:sz="4" w:space="0" w:color="auto"/>
              <w:bottom w:val="single" w:sz="4" w:space="0" w:color="auto"/>
              <w:right w:val="single" w:sz="4" w:space="0" w:color="auto"/>
            </w:tcBorders>
            <w:shd w:val="clear" w:color="auto" w:fill="FFFFFF" w:themeFill="background1"/>
          </w:tcPr>
          <w:p w14:paraId="47850F4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A8342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DE5340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w:t>
            </w:r>
          </w:p>
        </w:tc>
        <w:tc>
          <w:tcPr>
            <w:tcW w:w="1076" w:type="dxa"/>
            <w:tcBorders>
              <w:top w:val="single" w:sz="4" w:space="0" w:color="auto"/>
              <w:left w:val="single" w:sz="4" w:space="0" w:color="auto"/>
              <w:bottom w:val="single" w:sz="4" w:space="0" w:color="auto"/>
              <w:right w:val="double" w:sz="4" w:space="0" w:color="auto"/>
            </w:tcBorders>
            <w:shd w:val="clear" w:color="auto" w:fill="auto"/>
          </w:tcPr>
          <w:p w14:paraId="2D08C58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5</w:t>
            </w:r>
          </w:p>
        </w:tc>
      </w:tr>
    </w:tbl>
    <w:p w14:paraId="5A96F06B"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7D6FA638"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6B922DA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61EF733B"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3A24849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25FE51E5"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987FE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51DADFA7"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3F48A25D"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6089928A"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8C7A04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D5CD66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9AFF7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48743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9E597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0F699235" w14:textId="77777777" w:rsidTr="00085A1A">
        <w:trPr>
          <w:trHeight w:val="240"/>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54C2F71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568D022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tc>
        <w:tc>
          <w:tcPr>
            <w:tcW w:w="1526" w:type="dxa"/>
            <w:tcBorders>
              <w:left w:val="double" w:sz="4" w:space="0" w:color="auto"/>
              <w:bottom w:val="double" w:sz="4" w:space="0" w:color="auto"/>
              <w:right w:val="double" w:sz="4" w:space="0" w:color="auto"/>
            </w:tcBorders>
            <w:shd w:val="clear" w:color="auto" w:fill="FFFFFF" w:themeFill="background1"/>
          </w:tcPr>
          <w:p w14:paraId="7A981D67"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auto"/>
          </w:tcPr>
          <w:p w14:paraId="38AD0210" w14:textId="77777777" w:rsidR="00921DBE" w:rsidRPr="00E84C93" w:rsidRDefault="00921DBE" w:rsidP="00085A1A">
            <w:pPr>
              <w:rPr>
                <w:rFonts w:cs="Times New Roman"/>
                <w:sz w:val="20"/>
                <w:szCs w:val="20"/>
                <w:highlight w:val="yellow"/>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034ED36" w14:textId="77777777" w:rsidR="00921DBE" w:rsidRPr="00E84C93" w:rsidRDefault="00921DBE" w:rsidP="00085A1A">
            <w:pPr>
              <w:rPr>
                <w:rFonts w:cs="Times New Roman"/>
                <w:sz w:val="20"/>
                <w:szCs w:val="20"/>
                <w:highlight w:val="yellow"/>
                <w:lang w:val="sr-Cyrl-CS"/>
              </w:rPr>
            </w:pPr>
            <w:r w:rsidRPr="00E84C93">
              <w:rPr>
                <w:rFonts w:cs="Times New Roman"/>
                <w:sz w:val="20"/>
                <w:szCs w:val="20"/>
                <w:lang w:val="sr-Cyrl-CS"/>
              </w:rPr>
              <w:t>53.200*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697D22C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76.000*</w:t>
            </w:r>
          </w:p>
        </w:tc>
        <w:tc>
          <w:tcPr>
            <w:tcW w:w="1440" w:type="dxa"/>
            <w:tcBorders>
              <w:left w:val="double" w:sz="4" w:space="0" w:color="auto"/>
              <w:bottom w:val="double" w:sz="4" w:space="0" w:color="auto"/>
              <w:right w:val="double" w:sz="4" w:space="0" w:color="auto"/>
            </w:tcBorders>
            <w:shd w:val="clear" w:color="auto" w:fill="auto"/>
          </w:tcPr>
          <w:p w14:paraId="00AD322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76.000*</w:t>
            </w:r>
          </w:p>
        </w:tc>
      </w:tr>
      <w:tr w:rsidR="00921DBE" w:rsidRPr="00E84C93" w14:paraId="248167D1" w14:textId="77777777" w:rsidTr="00085A1A">
        <w:trPr>
          <w:trHeight w:val="240"/>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601AA9C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 АП</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79F061A4"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right w:val="double" w:sz="4" w:space="0" w:color="auto"/>
            </w:tcBorders>
            <w:shd w:val="clear" w:color="auto" w:fill="FFFFFF" w:themeFill="background1"/>
          </w:tcPr>
          <w:p w14:paraId="15DEBC0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right w:val="double" w:sz="4" w:space="0" w:color="auto"/>
            </w:tcBorders>
            <w:shd w:val="clear" w:color="auto" w:fill="auto"/>
          </w:tcPr>
          <w:p w14:paraId="1CE01E4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5CF74DEE"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16759B20"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right w:val="double" w:sz="4" w:space="0" w:color="auto"/>
            </w:tcBorders>
            <w:shd w:val="clear" w:color="auto" w:fill="auto"/>
          </w:tcPr>
          <w:p w14:paraId="38CCD12C" w14:textId="77777777" w:rsidR="00921DBE" w:rsidRPr="00E84C93" w:rsidRDefault="00921DBE" w:rsidP="00085A1A">
            <w:pPr>
              <w:rPr>
                <w:rFonts w:cs="Times New Roman"/>
                <w:sz w:val="20"/>
                <w:szCs w:val="20"/>
                <w:lang w:val="sr-Cyrl-CS"/>
              </w:rPr>
            </w:pPr>
          </w:p>
        </w:tc>
      </w:tr>
      <w:tr w:rsidR="00921DBE" w:rsidRPr="00E84C93" w14:paraId="7B5026DC"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137886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Зајам</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11D86A6D"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3677860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25E923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11D0F1F"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72D9CD62" w14:textId="77777777" w:rsidR="00921DBE" w:rsidRPr="00E84C93" w:rsidRDefault="00921DBE" w:rsidP="00085A1A">
            <w:pPr>
              <w:rPr>
                <w:rFonts w:cs="Times New Roman"/>
                <w:sz w:val="20"/>
                <w:szCs w:val="20"/>
                <w:highlight w:val="yellow"/>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28A9207D" w14:textId="77777777" w:rsidR="00921DBE" w:rsidRPr="00E84C93" w:rsidRDefault="00921DBE" w:rsidP="00085A1A">
            <w:pPr>
              <w:rPr>
                <w:rFonts w:cs="Times New Roman"/>
                <w:sz w:val="20"/>
                <w:szCs w:val="20"/>
                <w:highlight w:val="yellow"/>
                <w:lang w:val="sr-Cyrl-CS"/>
              </w:rPr>
            </w:pPr>
          </w:p>
        </w:tc>
      </w:tr>
    </w:tbl>
    <w:p w14:paraId="4CEFC2C1" w14:textId="77777777" w:rsidR="00921DBE" w:rsidRPr="00E84C93" w:rsidRDefault="00921DBE" w:rsidP="00921DBE">
      <w:pPr>
        <w:spacing w:after="0"/>
        <w:rPr>
          <w:sz w:val="20"/>
          <w:szCs w:val="20"/>
          <w:lang w:val="sr-Cyrl-CS"/>
        </w:rPr>
      </w:pPr>
      <w:r w:rsidRPr="00E84C93">
        <w:rPr>
          <w:sz w:val="20"/>
          <w:szCs w:val="20"/>
          <w:lang w:val="sr-Cyrl-CS"/>
        </w:rPr>
        <w:t>**финансира се на нивоу мере</w:t>
      </w:r>
    </w:p>
    <w:p w14:paraId="250F3145"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75"/>
        <w:gridCol w:w="1189"/>
        <w:gridCol w:w="1241"/>
        <w:gridCol w:w="1260"/>
        <w:gridCol w:w="1440"/>
        <w:gridCol w:w="1350"/>
        <w:gridCol w:w="903"/>
        <w:gridCol w:w="904"/>
        <w:gridCol w:w="903"/>
        <w:gridCol w:w="904"/>
        <w:gridCol w:w="904"/>
      </w:tblGrid>
      <w:tr w:rsidR="00921DBE" w:rsidRPr="00E84C93" w14:paraId="6ABCE1A2" w14:textId="77777777" w:rsidTr="00085A1A">
        <w:trPr>
          <w:trHeight w:val="146"/>
        </w:trPr>
        <w:tc>
          <w:tcPr>
            <w:tcW w:w="2775" w:type="dxa"/>
            <w:vMerge w:val="restart"/>
            <w:shd w:val="clear" w:color="auto" w:fill="FFF2CC" w:themeFill="accent4" w:themeFillTint="33"/>
          </w:tcPr>
          <w:p w14:paraId="52E1DEA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189" w:type="dxa"/>
            <w:vMerge w:val="restart"/>
            <w:shd w:val="clear" w:color="auto" w:fill="FFF2CC" w:themeFill="accent4" w:themeFillTint="33"/>
          </w:tcPr>
          <w:p w14:paraId="3E27D4E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191EB3A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49DDCC9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5CFE203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1C2768C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2EEC537F"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3B4BEC8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505EF25B" w14:textId="77777777" w:rsidTr="00085A1A">
        <w:trPr>
          <w:trHeight w:val="405"/>
        </w:trPr>
        <w:tc>
          <w:tcPr>
            <w:tcW w:w="2775" w:type="dxa"/>
            <w:vMerge/>
            <w:shd w:val="clear" w:color="auto" w:fill="FFF2CC" w:themeFill="accent4" w:themeFillTint="33"/>
          </w:tcPr>
          <w:p w14:paraId="6B28FCB5" w14:textId="77777777" w:rsidR="00921DBE" w:rsidRPr="00E84C93" w:rsidRDefault="00921DBE" w:rsidP="00085A1A">
            <w:pPr>
              <w:rPr>
                <w:rFonts w:cs="Times New Roman"/>
                <w:sz w:val="20"/>
                <w:szCs w:val="20"/>
                <w:lang w:val="sr-Cyrl-CS"/>
              </w:rPr>
            </w:pPr>
          </w:p>
        </w:tc>
        <w:tc>
          <w:tcPr>
            <w:tcW w:w="1189" w:type="dxa"/>
            <w:vMerge/>
            <w:shd w:val="clear" w:color="auto" w:fill="FFF2CC" w:themeFill="accent4" w:themeFillTint="33"/>
          </w:tcPr>
          <w:p w14:paraId="1E73AB6F"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56848894"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35788C01"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6C9FCDF7"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49AD6122"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1B743E7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558DA21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3590290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768358E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27F72BF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7854E706" w14:textId="77777777" w:rsidTr="00085A1A">
        <w:trPr>
          <w:trHeight w:val="146"/>
        </w:trPr>
        <w:tc>
          <w:tcPr>
            <w:tcW w:w="2775" w:type="dxa"/>
          </w:tcPr>
          <w:p w14:paraId="65847369" w14:textId="77777777" w:rsidR="00921DBE" w:rsidRPr="00E84C93" w:rsidRDefault="00921DBE" w:rsidP="00085A1A">
            <w:pPr>
              <w:rPr>
                <w:rFonts w:cs="Times New Roman"/>
                <w:sz w:val="20"/>
                <w:szCs w:val="20"/>
                <w:lang w:val="sr-Cyrl-CS"/>
              </w:rPr>
            </w:pPr>
            <w:r w:rsidRPr="00E84C93">
              <w:rPr>
                <w:sz w:val="20"/>
                <w:szCs w:val="20"/>
                <w:lang w:val="sr-Cyrl-CS"/>
              </w:rPr>
              <w:t>3.2.1.Израда планске документације за изградњу једног регионалног центра за управљање муљем у Нишу (моноинсинератора са монодепонијом)</w:t>
            </w:r>
          </w:p>
        </w:tc>
        <w:tc>
          <w:tcPr>
            <w:tcW w:w="1189" w:type="dxa"/>
          </w:tcPr>
          <w:p w14:paraId="254C61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r w:rsidRPr="00E84C93" w:rsidDel="00867E82">
              <w:rPr>
                <w:rFonts w:cs="Times New Roman"/>
                <w:sz w:val="20"/>
                <w:szCs w:val="20"/>
                <w:lang w:val="sr-Cyrl-CS"/>
              </w:rPr>
              <w:t xml:space="preserve"> </w:t>
            </w:r>
          </w:p>
        </w:tc>
        <w:tc>
          <w:tcPr>
            <w:tcW w:w="1241" w:type="dxa"/>
          </w:tcPr>
          <w:p w14:paraId="7E4A393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00813FF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797F592A"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258CA52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1FA9C3E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4ECE62B8" w14:textId="77777777" w:rsidR="00921DBE" w:rsidRPr="00E84C93" w:rsidRDefault="00921DBE" w:rsidP="00085A1A">
            <w:pPr>
              <w:rPr>
                <w:rFonts w:cs="Times New Roman"/>
                <w:sz w:val="20"/>
                <w:szCs w:val="20"/>
                <w:highlight w:val="red"/>
                <w:lang w:val="sr-Cyrl-CS"/>
              </w:rPr>
            </w:pPr>
          </w:p>
        </w:tc>
        <w:tc>
          <w:tcPr>
            <w:tcW w:w="904" w:type="dxa"/>
            <w:shd w:val="clear" w:color="auto" w:fill="auto"/>
          </w:tcPr>
          <w:p w14:paraId="5EADFDD7" w14:textId="77777777" w:rsidR="00921DBE" w:rsidRPr="00E84C93" w:rsidRDefault="00921DBE" w:rsidP="00085A1A">
            <w:pPr>
              <w:rPr>
                <w:rFonts w:cs="Times New Roman"/>
                <w:sz w:val="20"/>
                <w:szCs w:val="20"/>
                <w:lang w:val="sr-Cyrl-CS"/>
              </w:rPr>
            </w:pPr>
          </w:p>
        </w:tc>
        <w:tc>
          <w:tcPr>
            <w:tcW w:w="903" w:type="dxa"/>
            <w:shd w:val="clear" w:color="auto" w:fill="auto"/>
          </w:tcPr>
          <w:p w14:paraId="53F0088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tcPr>
          <w:p w14:paraId="3A83302E"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10.000*</w:t>
            </w:r>
          </w:p>
        </w:tc>
        <w:tc>
          <w:tcPr>
            <w:tcW w:w="904" w:type="dxa"/>
          </w:tcPr>
          <w:p w14:paraId="55DC1D17"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10.000*</w:t>
            </w:r>
          </w:p>
        </w:tc>
      </w:tr>
      <w:tr w:rsidR="00921DBE" w:rsidRPr="00E84C93" w14:paraId="27D456E8" w14:textId="77777777" w:rsidTr="00085A1A">
        <w:trPr>
          <w:trHeight w:val="146"/>
        </w:trPr>
        <w:tc>
          <w:tcPr>
            <w:tcW w:w="2775" w:type="dxa"/>
          </w:tcPr>
          <w:p w14:paraId="6C2FD20E" w14:textId="77777777" w:rsidR="00921DBE" w:rsidRPr="00E84C93" w:rsidRDefault="00921DBE" w:rsidP="00085A1A">
            <w:pPr>
              <w:rPr>
                <w:rFonts w:cs="Times New Roman"/>
                <w:sz w:val="20"/>
                <w:szCs w:val="20"/>
                <w:lang w:val="sr-Cyrl-CS"/>
              </w:rPr>
            </w:pPr>
            <w:bookmarkStart w:id="134" w:name="_Hlk145318441"/>
            <w:r w:rsidRPr="00E84C93">
              <w:rPr>
                <w:sz w:val="20"/>
                <w:szCs w:val="20"/>
                <w:lang w:val="sr-Cyrl-CS"/>
              </w:rPr>
              <w:t xml:space="preserve">3.2.2.Израда студије оправданости са идејним пројектом и студије о процени утицаја на животну средину регионалног центра за управљање муљем у Нишу </w:t>
            </w:r>
            <w:r w:rsidRPr="00E84C93">
              <w:rPr>
                <w:sz w:val="20"/>
                <w:szCs w:val="20"/>
                <w:lang w:val="sr-Cyrl-CS"/>
              </w:rPr>
              <w:lastRenderedPageBreak/>
              <w:t>(моноинсинератора са монодепонијом)</w:t>
            </w:r>
            <w:bookmarkEnd w:id="134"/>
          </w:p>
        </w:tc>
        <w:tc>
          <w:tcPr>
            <w:tcW w:w="1189" w:type="dxa"/>
          </w:tcPr>
          <w:p w14:paraId="019A4D1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МЗЖС</w:t>
            </w:r>
            <w:r w:rsidRPr="00E84C93" w:rsidDel="00867E82">
              <w:rPr>
                <w:rFonts w:cs="Times New Roman"/>
                <w:sz w:val="20"/>
                <w:szCs w:val="20"/>
                <w:lang w:val="sr-Cyrl-CS"/>
              </w:rPr>
              <w:t xml:space="preserve"> </w:t>
            </w:r>
          </w:p>
        </w:tc>
        <w:tc>
          <w:tcPr>
            <w:tcW w:w="1241" w:type="dxa"/>
          </w:tcPr>
          <w:p w14:paraId="178D05E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1828943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67CAB56B"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669EAB3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701C31C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04AD96DA" w14:textId="77777777" w:rsidR="00921DBE" w:rsidRPr="00E84C93" w:rsidRDefault="00921DBE" w:rsidP="00085A1A">
            <w:pPr>
              <w:rPr>
                <w:rFonts w:cs="Times New Roman"/>
                <w:sz w:val="20"/>
                <w:szCs w:val="20"/>
                <w:lang w:val="sr-Cyrl-CS"/>
              </w:rPr>
            </w:pPr>
          </w:p>
        </w:tc>
        <w:tc>
          <w:tcPr>
            <w:tcW w:w="904" w:type="dxa"/>
            <w:shd w:val="clear" w:color="auto" w:fill="auto"/>
          </w:tcPr>
          <w:p w14:paraId="1280E5AA" w14:textId="77777777" w:rsidR="00921DBE" w:rsidRPr="00E84C93" w:rsidRDefault="00921DBE" w:rsidP="00085A1A">
            <w:pPr>
              <w:rPr>
                <w:rFonts w:cs="Times New Roman"/>
                <w:sz w:val="20"/>
                <w:szCs w:val="20"/>
                <w:lang w:val="sr-Cyrl-CS"/>
              </w:rPr>
            </w:pPr>
          </w:p>
        </w:tc>
        <w:tc>
          <w:tcPr>
            <w:tcW w:w="903" w:type="dxa"/>
            <w:shd w:val="clear" w:color="auto" w:fill="auto"/>
          </w:tcPr>
          <w:p w14:paraId="75F774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shd w:val="clear" w:color="auto" w:fill="auto"/>
          </w:tcPr>
          <w:p w14:paraId="31426EC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5CA1835D" w14:textId="77777777" w:rsidR="00921DBE" w:rsidRPr="00E84C93" w:rsidRDefault="00921DBE" w:rsidP="00085A1A">
            <w:pPr>
              <w:rPr>
                <w:rFonts w:cs="Times New Roman"/>
                <w:sz w:val="20"/>
                <w:szCs w:val="20"/>
                <w:lang w:val="sr-Cyrl-CS"/>
              </w:rPr>
            </w:pPr>
          </w:p>
        </w:tc>
        <w:tc>
          <w:tcPr>
            <w:tcW w:w="904" w:type="dxa"/>
            <w:shd w:val="clear" w:color="auto" w:fill="auto"/>
          </w:tcPr>
          <w:p w14:paraId="3B397F45" w14:textId="77777777" w:rsidR="00921DBE" w:rsidRPr="00E84C93" w:rsidRDefault="00921DBE" w:rsidP="00085A1A">
            <w:pPr>
              <w:rPr>
                <w:rFonts w:cs="Times New Roman"/>
                <w:sz w:val="20"/>
                <w:szCs w:val="20"/>
                <w:lang w:val="sr-Cyrl-CS"/>
              </w:rPr>
            </w:pPr>
            <w:r w:rsidRPr="00E84C93">
              <w:rPr>
                <w:rFonts w:cs="Times New Roman"/>
                <w:color w:val="000000" w:themeColor="text1"/>
                <w:sz w:val="20"/>
                <w:szCs w:val="20"/>
                <w:lang w:val="sr-Cyrl-CS"/>
              </w:rPr>
              <w:t>10.000*</w:t>
            </w:r>
          </w:p>
        </w:tc>
      </w:tr>
      <w:tr w:rsidR="00921DBE" w:rsidRPr="00E84C93" w14:paraId="2314CB1F" w14:textId="77777777" w:rsidTr="00085A1A">
        <w:trPr>
          <w:trHeight w:val="146"/>
        </w:trPr>
        <w:tc>
          <w:tcPr>
            <w:tcW w:w="2775" w:type="dxa"/>
          </w:tcPr>
          <w:p w14:paraId="1816B7C8" w14:textId="77777777" w:rsidR="00921DBE" w:rsidRPr="00E84C93" w:rsidRDefault="00921DBE" w:rsidP="00085A1A">
            <w:pPr>
              <w:rPr>
                <w:rFonts w:cs="Times New Roman"/>
                <w:sz w:val="20"/>
                <w:szCs w:val="20"/>
                <w:lang w:val="sr-Cyrl-CS"/>
              </w:rPr>
            </w:pPr>
            <w:bookmarkStart w:id="135" w:name="_Hlk145318872"/>
            <w:r w:rsidRPr="00E84C93">
              <w:rPr>
                <w:sz w:val="20"/>
                <w:szCs w:val="20"/>
                <w:lang w:val="sr-Cyrl-CS"/>
              </w:rPr>
              <w:t>3.2.3.Припрема тендерске документације</w:t>
            </w:r>
            <w:bookmarkEnd w:id="135"/>
          </w:p>
        </w:tc>
        <w:tc>
          <w:tcPr>
            <w:tcW w:w="1189" w:type="dxa"/>
          </w:tcPr>
          <w:p w14:paraId="3A9541A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r w:rsidRPr="00E84C93" w:rsidDel="00867E82">
              <w:rPr>
                <w:rFonts w:cs="Times New Roman"/>
                <w:sz w:val="20"/>
                <w:szCs w:val="20"/>
                <w:lang w:val="sr-Cyrl-CS"/>
              </w:rPr>
              <w:t xml:space="preserve"> </w:t>
            </w:r>
          </w:p>
        </w:tc>
        <w:tc>
          <w:tcPr>
            <w:tcW w:w="1241" w:type="dxa"/>
          </w:tcPr>
          <w:p w14:paraId="0B04A73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4C90CDD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6A36770B"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4681C01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7AB2AC5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338B313F" w14:textId="77777777" w:rsidR="00921DBE" w:rsidRPr="00E84C93" w:rsidRDefault="00921DBE" w:rsidP="00085A1A">
            <w:pPr>
              <w:rPr>
                <w:rFonts w:cs="Times New Roman"/>
                <w:sz w:val="20"/>
                <w:szCs w:val="20"/>
                <w:lang w:val="sr-Cyrl-CS"/>
              </w:rPr>
            </w:pPr>
          </w:p>
        </w:tc>
        <w:tc>
          <w:tcPr>
            <w:tcW w:w="904" w:type="dxa"/>
            <w:shd w:val="clear" w:color="auto" w:fill="auto"/>
          </w:tcPr>
          <w:p w14:paraId="7DED000C" w14:textId="77777777" w:rsidR="00921DBE" w:rsidRPr="00E84C93" w:rsidRDefault="00921DBE" w:rsidP="00085A1A">
            <w:pPr>
              <w:rPr>
                <w:rFonts w:cs="Times New Roman"/>
                <w:sz w:val="20"/>
                <w:szCs w:val="20"/>
                <w:lang w:val="sr-Cyrl-CS"/>
              </w:rPr>
            </w:pPr>
          </w:p>
        </w:tc>
        <w:tc>
          <w:tcPr>
            <w:tcW w:w="903" w:type="dxa"/>
            <w:shd w:val="clear" w:color="auto" w:fill="auto"/>
          </w:tcPr>
          <w:p w14:paraId="0827B51D" w14:textId="77777777" w:rsidR="00921DBE" w:rsidRPr="00E84C93" w:rsidRDefault="00921DBE" w:rsidP="00085A1A">
            <w:pPr>
              <w:rPr>
                <w:rFonts w:cs="Times New Roman"/>
                <w:sz w:val="20"/>
                <w:szCs w:val="20"/>
                <w:lang w:val="sr-Cyrl-CS"/>
              </w:rPr>
            </w:pPr>
          </w:p>
          <w:p w14:paraId="765BCA9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shd w:val="clear" w:color="auto" w:fill="auto"/>
          </w:tcPr>
          <w:p w14:paraId="3A78C1E7"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10.000*</w:t>
            </w:r>
          </w:p>
          <w:p w14:paraId="45B37EE1" w14:textId="77777777" w:rsidR="00921DBE" w:rsidRPr="00E84C93" w:rsidRDefault="00921DBE" w:rsidP="00085A1A">
            <w:pPr>
              <w:rPr>
                <w:rFonts w:cs="Times New Roman"/>
                <w:color w:val="000000" w:themeColor="text1"/>
                <w:sz w:val="20"/>
                <w:szCs w:val="20"/>
                <w:lang w:val="sr-Cyrl-CS"/>
              </w:rPr>
            </w:pPr>
          </w:p>
        </w:tc>
        <w:tc>
          <w:tcPr>
            <w:tcW w:w="904" w:type="dxa"/>
            <w:shd w:val="clear" w:color="auto" w:fill="auto"/>
          </w:tcPr>
          <w:p w14:paraId="12174DEA"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10.000*</w:t>
            </w:r>
          </w:p>
        </w:tc>
      </w:tr>
      <w:tr w:rsidR="00921DBE" w:rsidRPr="00E84C93" w14:paraId="7481A3ED" w14:textId="77777777" w:rsidTr="00085A1A">
        <w:trPr>
          <w:trHeight w:val="575"/>
        </w:trPr>
        <w:tc>
          <w:tcPr>
            <w:tcW w:w="2775" w:type="dxa"/>
          </w:tcPr>
          <w:p w14:paraId="6FC1382E" w14:textId="77777777" w:rsidR="00921DBE" w:rsidRPr="00E84C93" w:rsidRDefault="00921DBE" w:rsidP="00085A1A">
            <w:pPr>
              <w:rPr>
                <w:rFonts w:cs="Times New Roman"/>
                <w:sz w:val="20"/>
                <w:szCs w:val="20"/>
                <w:lang w:val="sr-Cyrl-CS"/>
              </w:rPr>
            </w:pPr>
            <w:bookmarkStart w:id="136" w:name="_Hlk145318959"/>
            <w:r w:rsidRPr="00E84C93">
              <w:rPr>
                <w:rFonts w:cs="Times New Roman"/>
                <w:sz w:val="20"/>
                <w:szCs w:val="20"/>
                <w:lang w:val="sr-Cyrl-CS"/>
              </w:rPr>
              <w:t xml:space="preserve">3.2.4.Почетак изградње моноинсинератора у </w:t>
            </w:r>
            <w:r w:rsidRPr="00E84C93">
              <w:rPr>
                <w:sz w:val="20"/>
                <w:szCs w:val="20"/>
                <w:lang w:val="sr-Cyrl-CS"/>
              </w:rPr>
              <w:t>Нишу</w:t>
            </w:r>
            <w:bookmarkEnd w:id="136"/>
          </w:p>
        </w:tc>
        <w:tc>
          <w:tcPr>
            <w:tcW w:w="1189" w:type="dxa"/>
          </w:tcPr>
          <w:p w14:paraId="6295275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r w:rsidRPr="00E84C93" w:rsidDel="00867E82">
              <w:rPr>
                <w:rFonts w:cs="Times New Roman"/>
                <w:sz w:val="20"/>
                <w:szCs w:val="20"/>
                <w:lang w:val="sr-Cyrl-CS"/>
              </w:rPr>
              <w:t xml:space="preserve"> </w:t>
            </w:r>
          </w:p>
        </w:tc>
        <w:tc>
          <w:tcPr>
            <w:tcW w:w="1241" w:type="dxa"/>
          </w:tcPr>
          <w:p w14:paraId="0F12D40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605BE1F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3FF86BAA"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384735A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1EE2C3F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7C843184" w14:textId="77777777" w:rsidR="00921DBE" w:rsidRPr="00E84C93" w:rsidRDefault="00921DBE" w:rsidP="00085A1A">
            <w:pPr>
              <w:rPr>
                <w:rFonts w:cs="Times New Roman"/>
                <w:sz w:val="20"/>
                <w:szCs w:val="20"/>
                <w:lang w:val="sr-Cyrl-CS"/>
              </w:rPr>
            </w:pPr>
          </w:p>
        </w:tc>
        <w:tc>
          <w:tcPr>
            <w:tcW w:w="904" w:type="dxa"/>
            <w:shd w:val="clear" w:color="auto" w:fill="auto"/>
          </w:tcPr>
          <w:p w14:paraId="766C98E6" w14:textId="77777777" w:rsidR="00921DBE" w:rsidRPr="00E84C93" w:rsidRDefault="00921DBE" w:rsidP="00085A1A">
            <w:pPr>
              <w:rPr>
                <w:rFonts w:cs="Times New Roman"/>
                <w:sz w:val="20"/>
                <w:szCs w:val="20"/>
                <w:lang w:val="sr-Cyrl-CS"/>
              </w:rPr>
            </w:pPr>
          </w:p>
        </w:tc>
        <w:tc>
          <w:tcPr>
            <w:tcW w:w="903" w:type="dxa"/>
            <w:shd w:val="clear" w:color="auto" w:fill="auto"/>
          </w:tcPr>
          <w:p w14:paraId="3F32AAD0" w14:textId="77777777" w:rsidR="00921DBE" w:rsidRPr="00E84C93" w:rsidRDefault="00921DBE" w:rsidP="00085A1A">
            <w:pPr>
              <w:rPr>
                <w:rFonts w:cs="Times New Roman"/>
                <w:sz w:val="20"/>
                <w:szCs w:val="20"/>
                <w:lang w:val="sr-Cyrl-CS"/>
              </w:rPr>
            </w:pPr>
          </w:p>
          <w:p w14:paraId="15CFBFC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shd w:val="clear" w:color="auto" w:fill="auto"/>
          </w:tcPr>
          <w:p w14:paraId="5DFC5948"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16.000*</w:t>
            </w:r>
          </w:p>
        </w:tc>
        <w:tc>
          <w:tcPr>
            <w:tcW w:w="904" w:type="dxa"/>
            <w:shd w:val="clear" w:color="auto" w:fill="auto"/>
          </w:tcPr>
          <w:p w14:paraId="34F9F6E6" w14:textId="77777777" w:rsidR="00921DBE" w:rsidRPr="00E84C93" w:rsidRDefault="00921DBE" w:rsidP="00085A1A">
            <w:pPr>
              <w:rPr>
                <w:rFonts w:cs="Times New Roman"/>
                <w:color w:val="000000" w:themeColor="text1"/>
                <w:sz w:val="20"/>
                <w:szCs w:val="20"/>
                <w:lang w:val="sr-Cyrl-CS"/>
              </w:rPr>
            </w:pPr>
            <w:r w:rsidRPr="00E84C93">
              <w:rPr>
                <w:rFonts w:cs="Times New Roman"/>
                <w:color w:val="000000" w:themeColor="text1"/>
                <w:sz w:val="20"/>
                <w:szCs w:val="20"/>
                <w:lang w:val="sr-Cyrl-CS"/>
              </w:rPr>
              <w:t>16.000*</w:t>
            </w:r>
          </w:p>
        </w:tc>
      </w:tr>
      <w:tr w:rsidR="00921DBE" w:rsidRPr="00E84C93" w14:paraId="06895E19" w14:textId="77777777" w:rsidTr="00085A1A">
        <w:trPr>
          <w:trHeight w:val="146"/>
        </w:trPr>
        <w:tc>
          <w:tcPr>
            <w:tcW w:w="2775" w:type="dxa"/>
          </w:tcPr>
          <w:p w14:paraId="2C7ABB27" w14:textId="77777777" w:rsidR="00921DBE" w:rsidRPr="00E84C93" w:rsidRDefault="00921DBE" w:rsidP="00085A1A">
            <w:pPr>
              <w:ind w:right="-116"/>
              <w:rPr>
                <w:rFonts w:cs="Times New Roman"/>
                <w:sz w:val="20"/>
                <w:szCs w:val="20"/>
                <w:lang w:val="sr-Cyrl-CS"/>
              </w:rPr>
            </w:pPr>
            <w:bookmarkStart w:id="137" w:name="_Hlk145319032"/>
            <w:r w:rsidRPr="00E84C93">
              <w:rPr>
                <w:sz w:val="20"/>
                <w:szCs w:val="20"/>
                <w:lang w:val="sr-Cyrl-CS"/>
              </w:rPr>
              <w:t xml:space="preserve">3.2.5.Израда планске документације за изградњу три монодепоније на нивоу округа </w:t>
            </w:r>
            <w:bookmarkEnd w:id="137"/>
          </w:p>
        </w:tc>
        <w:tc>
          <w:tcPr>
            <w:tcW w:w="1189" w:type="dxa"/>
          </w:tcPr>
          <w:p w14:paraId="7B6A8AF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4162816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7B0BD5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100DD507"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7DB238F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3941651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1CD087F7" w14:textId="77777777" w:rsidR="00921DBE" w:rsidRPr="00E84C93" w:rsidRDefault="00921DBE" w:rsidP="00085A1A">
            <w:pPr>
              <w:rPr>
                <w:rFonts w:cs="Times New Roman"/>
                <w:sz w:val="20"/>
                <w:szCs w:val="20"/>
                <w:lang w:val="sr-Cyrl-CS"/>
              </w:rPr>
            </w:pPr>
          </w:p>
        </w:tc>
        <w:tc>
          <w:tcPr>
            <w:tcW w:w="904" w:type="dxa"/>
            <w:shd w:val="clear" w:color="auto" w:fill="auto"/>
          </w:tcPr>
          <w:p w14:paraId="06FCC954" w14:textId="77777777" w:rsidR="00921DBE" w:rsidRPr="00E84C93" w:rsidRDefault="00921DBE" w:rsidP="00085A1A">
            <w:pPr>
              <w:rPr>
                <w:rFonts w:cs="Times New Roman"/>
                <w:sz w:val="20"/>
                <w:szCs w:val="20"/>
                <w:lang w:val="sr-Cyrl-CS"/>
              </w:rPr>
            </w:pPr>
          </w:p>
        </w:tc>
        <w:tc>
          <w:tcPr>
            <w:tcW w:w="903" w:type="dxa"/>
            <w:shd w:val="clear" w:color="auto" w:fill="auto"/>
          </w:tcPr>
          <w:p w14:paraId="2AC450A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tcPr>
          <w:p w14:paraId="4856751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37D731E6" w14:textId="77777777" w:rsidR="00921DBE" w:rsidRPr="00E84C93" w:rsidRDefault="00921DBE" w:rsidP="00085A1A">
            <w:pPr>
              <w:rPr>
                <w:rFonts w:cs="Times New Roman"/>
                <w:sz w:val="20"/>
                <w:szCs w:val="20"/>
                <w:lang w:val="sr-Cyrl-CS"/>
              </w:rPr>
            </w:pPr>
          </w:p>
        </w:tc>
        <w:tc>
          <w:tcPr>
            <w:tcW w:w="904" w:type="dxa"/>
          </w:tcPr>
          <w:p w14:paraId="55A21B0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46F3802F" w14:textId="77777777" w:rsidR="00921DBE" w:rsidRPr="00E84C93" w:rsidRDefault="00921DBE" w:rsidP="00085A1A">
            <w:pPr>
              <w:rPr>
                <w:rFonts w:cs="Times New Roman"/>
                <w:sz w:val="20"/>
                <w:szCs w:val="20"/>
                <w:lang w:val="sr-Cyrl-CS"/>
              </w:rPr>
            </w:pPr>
          </w:p>
        </w:tc>
      </w:tr>
      <w:tr w:rsidR="00921DBE" w:rsidRPr="00E84C93" w14:paraId="12828D6D" w14:textId="77777777" w:rsidTr="00085A1A">
        <w:trPr>
          <w:trHeight w:val="287"/>
        </w:trPr>
        <w:tc>
          <w:tcPr>
            <w:tcW w:w="2775" w:type="dxa"/>
          </w:tcPr>
          <w:p w14:paraId="5EEBA272" w14:textId="77777777" w:rsidR="00921DBE" w:rsidRPr="00E84C93" w:rsidRDefault="00921DBE" w:rsidP="00085A1A">
            <w:pPr>
              <w:rPr>
                <w:sz w:val="20"/>
                <w:szCs w:val="20"/>
                <w:lang w:val="sr-Cyrl-CS"/>
              </w:rPr>
            </w:pPr>
            <w:bookmarkStart w:id="138" w:name="_Hlk145319146"/>
            <w:r w:rsidRPr="00E84C93">
              <w:rPr>
                <w:sz w:val="20"/>
                <w:szCs w:val="20"/>
                <w:lang w:val="sr-Cyrl-CS"/>
              </w:rPr>
              <w:t>3.2.6.Припрема тендерске документације</w:t>
            </w:r>
            <w:bookmarkEnd w:id="138"/>
          </w:p>
        </w:tc>
        <w:tc>
          <w:tcPr>
            <w:tcW w:w="1189" w:type="dxa"/>
          </w:tcPr>
          <w:p w14:paraId="10C3E68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467081B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652D492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155C7127"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166DB50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09C7329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39ECFBFD" w14:textId="77777777" w:rsidR="00921DBE" w:rsidRPr="00E84C93" w:rsidRDefault="00921DBE" w:rsidP="00085A1A">
            <w:pPr>
              <w:rPr>
                <w:rFonts w:cs="Times New Roman"/>
                <w:sz w:val="20"/>
                <w:szCs w:val="20"/>
                <w:lang w:val="sr-Cyrl-CS"/>
              </w:rPr>
            </w:pPr>
          </w:p>
        </w:tc>
        <w:tc>
          <w:tcPr>
            <w:tcW w:w="904" w:type="dxa"/>
            <w:shd w:val="clear" w:color="auto" w:fill="auto"/>
          </w:tcPr>
          <w:p w14:paraId="538BDBAC" w14:textId="77777777" w:rsidR="00921DBE" w:rsidRPr="00E84C93" w:rsidRDefault="00921DBE" w:rsidP="00085A1A">
            <w:pPr>
              <w:rPr>
                <w:rFonts w:cs="Times New Roman"/>
                <w:sz w:val="20"/>
                <w:szCs w:val="20"/>
                <w:lang w:val="sr-Cyrl-CS"/>
              </w:rPr>
            </w:pPr>
          </w:p>
        </w:tc>
        <w:tc>
          <w:tcPr>
            <w:tcW w:w="903" w:type="dxa"/>
            <w:shd w:val="clear" w:color="auto" w:fill="auto"/>
          </w:tcPr>
          <w:p w14:paraId="3777294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tcPr>
          <w:p w14:paraId="71767F4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69FE7AE5" w14:textId="77777777" w:rsidR="00921DBE" w:rsidRPr="00E84C93" w:rsidRDefault="00921DBE" w:rsidP="00085A1A">
            <w:pPr>
              <w:rPr>
                <w:rFonts w:cs="Times New Roman"/>
                <w:sz w:val="20"/>
                <w:szCs w:val="20"/>
                <w:lang w:val="sr-Cyrl-CS"/>
              </w:rPr>
            </w:pPr>
          </w:p>
        </w:tc>
        <w:tc>
          <w:tcPr>
            <w:tcW w:w="904" w:type="dxa"/>
          </w:tcPr>
          <w:p w14:paraId="62BD9FC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1FA83193" w14:textId="77777777" w:rsidR="00921DBE" w:rsidRPr="00E84C93" w:rsidRDefault="00921DBE" w:rsidP="00085A1A">
            <w:pPr>
              <w:rPr>
                <w:rFonts w:cs="Times New Roman"/>
                <w:sz w:val="20"/>
                <w:szCs w:val="20"/>
                <w:lang w:val="sr-Cyrl-CS"/>
              </w:rPr>
            </w:pPr>
          </w:p>
        </w:tc>
      </w:tr>
      <w:tr w:rsidR="00921DBE" w:rsidRPr="00E84C93" w14:paraId="4BD75A0A" w14:textId="77777777" w:rsidTr="00085A1A">
        <w:trPr>
          <w:trHeight w:val="146"/>
        </w:trPr>
        <w:tc>
          <w:tcPr>
            <w:tcW w:w="2775" w:type="dxa"/>
          </w:tcPr>
          <w:p w14:paraId="35784AD7" w14:textId="77777777" w:rsidR="00921DBE" w:rsidRPr="00E84C93" w:rsidRDefault="00921DBE" w:rsidP="00085A1A">
            <w:pPr>
              <w:rPr>
                <w:sz w:val="20"/>
                <w:szCs w:val="20"/>
                <w:lang w:val="sr-Cyrl-CS"/>
              </w:rPr>
            </w:pPr>
            <w:bookmarkStart w:id="139" w:name="_Hlk145319182"/>
            <w:r w:rsidRPr="00E84C93">
              <w:rPr>
                <w:sz w:val="20"/>
                <w:szCs w:val="20"/>
                <w:lang w:val="sr-Cyrl-CS"/>
              </w:rPr>
              <w:t>3.2.7. Почетак изградње седам монодепонија на регионалном нивоу и нивоу округа</w:t>
            </w:r>
            <w:bookmarkEnd w:id="139"/>
          </w:p>
        </w:tc>
        <w:tc>
          <w:tcPr>
            <w:tcW w:w="1189" w:type="dxa"/>
          </w:tcPr>
          <w:p w14:paraId="62DBF57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2B63DA0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 АП, ЈЛС</w:t>
            </w:r>
          </w:p>
        </w:tc>
        <w:tc>
          <w:tcPr>
            <w:tcW w:w="1260" w:type="dxa"/>
          </w:tcPr>
          <w:p w14:paraId="30AF05B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457A5362"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01-приходи из буџета/редовна издвајања</w:t>
            </w:r>
          </w:p>
        </w:tc>
        <w:tc>
          <w:tcPr>
            <w:tcW w:w="1350" w:type="dxa"/>
          </w:tcPr>
          <w:p w14:paraId="00DDA8A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0406-0005</w:t>
            </w:r>
          </w:p>
          <w:p w14:paraId="529BBE2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3BDB7DF8" w14:textId="77777777" w:rsidR="00921DBE" w:rsidRPr="00E84C93" w:rsidRDefault="00921DBE" w:rsidP="00085A1A">
            <w:pPr>
              <w:rPr>
                <w:rFonts w:cs="Times New Roman"/>
                <w:sz w:val="20"/>
                <w:szCs w:val="20"/>
                <w:lang w:val="sr-Cyrl-CS"/>
              </w:rPr>
            </w:pPr>
          </w:p>
        </w:tc>
        <w:tc>
          <w:tcPr>
            <w:tcW w:w="904" w:type="dxa"/>
            <w:shd w:val="clear" w:color="auto" w:fill="auto"/>
          </w:tcPr>
          <w:p w14:paraId="6E7C6C2E" w14:textId="77777777" w:rsidR="00921DBE" w:rsidRPr="00E84C93" w:rsidRDefault="00921DBE" w:rsidP="00085A1A">
            <w:pPr>
              <w:rPr>
                <w:rFonts w:cs="Times New Roman"/>
                <w:sz w:val="20"/>
                <w:szCs w:val="20"/>
                <w:lang w:val="sr-Cyrl-CS"/>
              </w:rPr>
            </w:pPr>
          </w:p>
        </w:tc>
        <w:tc>
          <w:tcPr>
            <w:tcW w:w="903" w:type="dxa"/>
            <w:shd w:val="clear" w:color="auto" w:fill="auto"/>
          </w:tcPr>
          <w:p w14:paraId="364F1F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7.600*</w:t>
            </w:r>
          </w:p>
        </w:tc>
        <w:tc>
          <w:tcPr>
            <w:tcW w:w="904" w:type="dxa"/>
          </w:tcPr>
          <w:p w14:paraId="1483649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0FB7F23E" w14:textId="77777777" w:rsidR="00921DBE" w:rsidRPr="00E84C93" w:rsidRDefault="00921DBE" w:rsidP="00085A1A">
            <w:pPr>
              <w:rPr>
                <w:rFonts w:cs="Times New Roman"/>
                <w:sz w:val="20"/>
                <w:szCs w:val="20"/>
                <w:lang w:val="sr-Cyrl-CS"/>
              </w:rPr>
            </w:pPr>
          </w:p>
        </w:tc>
        <w:tc>
          <w:tcPr>
            <w:tcW w:w="904" w:type="dxa"/>
          </w:tcPr>
          <w:p w14:paraId="1ED4FD2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10.000*</w:t>
            </w:r>
          </w:p>
          <w:p w14:paraId="6BFFB533" w14:textId="77777777" w:rsidR="00921DBE" w:rsidRPr="00E84C93" w:rsidRDefault="00921DBE" w:rsidP="00085A1A">
            <w:pPr>
              <w:rPr>
                <w:rFonts w:cs="Times New Roman"/>
                <w:sz w:val="20"/>
                <w:szCs w:val="20"/>
                <w:lang w:val="sr-Cyrl-CS"/>
              </w:rPr>
            </w:pPr>
          </w:p>
        </w:tc>
      </w:tr>
    </w:tbl>
    <w:p w14:paraId="1FA61CDC" w14:textId="77777777" w:rsidR="00921DBE" w:rsidRPr="00E84C93" w:rsidRDefault="00921DBE" w:rsidP="00921DBE">
      <w:pPr>
        <w:spacing w:after="0"/>
        <w:rPr>
          <w:rFonts w:cs="Times New Roman"/>
          <w:sz w:val="20"/>
          <w:szCs w:val="20"/>
          <w:lang w:val="sr-Cyrl-CS"/>
        </w:rPr>
      </w:pPr>
    </w:p>
    <w:p w14:paraId="42ADD4A0" w14:textId="77777777" w:rsidR="00921DBE" w:rsidRPr="00E84C93" w:rsidRDefault="00921DBE" w:rsidP="00921DBE">
      <w:pPr>
        <w:spacing w:after="0"/>
        <w:rPr>
          <w:rFonts w:cs="Times New Roman"/>
          <w:sz w:val="20"/>
          <w:szCs w:val="20"/>
          <w:lang w:val="sr-Cyrl-CS"/>
        </w:rPr>
      </w:pPr>
    </w:p>
    <w:p w14:paraId="21C2DA84" w14:textId="77777777" w:rsidR="00921DBE" w:rsidRPr="00E84C93" w:rsidRDefault="00921DBE" w:rsidP="00921DBE">
      <w:pPr>
        <w:tabs>
          <w:tab w:val="left" w:pos="1940"/>
        </w:tabs>
        <w:spacing w:after="0"/>
        <w:rPr>
          <w:rFonts w:cs="Times New Roman"/>
          <w:sz w:val="20"/>
          <w:szCs w:val="20"/>
          <w:lang w:val="sr-Cyrl-CS"/>
        </w:rPr>
      </w:pPr>
    </w:p>
    <w:tbl>
      <w:tblPr>
        <w:tblStyle w:val="TableGrid"/>
        <w:tblW w:w="13563" w:type="dxa"/>
        <w:tblInd w:w="10" w:type="dxa"/>
        <w:tblLayout w:type="fixed"/>
        <w:tblLook w:val="04A0" w:firstRow="1" w:lastRow="0" w:firstColumn="1" w:lastColumn="0" w:noHBand="0" w:noVBand="1"/>
      </w:tblPr>
      <w:tblGrid>
        <w:gridCol w:w="3073"/>
        <w:gridCol w:w="1413"/>
        <w:gridCol w:w="1079"/>
        <w:gridCol w:w="1080"/>
        <w:gridCol w:w="990"/>
        <w:gridCol w:w="1170"/>
        <w:gridCol w:w="1170"/>
        <w:gridCol w:w="1260"/>
        <w:gridCol w:w="1170"/>
        <w:gridCol w:w="1158"/>
      </w:tblGrid>
      <w:tr w:rsidR="00921DBE" w:rsidRPr="00E84C93" w14:paraId="4AE48917"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tcPr>
          <w:p w14:paraId="4B45AC01"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Посебан циљ 4: </w:t>
            </w:r>
            <w:r w:rsidRPr="00E84C93">
              <w:rPr>
                <w:b/>
                <w:sz w:val="20"/>
                <w:szCs w:val="20"/>
                <w:lang w:val="sr-Cyrl-CS"/>
              </w:rPr>
              <w:t>Ојачан капацитет субјеката у области управљања муљем</w:t>
            </w:r>
          </w:p>
        </w:tc>
      </w:tr>
      <w:tr w:rsidR="00921DBE" w:rsidRPr="00E84C93" w14:paraId="19079AE6" w14:textId="77777777" w:rsidTr="00085A1A">
        <w:trPr>
          <w:trHeight w:val="341"/>
        </w:trPr>
        <w:tc>
          <w:tcPr>
            <w:tcW w:w="13563" w:type="dxa"/>
            <w:gridSpan w:val="10"/>
            <w:tcBorders>
              <w:top w:val="double" w:sz="4" w:space="0" w:color="auto"/>
              <w:right w:val="double" w:sz="4" w:space="0" w:color="auto"/>
            </w:tcBorders>
            <w:shd w:val="clear" w:color="auto" w:fill="C5E0B3" w:themeFill="accent6" w:themeFillTint="66"/>
            <w:vAlign w:val="center"/>
          </w:tcPr>
          <w:p w14:paraId="3C6C1252"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координацију и извештавање: Министарство заштите животне средине</w:t>
            </w:r>
          </w:p>
        </w:tc>
      </w:tr>
      <w:tr w:rsidR="00921DBE" w:rsidRPr="00E84C93" w14:paraId="69398B9C" w14:textId="77777777" w:rsidTr="00085A1A">
        <w:trPr>
          <w:trHeight w:val="614"/>
        </w:trPr>
        <w:tc>
          <w:tcPr>
            <w:tcW w:w="3073" w:type="dxa"/>
            <w:tcBorders>
              <w:top w:val="double" w:sz="4" w:space="0" w:color="auto"/>
            </w:tcBorders>
            <w:shd w:val="clear" w:color="auto" w:fill="D9D9D9" w:themeFill="background1" w:themeFillShade="D9"/>
          </w:tcPr>
          <w:p w14:paraId="53CE2B7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посебног циља </w:t>
            </w:r>
            <w:r w:rsidRPr="00E84C93">
              <w:rPr>
                <w:rFonts w:cs="Times New Roman"/>
                <w:i/>
                <w:sz w:val="20"/>
                <w:szCs w:val="20"/>
                <w:lang w:val="sr-Cyrl-CS"/>
              </w:rPr>
              <w:t>(показатељ исхода)</w:t>
            </w:r>
          </w:p>
        </w:tc>
        <w:tc>
          <w:tcPr>
            <w:tcW w:w="1413" w:type="dxa"/>
            <w:tcBorders>
              <w:top w:val="double" w:sz="4" w:space="0" w:color="auto"/>
            </w:tcBorders>
            <w:shd w:val="clear" w:color="auto" w:fill="D9D9D9" w:themeFill="background1" w:themeFillShade="D9"/>
          </w:tcPr>
          <w:p w14:paraId="2767549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p w14:paraId="4226150E" w14:textId="77777777" w:rsidR="00921DBE" w:rsidRPr="00E84C93" w:rsidRDefault="00921DBE" w:rsidP="00085A1A">
            <w:pPr>
              <w:rPr>
                <w:rFonts w:cs="Times New Roman"/>
                <w:sz w:val="20"/>
                <w:szCs w:val="20"/>
                <w:lang w:val="sr-Cyrl-CS"/>
              </w:rPr>
            </w:pPr>
          </w:p>
        </w:tc>
        <w:tc>
          <w:tcPr>
            <w:tcW w:w="1079" w:type="dxa"/>
            <w:tcBorders>
              <w:top w:val="double" w:sz="4" w:space="0" w:color="auto"/>
            </w:tcBorders>
            <w:shd w:val="clear" w:color="auto" w:fill="D9D9D9" w:themeFill="background1" w:themeFillShade="D9"/>
          </w:tcPr>
          <w:p w14:paraId="4A0283E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80" w:type="dxa"/>
            <w:tcBorders>
              <w:top w:val="double" w:sz="4" w:space="0" w:color="auto"/>
            </w:tcBorders>
            <w:shd w:val="clear" w:color="auto" w:fill="D9D9D9" w:themeFill="background1" w:themeFillShade="D9"/>
          </w:tcPr>
          <w:p w14:paraId="5D8A987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990" w:type="dxa"/>
            <w:tcBorders>
              <w:top w:val="double" w:sz="4" w:space="0" w:color="auto"/>
            </w:tcBorders>
            <w:shd w:val="clear" w:color="auto" w:fill="D9D9D9" w:themeFill="background1" w:themeFillShade="D9"/>
          </w:tcPr>
          <w:p w14:paraId="2907265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170" w:type="dxa"/>
            <w:tcBorders>
              <w:top w:val="double" w:sz="4" w:space="0" w:color="auto"/>
            </w:tcBorders>
            <w:shd w:val="clear" w:color="auto" w:fill="D9D9D9" w:themeFill="background1" w:themeFillShade="D9"/>
          </w:tcPr>
          <w:p w14:paraId="12573BD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170" w:type="dxa"/>
            <w:tcBorders>
              <w:top w:val="double" w:sz="4" w:space="0" w:color="auto"/>
            </w:tcBorders>
            <w:shd w:val="clear" w:color="auto" w:fill="D9D9D9" w:themeFill="background1" w:themeFillShade="D9"/>
          </w:tcPr>
          <w:p w14:paraId="379F653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260" w:type="dxa"/>
            <w:tcBorders>
              <w:top w:val="double" w:sz="4" w:space="0" w:color="auto"/>
              <w:right w:val="single" w:sz="4" w:space="0" w:color="auto"/>
            </w:tcBorders>
            <w:shd w:val="clear" w:color="auto" w:fill="D9D9D9" w:themeFill="background1" w:themeFillShade="D9"/>
          </w:tcPr>
          <w:p w14:paraId="78FB056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170" w:type="dxa"/>
            <w:tcBorders>
              <w:top w:val="double" w:sz="4" w:space="0" w:color="auto"/>
              <w:left w:val="single" w:sz="4" w:space="0" w:color="auto"/>
              <w:right w:val="single" w:sz="4" w:space="0" w:color="auto"/>
            </w:tcBorders>
            <w:shd w:val="clear" w:color="auto" w:fill="D9D9D9" w:themeFill="background1" w:themeFillShade="D9"/>
          </w:tcPr>
          <w:p w14:paraId="510C695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158" w:type="dxa"/>
            <w:tcBorders>
              <w:top w:val="double" w:sz="4" w:space="0" w:color="auto"/>
              <w:left w:val="single" w:sz="4" w:space="0" w:color="auto"/>
              <w:right w:val="double" w:sz="4" w:space="0" w:color="auto"/>
            </w:tcBorders>
            <w:shd w:val="clear" w:color="auto" w:fill="D9D9D9" w:themeFill="background1" w:themeFillShade="D9"/>
          </w:tcPr>
          <w:p w14:paraId="6431E56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51A45164" w14:textId="77777777" w:rsidTr="00085A1A">
        <w:trPr>
          <w:trHeight w:val="271"/>
        </w:trPr>
        <w:tc>
          <w:tcPr>
            <w:tcW w:w="3073" w:type="dxa"/>
            <w:tcBorders>
              <w:top w:val="double" w:sz="4" w:space="0" w:color="auto"/>
            </w:tcBorders>
            <w:shd w:val="clear" w:color="auto" w:fill="FFFFFF" w:themeFill="background1"/>
          </w:tcPr>
          <w:p w14:paraId="5FADC38D" w14:textId="77777777" w:rsidR="00921DBE" w:rsidRPr="00E84C93" w:rsidRDefault="00921DBE" w:rsidP="00085A1A">
            <w:pPr>
              <w:shd w:val="clear" w:color="auto" w:fill="FFFFFF" w:themeFill="background1"/>
              <w:rPr>
                <w:rFonts w:cs="Times New Roman"/>
                <w:iCs/>
                <w:sz w:val="20"/>
                <w:szCs w:val="20"/>
                <w:lang w:val="sr-Cyrl-CS"/>
              </w:rPr>
            </w:pPr>
            <w:r w:rsidRPr="00E84C93">
              <w:rPr>
                <w:rFonts w:cs="Times New Roman"/>
                <w:sz w:val="20"/>
                <w:szCs w:val="20"/>
                <w:lang w:val="sr-Cyrl-CS"/>
              </w:rPr>
              <w:t>Формирана нова регионална предузећа за управљање муљем</w:t>
            </w:r>
          </w:p>
        </w:tc>
        <w:tc>
          <w:tcPr>
            <w:tcW w:w="1413" w:type="dxa"/>
            <w:tcBorders>
              <w:top w:val="double" w:sz="4" w:space="0" w:color="auto"/>
            </w:tcBorders>
            <w:shd w:val="clear" w:color="auto" w:fill="FFFFFF" w:themeFill="background1"/>
          </w:tcPr>
          <w:p w14:paraId="2833D6E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079" w:type="dxa"/>
            <w:tcBorders>
              <w:top w:val="double" w:sz="4" w:space="0" w:color="auto"/>
            </w:tcBorders>
            <w:shd w:val="clear" w:color="auto" w:fill="FFFFFF" w:themeFill="background1"/>
          </w:tcPr>
          <w:p w14:paraId="67C9591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 МЗЖС </w:t>
            </w:r>
          </w:p>
        </w:tc>
        <w:tc>
          <w:tcPr>
            <w:tcW w:w="1080" w:type="dxa"/>
            <w:tcBorders>
              <w:top w:val="double" w:sz="4" w:space="0" w:color="auto"/>
            </w:tcBorders>
            <w:shd w:val="clear" w:color="auto" w:fill="FFFFFF" w:themeFill="background1"/>
          </w:tcPr>
          <w:p w14:paraId="326B2E5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990" w:type="dxa"/>
            <w:tcBorders>
              <w:top w:val="double" w:sz="4" w:space="0" w:color="auto"/>
            </w:tcBorders>
            <w:shd w:val="clear" w:color="auto" w:fill="FFFFFF" w:themeFill="background1"/>
          </w:tcPr>
          <w:p w14:paraId="54DD3317"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170" w:type="dxa"/>
            <w:tcBorders>
              <w:top w:val="double" w:sz="4" w:space="0" w:color="auto"/>
            </w:tcBorders>
            <w:shd w:val="clear" w:color="auto" w:fill="FFFFFF" w:themeFill="background1"/>
          </w:tcPr>
          <w:p w14:paraId="44FDECB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170" w:type="dxa"/>
            <w:tcBorders>
              <w:top w:val="double" w:sz="4" w:space="0" w:color="auto"/>
            </w:tcBorders>
            <w:shd w:val="clear" w:color="auto" w:fill="FFFFFF" w:themeFill="background1"/>
          </w:tcPr>
          <w:p w14:paraId="5C702ABC"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260" w:type="dxa"/>
            <w:tcBorders>
              <w:top w:val="double" w:sz="4" w:space="0" w:color="auto"/>
              <w:right w:val="single" w:sz="4" w:space="0" w:color="auto"/>
            </w:tcBorders>
            <w:shd w:val="clear" w:color="auto" w:fill="FFFFFF" w:themeFill="background1"/>
          </w:tcPr>
          <w:p w14:paraId="562455D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170" w:type="dxa"/>
            <w:tcBorders>
              <w:top w:val="double" w:sz="4" w:space="0" w:color="auto"/>
              <w:left w:val="single" w:sz="4" w:space="0" w:color="auto"/>
              <w:right w:val="single" w:sz="4" w:space="0" w:color="auto"/>
            </w:tcBorders>
            <w:shd w:val="clear" w:color="auto" w:fill="FFFFFF" w:themeFill="background1"/>
          </w:tcPr>
          <w:p w14:paraId="4AFE40B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158" w:type="dxa"/>
            <w:tcBorders>
              <w:top w:val="double" w:sz="4" w:space="0" w:color="auto"/>
              <w:left w:val="single" w:sz="4" w:space="0" w:color="auto"/>
              <w:right w:val="double" w:sz="4" w:space="0" w:color="auto"/>
            </w:tcBorders>
            <w:shd w:val="clear" w:color="auto" w:fill="FFFFFF" w:themeFill="background1"/>
          </w:tcPr>
          <w:p w14:paraId="1705B95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1</w:t>
            </w:r>
          </w:p>
        </w:tc>
      </w:tr>
    </w:tbl>
    <w:p w14:paraId="27D33CCD" w14:textId="77777777" w:rsidR="00921DBE" w:rsidRPr="00E84C93" w:rsidRDefault="00921DBE" w:rsidP="00921DBE">
      <w:pPr>
        <w:spacing w:after="0"/>
        <w:rPr>
          <w:rFonts w:cs="Times New Roman"/>
          <w:sz w:val="20"/>
          <w:szCs w:val="20"/>
          <w:lang w:val="sr-Cyrl-CS"/>
        </w:rPr>
      </w:pPr>
    </w:p>
    <w:p w14:paraId="6DD04548"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959"/>
        <w:gridCol w:w="140"/>
        <w:gridCol w:w="1350"/>
        <w:gridCol w:w="1080"/>
        <w:gridCol w:w="1075"/>
        <w:gridCol w:w="10"/>
        <w:gridCol w:w="1068"/>
        <w:gridCol w:w="1080"/>
        <w:gridCol w:w="1076"/>
      </w:tblGrid>
      <w:tr w:rsidR="00921DBE" w:rsidRPr="00E84C93" w14:paraId="71E18234"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9FEDFED"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4.1: </w:t>
            </w:r>
            <w:r w:rsidRPr="00E84C93">
              <w:rPr>
                <w:rFonts w:cs="Times New Roman"/>
                <w:bCs/>
                <w:sz w:val="20"/>
                <w:szCs w:val="20"/>
                <w:lang w:val="sr-Cyrl-CS"/>
              </w:rPr>
              <w:t xml:space="preserve">Јачање административних и институционалних капацитета надлежних институција за управљање муљем </w:t>
            </w:r>
          </w:p>
        </w:tc>
      </w:tr>
      <w:tr w:rsidR="00921DBE" w:rsidRPr="00E84C93" w14:paraId="698A80EA"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34CEF70"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w:t>
            </w:r>
            <w:r w:rsidRPr="00E84C93">
              <w:rPr>
                <w:rFonts w:cs="Times New Roman"/>
                <w:sz w:val="20"/>
                <w:szCs w:val="20"/>
                <w:lang w:val="sr-Cyrl-CS" w:eastAsia="en-GB"/>
              </w:rPr>
              <w:t>Министарство заштите животне средине</w:t>
            </w:r>
          </w:p>
        </w:tc>
      </w:tr>
      <w:tr w:rsidR="00921DBE" w:rsidRPr="00E84C93" w14:paraId="278E07F3" w14:textId="77777777" w:rsidTr="00085A1A">
        <w:trPr>
          <w:trHeight w:val="420"/>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807A2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Период спровођења: 2023-2027.</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DA3E1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Инфорамативно-едукативна</w:t>
            </w:r>
          </w:p>
        </w:tc>
      </w:tr>
      <w:tr w:rsidR="00921DBE" w:rsidRPr="00E84C93" w14:paraId="61C6D615" w14:textId="77777777" w:rsidTr="00085A1A">
        <w:trPr>
          <w:trHeight w:val="357"/>
        </w:trPr>
        <w:tc>
          <w:tcPr>
            <w:tcW w:w="685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D3CEA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87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AC445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18FAF313"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240FD60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E934BD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43D1943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gridSpan w:val="2"/>
            <w:tcBorders>
              <w:top w:val="double" w:sz="4" w:space="0" w:color="auto"/>
              <w:bottom w:val="double" w:sz="4" w:space="0" w:color="auto"/>
            </w:tcBorders>
            <w:shd w:val="clear" w:color="auto" w:fill="D9D9D9" w:themeFill="background1" w:themeFillShade="D9"/>
          </w:tcPr>
          <w:p w14:paraId="5A30717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tcBorders>
              <w:top w:val="double" w:sz="4" w:space="0" w:color="auto"/>
              <w:bottom w:val="double" w:sz="4" w:space="0" w:color="auto"/>
            </w:tcBorders>
            <w:shd w:val="clear" w:color="auto" w:fill="D9D9D9" w:themeFill="background1" w:themeFillShade="D9"/>
          </w:tcPr>
          <w:p w14:paraId="0F7D36B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51A8366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3D3C3BA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4AC84F0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018C9A9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0A13143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4F1A4B1D"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6E4BD942"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Број одржаних обука за запослене у надлежним институцијама, годишње</w:t>
            </w:r>
          </w:p>
        </w:tc>
        <w:tc>
          <w:tcPr>
            <w:tcW w:w="1430" w:type="dxa"/>
            <w:tcBorders>
              <w:top w:val="double" w:sz="4" w:space="0" w:color="auto"/>
              <w:bottom w:val="double" w:sz="4" w:space="0" w:color="auto"/>
            </w:tcBorders>
            <w:shd w:val="clear" w:color="auto" w:fill="FFFFFF" w:themeFill="background1"/>
          </w:tcPr>
          <w:p w14:paraId="6EDAA7C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Број</w:t>
            </w:r>
          </w:p>
        </w:tc>
        <w:tc>
          <w:tcPr>
            <w:tcW w:w="1337" w:type="dxa"/>
            <w:tcBorders>
              <w:top w:val="double" w:sz="4" w:space="0" w:color="auto"/>
              <w:bottom w:val="double" w:sz="4" w:space="0" w:color="auto"/>
            </w:tcBorders>
            <w:shd w:val="clear" w:color="auto" w:fill="FFFFFF" w:themeFill="background1"/>
          </w:tcPr>
          <w:p w14:paraId="55629990"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 МЗЖС </w:t>
            </w:r>
          </w:p>
        </w:tc>
        <w:tc>
          <w:tcPr>
            <w:tcW w:w="1099" w:type="dxa"/>
            <w:gridSpan w:val="2"/>
            <w:tcBorders>
              <w:top w:val="double" w:sz="4" w:space="0" w:color="auto"/>
              <w:bottom w:val="double" w:sz="4" w:space="0" w:color="auto"/>
            </w:tcBorders>
            <w:shd w:val="clear" w:color="auto" w:fill="FFFFFF" w:themeFill="background1"/>
          </w:tcPr>
          <w:p w14:paraId="42AA0C4B"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tcBorders>
              <w:top w:val="double" w:sz="4" w:space="0" w:color="auto"/>
              <w:bottom w:val="double" w:sz="4" w:space="0" w:color="auto"/>
            </w:tcBorders>
            <w:shd w:val="clear" w:color="auto" w:fill="FFFFFF" w:themeFill="background1"/>
          </w:tcPr>
          <w:p w14:paraId="10A6711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5C4C4828"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FFFFFF" w:themeFill="background1"/>
          </w:tcPr>
          <w:p w14:paraId="7578FC1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auto"/>
          </w:tcPr>
          <w:p w14:paraId="3D6C358E"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7B4F66C4"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302679C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r>
    </w:tbl>
    <w:p w14:paraId="3EC07B7D"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778D6F78"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794E501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4C63487D"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17E0BDD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23E010E4"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F4B33F"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0DAF384C"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07FA4AE7"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28184095"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72649A"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8A44E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383484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77F819"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75B50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0300FEFA" w14:textId="77777777" w:rsidTr="00085A1A">
        <w:trPr>
          <w:trHeight w:val="456"/>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160F72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01-приходи буџета/редовна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699B4B5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0406-0004</w:t>
            </w:r>
          </w:p>
          <w:p w14:paraId="05A6F8AB"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719E6F57"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662257C9"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4E8EAB89"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525787BA"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02FEC610" w14:textId="77777777" w:rsidR="00921DBE" w:rsidRPr="00E84C93" w:rsidRDefault="00921DBE" w:rsidP="00085A1A">
            <w:pPr>
              <w:rPr>
                <w:rFonts w:cs="Times New Roman"/>
                <w:sz w:val="20"/>
                <w:szCs w:val="20"/>
                <w:lang w:val="sr-Cyrl-CS"/>
              </w:rPr>
            </w:pPr>
          </w:p>
        </w:tc>
      </w:tr>
      <w:tr w:rsidR="00921DBE" w:rsidRPr="00E84C93" w14:paraId="12E71D45" w14:textId="77777777" w:rsidTr="00085A1A">
        <w:trPr>
          <w:trHeight w:val="456"/>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584261E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 АП/редовна издвајања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05B3151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423DB3D4"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5428B1F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38413F48" w14:textId="77777777" w:rsidR="00921DBE" w:rsidRPr="00E84C93" w:rsidRDefault="00921DBE" w:rsidP="00085A1A">
            <w:pPr>
              <w:rPr>
                <w:rFonts w:cs="Times New Roman"/>
                <w:sz w:val="20"/>
                <w:szCs w:val="20"/>
                <w:lang w:val="sr-Cyrl-CS"/>
              </w:rPr>
            </w:pPr>
          </w:p>
        </w:tc>
        <w:tc>
          <w:tcPr>
            <w:tcW w:w="1530" w:type="dxa"/>
            <w:tcBorders>
              <w:top w:val="double" w:sz="4" w:space="0" w:color="auto"/>
              <w:left w:val="double" w:sz="4" w:space="0" w:color="auto"/>
              <w:bottom w:val="double" w:sz="4" w:space="0" w:color="auto"/>
              <w:right w:val="double" w:sz="4" w:space="0" w:color="auto"/>
            </w:tcBorders>
            <w:shd w:val="clear" w:color="auto" w:fill="FFFFFF" w:themeFill="background1"/>
          </w:tcPr>
          <w:p w14:paraId="3A25771C"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4A5751BA" w14:textId="77777777" w:rsidR="00921DBE" w:rsidRPr="00E84C93" w:rsidRDefault="00921DBE" w:rsidP="00085A1A">
            <w:pPr>
              <w:rPr>
                <w:rFonts w:cs="Times New Roman"/>
                <w:sz w:val="20"/>
                <w:szCs w:val="20"/>
                <w:lang w:val="sr-Cyrl-CS"/>
              </w:rPr>
            </w:pPr>
          </w:p>
        </w:tc>
      </w:tr>
      <w:tr w:rsidR="00921DBE" w:rsidRPr="00E84C93" w14:paraId="5C4FAFDC" w14:textId="77777777" w:rsidTr="00085A1A">
        <w:trPr>
          <w:trHeight w:val="456"/>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475AAB9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7C75C3A7"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4CDFCAEA"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4078468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61377D5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28D1597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0260F2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r>
    </w:tbl>
    <w:p w14:paraId="781A81C2"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3D29BF8D" w14:textId="77777777" w:rsidTr="00085A1A">
        <w:trPr>
          <w:trHeight w:val="146"/>
        </w:trPr>
        <w:tc>
          <w:tcPr>
            <w:tcW w:w="2725" w:type="dxa"/>
            <w:vMerge w:val="restart"/>
            <w:shd w:val="clear" w:color="auto" w:fill="FFF2CC" w:themeFill="accent4" w:themeFillTint="33"/>
          </w:tcPr>
          <w:p w14:paraId="2BF0E37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53532CF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38F0C65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07F4C8F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54CDDC9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7895075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08477711" w14:textId="77777777" w:rsidR="00921DBE" w:rsidRPr="00E84C93" w:rsidRDefault="00921DBE" w:rsidP="00085A1A">
            <w:pPr>
              <w:jc w:val="center"/>
              <w:rPr>
                <w:rFonts w:cs="Times New Roman"/>
                <w:sz w:val="20"/>
                <w:szCs w:val="20"/>
                <w:lang w:val="sr-Cyrl-CS"/>
              </w:rPr>
            </w:pPr>
          </w:p>
        </w:tc>
        <w:tc>
          <w:tcPr>
            <w:tcW w:w="4518" w:type="dxa"/>
            <w:gridSpan w:val="5"/>
            <w:shd w:val="clear" w:color="auto" w:fill="FFF2CC" w:themeFill="accent4" w:themeFillTint="33"/>
          </w:tcPr>
          <w:p w14:paraId="38AF6E5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43EBF193" w14:textId="77777777" w:rsidTr="00085A1A">
        <w:trPr>
          <w:trHeight w:val="405"/>
        </w:trPr>
        <w:tc>
          <w:tcPr>
            <w:tcW w:w="2725" w:type="dxa"/>
            <w:vMerge/>
            <w:shd w:val="clear" w:color="auto" w:fill="FFF2CC" w:themeFill="accent4" w:themeFillTint="33"/>
          </w:tcPr>
          <w:p w14:paraId="05A64EEE"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582EB79B"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1346A987"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18E248F5"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3C159939"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23A3FEB8"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656F989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053E624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454C195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13746A7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7424D42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183C68D2" w14:textId="77777777" w:rsidTr="00085A1A">
        <w:trPr>
          <w:trHeight w:val="146"/>
        </w:trPr>
        <w:tc>
          <w:tcPr>
            <w:tcW w:w="2725" w:type="dxa"/>
          </w:tcPr>
          <w:p w14:paraId="4D9F75B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4.1.1. Спровођење анализе постојећих и идентификовање потреба за унапређењем капацитета и новим запошљавањем у надлежним органима државне управе</w:t>
            </w:r>
          </w:p>
        </w:tc>
        <w:tc>
          <w:tcPr>
            <w:tcW w:w="1239" w:type="dxa"/>
          </w:tcPr>
          <w:p w14:paraId="7974854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06293EA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w:t>
            </w:r>
          </w:p>
        </w:tc>
        <w:tc>
          <w:tcPr>
            <w:tcW w:w="1260" w:type="dxa"/>
          </w:tcPr>
          <w:p w14:paraId="775427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726F4215"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314718F0" w14:textId="77777777" w:rsidR="00921DBE" w:rsidRPr="00E84C93" w:rsidRDefault="00921DBE" w:rsidP="00085A1A">
            <w:pPr>
              <w:rPr>
                <w:rFonts w:cs="Times New Roman"/>
                <w:sz w:val="20"/>
                <w:szCs w:val="20"/>
                <w:lang w:val="sr-Cyrl-CS"/>
              </w:rPr>
            </w:pPr>
          </w:p>
        </w:tc>
        <w:tc>
          <w:tcPr>
            <w:tcW w:w="903" w:type="dxa"/>
          </w:tcPr>
          <w:p w14:paraId="0F948C07" w14:textId="77777777" w:rsidR="00921DBE" w:rsidRPr="00E84C93" w:rsidRDefault="00921DBE" w:rsidP="00085A1A">
            <w:pPr>
              <w:rPr>
                <w:rFonts w:cs="Times New Roman"/>
                <w:sz w:val="20"/>
                <w:szCs w:val="20"/>
                <w:lang w:val="sr-Cyrl-CS"/>
              </w:rPr>
            </w:pPr>
          </w:p>
        </w:tc>
        <w:tc>
          <w:tcPr>
            <w:tcW w:w="904" w:type="dxa"/>
          </w:tcPr>
          <w:p w14:paraId="50CC9E0B" w14:textId="77777777" w:rsidR="00921DBE" w:rsidRPr="00E84C93" w:rsidRDefault="00921DBE" w:rsidP="00085A1A">
            <w:pPr>
              <w:rPr>
                <w:rFonts w:cs="Times New Roman"/>
                <w:sz w:val="20"/>
                <w:szCs w:val="20"/>
                <w:lang w:val="sr-Cyrl-CS"/>
              </w:rPr>
            </w:pPr>
          </w:p>
        </w:tc>
        <w:tc>
          <w:tcPr>
            <w:tcW w:w="903" w:type="dxa"/>
          </w:tcPr>
          <w:p w14:paraId="54D7D9FF" w14:textId="77777777" w:rsidR="00921DBE" w:rsidRPr="00E84C93" w:rsidRDefault="00921DBE" w:rsidP="00085A1A">
            <w:pPr>
              <w:rPr>
                <w:rFonts w:cs="Times New Roman"/>
                <w:sz w:val="20"/>
                <w:szCs w:val="20"/>
                <w:lang w:val="sr-Cyrl-CS"/>
              </w:rPr>
            </w:pPr>
          </w:p>
        </w:tc>
        <w:tc>
          <w:tcPr>
            <w:tcW w:w="904" w:type="dxa"/>
          </w:tcPr>
          <w:p w14:paraId="77D2E8D8" w14:textId="77777777" w:rsidR="00921DBE" w:rsidRPr="00E84C93" w:rsidRDefault="00921DBE" w:rsidP="00085A1A">
            <w:pPr>
              <w:rPr>
                <w:rFonts w:cs="Times New Roman"/>
                <w:sz w:val="20"/>
                <w:szCs w:val="20"/>
                <w:lang w:val="sr-Cyrl-CS"/>
              </w:rPr>
            </w:pPr>
          </w:p>
        </w:tc>
        <w:tc>
          <w:tcPr>
            <w:tcW w:w="904" w:type="dxa"/>
          </w:tcPr>
          <w:p w14:paraId="713BA52B" w14:textId="77777777" w:rsidR="00921DBE" w:rsidRPr="00E84C93" w:rsidRDefault="00921DBE" w:rsidP="00085A1A">
            <w:pPr>
              <w:rPr>
                <w:rFonts w:cs="Times New Roman"/>
                <w:sz w:val="20"/>
                <w:szCs w:val="20"/>
                <w:lang w:val="sr-Cyrl-CS"/>
              </w:rPr>
            </w:pPr>
          </w:p>
        </w:tc>
      </w:tr>
      <w:tr w:rsidR="00921DBE" w:rsidRPr="00E84C93" w14:paraId="2059DC9B" w14:textId="77777777" w:rsidTr="00085A1A">
        <w:trPr>
          <w:trHeight w:val="146"/>
        </w:trPr>
        <w:tc>
          <w:tcPr>
            <w:tcW w:w="2725" w:type="dxa"/>
          </w:tcPr>
          <w:p w14:paraId="608E000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4.1.2. Спровођење анализе постојећих и </w:t>
            </w:r>
            <w:r w:rsidRPr="00E84C93">
              <w:rPr>
                <w:rFonts w:cs="Times New Roman"/>
                <w:sz w:val="20"/>
                <w:szCs w:val="20"/>
                <w:lang w:val="sr-Cyrl-CS"/>
              </w:rPr>
              <w:lastRenderedPageBreak/>
              <w:t>идентификовање потреба за унапређењем капацитета и новим запошљавањем у органима АП и ЈЛС</w:t>
            </w:r>
          </w:p>
        </w:tc>
        <w:tc>
          <w:tcPr>
            <w:tcW w:w="1239" w:type="dxa"/>
          </w:tcPr>
          <w:p w14:paraId="42A4E2A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lastRenderedPageBreak/>
              <w:t>МЗЖС</w:t>
            </w:r>
          </w:p>
        </w:tc>
        <w:tc>
          <w:tcPr>
            <w:tcW w:w="1241" w:type="dxa"/>
          </w:tcPr>
          <w:p w14:paraId="4A987BD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 ЈЛС</w:t>
            </w:r>
          </w:p>
        </w:tc>
        <w:tc>
          <w:tcPr>
            <w:tcW w:w="1260" w:type="dxa"/>
          </w:tcPr>
          <w:p w14:paraId="56D37FA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0AD6263B"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54856E1D" w14:textId="77777777" w:rsidR="00921DBE" w:rsidRPr="00E84C93" w:rsidRDefault="00921DBE" w:rsidP="00085A1A">
            <w:pPr>
              <w:rPr>
                <w:rFonts w:cs="Times New Roman"/>
                <w:sz w:val="20"/>
                <w:szCs w:val="20"/>
                <w:lang w:val="sr-Cyrl-CS"/>
              </w:rPr>
            </w:pPr>
          </w:p>
        </w:tc>
        <w:tc>
          <w:tcPr>
            <w:tcW w:w="903" w:type="dxa"/>
          </w:tcPr>
          <w:p w14:paraId="1DDE2FB8" w14:textId="77777777" w:rsidR="00921DBE" w:rsidRPr="00E84C93" w:rsidRDefault="00921DBE" w:rsidP="00085A1A">
            <w:pPr>
              <w:rPr>
                <w:rFonts w:cs="Times New Roman"/>
                <w:sz w:val="20"/>
                <w:szCs w:val="20"/>
                <w:lang w:val="sr-Cyrl-CS"/>
              </w:rPr>
            </w:pPr>
          </w:p>
        </w:tc>
        <w:tc>
          <w:tcPr>
            <w:tcW w:w="904" w:type="dxa"/>
          </w:tcPr>
          <w:p w14:paraId="6FD96FDF" w14:textId="77777777" w:rsidR="00921DBE" w:rsidRPr="00E84C93" w:rsidRDefault="00921DBE" w:rsidP="00085A1A">
            <w:pPr>
              <w:rPr>
                <w:rFonts w:cs="Times New Roman"/>
                <w:sz w:val="20"/>
                <w:szCs w:val="20"/>
                <w:lang w:val="sr-Cyrl-CS"/>
              </w:rPr>
            </w:pPr>
          </w:p>
        </w:tc>
        <w:tc>
          <w:tcPr>
            <w:tcW w:w="903" w:type="dxa"/>
          </w:tcPr>
          <w:p w14:paraId="03A5A98A" w14:textId="77777777" w:rsidR="00921DBE" w:rsidRPr="00E84C93" w:rsidRDefault="00921DBE" w:rsidP="00085A1A">
            <w:pPr>
              <w:rPr>
                <w:rFonts w:cs="Times New Roman"/>
                <w:sz w:val="20"/>
                <w:szCs w:val="20"/>
                <w:lang w:val="sr-Cyrl-CS"/>
              </w:rPr>
            </w:pPr>
          </w:p>
        </w:tc>
        <w:tc>
          <w:tcPr>
            <w:tcW w:w="904" w:type="dxa"/>
          </w:tcPr>
          <w:p w14:paraId="0565B96D" w14:textId="77777777" w:rsidR="00921DBE" w:rsidRPr="00E84C93" w:rsidRDefault="00921DBE" w:rsidP="00085A1A">
            <w:pPr>
              <w:rPr>
                <w:rFonts w:cs="Times New Roman"/>
                <w:sz w:val="20"/>
                <w:szCs w:val="20"/>
                <w:lang w:val="sr-Cyrl-CS"/>
              </w:rPr>
            </w:pPr>
          </w:p>
        </w:tc>
        <w:tc>
          <w:tcPr>
            <w:tcW w:w="904" w:type="dxa"/>
          </w:tcPr>
          <w:p w14:paraId="2A87371B" w14:textId="77777777" w:rsidR="00921DBE" w:rsidRPr="00E84C93" w:rsidRDefault="00921DBE" w:rsidP="00085A1A">
            <w:pPr>
              <w:rPr>
                <w:rFonts w:cs="Times New Roman"/>
                <w:sz w:val="20"/>
                <w:szCs w:val="20"/>
                <w:lang w:val="sr-Cyrl-CS"/>
              </w:rPr>
            </w:pPr>
          </w:p>
        </w:tc>
      </w:tr>
      <w:tr w:rsidR="00921DBE" w:rsidRPr="00E84C93" w14:paraId="4AEAF98C" w14:textId="77777777" w:rsidTr="00085A1A">
        <w:trPr>
          <w:trHeight w:val="146"/>
        </w:trPr>
        <w:tc>
          <w:tcPr>
            <w:tcW w:w="2725" w:type="dxa"/>
          </w:tcPr>
          <w:p w14:paraId="3270D8F6" w14:textId="77777777" w:rsidR="00921DBE" w:rsidRPr="00E84C93" w:rsidRDefault="00921DBE" w:rsidP="00085A1A">
            <w:pPr>
              <w:rPr>
                <w:rFonts w:cs="Times New Roman"/>
                <w:sz w:val="20"/>
                <w:szCs w:val="20"/>
                <w:lang w:val="sr-Cyrl-CS"/>
              </w:rPr>
            </w:pPr>
            <w:bookmarkStart w:id="140" w:name="_Hlk145319236"/>
            <w:r w:rsidRPr="00E84C93">
              <w:rPr>
                <w:rFonts w:cs="Times New Roman"/>
                <w:sz w:val="20"/>
                <w:szCs w:val="20"/>
                <w:lang w:val="sr-Cyrl-CS"/>
              </w:rPr>
              <w:t>4.1.3. Израда програма и спровођење обука за управљање муљем за развој компетенција запослених у органима државне управе, АП и ЈЛС</w:t>
            </w:r>
            <w:bookmarkEnd w:id="140"/>
          </w:p>
        </w:tc>
        <w:tc>
          <w:tcPr>
            <w:tcW w:w="1239" w:type="dxa"/>
          </w:tcPr>
          <w:p w14:paraId="2E40271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6E2963E4" w14:textId="77777777" w:rsidR="00921DBE" w:rsidRPr="00E84C93" w:rsidRDefault="00921DBE" w:rsidP="00085A1A">
            <w:pPr>
              <w:rPr>
                <w:rFonts w:cs="Times New Roman"/>
                <w:sz w:val="20"/>
                <w:szCs w:val="20"/>
                <w:lang w:val="sr-Cyrl-CS"/>
              </w:rPr>
            </w:pPr>
          </w:p>
        </w:tc>
        <w:tc>
          <w:tcPr>
            <w:tcW w:w="1260" w:type="dxa"/>
          </w:tcPr>
          <w:p w14:paraId="44EA124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62CCB9C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1350" w:type="dxa"/>
          </w:tcPr>
          <w:p w14:paraId="63012FF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0406-0004</w:t>
            </w:r>
          </w:p>
          <w:p w14:paraId="3F9AC51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463</w:t>
            </w:r>
          </w:p>
        </w:tc>
        <w:tc>
          <w:tcPr>
            <w:tcW w:w="903" w:type="dxa"/>
          </w:tcPr>
          <w:p w14:paraId="2F86F3F2" w14:textId="77777777" w:rsidR="00921DBE" w:rsidRPr="00E84C93" w:rsidRDefault="00921DBE" w:rsidP="00085A1A">
            <w:pPr>
              <w:rPr>
                <w:rFonts w:cs="Times New Roman"/>
                <w:sz w:val="20"/>
                <w:szCs w:val="20"/>
                <w:lang w:val="sr-Cyrl-CS"/>
              </w:rPr>
            </w:pPr>
          </w:p>
        </w:tc>
        <w:tc>
          <w:tcPr>
            <w:tcW w:w="904" w:type="dxa"/>
          </w:tcPr>
          <w:p w14:paraId="67494B6D" w14:textId="77777777" w:rsidR="00921DBE" w:rsidRPr="00E84C93" w:rsidRDefault="00921DBE" w:rsidP="00085A1A">
            <w:pPr>
              <w:rPr>
                <w:rFonts w:cs="Times New Roman"/>
                <w:sz w:val="20"/>
                <w:szCs w:val="20"/>
                <w:lang w:val="sr-Cyrl-CS"/>
              </w:rPr>
            </w:pPr>
          </w:p>
        </w:tc>
        <w:tc>
          <w:tcPr>
            <w:tcW w:w="903" w:type="dxa"/>
            <w:shd w:val="clear" w:color="auto" w:fill="auto"/>
          </w:tcPr>
          <w:p w14:paraId="01DF7D8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p w14:paraId="75DE565D" w14:textId="77777777" w:rsidR="00921DBE" w:rsidRPr="00E84C93" w:rsidRDefault="00921DBE" w:rsidP="00085A1A">
            <w:pPr>
              <w:rPr>
                <w:rFonts w:cs="Times New Roman"/>
                <w:sz w:val="20"/>
                <w:szCs w:val="20"/>
                <w:lang w:val="sr-Cyrl-CS"/>
              </w:rPr>
            </w:pPr>
          </w:p>
        </w:tc>
        <w:tc>
          <w:tcPr>
            <w:tcW w:w="904" w:type="dxa"/>
            <w:shd w:val="clear" w:color="auto" w:fill="auto"/>
          </w:tcPr>
          <w:p w14:paraId="6DA416D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c>
          <w:tcPr>
            <w:tcW w:w="904" w:type="dxa"/>
            <w:shd w:val="clear" w:color="auto" w:fill="auto"/>
          </w:tcPr>
          <w:p w14:paraId="4B0CF39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8.000*</w:t>
            </w:r>
          </w:p>
        </w:tc>
      </w:tr>
      <w:tr w:rsidR="00921DBE" w:rsidRPr="00E84C93" w14:paraId="3255FA7A" w14:textId="77777777" w:rsidTr="00085A1A">
        <w:trPr>
          <w:trHeight w:val="146"/>
        </w:trPr>
        <w:tc>
          <w:tcPr>
            <w:tcW w:w="2725" w:type="dxa"/>
          </w:tcPr>
          <w:p w14:paraId="33744115" w14:textId="77777777" w:rsidR="00921DBE" w:rsidRPr="00E84C93" w:rsidRDefault="00921DBE" w:rsidP="00085A1A">
            <w:pPr>
              <w:rPr>
                <w:sz w:val="20"/>
                <w:szCs w:val="20"/>
                <w:lang w:val="sr-Cyrl-CS"/>
              </w:rPr>
            </w:pPr>
            <w:r w:rsidRPr="00E84C93">
              <w:rPr>
                <w:sz w:val="20"/>
                <w:szCs w:val="20"/>
                <w:lang w:val="sr-Cyrl-CS"/>
              </w:rPr>
              <w:t>4.1.4. Израда програма обука и организовање обука за инспекторе за развијање компетенција за надзор над спровођењем прописа у области управљања муљем</w:t>
            </w:r>
          </w:p>
        </w:tc>
        <w:tc>
          <w:tcPr>
            <w:tcW w:w="1239" w:type="dxa"/>
          </w:tcPr>
          <w:p w14:paraId="0DF1989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0876FFF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АП, ЈЛС</w:t>
            </w:r>
          </w:p>
        </w:tc>
        <w:tc>
          <w:tcPr>
            <w:tcW w:w="1260" w:type="dxa"/>
          </w:tcPr>
          <w:p w14:paraId="58477CC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498ABF66"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6ADD957A" w14:textId="77777777" w:rsidR="00921DBE" w:rsidRPr="00E84C93" w:rsidRDefault="00921DBE" w:rsidP="00085A1A">
            <w:pPr>
              <w:rPr>
                <w:rFonts w:cs="Times New Roman"/>
                <w:sz w:val="20"/>
                <w:szCs w:val="20"/>
                <w:lang w:val="sr-Cyrl-CS"/>
              </w:rPr>
            </w:pPr>
          </w:p>
        </w:tc>
        <w:tc>
          <w:tcPr>
            <w:tcW w:w="903" w:type="dxa"/>
          </w:tcPr>
          <w:p w14:paraId="51BC58F6" w14:textId="77777777" w:rsidR="00921DBE" w:rsidRPr="00E84C93" w:rsidRDefault="00921DBE" w:rsidP="00085A1A">
            <w:pPr>
              <w:rPr>
                <w:rFonts w:cs="Times New Roman"/>
                <w:sz w:val="20"/>
                <w:szCs w:val="20"/>
                <w:lang w:val="sr-Cyrl-CS"/>
              </w:rPr>
            </w:pPr>
          </w:p>
        </w:tc>
        <w:tc>
          <w:tcPr>
            <w:tcW w:w="904" w:type="dxa"/>
          </w:tcPr>
          <w:p w14:paraId="41ADC815" w14:textId="77777777" w:rsidR="00921DBE" w:rsidRPr="00E84C93" w:rsidRDefault="00921DBE" w:rsidP="00085A1A">
            <w:pPr>
              <w:rPr>
                <w:rFonts w:cs="Times New Roman"/>
                <w:sz w:val="20"/>
                <w:szCs w:val="20"/>
                <w:lang w:val="sr-Cyrl-CS"/>
              </w:rPr>
            </w:pPr>
          </w:p>
        </w:tc>
        <w:tc>
          <w:tcPr>
            <w:tcW w:w="903" w:type="dxa"/>
          </w:tcPr>
          <w:p w14:paraId="42E1AAFD" w14:textId="77777777" w:rsidR="00921DBE" w:rsidRPr="00E84C93" w:rsidRDefault="00921DBE" w:rsidP="00085A1A">
            <w:pPr>
              <w:rPr>
                <w:rFonts w:cs="Times New Roman"/>
                <w:sz w:val="20"/>
                <w:szCs w:val="20"/>
                <w:lang w:val="sr-Cyrl-CS"/>
              </w:rPr>
            </w:pPr>
          </w:p>
        </w:tc>
        <w:tc>
          <w:tcPr>
            <w:tcW w:w="904" w:type="dxa"/>
          </w:tcPr>
          <w:p w14:paraId="6669922F" w14:textId="77777777" w:rsidR="00921DBE" w:rsidRPr="00E84C93" w:rsidRDefault="00921DBE" w:rsidP="00085A1A">
            <w:pPr>
              <w:rPr>
                <w:rFonts w:cs="Times New Roman"/>
                <w:sz w:val="20"/>
                <w:szCs w:val="20"/>
                <w:lang w:val="sr-Cyrl-CS"/>
              </w:rPr>
            </w:pPr>
          </w:p>
        </w:tc>
        <w:tc>
          <w:tcPr>
            <w:tcW w:w="904" w:type="dxa"/>
          </w:tcPr>
          <w:p w14:paraId="7B1A12F3" w14:textId="77777777" w:rsidR="00921DBE" w:rsidRPr="00E84C93" w:rsidRDefault="00921DBE" w:rsidP="00085A1A">
            <w:pPr>
              <w:rPr>
                <w:rFonts w:cs="Times New Roman"/>
                <w:sz w:val="20"/>
                <w:szCs w:val="20"/>
                <w:lang w:val="sr-Cyrl-CS"/>
              </w:rPr>
            </w:pPr>
          </w:p>
        </w:tc>
      </w:tr>
      <w:tr w:rsidR="00921DBE" w:rsidRPr="00E84C93" w14:paraId="75D90DDD" w14:textId="77777777" w:rsidTr="00085A1A">
        <w:trPr>
          <w:trHeight w:val="146"/>
        </w:trPr>
        <w:tc>
          <w:tcPr>
            <w:tcW w:w="2725" w:type="dxa"/>
          </w:tcPr>
          <w:p w14:paraId="2776DA16" w14:textId="77777777" w:rsidR="00921DBE" w:rsidRPr="00E84C93" w:rsidRDefault="00921DBE" w:rsidP="00085A1A">
            <w:pPr>
              <w:rPr>
                <w:rFonts w:cs="Times New Roman"/>
                <w:sz w:val="20"/>
                <w:szCs w:val="20"/>
                <w:lang w:val="sr-Cyrl-CS"/>
              </w:rPr>
            </w:pPr>
            <w:r w:rsidRPr="00E84C93">
              <w:rPr>
                <w:sz w:val="20"/>
                <w:szCs w:val="20"/>
                <w:lang w:val="sr-Cyrl-CS"/>
              </w:rPr>
              <w:t>4.1.5. Успостављање механизма за координацију активности у области управљања муљем између органа државне управе, АП и ЈЛС</w:t>
            </w:r>
          </w:p>
        </w:tc>
        <w:tc>
          <w:tcPr>
            <w:tcW w:w="1239" w:type="dxa"/>
          </w:tcPr>
          <w:p w14:paraId="1599479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МЗЖС</w:t>
            </w:r>
          </w:p>
        </w:tc>
        <w:tc>
          <w:tcPr>
            <w:tcW w:w="1241" w:type="dxa"/>
          </w:tcPr>
          <w:p w14:paraId="345B941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МПШВ, АП, ЈЛС</w:t>
            </w:r>
          </w:p>
        </w:tc>
        <w:tc>
          <w:tcPr>
            <w:tcW w:w="1260" w:type="dxa"/>
          </w:tcPr>
          <w:p w14:paraId="384E01D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2023.</w:t>
            </w:r>
          </w:p>
        </w:tc>
        <w:tc>
          <w:tcPr>
            <w:tcW w:w="1440" w:type="dxa"/>
          </w:tcPr>
          <w:p w14:paraId="23A95EC3" w14:textId="77777777" w:rsidR="00921DBE" w:rsidRPr="00E84C93" w:rsidRDefault="00921DBE" w:rsidP="00085A1A">
            <w:pPr>
              <w:rPr>
                <w:rFonts w:cs="Times New Roman"/>
                <w:sz w:val="20"/>
                <w:szCs w:val="20"/>
                <w:lang w:val="sr-Cyrl-CS"/>
              </w:rPr>
            </w:pPr>
            <w:r w:rsidRPr="00E84C93">
              <w:rPr>
                <w:rFonts w:cs="Times New Roman"/>
                <w:sz w:val="18"/>
                <w:szCs w:val="18"/>
                <w:lang w:val="sr-Cyrl-CS"/>
              </w:rPr>
              <w:t>редовна издвајања</w:t>
            </w:r>
          </w:p>
        </w:tc>
        <w:tc>
          <w:tcPr>
            <w:tcW w:w="1350" w:type="dxa"/>
          </w:tcPr>
          <w:p w14:paraId="33A52785" w14:textId="77777777" w:rsidR="00921DBE" w:rsidRPr="00E84C93" w:rsidRDefault="00921DBE" w:rsidP="00085A1A">
            <w:pPr>
              <w:rPr>
                <w:rFonts w:cs="Times New Roman"/>
                <w:sz w:val="20"/>
                <w:szCs w:val="20"/>
                <w:lang w:val="sr-Cyrl-CS"/>
              </w:rPr>
            </w:pPr>
          </w:p>
        </w:tc>
        <w:tc>
          <w:tcPr>
            <w:tcW w:w="903" w:type="dxa"/>
          </w:tcPr>
          <w:p w14:paraId="61E9FA7F" w14:textId="77777777" w:rsidR="00921DBE" w:rsidRPr="00E84C93" w:rsidRDefault="00921DBE" w:rsidP="00085A1A">
            <w:pPr>
              <w:rPr>
                <w:rFonts w:cs="Times New Roman"/>
                <w:sz w:val="20"/>
                <w:szCs w:val="20"/>
                <w:lang w:val="sr-Cyrl-CS"/>
              </w:rPr>
            </w:pPr>
          </w:p>
        </w:tc>
        <w:tc>
          <w:tcPr>
            <w:tcW w:w="904" w:type="dxa"/>
          </w:tcPr>
          <w:p w14:paraId="683BCA87" w14:textId="77777777" w:rsidR="00921DBE" w:rsidRPr="00E84C93" w:rsidRDefault="00921DBE" w:rsidP="00085A1A">
            <w:pPr>
              <w:rPr>
                <w:rFonts w:cs="Times New Roman"/>
                <w:sz w:val="20"/>
                <w:szCs w:val="20"/>
                <w:lang w:val="sr-Cyrl-CS"/>
              </w:rPr>
            </w:pPr>
          </w:p>
        </w:tc>
        <w:tc>
          <w:tcPr>
            <w:tcW w:w="903" w:type="dxa"/>
          </w:tcPr>
          <w:p w14:paraId="58D58890" w14:textId="77777777" w:rsidR="00921DBE" w:rsidRPr="00E84C93" w:rsidRDefault="00921DBE" w:rsidP="00085A1A">
            <w:pPr>
              <w:rPr>
                <w:rFonts w:cs="Times New Roman"/>
                <w:sz w:val="20"/>
                <w:szCs w:val="20"/>
                <w:lang w:val="sr-Cyrl-CS"/>
              </w:rPr>
            </w:pPr>
          </w:p>
        </w:tc>
        <w:tc>
          <w:tcPr>
            <w:tcW w:w="904" w:type="dxa"/>
          </w:tcPr>
          <w:p w14:paraId="12E4EF41" w14:textId="77777777" w:rsidR="00921DBE" w:rsidRPr="00E84C93" w:rsidRDefault="00921DBE" w:rsidP="00085A1A">
            <w:pPr>
              <w:rPr>
                <w:rFonts w:cs="Times New Roman"/>
                <w:sz w:val="20"/>
                <w:szCs w:val="20"/>
                <w:lang w:val="sr-Cyrl-CS"/>
              </w:rPr>
            </w:pPr>
          </w:p>
        </w:tc>
        <w:tc>
          <w:tcPr>
            <w:tcW w:w="904" w:type="dxa"/>
          </w:tcPr>
          <w:p w14:paraId="73BB5C83" w14:textId="77777777" w:rsidR="00921DBE" w:rsidRPr="00E84C93" w:rsidRDefault="00921DBE" w:rsidP="00085A1A">
            <w:pPr>
              <w:rPr>
                <w:rFonts w:cs="Times New Roman"/>
                <w:sz w:val="20"/>
                <w:szCs w:val="20"/>
                <w:lang w:val="sr-Cyrl-CS"/>
              </w:rPr>
            </w:pPr>
          </w:p>
        </w:tc>
      </w:tr>
    </w:tbl>
    <w:p w14:paraId="22F5D64A" w14:textId="77777777" w:rsidR="00921DBE" w:rsidRPr="00E84C93" w:rsidRDefault="00921DBE" w:rsidP="00921DBE">
      <w:pPr>
        <w:spacing w:after="0"/>
        <w:rPr>
          <w:rFonts w:cs="Times New Roman"/>
          <w:sz w:val="20"/>
          <w:szCs w:val="20"/>
          <w:lang w:val="sr-Cyrl-CS"/>
        </w:rPr>
      </w:pPr>
    </w:p>
    <w:tbl>
      <w:tblPr>
        <w:tblStyle w:val="TableGrid"/>
        <w:tblW w:w="13731" w:type="dxa"/>
        <w:tblLayout w:type="fixed"/>
        <w:tblLook w:val="04A0" w:firstRow="1" w:lastRow="0" w:firstColumn="1" w:lastColumn="0" w:noHBand="0" w:noVBand="1"/>
      </w:tblPr>
      <w:tblGrid>
        <w:gridCol w:w="3126"/>
        <w:gridCol w:w="1430"/>
        <w:gridCol w:w="1337"/>
        <w:gridCol w:w="1099"/>
        <w:gridCol w:w="13"/>
        <w:gridCol w:w="1337"/>
        <w:gridCol w:w="1080"/>
        <w:gridCol w:w="1075"/>
        <w:gridCol w:w="10"/>
        <w:gridCol w:w="1068"/>
        <w:gridCol w:w="1080"/>
        <w:gridCol w:w="1076"/>
      </w:tblGrid>
      <w:tr w:rsidR="00921DBE" w:rsidRPr="00E84C93" w14:paraId="1BD148A4" w14:textId="77777777" w:rsidTr="00085A1A">
        <w:trPr>
          <w:trHeight w:val="376"/>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2AAA3A" w14:textId="77777777" w:rsidR="00921DBE" w:rsidRPr="00E84C93" w:rsidRDefault="00921DBE" w:rsidP="00085A1A">
            <w:pPr>
              <w:rPr>
                <w:rFonts w:cs="Times New Roman"/>
                <w:b/>
                <w:sz w:val="20"/>
                <w:szCs w:val="20"/>
                <w:lang w:val="sr-Cyrl-CS"/>
              </w:rPr>
            </w:pPr>
            <w:r w:rsidRPr="00E84C93">
              <w:rPr>
                <w:rFonts w:cs="Times New Roman"/>
                <w:b/>
                <w:sz w:val="20"/>
                <w:szCs w:val="20"/>
                <w:lang w:val="sr-Cyrl-CS"/>
              </w:rPr>
              <w:t xml:space="preserve">Мера 4.2: </w:t>
            </w:r>
            <w:r w:rsidRPr="00E84C93">
              <w:rPr>
                <w:rFonts w:cs="Times New Roman"/>
                <w:noProof/>
                <w:sz w:val="20"/>
                <w:szCs w:val="20"/>
                <w:lang w:val="sr-Cyrl-CS"/>
              </w:rPr>
              <w:t xml:space="preserve">Јачање капацитета јавних комуналних предузећа </w:t>
            </w:r>
            <w:r w:rsidRPr="00E84C93">
              <w:rPr>
                <w:sz w:val="20"/>
                <w:szCs w:val="20"/>
                <w:lang w:val="sr-Cyrl-CS"/>
              </w:rPr>
              <w:t>у области управљања отпадним водама и муљем</w:t>
            </w:r>
          </w:p>
        </w:tc>
      </w:tr>
      <w:tr w:rsidR="00921DBE" w:rsidRPr="00E84C93" w14:paraId="141B610D" w14:textId="77777777" w:rsidTr="00085A1A">
        <w:trPr>
          <w:trHeight w:val="375"/>
        </w:trPr>
        <w:tc>
          <w:tcPr>
            <w:tcW w:w="13731" w:type="dxa"/>
            <w:gridSpan w:val="12"/>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6DC7FB0" w14:textId="77777777" w:rsidR="00921DBE" w:rsidRPr="00E84C93" w:rsidRDefault="00921DBE" w:rsidP="00085A1A">
            <w:pPr>
              <w:rPr>
                <w:rFonts w:cs="Times New Roman"/>
                <w:sz w:val="20"/>
                <w:szCs w:val="20"/>
                <w:lang w:val="sr-Cyrl-CS"/>
              </w:rPr>
            </w:pPr>
            <w:r w:rsidRPr="00E84C93">
              <w:rPr>
                <w:rFonts w:eastAsia="Times New Roman" w:cs="Times New Roman"/>
                <w:color w:val="222222"/>
                <w:sz w:val="20"/>
                <w:szCs w:val="20"/>
                <w:lang w:val="sr-Cyrl-CS"/>
              </w:rPr>
              <w:t>Институција одговорна за реализацију:</w:t>
            </w:r>
            <w:r w:rsidRPr="00E84C93">
              <w:rPr>
                <w:rFonts w:cs="Times New Roman"/>
                <w:sz w:val="20"/>
                <w:szCs w:val="20"/>
                <w:lang w:val="sr-Cyrl-CS"/>
              </w:rPr>
              <w:t xml:space="preserve"> </w:t>
            </w:r>
            <w:r w:rsidRPr="00E84C93">
              <w:rPr>
                <w:rFonts w:cs="Times New Roman"/>
                <w:sz w:val="20"/>
                <w:szCs w:val="20"/>
                <w:lang w:val="sr-Cyrl-CS" w:eastAsia="en-GB"/>
              </w:rPr>
              <w:t>Министарство грађевинарства, саобраћаја и инфраструктуре</w:t>
            </w:r>
          </w:p>
        </w:tc>
      </w:tr>
      <w:tr w:rsidR="00921DBE" w:rsidRPr="00E84C93" w14:paraId="23345F32" w14:textId="77777777" w:rsidTr="00085A1A">
        <w:trPr>
          <w:trHeight w:val="420"/>
        </w:trPr>
        <w:tc>
          <w:tcPr>
            <w:tcW w:w="700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966E89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Период спровођења: 2023-2027.</w:t>
            </w:r>
          </w:p>
        </w:tc>
        <w:tc>
          <w:tcPr>
            <w:tcW w:w="6726" w:type="dxa"/>
            <w:gridSpan w:val="7"/>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BF5E3E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Тип мере: </w:t>
            </w:r>
            <w:r w:rsidRPr="00E84C93">
              <w:rPr>
                <w:rFonts w:cs="Times New Roman"/>
                <w:sz w:val="20"/>
                <w:szCs w:val="20"/>
                <w:lang w:val="sr-Cyrl-CS" w:eastAsia="en-GB"/>
              </w:rPr>
              <w:t>Инфорамативно-едукативна</w:t>
            </w:r>
          </w:p>
        </w:tc>
      </w:tr>
      <w:tr w:rsidR="00921DBE" w:rsidRPr="00E84C93" w14:paraId="01C19AC9" w14:textId="77777777" w:rsidTr="00085A1A">
        <w:trPr>
          <w:trHeight w:val="357"/>
        </w:trPr>
        <w:tc>
          <w:tcPr>
            <w:tcW w:w="700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34D20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Прописи које је потребно изменити/усвојити за спровођење мере:</w:t>
            </w:r>
          </w:p>
        </w:tc>
        <w:tc>
          <w:tcPr>
            <w:tcW w:w="6726" w:type="dxa"/>
            <w:gridSpan w:val="7"/>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69968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r>
      <w:tr w:rsidR="00921DBE" w:rsidRPr="00E84C93" w14:paraId="17714621" w14:textId="77777777" w:rsidTr="00085A1A">
        <w:trPr>
          <w:trHeight w:val="555"/>
        </w:trPr>
        <w:tc>
          <w:tcPr>
            <w:tcW w:w="3126" w:type="dxa"/>
            <w:tcBorders>
              <w:top w:val="double" w:sz="4" w:space="0" w:color="auto"/>
              <w:left w:val="double" w:sz="4" w:space="0" w:color="auto"/>
              <w:bottom w:val="double" w:sz="4" w:space="0" w:color="auto"/>
            </w:tcBorders>
            <w:shd w:val="clear" w:color="auto" w:fill="D9D9D9" w:themeFill="background1" w:themeFillShade="D9"/>
          </w:tcPr>
          <w:p w14:paraId="7B5BB24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Показатељ(и) на нивоу мере </w:t>
            </w:r>
            <w:r w:rsidRPr="00E84C93">
              <w:rPr>
                <w:rFonts w:cs="Times New Roman"/>
                <w:i/>
                <w:sz w:val="20"/>
                <w:szCs w:val="20"/>
                <w:lang w:val="sr-Cyrl-CS"/>
              </w:rPr>
              <w:t>(показатељ резултата)</w:t>
            </w:r>
          </w:p>
        </w:tc>
        <w:tc>
          <w:tcPr>
            <w:tcW w:w="1430" w:type="dxa"/>
            <w:tcBorders>
              <w:top w:val="double" w:sz="4" w:space="0" w:color="auto"/>
              <w:bottom w:val="double" w:sz="4" w:space="0" w:color="auto"/>
            </w:tcBorders>
            <w:shd w:val="clear" w:color="auto" w:fill="D9D9D9" w:themeFill="background1" w:themeFillShade="D9"/>
          </w:tcPr>
          <w:p w14:paraId="07D38D3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Jединица мере</w:t>
            </w:r>
          </w:p>
        </w:tc>
        <w:tc>
          <w:tcPr>
            <w:tcW w:w="1337" w:type="dxa"/>
            <w:tcBorders>
              <w:top w:val="double" w:sz="4" w:space="0" w:color="auto"/>
              <w:bottom w:val="double" w:sz="4" w:space="0" w:color="auto"/>
            </w:tcBorders>
            <w:shd w:val="clear" w:color="auto" w:fill="D9D9D9" w:themeFill="background1" w:themeFillShade="D9"/>
          </w:tcPr>
          <w:p w14:paraId="59DE2B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провере</w:t>
            </w:r>
          </w:p>
        </w:tc>
        <w:tc>
          <w:tcPr>
            <w:tcW w:w="1099" w:type="dxa"/>
            <w:tcBorders>
              <w:top w:val="double" w:sz="4" w:space="0" w:color="auto"/>
              <w:bottom w:val="double" w:sz="4" w:space="0" w:color="auto"/>
            </w:tcBorders>
            <w:shd w:val="clear" w:color="auto" w:fill="D9D9D9" w:themeFill="background1" w:themeFillShade="D9"/>
          </w:tcPr>
          <w:p w14:paraId="3B2AA11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Почетна вредност </w:t>
            </w:r>
          </w:p>
        </w:tc>
        <w:tc>
          <w:tcPr>
            <w:tcW w:w="1350" w:type="dxa"/>
            <w:gridSpan w:val="2"/>
            <w:tcBorders>
              <w:top w:val="double" w:sz="4" w:space="0" w:color="auto"/>
              <w:bottom w:val="double" w:sz="4" w:space="0" w:color="auto"/>
            </w:tcBorders>
            <w:shd w:val="clear" w:color="auto" w:fill="D9D9D9" w:themeFill="background1" w:themeFillShade="D9"/>
          </w:tcPr>
          <w:p w14:paraId="6D73612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Базна година</w:t>
            </w:r>
          </w:p>
        </w:tc>
        <w:tc>
          <w:tcPr>
            <w:tcW w:w="1080" w:type="dxa"/>
            <w:tcBorders>
              <w:top w:val="double" w:sz="4" w:space="0" w:color="auto"/>
              <w:bottom w:val="double" w:sz="4" w:space="0" w:color="auto"/>
            </w:tcBorders>
            <w:shd w:val="clear" w:color="auto" w:fill="D9D9D9" w:themeFill="background1" w:themeFillShade="D9"/>
          </w:tcPr>
          <w:p w14:paraId="7E62CE8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2023.</w:t>
            </w:r>
          </w:p>
        </w:tc>
        <w:tc>
          <w:tcPr>
            <w:tcW w:w="1075" w:type="dxa"/>
            <w:tcBorders>
              <w:top w:val="double" w:sz="4" w:space="0" w:color="auto"/>
              <w:bottom w:val="double" w:sz="4" w:space="0" w:color="auto"/>
              <w:right w:val="single" w:sz="4" w:space="0" w:color="auto"/>
            </w:tcBorders>
            <w:shd w:val="clear" w:color="auto" w:fill="D9D9D9" w:themeFill="background1" w:themeFillShade="D9"/>
          </w:tcPr>
          <w:p w14:paraId="2F9B498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2024.</w:t>
            </w:r>
          </w:p>
        </w:tc>
        <w:tc>
          <w:tcPr>
            <w:tcW w:w="1078"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361549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2025.</w:t>
            </w:r>
          </w:p>
        </w:tc>
        <w:tc>
          <w:tcPr>
            <w:tcW w:w="1080" w:type="dxa"/>
            <w:tcBorders>
              <w:top w:val="double" w:sz="4" w:space="0" w:color="auto"/>
              <w:left w:val="single" w:sz="4" w:space="0" w:color="auto"/>
              <w:bottom w:val="double" w:sz="4" w:space="0" w:color="auto"/>
              <w:right w:val="single" w:sz="4" w:space="0" w:color="auto"/>
            </w:tcBorders>
            <w:shd w:val="clear" w:color="auto" w:fill="D9D9D9" w:themeFill="background1" w:themeFillShade="D9"/>
          </w:tcPr>
          <w:p w14:paraId="77F7827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2026.</w:t>
            </w:r>
          </w:p>
        </w:tc>
        <w:tc>
          <w:tcPr>
            <w:tcW w:w="1076"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6D56010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Циљaна вредност у 2027.</w:t>
            </w:r>
          </w:p>
        </w:tc>
      </w:tr>
      <w:tr w:rsidR="00921DBE" w:rsidRPr="00E84C93" w14:paraId="5A7736C0" w14:textId="77777777" w:rsidTr="00085A1A">
        <w:trPr>
          <w:trHeight w:val="677"/>
        </w:trPr>
        <w:tc>
          <w:tcPr>
            <w:tcW w:w="3126" w:type="dxa"/>
            <w:tcBorders>
              <w:top w:val="double" w:sz="4" w:space="0" w:color="auto"/>
              <w:left w:val="double" w:sz="4" w:space="0" w:color="auto"/>
              <w:bottom w:val="double" w:sz="4" w:space="0" w:color="auto"/>
            </w:tcBorders>
            <w:shd w:val="clear" w:color="auto" w:fill="FFFFFF" w:themeFill="background1"/>
          </w:tcPr>
          <w:p w14:paraId="6F9C0D78" w14:textId="77777777" w:rsidR="00921DBE" w:rsidRPr="00E84C93" w:rsidRDefault="00921DBE" w:rsidP="00085A1A">
            <w:pPr>
              <w:shd w:val="clear" w:color="auto" w:fill="FFFFFF" w:themeFill="background1"/>
              <w:rPr>
                <w:rFonts w:cs="Times New Roman"/>
                <w:sz w:val="20"/>
                <w:szCs w:val="20"/>
                <w:lang w:val="sr-Cyrl-CS"/>
              </w:rPr>
            </w:pPr>
            <w:r w:rsidRPr="00E84C93">
              <w:rPr>
                <w:rFonts w:cs="Times New Roman"/>
                <w:sz w:val="20"/>
                <w:szCs w:val="20"/>
                <w:lang w:val="sr-Cyrl-CS"/>
              </w:rPr>
              <w:t>Број одржаних обука о управљању муљем за надлежна предузећа, годишње</w:t>
            </w:r>
          </w:p>
        </w:tc>
        <w:tc>
          <w:tcPr>
            <w:tcW w:w="1430" w:type="dxa"/>
            <w:tcBorders>
              <w:top w:val="double" w:sz="4" w:space="0" w:color="auto"/>
              <w:bottom w:val="double" w:sz="4" w:space="0" w:color="auto"/>
            </w:tcBorders>
            <w:shd w:val="clear" w:color="auto" w:fill="FFFFFF" w:themeFill="background1"/>
          </w:tcPr>
          <w:p w14:paraId="50BD983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Број </w:t>
            </w:r>
          </w:p>
        </w:tc>
        <w:tc>
          <w:tcPr>
            <w:tcW w:w="1337" w:type="dxa"/>
            <w:tcBorders>
              <w:top w:val="double" w:sz="4" w:space="0" w:color="auto"/>
              <w:bottom w:val="double" w:sz="4" w:space="0" w:color="auto"/>
            </w:tcBorders>
            <w:shd w:val="clear" w:color="auto" w:fill="FFFFFF" w:themeFill="background1"/>
          </w:tcPr>
          <w:p w14:paraId="14869935"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 xml:space="preserve">Извештај МГСИ </w:t>
            </w:r>
          </w:p>
        </w:tc>
        <w:tc>
          <w:tcPr>
            <w:tcW w:w="1099" w:type="dxa"/>
            <w:tcBorders>
              <w:top w:val="double" w:sz="4" w:space="0" w:color="auto"/>
              <w:bottom w:val="double" w:sz="4" w:space="0" w:color="auto"/>
            </w:tcBorders>
            <w:shd w:val="clear" w:color="auto" w:fill="FFFFFF" w:themeFill="background1"/>
          </w:tcPr>
          <w:p w14:paraId="0AB0447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350" w:type="dxa"/>
            <w:gridSpan w:val="2"/>
            <w:tcBorders>
              <w:top w:val="double" w:sz="4" w:space="0" w:color="auto"/>
              <w:bottom w:val="double" w:sz="4" w:space="0" w:color="auto"/>
            </w:tcBorders>
            <w:shd w:val="clear" w:color="auto" w:fill="FFFFFF" w:themeFill="background1"/>
          </w:tcPr>
          <w:p w14:paraId="273E9A1D"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2023.</w:t>
            </w:r>
          </w:p>
        </w:tc>
        <w:tc>
          <w:tcPr>
            <w:tcW w:w="1080" w:type="dxa"/>
            <w:tcBorders>
              <w:top w:val="double" w:sz="4" w:space="0" w:color="auto"/>
              <w:bottom w:val="double" w:sz="4" w:space="0" w:color="auto"/>
            </w:tcBorders>
            <w:shd w:val="clear" w:color="auto" w:fill="FFFFFF" w:themeFill="background1"/>
          </w:tcPr>
          <w:p w14:paraId="27AB1611"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85" w:type="dxa"/>
            <w:gridSpan w:val="2"/>
            <w:tcBorders>
              <w:top w:val="double" w:sz="4" w:space="0" w:color="auto"/>
              <w:bottom w:val="double" w:sz="4" w:space="0" w:color="auto"/>
              <w:right w:val="single" w:sz="4" w:space="0" w:color="auto"/>
            </w:tcBorders>
            <w:shd w:val="clear" w:color="auto" w:fill="auto"/>
          </w:tcPr>
          <w:p w14:paraId="697A413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0</w:t>
            </w:r>
          </w:p>
        </w:tc>
        <w:tc>
          <w:tcPr>
            <w:tcW w:w="1068" w:type="dxa"/>
            <w:tcBorders>
              <w:top w:val="double" w:sz="4" w:space="0" w:color="auto"/>
              <w:left w:val="single" w:sz="4" w:space="0" w:color="auto"/>
              <w:bottom w:val="double" w:sz="4" w:space="0" w:color="auto"/>
              <w:right w:val="single" w:sz="4" w:space="0" w:color="auto"/>
            </w:tcBorders>
            <w:shd w:val="clear" w:color="auto" w:fill="auto"/>
          </w:tcPr>
          <w:p w14:paraId="1225FB23"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c>
          <w:tcPr>
            <w:tcW w:w="1080" w:type="dxa"/>
            <w:tcBorders>
              <w:top w:val="double" w:sz="4" w:space="0" w:color="auto"/>
              <w:left w:val="single" w:sz="4" w:space="0" w:color="auto"/>
              <w:bottom w:val="double" w:sz="4" w:space="0" w:color="auto"/>
              <w:right w:val="single" w:sz="4" w:space="0" w:color="auto"/>
            </w:tcBorders>
            <w:shd w:val="clear" w:color="auto" w:fill="auto"/>
          </w:tcPr>
          <w:p w14:paraId="56201ABF"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c>
          <w:tcPr>
            <w:tcW w:w="1076" w:type="dxa"/>
            <w:tcBorders>
              <w:top w:val="double" w:sz="4" w:space="0" w:color="auto"/>
              <w:left w:val="single" w:sz="4" w:space="0" w:color="auto"/>
              <w:bottom w:val="double" w:sz="4" w:space="0" w:color="auto"/>
              <w:right w:val="double" w:sz="4" w:space="0" w:color="auto"/>
            </w:tcBorders>
            <w:shd w:val="clear" w:color="auto" w:fill="auto"/>
          </w:tcPr>
          <w:p w14:paraId="28AEF199" w14:textId="77777777" w:rsidR="00921DBE" w:rsidRPr="00E84C93" w:rsidRDefault="00921DBE" w:rsidP="00085A1A">
            <w:pPr>
              <w:shd w:val="clear" w:color="auto" w:fill="FFFFFF" w:themeFill="background1"/>
              <w:jc w:val="center"/>
              <w:rPr>
                <w:rFonts w:cs="Times New Roman"/>
                <w:sz w:val="20"/>
                <w:szCs w:val="20"/>
                <w:lang w:val="sr-Cyrl-CS"/>
              </w:rPr>
            </w:pPr>
            <w:r w:rsidRPr="00E84C93">
              <w:rPr>
                <w:rFonts w:cs="Times New Roman"/>
                <w:sz w:val="20"/>
                <w:szCs w:val="20"/>
                <w:lang w:val="sr-Cyrl-CS"/>
              </w:rPr>
              <w:t>4</w:t>
            </w:r>
          </w:p>
        </w:tc>
      </w:tr>
    </w:tbl>
    <w:p w14:paraId="2A7C381F" w14:textId="77777777" w:rsidR="00921DBE" w:rsidRPr="00E84C93" w:rsidRDefault="00921DBE" w:rsidP="00921DBE">
      <w:pPr>
        <w:spacing w:after="0"/>
        <w:rPr>
          <w:rFonts w:cs="Times New Roman"/>
          <w:sz w:val="20"/>
          <w:szCs w:val="20"/>
          <w:lang w:val="sr-Cyrl-CS"/>
        </w:rPr>
      </w:pPr>
    </w:p>
    <w:tbl>
      <w:tblPr>
        <w:tblStyle w:val="TableGrid"/>
        <w:tblW w:w="13745" w:type="dxa"/>
        <w:tblInd w:w="10" w:type="dxa"/>
        <w:tblLayout w:type="fixed"/>
        <w:tblLook w:val="04A0" w:firstRow="1" w:lastRow="0" w:firstColumn="1" w:lastColumn="0" w:noHBand="0" w:noVBand="1"/>
      </w:tblPr>
      <w:tblGrid>
        <w:gridCol w:w="3623"/>
        <w:gridCol w:w="2746"/>
        <w:gridCol w:w="1526"/>
        <w:gridCol w:w="1440"/>
        <w:gridCol w:w="1440"/>
        <w:gridCol w:w="1530"/>
        <w:gridCol w:w="1440"/>
      </w:tblGrid>
      <w:tr w:rsidR="00921DBE" w:rsidRPr="00E84C93" w14:paraId="7E87F0B6" w14:textId="77777777" w:rsidTr="00085A1A">
        <w:trPr>
          <w:trHeight w:val="320"/>
        </w:trPr>
        <w:tc>
          <w:tcPr>
            <w:tcW w:w="3623" w:type="dxa"/>
            <w:vMerge w:val="restart"/>
            <w:tcBorders>
              <w:top w:val="double" w:sz="4" w:space="0" w:color="auto"/>
              <w:left w:val="double" w:sz="4" w:space="0" w:color="auto"/>
              <w:right w:val="double" w:sz="4" w:space="0" w:color="auto"/>
            </w:tcBorders>
            <w:shd w:val="clear" w:color="auto" w:fill="A8D08D" w:themeFill="accent6" w:themeFillTint="99"/>
          </w:tcPr>
          <w:p w14:paraId="7A81C4F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Извор финансирања мере</w:t>
            </w:r>
          </w:p>
          <w:p w14:paraId="5F6E316A" w14:textId="77777777" w:rsidR="00921DBE" w:rsidRPr="00E84C93" w:rsidRDefault="00921DBE" w:rsidP="00085A1A">
            <w:pPr>
              <w:rPr>
                <w:rFonts w:cs="Times New Roman"/>
                <w:sz w:val="20"/>
                <w:szCs w:val="20"/>
                <w:lang w:val="sr-Cyrl-CS"/>
              </w:rPr>
            </w:pPr>
          </w:p>
        </w:tc>
        <w:tc>
          <w:tcPr>
            <w:tcW w:w="2746" w:type="dxa"/>
            <w:vMerge w:val="restart"/>
            <w:tcBorders>
              <w:top w:val="double" w:sz="4" w:space="0" w:color="auto"/>
              <w:left w:val="double" w:sz="4" w:space="0" w:color="auto"/>
              <w:right w:val="double" w:sz="4" w:space="0" w:color="auto"/>
            </w:tcBorders>
            <w:shd w:val="clear" w:color="auto" w:fill="A8D08D" w:themeFill="accent6" w:themeFillTint="99"/>
          </w:tcPr>
          <w:p w14:paraId="216A88C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p w14:paraId="0F0CEE0B" w14:textId="77777777" w:rsidR="00921DBE" w:rsidRPr="00E84C93" w:rsidRDefault="00921DBE" w:rsidP="00085A1A">
            <w:pPr>
              <w:rPr>
                <w:rFonts w:cs="Times New Roman"/>
                <w:sz w:val="20"/>
                <w:szCs w:val="20"/>
                <w:lang w:val="sr-Cyrl-CS"/>
              </w:rPr>
            </w:pPr>
          </w:p>
        </w:tc>
        <w:tc>
          <w:tcPr>
            <w:tcW w:w="737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14C9A0"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у 000 дин/еври.</w:t>
            </w:r>
          </w:p>
        </w:tc>
      </w:tr>
      <w:tr w:rsidR="00921DBE" w:rsidRPr="00E84C93" w14:paraId="0F19A7ED" w14:textId="77777777" w:rsidTr="00085A1A">
        <w:trPr>
          <w:trHeight w:val="320"/>
        </w:trPr>
        <w:tc>
          <w:tcPr>
            <w:tcW w:w="3623" w:type="dxa"/>
            <w:vMerge/>
            <w:tcBorders>
              <w:left w:val="double" w:sz="4" w:space="0" w:color="auto"/>
              <w:right w:val="double" w:sz="4" w:space="0" w:color="auto"/>
            </w:tcBorders>
            <w:shd w:val="clear" w:color="auto" w:fill="A8D08D" w:themeFill="accent6" w:themeFillTint="99"/>
          </w:tcPr>
          <w:p w14:paraId="402A8468" w14:textId="77777777" w:rsidR="00921DBE" w:rsidRPr="00E84C93" w:rsidRDefault="00921DBE" w:rsidP="00085A1A">
            <w:pPr>
              <w:rPr>
                <w:rFonts w:cs="Times New Roman"/>
                <w:sz w:val="20"/>
                <w:szCs w:val="20"/>
                <w:lang w:val="sr-Cyrl-CS"/>
              </w:rPr>
            </w:pPr>
          </w:p>
        </w:tc>
        <w:tc>
          <w:tcPr>
            <w:tcW w:w="2746" w:type="dxa"/>
            <w:vMerge/>
            <w:tcBorders>
              <w:left w:val="double" w:sz="4" w:space="0" w:color="auto"/>
              <w:right w:val="double" w:sz="4" w:space="0" w:color="auto"/>
            </w:tcBorders>
            <w:shd w:val="clear" w:color="auto" w:fill="A8D08D" w:themeFill="accent6" w:themeFillTint="99"/>
          </w:tcPr>
          <w:p w14:paraId="3A266139"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6CA09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2023.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58EB3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445F4B"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 године</w:t>
            </w:r>
          </w:p>
        </w:tc>
        <w:tc>
          <w:tcPr>
            <w:tcW w:w="153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30890A4"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 године</w:t>
            </w:r>
          </w:p>
        </w:tc>
        <w:tc>
          <w:tcPr>
            <w:tcW w:w="14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A1DFF5"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 године</w:t>
            </w:r>
          </w:p>
        </w:tc>
      </w:tr>
      <w:tr w:rsidR="00921DBE" w:rsidRPr="00E84C93" w14:paraId="11379117"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664BF47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ЈЛС</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0AEEF42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1526" w:type="dxa"/>
            <w:tcBorders>
              <w:left w:val="double" w:sz="4" w:space="0" w:color="auto"/>
              <w:bottom w:val="double" w:sz="4" w:space="0" w:color="auto"/>
              <w:right w:val="double" w:sz="4" w:space="0" w:color="auto"/>
            </w:tcBorders>
            <w:shd w:val="clear" w:color="auto" w:fill="FFFFFF" w:themeFill="background1"/>
          </w:tcPr>
          <w:p w14:paraId="0C19D52A" w14:textId="77777777" w:rsidR="00921DBE" w:rsidRPr="00E84C93" w:rsidRDefault="00921DBE" w:rsidP="00085A1A">
            <w:pPr>
              <w:rPr>
                <w:rFonts w:cs="Times New Roman"/>
                <w:sz w:val="20"/>
                <w:szCs w:val="20"/>
                <w:lang w:val="sr-Cyrl-CS"/>
              </w:rPr>
            </w:pPr>
          </w:p>
        </w:tc>
        <w:tc>
          <w:tcPr>
            <w:tcW w:w="1440" w:type="dxa"/>
            <w:tcBorders>
              <w:left w:val="double" w:sz="4" w:space="0" w:color="auto"/>
              <w:bottom w:val="double" w:sz="4" w:space="0" w:color="auto"/>
              <w:right w:val="double" w:sz="4" w:space="0" w:color="auto"/>
            </w:tcBorders>
            <w:shd w:val="clear" w:color="auto" w:fill="FFFFFF" w:themeFill="background1"/>
          </w:tcPr>
          <w:p w14:paraId="561360EE"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407A7EE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366321B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c>
          <w:tcPr>
            <w:tcW w:w="1440" w:type="dxa"/>
            <w:tcBorders>
              <w:left w:val="double" w:sz="4" w:space="0" w:color="auto"/>
              <w:bottom w:val="double" w:sz="4" w:space="0" w:color="auto"/>
              <w:right w:val="double" w:sz="4" w:space="0" w:color="auto"/>
            </w:tcBorders>
            <w:shd w:val="clear" w:color="auto" w:fill="auto"/>
          </w:tcPr>
          <w:p w14:paraId="1411FD8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r>
      <w:tr w:rsidR="00921DBE" w:rsidRPr="00E84C93" w14:paraId="4FAF90E4" w14:textId="77777777" w:rsidTr="00085A1A">
        <w:trPr>
          <w:trHeight w:val="73"/>
        </w:trPr>
        <w:tc>
          <w:tcPr>
            <w:tcW w:w="3623" w:type="dxa"/>
            <w:tcBorders>
              <w:top w:val="double" w:sz="4" w:space="0" w:color="auto"/>
              <w:left w:val="double" w:sz="4" w:space="0" w:color="auto"/>
              <w:bottom w:val="double" w:sz="4" w:space="0" w:color="auto"/>
              <w:right w:val="double" w:sz="4" w:space="0" w:color="auto"/>
            </w:tcBorders>
            <w:shd w:val="clear" w:color="auto" w:fill="FFFFFF" w:themeFill="background1"/>
          </w:tcPr>
          <w:p w14:paraId="1BC5D48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2746" w:type="dxa"/>
            <w:tcBorders>
              <w:top w:val="double" w:sz="4" w:space="0" w:color="auto"/>
              <w:left w:val="double" w:sz="4" w:space="0" w:color="auto"/>
              <w:bottom w:val="double" w:sz="4" w:space="0" w:color="auto"/>
              <w:right w:val="double" w:sz="4" w:space="0" w:color="auto"/>
            </w:tcBorders>
            <w:shd w:val="clear" w:color="auto" w:fill="FFFFFF" w:themeFill="background1"/>
          </w:tcPr>
          <w:p w14:paraId="0F782414" w14:textId="77777777" w:rsidR="00921DBE" w:rsidRPr="00E84C93" w:rsidRDefault="00921DBE" w:rsidP="00085A1A">
            <w:pPr>
              <w:rPr>
                <w:rFonts w:cs="Times New Roman"/>
                <w:sz w:val="20"/>
                <w:szCs w:val="20"/>
                <w:lang w:val="sr-Cyrl-CS"/>
              </w:rPr>
            </w:pPr>
          </w:p>
        </w:tc>
        <w:tc>
          <w:tcPr>
            <w:tcW w:w="1526" w:type="dxa"/>
            <w:tcBorders>
              <w:top w:val="double" w:sz="4" w:space="0" w:color="auto"/>
              <w:left w:val="double" w:sz="4" w:space="0" w:color="auto"/>
              <w:bottom w:val="double" w:sz="4" w:space="0" w:color="auto"/>
              <w:right w:val="double" w:sz="4" w:space="0" w:color="auto"/>
            </w:tcBorders>
            <w:shd w:val="clear" w:color="auto" w:fill="FFFFFF" w:themeFill="background1"/>
          </w:tcPr>
          <w:p w14:paraId="0F0CDA9A"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FFFFFF" w:themeFill="background1"/>
          </w:tcPr>
          <w:p w14:paraId="7B2AF66C" w14:textId="77777777" w:rsidR="00921DBE" w:rsidRPr="00E84C93" w:rsidRDefault="00921DBE" w:rsidP="00085A1A">
            <w:pPr>
              <w:rPr>
                <w:rFonts w:cs="Times New Roman"/>
                <w:sz w:val="20"/>
                <w:szCs w:val="20"/>
                <w:lang w:val="sr-Cyrl-CS"/>
              </w:rPr>
            </w:pP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3A3C7B1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c>
          <w:tcPr>
            <w:tcW w:w="1530" w:type="dxa"/>
            <w:tcBorders>
              <w:top w:val="double" w:sz="4" w:space="0" w:color="auto"/>
              <w:left w:val="double" w:sz="4" w:space="0" w:color="auto"/>
              <w:bottom w:val="double" w:sz="4" w:space="0" w:color="auto"/>
              <w:right w:val="double" w:sz="4" w:space="0" w:color="auto"/>
            </w:tcBorders>
            <w:shd w:val="clear" w:color="auto" w:fill="auto"/>
          </w:tcPr>
          <w:p w14:paraId="3D4A933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c>
          <w:tcPr>
            <w:tcW w:w="1440" w:type="dxa"/>
            <w:tcBorders>
              <w:top w:val="double" w:sz="4" w:space="0" w:color="auto"/>
              <w:left w:val="double" w:sz="4" w:space="0" w:color="auto"/>
              <w:bottom w:val="double" w:sz="4" w:space="0" w:color="auto"/>
              <w:right w:val="double" w:sz="4" w:space="0" w:color="auto"/>
            </w:tcBorders>
            <w:shd w:val="clear" w:color="auto" w:fill="auto"/>
          </w:tcPr>
          <w:p w14:paraId="70FDB256"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r>
    </w:tbl>
    <w:p w14:paraId="1D565A37" w14:textId="77777777" w:rsidR="00921DBE" w:rsidRPr="00E84C93" w:rsidRDefault="00921DBE" w:rsidP="00921DBE">
      <w:pPr>
        <w:spacing w:after="0"/>
        <w:rPr>
          <w:lang w:val="sr-Cyrl-CS"/>
        </w:rPr>
      </w:pPr>
    </w:p>
    <w:tbl>
      <w:tblPr>
        <w:tblStyle w:val="TableGrid"/>
        <w:tblW w:w="13773"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725"/>
        <w:gridCol w:w="1239"/>
        <w:gridCol w:w="1241"/>
        <w:gridCol w:w="1260"/>
        <w:gridCol w:w="1440"/>
        <w:gridCol w:w="1350"/>
        <w:gridCol w:w="903"/>
        <w:gridCol w:w="904"/>
        <w:gridCol w:w="903"/>
        <w:gridCol w:w="904"/>
        <w:gridCol w:w="904"/>
      </w:tblGrid>
      <w:tr w:rsidR="00921DBE" w:rsidRPr="00E84C93" w14:paraId="755567BE" w14:textId="77777777" w:rsidTr="00085A1A">
        <w:trPr>
          <w:trHeight w:val="146"/>
        </w:trPr>
        <w:tc>
          <w:tcPr>
            <w:tcW w:w="2725" w:type="dxa"/>
            <w:vMerge w:val="restart"/>
            <w:shd w:val="clear" w:color="auto" w:fill="FFF2CC" w:themeFill="accent4" w:themeFillTint="33"/>
          </w:tcPr>
          <w:p w14:paraId="14CFAC3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Назив активности:</w:t>
            </w:r>
          </w:p>
        </w:tc>
        <w:tc>
          <w:tcPr>
            <w:tcW w:w="1239" w:type="dxa"/>
            <w:vMerge w:val="restart"/>
            <w:shd w:val="clear" w:color="auto" w:fill="FFF2CC" w:themeFill="accent4" w:themeFillTint="33"/>
          </w:tcPr>
          <w:p w14:paraId="7E0EE20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Орган који спроводи активност</w:t>
            </w:r>
          </w:p>
        </w:tc>
        <w:tc>
          <w:tcPr>
            <w:tcW w:w="1241" w:type="dxa"/>
            <w:vMerge w:val="restart"/>
            <w:shd w:val="clear" w:color="auto" w:fill="FFF2CC" w:themeFill="accent4" w:themeFillTint="33"/>
          </w:tcPr>
          <w:p w14:paraId="1C02A9F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Oргани партнери у спровођењу активности</w:t>
            </w:r>
          </w:p>
        </w:tc>
        <w:tc>
          <w:tcPr>
            <w:tcW w:w="1260" w:type="dxa"/>
            <w:vMerge w:val="restart"/>
            <w:shd w:val="clear" w:color="auto" w:fill="FFF2CC" w:themeFill="accent4" w:themeFillTint="33"/>
          </w:tcPr>
          <w:p w14:paraId="2D3E7CC3"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Рок за завршетак активности</w:t>
            </w:r>
          </w:p>
        </w:tc>
        <w:tc>
          <w:tcPr>
            <w:tcW w:w="1440" w:type="dxa"/>
            <w:vMerge w:val="restart"/>
            <w:shd w:val="clear" w:color="auto" w:fill="FFF2CC" w:themeFill="accent4" w:themeFillTint="33"/>
          </w:tcPr>
          <w:p w14:paraId="51450221"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Извор финансирања</w:t>
            </w:r>
          </w:p>
        </w:tc>
        <w:tc>
          <w:tcPr>
            <w:tcW w:w="1350" w:type="dxa"/>
            <w:vMerge w:val="restart"/>
            <w:shd w:val="clear" w:color="auto" w:fill="FFF2CC" w:themeFill="accent4" w:themeFillTint="33"/>
          </w:tcPr>
          <w:p w14:paraId="5F6F9C2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Веза са програмским буџетом</w:t>
            </w:r>
          </w:p>
        </w:tc>
        <w:tc>
          <w:tcPr>
            <w:tcW w:w="4518" w:type="dxa"/>
            <w:gridSpan w:val="5"/>
            <w:shd w:val="clear" w:color="auto" w:fill="FFF2CC" w:themeFill="accent4" w:themeFillTint="33"/>
          </w:tcPr>
          <w:p w14:paraId="57C68126"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Укупна процењена финансијска средства по изворима у 000 дин/еври.</w:t>
            </w:r>
            <w:r w:rsidRPr="00E84C93">
              <w:rPr>
                <w:rStyle w:val="FootnoteReference"/>
                <w:rFonts w:cs="Times New Roman"/>
                <w:sz w:val="20"/>
                <w:szCs w:val="20"/>
                <w:lang w:val="sr-Cyrl-CS"/>
              </w:rPr>
              <w:t xml:space="preserve"> </w:t>
            </w:r>
          </w:p>
        </w:tc>
      </w:tr>
      <w:tr w:rsidR="00921DBE" w:rsidRPr="00E84C93" w14:paraId="37891720" w14:textId="77777777" w:rsidTr="00085A1A">
        <w:trPr>
          <w:trHeight w:val="405"/>
        </w:trPr>
        <w:tc>
          <w:tcPr>
            <w:tcW w:w="2725" w:type="dxa"/>
            <w:vMerge/>
            <w:shd w:val="clear" w:color="auto" w:fill="FFF2CC" w:themeFill="accent4" w:themeFillTint="33"/>
          </w:tcPr>
          <w:p w14:paraId="6879D52A" w14:textId="77777777" w:rsidR="00921DBE" w:rsidRPr="00E84C93" w:rsidRDefault="00921DBE" w:rsidP="00085A1A">
            <w:pPr>
              <w:rPr>
                <w:rFonts w:cs="Times New Roman"/>
                <w:sz w:val="20"/>
                <w:szCs w:val="20"/>
                <w:lang w:val="sr-Cyrl-CS"/>
              </w:rPr>
            </w:pPr>
          </w:p>
        </w:tc>
        <w:tc>
          <w:tcPr>
            <w:tcW w:w="1239" w:type="dxa"/>
            <w:vMerge/>
            <w:shd w:val="clear" w:color="auto" w:fill="FFF2CC" w:themeFill="accent4" w:themeFillTint="33"/>
          </w:tcPr>
          <w:p w14:paraId="24F390E3" w14:textId="77777777" w:rsidR="00921DBE" w:rsidRPr="00E84C93" w:rsidRDefault="00921DBE" w:rsidP="00085A1A">
            <w:pPr>
              <w:rPr>
                <w:rFonts w:cs="Times New Roman"/>
                <w:sz w:val="20"/>
                <w:szCs w:val="20"/>
                <w:lang w:val="sr-Cyrl-CS"/>
              </w:rPr>
            </w:pPr>
          </w:p>
        </w:tc>
        <w:tc>
          <w:tcPr>
            <w:tcW w:w="1241" w:type="dxa"/>
            <w:vMerge/>
            <w:shd w:val="clear" w:color="auto" w:fill="FFF2CC" w:themeFill="accent4" w:themeFillTint="33"/>
          </w:tcPr>
          <w:p w14:paraId="2F0A2C22" w14:textId="77777777" w:rsidR="00921DBE" w:rsidRPr="00E84C93" w:rsidRDefault="00921DBE" w:rsidP="00085A1A">
            <w:pPr>
              <w:rPr>
                <w:rFonts w:cs="Times New Roman"/>
                <w:sz w:val="20"/>
                <w:szCs w:val="20"/>
                <w:lang w:val="sr-Cyrl-CS"/>
              </w:rPr>
            </w:pPr>
          </w:p>
        </w:tc>
        <w:tc>
          <w:tcPr>
            <w:tcW w:w="1260" w:type="dxa"/>
            <w:vMerge/>
            <w:shd w:val="clear" w:color="auto" w:fill="FFF2CC" w:themeFill="accent4" w:themeFillTint="33"/>
          </w:tcPr>
          <w:p w14:paraId="344BDBC2" w14:textId="77777777" w:rsidR="00921DBE" w:rsidRPr="00E84C93" w:rsidRDefault="00921DBE" w:rsidP="00085A1A">
            <w:pPr>
              <w:jc w:val="center"/>
              <w:rPr>
                <w:rFonts w:cs="Times New Roman"/>
                <w:sz w:val="20"/>
                <w:szCs w:val="20"/>
                <w:lang w:val="sr-Cyrl-CS"/>
              </w:rPr>
            </w:pPr>
          </w:p>
        </w:tc>
        <w:tc>
          <w:tcPr>
            <w:tcW w:w="1440" w:type="dxa"/>
            <w:vMerge/>
            <w:shd w:val="clear" w:color="auto" w:fill="FFF2CC" w:themeFill="accent4" w:themeFillTint="33"/>
          </w:tcPr>
          <w:p w14:paraId="5D3A7F49" w14:textId="77777777" w:rsidR="00921DBE" w:rsidRPr="00E84C93" w:rsidRDefault="00921DBE" w:rsidP="00085A1A">
            <w:pPr>
              <w:jc w:val="center"/>
              <w:rPr>
                <w:rFonts w:cs="Times New Roman"/>
                <w:sz w:val="20"/>
                <w:szCs w:val="20"/>
                <w:lang w:val="sr-Cyrl-CS"/>
              </w:rPr>
            </w:pPr>
          </w:p>
        </w:tc>
        <w:tc>
          <w:tcPr>
            <w:tcW w:w="1350" w:type="dxa"/>
            <w:vMerge/>
            <w:shd w:val="clear" w:color="auto" w:fill="FFF2CC" w:themeFill="accent4" w:themeFillTint="33"/>
          </w:tcPr>
          <w:p w14:paraId="2831FD3F" w14:textId="77777777" w:rsidR="00921DBE" w:rsidRPr="00E84C93" w:rsidRDefault="00921DBE" w:rsidP="00085A1A">
            <w:pPr>
              <w:jc w:val="center"/>
              <w:rPr>
                <w:rFonts w:cs="Times New Roman"/>
                <w:sz w:val="20"/>
                <w:szCs w:val="20"/>
                <w:lang w:val="sr-Cyrl-CS"/>
              </w:rPr>
            </w:pPr>
          </w:p>
        </w:tc>
        <w:tc>
          <w:tcPr>
            <w:tcW w:w="903" w:type="dxa"/>
            <w:shd w:val="clear" w:color="auto" w:fill="FFF2CC" w:themeFill="accent4" w:themeFillTint="33"/>
          </w:tcPr>
          <w:p w14:paraId="20CD18AE"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 xml:space="preserve">до 2023. </w:t>
            </w:r>
          </w:p>
        </w:tc>
        <w:tc>
          <w:tcPr>
            <w:tcW w:w="904" w:type="dxa"/>
            <w:shd w:val="clear" w:color="auto" w:fill="FFF2CC" w:themeFill="accent4" w:themeFillTint="33"/>
          </w:tcPr>
          <w:p w14:paraId="773886ED"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2024.</w:t>
            </w:r>
          </w:p>
        </w:tc>
        <w:tc>
          <w:tcPr>
            <w:tcW w:w="903" w:type="dxa"/>
            <w:shd w:val="clear" w:color="auto" w:fill="FFF2CC" w:themeFill="accent4" w:themeFillTint="33"/>
          </w:tcPr>
          <w:p w14:paraId="4E9D2962"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2025.</w:t>
            </w:r>
          </w:p>
        </w:tc>
        <w:tc>
          <w:tcPr>
            <w:tcW w:w="904" w:type="dxa"/>
            <w:shd w:val="clear" w:color="auto" w:fill="FFF2CC" w:themeFill="accent4" w:themeFillTint="33"/>
          </w:tcPr>
          <w:p w14:paraId="7E497508"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2026.</w:t>
            </w:r>
          </w:p>
        </w:tc>
        <w:tc>
          <w:tcPr>
            <w:tcW w:w="904" w:type="dxa"/>
            <w:shd w:val="clear" w:color="auto" w:fill="FFF2CC" w:themeFill="accent4" w:themeFillTint="33"/>
          </w:tcPr>
          <w:p w14:paraId="631BAB57" w14:textId="77777777" w:rsidR="00921DBE" w:rsidRPr="00E84C93" w:rsidRDefault="00921DBE" w:rsidP="00085A1A">
            <w:pPr>
              <w:jc w:val="center"/>
              <w:rPr>
                <w:rFonts w:cs="Times New Roman"/>
                <w:sz w:val="20"/>
                <w:szCs w:val="20"/>
                <w:lang w:val="sr-Cyrl-CS"/>
              </w:rPr>
            </w:pPr>
            <w:r w:rsidRPr="00E84C93">
              <w:rPr>
                <w:rFonts w:cs="Times New Roman"/>
                <w:sz w:val="20"/>
                <w:szCs w:val="20"/>
                <w:lang w:val="sr-Cyrl-CS"/>
              </w:rPr>
              <w:t>до 2027.</w:t>
            </w:r>
          </w:p>
        </w:tc>
      </w:tr>
      <w:tr w:rsidR="00921DBE" w:rsidRPr="00E84C93" w14:paraId="7D7483FF" w14:textId="77777777" w:rsidTr="00085A1A">
        <w:trPr>
          <w:trHeight w:val="953"/>
        </w:trPr>
        <w:tc>
          <w:tcPr>
            <w:tcW w:w="2725" w:type="dxa"/>
            <w:shd w:val="clear" w:color="auto" w:fill="auto"/>
          </w:tcPr>
          <w:p w14:paraId="2148FD6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4.2.1. Спровођење анализе постојећих и идентификовање потреба за новим запошљавањем у ЈКП</w:t>
            </w:r>
          </w:p>
        </w:tc>
        <w:tc>
          <w:tcPr>
            <w:tcW w:w="1239" w:type="dxa"/>
            <w:shd w:val="clear" w:color="auto" w:fill="auto"/>
          </w:tcPr>
          <w:p w14:paraId="082DCC35"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41" w:type="dxa"/>
            <w:shd w:val="clear" w:color="auto" w:fill="auto"/>
          </w:tcPr>
          <w:p w14:paraId="5FFFCF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60" w:type="dxa"/>
            <w:shd w:val="clear" w:color="auto" w:fill="auto"/>
          </w:tcPr>
          <w:p w14:paraId="73D35D9C"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2. квартал 2024.</w:t>
            </w:r>
          </w:p>
        </w:tc>
        <w:tc>
          <w:tcPr>
            <w:tcW w:w="1440" w:type="dxa"/>
            <w:shd w:val="clear" w:color="auto" w:fill="auto"/>
          </w:tcPr>
          <w:p w14:paraId="0EBB12B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ЈЛС/редовна издвајања</w:t>
            </w:r>
          </w:p>
        </w:tc>
        <w:tc>
          <w:tcPr>
            <w:tcW w:w="1350" w:type="dxa"/>
            <w:shd w:val="clear" w:color="auto" w:fill="auto"/>
          </w:tcPr>
          <w:p w14:paraId="39CA102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3" w:type="dxa"/>
            <w:shd w:val="clear" w:color="auto" w:fill="auto"/>
          </w:tcPr>
          <w:p w14:paraId="17DABD47" w14:textId="77777777" w:rsidR="00921DBE" w:rsidRPr="00E84C93" w:rsidRDefault="00921DBE" w:rsidP="00085A1A">
            <w:pPr>
              <w:rPr>
                <w:rFonts w:cs="Times New Roman"/>
                <w:sz w:val="20"/>
                <w:szCs w:val="20"/>
                <w:lang w:val="sr-Cyrl-CS"/>
              </w:rPr>
            </w:pPr>
          </w:p>
        </w:tc>
        <w:tc>
          <w:tcPr>
            <w:tcW w:w="904" w:type="dxa"/>
            <w:shd w:val="clear" w:color="auto" w:fill="auto"/>
          </w:tcPr>
          <w:p w14:paraId="3D9C121A" w14:textId="77777777" w:rsidR="00921DBE" w:rsidRPr="00E84C93" w:rsidRDefault="00921DBE" w:rsidP="00085A1A">
            <w:pPr>
              <w:rPr>
                <w:rFonts w:cs="Times New Roman"/>
                <w:sz w:val="20"/>
                <w:szCs w:val="20"/>
                <w:lang w:val="sr-Cyrl-CS"/>
              </w:rPr>
            </w:pPr>
          </w:p>
        </w:tc>
        <w:tc>
          <w:tcPr>
            <w:tcW w:w="903" w:type="dxa"/>
            <w:shd w:val="clear" w:color="auto" w:fill="auto"/>
          </w:tcPr>
          <w:p w14:paraId="276F49F6" w14:textId="77777777" w:rsidR="00921DBE" w:rsidRPr="00E84C93" w:rsidRDefault="00921DBE" w:rsidP="00085A1A">
            <w:pPr>
              <w:rPr>
                <w:rFonts w:cs="Times New Roman"/>
                <w:sz w:val="20"/>
                <w:szCs w:val="20"/>
                <w:lang w:val="sr-Cyrl-CS"/>
              </w:rPr>
            </w:pPr>
          </w:p>
        </w:tc>
        <w:tc>
          <w:tcPr>
            <w:tcW w:w="904" w:type="dxa"/>
            <w:shd w:val="clear" w:color="auto" w:fill="auto"/>
          </w:tcPr>
          <w:p w14:paraId="73752606" w14:textId="77777777" w:rsidR="00921DBE" w:rsidRPr="00E84C93" w:rsidRDefault="00921DBE" w:rsidP="00085A1A">
            <w:pPr>
              <w:rPr>
                <w:rFonts w:cs="Times New Roman"/>
                <w:sz w:val="20"/>
                <w:szCs w:val="20"/>
                <w:lang w:val="sr-Cyrl-CS"/>
              </w:rPr>
            </w:pPr>
          </w:p>
        </w:tc>
        <w:tc>
          <w:tcPr>
            <w:tcW w:w="904" w:type="dxa"/>
            <w:shd w:val="clear" w:color="auto" w:fill="auto"/>
          </w:tcPr>
          <w:p w14:paraId="7040B534" w14:textId="77777777" w:rsidR="00921DBE" w:rsidRPr="00E84C93" w:rsidRDefault="00921DBE" w:rsidP="00085A1A">
            <w:pPr>
              <w:rPr>
                <w:rFonts w:cs="Times New Roman"/>
                <w:sz w:val="20"/>
                <w:szCs w:val="20"/>
                <w:lang w:val="sr-Cyrl-CS"/>
              </w:rPr>
            </w:pPr>
          </w:p>
        </w:tc>
      </w:tr>
      <w:tr w:rsidR="00921DBE" w:rsidRPr="00E84C93" w14:paraId="5BF23D7E" w14:textId="77777777" w:rsidTr="00085A1A">
        <w:trPr>
          <w:trHeight w:val="146"/>
        </w:trPr>
        <w:tc>
          <w:tcPr>
            <w:tcW w:w="2725" w:type="dxa"/>
          </w:tcPr>
          <w:p w14:paraId="79F8D46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4.2.2. Израда програма и с</w:t>
            </w:r>
            <w:r w:rsidRPr="00E84C93">
              <w:rPr>
                <w:sz w:val="20"/>
                <w:szCs w:val="20"/>
                <w:lang w:val="sr-Cyrl-CS"/>
              </w:rPr>
              <w:t xml:space="preserve">провођење обука </w:t>
            </w:r>
            <w:r w:rsidRPr="00E84C93">
              <w:rPr>
                <w:rFonts w:cs="Times New Roman"/>
                <w:sz w:val="20"/>
                <w:szCs w:val="20"/>
                <w:lang w:val="sr-Cyrl-CS"/>
              </w:rPr>
              <w:t xml:space="preserve">за заспослене у ЈКП за управљање муљем </w:t>
            </w:r>
          </w:p>
        </w:tc>
        <w:tc>
          <w:tcPr>
            <w:tcW w:w="1239" w:type="dxa"/>
          </w:tcPr>
          <w:p w14:paraId="59FA777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МГСИ</w:t>
            </w:r>
          </w:p>
        </w:tc>
        <w:tc>
          <w:tcPr>
            <w:tcW w:w="1241" w:type="dxa"/>
          </w:tcPr>
          <w:p w14:paraId="78C62C0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 ЈКП</w:t>
            </w:r>
          </w:p>
        </w:tc>
        <w:tc>
          <w:tcPr>
            <w:tcW w:w="1260" w:type="dxa"/>
          </w:tcPr>
          <w:p w14:paraId="65931467"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56829EF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Донаторска средства</w:t>
            </w:r>
          </w:p>
        </w:tc>
        <w:tc>
          <w:tcPr>
            <w:tcW w:w="1350" w:type="dxa"/>
          </w:tcPr>
          <w:p w14:paraId="6C185020"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1101-0003</w:t>
            </w:r>
          </w:p>
          <w:p w14:paraId="7BC6CDE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465</w:t>
            </w:r>
          </w:p>
        </w:tc>
        <w:tc>
          <w:tcPr>
            <w:tcW w:w="903" w:type="dxa"/>
          </w:tcPr>
          <w:p w14:paraId="14D57DD2" w14:textId="77777777" w:rsidR="00921DBE" w:rsidRPr="00E84C93" w:rsidRDefault="00921DBE" w:rsidP="00085A1A">
            <w:pPr>
              <w:rPr>
                <w:rFonts w:cs="Times New Roman"/>
                <w:sz w:val="20"/>
                <w:szCs w:val="20"/>
                <w:lang w:val="sr-Cyrl-CS"/>
              </w:rPr>
            </w:pPr>
          </w:p>
        </w:tc>
        <w:tc>
          <w:tcPr>
            <w:tcW w:w="904" w:type="dxa"/>
          </w:tcPr>
          <w:p w14:paraId="5D489A9C" w14:textId="77777777" w:rsidR="00921DBE" w:rsidRPr="00E84C93" w:rsidRDefault="00921DBE" w:rsidP="00085A1A">
            <w:pPr>
              <w:rPr>
                <w:rFonts w:cs="Times New Roman"/>
                <w:sz w:val="20"/>
                <w:szCs w:val="20"/>
                <w:lang w:val="sr-Cyrl-CS"/>
              </w:rPr>
            </w:pPr>
          </w:p>
        </w:tc>
        <w:tc>
          <w:tcPr>
            <w:tcW w:w="903" w:type="dxa"/>
            <w:shd w:val="clear" w:color="auto" w:fill="auto"/>
          </w:tcPr>
          <w:p w14:paraId="45602AC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c>
          <w:tcPr>
            <w:tcW w:w="904" w:type="dxa"/>
            <w:shd w:val="clear" w:color="auto" w:fill="auto"/>
          </w:tcPr>
          <w:p w14:paraId="1556523D"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c>
          <w:tcPr>
            <w:tcW w:w="904" w:type="dxa"/>
            <w:shd w:val="clear" w:color="auto" w:fill="auto"/>
          </w:tcPr>
          <w:p w14:paraId="2B9DB33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7.000*</w:t>
            </w:r>
          </w:p>
        </w:tc>
      </w:tr>
      <w:tr w:rsidR="00921DBE" w:rsidRPr="00E84C93" w14:paraId="1F91C766" w14:textId="77777777" w:rsidTr="00085A1A">
        <w:trPr>
          <w:trHeight w:val="146"/>
        </w:trPr>
        <w:tc>
          <w:tcPr>
            <w:tcW w:w="2725" w:type="dxa"/>
          </w:tcPr>
          <w:p w14:paraId="772E012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4.2.3. Успостављање трајног механизма координације активности између ЈЛС и ЈКП за управљање муљем</w:t>
            </w:r>
          </w:p>
        </w:tc>
        <w:tc>
          <w:tcPr>
            <w:tcW w:w="1239" w:type="dxa"/>
          </w:tcPr>
          <w:p w14:paraId="3AEF5B6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41" w:type="dxa"/>
          </w:tcPr>
          <w:p w14:paraId="0B938D91"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60" w:type="dxa"/>
          </w:tcPr>
          <w:p w14:paraId="36AA97CB"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2026.</w:t>
            </w:r>
          </w:p>
        </w:tc>
        <w:tc>
          <w:tcPr>
            <w:tcW w:w="1440" w:type="dxa"/>
          </w:tcPr>
          <w:p w14:paraId="498E0F5A"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ЈЛС/редовна издвајања</w:t>
            </w:r>
          </w:p>
        </w:tc>
        <w:tc>
          <w:tcPr>
            <w:tcW w:w="1350" w:type="dxa"/>
          </w:tcPr>
          <w:p w14:paraId="69EFC9E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3" w:type="dxa"/>
          </w:tcPr>
          <w:p w14:paraId="2F21BDCC" w14:textId="77777777" w:rsidR="00921DBE" w:rsidRPr="00E84C93" w:rsidRDefault="00921DBE" w:rsidP="00085A1A">
            <w:pPr>
              <w:rPr>
                <w:rFonts w:cs="Times New Roman"/>
                <w:sz w:val="20"/>
                <w:szCs w:val="20"/>
                <w:lang w:val="sr-Cyrl-CS"/>
              </w:rPr>
            </w:pPr>
          </w:p>
        </w:tc>
        <w:tc>
          <w:tcPr>
            <w:tcW w:w="904" w:type="dxa"/>
          </w:tcPr>
          <w:p w14:paraId="3C7AFFE5" w14:textId="77777777" w:rsidR="00921DBE" w:rsidRPr="00E84C93" w:rsidRDefault="00921DBE" w:rsidP="00085A1A">
            <w:pPr>
              <w:rPr>
                <w:rFonts w:cs="Times New Roman"/>
                <w:sz w:val="20"/>
                <w:szCs w:val="20"/>
                <w:lang w:val="sr-Cyrl-CS"/>
              </w:rPr>
            </w:pPr>
          </w:p>
        </w:tc>
        <w:tc>
          <w:tcPr>
            <w:tcW w:w="903" w:type="dxa"/>
            <w:shd w:val="clear" w:color="auto" w:fill="auto"/>
          </w:tcPr>
          <w:p w14:paraId="55B7C44A" w14:textId="77777777" w:rsidR="00921DBE" w:rsidRPr="00E84C93" w:rsidRDefault="00921DBE" w:rsidP="00085A1A">
            <w:pPr>
              <w:rPr>
                <w:rFonts w:cs="Times New Roman"/>
                <w:sz w:val="20"/>
                <w:szCs w:val="20"/>
                <w:lang w:val="sr-Cyrl-CS"/>
              </w:rPr>
            </w:pPr>
          </w:p>
        </w:tc>
        <w:tc>
          <w:tcPr>
            <w:tcW w:w="904" w:type="dxa"/>
            <w:shd w:val="clear" w:color="auto" w:fill="auto"/>
          </w:tcPr>
          <w:p w14:paraId="05F22B65" w14:textId="77777777" w:rsidR="00921DBE" w:rsidRPr="00E84C93" w:rsidRDefault="00921DBE" w:rsidP="00085A1A">
            <w:pPr>
              <w:rPr>
                <w:rFonts w:cs="Times New Roman"/>
                <w:sz w:val="20"/>
                <w:szCs w:val="20"/>
                <w:lang w:val="sr-Cyrl-CS"/>
              </w:rPr>
            </w:pPr>
          </w:p>
        </w:tc>
        <w:tc>
          <w:tcPr>
            <w:tcW w:w="904" w:type="dxa"/>
            <w:shd w:val="clear" w:color="auto" w:fill="auto"/>
          </w:tcPr>
          <w:p w14:paraId="3677735F" w14:textId="77777777" w:rsidR="00921DBE" w:rsidRPr="00E84C93" w:rsidRDefault="00921DBE" w:rsidP="00085A1A">
            <w:pPr>
              <w:rPr>
                <w:rFonts w:cs="Times New Roman"/>
                <w:sz w:val="20"/>
                <w:szCs w:val="20"/>
                <w:lang w:val="sr-Cyrl-CS"/>
              </w:rPr>
            </w:pPr>
          </w:p>
        </w:tc>
      </w:tr>
      <w:tr w:rsidR="00921DBE" w:rsidRPr="00E84C93" w14:paraId="31AFB940" w14:textId="77777777" w:rsidTr="00085A1A">
        <w:trPr>
          <w:trHeight w:val="146"/>
        </w:trPr>
        <w:tc>
          <w:tcPr>
            <w:tcW w:w="2725" w:type="dxa"/>
          </w:tcPr>
          <w:p w14:paraId="369B5D43"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 xml:space="preserve">4.2.4. Формирање регионалних предузећа за управљање муљем </w:t>
            </w:r>
          </w:p>
        </w:tc>
        <w:tc>
          <w:tcPr>
            <w:tcW w:w="1239" w:type="dxa"/>
          </w:tcPr>
          <w:p w14:paraId="0155989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ЈЛС</w:t>
            </w:r>
          </w:p>
        </w:tc>
        <w:tc>
          <w:tcPr>
            <w:tcW w:w="1241" w:type="dxa"/>
          </w:tcPr>
          <w:p w14:paraId="4BCB12F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ЈКП</w:t>
            </w:r>
          </w:p>
        </w:tc>
        <w:tc>
          <w:tcPr>
            <w:tcW w:w="1260" w:type="dxa"/>
          </w:tcPr>
          <w:p w14:paraId="48A2BC0F"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4. квартал 2027.</w:t>
            </w:r>
          </w:p>
        </w:tc>
        <w:tc>
          <w:tcPr>
            <w:tcW w:w="1440" w:type="dxa"/>
          </w:tcPr>
          <w:p w14:paraId="26157134"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Буџети ЈЛС</w:t>
            </w:r>
          </w:p>
        </w:tc>
        <w:tc>
          <w:tcPr>
            <w:tcW w:w="1350" w:type="dxa"/>
          </w:tcPr>
          <w:p w14:paraId="1FA4A4FE"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w:t>
            </w:r>
          </w:p>
        </w:tc>
        <w:tc>
          <w:tcPr>
            <w:tcW w:w="903" w:type="dxa"/>
          </w:tcPr>
          <w:p w14:paraId="0A5A7A98" w14:textId="77777777" w:rsidR="00921DBE" w:rsidRPr="00E84C93" w:rsidRDefault="00921DBE" w:rsidP="00085A1A">
            <w:pPr>
              <w:rPr>
                <w:rFonts w:cs="Times New Roman"/>
                <w:sz w:val="20"/>
                <w:szCs w:val="20"/>
                <w:lang w:val="sr-Cyrl-CS"/>
              </w:rPr>
            </w:pPr>
          </w:p>
        </w:tc>
        <w:tc>
          <w:tcPr>
            <w:tcW w:w="904" w:type="dxa"/>
          </w:tcPr>
          <w:p w14:paraId="4C1DD649" w14:textId="77777777" w:rsidR="00921DBE" w:rsidRPr="00E84C93" w:rsidRDefault="00921DBE" w:rsidP="00085A1A">
            <w:pPr>
              <w:rPr>
                <w:rFonts w:cs="Times New Roman"/>
                <w:sz w:val="20"/>
                <w:szCs w:val="20"/>
                <w:lang w:val="sr-Cyrl-CS"/>
              </w:rPr>
            </w:pPr>
          </w:p>
        </w:tc>
        <w:tc>
          <w:tcPr>
            <w:tcW w:w="903" w:type="dxa"/>
            <w:shd w:val="clear" w:color="auto" w:fill="auto"/>
          </w:tcPr>
          <w:p w14:paraId="2FB289C9"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c>
          <w:tcPr>
            <w:tcW w:w="904" w:type="dxa"/>
            <w:shd w:val="clear" w:color="auto" w:fill="auto"/>
          </w:tcPr>
          <w:p w14:paraId="6F5CA0A2"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c>
          <w:tcPr>
            <w:tcW w:w="904" w:type="dxa"/>
            <w:shd w:val="clear" w:color="auto" w:fill="auto"/>
          </w:tcPr>
          <w:p w14:paraId="4F8B6508" w14:textId="77777777" w:rsidR="00921DBE" w:rsidRPr="00E84C93" w:rsidRDefault="00921DBE" w:rsidP="00085A1A">
            <w:pPr>
              <w:rPr>
                <w:rFonts w:cs="Times New Roman"/>
                <w:sz w:val="20"/>
                <w:szCs w:val="20"/>
                <w:lang w:val="sr-Cyrl-CS"/>
              </w:rPr>
            </w:pPr>
            <w:r w:rsidRPr="00E84C93">
              <w:rPr>
                <w:rFonts w:cs="Times New Roman"/>
                <w:sz w:val="20"/>
                <w:szCs w:val="20"/>
                <w:lang w:val="sr-Cyrl-CS"/>
              </w:rPr>
              <w:t>1.000*</w:t>
            </w:r>
          </w:p>
        </w:tc>
      </w:tr>
    </w:tbl>
    <w:p w14:paraId="3F85B6A1" w14:textId="538C951D" w:rsidR="00921DBE" w:rsidRPr="00E84C93" w:rsidRDefault="00921DBE" w:rsidP="00921DBE">
      <w:pPr>
        <w:spacing w:after="0"/>
        <w:rPr>
          <w:highlight w:val="magenta"/>
          <w:lang w:val="sr-Cyrl-CS"/>
        </w:rPr>
        <w:sectPr w:rsidR="00921DBE" w:rsidRPr="00E84C93" w:rsidSect="001B734A">
          <w:footerReference w:type="default" r:id="rId14"/>
          <w:pgSz w:w="15840" w:h="12240" w:orient="landscape"/>
          <w:pgMar w:top="1440" w:right="1440" w:bottom="1440" w:left="1440" w:header="720" w:footer="720" w:gutter="0"/>
          <w:cols w:space="720"/>
          <w:docGrid w:linePitch="360"/>
        </w:sectPr>
      </w:pPr>
    </w:p>
    <w:p w14:paraId="31243A8C" w14:textId="65038CE8" w:rsidR="005C3AF0" w:rsidRPr="00E84C93" w:rsidRDefault="005C3AF0" w:rsidP="004E2BA1">
      <w:pPr>
        <w:pStyle w:val="basic-paragraph"/>
        <w:spacing w:before="0" w:beforeAutospacing="0" w:after="0" w:afterAutospacing="0"/>
        <w:jc w:val="both"/>
        <w:rPr>
          <w:lang w:val="sr-Cyrl-CS"/>
        </w:rPr>
      </w:pPr>
    </w:p>
    <w:sectPr w:rsidR="005C3AF0" w:rsidRPr="00E84C93" w:rsidSect="001B734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A5C86" w14:textId="77777777" w:rsidR="004E1CC9" w:rsidRDefault="004E1CC9" w:rsidP="00E65617">
      <w:pPr>
        <w:spacing w:after="0"/>
      </w:pPr>
      <w:r>
        <w:separator/>
      </w:r>
    </w:p>
  </w:endnote>
  <w:endnote w:type="continuationSeparator" w:id="0">
    <w:p w14:paraId="63D4F79F" w14:textId="77777777" w:rsidR="004E1CC9" w:rsidRDefault="004E1CC9" w:rsidP="00E65617">
      <w:pPr>
        <w:spacing w:after="0"/>
      </w:pPr>
      <w:r>
        <w:continuationSeparator/>
      </w:r>
    </w:p>
  </w:endnote>
  <w:endnote w:type="continuationNotice" w:id="1">
    <w:p w14:paraId="5022BD31" w14:textId="77777777" w:rsidR="004E1CC9" w:rsidRDefault="004E1C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f1">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714994"/>
      <w:docPartObj>
        <w:docPartGallery w:val="Page Numbers (Bottom of Page)"/>
        <w:docPartUnique/>
      </w:docPartObj>
    </w:sdtPr>
    <w:sdtEndPr>
      <w:rPr>
        <w:noProof/>
      </w:rPr>
    </w:sdtEndPr>
    <w:sdtContent>
      <w:p w14:paraId="28A4C57D" w14:textId="21C6B1A9" w:rsidR="00E84C93" w:rsidRDefault="00E84C93">
        <w:pPr>
          <w:pStyle w:val="Footer"/>
          <w:jc w:val="right"/>
        </w:pPr>
        <w:r>
          <w:fldChar w:fldCharType="begin"/>
        </w:r>
        <w:r>
          <w:instrText xml:space="preserve"> PAGE   \* MERGEFORMAT </w:instrText>
        </w:r>
        <w:r>
          <w:fldChar w:fldCharType="separate"/>
        </w:r>
        <w:r w:rsidR="00146162">
          <w:rPr>
            <w:noProof/>
          </w:rPr>
          <w:t>8</w:t>
        </w:r>
        <w:r>
          <w:rPr>
            <w:noProof/>
          </w:rPr>
          <w:fldChar w:fldCharType="end"/>
        </w:r>
      </w:p>
    </w:sdtContent>
  </w:sdt>
  <w:p w14:paraId="4A634760" w14:textId="77777777" w:rsidR="00E84C93" w:rsidRDefault="00E84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719244"/>
      <w:docPartObj>
        <w:docPartGallery w:val="Page Numbers (Bottom of Page)"/>
        <w:docPartUnique/>
      </w:docPartObj>
    </w:sdtPr>
    <w:sdtEndPr>
      <w:rPr>
        <w:noProof/>
      </w:rPr>
    </w:sdtEndPr>
    <w:sdtContent>
      <w:p w14:paraId="3081DA98" w14:textId="2E731371" w:rsidR="00E84C93" w:rsidRDefault="00E84C93">
        <w:pPr>
          <w:pStyle w:val="Footer"/>
          <w:jc w:val="right"/>
        </w:pPr>
        <w:r>
          <w:fldChar w:fldCharType="begin"/>
        </w:r>
        <w:r>
          <w:instrText xml:space="preserve"> PAGE   \* MERGEFORMAT </w:instrText>
        </w:r>
        <w:r>
          <w:fldChar w:fldCharType="separate"/>
        </w:r>
        <w:r w:rsidR="00146162">
          <w:rPr>
            <w:noProof/>
          </w:rPr>
          <w:t>72</w:t>
        </w:r>
        <w:r>
          <w:rPr>
            <w:noProof/>
          </w:rPr>
          <w:fldChar w:fldCharType="end"/>
        </w:r>
      </w:p>
    </w:sdtContent>
  </w:sdt>
  <w:p w14:paraId="00ABC906" w14:textId="77777777" w:rsidR="00E84C93" w:rsidRDefault="00E84C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906523"/>
      <w:docPartObj>
        <w:docPartGallery w:val="Page Numbers (Bottom of Page)"/>
        <w:docPartUnique/>
      </w:docPartObj>
    </w:sdtPr>
    <w:sdtEndPr>
      <w:rPr>
        <w:noProof/>
      </w:rPr>
    </w:sdtEndPr>
    <w:sdtContent>
      <w:p w14:paraId="7D746832" w14:textId="12CEA6E4" w:rsidR="00E84C93" w:rsidRDefault="00E84C93">
        <w:pPr>
          <w:pStyle w:val="Footer"/>
          <w:jc w:val="right"/>
        </w:pPr>
        <w:r>
          <w:fldChar w:fldCharType="begin"/>
        </w:r>
        <w:r>
          <w:instrText xml:space="preserve"> PAGE   \* MERGEFORMAT </w:instrText>
        </w:r>
        <w:r>
          <w:fldChar w:fldCharType="separate"/>
        </w:r>
        <w:r w:rsidR="00146162">
          <w:rPr>
            <w:noProof/>
          </w:rPr>
          <w:t>85</w:t>
        </w:r>
        <w:r>
          <w:rPr>
            <w:noProof/>
          </w:rPr>
          <w:fldChar w:fldCharType="end"/>
        </w:r>
      </w:p>
    </w:sdtContent>
  </w:sdt>
  <w:p w14:paraId="75CE404B" w14:textId="77777777" w:rsidR="00E84C93" w:rsidRDefault="00E84C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453575"/>
      <w:docPartObj>
        <w:docPartGallery w:val="Page Numbers (Bottom of Page)"/>
        <w:docPartUnique/>
      </w:docPartObj>
    </w:sdtPr>
    <w:sdtEndPr>
      <w:rPr>
        <w:noProof/>
      </w:rPr>
    </w:sdtEndPr>
    <w:sdtContent>
      <w:p w14:paraId="08AC243F" w14:textId="014A72F3" w:rsidR="00E84C93" w:rsidRDefault="00E84C93">
        <w:pPr>
          <w:pStyle w:val="Footer"/>
          <w:jc w:val="right"/>
        </w:pPr>
        <w:r>
          <w:fldChar w:fldCharType="begin"/>
        </w:r>
        <w:r>
          <w:instrText xml:space="preserve"> PAGE   \* MERGEFORMAT </w:instrText>
        </w:r>
        <w:r>
          <w:fldChar w:fldCharType="separate"/>
        </w:r>
        <w:r w:rsidR="00146162">
          <w:rPr>
            <w:noProof/>
          </w:rPr>
          <w:t>94</w:t>
        </w:r>
        <w:r>
          <w:rPr>
            <w:noProof/>
          </w:rPr>
          <w:fldChar w:fldCharType="end"/>
        </w:r>
      </w:p>
    </w:sdtContent>
  </w:sdt>
  <w:p w14:paraId="4EF73165" w14:textId="77777777" w:rsidR="00E84C93" w:rsidRDefault="00E8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1F26" w14:textId="77777777" w:rsidR="004E1CC9" w:rsidRDefault="004E1CC9" w:rsidP="00E65617">
      <w:pPr>
        <w:spacing w:after="0"/>
      </w:pPr>
      <w:r>
        <w:separator/>
      </w:r>
    </w:p>
  </w:footnote>
  <w:footnote w:type="continuationSeparator" w:id="0">
    <w:p w14:paraId="081BB895" w14:textId="77777777" w:rsidR="004E1CC9" w:rsidRDefault="004E1CC9" w:rsidP="00E65617">
      <w:pPr>
        <w:spacing w:after="0"/>
      </w:pPr>
      <w:r>
        <w:continuationSeparator/>
      </w:r>
    </w:p>
  </w:footnote>
  <w:footnote w:type="continuationNotice" w:id="1">
    <w:p w14:paraId="447506A6" w14:textId="77777777" w:rsidR="004E1CC9" w:rsidRDefault="004E1CC9">
      <w:pPr>
        <w:spacing w:after="0"/>
      </w:pPr>
    </w:p>
  </w:footnote>
  <w:footnote w:id="2">
    <w:p w14:paraId="76166A1A" w14:textId="6C33F0DC" w:rsidR="00E84C93" w:rsidRPr="000D53BC" w:rsidRDefault="00E84C93" w:rsidP="005F3922">
      <w:pPr>
        <w:pStyle w:val="FootnoteText"/>
        <w:rPr>
          <w:rFonts w:ascii="Times New Roman" w:hAnsi="Times New Roman" w:cs="Times New Roman"/>
        </w:rPr>
      </w:pPr>
      <w:r w:rsidRPr="000D53BC">
        <w:rPr>
          <w:rStyle w:val="FootnoteReference"/>
          <w:rFonts w:ascii="Times New Roman" w:hAnsi="Times New Roman" w:cs="Times New Roman"/>
        </w:rPr>
        <w:footnoteRef/>
      </w:r>
      <w:r w:rsidRPr="000D53BC">
        <w:rPr>
          <w:rFonts w:ascii="Times New Roman" w:hAnsi="Times New Roman" w:cs="Times New Roman"/>
        </w:rPr>
        <w:t xml:space="preserve"> Секундарни третман отпадних вода обухвата уклањање органског загађења у складу са Уредбом о граничним вредностима емисије загађујућих материја у воде и роковима за њихово достизање, Табела 2, а.</w:t>
      </w:r>
    </w:p>
  </w:footnote>
  <w:footnote w:id="3">
    <w:p w14:paraId="49EEB666" w14:textId="77777777" w:rsidR="00E84C93" w:rsidRPr="004641B3" w:rsidRDefault="00E84C93" w:rsidP="005F3922">
      <w:pPr>
        <w:pStyle w:val="FootnoteText"/>
        <w:rPr>
          <w:rFonts w:ascii="Times New Roman" w:hAnsi="Times New Roman" w:cs="Times New Roman"/>
        </w:rPr>
      </w:pPr>
      <w:r w:rsidRPr="004641B3">
        <w:rPr>
          <w:rStyle w:val="FootnoteReference"/>
          <w:rFonts w:ascii="Times New Roman" w:hAnsi="Times New Roman" w:cs="Times New Roman"/>
        </w:rPr>
        <w:footnoteRef/>
      </w:r>
      <w:r w:rsidRPr="004641B3">
        <w:rPr>
          <w:rFonts w:ascii="Times New Roman" w:hAnsi="Times New Roman" w:cs="Times New Roman"/>
        </w:rPr>
        <w:t xml:space="preserve"> g СМ /(ЕС дан) = грама суве материје по еквивалентном становнику на дан</w:t>
      </w:r>
    </w:p>
  </w:footnote>
  <w:footnote w:id="4">
    <w:p w14:paraId="65D84982" w14:textId="1D8A6A15" w:rsidR="00E84C93" w:rsidRPr="00A078B4" w:rsidRDefault="00E84C93" w:rsidP="00A078B4">
      <w:pPr>
        <w:pStyle w:val="CommentText"/>
        <w:spacing w:before="0" w:after="0"/>
        <w:rPr>
          <w:rFonts w:ascii="Times New Roman" w:hAnsi="Times New Roman" w:cs="Times New Roman"/>
          <w:lang w:val="sr-Cyrl-ME"/>
        </w:rPr>
      </w:pPr>
      <w:r w:rsidRPr="004641B3">
        <w:rPr>
          <w:rStyle w:val="FootnoteReference"/>
          <w:rFonts w:ascii="Times New Roman" w:hAnsi="Times New Roman" w:cs="Times New Roman"/>
        </w:rPr>
        <w:footnoteRef/>
      </w:r>
      <w:r w:rsidRPr="004641B3">
        <w:rPr>
          <w:rFonts w:ascii="Times New Roman" w:hAnsi="Times New Roman" w:cs="Times New Roman"/>
        </w:rPr>
        <w:t xml:space="preserve"> 50-</w:t>
      </w:r>
      <w:r w:rsidRPr="00F77438">
        <w:rPr>
          <w:rFonts w:ascii="Times New Roman" w:hAnsi="Times New Roman" w:cs="Times New Roman"/>
        </w:rPr>
        <w:t xml:space="preserve">ти перцентил представљају измерене вредности испод границе од 50% опсервација. </w:t>
      </w:r>
      <w:r w:rsidRPr="00A078B4">
        <w:rPr>
          <w:rFonts w:ascii="Times New Roman" w:hAnsi="Times New Roman" w:cs="Times New Roman"/>
          <w:lang w:val="sr-Cyrl-ME"/>
        </w:rPr>
        <w:t xml:space="preserve">Перцентил је мера која се користи у статистици за показивање вредности испод које дати проценат опсервација у групи опсервација пада. На пример, 50. перцентил је вредност (или резултат) испод кога се може наћи 50% опсервација </w:t>
      </w:r>
    </w:p>
  </w:footnote>
  <w:footnote w:id="5">
    <w:p w14:paraId="3588F3FE" w14:textId="77777777" w:rsidR="00E84C93" w:rsidRPr="004F7CA0" w:rsidRDefault="00E84C93">
      <w:pPr>
        <w:pStyle w:val="FootnoteText"/>
      </w:pPr>
      <w:r w:rsidRPr="00F77438">
        <w:rPr>
          <w:rStyle w:val="FootnoteReference"/>
          <w:rFonts w:ascii="Times New Roman" w:hAnsi="Times New Roman" w:cs="Times New Roman"/>
        </w:rPr>
        <w:footnoteRef/>
      </w:r>
      <w:r w:rsidRPr="00F77438">
        <w:rPr>
          <w:rFonts w:ascii="Times New Roman" w:hAnsi="Times New Roman" w:cs="Times New Roman"/>
        </w:rPr>
        <w:t xml:space="preserve"> 85-ти перцентил представљају измерене вредности испод границе од 85% опсервација</w:t>
      </w:r>
    </w:p>
  </w:footnote>
  <w:footnote w:id="6">
    <w:p w14:paraId="63849925" w14:textId="77777777" w:rsidR="00E84C93" w:rsidRPr="004B7066" w:rsidRDefault="00E84C93" w:rsidP="00921DBE">
      <w:pPr>
        <w:pStyle w:val="FootnoteText"/>
      </w:pPr>
      <w:r>
        <w:rPr>
          <w:rStyle w:val="FootnoteReference"/>
        </w:rPr>
        <w:footnoteRef/>
      </w:r>
      <w:r>
        <w:t xml:space="preserve"> Средства исказана у тачки 1.1.1. и 1.1.3. су збирно приказана у тачки 1.1.3.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57400"/>
    <w:multiLevelType w:val="hybridMultilevel"/>
    <w:tmpl w:val="05F628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637C4"/>
    <w:multiLevelType w:val="hybridMultilevel"/>
    <w:tmpl w:val="12F6C930"/>
    <w:lvl w:ilvl="0" w:tplc="BEE26DDE">
      <w:start w:val="1"/>
      <w:numFmt w:val="decimal"/>
      <w:lvlText w:val="%1)"/>
      <w:lvlJc w:val="left"/>
      <w:pPr>
        <w:ind w:left="1080" w:hanging="360"/>
      </w:pPr>
      <w:rPr>
        <w:rFonts w:ascii="Times New Roman" w:eastAsiaTheme="minorHAnsi" w:hAnsi="Times New Roman" w:cs="Times New Roman"/>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 w15:restartNumberingAfterBreak="0">
    <w:nsid w:val="058A3304"/>
    <w:multiLevelType w:val="hybridMultilevel"/>
    <w:tmpl w:val="8C32CEE0"/>
    <w:lvl w:ilvl="0" w:tplc="E6328D1A">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5520BD"/>
    <w:multiLevelType w:val="hybridMultilevel"/>
    <w:tmpl w:val="5410624E"/>
    <w:lvl w:ilvl="0" w:tplc="BDCCF57C">
      <w:start w:val="1"/>
      <w:numFmt w:val="decimal"/>
      <w:lvlText w:val="%1)"/>
      <w:lvlJc w:val="left"/>
      <w:pPr>
        <w:ind w:left="1074" w:hanging="360"/>
      </w:pPr>
      <w:rPr>
        <w:rFonts w:ascii="Times New Roman" w:eastAsiaTheme="minorHAnsi" w:hAnsi="Times New Roman" w:cstheme="minorBidi"/>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 w15:restartNumberingAfterBreak="0">
    <w:nsid w:val="0D2E4BE1"/>
    <w:multiLevelType w:val="singleLevel"/>
    <w:tmpl w:val="BC1E681E"/>
    <w:lvl w:ilvl="0">
      <w:start w:val="1"/>
      <w:numFmt w:val="lowerLetter"/>
      <w:pStyle w:val="Absatz-Aufzhlungalphabetisch"/>
      <w:lvlText w:val="%1."/>
      <w:lvlJc w:val="left"/>
      <w:pPr>
        <w:tabs>
          <w:tab w:val="num" w:pos="360"/>
        </w:tabs>
        <w:ind w:left="227" w:hanging="227"/>
      </w:pPr>
    </w:lvl>
  </w:abstractNum>
  <w:abstractNum w:abstractNumId="5" w15:restartNumberingAfterBreak="0">
    <w:nsid w:val="12020F8F"/>
    <w:multiLevelType w:val="hybridMultilevel"/>
    <w:tmpl w:val="19A66460"/>
    <w:lvl w:ilvl="0" w:tplc="F9E6A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8118C7"/>
    <w:multiLevelType w:val="multilevel"/>
    <w:tmpl w:val="29ECC004"/>
    <w:styleLink w:val="Formatvorlage71"/>
    <w:lvl w:ilvl="0">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3270"/>
        </w:tabs>
        <w:ind w:left="3270" w:hanging="576"/>
      </w:pPr>
      <w:rPr>
        <w:rFonts w:cs="Times New Roman" w:hint="default"/>
      </w:rPr>
    </w:lvl>
    <w:lvl w:ilvl="2">
      <w:start w:val="1"/>
      <w:numFmt w:val="decimal"/>
      <w:lvlText w:val="%1.%2.%3"/>
      <w:lvlJc w:val="left"/>
      <w:pPr>
        <w:tabs>
          <w:tab w:val="num" w:pos="720"/>
        </w:tabs>
        <w:ind w:left="720" w:hanging="720"/>
      </w:pPr>
      <w:rPr>
        <w:rFonts w:hint="default"/>
        <w:bCs w:val="0"/>
        <w:i w:val="0"/>
        <w:iCs w:val="0"/>
        <w:caps w:val="0"/>
        <w:smallCaps w:val="0"/>
        <w:strike w:val="0"/>
        <w:dstrike w:val="0"/>
        <w:vanish w:val="0"/>
        <w:color w:val="000066"/>
        <w:spacing w:val="0"/>
        <w:kern w:val="0"/>
        <w:position w:val="0"/>
        <w:u w:val="none"/>
        <w:vertAlign w:val="baseline"/>
        <w:em w:val="none"/>
        <w:lang w:val="en-GB"/>
      </w:rPr>
    </w:lvl>
    <w:lvl w:ilvl="3">
      <w:start w:val="1"/>
      <w:numFmt w:val="decimal"/>
      <w:lvlText w:val="%1.%2.%3.%4"/>
      <w:lvlJc w:val="left"/>
      <w:pPr>
        <w:tabs>
          <w:tab w:val="num" w:pos="4350"/>
        </w:tabs>
        <w:ind w:left="4350" w:hanging="1089"/>
      </w:pPr>
      <w:rPr>
        <w:rFonts w:hint="default"/>
      </w:rPr>
    </w:lvl>
    <w:lvl w:ilvl="4">
      <w:start w:val="1"/>
      <w:numFmt w:val="decimal"/>
      <w:lvlText w:val="%1.%2.%3.%4.%5"/>
      <w:lvlJc w:val="left"/>
      <w:pPr>
        <w:tabs>
          <w:tab w:val="num" w:pos="1049"/>
        </w:tabs>
        <w:ind w:left="1049" w:hanging="720"/>
      </w:pPr>
      <w:rPr>
        <w:rFonts w:cs="Times New Roman" w:hint="default"/>
      </w:rPr>
    </w:lvl>
    <w:lvl w:ilvl="5">
      <w:start w:val="1"/>
      <w:numFmt w:val="decimal"/>
      <w:lvlText w:val="%1.%2.%3.%4.%5.%6"/>
      <w:lvlJc w:val="left"/>
      <w:pPr>
        <w:tabs>
          <w:tab w:val="num" w:pos="1152"/>
        </w:tabs>
        <w:ind w:left="1152" w:hanging="823"/>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ascii="Calibri" w:hAnsi="Calibri" w:cs="Times New Roman" w:hint="default"/>
        <w:b/>
        <w:i w:val="0"/>
        <w:sz w:val="36"/>
      </w:rPr>
    </w:lvl>
  </w:abstractNum>
  <w:abstractNum w:abstractNumId="7" w15:restartNumberingAfterBreak="0">
    <w:nsid w:val="1F2B67EB"/>
    <w:multiLevelType w:val="hybridMultilevel"/>
    <w:tmpl w:val="4704E4C8"/>
    <w:lvl w:ilvl="0" w:tplc="707E11BC">
      <w:start w:val="1"/>
      <w:numFmt w:val="decimal"/>
      <w:lvlText w:val="%1)"/>
      <w:lvlJc w:val="left"/>
      <w:pPr>
        <w:ind w:left="1170" w:hanging="360"/>
      </w:pPr>
      <w:rPr>
        <w:rFonts w:ascii="Times New Roman" w:eastAsiaTheme="minorHAnsi" w:hAnsi="Times New Roman" w:cs="Times New Roman"/>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32B4E65"/>
    <w:multiLevelType w:val="hybridMultilevel"/>
    <w:tmpl w:val="89D42CEE"/>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F10420"/>
    <w:multiLevelType w:val="hybridMultilevel"/>
    <w:tmpl w:val="80C0DA1E"/>
    <w:lvl w:ilvl="0" w:tplc="2FAAE8BA">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AB5FE8"/>
    <w:multiLevelType w:val="hybridMultilevel"/>
    <w:tmpl w:val="90164836"/>
    <w:lvl w:ilvl="0" w:tplc="A574E682">
      <w:start w:val="1"/>
      <w:numFmt w:val="decimal"/>
      <w:lvlText w:val="%1)"/>
      <w:lvlJc w:val="left"/>
      <w:pPr>
        <w:ind w:left="1080" w:hanging="360"/>
      </w:pPr>
      <w:rPr>
        <w:rFonts w:ascii="Times New Roman" w:eastAsiaTheme="minorHAnsi" w:hAnsi="Times New Roman"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0867D9"/>
    <w:multiLevelType w:val="hybridMultilevel"/>
    <w:tmpl w:val="58D44986"/>
    <w:lvl w:ilvl="0" w:tplc="71DA52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6567B2B"/>
    <w:multiLevelType w:val="hybridMultilevel"/>
    <w:tmpl w:val="C66477D2"/>
    <w:lvl w:ilvl="0" w:tplc="52DE91F6">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99E"/>
    <w:multiLevelType w:val="hybridMultilevel"/>
    <w:tmpl w:val="E168DB52"/>
    <w:lvl w:ilvl="0" w:tplc="5CA6BEC0">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CC02AF"/>
    <w:multiLevelType w:val="hybridMultilevel"/>
    <w:tmpl w:val="EAEC0F76"/>
    <w:lvl w:ilvl="0" w:tplc="87322934">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76EB7"/>
    <w:multiLevelType w:val="hybridMultilevel"/>
    <w:tmpl w:val="02B8994A"/>
    <w:lvl w:ilvl="0" w:tplc="4028A652">
      <w:start w:val="1"/>
      <w:numFmt w:val="decimal"/>
      <w:lvlText w:val="%1)"/>
      <w:lvlJc w:val="left"/>
      <w:pPr>
        <w:ind w:left="1080" w:hanging="360"/>
      </w:pPr>
      <w:rPr>
        <w:rFonts w:ascii="Times New Roman" w:eastAsiaTheme="minorHAnsi" w:hAnsi="Times New Roman"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43674B"/>
    <w:multiLevelType w:val="hybridMultilevel"/>
    <w:tmpl w:val="87E4CF16"/>
    <w:lvl w:ilvl="0" w:tplc="0782669E">
      <w:start w:val="1"/>
      <w:numFmt w:val="decimal"/>
      <w:lvlText w:val="%1)"/>
      <w:lvlJc w:val="left"/>
      <w:pPr>
        <w:ind w:left="1080" w:hanging="360"/>
      </w:pPr>
      <w:rPr>
        <w:rFonts w:ascii="Times New Roman" w:eastAsiaTheme="minorHAnsi" w:hAnsi="Times New Roman" w:cstheme="minorBidi"/>
      </w:rPr>
    </w:lvl>
    <w:lvl w:ilvl="1" w:tplc="DAAEE4B4">
      <w:start w:val="1"/>
      <w:numFmt w:val="bullet"/>
      <w:lvlText w:val=""/>
      <w:lvlJc w:val="left"/>
      <w:pPr>
        <w:ind w:left="1800" w:hanging="360"/>
      </w:pPr>
      <w:rPr>
        <w:rFonts w:ascii="Symbol" w:hAnsi="Symbol" w:hint="default"/>
      </w:rPr>
    </w:lvl>
    <w:lvl w:ilvl="2" w:tplc="A4AA980A">
      <w:numFmt w:val="bullet"/>
      <w:lvlText w:val="-"/>
      <w:lvlJc w:val="left"/>
      <w:pPr>
        <w:ind w:left="2520" w:hanging="360"/>
      </w:pPr>
      <w:rPr>
        <w:rFonts w:ascii="Times New Roman" w:eastAsiaTheme="minorHAnsi" w:hAnsi="Times New Roman"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C3046C"/>
    <w:multiLevelType w:val="hybridMultilevel"/>
    <w:tmpl w:val="4E5A3674"/>
    <w:lvl w:ilvl="0" w:tplc="4FBA2492">
      <w:start w:val="1"/>
      <w:numFmt w:val="decimal"/>
      <w:lvlText w:val="%1)"/>
      <w:lvlJc w:val="left"/>
      <w:pPr>
        <w:ind w:left="1080" w:hanging="360"/>
      </w:pPr>
      <w:rPr>
        <w:rFonts w:ascii="Times New Roman" w:eastAsiaTheme="minorHAnsi" w:hAnsi="Times New Roman"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7460A9"/>
    <w:multiLevelType w:val="hybridMultilevel"/>
    <w:tmpl w:val="0988FC56"/>
    <w:lvl w:ilvl="0" w:tplc="1236DE26">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AA535E"/>
    <w:multiLevelType w:val="multilevel"/>
    <w:tmpl w:val="4D7A9A3A"/>
    <w:lvl w:ilvl="0">
      <w:start w:val="3"/>
      <w:numFmt w:val="decimal"/>
      <w:lvlText w:val="%1."/>
      <w:lvlJc w:val="left"/>
      <w:pPr>
        <w:ind w:left="540" w:hanging="540"/>
      </w:pPr>
      <w:rPr>
        <w:rFonts w:eastAsiaTheme="minorEastAsia" w:hint="default"/>
      </w:rPr>
    </w:lvl>
    <w:lvl w:ilvl="1">
      <w:start w:val="1"/>
      <w:numFmt w:val="decimal"/>
      <w:lvlText w:val="%1.%2."/>
      <w:lvlJc w:val="left"/>
      <w:pPr>
        <w:ind w:left="1260" w:hanging="540"/>
      </w:pPr>
      <w:rPr>
        <w:rFonts w:eastAsiaTheme="minorEastAsia" w:hint="default"/>
      </w:rPr>
    </w:lvl>
    <w:lvl w:ilvl="2">
      <w:start w:val="1"/>
      <w:numFmt w:val="decimal"/>
      <w:lvlText w:val="%1.%2.%3."/>
      <w:lvlJc w:val="left"/>
      <w:pPr>
        <w:ind w:left="2160" w:hanging="720"/>
      </w:pPr>
      <w:rPr>
        <w:rFonts w:eastAsiaTheme="minorEastAsia" w:hint="default"/>
      </w:rPr>
    </w:lvl>
    <w:lvl w:ilvl="3">
      <w:start w:val="1"/>
      <w:numFmt w:val="decimal"/>
      <w:lvlText w:val="%1.%2.%3.%4."/>
      <w:lvlJc w:val="left"/>
      <w:pPr>
        <w:ind w:left="2880" w:hanging="720"/>
      </w:pPr>
      <w:rPr>
        <w:rFonts w:eastAsiaTheme="minorEastAsia" w:hint="default"/>
      </w:rPr>
    </w:lvl>
    <w:lvl w:ilvl="4">
      <w:start w:val="1"/>
      <w:numFmt w:val="decimal"/>
      <w:lvlText w:val="%1.%2.%3.%4.%5."/>
      <w:lvlJc w:val="left"/>
      <w:pPr>
        <w:ind w:left="3960" w:hanging="1080"/>
      </w:pPr>
      <w:rPr>
        <w:rFonts w:eastAsiaTheme="minorEastAsia" w:hint="default"/>
      </w:rPr>
    </w:lvl>
    <w:lvl w:ilvl="5">
      <w:start w:val="1"/>
      <w:numFmt w:val="decimal"/>
      <w:lvlText w:val="%1.%2.%3.%4.%5.%6."/>
      <w:lvlJc w:val="left"/>
      <w:pPr>
        <w:ind w:left="4680" w:hanging="1080"/>
      </w:pPr>
      <w:rPr>
        <w:rFonts w:eastAsiaTheme="minorEastAsia" w:hint="default"/>
      </w:rPr>
    </w:lvl>
    <w:lvl w:ilvl="6">
      <w:start w:val="1"/>
      <w:numFmt w:val="decimal"/>
      <w:lvlText w:val="%1.%2.%3.%4.%5.%6.%7."/>
      <w:lvlJc w:val="left"/>
      <w:pPr>
        <w:ind w:left="5760" w:hanging="1440"/>
      </w:pPr>
      <w:rPr>
        <w:rFonts w:eastAsiaTheme="minorEastAsia" w:hint="default"/>
      </w:rPr>
    </w:lvl>
    <w:lvl w:ilvl="7">
      <w:start w:val="1"/>
      <w:numFmt w:val="decimal"/>
      <w:lvlText w:val="%1.%2.%3.%4.%5.%6.%7.%8."/>
      <w:lvlJc w:val="left"/>
      <w:pPr>
        <w:ind w:left="6480" w:hanging="1440"/>
      </w:pPr>
      <w:rPr>
        <w:rFonts w:eastAsiaTheme="minorEastAsia" w:hint="default"/>
      </w:rPr>
    </w:lvl>
    <w:lvl w:ilvl="8">
      <w:start w:val="1"/>
      <w:numFmt w:val="decimal"/>
      <w:lvlText w:val="%1.%2.%3.%4.%5.%6.%7.%8.%9."/>
      <w:lvlJc w:val="left"/>
      <w:pPr>
        <w:ind w:left="7560" w:hanging="1800"/>
      </w:pPr>
      <w:rPr>
        <w:rFonts w:eastAsiaTheme="minorEastAsia" w:hint="default"/>
      </w:rPr>
    </w:lvl>
  </w:abstractNum>
  <w:abstractNum w:abstractNumId="20" w15:restartNumberingAfterBreak="0">
    <w:nsid w:val="3BBC5DE4"/>
    <w:multiLevelType w:val="hybridMultilevel"/>
    <w:tmpl w:val="29C4B4D6"/>
    <w:lvl w:ilvl="0" w:tplc="E9341EDC">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283E81"/>
    <w:multiLevelType w:val="hybridMultilevel"/>
    <w:tmpl w:val="13A28E4E"/>
    <w:lvl w:ilvl="0" w:tplc="D3005D36">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0361F95"/>
    <w:multiLevelType w:val="hybridMultilevel"/>
    <w:tmpl w:val="04EE6496"/>
    <w:lvl w:ilvl="0" w:tplc="381C11CA">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A54CD8"/>
    <w:multiLevelType w:val="hybridMultilevel"/>
    <w:tmpl w:val="771E5532"/>
    <w:lvl w:ilvl="0" w:tplc="3F2617E8">
      <w:start w:val="1"/>
      <w:numFmt w:val="bullet"/>
      <w:pStyle w:val="a"/>
      <w:lvlText w:val=""/>
      <w:lvlJc w:val="left"/>
      <w:pPr>
        <w:ind w:left="2736" w:hanging="360"/>
      </w:pPr>
      <w:rPr>
        <w:rFonts w:ascii="Symbol" w:hAnsi="Symbol" w:hint="default"/>
      </w:rPr>
    </w:lvl>
    <w:lvl w:ilvl="1" w:tplc="04090003" w:tentative="1">
      <w:start w:val="1"/>
      <w:numFmt w:val="bullet"/>
      <w:lvlText w:val="o"/>
      <w:lvlJc w:val="left"/>
      <w:pPr>
        <w:ind w:left="3022" w:hanging="360"/>
      </w:pPr>
      <w:rPr>
        <w:rFonts w:ascii="Courier New" w:hAnsi="Courier New" w:cs="Courier New" w:hint="default"/>
      </w:rPr>
    </w:lvl>
    <w:lvl w:ilvl="2" w:tplc="04090005" w:tentative="1">
      <w:start w:val="1"/>
      <w:numFmt w:val="bullet"/>
      <w:lvlText w:val=""/>
      <w:lvlJc w:val="left"/>
      <w:pPr>
        <w:ind w:left="3742" w:hanging="360"/>
      </w:pPr>
      <w:rPr>
        <w:rFonts w:ascii="Wingdings" w:hAnsi="Wingdings" w:hint="default"/>
      </w:rPr>
    </w:lvl>
    <w:lvl w:ilvl="3" w:tplc="04090001" w:tentative="1">
      <w:start w:val="1"/>
      <w:numFmt w:val="bullet"/>
      <w:lvlText w:val=""/>
      <w:lvlJc w:val="left"/>
      <w:pPr>
        <w:ind w:left="4462" w:hanging="360"/>
      </w:pPr>
      <w:rPr>
        <w:rFonts w:ascii="Symbol" w:hAnsi="Symbol" w:hint="default"/>
      </w:rPr>
    </w:lvl>
    <w:lvl w:ilvl="4" w:tplc="04090003" w:tentative="1">
      <w:start w:val="1"/>
      <w:numFmt w:val="bullet"/>
      <w:lvlText w:val="o"/>
      <w:lvlJc w:val="left"/>
      <w:pPr>
        <w:ind w:left="5182" w:hanging="360"/>
      </w:pPr>
      <w:rPr>
        <w:rFonts w:ascii="Courier New" w:hAnsi="Courier New" w:cs="Courier New" w:hint="default"/>
      </w:rPr>
    </w:lvl>
    <w:lvl w:ilvl="5" w:tplc="04090005" w:tentative="1">
      <w:start w:val="1"/>
      <w:numFmt w:val="bullet"/>
      <w:lvlText w:val=""/>
      <w:lvlJc w:val="left"/>
      <w:pPr>
        <w:ind w:left="5902" w:hanging="360"/>
      </w:pPr>
      <w:rPr>
        <w:rFonts w:ascii="Wingdings" w:hAnsi="Wingdings" w:hint="default"/>
      </w:rPr>
    </w:lvl>
    <w:lvl w:ilvl="6" w:tplc="04090001" w:tentative="1">
      <w:start w:val="1"/>
      <w:numFmt w:val="bullet"/>
      <w:lvlText w:val=""/>
      <w:lvlJc w:val="left"/>
      <w:pPr>
        <w:ind w:left="6622" w:hanging="360"/>
      </w:pPr>
      <w:rPr>
        <w:rFonts w:ascii="Symbol" w:hAnsi="Symbol" w:hint="default"/>
      </w:rPr>
    </w:lvl>
    <w:lvl w:ilvl="7" w:tplc="04090003" w:tentative="1">
      <w:start w:val="1"/>
      <w:numFmt w:val="bullet"/>
      <w:lvlText w:val="o"/>
      <w:lvlJc w:val="left"/>
      <w:pPr>
        <w:ind w:left="7342" w:hanging="360"/>
      </w:pPr>
      <w:rPr>
        <w:rFonts w:ascii="Courier New" w:hAnsi="Courier New" w:cs="Courier New" w:hint="default"/>
      </w:rPr>
    </w:lvl>
    <w:lvl w:ilvl="8" w:tplc="04090005" w:tentative="1">
      <w:start w:val="1"/>
      <w:numFmt w:val="bullet"/>
      <w:lvlText w:val=""/>
      <w:lvlJc w:val="left"/>
      <w:pPr>
        <w:ind w:left="8062" w:hanging="360"/>
      </w:pPr>
      <w:rPr>
        <w:rFonts w:ascii="Wingdings" w:hAnsi="Wingdings" w:hint="default"/>
      </w:rPr>
    </w:lvl>
  </w:abstractNum>
  <w:abstractNum w:abstractNumId="24" w15:restartNumberingAfterBreak="0">
    <w:nsid w:val="488C6452"/>
    <w:multiLevelType w:val="hybridMultilevel"/>
    <w:tmpl w:val="E8D4B0C8"/>
    <w:lvl w:ilvl="0" w:tplc="9790D362">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7E0CF8"/>
    <w:multiLevelType w:val="hybridMultilevel"/>
    <w:tmpl w:val="66B4A4F2"/>
    <w:lvl w:ilvl="0" w:tplc="6466F428">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D754EE"/>
    <w:multiLevelType w:val="multilevel"/>
    <w:tmpl w:val="DB6EC60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080" w:hanging="720"/>
      </w:pPr>
      <w:rPr>
        <w:rFonts w:ascii="Times New Roman Bold" w:hAnsi="Times New Roman Bold" w:hint="default"/>
        <w:i w:val="0"/>
        <w:iCs w:val="0"/>
        <w:color w:val="2E74B5" w:themeColor="accent1" w:themeShade="BF"/>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DC5495E"/>
    <w:multiLevelType w:val="hybridMultilevel"/>
    <w:tmpl w:val="31225FD2"/>
    <w:lvl w:ilvl="0" w:tplc="723E1830">
      <w:start w:val="1"/>
      <w:numFmt w:val="decimal"/>
      <w:lvlText w:val="%1)"/>
      <w:lvlJc w:val="left"/>
      <w:pPr>
        <w:ind w:left="1080" w:hanging="360"/>
      </w:pPr>
      <w:rPr>
        <w:rFonts w:ascii="Times New Roman" w:eastAsiaTheme="minorHAnsi" w:hAnsi="Times New Roman"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E65453C"/>
    <w:multiLevelType w:val="hybridMultilevel"/>
    <w:tmpl w:val="8AA0B5F2"/>
    <w:lvl w:ilvl="0" w:tplc="9A8A0504">
      <w:start w:val="1"/>
      <w:numFmt w:val="decimal"/>
      <w:lvlText w:val="%1)"/>
      <w:lvlJc w:val="left"/>
      <w:pPr>
        <w:ind w:left="1074" w:hanging="360"/>
      </w:pPr>
      <w:rPr>
        <w:rFonts w:ascii="Times New Roman" w:eastAsiaTheme="minorHAnsi" w:hAnsi="Times New Roman" w:cstheme="minorBidi"/>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9" w15:restartNumberingAfterBreak="0">
    <w:nsid w:val="507A1BF7"/>
    <w:multiLevelType w:val="hybridMultilevel"/>
    <w:tmpl w:val="4940AAAE"/>
    <w:lvl w:ilvl="0" w:tplc="48E878A0">
      <w:start w:val="1"/>
      <w:numFmt w:val="decimal"/>
      <w:lvlText w:val="%1)"/>
      <w:lvlJc w:val="left"/>
      <w:pPr>
        <w:ind w:left="1080" w:hanging="360"/>
      </w:pPr>
      <w:rPr>
        <w:rFonts w:ascii="Times New Roman" w:eastAsia="Times New Roman" w:hAnsi="Times New Roman" w:cstheme="minorHAns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691DFE"/>
    <w:multiLevelType w:val="hybridMultilevel"/>
    <w:tmpl w:val="461CF82C"/>
    <w:lvl w:ilvl="0" w:tplc="A10817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3371DE"/>
    <w:multiLevelType w:val="hybridMultilevel"/>
    <w:tmpl w:val="D3E21B28"/>
    <w:lvl w:ilvl="0" w:tplc="17709C5C">
      <w:start w:val="1"/>
      <w:numFmt w:val="decimal"/>
      <w:lvlText w:val="%1)"/>
      <w:lvlJc w:val="left"/>
      <w:pPr>
        <w:ind w:left="1080" w:hanging="360"/>
      </w:pPr>
      <w:rPr>
        <w:rFonts w:ascii="Times New Roman" w:eastAsiaTheme="minorHAnsi" w:hAnsi="Times New Roman" w:cs="Times New Roman"/>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15:restartNumberingAfterBreak="0">
    <w:nsid w:val="604A386D"/>
    <w:multiLevelType w:val="hybridMultilevel"/>
    <w:tmpl w:val="D73E0A7E"/>
    <w:lvl w:ilvl="0" w:tplc="001439F0">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422BDE"/>
    <w:multiLevelType w:val="hybridMultilevel"/>
    <w:tmpl w:val="22E4FD0C"/>
    <w:lvl w:ilvl="0" w:tplc="3FFCF87E">
      <w:start w:val="1"/>
      <w:numFmt w:val="decimal"/>
      <w:lvlText w:val="%1)"/>
      <w:lvlJc w:val="left"/>
      <w:pPr>
        <w:ind w:left="1080" w:hanging="360"/>
      </w:pPr>
      <w:rPr>
        <w:rFonts w:ascii="Times New Roman" w:eastAsiaTheme="minorHAnsi" w:hAnsi="Times New Roman" w:cs="Times New Roman"/>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5007827"/>
    <w:multiLevelType w:val="hybridMultilevel"/>
    <w:tmpl w:val="C964A8AC"/>
    <w:lvl w:ilvl="0" w:tplc="77BAB7E4">
      <w:start w:val="1"/>
      <w:numFmt w:val="decimal"/>
      <w:lvlText w:val="%1)"/>
      <w:lvlJc w:val="left"/>
      <w:pPr>
        <w:ind w:left="1080" w:hanging="360"/>
      </w:pPr>
      <w:rPr>
        <w:rFonts w:ascii="Times New Roman" w:eastAsiaTheme="minorHAnsi" w:hAnsi="Times New Roman" w:cs="Times New Roman"/>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651C40A8"/>
    <w:multiLevelType w:val="multilevel"/>
    <w:tmpl w:val="495E1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9535D63"/>
    <w:multiLevelType w:val="hybridMultilevel"/>
    <w:tmpl w:val="D2046902"/>
    <w:lvl w:ilvl="0" w:tplc="F9E6A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F9E6A226">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EC5E4B"/>
    <w:multiLevelType w:val="hybridMultilevel"/>
    <w:tmpl w:val="B870114E"/>
    <w:lvl w:ilvl="0" w:tplc="403CAF5C">
      <w:start w:val="1"/>
      <w:numFmt w:val="decimal"/>
      <w:lvlText w:val="%1)"/>
      <w:lvlJc w:val="left"/>
      <w:pPr>
        <w:ind w:left="1074" w:hanging="360"/>
      </w:pPr>
      <w:rPr>
        <w:rFonts w:ascii="Times New Roman" w:eastAsiaTheme="minorHAnsi" w:hAnsi="Times New Roman" w:cs="Times New Roman"/>
      </w:rPr>
    </w:lvl>
    <w:lvl w:ilvl="1" w:tplc="DAAEE4B4">
      <w:start w:val="1"/>
      <w:numFmt w:val="bullet"/>
      <w:lvlText w:val=""/>
      <w:lvlJc w:val="left"/>
      <w:pPr>
        <w:ind w:left="1794" w:hanging="360"/>
      </w:pPr>
      <w:rPr>
        <w:rFonts w:ascii="Symbol" w:hAnsi="Symbol" w:hint="default"/>
      </w:rPr>
    </w:lvl>
    <w:lvl w:ilvl="2" w:tplc="04070005">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38" w15:restartNumberingAfterBreak="0">
    <w:nsid w:val="6C3E45C4"/>
    <w:multiLevelType w:val="hybridMultilevel"/>
    <w:tmpl w:val="7706A2B4"/>
    <w:lvl w:ilvl="0" w:tplc="856C0820">
      <w:start w:val="1"/>
      <w:numFmt w:val="decimal"/>
      <w:lvlText w:val="%1)"/>
      <w:lvlJc w:val="left"/>
      <w:pPr>
        <w:ind w:left="1080" w:hanging="360"/>
      </w:pPr>
      <w:rPr>
        <w:rFonts w:ascii="Times New Roman" w:eastAsiaTheme="minorHAnsi" w:hAnsi="Times New Roman" w:cs="Times New Roman"/>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9" w15:restartNumberingAfterBreak="0">
    <w:nsid w:val="6D8F4EF2"/>
    <w:multiLevelType w:val="hybridMultilevel"/>
    <w:tmpl w:val="BFBAF5C8"/>
    <w:lvl w:ilvl="0" w:tplc="F9E6A226">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70EF421A"/>
    <w:multiLevelType w:val="hybridMultilevel"/>
    <w:tmpl w:val="33500652"/>
    <w:lvl w:ilvl="0" w:tplc="DCF66352">
      <w:start w:val="1"/>
      <w:numFmt w:val="decimal"/>
      <w:lvlText w:val="%1)"/>
      <w:lvlJc w:val="left"/>
      <w:pPr>
        <w:ind w:left="1080" w:hanging="360"/>
      </w:pPr>
      <w:rPr>
        <w:rFonts w:ascii="Times New Roman" w:eastAsiaTheme="minorHAnsi" w:hAnsi="Times New Roman" w:cs="Times New Roman"/>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75976571">
    <w:abstractNumId w:val="35"/>
  </w:num>
  <w:num w:numId="2" w16cid:durableId="466238384">
    <w:abstractNumId w:val="26"/>
  </w:num>
  <w:num w:numId="3" w16cid:durableId="45879738">
    <w:abstractNumId w:val="2"/>
  </w:num>
  <w:num w:numId="4" w16cid:durableId="928922857">
    <w:abstractNumId w:val="40"/>
  </w:num>
  <w:num w:numId="5" w16cid:durableId="1189484872">
    <w:abstractNumId w:val="22"/>
  </w:num>
  <w:num w:numId="6" w16cid:durableId="738016733">
    <w:abstractNumId w:val="25"/>
  </w:num>
  <w:num w:numId="7" w16cid:durableId="1908494327">
    <w:abstractNumId w:val="9"/>
  </w:num>
  <w:num w:numId="8" w16cid:durableId="968706376">
    <w:abstractNumId w:val="19"/>
  </w:num>
  <w:num w:numId="9" w16cid:durableId="1484275807">
    <w:abstractNumId w:val="15"/>
  </w:num>
  <w:num w:numId="10" w16cid:durableId="1982079679">
    <w:abstractNumId w:val="8"/>
  </w:num>
  <w:num w:numId="11" w16cid:durableId="2072800704">
    <w:abstractNumId w:val="6"/>
  </w:num>
  <w:num w:numId="12" w16cid:durableId="2140956704">
    <w:abstractNumId w:val="31"/>
  </w:num>
  <w:num w:numId="13" w16cid:durableId="544486694">
    <w:abstractNumId w:val="17"/>
  </w:num>
  <w:num w:numId="14" w16cid:durableId="83191706">
    <w:abstractNumId w:val="13"/>
  </w:num>
  <w:num w:numId="15" w16cid:durableId="221605263">
    <w:abstractNumId w:val="20"/>
  </w:num>
  <w:num w:numId="16" w16cid:durableId="1677073017">
    <w:abstractNumId w:val="14"/>
  </w:num>
  <w:num w:numId="17" w16cid:durableId="1689138883">
    <w:abstractNumId w:val="18"/>
  </w:num>
  <w:num w:numId="18" w16cid:durableId="829322831">
    <w:abstractNumId w:val="24"/>
  </w:num>
  <w:num w:numId="19" w16cid:durableId="1446652874">
    <w:abstractNumId w:val="32"/>
  </w:num>
  <w:num w:numId="20" w16cid:durableId="901990476">
    <w:abstractNumId w:val="21"/>
  </w:num>
  <w:num w:numId="21" w16cid:durableId="255752459">
    <w:abstractNumId w:val="23"/>
  </w:num>
  <w:num w:numId="22" w16cid:durableId="1171679514">
    <w:abstractNumId w:val="4"/>
    <w:lvlOverride w:ilvl="0">
      <w:startOverride w:val="1"/>
    </w:lvlOverride>
  </w:num>
  <w:num w:numId="23" w16cid:durableId="2117287017">
    <w:abstractNumId w:val="29"/>
  </w:num>
  <w:num w:numId="24" w16cid:durableId="306861058">
    <w:abstractNumId w:val="16"/>
  </w:num>
  <w:num w:numId="25" w16cid:durableId="660885087">
    <w:abstractNumId w:val="12"/>
  </w:num>
  <w:num w:numId="26" w16cid:durableId="1072124867">
    <w:abstractNumId w:val="28"/>
  </w:num>
  <w:num w:numId="27" w16cid:durableId="297224010">
    <w:abstractNumId w:val="3"/>
  </w:num>
  <w:num w:numId="28" w16cid:durableId="372461658">
    <w:abstractNumId w:val="37"/>
  </w:num>
  <w:num w:numId="29" w16cid:durableId="58871694">
    <w:abstractNumId w:val="33"/>
  </w:num>
  <w:num w:numId="30" w16cid:durableId="972295391">
    <w:abstractNumId w:val="7"/>
  </w:num>
  <w:num w:numId="31" w16cid:durableId="1039472242">
    <w:abstractNumId w:val="34"/>
  </w:num>
  <w:num w:numId="32" w16cid:durableId="534512960">
    <w:abstractNumId w:val="1"/>
  </w:num>
  <w:num w:numId="33" w16cid:durableId="1617978758">
    <w:abstractNumId w:val="38"/>
  </w:num>
  <w:num w:numId="34" w16cid:durableId="1993440474">
    <w:abstractNumId w:val="10"/>
  </w:num>
  <w:num w:numId="35" w16cid:durableId="1755544027">
    <w:abstractNumId w:val="27"/>
  </w:num>
  <w:num w:numId="36" w16cid:durableId="760296640">
    <w:abstractNumId w:val="30"/>
  </w:num>
  <w:num w:numId="37" w16cid:durableId="498538935">
    <w:abstractNumId w:val="11"/>
  </w:num>
  <w:num w:numId="38" w16cid:durableId="1041250414">
    <w:abstractNumId w:val="0"/>
  </w:num>
  <w:num w:numId="39" w16cid:durableId="2108886655">
    <w:abstractNumId w:val="5"/>
  </w:num>
  <w:num w:numId="40" w16cid:durableId="157231275">
    <w:abstractNumId w:val="36"/>
  </w:num>
  <w:num w:numId="41" w16cid:durableId="1521774522">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F08"/>
    <w:rsid w:val="0000007B"/>
    <w:rsid w:val="00000EA6"/>
    <w:rsid w:val="000019AD"/>
    <w:rsid w:val="000022B1"/>
    <w:rsid w:val="00006117"/>
    <w:rsid w:val="00006403"/>
    <w:rsid w:val="00006718"/>
    <w:rsid w:val="0000703C"/>
    <w:rsid w:val="000078A8"/>
    <w:rsid w:val="000116DA"/>
    <w:rsid w:val="0001497D"/>
    <w:rsid w:val="0001530F"/>
    <w:rsid w:val="000154D1"/>
    <w:rsid w:val="00017C56"/>
    <w:rsid w:val="000204A1"/>
    <w:rsid w:val="00021615"/>
    <w:rsid w:val="000218BF"/>
    <w:rsid w:val="0002212F"/>
    <w:rsid w:val="00023BC4"/>
    <w:rsid w:val="00023F8C"/>
    <w:rsid w:val="00024132"/>
    <w:rsid w:val="0002506B"/>
    <w:rsid w:val="00025B32"/>
    <w:rsid w:val="00025E80"/>
    <w:rsid w:val="000262D3"/>
    <w:rsid w:val="00026472"/>
    <w:rsid w:val="0002705B"/>
    <w:rsid w:val="00027608"/>
    <w:rsid w:val="0002778A"/>
    <w:rsid w:val="00030258"/>
    <w:rsid w:val="00030B53"/>
    <w:rsid w:val="00030BB8"/>
    <w:rsid w:val="000321D9"/>
    <w:rsid w:val="00032B5A"/>
    <w:rsid w:val="00032C1A"/>
    <w:rsid w:val="00033702"/>
    <w:rsid w:val="00033A24"/>
    <w:rsid w:val="00033C46"/>
    <w:rsid w:val="00033FC4"/>
    <w:rsid w:val="00034467"/>
    <w:rsid w:val="00034783"/>
    <w:rsid w:val="000347AE"/>
    <w:rsid w:val="0003503E"/>
    <w:rsid w:val="00036679"/>
    <w:rsid w:val="00037D1F"/>
    <w:rsid w:val="0004065F"/>
    <w:rsid w:val="00040DD9"/>
    <w:rsid w:val="00040F30"/>
    <w:rsid w:val="00041949"/>
    <w:rsid w:val="0004197E"/>
    <w:rsid w:val="00041A44"/>
    <w:rsid w:val="00041C34"/>
    <w:rsid w:val="00042ED1"/>
    <w:rsid w:val="00043179"/>
    <w:rsid w:val="0004479D"/>
    <w:rsid w:val="00044C5A"/>
    <w:rsid w:val="00045388"/>
    <w:rsid w:val="000458EE"/>
    <w:rsid w:val="00047D78"/>
    <w:rsid w:val="00051C0D"/>
    <w:rsid w:val="00051DED"/>
    <w:rsid w:val="0005205F"/>
    <w:rsid w:val="000521D6"/>
    <w:rsid w:val="000528C0"/>
    <w:rsid w:val="0005443B"/>
    <w:rsid w:val="00054B7C"/>
    <w:rsid w:val="00054FF7"/>
    <w:rsid w:val="000556FE"/>
    <w:rsid w:val="00055B1C"/>
    <w:rsid w:val="0005653C"/>
    <w:rsid w:val="00056BBA"/>
    <w:rsid w:val="0006115E"/>
    <w:rsid w:val="000614E0"/>
    <w:rsid w:val="0006421C"/>
    <w:rsid w:val="00064A97"/>
    <w:rsid w:val="000668A5"/>
    <w:rsid w:val="00067618"/>
    <w:rsid w:val="00067CC9"/>
    <w:rsid w:val="000701EC"/>
    <w:rsid w:val="00070EE9"/>
    <w:rsid w:val="00071230"/>
    <w:rsid w:val="00071826"/>
    <w:rsid w:val="00072668"/>
    <w:rsid w:val="00073109"/>
    <w:rsid w:val="00074941"/>
    <w:rsid w:val="00074A30"/>
    <w:rsid w:val="00074CE2"/>
    <w:rsid w:val="00075312"/>
    <w:rsid w:val="000771C0"/>
    <w:rsid w:val="0007733C"/>
    <w:rsid w:val="00080ED3"/>
    <w:rsid w:val="00081328"/>
    <w:rsid w:val="00081B8E"/>
    <w:rsid w:val="00084028"/>
    <w:rsid w:val="000843A7"/>
    <w:rsid w:val="000853E7"/>
    <w:rsid w:val="00085618"/>
    <w:rsid w:val="00085A1A"/>
    <w:rsid w:val="00085F54"/>
    <w:rsid w:val="000876E9"/>
    <w:rsid w:val="00087ED3"/>
    <w:rsid w:val="000911B2"/>
    <w:rsid w:val="00091A5B"/>
    <w:rsid w:val="000933AC"/>
    <w:rsid w:val="000953B4"/>
    <w:rsid w:val="00095A30"/>
    <w:rsid w:val="00095A6D"/>
    <w:rsid w:val="000A0009"/>
    <w:rsid w:val="000A0170"/>
    <w:rsid w:val="000A1706"/>
    <w:rsid w:val="000A266B"/>
    <w:rsid w:val="000A2B3E"/>
    <w:rsid w:val="000A2CF7"/>
    <w:rsid w:val="000A2E3A"/>
    <w:rsid w:val="000B0E40"/>
    <w:rsid w:val="000B19D0"/>
    <w:rsid w:val="000B1B23"/>
    <w:rsid w:val="000B1C8D"/>
    <w:rsid w:val="000B3585"/>
    <w:rsid w:val="000B3CBA"/>
    <w:rsid w:val="000B5892"/>
    <w:rsid w:val="000B5BF4"/>
    <w:rsid w:val="000B76E9"/>
    <w:rsid w:val="000C170C"/>
    <w:rsid w:val="000C1771"/>
    <w:rsid w:val="000C2D47"/>
    <w:rsid w:val="000C2D68"/>
    <w:rsid w:val="000C321F"/>
    <w:rsid w:val="000C32D4"/>
    <w:rsid w:val="000C35B8"/>
    <w:rsid w:val="000C3667"/>
    <w:rsid w:val="000C4C2F"/>
    <w:rsid w:val="000C54C0"/>
    <w:rsid w:val="000C56E2"/>
    <w:rsid w:val="000C637D"/>
    <w:rsid w:val="000D021D"/>
    <w:rsid w:val="000D1A73"/>
    <w:rsid w:val="000D1FEF"/>
    <w:rsid w:val="000D3611"/>
    <w:rsid w:val="000D3748"/>
    <w:rsid w:val="000D53BC"/>
    <w:rsid w:val="000D592A"/>
    <w:rsid w:val="000D5D4B"/>
    <w:rsid w:val="000D5D6F"/>
    <w:rsid w:val="000D7403"/>
    <w:rsid w:val="000D7462"/>
    <w:rsid w:val="000D769E"/>
    <w:rsid w:val="000D7D26"/>
    <w:rsid w:val="000E1218"/>
    <w:rsid w:val="000E46AA"/>
    <w:rsid w:val="000E470F"/>
    <w:rsid w:val="000E519B"/>
    <w:rsid w:val="000E6092"/>
    <w:rsid w:val="000E68ED"/>
    <w:rsid w:val="000E6F34"/>
    <w:rsid w:val="000E712C"/>
    <w:rsid w:val="000F1012"/>
    <w:rsid w:val="000F31DD"/>
    <w:rsid w:val="000F4AC9"/>
    <w:rsid w:val="000F6577"/>
    <w:rsid w:val="000F6BEF"/>
    <w:rsid w:val="000F7B1B"/>
    <w:rsid w:val="001003A8"/>
    <w:rsid w:val="0010044D"/>
    <w:rsid w:val="001015C5"/>
    <w:rsid w:val="001036F4"/>
    <w:rsid w:val="00103BC2"/>
    <w:rsid w:val="00103E70"/>
    <w:rsid w:val="00104038"/>
    <w:rsid w:val="001048FA"/>
    <w:rsid w:val="001050F6"/>
    <w:rsid w:val="001056F0"/>
    <w:rsid w:val="00105756"/>
    <w:rsid w:val="00105B02"/>
    <w:rsid w:val="001063B1"/>
    <w:rsid w:val="00110047"/>
    <w:rsid w:val="001100AB"/>
    <w:rsid w:val="00112FBA"/>
    <w:rsid w:val="0011318D"/>
    <w:rsid w:val="001133EC"/>
    <w:rsid w:val="00113638"/>
    <w:rsid w:val="00113854"/>
    <w:rsid w:val="00115293"/>
    <w:rsid w:val="00115BA0"/>
    <w:rsid w:val="00115C9D"/>
    <w:rsid w:val="00116AF7"/>
    <w:rsid w:val="00120D36"/>
    <w:rsid w:val="00122A64"/>
    <w:rsid w:val="001231EA"/>
    <w:rsid w:val="0012483F"/>
    <w:rsid w:val="00124979"/>
    <w:rsid w:val="00124F67"/>
    <w:rsid w:val="001256F9"/>
    <w:rsid w:val="00126664"/>
    <w:rsid w:val="00126903"/>
    <w:rsid w:val="00127D9A"/>
    <w:rsid w:val="00130212"/>
    <w:rsid w:val="00133433"/>
    <w:rsid w:val="001351F5"/>
    <w:rsid w:val="00135AEC"/>
    <w:rsid w:val="00135EDD"/>
    <w:rsid w:val="001371C5"/>
    <w:rsid w:val="00140090"/>
    <w:rsid w:val="00140606"/>
    <w:rsid w:val="00140C44"/>
    <w:rsid w:val="00141081"/>
    <w:rsid w:val="001422B7"/>
    <w:rsid w:val="00142304"/>
    <w:rsid w:val="00144196"/>
    <w:rsid w:val="00145054"/>
    <w:rsid w:val="00146162"/>
    <w:rsid w:val="0014689E"/>
    <w:rsid w:val="00146F44"/>
    <w:rsid w:val="00147250"/>
    <w:rsid w:val="001472E5"/>
    <w:rsid w:val="001473D8"/>
    <w:rsid w:val="0014747E"/>
    <w:rsid w:val="00147C70"/>
    <w:rsid w:val="00147D16"/>
    <w:rsid w:val="00151419"/>
    <w:rsid w:val="00151633"/>
    <w:rsid w:val="00151BFB"/>
    <w:rsid w:val="0015231A"/>
    <w:rsid w:val="00152722"/>
    <w:rsid w:val="001530A4"/>
    <w:rsid w:val="001531EE"/>
    <w:rsid w:val="00155F6F"/>
    <w:rsid w:val="00156481"/>
    <w:rsid w:val="00156ACE"/>
    <w:rsid w:val="00156AE7"/>
    <w:rsid w:val="001572EC"/>
    <w:rsid w:val="001575E4"/>
    <w:rsid w:val="00157EC2"/>
    <w:rsid w:val="00157EDE"/>
    <w:rsid w:val="001625F7"/>
    <w:rsid w:val="00162804"/>
    <w:rsid w:val="00163507"/>
    <w:rsid w:val="00163A94"/>
    <w:rsid w:val="00163B60"/>
    <w:rsid w:val="00164A4E"/>
    <w:rsid w:val="0016531B"/>
    <w:rsid w:val="00166089"/>
    <w:rsid w:val="0016799D"/>
    <w:rsid w:val="00170D3B"/>
    <w:rsid w:val="001715F5"/>
    <w:rsid w:val="00171920"/>
    <w:rsid w:val="001732BE"/>
    <w:rsid w:val="001735B2"/>
    <w:rsid w:val="0017536B"/>
    <w:rsid w:val="00175DA7"/>
    <w:rsid w:val="001767D3"/>
    <w:rsid w:val="00177447"/>
    <w:rsid w:val="001806FF"/>
    <w:rsid w:val="001814DC"/>
    <w:rsid w:val="00181783"/>
    <w:rsid w:val="00184095"/>
    <w:rsid w:val="00184136"/>
    <w:rsid w:val="00184868"/>
    <w:rsid w:val="00185D17"/>
    <w:rsid w:val="00186388"/>
    <w:rsid w:val="001900FB"/>
    <w:rsid w:val="00190903"/>
    <w:rsid w:val="00190B54"/>
    <w:rsid w:val="001931AB"/>
    <w:rsid w:val="00194A4C"/>
    <w:rsid w:val="00194DC2"/>
    <w:rsid w:val="00196061"/>
    <w:rsid w:val="0019655E"/>
    <w:rsid w:val="001976D5"/>
    <w:rsid w:val="001A2F81"/>
    <w:rsid w:val="001A3E2E"/>
    <w:rsid w:val="001A41F9"/>
    <w:rsid w:val="001A43AB"/>
    <w:rsid w:val="001A48FC"/>
    <w:rsid w:val="001A5791"/>
    <w:rsid w:val="001A70B0"/>
    <w:rsid w:val="001A7D30"/>
    <w:rsid w:val="001B0565"/>
    <w:rsid w:val="001B070F"/>
    <w:rsid w:val="001B14DB"/>
    <w:rsid w:val="001B1F4A"/>
    <w:rsid w:val="001B23F9"/>
    <w:rsid w:val="001B2696"/>
    <w:rsid w:val="001B2F25"/>
    <w:rsid w:val="001B3C15"/>
    <w:rsid w:val="001B3C5D"/>
    <w:rsid w:val="001B6C96"/>
    <w:rsid w:val="001B734A"/>
    <w:rsid w:val="001B7352"/>
    <w:rsid w:val="001C021A"/>
    <w:rsid w:val="001C0835"/>
    <w:rsid w:val="001C0E12"/>
    <w:rsid w:val="001C19B1"/>
    <w:rsid w:val="001C21CF"/>
    <w:rsid w:val="001C2D75"/>
    <w:rsid w:val="001C3B7A"/>
    <w:rsid w:val="001C40F6"/>
    <w:rsid w:val="001C439A"/>
    <w:rsid w:val="001C43CD"/>
    <w:rsid w:val="001C4479"/>
    <w:rsid w:val="001C477F"/>
    <w:rsid w:val="001C4DAD"/>
    <w:rsid w:val="001C5C40"/>
    <w:rsid w:val="001C6741"/>
    <w:rsid w:val="001C69C8"/>
    <w:rsid w:val="001C6FCE"/>
    <w:rsid w:val="001C757B"/>
    <w:rsid w:val="001D09E3"/>
    <w:rsid w:val="001D0B4D"/>
    <w:rsid w:val="001D17DD"/>
    <w:rsid w:val="001D2709"/>
    <w:rsid w:val="001D2AB6"/>
    <w:rsid w:val="001D2D62"/>
    <w:rsid w:val="001D4669"/>
    <w:rsid w:val="001D5F67"/>
    <w:rsid w:val="001D64D5"/>
    <w:rsid w:val="001D65C6"/>
    <w:rsid w:val="001D7164"/>
    <w:rsid w:val="001E07B5"/>
    <w:rsid w:val="001E0E9C"/>
    <w:rsid w:val="001E1067"/>
    <w:rsid w:val="001E1539"/>
    <w:rsid w:val="001E2429"/>
    <w:rsid w:val="001E2875"/>
    <w:rsid w:val="001E44E9"/>
    <w:rsid w:val="001E5417"/>
    <w:rsid w:val="001E5A50"/>
    <w:rsid w:val="001E69A8"/>
    <w:rsid w:val="001E7922"/>
    <w:rsid w:val="001F0094"/>
    <w:rsid w:val="001F0896"/>
    <w:rsid w:val="001F131A"/>
    <w:rsid w:val="001F1B47"/>
    <w:rsid w:val="001F2095"/>
    <w:rsid w:val="001F37AF"/>
    <w:rsid w:val="001F47B8"/>
    <w:rsid w:val="001F554B"/>
    <w:rsid w:val="001F6D46"/>
    <w:rsid w:val="00200FE6"/>
    <w:rsid w:val="00202007"/>
    <w:rsid w:val="002028AD"/>
    <w:rsid w:val="00203BC0"/>
    <w:rsid w:val="00203E08"/>
    <w:rsid w:val="00204281"/>
    <w:rsid w:val="00204CBD"/>
    <w:rsid w:val="00205921"/>
    <w:rsid w:val="002061C8"/>
    <w:rsid w:val="00210C93"/>
    <w:rsid w:val="00210DCC"/>
    <w:rsid w:val="00210F2F"/>
    <w:rsid w:val="002111B1"/>
    <w:rsid w:val="0021142E"/>
    <w:rsid w:val="00213BA4"/>
    <w:rsid w:val="00214D70"/>
    <w:rsid w:val="00215DB1"/>
    <w:rsid w:val="00217CAD"/>
    <w:rsid w:val="002205D9"/>
    <w:rsid w:val="0022085B"/>
    <w:rsid w:val="002233B6"/>
    <w:rsid w:val="00223CBD"/>
    <w:rsid w:val="00223F07"/>
    <w:rsid w:val="00224774"/>
    <w:rsid w:val="00224CEA"/>
    <w:rsid w:val="0022515C"/>
    <w:rsid w:val="002276C2"/>
    <w:rsid w:val="00230615"/>
    <w:rsid w:val="00231F85"/>
    <w:rsid w:val="00232E2E"/>
    <w:rsid w:val="00235462"/>
    <w:rsid w:val="002354F7"/>
    <w:rsid w:val="002378E3"/>
    <w:rsid w:val="00237AA5"/>
    <w:rsid w:val="00237BD6"/>
    <w:rsid w:val="00237D1D"/>
    <w:rsid w:val="00240062"/>
    <w:rsid w:val="00240F8F"/>
    <w:rsid w:val="00240FA3"/>
    <w:rsid w:val="002434E5"/>
    <w:rsid w:val="00244634"/>
    <w:rsid w:val="002473E3"/>
    <w:rsid w:val="00250908"/>
    <w:rsid w:val="00251A09"/>
    <w:rsid w:val="00252396"/>
    <w:rsid w:val="002523B7"/>
    <w:rsid w:val="002527B0"/>
    <w:rsid w:val="002529AA"/>
    <w:rsid w:val="00253AF0"/>
    <w:rsid w:val="0025431B"/>
    <w:rsid w:val="002545AA"/>
    <w:rsid w:val="00254D98"/>
    <w:rsid w:val="00254DFE"/>
    <w:rsid w:val="00255217"/>
    <w:rsid w:val="00255FDD"/>
    <w:rsid w:val="002579B9"/>
    <w:rsid w:val="00260768"/>
    <w:rsid w:val="002618D3"/>
    <w:rsid w:val="00263F03"/>
    <w:rsid w:val="00266A1A"/>
    <w:rsid w:val="00270ED7"/>
    <w:rsid w:val="0027234C"/>
    <w:rsid w:val="00273504"/>
    <w:rsid w:val="00273E2E"/>
    <w:rsid w:val="00280669"/>
    <w:rsid w:val="00280AAB"/>
    <w:rsid w:val="002811F0"/>
    <w:rsid w:val="002824B7"/>
    <w:rsid w:val="00284134"/>
    <w:rsid w:val="002842A6"/>
    <w:rsid w:val="00285BCC"/>
    <w:rsid w:val="00287367"/>
    <w:rsid w:val="002901E7"/>
    <w:rsid w:val="002902F8"/>
    <w:rsid w:val="00290B2D"/>
    <w:rsid w:val="00291322"/>
    <w:rsid w:val="00291CE4"/>
    <w:rsid w:val="002939CC"/>
    <w:rsid w:val="00293B91"/>
    <w:rsid w:val="00293C78"/>
    <w:rsid w:val="00293F2B"/>
    <w:rsid w:val="0029484B"/>
    <w:rsid w:val="002961CD"/>
    <w:rsid w:val="002965C1"/>
    <w:rsid w:val="00296BAF"/>
    <w:rsid w:val="00297752"/>
    <w:rsid w:val="002A05E0"/>
    <w:rsid w:val="002A0A23"/>
    <w:rsid w:val="002A0A4A"/>
    <w:rsid w:val="002A11A7"/>
    <w:rsid w:val="002A144E"/>
    <w:rsid w:val="002A1E30"/>
    <w:rsid w:val="002A1F2A"/>
    <w:rsid w:val="002A1FB1"/>
    <w:rsid w:val="002A2D6E"/>
    <w:rsid w:val="002A4115"/>
    <w:rsid w:val="002A518D"/>
    <w:rsid w:val="002A534B"/>
    <w:rsid w:val="002A5B71"/>
    <w:rsid w:val="002A61D8"/>
    <w:rsid w:val="002A7F5F"/>
    <w:rsid w:val="002B01E5"/>
    <w:rsid w:val="002B0A48"/>
    <w:rsid w:val="002B0D7D"/>
    <w:rsid w:val="002B1BB3"/>
    <w:rsid w:val="002B2686"/>
    <w:rsid w:val="002B2767"/>
    <w:rsid w:val="002B4A79"/>
    <w:rsid w:val="002B4D4E"/>
    <w:rsid w:val="002B4F75"/>
    <w:rsid w:val="002B5931"/>
    <w:rsid w:val="002B69E7"/>
    <w:rsid w:val="002B722C"/>
    <w:rsid w:val="002B7CF0"/>
    <w:rsid w:val="002C1C39"/>
    <w:rsid w:val="002C2045"/>
    <w:rsid w:val="002C30CF"/>
    <w:rsid w:val="002C3C98"/>
    <w:rsid w:val="002C5939"/>
    <w:rsid w:val="002C5E56"/>
    <w:rsid w:val="002C605E"/>
    <w:rsid w:val="002C7F2B"/>
    <w:rsid w:val="002D073C"/>
    <w:rsid w:val="002D2102"/>
    <w:rsid w:val="002D244A"/>
    <w:rsid w:val="002D3423"/>
    <w:rsid w:val="002D34AF"/>
    <w:rsid w:val="002D386B"/>
    <w:rsid w:val="002D3D85"/>
    <w:rsid w:val="002D4687"/>
    <w:rsid w:val="002D46A8"/>
    <w:rsid w:val="002D4C19"/>
    <w:rsid w:val="002D6562"/>
    <w:rsid w:val="002E00AE"/>
    <w:rsid w:val="002E0CB9"/>
    <w:rsid w:val="002E1191"/>
    <w:rsid w:val="002E1846"/>
    <w:rsid w:val="002E2549"/>
    <w:rsid w:val="002E2800"/>
    <w:rsid w:val="002E39A0"/>
    <w:rsid w:val="002E467A"/>
    <w:rsid w:val="002E5FA3"/>
    <w:rsid w:val="002E6CC6"/>
    <w:rsid w:val="002E7F07"/>
    <w:rsid w:val="002F00E3"/>
    <w:rsid w:val="002F23AB"/>
    <w:rsid w:val="002F2E69"/>
    <w:rsid w:val="002F4904"/>
    <w:rsid w:val="002F5DD9"/>
    <w:rsid w:val="003021A2"/>
    <w:rsid w:val="003031E5"/>
    <w:rsid w:val="003032D4"/>
    <w:rsid w:val="003067D6"/>
    <w:rsid w:val="003077DC"/>
    <w:rsid w:val="003079DA"/>
    <w:rsid w:val="00307FEE"/>
    <w:rsid w:val="00312DD8"/>
    <w:rsid w:val="00313369"/>
    <w:rsid w:val="003137A0"/>
    <w:rsid w:val="003142DE"/>
    <w:rsid w:val="00314DA0"/>
    <w:rsid w:val="003163B0"/>
    <w:rsid w:val="003164A0"/>
    <w:rsid w:val="00317296"/>
    <w:rsid w:val="00317DB0"/>
    <w:rsid w:val="00320542"/>
    <w:rsid w:val="003218A7"/>
    <w:rsid w:val="00321D8F"/>
    <w:rsid w:val="00321DD3"/>
    <w:rsid w:val="00322150"/>
    <w:rsid w:val="003221A9"/>
    <w:rsid w:val="003223EE"/>
    <w:rsid w:val="00322A72"/>
    <w:rsid w:val="00323B3E"/>
    <w:rsid w:val="003259BC"/>
    <w:rsid w:val="00325CC5"/>
    <w:rsid w:val="00325FA2"/>
    <w:rsid w:val="00327890"/>
    <w:rsid w:val="00332911"/>
    <w:rsid w:val="003346E9"/>
    <w:rsid w:val="00334A47"/>
    <w:rsid w:val="00336C7D"/>
    <w:rsid w:val="00336CA5"/>
    <w:rsid w:val="00337484"/>
    <w:rsid w:val="00337AF2"/>
    <w:rsid w:val="00337FE9"/>
    <w:rsid w:val="0034037A"/>
    <w:rsid w:val="003422B6"/>
    <w:rsid w:val="00342A8A"/>
    <w:rsid w:val="00343719"/>
    <w:rsid w:val="003438CE"/>
    <w:rsid w:val="00344CA4"/>
    <w:rsid w:val="00344E8A"/>
    <w:rsid w:val="00346C94"/>
    <w:rsid w:val="00346FE3"/>
    <w:rsid w:val="00347291"/>
    <w:rsid w:val="00347301"/>
    <w:rsid w:val="00347BAF"/>
    <w:rsid w:val="00347E2C"/>
    <w:rsid w:val="0035032E"/>
    <w:rsid w:val="00350AC1"/>
    <w:rsid w:val="003517BF"/>
    <w:rsid w:val="00351DB4"/>
    <w:rsid w:val="00351DC0"/>
    <w:rsid w:val="00352154"/>
    <w:rsid w:val="00353369"/>
    <w:rsid w:val="00354A81"/>
    <w:rsid w:val="0035560B"/>
    <w:rsid w:val="00356B3D"/>
    <w:rsid w:val="003570CA"/>
    <w:rsid w:val="00357684"/>
    <w:rsid w:val="003576BB"/>
    <w:rsid w:val="0036218F"/>
    <w:rsid w:val="00363A59"/>
    <w:rsid w:val="00363FF0"/>
    <w:rsid w:val="00364FE3"/>
    <w:rsid w:val="00366783"/>
    <w:rsid w:val="003672FC"/>
    <w:rsid w:val="00367BB8"/>
    <w:rsid w:val="00370952"/>
    <w:rsid w:val="00370C96"/>
    <w:rsid w:val="00371B1C"/>
    <w:rsid w:val="00372D7C"/>
    <w:rsid w:val="00372E0B"/>
    <w:rsid w:val="00372EA2"/>
    <w:rsid w:val="00374EA8"/>
    <w:rsid w:val="00375188"/>
    <w:rsid w:val="00376C5D"/>
    <w:rsid w:val="003773D6"/>
    <w:rsid w:val="0037754D"/>
    <w:rsid w:val="0037754F"/>
    <w:rsid w:val="00377EE9"/>
    <w:rsid w:val="003815A0"/>
    <w:rsid w:val="0038238B"/>
    <w:rsid w:val="00384657"/>
    <w:rsid w:val="00384C4F"/>
    <w:rsid w:val="0038550B"/>
    <w:rsid w:val="003863DC"/>
    <w:rsid w:val="003869E1"/>
    <w:rsid w:val="00386FDA"/>
    <w:rsid w:val="003878D0"/>
    <w:rsid w:val="003879A4"/>
    <w:rsid w:val="00387DE0"/>
    <w:rsid w:val="00390FF8"/>
    <w:rsid w:val="00391AF5"/>
    <w:rsid w:val="00391C0D"/>
    <w:rsid w:val="00392E1E"/>
    <w:rsid w:val="00393C70"/>
    <w:rsid w:val="00393E0A"/>
    <w:rsid w:val="00394077"/>
    <w:rsid w:val="0039485D"/>
    <w:rsid w:val="003955E8"/>
    <w:rsid w:val="00396006"/>
    <w:rsid w:val="0039603E"/>
    <w:rsid w:val="0039624B"/>
    <w:rsid w:val="003965D4"/>
    <w:rsid w:val="00397723"/>
    <w:rsid w:val="003A0456"/>
    <w:rsid w:val="003A2002"/>
    <w:rsid w:val="003A20A7"/>
    <w:rsid w:val="003A330E"/>
    <w:rsid w:val="003A4229"/>
    <w:rsid w:val="003A517A"/>
    <w:rsid w:val="003A5341"/>
    <w:rsid w:val="003A54F3"/>
    <w:rsid w:val="003A582E"/>
    <w:rsid w:val="003B03B9"/>
    <w:rsid w:val="003B14A6"/>
    <w:rsid w:val="003B2156"/>
    <w:rsid w:val="003B22AD"/>
    <w:rsid w:val="003B4A6D"/>
    <w:rsid w:val="003B66F0"/>
    <w:rsid w:val="003B6E72"/>
    <w:rsid w:val="003B6FF8"/>
    <w:rsid w:val="003B7E6F"/>
    <w:rsid w:val="003C003E"/>
    <w:rsid w:val="003C18C5"/>
    <w:rsid w:val="003C2C50"/>
    <w:rsid w:val="003C2E5D"/>
    <w:rsid w:val="003C320D"/>
    <w:rsid w:val="003C7323"/>
    <w:rsid w:val="003C76BD"/>
    <w:rsid w:val="003D01E5"/>
    <w:rsid w:val="003D066A"/>
    <w:rsid w:val="003D22BA"/>
    <w:rsid w:val="003D3E70"/>
    <w:rsid w:val="003D3E7B"/>
    <w:rsid w:val="003D49E9"/>
    <w:rsid w:val="003D73CB"/>
    <w:rsid w:val="003D7FDC"/>
    <w:rsid w:val="003E00AF"/>
    <w:rsid w:val="003E014C"/>
    <w:rsid w:val="003E02B4"/>
    <w:rsid w:val="003E425C"/>
    <w:rsid w:val="003E58B4"/>
    <w:rsid w:val="003E691A"/>
    <w:rsid w:val="003E6C5B"/>
    <w:rsid w:val="003E7715"/>
    <w:rsid w:val="003F0208"/>
    <w:rsid w:val="003F129B"/>
    <w:rsid w:val="003F1D95"/>
    <w:rsid w:val="003F2F41"/>
    <w:rsid w:val="003F3479"/>
    <w:rsid w:val="003F4BFB"/>
    <w:rsid w:val="003F4CFE"/>
    <w:rsid w:val="003F59B0"/>
    <w:rsid w:val="003F5A56"/>
    <w:rsid w:val="003F5F82"/>
    <w:rsid w:val="003F7517"/>
    <w:rsid w:val="003F7D37"/>
    <w:rsid w:val="00402261"/>
    <w:rsid w:val="00403717"/>
    <w:rsid w:val="00405034"/>
    <w:rsid w:val="00405777"/>
    <w:rsid w:val="00406414"/>
    <w:rsid w:val="004065FD"/>
    <w:rsid w:val="00407A2F"/>
    <w:rsid w:val="00407FB2"/>
    <w:rsid w:val="00410764"/>
    <w:rsid w:val="0041088E"/>
    <w:rsid w:val="00410940"/>
    <w:rsid w:val="00410EE2"/>
    <w:rsid w:val="0041171B"/>
    <w:rsid w:val="00411C27"/>
    <w:rsid w:val="00413D2C"/>
    <w:rsid w:val="00413F65"/>
    <w:rsid w:val="0041489F"/>
    <w:rsid w:val="00416E6E"/>
    <w:rsid w:val="00422B31"/>
    <w:rsid w:val="00422EF0"/>
    <w:rsid w:val="004230CF"/>
    <w:rsid w:val="0042575E"/>
    <w:rsid w:val="00425A36"/>
    <w:rsid w:val="004269CA"/>
    <w:rsid w:val="004275A8"/>
    <w:rsid w:val="00427F45"/>
    <w:rsid w:val="00430024"/>
    <w:rsid w:val="004301FE"/>
    <w:rsid w:val="004302D2"/>
    <w:rsid w:val="004306D8"/>
    <w:rsid w:val="0043071A"/>
    <w:rsid w:val="004310FB"/>
    <w:rsid w:val="00431BBE"/>
    <w:rsid w:val="0043205B"/>
    <w:rsid w:val="004323E8"/>
    <w:rsid w:val="00432A47"/>
    <w:rsid w:val="00433169"/>
    <w:rsid w:val="00433D9D"/>
    <w:rsid w:val="004349F3"/>
    <w:rsid w:val="004360EB"/>
    <w:rsid w:val="004364F1"/>
    <w:rsid w:val="00440EB2"/>
    <w:rsid w:val="00441374"/>
    <w:rsid w:val="00441C9C"/>
    <w:rsid w:val="0044581C"/>
    <w:rsid w:val="004461CD"/>
    <w:rsid w:val="00450AE1"/>
    <w:rsid w:val="0045146D"/>
    <w:rsid w:val="00451696"/>
    <w:rsid w:val="004532A0"/>
    <w:rsid w:val="00453FF8"/>
    <w:rsid w:val="00454348"/>
    <w:rsid w:val="00454447"/>
    <w:rsid w:val="00456134"/>
    <w:rsid w:val="0045768B"/>
    <w:rsid w:val="00457E94"/>
    <w:rsid w:val="00461D66"/>
    <w:rsid w:val="00462B20"/>
    <w:rsid w:val="00463BA1"/>
    <w:rsid w:val="004641B3"/>
    <w:rsid w:val="0046526D"/>
    <w:rsid w:val="00465A5C"/>
    <w:rsid w:val="0046612C"/>
    <w:rsid w:val="00466D5B"/>
    <w:rsid w:val="004671CE"/>
    <w:rsid w:val="0047026C"/>
    <w:rsid w:val="00470477"/>
    <w:rsid w:val="00470B5D"/>
    <w:rsid w:val="00472E2A"/>
    <w:rsid w:val="00474B1E"/>
    <w:rsid w:val="00474D66"/>
    <w:rsid w:val="00475287"/>
    <w:rsid w:val="00475EC6"/>
    <w:rsid w:val="004760D1"/>
    <w:rsid w:val="0047616B"/>
    <w:rsid w:val="00476175"/>
    <w:rsid w:val="004771B5"/>
    <w:rsid w:val="0048048C"/>
    <w:rsid w:val="00481527"/>
    <w:rsid w:val="0048279F"/>
    <w:rsid w:val="00482DE1"/>
    <w:rsid w:val="00483D44"/>
    <w:rsid w:val="00483EA6"/>
    <w:rsid w:val="004848B6"/>
    <w:rsid w:val="00486576"/>
    <w:rsid w:val="00486D31"/>
    <w:rsid w:val="004909A2"/>
    <w:rsid w:val="00490AF5"/>
    <w:rsid w:val="00492304"/>
    <w:rsid w:val="0049285D"/>
    <w:rsid w:val="00494761"/>
    <w:rsid w:val="00495937"/>
    <w:rsid w:val="00495FBC"/>
    <w:rsid w:val="004965B5"/>
    <w:rsid w:val="004969B5"/>
    <w:rsid w:val="0049750D"/>
    <w:rsid w:val="004A0A80"/>
    <w:rsid w:val="004A128B"/>
    <w:rsid w:val="004A14FC"/>
    <w:rsid w:val="004A1813"/>
    <w:rsid w:val="004A1C75"/>
    <w:rsid w:val="004A32B3"/>
    <w:rsid w:val="004A32F8"/>
    <w:rsid w:val="004A464C"/>
    <w:rsid w:val="004A466E"/>
    <w:rsid w:val="004A490B"/>
    <w:rsid w:val="004A5ACF"/>
    <w:rsid w:val="004A6B5F"/>
    <w:rsid w:val="004A7078"/>
    <w:rsid w:val="004B03D6"/>
    <w:rsid w:val="004B1727"/>
    <w:rsid w:val="004B33CC"/>
    <w:rsid w:val="004B3ABC"/>
    <w:rsid w:val="004B4670"/>
    <w:rsid w:val="004B548D"/>
    <w:rsid w:val="004B561D"/>
    <w:rsid w:val="004B70FA"/>
    <w:rsid w:val="004B7945"/>
    <w:rsid w:val="004B7E6C"/>
    <w:rsid w:val="004C24E4"/>
    <w:rsid w:val="004C42D4"/>
    <w:rsid w:val="004C5FDB"/>
    <w:rsid w:val="004C6140"/>
    <w:rsid w:val="004C730D"/>
    <w:rsid w:val="004C7564"/>
    <w:rsid w:val="004C7786"/>
    <w:rsid w:val="004C7BC4"/>
    <w:rsid w:val="004D0592"/>
    <w:rsid w:val="004D08F1"/>
    <w:rsid w:val="004D0B29"/>
    <w:rsid w:val="004D2ED9"/>
    <w:rsid w:val="004D4612"/>
    <w:rsid w:val="004D4BA9"/>
    <w:rsid w:val="004D796B"/>
    <w:rsid w:val="004E078D"/>
    <w:rsid w:val="004E0F96"/>
    <w:rsid w:val="004E1360"/>
    <w:rsid w:val="004E1CC9"/>
    <w:rsid w:val="004E24CE"/>
    <w:rsid w:val="004E2BA1"/>
    <w:rsid w:val="004E3409"/>
    <w:rsid w:val="004E4648"/>
    <w:rsid w:val="004E4F21"/>
    <w:rsid w:val="004E65F7"/>
    <w:rsid w:val="004E6C76"/>
    <w:rsid w:val="004E6DD9"/>
    <w:rsid w:val="004E6F27"/>
    <w:rsid w:val="004E776D"/>
    <w:rsid w:val="004E7E4D"/>
    <w:rsid w:val="004E7EAD"/>
    <w:rsid w:val="004F01F6"/>
    <w:rsid w:val="004F1117"/>
    <w:rsid w:val="004F27E4"/>
    <w:rsid w:val="004F3035"/>
    <w:rsid w:val="004F3CC4"/>
    <w:rsid w:val="004F5681"/>
    <w:rsid w:val="004F60F9"/>
    <w:rsid w:val="004F6436"/>
    <w:rsid w:val="004F6A62"/>
    <w:rsid w:val="004F7379"/>
    <w:rsid w:val="004F7BF5"/>
    <w:rsid w:val="004F7C4C"/>
    <w:rsid w:val="0050011B"/>
    <w:rsid w:val="00500AA9"/>
    <w:rsid w:val="00500E89"/>
    <w:rsid w:val="005010C1"/>
    <w:rsid w:val="00502FAA"/>
    <w:rsid w:val="00506BC9"/>
    <w:rsid w:val="00507A4A"/>
    <w:rsid w:val="005101A6"/>
    <w:rsid w:val="005128B8"/>
    <w:rsid w:val="0051537F"/>
    <w:rsid w:val="0051545A"/>
    <w:rsid w:val="005155A7"/>
    <w:rsid w:val="00517960"/>
    <w:rsid w:val="0052009F"/>
    <w:rsid w:val="0052143F"/>
    <w:rsid w:val="005228C7"/>
    <w:rsid w:val="00523A35"/>
    <w:rsid w:val="00523AA6"/>
    <w:rsid w:val="00524E01"/>
    <w:rsid w:val="005251FD"/>
    <w:rsid w:val="00525A3F"/>
    <w:rsid w:val="00526A0C"/>
    <w:rsid w:val="00527421"/>
    <w:rsid w:val="00531C81"/>
    <w:rsid w:val="005321FF"/>
    <w:rsid w:val="0053252D"/>
    <w:rsid w:val="00535120"/>
    <w:rsid w:val="005353A4"/>
    <w:rsid w:val="0053556A"/>
    <w:rsid w:val="00535960"/>
    <w:rsid w:val="00540CB6"/>
    <w:rsid w:val="00540E10"/>
    <w:rsid w:val="00540FA4"/>
    <w:rsid w:val="00540FE4"/>
    <w:rsid w:val="005416AD"/>
    <w:rsid w:val="005422AB"/>
    <w:rsid w:val="00544380"/>
    <w:rsid w:val="00545178"/>
    <w:rsid w:val="0054544D"/>
    <w:rsid w:val="00545A72"/>
    <w:rsid w:val="00545B1B"/>
    <w:rsid w:val="005463AB"/>
    <w:rsid w:val="0054654D"/>
    <w:rsid w:val="00546D7E"/>
    <w:rsid w:val="005470B8"/>
    <w:rsid w:val="0055000E"/>
    <w:rsid w:val="0055006C"/>
    <w:rsid w:val="0055006F"/>
    <w:rsid w:val="0055047E"/>
    <w:rsid w:val="005506B1"/>
    <w:rsid w:val="00551CE8"/>
    <w:rsid w:val="0055215B"/>
    <w:rsid w:val="00552706"/>
    <w:rsid w:val="00552D3C"/>
    <w:rsid w:val="005532BF"/>
    <w:rsid w:val="0055371B"/>
    <w:rsid w:val="00553C09"/>
    <w:rsid w:val="00553E60"/>
    <w:rsid w:val="00554635"/>
    <w:rsid w:val="00554906"/>
    <w:rsid w:val="00554E4C"/>
    <w:rsid w:val="00555703"/>
    <w:rsid w:val="00555FA5"/>
    <w:rsid w:val="005568DD"/>
    <w:rsid w:val="00556A24"/>
    <w:rsid w:val="00557661"/>
    <w:rsid w:val="00557F9C"/>
    <w:rsid w:val="0056158C"/>
    <w:rsid w:val="005624E9"/>
    <w:rsid w:val="005629CC"/>
    <w:rsid w:val="0056510A"/>
    <w:rsid w:val="00565F95"/>
    <w:rsid w:val="0056606C"/>
    <w:rsid w:val="0056657D"/>
    <w:rsid w:val="00572172"/>
    <w:rsid w:val="00572864"/>
    <w:rsid w:val="005756C2"/>
    <w:rsid w:val="0057628A"/>
    <w:rsid w:val="0057736E"/>
    <w:rsid w:val="005773DC"/>
    <w:rsid w:val="00577BFF"/>
    <w:rsid w:val="00577C4C"/>
    <w:rsid w:val="00580512"/>
    <w:rsid w:val="005806EA"/>
    <w:rsid w:val="00580A9E"/>
    <w:rsid w:val="005827FA"/>
    <w:rsid w:val="00582B29"/>
    <w:rsid w:val="005836EA"/>
    <w:rsid w:val="00584122"/>
    <w:rsid w:val="005849D2"/>
    <w:rsid w:val="00584E99"/>
    <w:rsid w:val="00586281"/>
    <w:rsid w:val="00587E36"/>
    <w:rsid w:val="0059144E"/>
    <w:rsid w:val="005919FB"/>
    <w:rsid w:val="00592929"/>
    <w:rsid w:val="00592BE7"/>
    <w:rsid w:val="005933BD"/>
    <w:rsid w:val="00596909"/>
    <w:rsid w:val="00596FB3"/>
    <w:rsid w:val="005970B4"/>
    <w:rsid w:val="00597B80"/>
    <w:rsid w:val="005A1614"/>
    <w:rsid w:val="005A1B2E"/>
    <w:rsid w:val="005A1CA8"/>
    <w:rsid w:val="005A3226"/>
    <w:rsid w:val="005A46AD"/>
    <w:rsid w:val="005A4A75"/>
    <w:rsid w:val="005A4A7A"/>
    <w:rsid w:val="005A4CA0"/>
    <w:rsid w:val="005A55BD"/>
    <w:rsid w:val="005A55D2"/>
    <w:rsid w:val="005A60DE"/>
    <w:rsid w:val="005A70D2"/>
    <w:rsid w:val="005B024D"/>
    <w:rsid w:val="005B0835"/>
    <w:rsid w:val="005B0C81"/>
    <w:rsid w:val="005B1C2D"/>
    <w:rsid w:val="005B1CFE"/>
    <w:rsid w:val="005B2FBF"/>
    <w:rsid w:val="005B39E8"/>
    <w:rsid w:val="005B4457"/>
    <w:rsid w:val="005B451E"/>
    <w:rsid w:val="005B68B0"/>
    <w:rsid w:val="005C0710"/>
    <w:rsid w:val="005C105E"/>
    <w:rsid w:val="005C22E5"/>
    <w:rsid w:val="005C2504"/>
    <w:rsid w:val="005C2B4E"/>
    <w:rsid w:val="005C3720"/>
    <w:rsid w:val="005C3AF0"/>
    <w:rsid w:val="005C47BF"/>
    <w:rsid w:val="005D0AE4"/>
    <w:rsid w:val="005D0E43"/>
    <w:rsid w:val="005D1C90"/>
    <w:rsid w:val="005D1F52"/>
    <w:rsid w:val="005D2263"/>
    <w:rsid w:val="005D22D8"/>
    <w:rsid w:val="005D2572"/>
    <w:rsid w:val="005D2FA9"/>
    <w:rsid w:val="005D32B1"/>
    <w:rsid w:val="005D34D6"/>
    <w:rsid w:val="005D381B"/>
    <w:rsid w:val="005D47CC"/>
    <w:rsid w:val="005D4AF7"/>
    <w:rsid w:val="005D4BC7"/>
    <w:rsid w:val="005D517F"/>
    <w:rsid w:val="005D5272"/>
    <w:rsid w:val="005D6ABF"/>
    <w:rsid w:val="005E04F9"/>
    <w:rsid w:val="005E0508"/>
    <w:rsid w:val="005E11C2"/>
    <w:rsid w:val="005E1AB2"/>
    <w:rsid w:val="005E1DC5"/>
    <w:rsid w:val="005E2503"/>
    <w:rsid w:val="005E2862"/>
    <w:rsid w:val="005E2F5E"/>
    <w:rsid w:val="005E3504"/>
    <w:rsid w:val="005E363B"/>
    <w:rsid w:val="005E3C87"/>
    <w:rsid w:val="005E3DFA"/>
    <w:rsid w:val="005E4E36"/>
    <w:rsid w:val="005E5CF1"/>
    <w:rsid w:val="005E6116"/>
    <w:rsid w:val="005E6BFF"/>
    <w:rsid w:val="005F006D"/>
    <w:rsid w:val="005F0C6A"/>
    <w:rsid w:val="005F2016"/>
    <w:rsid w:val="005F34A9"/>
    <w:rsid w:val="005F3922"/>
    <w:rsid w:val="005F3C29"/>
    <w:rsid w:val="005F41DA"/>
    <w:rsid w:val="005F6F86"/>
    <w:rsid w:val="005F7E03"/>
    <w:rsid w:val="005F7E23"/>
    <w:rsid w:val="00600A81"/>
    <w:rsid w:val="00601707"/>
    <w:rsid w:val="006020D6"/>
    <w:rsid w:val="006028FA"/>
    <w:rsid w:val="006028FF"/>
    <w:rsid w:val="006050DF"/>
    <w:rsid w:val="00605512"/>
    <w:rsid w:val="006057C8"/>
    <w:rsid w:val="00605B5E"/>
    <w:rsid w:val="00606FFD"/>
    <w:rsid w:val="00607796"/>
    <w:rsid w:val="0061050B"/>
    <w:rsid w:val="00610F68"/>
    <w:rsid w:val="0061175D"/>
    <w:rsid w:val="00611AD5"/>
    <w:rsid w:val="00613FC1"/>
    <w:rsid w:val="006169B1"/>
    <w:rsid w:val="00617442"/>
    <w:rsid w:val="00621CAD"/>
    <w:rsid w:val="00623BE4"/>
    <w:rsid w:val="00623BF1"/>
    <w:rsid w:val="00623CC0"/>
    <w:rsid w:val="00625D6C"/>
    <w:rsid w:val="00625FE6"/>
    <w:rsid w:val="00627A16"/>
    <w:rsid w:val="00627D52"/>
    <w:rsid w:val="006322A7"/>
    <w:rsid w:val="00632845"/>
    <w:rsid w:val="00633B57"/>
    <w:rsid w:val="00635D58"/>
    <w:rsid w:val="006361B5"/>
    <w:rsid w:val="0063652D"/>
    <w:rsid w:val="0063718C"/>
    <w:rsid w:val="00637A58"/>
    <w:rsid w:val="00637B6B"/>
    <w:rsid w:val="00641872"/>
    <w:rsid w:val="006418E0"/>
    <w:rsid w:val="00641ECF"/>
    <w:rsid w:val="00641FAD"/>
    <w:rsid w:val="00642D3C"/>
    <w:rsid w:val="00642E38"/>
    <w:rsid w:val="006437C1"/>
    <w:rsid w:val="006438BC"/>
    <w:rsid w:val="00643C4C"/>
    <w:rsid w:val="00644399"/>
    <w:rsid w:val="00644AF6"/>
    <w:rsid w:val="00644AFF"/>
    <w:rsid w:val="00645784"/>
    <w:rsid w:val="00646DEF"/>
    <w:rsid w:val="006476DC"/>
    <w:rsid w:val="00647772"/>
    <w:rsid w:val="0064777A"/>
    <w:rsid w:val="0065150C"/>
    <w:rsid w:val="00651741"/>
    <w:rsid w:val="00652BE8"/>
    <w:rsid w:val="00652C92"/>
    <w:rsid w:val="00653053"/>
    <w:rsid w:val="006537A3"/>
    <w:rsid w:val="0065384E"/>
    <w:rsid w:val="0065390B"/>
    <w:rsid w:val="006541DF"/>
    <w:rsid w:val="0065472F"/>
    <w:rsid w:val="00654902"/>
    <w:rsid w:val="00654B3D"/>
    <w:rsid w:val="00654D18"/>
    <w:rsid w:val="00656BC8"/>
    <w:rsid w:val="00656E70"/>
    <w:rsid w:val="006602C2"/>
    <w:rsid w:val="00660A52"/>
    <w:rsid w:val="00661563"/>
    <w:rsid w:val="0066190C"/>
    <w:rsid w:val="0066315C"/>
    <w:rsid w:val="006639F6"/>
    <w:rsid w:val="006643FA"/>
    <w:rsid w:val="006648B0"/>
    <w:rsid w:val="00665435"/>
    <w:rsid w:val="006657E3"/>
    <w:rsid w:val="00666BA0"/>
    <w:rsid w:val="00667BD3"/>
    <w:rsid w:val="006709ED"/>
    <w:rsid w:val="006716B8"/>
    <w:rsid w:val="00672F08"/>
    <w:rsid w:val="0067330C"/>
    <w:rsid w:val="00673F4B"/>
    <w:rsid w:val="00675A3D"/>
    <w:rsid w:val="0067616F"/>
    <w:rsid w:val="00676AEA"/>
    <w:rsid w:val="00676C63"/>
    <w:rsid w:val="006807D9"/>
    <w:rsid w:val="00680B9A"/>
    <w:rsid w:val="00680FFD"/>
    <w:rsid w:val="00682218"/>
    <w:rsid w:val="00682299"/>
    <w:rsid w:val="00684B20"/>
    <w:rsid w:val="00687076"/>
    <w:rsid w:val="006873AC"/>
    <w:rsid w:val="0068780A"/>
    <w:rsid w:val="00691042"/>
    <w:rsid w:val="006912F5"/>
    <w:rsid w:val="0069286F"/>
    <w:rsid w:val="00693B0C"/>
    <w:rsid w:val="00693F42"/>
    <w:rsid w:val="006947AF"/>
    <w:rsid w:val="0069687F"/>
    <w:rsid w:val="006A02F0"/>
    <w:rsid w:val="006A097B"/>
    <w:rsid w:val="006A1A04"/>
    <w:rsid w:val="006A1DFF"/>
    <w:rsid w:val="006A2A4F"/>
    <w:rsid w:val="006A42F2"/>
    <w:rsid w:val="006A4A4A"/>
    <w:rsid w:val="006A5424"/>
    <w:rsid w:val="006A710D"/>
    <w:rsid w:val="006A73BC"/>
    <w:rsid w:val="006B0460"/>
    <w:rsid w:val="006B0489"/>
    <w:rsid w:val="006B0FA8"/>
    <w:rsid w:val="006B25CA"/>
    <w:rsid w:val="006B27E3"/>
    <w:rsid w:val="006B33BA"/>
    <w:rsid w:val="006B3633"/>
    <w:rsid w:val="006B38C0"/>
    <w:rsid w:val="006B4EE1"/>
    <w:rsid w:val="006B4EF0"/>
    <w:rsid w:val="006B75ED"/>
    <w:rsid w:val="006B7B09"/>
    <w:rsid w:val="006C09EA"/>
    <w:rsid w:val="006C2F9C"/>
    <w:rsid w:val="006C43CC"/>
    <w:rsid w:val="006C519C"/>
    <w:rsid w:val="006C579C"/>
    <w:rsid w:val="006C5DB5"/>
    <w:rsid w:val="006C6242"/>
    <w:rsid w:val="006C7C0D"/>
    <w:rsid w:val="006D04D2"/>
    <w:rsid w:val="006D29C7"/>
    <w:rsid w:val="006D3091"/>
    <w:rsid w:val="006D3CAA"/>
    <w:rsid w:val="006D47B7"/>
    <w:rsid w:val="006D57BA"/>
    <w:rsid w:val="006D5C01"/>
    <w:rsid w:val="006D7105"/>
    <w:rsid w:val="006D7390"/>
    <w:rsid w:val="006E016E"/>
    <w:rsid w:val="006E05A8"/>
    <w:rsid w:val="006E113E"/>
    <w:rsid w:val="006E2FE2"/>
    <w:rsid w:val="006E3280"/>
    <w:rsid w:val="006E3481"/>
    <w:rsid w:val="006E5F1F"/>
    <w:rsid w:val="006E7EA4"/>
    <w:rsid w:val="006F00CE"/>
    <w:rsid w:val="006F06E7"/>
    <w:rsid w:val="006F1E97"/>
    <w:rsid w:val="006F2012"/>
    <w:rsid w:val="006F3E76"/>
    <w:rsid w:val="006F3EA0"/>
    <w:rsid w:val="006F413C"/>
    <w:rsid w:val="006F4AAE"/>
    <w:rsid w:val="006F4E8F"/>
    <w:rsid w:val="006F55C9"/>
    <w:rsid w:val="006F6010"/>
    <w:rsid w:val="00700165"/>
    <w:rsid w:val="00700ACD"/>
    <w:rsid w:val="00700EC0"/>
    <w:rsid w:val="00701365"/>
    <w:rsid w:val="00702718"/>
    <w:rsid w:val="00702870"/>
    <w:rsid w:val="00702D2B"/>
    <w:rsid w:val="00703650"/>
    <w:rsid w:val="0070583D"/>
    <w:rsid w:val="0070627B"/>
    <w:rsid w:val="00706E5B"/>
    <w:rsid w:val="00707113"/>
    <w:rsid w:val="00707EFE"/>
    <w:rsid w:val="00710782"/>
    <w:rsid w:val="00712B9E"/>
    <w:rsid w:val="00713353"/>
    <w:rsid w:val="00714962"/>
    <w:rsid w:val="00715CA8"/>
    <w:rsid w:val="007167D6"/>
    <w:rsid w:val="00716DF3"/>
    <w:rsid w:val="007179CD"/>
    <w:rsid w:val="007201F0"/>
    <w:rsid w:val="00720395"/>
    <w:rsid w:val="007204BF"/>
    <w:rsid w:val="00722006"/>
    <w:rsid w:val="00722872"/>
    <w:rsid w:val="00723DA4"/>
    <w:rsid w:val="00725DAC"/>
    <w:rsid w:val="0072622C"/>
    <w:rsid w:val="00726CFF"/>
    <w:rsid w:val="00726E1A"/>
    <w:rsid w:val="0072760E"/>
    <w:rsid w:val="0073046C"/>
    <w:rsid w:val="00732232"/>
    <w:rsid w:val="007328FA"/>
    <w:rsid w:val="00732DA1"/>
    <w:rsid w:val="00733764"/>
    <w:rsid w:val="00733931"/>
    <w:rsid w:val="007340CB"/>
    <w:rsid w:val="0073512A"/>
    <w:rsid w:val="0073520D"/>
    <w:rsid w:val="00735292"/>
    <w:rsid w:val="0073641C"/>
    <w:rsid w:val="00736A5C"/>
    <w:rsid w:val="00737D7D"/>
    <w:rsid w:val="00740BE3"/>
    <w:rsid w:val="00740C46"/>
    <w:rsid w:val="0074108D"/>
    <w:rsid w:val="00745416"/>
    <w:rsid w:val="00745A9A"/>
    <w:rsid w:val="00746865"/>
    <w:rsid w:val="00747A60"/>
    <w:rsid w:val="007502BB"/>
    <w:rsid w:val="0075122F"/>
    <w:rsid w:val="007512A4"/>
    <w:rsid w:val="007513E2"/>
    <w:rsid w:val="00751A46"/>
    <w:rsid w:val="00751D4C"/>
    <w:rsid w:val="00752626"/>
    <w:rsid w:val="00755CCA"/>
    <w:rsid w:val="00756C12"/>
    <w:rsid w:val="00756DAB"/>
    <w:rsid w:val="00757C7E"/>
    <w:rsid w:val="00757EBC"/>
    <w:rsid w:val="00760423"/>
    <w:rsid w:val="00761735"/>
    <w:rsid w:val="00761C5A"/>
    <w:rsid w:val="00762199"/>
    <w:rsid w:val="007625E1"/>
    <w:rsid w:val="0076337B"/>
    <w:rsid w:val="00763592"/>
    <w:rsid w:val="00764DFB"/>
    <w:rsid w:val="00764E6C"/>
    <w:rsid w:val="007652B0"/>
    <w:rsid w:val="00766158"/>
    <w:rsid w:val="007669B0"/>
    <w:rsid w:val="00770294"/>
    <w:rsid w:val="0077163F"/>
    <w:rsid w:val="00771A23"/>
    <w:rsid w:val="007728F9"/>
    <w:rsid w:val="00774A7F"/>
    <w:rsid w:val="00775B4F"/>
    <w:rsid w:val="00776986"/>
    <w:rsid w:val="00776EBE"/>
    <w:rsid w:val="00777439"/>
    <w:rsid w:val="00781CE4"/>
    <w:rsid w:val="007829C6"/>
    <w:rsid w:val="00783158"/>
    <w:rsid w:val="007851D3"/>
    <w:rsid w:val="00785632"/>
    <w:rsid w:val="00785CBF"/>
    <w:rsid w:val="007861B5"/>
    <w:rsid w:val="007865BA"/>
    <w:rsid w:val="007868F4"/>
    <w:rsid w:val="0078756B"/>
    <w:rsid w:val="007911CB"/>
    <w:rsid w:val="00793F0C"/>
    <w:rsid w:val="007949E9"/>
    <w:rsid w:val="007964ED"/>
    <w:rsid w:val="00796B4C"/>
    <w:rsid w:val="00797AF5"/>
    <w:rsid w:val="00797CAC"/>
    <w:rsid w:val="007A1E32"/>
    <w:rsid w:val="007A2FEA"/>
    <w:rsid w:val="007A31C7"/>
    <w:rsid w:val="007A52A7"/>
    <w:rsid w:val="007A5ECF"/>
    <w:rsid w:val="007A70C7"/>
    <w:rsid w:val="007B0270"/>
    <w:rsid w:val="007B0A3D"/>
    <w:rsid w:val="007B109D"/>
    <w:rsid w:val="007B2F9C"/>
    <w:rsid w:val="007B386E"/>
    <w:rsid w:val="007B3BE4"/>
    <w:rsid w:val="007B578C"/>
    <w:rsid w:val="007B5812"/>
    <w:rsid w:val="007B6611"/>
    <w:rsid w:val="007B6856"/>
    <w:rsid w:val="007B72A3"/>
    <w:rsid w:val="007B7DF0"/>
    <w:rsid w:val="007C14D2"/>
    <w:rsid w:val="007C2192"/>
    <w:rsid w:val="007C2A43"/>
    <w:rsid w:val="007C2B77"/>
    <w:rsid w:val="007C2F68"/>
    <w:rsid w:val="007C434F"/>
    <w:rsid w:val="007C57DE"/>
    <w:rsid w:val="007C5E41"/>
    <w:rsid w:val="007C7533"/>
    <w:rsid w:val="007C78BD"/>
    <w:rsid w:val="007C7F15"/>
    <w:rsid w:val="007D0D76"/>
    <w:rsid w:val="007D2D69"/>
    <w:rsid w:val="007D31B7"/>
    <w:rsid w:val="007D31CE"/>
    <w:rsid w:val="007D354B"/>
    <w:rsid w:val="007D5261"/>
    <w:rsid w:val="007D5373"/>
    <w:rsid w:val="007D5C64"/>
    <w:rsid w:val="007D64C2"/>
    <w:rsid w:val="007D67F8"/>
    <w:rsid w:val="007D6B19"/>
    <w:rsid w:val="007D779F"/>
    <w:rsid w:val="007E0C22"/>
    <w:rsid w:val="007E11BB"/>
    <w:rsid w:val="007E3DB8"/>
    <w:rsid w:val="007E3E37"/>
    <w:rsid w:val="007E4D02"/>
    <w:rsid w:val="007E57DE"/>
    <w:rsid w:val="007E58E8"/>
    <w:rsid w:val="007E603C"/>
    <w:rsid w:val="007E691F"/>
    <w:rsid w:val="007F0258"/>
    <w:rsid w:val="007F0278"/>
    <w:rsid w:val="007F05E2"/>
    <w:rsid w:val="007F0C5E"/>
    <w:rsid w:val="007F0E5A"/>
    <w:rsid w:val="007F37EF"/>
    <w:rsid w:val="007F407F"/>
    <w:rsid w:val="007F590E"/>
    <w:rsid w:val="007F6AA6"/>
    <w:rsid w:val="007F6C76"/>
    <w:rsid w:val="007F78F0"/>
    <w:rsid w:val="00800BB4"/>
    <w:rsid w:val="008013E8"/>
    <w:rsid w:val="0080185B"/>
    <w:rsid w:val="0080194C"/>
    <w:rsid w:val="00802118"/>
    <w:rsid w:val="00802971"/>
    <w:rsid w:val="008031CE"/>
    <w:rsid w:val="008033D0"/>
    <w:rsid w:val="00803B0E"/>
    <w:rsid w:val="008044B6"/>
    <w:rsid w:val="008044D4"/>
    <w:rsid w:val="00804C77"/>
    <w:rsid w:val="008062CF"/>
    <w:rsid w:val="008068BD"/>
    <w:rsid w:val="008114D3"/>
    <w:rsid w:val="00812BF5"/>
    <w:rsid w:val="0082059D"/>
    <w:rsid w:val="0082136D"/>
    <w:rsid w:val="00821631"/>
    <w:rsid w:val="00822768"/>
    <w:rsid w:val="0082502D"/>
    <w:rsid w:val="00826479"/>
    <w:rsid w:val="008274EC"/>
    <w:rsid w:val="00827CA7"/>
    <w:rsid w:val="00827D54"/>
    <w:rsid w:val="008319B2"/>
    <w:rsid w:val="008348A1"/>
    <w:rsid w:val="00835B9F"/>
    <w:rsid w:val="0083702B"/>
    <w:rsid w:val="008374D4"/>
    <w:rsid w:val="00837831"/>
    <w:rsid w:val="00837E78"/>
    <w:rsid w:val="00840B79"/>
    <w:rsid w:val="00841912"/>
    <w:rsid w:val="00841FB2"/>
    <w:rsid w:val="0084259E"/>
    <w:rsid w:val="00842D6B"/>
    <w:rsid w:val="008431D5"/>
    <w:rsid w:val="008433CA"/>
    <w:rsid w:val="008451E5"/>
    <w:rsid w:val="0084584B"/>
    <w:rsid w:val="00847125"/>
    <w:rsid w:val="0085058B"/>
    <w:rsid w:val="00853E69"/>
    <w:rsid w:val="00854922"/>
    <w:rsid w:val="00854F2E"/>
    <w:rsid w:val="00857E21"/>
    <w:rsid w:val="008603D1"/>
    <w:rsid w:val="0086063E"/>
    <w:rsid w:val="008613A9"/>
    <w:rsid w:val="00863BA2"/>
    <w:rsid w:val="00863DA5"/>
    <w:rsid w:val="00865ECE"/>
    <w:rsid w:val="00867E82"/>
    <w:rsid w:val="00867FB4"/>
    <w:rsid w:val="008713CE"/>
    <w:rsid w:val="00871451"/>
    <w:rsid w:val="00873F1D"/>
    <w:rsid w:val="00874389"/>
    <w:rsid w:val="00874F8C"/>
    <w:rsid w:val="0087506B"/>
    <w:rsid w:val="00876D0E"/>
    <w:rsid w:val="00877D91"/>
    <w:rsid w:val="00877FAC"/>
    <w:rsid w:val="0088131B"/>
    <w:rsid w:val="00882538"/>
    <w:rsid w:val="00884ADF"/>
    <w:rsid w:val="00885267"/>
    <w:rsid w:val="00885E10"/>
    <w:rsid w:val="008869B1"/>
    <w:rsid w:val="00886A26"/>
    <w:rsid w:val="0089079A"/>
    <w:rsid w:val="008915DE"/>
    <w:rsid w:val="00891F8B"/>
    <w:rsid w:val="00893314"/>
    <w:rsid w:val="00895D21"/>
    <w:rsid w:val="00896CA5"/>
    <w:rsid w:val="008971B6"/>
    <w:rsid w:val="008973C6"/>
    <w:rsid w:val="00897F17"/>
    <w:rsid w:val="008A0173"/>
    <w:rsid w:val="008A2276"/>
    <w:rsid w:val="008A26F3"/>
    <w:rsid w:val="008A36C4"/>
    <w:rsid w:val="008A561C"/>
    <w:rsid w:val="008A5D85"/>
    <w:rsid w:val="008A6332"/>
    <w:rsid w:val="008A66D8"/>
    <w:rsid w:val="008A6D6F"/>
    <w:rsid w:val="008A6DD8"/>
    <w:rsid w:val="008A6F02"/>
    <w:rsid w:val="008A7D29"/>
    <w:rsid w:val="008A7F67"/>
    <w:rsid w:val="008B2B07"/>
    <w:rsid w:val="008B3947"/>
    <w:rsid w:val="008B3EE7"/>
    <w:rsid w:val="008B4C68"/>
    <w:rsid w:val="008B5B98"/>
    <w:rsid w:val="008B5C02"/>
    <w:rsid w:val="008B5EE0"/>
    <w:rsid w:val="008B5F1C"/>
    <w:rsid w:val="008B5FA6"/>
    <w:rsid w:val="008B6857"/>
    <w:rsid w:val="008C00D9"/>
    <w:rsid w:val="008C0780"/>
    <w:rsid w:val="008C12C4"/>
    <w:rsid w:val="008C3BC9"/>
    <w:rsid w:val="008C4E3C"/>
    <w:rsid w:val="008C5969"/>
    <w:rsid w:val="008C6478"/>
    <w:rsid w:val="008C735C"/>
    <w:rsid w:val="008C7EDF"/>
    <w:rsid w:val="008D114B"/>
    <w:rsid w:val="008D23C8"/>
    <w:rsid w:val="008D2CD6"/>
    <w:rsid w:val="008D2D01"/>
    <w:rsid w:val="008D2E4B"/>
    <w:rsid w:val="008D3F3A"/>
    <w:rsid w:val="008D4DFB"/>
    <w:rsid w:val="008D6203"/>
    <w:rsid w:val="008D6729"/>
    <w:rsid w:val="008D689A"/>
    <w:rsid w:val="008D7121"/>
    <w:rsid w:val="008E060E"/>
    <w:rsid w:val="008E0B55"/>
    <w:rsid w:val="008E0F3E"/>
    <w:rsid w:val="008E1958"/>
    <w:rsid w:val="008E1DFD"/>
    <w:rsid w:val="008E35FF"/>
    <w:rsid w:val="008E3618"/>
    <w:rsid w:val="008E3C23"/>
    <w:rsid w:val="008E5E78"/>
    <w:rsid w:val="008E640D"/>
    <w:rsid w:val="008E7729"/>
    <w:rsid w:val="008F019F"/>
    <w:rsid w:val="008F087F"/>
    <w:rsid w:val="008F0980"/>
    <w:rsid w:val="008F12BE"/>
    <w:rsid w:val="008F1B4E"/>
    <w:rsid w:val="008F330A"/>
    <w:rsid w:val="008F59CA"/>
    <w:rsid w:val="008F6A7C"/>
    <w:rsid w:val="008F7097"/>
    <w:rsid w:val="008F7AC8"/>
    <w:rsid w:val="00900026"/>
    <w:rsid w:val="00900718"/>
    <w:rsid w:val="00901D80"/>
    <w:rsid w:val="009038AD"/>
    <w:rsid w:val="00903F88"/>
    <w:rsid w:val="00904120"/>
    <w:rsid w:val="009053D2"/>
    <w:rsid w:val="00905B2F"/>
    <w:rsid w:val="00905EB2"/>
    <w:rsid w:val="00906074"/>
    <w:rsid w:val="009075F4"/>
    <w:rsid w:val="00907B99"/>
    <w:rsid w:val="00910F2F"/>
    <w:rsid w:val="009114BC"/>
    <w:rsid w:val="009114C7"/>
    <w:rsid w:val="009125F4"/>
    <w:rsid w:val="00913AF0"/>
    <w:rsid w:val="009147A5"/>
    <w:rsid w:val="00915794"/>
    <w:rsid w:val="00920C43"/>
    <w:rsid w:val="00921143"/>
    <w:rsid w:val="0092117B"/>
    <w:rsid w:val="00921571"/>
    <w:rsid w:val="00921DBE"/>
    <w:rsid w:val="0092279A"/>
    <w:rsid w:val="00923C8C"/>
    <w:rsid w:val="00925599"/>
    <w:rsid w:val="009257C0"/>
    <w:rsid w:val="00925D09"/>
    <w:rsid w:val="00926258"/>
    <w:rsid w:val="0092739A"/>
    <w:rsid w:val="00927CDC"/>
    <w:rsid w:val="00930B36"/>
    <w:rsid w:val="00930BBB"/>
    <w:rsid w:val="00930F97"/>
    <w:rsid w:val="009310D7"/>
    <w:rsid w:val="009317BF"/>
    <w:rsid w:val="00931ABA"/>
    <w:rsid w:val="009322FA"/>
    <w:rsid w:val="00934D1B"/>
    <w:rsid w:val="00934F87"/>
    <w:rsid w:val="009356AE"/>
    <w:rsid w:val="009363A7"/>
    <w:rsid w:val="00937C89"/>
    <w:rsid w:val="009400CC"/>
    <w:rsid w:val="00941787"/>
    <w:rsid w:val="00941C9D"/>
    <w:rsid w:val="00941E57"/>
    <w:rsid w:val="0094238F"/>
    <w:rsid w:val="00943E9F"/>
    <w:rsid w:val="00944038"/>
    <w:rsid w:val="00953386"/>
    <w:rsid w:val="0095421D"/>
    <w:rsid w:val="00955203"/>
    <w:rsid w:val="00955BBC"/>
    <w:rsid w:val="00961784"/>
    <w:rsid w:val="00961835"/>
    <w:rsid w:val="00963F38"/>
    <w:rsid w:val="009641B2"/>
    <w:rsid w:val="0096443A"/>
    <w:rsid w:val="009648F8"/>
    <w:rsid w:val="00964951"/>
    <w:rsid w:val="009653B4"/>
    <w:rsid w:val="009655AA"/>
    <w:rsid w:val="00965A46"/>
    <w:rsid w:val="00966FCF"/>
    <w:rsid w:val="009670F1"/>
    <w:rsid w:val="009674DE"/>
    <w:rsid w:val="009679C7"/>
    <w:rsid w:val="00970959"/>
    <w:rsid w:val="00970CE5"/>
    <w:rsid w:val="00970D20"/>
    <w:rsid w:val="00971EE6"/>
    <w:rsid w:val="009723BE"/>
    <w:rsid w:val="00972C47"/>
    <w:rsid w:val="009733F7"/>
    <w:rsid w:val="0097382D"/>
    <w:rsid w:val="00973999"/>
    <w:rsid w:val="00977A61"/>
    <w:rsid w:val="0098056E"/>
    <w:rsid w:val="00980A41"/>
    <w:rsid w:val="00981A58"/>
    <w:rsid w:val="00981EBF"/>
    <w:rsid w:val="009824EE"/>
    <w:rsid w:val="0098293A"/>
    <w:rsid w:val="009829B5"/>
    <w:rsid w:val="00982A7A"/>
    <w:rsid w:val="00985EB0"/>
    <w:rsid w:val="00990A7E"/>
    <w:rsid w:val="00990A84"/>
    <w:rsid w:val="00990BBE"/>
    <w:rsid w:val="00990EE3"/>
    <w:rsid w:val="009912F7"/>
    <w:rsid w:val="009922D8"/>
    <w:rsid w:val="009923CD"/>
    <w:rsid w:val="00992B3D"/>
    <w:rsid w:val="00993A9D"/>
    <w:rsid w:val="0099430E"/>
    <w:rsid w:val="00994790"/>
    <w:rsid w:val="009947A4"/>
    <w:rsid w:val="009956B6"/>
    <w:rsid w:val="009957A5"/>
    <w:rsid w:val="00997A79"/>
    <w:rsid w:val="00997ABD"/>
    <w:rsid w:val="00997BAF"/>
    <w:rsid w:val="009A04F7"/>
    <w:rsid w:val="009A0E1A"/>
    <w:rsid w:val="009A2C47"/>
    <w:rsid w:val="009A481A"/>
    <w:rsid w:val="009A5025"/>
    <w:rsid w:val="009A51A7"/>
    <w:rsid w:val="009A5423"/>
    <w:rsid w:val="009A6433"/>
    <w:rsid w:val="009A6D7C"/>
    <w:rsid w:val="009A6E0B"/>
    <w:rsid w:val="009A6F55"/>
    <w:rsid w:val="009A78A3"/>
    <w:rsid w:val="009A7FD6"/>
    <w:rsid w:val="009B0F32"/>
    <w:rsid w:val="009B21B6"/>
    <w:rsid w:val="009B2926"/>
    <w:rsid w:val="009B2DAF"/>
    <w:rsid w:val="009B2F28"/>
    <w:rsid w:val="009B4A17"/>
    <w:rsid w:val="009B6460"/>
    <w:rsid w:val="009B7327"/>
    <w:rsid w:val="009B77AF"/>
    <w:rsid w:val="009B78D9"/>
    <w:rsid w:val="009B7B13"/>
    <w:rsid w:val="009B7EDF"/>
    <w:rsid w:val="009C01EF"/>
    <w:rsid w:val="009C04FB"/>
    <w:rsid w:val="009C0648"/>
    <w:rsid w:val="009C1374"/>
    <w:rsid w:val="009C1B4B"/>
    <w:rsid w:val="009C2324"/>
    <w:rsid w:val="009C277C"/>
    <w:rsid w:val="009C2E34"/>
    <w:rsid w:val="009C3170"/>
    <w:rsid w:val="009C3B06"/>
    <w:rsid w:val="009C688F"/>
    <w:rsid w:val="009C711B"/>
    <w:rsid w:val="009D05D9"/>
    <w:rsid w:val="009D33A7"/>
    <w:rsid w:val="009D43C8"/>
    <w:rsid w:val="009D5A6E"/>
    <w:rsid w:val="009D6566"/>
    <w:rsid w:val="009D696D"/>
    <w:rsid w:val="009E0A5B"/>
    <w:rsid w:val="009E0E3F"/>
    <w:rsid w:val="009E0EE2"/>
    <w:rsid w:val="009E132D"/>
    <w:rsid w:val="009E2036"/>
    <w:rsid w:val="009E277C"/>
    <w:rsid w:val="009E3219"/>
    <w:rsid w:val="009E3325"/>
    <w:rsid w:val="009E37B2"/>
    <w:rsid w:val="009E48B8"/>
    <w:rsid w:val="009E7DED"/>
    <w:rsid w:val="009F026B"/>
    <w:rsid w:val="009F160A"/>
    <w:rsid w:val="009F4435"/>
    <w:rsid w:val="009F46DE"/>
    <w:rsid w:val="009F4E64"/>
    <w:rsid w:val="009F6AD1"/>
    <w:rsid w:val="00A01436"/>
    <w:rsid w:val="00A01F72"/>
    <w:rsid w:val="00A0282B"/>
    <w:rsid w:val="00A03598"/>
    <w:rsid w:val="00A036AE"/>
    <w:rsid w:val="00A03B01"/>
    <w:rsid w:val="00A03DAB"/>
    <w:rsid w:val="00A04F45"/>
    <w:rsid w:val="00A061AD"/>
    <w:rsid w:val="00A066BC"/>
    <w:rsid w:val="00A06812"/>
    <w:rsid w:val="00A06E2C"/>
    <w:rsid w:val="00A07577"/>
    <w:rsid w:val="00A076BB"/>
    <w:rsid w:val="00A078B4"/>
    <w:rsid w:val="00A07A05"/>
    <w:rsid w:val="00A10708"/>
    <w:rsid w:val="00A130BB"/>
    <w:rsid w:val="00A13789"/>
    <w:rsid w:val="00A150FA"/>
    <w:rsid w:val="00A15EC5"/>
    <w:rsid w:val="00A16458"/>
    <w:rsid w:val="00A167E7"/>
    <w:rsid w:val="00A17462"/>
    <w:rsid w:val="00A17F71"/>
    <w:rsid w:val="00A2079D"/>
    <w:rsid w:val="00A210D1"/>
    <w:rsid w:val="00A21514"/>
    <w:rsid w:val="00A21A53"/>
    <w:rsid w:val="00A21B4B"/>
    <w:rsid w:val="00A22BB1"/>
    <w:rsid w:val="00A23559"/>
    <w:rsid w:val="00A2465A"/>
    <w:rsid w:val="00A24BA3"/>
    <w:rsid w:val="00A2664A"/>
    <w:rsid w:val="00A2750C"/>
    <w:rsid w:val="00A27859"/>
    <w:rsid w:val="00A279CD"/>
    <w:rsid w:val="00A311C0"/>
    <w:rsid w:val="00A32455"/>
    <w:rsid w:val="00A33368"/>
    <w:rsid w:val="00A33D7E"/>
    <w:rsid w:val="00A36515"/>
    <w:rsid w:val="00A365B2"/>
    <w:rsid w:val="00A36B1E"/>
    <w:rsid w:val="00A405D1"/>
    <w:rsid w:val="00A42100"/>
    <w:rsid w:val="00A42766"/>
    <w:rsid w:val="00A450DB"/>
    <w:rsid w:val="00A46967"/>
    <w:rsid w:val="00A50E9C"/>
    <w:rsid w:val="00A50FEF"/>
    <w:rsid w:val="00A529C2"/>
    <w:rsid w:val="00A52E1A"/>
    <w:rsid w:val="00A53F96"/>
    <w:rsid w:val="00A544A2"/>
    <w:rsid w:val="00A56243"/>
    <w:rsid w:val="00A56549"/>
    <w:rsid w:val="00A57346"/>
    <w:rsid w:val="00A57C3E"/>
    <w:rsid w:val="00A60296"/>
    <w:rsid w:val="00A60F91"/>
    <w:rsid w:val="00A61257"/>
    <w:rsid w:val="00A61448"/>
    <w:rsid w:val="00A615D0"/>
    <w:rsid w:val="00A616C8"/>
    <w:rsid w:val="00A61853"/>
    <w:rsid w:val="00A624F8"/>
    <w:rsid w:val="00A639E9"/>
    <w:rsid w:val="00A66922"/>
    <w:rsid w:val="00A66B0C"/>
    <w:rsid w:val="00A66F5D"/>
    <w:rsid w:val="00A67B3D"/>
    <w:rsid w:val="00A67BCB"/>
    <w:rsid w:val="00A71856"/>
    <w:rsid w:val="00A71E9D"/>
    <w:rsid w:val="00A72815"/>
    <w:rsid w:val="00A72B1E"/>
    <w:rsid w:val="00A7330D"/>
    <w:rsid w:val="00A7435A"/>
    <w:rsid w:val="00A74754"/>
    <w:rsid w:val="00A75630"/>
    <w:rsid w:val="00A758A2"/>
    <w:rsid w:val="00A80FC6"/>
    <w:rsid w:val="00A81640"/>
    <w:rsid w:val="00A81D94"/>
    <w:rsid w:val="00A831A5"/>
    <w:rsid w:val="00A83A4B"/>
    <w:rsid w:val="00A83DE9"/>
    <w:rsid w:val="00A843ED"/>
    <w:rsid w:val="00A86799"/>
    <w:rsid w:val="00A900D2"/>
    <w:rsid w:val="00A909D0"/>
    <w:rsid w:val="00A92AB5"/>
    <w:rsid w:val="00A941EB"/>
    <w:rsid w:val="00A949B2"/>
    <w:rsid w:val="00A95D21"/>
    <w:rsid w:val="00A9655C"/>
    <w:rsid w:val="00A96BDF"/>
    <w:rsid w:val="00A96EAC"/>
    <w:rsid w:val="00AA257B"/>
    <w:rsid w:val="00AA2A9D"/>
    <w:rsid w:val="00AA37C8"/>
    <w:rsid w:val="00AA54A2"/>
    <w:rsid w:val="00AA5870"/>
    <w:rsid w:val="00AA5CBE"/>
    <w:rsid w:val="00AA6329"/>
    <w:rsid w:val="00AB02CE"/>
    <w:rsid w:val="00AB04B8"/>
    <w:rsid w:val="00AB062F"/>
    <w:rsid w:val="00AB127C"/>
    <w:rsid w:val="00AB13B5"/>
    <w:rsid w:val="00AB1514"/>
    <w:rsid w:val="00AB159E"/>
    <w:rsid w:val="00AB1B6F"/>
    <w:rsid w:val="00AB2447"/>
    <w:rsid w:val="00AB3BD9"/>
    <w:rsid w:val="00AB5917"/>
    <w:rsid w:val="00AB5B85"/>
    <w:rsid w:val="00AB6A44"/>
    <w:rsid w:val="00AB7C1C"/>
    <w:rsid w:val="00AC0B03"/>
    <w:rsid w:val="00AC260E"/>
    <w:rsid w:val="00AC2EA5"/>
    <w:rsid w:val="00AC3001"/>
    <w:rsid w:val="00AC33D3"/>
    <w:rsid w:val="00AC554F"/>
    <w:rsid w:val="00AC58F3"/>
    <w:rsid w:val="00AC65F5"/>
    <w:rsid w:val="00AC6D4C"/>
    <w:rsid w:val="00AD2834"/>
    <w:rsid w:val="00AD3951"/>
    <w:rsid w:val="00AD4C04"/>
    <w:rsid w:val="00AD595C"/>
    <w:rsid w:val="00AD6373"/>
    <w:rsid w:val="00AD7D20"/>
    <w:rsid w:val="00AE0101"/>
    <w:rsid w:val="00AE0BA9"/>
    <w:rsid w:val="00AE156B"/>
    <w:rsid w:val="00AE160C"/>
    <w:rsid w:val="00AE1F22"/>
    <w:rsid w:val="00AE241E"/>
    <w:rsid w:val="00AE2451"/>
    <w:rsid w:val="00AE2F57"/>
    <w:rsid w:val="00AE3505"/>
    <w:rsid w:val="00AE73BE"/>
    <w:rsid w:val="00AF053B"/>
    <w:rsid w:val="00AF14C2"/>
    <w:rsid w:val="00AF15AE"/>
    <w:rsid w:val="00AF452E"/>
    <w:rsid w:val="00AF4EED"/>
    <w:rsid w:val="00AF5E23"/>
    <w:rsid w:val="00AF76C6"/>
    <w:rsid w:val="00B01809"/>
    <w:rsid w:val="00B01B4B"/>
    <w:rsid w:val="00B026C1"/>
    <w:rsid w:val="00B04A67"/>
    <w:rsid w:val="00B05325"/>
    <w:rsid w:val="00B076E3"/>
    <w:rsid w:val="00B076FE"/>
    <w:rsid w:val="00B1007F"/>
    <w:rsid w:val="00B12FCA"/>
    <w:rsid w:val="00B13087"/>
    <w:rsid w:val="00B13FC7"/>
    <w:rsid w:val="00B144C6"/>
    <w:rsid w:val="00B14D56"/>
    <w:rsid w:val="00B15397"/>
    <w:rsid w:val="00B1653D"/>
    <w:rsid w:val="00B21536"/>
    <w:rsid w:val="00B21773"/>
    <w:rsid w:val="00B229F3"/>
    <w:rsid w:val="00B23D96"/>
    <w:rsid w:val="00B240A6"/>
    <w:rsid w:val="00B249A5"/>
    <w:rsid w:val="00B24E32"/>
    <w:rsid w:val="00B26D8D"/>
    <w:rsid w:val="00B2750A"/>
    <w:rsid w:val="00B302F9"/>
    <w:rsid w:val="00B30DF1"/>
    <w:rsid w:val="00B32E86"/>
    <w:rsid w:val="00B33B1B"/>
    <w:rsid w:val="00B3479B"/>
    <w:rsid w:val="00B34800"/>
    <w:rsid w:val="00B34D94"/>
    <w:rsid w:val="00B34EAD"/>
    <w:rsid w:val="00B35265"/>
    <w:rsid w:val="00B35286"/>
    <w:rsid w:val="00B36FD3"/>
    <w:rsid w:val="00B37AAE"/>
    <w:rsid w:val="00B40534"/>
    <w:rsid w:val="00B4134E"/>
    <w:rsid w:val="00B433B8"/>
    <w:rsid w:val="00B441C2"/>
    <w:rsid w:val="00B4448E"/>
    <w:rsid w:val="00B445C8"/>
    <w:rsid w:val="00B45452"/>
    <w:rsid w:val="00B46140"/>
    <w:rsid w:val="00B46A84"/>
    <w:rsid w:val="00B46D16"/>
    <w:rsid w:val="00B47541"/>
    <w:rsid w:val="00B477CB"/>
    <w:rsid w:val="00B47866"/>
    <w:rsid w:val="00B50649"/>
    <w:rsid w:val="00B5132E"/>
    <w:rsid w:val="00B51CDD"/>
    <w:rsid w:val="00B52242"/>
    <w:rsid w:val="00B527E2"/>
    <w:rsid w:val="00B52A18"/>
    <w:rsid w:val="00B53452"/>
    <w:rsid w:val="00B53E76"/>
    <w:rsid w:val="00B55640"/>
    <w:rsid w:val="00B565BA"/>
    <w:rsid w:val="00B56D0C"/>
    <w:rsid w:val="00B60000"/>
    <w:rsid w:val="00B605DC"/>
    <w:rsid w:val="00B62FE8"/>
    <w:rsid w:val="00B63897"/>
    <w:rsid w:val="00B63C81"/>
    <w:rsid w:val="00B646BC"/>
    <w:rsid w:val="00B6494A"/>
    <w:rsid w:val="00B6597B"/>
    <w:rsid w:val="00B65A2E"/>
    <w:rsid w:val="00B663DE"/>
    <w:rsid w:val="00B678C6"/>
    <w:rsid w:val="00B7146C"/>
    <w:rsid w:val="00B7315A"/>
    <w:rsid w:val="00B75288"/>
    <w:rsid w:val="00B755E0"/>
    <w:rsid w:val="00B75F01"/>
    <w:rsid w:val="00B75FC1"/>
    <w:rsid w:val="00B76E3D"/>
    <w:rsid w:val="00B77B6D"/>
    <w:rsid w:val="00B8138B"/>
    <w:rsid w:val="00B831F7"/>
    <w:rsid w:val="00B8428A"/>
    <w:rsid w:val="00B86453"/>
    <w:rsid w:val="00B87391"/>
    <w:rsid w:val="00B87483"/>
    <w:rsid w:val="00B87DA7"/>
    <w:rsid w:val="00B903EF"/>
    <w:rsid w:val="00B92236"/>
    <w:rsid w:val="00B93872"/>
    <w:rsid w:val="00B9477D"/>
    <w:rsid w:val="00B9553F"/>
    <w:rsid w:val="00B96414"/>
    <w:rsid w:val="00BA0218"/>
    <w:rsid w:val="00BA199A"/>
    <w:rsid w:val="00BA22F6"/>
    <w:rsid w:val="00BA25C5"/>
    <w:rsid w:val="00BA2C98"/>
    <w:rsid w:val="00BA38F4"/>
    <w:rsid w:val="00BA3A91"/>
    <w:rsid w:val="00BA5E35"/>
    <w:rsid w:val="00BA767F"/>
    <w:rsid w:val="00BA7C87"/>
    <w:rsid w:val="00BA7EF0"/>
    <w:rsid w:val="00BB15F7"/>
    <w:rsid w:val="00BB2305"/>
    <w:rsid w:val="00BB2EBA"/>
    <w:rsid w:val="00BB579E"/>
    <w:rsid w:val="00BB6214"/>
    <w:rsid w:val="00BB7017"/>
    <w:rsid w:val="00BB7287"/>
    <w:rsid w:val="00BC0EB7"/>
    <w:rsid w:val="00BC21DC"/>
    <w:rsid w:val="00BC268A"/>
    <w:rsid w:val="00BC2D3F"/>
    <w:rsid w:val="00BC364E"/>
    <w:rsid w:val="00BC5571"/>
    <w:rsid w:val="00BC5B33"/>
    <w:rsid w:val="00BC5B7B"/>
    <w:rsid w:val="00BC5E05"/>
    <w:rsid w:val="00BC736A"/>
    <w:rsid w:val="00BC7667"/>
    <w:rsid w:val="00BC7E7A"/>
    <w:rsid w:val="00BD0D08"/>
    <w:rsid w:val="00BD1B0B"/>
    <w:rsid w:val="00BD320D"/>
    <w:rsid w:val="00BD3B12"/>
    <w:rsid w:val="00BD5A7D"/>
    <w:rsid w:val="00BD6D88"/>
    <w:rsid w:val="00BE0994"/>
    <w:rsid w:val="00BE0B0C"/>
    <w:rsid w:val="00BE1209"/>
    <w:rsid w:val="00BE2B62"/>
    <w:rsid w:val="00BE348C"/>
    <w:rsid w:val="00BE3954"/>
    <w:rsid w:val="00BE3A3A"/>
    <w:rsid w:val="00BE5F90"/>
    <w:rsid w:val="00BE73E3"/>
    <w:rsid w:val="00BF0BAF"/>
    <w:rsid w:val="00BF129A"/>
    <w:rsid w:val="00BF17FC"/>
    <w:rsid w:val="00BF2EC0"/>
    <w:rsid w:val="00BF3637"/>
    <w:rsid w:val="00BF3B13"/>
    <w:rsid w:val="00BF3D73"/>
    <w:rsid w:val="00BF449E"/>
    <w:rsid w:val="00BF4D66"/>
    <w:rsid w:val="00C00102"/>
    <w:rsid w:val="00C00157"/>
    <w:rsid w:val="00C0079E"/>
    <w:rsid w:val="00C00EBF"/>
    <w:rsid w:val="00C02006"/>
    <w:rsid w:val="00C0204F"/>
    <w:rsid w:val="00C0216A"/>
    <w:rsid w:val="00C03A82"/>
    <w:rsid w:val="00C04AF3"/>
    <w:rsid w:val="00C0526A"/>
    <w:rsid w:val="00C06692"/>
    <w:rsid w:val="00C06D9B"/>
    <w:rsid w:val="00C06F73"/>
    <w:rsid w:val="00C1099C"/>
    <w:rsid w:val="00C10EE4"/>
    <w:rsid w:val="00C11FFF"/>
    <w:rsid w:val="00C135FA"/>
    <w:rsid w:val="00C14ACC"/>
    <w:rsid w:val="00C1639D"/>
    <w:rsid w:val="00C1655B"/>
    <w:rsid w:val="00C17713"/>
    <w:rsid w:val="00C17F6E"/>
    <w:rsid w:val="00C200E3"/>
    <w:rsid w:val="00C2011F"/>
    <w:rsid w:val="00C20CC7"/>
    <w:rsid w:val="00C2142B"/>
    <w:rsid w:val="00C21F2F"/>
    <w:rsid w:val="00C2356B"/>
    <w:rsid w:val="00C23F1A"/>
    <w:rsid w:val="00C24F8C"/>
    <w:rsid w:val="00C25D98"/>
    <w:rsid w:val="00C26351"/>
    <w:rsid w:val="00C2753B"/>
    <w:rsid w:val="00C27732"/>
    <w:rsid w:val="00C27CE9"/>
    <w:rsid w:val="00C27D53"/>
    <w:rsid w:val="00C3001E"/>
    <w:rsid w:val="00C30E80"/>
    <w:rsid w:val="00C31574"/>
    <w:rsid w:val="00C3166F"/>
    <w:rsid w:val="00C3175F"/>
    <w:rsid w:val="00C31BE2"/>
    <w:rsid w:val="00C31D77"/>
    <w:rsid w:val="00C32B1F"/>
    <w:rsid w:val="00C33285"/>
    <w:rsid w:val="00C33FAE"/>
    <w:rsid w:val="00C3483C"/>
    <w:rsid w:val="00C34A9C"/>
    <w:rsid w:val="00C369E2"/>
    <w:rsid w:val="00C37067"/>
    <w:rsid w:val="00C3742B"/>
    <w:rsid w:val="00C3787B"/>
    <w:rsid w:val="00C4030F"/>
    <w:rsid w:val="00C4068A"/>
    <w:rsid w:val="00C414EB"/>
    <w:rsid w:val="00C41B85"/>
    <w:rsid w:val="00C427F1"/>
    <w:rsid w:val="00C43184"/>
    <w:rsid w:val="00C444FB"/>
    <w:rsid w:val="00C44BF2"/>
    <w:rsid w:val="00C45A7D"/>
    <w:rsid w:val="00C47A55"/>
    <w:rsid w:val="00C50110"/>
    <w:rsid w:val="00C505BC"/>
    <w:rsid w:val="00C51D5D"/>
    <w:rsid w:val="00C51EC4"/>
    <w:rsid w:val="00C53EF4"/>
    <w:rsid w:val="00C54F91"/>
    <w:rsid w:val="00C5553A"/>
    <w:rsid w:val="00C5681B"/>
    <w:rsid w:val="00C57A19"/>
    <w:rsid w:val="00C609F8"/>
    <w:rsid w:val="00C60FDA"/>
    <w:rsid w:val="00C619E3"/>
    <w:rsid w:val="00C61A48"/>
    <w:rsid w:val="00C61FEC"/>
    <w:rsid w:val="00C6498D"/>
    <w:rsid w:val="00C66DC9"/>
    <w:rsid w:val="00C671AA"/>
    <w:rsid w:val="00C671CB"/>
    <w:rsid w:val="00C67F3E"/>
    <w:rsid w:val="00C71081"/>
    <w:rsid w:val="00C71F2D"/>
    <w:rsid w:val="00C7276D"/>
    <w:rsid w:val="00C7465A"/>
    <w:rsid w:val="00C74B9A"/>
    <w:rsid w:val="00C75EC9"/>
    <w:rsid w:val="00C76606"/>
    <w:rsid w:val="00C768BF"/>
    <w:rsid w:val="00C76D86"/>
    <w:rsid w:val="00C770BF"/>
    <w:rsid w:val="00C771AD"/>
    <w:rsid w:val="00C772BC"/>
    <w:rsid w:val="00C77A8D"/>
    <w:rsid w:val="00C77B82"/>
    <w:rsid w:val="00C81136"/>
    <w:rsid w:val="00C81881"/>
    <w:rsid w:val="00C81CDE"/>
    <w:rsid w:val="00C82A6B"/>
    <w:rsid w:val="00C82BD0"/>
    <w:rsid w:val="00C8432E"/>
    <w:rsid w:val="00C84A30"/>
    <w:rsid w:val="00C84D48"/>
    <w:rsid w:val="00C84F3B"/>
    <w:rsid w:val="00C85915"/>
    <w:rsid w:val="00C8611D"/>
    <w:rsid w:val="00C864E8"/>
    <w:rsid w:val="00C876CA"/>
    <w:rsid w:val="00C9225D"/>
    <w:rsid w:val="00C927F6"/>
    <w:rsid w:val="00C92E27"/>
    <w:rsid w:val="00C937FF"/>
    <w:rsid w:val="00C9549D"/>
    <w:rsid w:val="00C96A47"/>
    <w:rsid w:val="00C96F0E"/>
    <w:rsid w:val="00C976E8"/>
    <w:rsid w:val="00CA09AB"/>
    <w:rsid w:val="00CA0B6D"/>
    <w:rsid w:val="00CA4239"/>
    <w:rsid w:val="00CA426C"/>
    <w:rsid w:val="00CA45BD"/>
    <w:rsid w:val="00CA4C80"/>
    <w:rsid w:val="00CA50A8"/>
    <w:rsid w:val="00CA5203"/>
    <w:rsid w:val="00CA6E44"/>
    <w:rsid w:val="00CA739E"/>
    <w:rsid w:val="00CA7C56"/>
    <w:rsid w:val="00CB24EE"/>
    <w:rsid w:val="00CB2CAD"/>
    <w:rsid w:val="00CB4252"/>
    <w:rsid w:val="00CB48C6"/>
    <w:rsid w:val="00CB4D69"/>
    <w:rsid w:val="00CB6446"/>
    <w:rsid w:val="00CC04C1"/>
    <w:rsid w:val="00CC0592"/>
    <w:rsid w:val="00CC0C2C"/>
    <w:rsid w:val="00CC11EB"/>
    <w:rsid w:val="00CC18E5"/>
    <w:rsid w:val="00CC1A58"/>
    <w:rsid w:val="00CC1D0C"/>
    <w:rsid w:val="00CC1D9F"/>
    <w:rsid w:val="00CC3EFA"/>
    <w:rsid w:val="00CC445A"/>
    <w:rsid w:val="00CC5FEE"/>
    <w:rsid w:val="00CC7323"/>
    <w:rsid w:val="00CD0026"/>
    <w:rsid w:val="00CD05C3"/>
    <w:rsid w:val="00CD0BC3"/>
    <w:rsid w:val="00CD16AB"/>
    <w:rsid w:val="00CD21FD"/>
    <w:rsid w:val="00CD2947"/>
    <w:rsid w:val="00CD37E5"/>
    <w:rsid w:val="00CD3E7E"/>
    <w:rsid w:val="00CD4177"/>
    <w:rsid w:val="00CD48A7"/>
    <w:rsid w:val="00CD5327"/>
    <w:rsid w:val="00CD584B"/>
    <w:rsid w:val="00CE0A09"/>
    <w:rsid w:val="00CE37D1"/>
    <w:rsid w:val="00CE41C2"/>
    <w:rsid w:val="00CE46E6"/>
    <w:rsid w:val="00CE50ED"/>
    <w:rsid w:val="00CE5E08"/>
    <w:rsid w:val="00CE5E4F"/>
    <w:rsid w:val="00CE5E6B"/>
    <w:rsid w:val="00CE68F9"/>
    <w:rsid w:val="00CE7251"/>
    <w:rsid w:val="00CF0619"/>
    <w:rsid w:val="00CF0C78"/>
    <w:rsid w:val="00CF16CD"/>
    <w:rsid w:val="00CF27A7"/>
    <w:rsid w:val="00CF317F"/>
    <w:rsid w:val="00CF3D55"/>
    <w:rsid w:val="00CF4EC5"/>
    <w:rsid w:val="00CF50DD"/>
    <w:rsid w:val="00CF5308"/>
    <w:rsid w:val="00CF60C9"/>
    <w:rsid w:val="00CF7A75"/>
    <w:rsid w:val="00CF7D0E"/>
    <w:rsid w:val="00D0046F"/>
    <w:rsid w:val="00D010D1"/>
    <w:rsid w:val="00D01CD1"/>
    <w:rsid w:val="00D01E04"/>
    <w:rsid w:val="00D02BCE"/>
    <w:rsid w:val="00D030F9"/>
    <w:rsid w:val="00D043E2"/>
    <w:rsid w:val="00D051C4"/>
    <w:rsid w:val="00D05B33"/>
    <w:rsid w:val="00D07444"/>
    <w:rsid w:val="00D1107A"/>
    <w:rsid w:val="00D117A1"/>
    <w:rsid w:val="00D12615"/>
    <w:rsid w:val="00D130DE"/>
    <w:rsid w:val="00D13269"/>
    <w:rsid w:val="00D14299"/>
    <w:rsid w:val="00D14AC5"/>
    <w:rsid w:val="00D1559A"/>
    <w:rsid w:val="00D1602A"/>
    <w:rsid w:val="00D1742D"/>
    <w:rsid w:val="00D17697"/>
    <w:rsid w:val="00D17BF6"/>
    <w:rsid w:val="00D20EF6"/>
    <w:rsid w:val="00D22DDF"/>
    <w:rsid w:val="00D244CB"/>
    <w:rsid w:val="00D2615C"/>
    <w:rsid w:val="00D26682"/>
    <w:rsid w:val="00D3051B"/>
    <w:rsid w:val="00D31A9E"/>
    <w:rsid w:val="00D32907"/>
    <w:rsid w:val="00D33773"/>
    <w:rsid w:val="00D33BC2"/>
    <w:rsid w:val="00D34AE9"/>
    <w:rsid w:val="00D354FF"/>
    <w:rsid w:val="00D3623B"/>
    <w:rsid w:val="00D372B8"/>
    <w:rsid w:val="00D41433"/>
    <w:rsid w:val="00D4193C"/>
    <w:rsid w:val="00D423F3"/>
    <w:rsid w:val="00D445DA"/>
    <w:rsid w:val="00D44926"/>
    <w:rsid w:val="00D449C1"/>
    <w:rsid w:val="00D45863"/>
    <w:rsid w:val="00D45F2B"/>
    <w:rsid w:val="00D46890"/>
    <w:rsid w:val="00D51FCB"/>
    <w:rsid w:val="00D53AA4"/>
    <w:rsid w:val="00D55289"/>
    <w:rsid w:val="00D55B03"/>
    <w:rsid w:val="00D55D1A"/>
    <w:rsid w:val="00D56B46"/>
    <w:rsid w:val="00D56FDF"/>
    <w:rsid w:val="00D57C8F"/>
    <w:rsid w:val="00D60260"/>
    <w:rsid w:val="00D60381"/>
    <w:rsid w:val="00D60866"/>
    <w:rsid w:val="00D60A17"/>
    <w:rsid w:val="00D60DBE"/>
    <w:rsid w:val="00D613A8"/>
    <w:rsid w:val="00D61A5C"/>
    <w:rsid w:val="00D61F7A"/>
    <w:rsid w:val="00D61FB1"/>
    <w:rsid w:val="00D6353A"/>
    <w:rsid w:val="00D63B05"/>
    <w:rsid w:val="00D63FAB"/>
    <w:rsid w:val="00D646F4"/>
    <w:rsid w:val="00D64D69"/>
    <w:rsid w:val="00D65865"/>
    <w:rsid w:val="00D658E2"/>
    <w:rsid w:val="00D66518"/>
    <w:rsid w:val="00D7443C"/>
    <w:rsid w:val="00D75873"/>
    <w:rsid w:val="00D77D8E"/>
    <w:rsid w:val="00D80533"/>
    <w:rsid w:val="00D80F2A"/>
    <w:rsid w:val="00D81CBB"/>
    <w:rsid w:val="00D830CF"/>
    <w:rsid w:val="00D8495B"/>
    <w:rsid w:val="00D85071"/>
    <w:rsid w:val="00D850DB"/>
    <w:rsid w:val="00D860AD"/>
    <w:rsid w:val="00D86FEE"/>
    <w:rsid w:val="00D8744E"/>
    <w:rsid w:val="00D87F7F"/>
    <w:rsid w:val="00D90449"/>
    <w:rsid w:val="00D915E1"/>
    <w:rsid w:val="00D92468"/>
    <w:rsid w:val="00D93318"/>
    <w:rsid w:val="00D957EA"/>
    <w:rsid w:val="00D96D48"/>
    <w:rsid w:val="00D97485"/>
    <w:rsid w:val="00D979B7"/>
    <w:rsid w:val="00D97EF0"/>
    <w:rsid w:val="00D97FA7"/>
    <w:rsid w:val="00DA06F2"/>
    <w:rsid w:val="00DA131E"/>
    <w:rsid w:val="00DA19CD"/>
    <w:rsid w:val="00DA4DD8"/>
    <w:rsid w:val="00DA5B44"/>
    <w:rsid w:val="00DA5B63"/>
    <w:rsid w:val="00DB054D"/>
    <w:rsid w:val="00DB32C5"/>
    <w:rsid w:val="00DB371A"/>
    <w:rsid w:val="00DB3DFD"/>
    <w:rsid w:val="00DB3F25"/>
    <w:rsid w:val="00DB4A69"/>
    <w:rsid w:val="00DB4DAE"/>
    <w:rsid w:val="00DC0E88"/>
    <w:rsid w:val="00DC225E"/>
    <w:rsid w:val="00DC2E87"/>
    <w:rsid w:val="00DC3753"/>
    <w:rsid w:val="00DC39BC"/>
    <w:rsid w:val="00DC4D45"/>
    <w:rsid w:val="00DD06DC"/>
    <w:rsid w:val="00DD0C3F"/>
    <w:rsid w:val="00DD1BCE"/>
    <w:rsid w:val="00DD262A"/>
    <w:rsid w:val="00DD2EB6"/>
    <w:rsid w:val="00DD3D80"/>
    <w:rsid w:val="00DD44A4"/>
    <w:rsid w:val="00DD5840"/>
    <w:rsid w:val="00DD74F8"/>
    <w:rsid w:val="00DD78A5"/>
    <w:rsid w:val="00DE0073"/>
    <w:rsid w:val="00DE0866"/>
    <w:rsid w:val="00DE0CCB"/>
    <w:rsid w:val="00DE34F8"/>
    <w:rsid w:val="00DE3AA7"/>
    <w:rsid w:val="00DE4182"/>
    <w:rsid w:val="00DE6FDE"/>
    <w:rsid w:val="00DF03F9"/>
    <w:rsid w:val="00DF16B5"/>
    <w:rsid w:val="00DF1AF4"/>
    <w:rsid w:val="00DF3405"/>
    <w:rsid w:val="00DF360D"/>
    <w:rsid w:val="00DF4D6B"/>
    <w:rsid w:val="00DF67D0"/>
    <w:rsid w:val="00DF74EC"/>
    <w:rsid w:val="00DF7784"/>
    <w:rsid w:val="00DF7B1C"/>
    <w:rsid w:val="00E00617"/>
    <w:rsid w:val="00E02060"/>
    <w:rsid w:val="00E04367"/>
    <w:rsid w:val="00E05ADE"/>
    <w:rsid w:val="00E05D52"/>
    <w:rsid w:val="00E05EC6"/>
    <w:rsid w:val="00E06122"/>
    <w:rsid w:val="00E06A1F"/>
    <w:rsid w:val="00E07DE6"/>
    <w:rsid w:val="00E11293"/>
    <w:rsid w:val="00E11434"/>
    <w:rsid w:val="00E128D6"/>
    <w:rsid w:val="00E153E1"/>
    <w:rsid w:val="00E15BB7"/>
    <w:rsid w:val="00E168CC"/>
    <w:rsid w:val="00E21CEA"/>
    <w:rsid w:val="00E21D73"/>
    <w:rsid w:val="00E21E5D"/>
    <w:rsid w:val="00E22AAE"/>
    <w:rsid w:val="00E22E29"/>
    <w:rsid w:val="00E24F70"/>
    <w:rsid w:val="00E263C9"/>
    <w:rsid w:val="00E26D10"/>
    <w:rsid w:val="00E27081"/>
    <w:rsid w:val="00E27084"/>
    <w:rsid w:val="00E27322"/>
    <w:rsid w:val="00E27759"/>
    <w:rsid w:val="00E32A2E"/>
    <w:rsid w:val="00E335B7"/>
    <w:rsid w:val="00E336B2"/>
    <w:rsid w:val="00E340F5"/>
    <w:rsid w:val="00E35192"/>
    <w:rsid w:val="00E353D5"/>
    <w:rsid w:val="00E35C04"/>
    <w:rsid w:val="00E37FC5"/>
    <w:rsid w:val="00E4011D"/>
    <w:rsid w:val="00E404B1"/>
    <w:rsid w:val="00E421D3"/>
    <w:rsid w:val="00E42577"/>
    <w:rsid w:val="00E42D00"/>
    <w:rsid w:val="00E42FFD"/>
    <w:rsid w:val="00E43134"/>
    <w:rsid w:val="00E44540"/>
    <w:rsid w:val="00E4638D"/>
    <w:rsid w:val="00E46C14"/>
    <w:rsid w:val="00E47C35"/>
    <w:rsid w:val="00E50711"/>
    <w:rsid w:val="00E50B41"/>
    <w:rsid w:val="00E50D5D"/>
    <w:rsid w:val="00E511BB"/>
    <w:rsid w:val="00E51751"/>
    <w:rsid w:val="00E51989"/>
    <w:rsid w:val="00E51F3D"/>
    <w:rsid w:val="00E520C2"/>
    <w:rsid w:val="00E523AE"/>
    <w:rsid w:val="00E5284A"/>
    <w:rsid w:val="00E52D26"/>
    <w:rsid w:val="00E5686F"/>
    <w:rsid w:val="00E6014A"/>
    <w:rsid w:val="00E60B75"/>
    <w:rsid w:val="00E6359C"/>
    <w:rsid w:val="00E63BD9"/>
    <w:rsid w:val="00E64E6B"/>
    <w:rsid w:val="00E65617"/>
    <w:rsid w:val="00E6581C"/>
    <w:rsid w:val="00E65932"/>
    <w:rsid w:val="00E65938"/>
    <w:rsid w:val="00E6770F"/>
    <w:rsid w:val="00E70077"/>
    <w:rsid w:val="00E729BC"/>
    <w:rsid w:val="00E73B38"/>
    <w:rsid w:val="00E75BA8"/>
    <w:rsid w:val="00E77858"/>
    <w:rsid w:val="00E77CCD"/>
    <w:rsid w:val="00E80BF0"/>
    <w:rsid w:val="00E81505"/>
    <w:rsid w:val="00E81936"/>
    <w:rsid w:val="00E81FD2"/>
    <w:rsid w:val="00E82553"/>
    <w:rsid w:val="00E84B4F"/>
    <w:rsid w:val="00E84C64"/>
    <w:rsid w:val="00E84C93"/>
    <w:rsid w:val="00E85020"/>
    <w:rsid w:val="00E86264"/>
    <w:rsid w:val="00E86449"/>
    <w:rsid w:val="00E8671E"/>
    <w:rsid w:val="00E8693A"/>
    <w:rsid w:val="00E86FE0"/>
    <w:rsid w:val="00E87859"/>
    <w:rsid w:val="00E879EB"/>
    <w:rsid w:val="00E935DE"/>
    <w:rsid w:val="00E93B67"/>
    <w:rsid w:val="00E93E97"/>
    <w:rsid w:val="00E94A23"/>
    <w:rsid w:val="00E95055"/>
    <w:rsid w:val="00E95E57"/>
    <w:rsid w:val="00E96E8D"/>
    <w:rsid w:val="00E97DD0"/>
    <w:rsid w:val="00EA0135"/>
    <w:rsid w:val="00EA03AE"/>
    <w:rsid w:val="00EA0D29"/>
    <w:rsid w:val="00EA1F83"/>
    <w:rsid w:val="00EA42F7"/>
    <w:rsid w:val="00EA43FD"/>
    <w:rsid w:val="00EA4423"/>
    <w:rsid w:val="00EA4D27"/>
    <w:rsid w:val="00EA5474"/>
    <w:rsid w:val="00EA54E7"/>
    <w:rsid w:val="00EA5BAC"/>
    <w:rsid w:val="00EB0D0C"/>
    <w:rsid w:val="00EB16B9"/>
    <w:rsid w:val="00EB1F30"/>
    <w:rsid w:val="00EB2811"/>
    <w:rsid w:val="00EB33A2"/>
    <w:rsid w:val="00EB3FFE"/>
    <w:rsid w:val="00EB4E86"/>
    <w:rsid w:val="00EB4F6D"/>
    <w:rsid w:val="00EB5758"/>
    <w:rsid w:val="00EB69C7"/>
    <w:rsid w:val="00EB7D37"/>
    <w:rsid w:val="00EB7D56"/>
    <w:rsid w:val="00EC3154"/>
    <w:rsid w:val="00EC355A"/>
    <w:rsid w:val="00EC4CE0"/>
    <w:rsid w:val="00EC7A09"/>
    <w:rsid w:val="00EC7A64"/>
    <w:rsid w:val="00ED06B1"/>
    <w:rsid w:val="00ED2132"/>
    <w:rsid w:val="00ED2EA6"/>
    <w:rsid w:val="00ED345A"/>
    <w:rsid w:val="00ED3EBA"/>
    <w:rsid w:val="00ED6255"/>
    <w:rsid w:val="00ED6630"/>
    <w:rsid w:val="00EE27D6"/>
    <w:rsid w:val="00EE30C9"/>
    <w:rsid w:val="00EE758D"/>
    <w:rsid w:val="00EE7EF6"/>
    <w:rsid w:val="00EF0BB2"/>
    <w:rsid w:val="00EF13F4"/>
    <w:rsid w:val="00EF16C9"/>
    <w:rsid w:val="00EF2210"/>
    <w:rsid w:val="00EF2816"/>
    <w:rsid w:val="00EF2C51"/>
    <w:rsid w:val="00EF3867"/>
    <w:rsid w:val="00EF41E7"/>
    <w:rsid w:val="00EF52BF"/>
    <w:rsid w:val="00EF7CED"/>
    <w:rsid w:val="00F00DF3"/>
    <w:rsid w:val="00F01554"/>
    <w:rsid w:val="00F01928"/>
    <w:rsid w:val="00F026C1"/>
    <w:rsid w:val="00F02A4A"/>
    <w:rsid w:val="00F06832"/>
    <w:rsid w:val="00F1030E"/>
    <w:rsid w:val="00F10479"/>
    <w:rsid w:val="00F10B27"/>
    <w:rsid w:val="00F12408"/>
    <w:rsid w:val="00F13789"/>
    <w:rsid w:val="00F137E0"/>
    <w:rsid w:val="00F143B1"/>
    <w:rsid w:val="00F14B6B"/>
    <w:rsid w:val="00F15444"/>
    <w:rsid w:val="00F15D1E"/>
    <w:rsid w:val="00F16683"/>
    <w:rsid w:val="00F16A25"/>
    <w:rsid w:val="00F16EAC"/>
    <w:rsid w:val="00F17B70"/>
    <w:rsid w:val="00F23AE4"/>
    <w:rsid w:val="00F24082"/>
    <w:rsid w:val="00F2418F"/>
    <w:rsid w:val="00F24D61"/>
    <w:rsid w:val="00F25CE0"/>
    <w:rsid w:val="00F279DE"/>
    <w:rsid w:val="00F3140F"/>
    <w:rsid w:val="00F31426"/>
    <w:rsid w:val="00F32BD0"/>
    <w:rsid w:val="00F33E2A"/>
    <w:rsid w:val="00F34578"/>
    <w:rsid w:val="00F34852"/>
    <w:rsid w:val="00F3611B"/>
    <w:rsid w:val="00F36BDD"/>
    <w:rsid w:val="00F40328"/>
    <w:rsid w:val="00F40A41"/>
    <w:rsid w:val="00F40E00"/>
    <w:rsid w:val="00F418EF"/>
    <w:rsid w:val="00F420FE"/>
    <w:rsid w:val="00F421E0"/>
    <w:rsid w:val="00F424DC"/>
    <w:rsid w:val="00F42CB1"/>
    <w:rsid w:val="00F42D73"/>
    <w:rsid w:val="00F44AA0"/>
    <w:rsid w:val="00F4560D"/>
    <w:rsid w:val="00F464A7"/>
    <w:rsid w:val="00F50056"/>
    <w:rsid w:val="00F50D9B"/>
    <w:rsid w:val="00F50DCE"/>
    <w:rsid w:val="00F51ED7"/>
    <w:rsid w:val="00F543AE"/>
    <w:rsid w:val="00F55FBF"/>
    <w:rsid w:val="00F5612C"/>
    <w:rsid w:val="00F57F46"/>
    <w:rsid w:val="00F57F94"/>
    <w:rsid w:val="00F60A5F"/>
    <w:rsid w:val="00F60AF1"/>
    <w:rsid w:val="00F61BBC"/>
    <w:rsid w:val="00F61DAC"/>
    <w:rsid w:val="00F6260C"/>
    <w:rsid w:val="00F63335"/>
    <w:rsid w:val="00F637B6"/>
    <w:rsid w:val="00F669A7"/>
    <w:rsid w:val="00F66BC1"/>
    <w:rsid w:val="00F6786A"/>
    <w:rsid w:val="00F70AC2"/>
    <w:rsid w:val="00F71E2D"/>
    <w:rsid w:val="00F72587"/>
    <w:rsid w:val="00F73F2F"/>
    <w:rsid w:val="00F7561C"/>
    <w:rsid w:val="00F76DD3"/>
    <w:rsid w:val="00F76E44"/>
    <w:rsid w:val="00F76FA8"/>
    <w:rsid w:val="00F77438"/>
    <w:rsid w:val="00F81072"/>
    <w:rsid w:val="00F829A0"/>
    <w:rsid w:val="00F85B3D"/>
    <w:rsid w:val="00F861C8"/>
    <w:rsid w:val="00F8631C"/>
    <w:rsid w:val="00F8664C"/>
    <w:rsid w:val="00F86F26"/>
    <w:rsid w:val="00F8793D"/>
    <w:rsid w:val="00F90CE2"/>
    <w:rsid w:val="00F90DBF"/>
    <w:rsid w:val="00F9138E"/>
    <w:rsid w:val="00F91B2A"/>
    <w:rsid w:val="00F9384D"/>
    <w:rsid w:val="00F949E2"/>
    <w:rsid w:val="00F94C78"/>
    <w:rsid w:val="00F96420"/>
    <w:rsid w:val="00F975B0"/>
    <w:rsid w:val="00FA0446"/>
    <w:rsid w:val="00FA24CA"/>
    <w:rsid w:val="00FA3941"/>
    <w:rsid w:val="00FA5181"/>
    <w:rsid w:val="00FA5801"/>
    <w:rsid w:val="00FA5F18"/>
    <w:rsid w:val="00FA6E24"/>
    <w:rsid w:val="00FB02A5"/>
    <w:rsid w:val="00FB0657"/>
    <w:rsid w:val="00FB212F"/>
    <w:rsid w:val="00FB2D66"/>
    <w:rsid w:val="00FB2DC5"/>
    <w:rsid w:val="00FB3258"/>
    <w:rsid w:val="00FB419E"/>
    <w:rsid w:val="00FB46CF"/>
    <w:rsid w:val="00FB526B"/>
    <w:rsid w:val="00FB586F"/>
    <w:rsid w:val="00FB61FC"/>
    <w:rsid w:val="00FB6F5F"/>
    <w:rsid w:val="00FC0B8B"/>
    <w:rsid w:val="00FC0E4D"/>
    <w:rsid w:val="00FC1D95"/>
    <w:rsid w:val="00FC25D5"/>
    <w:rsid w:val="00FC343E"/>
    <w:rsid w:val="00FC388F"/>
    <w:rsid w:val="00FC3E90"/>
    <w:rsid w:val="00FC3F90"/>
    <w:rsid w:val="00FC477E"/>
    <w:rsid w:val="00FC5CAC"/>
    <w:rsid w:val="00FC6BAA"/>
    <w:rsid w:val="00FC77C0"/>
    <w:rsid w:val="00FD01AC"/>
    <w:rsid w:val="00FD021E"/>
    <w:rsid w:val="00FD188F"/>
    <w:rsid w:val="00FD28EC"/>
    <w:rsid w:val="00FD5857"/>
    <w:rsid w:val="00FD596B"/>
    <w:rsid w:val="00FD5E17"/>
    <w:rsid w:val="00FD7460"/>
    <w:rsid w:val="00FD77B4"/>
    <w:rsid w:val="00FE00A9"/>
    <w:rsid w:val="00FE0990"/>
    <w:rsid w:val="00FE12E3"/>
    <w:rsid w:val="00FE1699"/>
    <w:rsid w:val="00FE17F6"/>
    <w:rsid w:val="00FE2162"/>
    <w:rsid w:val="00FE32FF"/>
    <w:rsid w:val="00FE3FDE"/>
    <w:rsid w:val="00FE52A9"/>
    <w:rsid w:val="00FE7F46"/>
    <w:rsid w:val="00FF00F9"/>
    <w:rsid w:val="00FF0C04"/>
    <w:rsid w:val="00FF1410"/>
    <w:rsid w:val="00FF15A4"/>
    <w:rsid w:val="00FF1A8F"/>
    <w:rsid w:val="00FF1AC1"/>
    <w:rsid w:val="00FF2210"/>
    <w:rsid w:val="00FF40CB"/>
    <w:rsid w:val="00FF4420"/>
    <w:rsid w:val="00FF4ABD"/>
    <w:rsid w:val="00FF4B4B"/>
    <w:rsid w:val="00FF588F"/>
    <w:rsid w:val="00FF5953"/>
    <w:rsid w:val="00FF5999"/>
    <w:rsid w:val="00FF68B8"/>
    <w:rsid w:val="00FF6C84"/>
    <w:rsid w:val="00FF6CF1"/>
    <w:rsid w:val="00FF6DAC"/>
    <w:rsid w:val="00FF70AE"/>
    <w:rsid w:val="00FF73FE"/>
    <w:rsid w:val="00FF7A0A"/>
    <w:rsid w:val="00FF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B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F08"/>
    <w:pPr>
      <w:spacing w:after="120" w:line="240" w:lineRule="auto"/>
    </w:pPr>
    <w:rPr>
      <w:rFonts w:ascii="Times New Roman" w:hAnsi="Times New Roman"/>
      <w:sz w:val="24"/>
    </w:rPr>
  </w:style>
  <w:style w:type="paragraph" w:styleId="Heading1">
    <w:name w:val="heading 1"/>
    <w:aliases w:val="Title Indo"/>
    <w:basedOn w:val="Normal"/>
    <w:next w:val="Normal"/>
    <w:link w:val="Heading1Char"/>
    <w:uiPriority w:val="9"/>
    <w:qFormat/>
    <w:rsid w:val="00FC6BAA"/>
    <w:pPr>
      <w:keepNext/>
      <w:keepLines/>
      <w:spacing w:before="240" w:after="0"/>
      <w:outlineLvl w:val="0"/>
    </w:pPr>
    <w:rPr>
      <w:rFonts w:eastAsiaTheme="majorEastAsia"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FC6BAA"/>
    <w:pPr>
      <w:keepNext/>
      <w:keepLines/>
      <w:spacing w:before="40" w:after="0"/>
      <w:outlineLvl w:val="1"/>
    </w:pPr>
    <w:rPr>
      <w:rFonts w:eastAsiaTheme="majorEastAsia" w:cstheme="majorBidi"/>
      <w:b/>
      <w:color w:val="2E74B5" w:themeColor="accent1" w:themeShade="BF"/>
      <w:sz w:val="26"/>
      <w:szCs w:val="26"/>
    </w:rPr>
  </w:style>
  <w:style w:type="paragraph" w:styleId="Heading3">
    <w:name w:val="heading 3"/>
    <w:aliases w:val="bericht3"/>
    <w:basedOn w:val="Normal"/>
    <w:next w:val="Normal"/>
    <w:link w:val="Heading3Char"/>
    <w:unhideWhenUsed/>
    <w:qFormat/>
    <w:rsid w:val="00FC6BAA"/>
    <w:pPr>
      <w:numPr>
        <w:ilvl w:val="2"/>
        <w:numId w:val="1"/>
      </w:numPr>
      <w:spacing w:before="240"/>
      <w:ind w:left="1418" w:hanging="578"/>
      <w:jc w:val="both"/>
      <w:outlineLvl w:val="2"/>
    </w:pPr>
    <w:rPr>
      <w:rFonts w:eastAsia="Times New Roman" w:cstheme="majorBidi"/>
      <w:b/>
      <w:color w:val="2E74B5" w:themeColor="accent1" w:themeShade="BF"/>
      <w:szCs w:val="20"/>
      <w:lang w:val="en-GB"/>
    </w:rPr>
  </w:style>
  <w:style w:type="paragraph" w:styleId="Heading4">
    <w:name w:val="heading 4"/>
    <w:basedOn w:val="Normal"/>
    <w:next w:val="Normal"/>
    <w:link w:val="Heading4Char"/>
    <w:uiPriority w:val="9"/>
    <w:unhideWhenUsed/>
    <w:qFormat/>
    <w:rsid w:val="00F6333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ListParagraph"/>
    <w:next w:val="Normal"/>
    <w:link w:val="Heading5Char"/>
    <w:uiPriority w:val="9"/>
    <w:unhideWhenUsed/>
    <w:qFormat/>
    <w:rsid w:val="00F63335"/>
    <w:pPr>
      <w:spacing w:before="120"/>
      <w:ind w:left="0"/>
      <w:jc w:val="both"/>
      <w:outlineLvl w:val="4"/>
    </w:pPr>
    <w:rPr>
      <w:rFonts w:ascii="Calibri" w:eastAsia="Times New Roman" w:hAnsi="Calibri" w:cs="Arial"/>
      <w:b/>
      <w:color w:val="000000" w:themeColor="text1"/>
      <w:sz w:val="22"/>
      <w:lang w:val="sr-Cyrl-RS"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ericht3 Char"/>
    <w:basedOn w:val="DefaultParagraphFont"/>
    <w:link w:val="Heading3"/>
    <w:rsid w:val="00FC6BAA"/>
    <w:rPr>
      <w:rFonts w:ascii="Times New Roman" w:eastAsia="Times New Roman" w:hAnsi="Times New Roman" w:cstheme="majorBidi"/>
      <w:b/>
      <w:color w:val="2E74B5" w:themeColor="accent1" w:themeShade="BF"/>
      <w:sz w:val="24"/>
      <w:szCs w:val="20"/>
      <w:lang w:val="en-GB"/>
    </w:rPr>
  </w:style>
  <w:style w:type="paragraph" w:customStyle="1" w:styleId="Default">
    <w:name w:val="Default"/>
    <w:rsid w:val="00672F0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aliases w:val="Title Indo Char"/>
    <w:basedOn w:val="DefaultParagraphFont"/>
    <w:link w:val="Heading1"/>
    <w:uiPriority w:val="9"/>
    <w:rsid w:val="00FC6BAA"/>
    <w:rPr>
      <w:rFonts w:ascii="Times New Roman" w:eastAsiaTheme="majorEastAsia" w:hAnsi="Times New Roman" w:cstheme="majorBidi"/>
      <w:b/>
      <w:color w:val="2E74B5" w:themeColor="accent1" w:themeShade="BF"/>
      <w:sz w:val="32"/>
      <w:szCs w:val="32"/>
    </w:rPr>
  </w:style>
  <w:style w:type="paragraph" w:styleId="TOCHeading">
    <w:name w:val="TOC Heading"/>
    <w:basedOn w:val="Heading1"/>
    <w:next w:val="Normal"/>
    <w:uiPriority w:val="39"/>
    <w:unhideWhenUsed/>
    <w:qFormat/>
    <w:rsid w:val="00672F08"/>
    <w:pPr>
      <w:outlineLvl w:val="9"/>
    </w:pPr>
  </w:style>
  <w:style w:type="paragraph" w:styleId="TOC1">
    <w:name w:val="toc 1"/>
    <w:basedOn w:val="Normal"/>
    <w:next w:val="Normal"/>
    <w:autoRedefine/>
    <w:uiPriority w:val="39"/>
    <w:unhideWhenUsed/>
    <w:qFormat/>
    <w:rsid w:val="0042575E"/>
    <w:pPr>
      <w:tabs>
        <w:tab w:val="left" w:pos="440"/>
        <w:tab w:val="left" w:pos="9360"/>
      </w:tabs>
      <w:spacing w:after="100"/>
      <w:jc w:val="both"/>
    </w:pPr>
  </w:style>
  <w:style w:type="paragraph" w:styleId="TOC2">
    <w:name w:val="toc 2"/>
    <w:basedOn w:val="Normal"/>
    <w:next w:val="Normal"/>
    <w:autoRedefine/>
    <w:uiPriority w:val="39"/>
    <w:unhideWhenUsed/>
    <w:qFormat/>
    <w:rsid w:val="008033D0"/>
    <w:pPr>
      <w:tabs>
        <w:tab w:val="left" w:pos="1134"/>
        <w:tab w:val="right" w:pos="9350"/>
      </w:tabs>
      <w:spacing w:after="100"/>
      <w:ind w:left="220"/>
    </w:pPr>
  </w:style>
  <w:style w:type="paragraph" w:styleId="TOC3">
    <w:name w:val="toc 3"/>
    <w:basedOn w:val="Normal"/>
    <w:next w:val="Normal"/>
    <w:autoRedefine/>
    <w:uiPriority w:val="39"/>
    <w:unhideWhenUsed/>
    <w:qFormat/>
    <w:rsid w:val="00A17462"/>
    <w:pPr>
      <w:tabs>
        <w:tab w:val="left" w:pos="1320"/>
        <w:tab w:val="right" w:leader="dot" w:pos="9360"/>
      </w:tabs>
      <w:spacing w:after="100"/>
      <w:ind w:left="440"/>
    </w:pPr>
    <w:rPr>
      <w:rFonts w:eastAsia="Arial" w:cs="Times New Roman"/>
      <w:noProof/>
      <w:szCs w:val="24"/>
      <w:lang w:val="sr-Cyrl-CS"/>
    </w:rPr>
  </w:style>
  <w:style w:type="character" w:styleId="Hyperlink">
    <w:name w:val="Hyperlink"/>
    <w:basedOn w:val="DefaultParagraphFont"/>
    <w:uiPriority w:val="99"/>
    <w:unhideWhenUsed/>
    <w:rsid w:val="00672F08"/>
    <w:rPr>
      <w:color w:val="0563C1" w:themeColor="hyperlink"/>
      <w:u w:val="single"/>
    </w:rPr>
  </w:style>
  <w:style w:type="paragraph" w:customStyle="1" w:styleId="basic-paragraph">
    <w:name w:val="basic-paragraph"/>
    <w:basedOn w:val="Normal"/>
    <w:qFormat/>
    <w:rsid w:val="00FC6BAA"/>
    <w:pPr>
      <w:spacing w:before="100" w:beforeAutospacing="1" w:after="100" w:afterAutospacing="1"/>
    </w:pPr>
    <w:rPr>
      <w:rFonts w:eastAsia="Times New Roman" w:cs="Times New Roman"/>
      <w:szCs w:val="24"/>
    </w:rPr>
  </w:style>
  <w:style w:type="character" w:customStyle="1" w:styleId="Heading2Char">
    <w:name w:val="Heading 2 Char"/>
    <w:basedOn w:val="DefaultParagraphFont"/>
    <w:link w:val="Heading2"/>
    <w:uiPriority w:val="9"/>
    <w:rsid w:val="00FC6BAA"/>
    <w:rPr>
      <w:rFonts w:ascii="Times New Roman" w:eastAsiaTheme="majorEastAsia" w:hAnsi="Times New Roman" w:cstheme="majorBidi"/>
      <w:b/>
      <w:color w:val="2E74B5" w:themeColor="accent1" w:themeShade="BF"/>
      <w:sz w:val="26"/>
      <w:szCs w:val="26"/>
    </w:rPr>
  </w:style>
  <w:style w:type="paragraph" w:styleId="ListParagraph">
    <w:name w:val="List Paragraph"/>
    <w:aliases w:val="Style Bullet,Numbered Para 1,Dot pt,No Spacing1,List Paragraph Char Char Char,Indicator Text,Bullet Points,Bullet 1,MAIN CONTENT,List Paragraph12,F5 List Paragraph,OBC Bullet,Colorful List - Accent 11,Normal numbered,List_Paragraph,6,lp1"/>
    <w:basedOn w:val="Normal"/>
    <w:link w:val="ListParagraphChar"/>
    <w:uiPriority w:val="99"/>
    <w:qFormat/>
    <w:rsid w:val="00FC6BAA"/>
    <w:pPr>
      <w:ind w:left="720"/>
      <w:contextualSpacing/>
    </w:pPr>
  </w:style>
  <w:style w:type="paragraph" w:styleId="BodyText">
    <w:name w:val="Body Text"/>
    <w:aliases w:val="Body Text Char1,Body Text Char Char,Body Text Char1 Char2 Char,Body Text Char Char Char2 Char,Body Text Char2 Char Char Char Char,Body Text Char Char1 Char Char1 Char Char,bt Char1 Char Char Char1 Char Char"/>
    <w:basedOn w:val="Normal"/>
    <w:link w:val="BodyTextChar"/>
    <w:unhideWhenUsed/>
    <w:rsid w:val="00FC6BAA"/>
    <w:pPr>
      <w:spacing w:line="262" w:lineRule="exact"/>
      <w:jc w:val="both"/>
    </w:pPr>
    <w:rPr>
      <w:rFonts w:ascii="Arial" w:eastAsia="Times New Roman" w:hAnsi="Arial" w:cs="Times New Roman"/>
      <w:sz w:val="20"/>
      <w:szCs w:val="20"/>
      <w:lang w:val="uz-Cyrl-UZ" w:eastAsia="de-DE"/>
    </w:rPr>
  </w:style>
  <w:style w:type="character" w:customStyle="1" w:styleId="BodyTextChar">
    <w:name w:val="Body Text Char"/>
    <w:aliases w:val="Body Text Char1 Char,Body Text Char Char Char,Body Text Char1 Char2 Char Char,Body Text Char Char Char2 Char Char,Body Text Char2 Char Char Char Char Char,Body Text Char Char1 Char Char1 Char Char Char"/>
    <w:basedOn w:val="DefaultParagraphFont"/>
    <w:link w:val="BodyText"/>
    <w:rsid w:val="00FC6BAA"/>
    <w:rPr>
      <w:rFonts w:ascii="Arial" w:eastAsia="Times New Roman" w:hAnsi="Arial" w:cs="Times New Roman"/>
      <w:sz w:val="20"/>
      <w:szCs w:val="20"/>
      <w:lang w:val="uz-Cyrl-UZ" w:eastAsia="de-DE"/>
    </w:rPr>
  </w:style>
  <w:style w:type="character" w:customStyle="1" w:styleId="ListParagraphChar">
    <w:name w:val="List Paragraph Char"/>
    <w:aliases w:val="Style Bullet Char,Numbered Para 1 Char,Dot pt Char,No Spacing1 Char,List Paragraph Char Char Char Char,Indicator Text Char,Bullet Points Char,Bullet 1 Char,MAIN CONTENT Char,List Paragraph12 Char,F5 List Paragraph Char,6 Char"/>
    <w:basedOn w:val="DefaultParagraphFont"/>
    <w:link w:val="ListParagraph"/>
    <w:uiPriority w:val="99"/>
    <w:qFormat/>
    <w:locked/>
    <w:rsid w:val="00FC6BAA"/>
    <w:rPr>
      <w:rFonts w:ascii="Times New Roman" w:hAnsi="Times New Roman"/>
      <w:sz w:val="24"/>
    </w:rPr>
  </w:style>
  <w:style w:type="table" w:customStyle="1" w:styleId="Tabellenraster1">
    <w:name w:val="Tabellenraster1"/>
    <w:basedOn w:val="TableNormal"/>
    <w:next w:val="TableGrid"/>
    <w:uiPriority w:val="59"/>
    <w:rsid w:val="00FC6BAA"/>
    <w:pPr>
      <w:spacing w:after="0" w:line="240" w:lineRule="auto"/>
    </w:pPr>
    <w:rPr>
      <w:rFonts w:ascii="Tms Rmn" w:eastAsia="Times New Roman" w:hAnsi="Tms Rmn" w:cs="Times New Roman"/>
      <w:sz w:val="20"/>
      <w:szCs w:val="20"/>
      <w:lang w:val="de-A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ti">
    <w:name w:val="doc-ti"/>
    <w:basedOn w:val="Normal"/>
    <w:rsid w:val="00FC6BAA"/>
    <w:pPr>
      <w:spacing w:before="100" w:beforeAutospacing="1" w:after="100" w:afterAutospacing="1"/>
    </w:pPr>
    <w:rPr>
      <w:rFonts w:eastAsia="Times New Roman" w:cs="Times New Roman"/>
      <w:szCs w:val="24"/>
    </w:rPr>
  </w:style>
  <w:style w:type="table" w:styleId="TableGrid">
    <w:name w:val="Table Grid"/>
    <w:basedOn w:val="TableNormal"/>
    <w:uiPriority w:val="39"/>
    <w:rsid w:val="00FC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5617"/>
    <w:pPr>
      <w:tabs>
        <w:tab w:val="center" w:pos="4513"/>
        <w:tab w:val="right" w:pos="9026"/>
      </w:tabs>
      <w:spacing w:before="120" w:after="0"/>
    </w:pPr>
    <w:rPr>
      <w:rFonts w:asciiTheme="minorHAnsi" w:hAnsiTheme="minorHAnsi"/>
      <w:sz w:val="22"/>
      <w:lang w:val="sr-Cyrl-RS"/>
    </w:rPr>
  </w:style>
  <w:style w:type="character" w:customStyle="1" w:styleId="HeaderChar">
    <w:name w:val="Header Char"/>
    <w:basedOn w:val="DefaultParagraphFont"/>
    <w:link w:val="Header"/>
    <w:uiPriority w:val="99"/>
    <w:rsid w:val="00E65617"/>
    <w:rPr>
      <w:lang w:val="sr-Cyrl-RS"/>
    </w:rPr>
  </w:style>
  <w:style w:type="paragraph" w:styleId="FootnoteText">
    <w:name w:val="footnote text"/>
    <w:aliases w:val="single space,ft,Footnote Text Char Char Char Char,Footnote Text Char Char Char,Footnote Text Char Char,footnote text,ft Char Char Char,ft Char Char,Fußnote,FOOTNOTES,fn,F1,Geneva 9,Boston 1,Footnote Text Char2,ADB,Fußnotentextf,Car Car,f,A"/>
    <w:basedOn w:val="Normal"/>
    <w:link w:val="FootnoteTextChar"/>
    <w:unhideWhenUsed/>
    <w:qFormat/>
    <w:rsid w:val="00E65617"/>
    <w:pPr>
      <w:spacing w:after="0"/>
      <w:jc w:val="both"/>
    </w:pPr>
    <w:rPr>
      <w:rFonts w:ascii="Calibri" w:eastAsia="Times New Roman" w:hAnsi="Calibri" w:cs="Arial"/>
      <w:bCs/>
      <w:sz w:val="20"/>
      <w:szCs w:val="20"/>
      <w:lang w:val="sr-Cyrl-RS" w:eastAsia="de-AT"/>
    </w:rPr>
  </w:style>
  <w:style w:type="character" w:customStyle="1" w:styleId="FootnoteTextChar">
    <w:name w:val="Footnote Text Char"/>
    <w:aliases w:val="single space Char,ft Char,Footnote Text Char Char Char Char Char,Footnote Text Char Char Char Char1,Footnote Text Char Char Char1,footnote text Char,ft Char Char Char Char,ft Char Char Char1,Fußnote Char,FOOTNOTES Char,fn Char,F1 Char"/>
    <w:basedOn w:val="DefaultParagraphFont"/>
    <w:link w:val="FootnoteText"/>
    <w:qFormat/>
    <w:rsid w:val="00E65617"/>
    <w:rPr>
      <w:rFonts w:ascii="Calibri" w:eastAsia="Times New Roman" w:hAnsi="Calibri" w:cs="Arial"/>
      <w:bCs/>
      <w:sz w:val="20"/>
      <w:szCs w:val="20"/>
      <w:lang w:val="sr-Cyrl-RS" w:eastAsia="de-AT"/>
    </w:rPr>
  </w:style>
  <w:style w:type="character" w:styleId="FootnoteReference">
    <w:name w:val="footnote reference"/>
    <w:aliases w:val="16 Point,Superscript 6 Point,Superscript 6 Point + 11 pt,number,SUPERS,Footnote Reference Superscript,-E Fuﬂnotenzeichen,-E Fuûnotenzeichen,-E Fußnotenzeichen,EN Footnote Reference,Footnote number,stylish,Footnote symbol,note TESI"/>
    <w:basedOn w:val="DefaultParagraphFont"/>
    <w:link w:val="BVIfnrChar"/>
    <w:uiPriority w:val="99"/>
    <w:unhideWhenUsed/>
    <w:qFormat/>
    <w:rsid w:val="00E65617"/>
    <w:rPr>
      <w:vertAlign w:val="superscript"/>
    </w:rPr>
  </w:style>
  <w:style w:type="paragraph" w:customStyle="1" w:styleId="BVIfnrChar">
    <w:name w:val="BVI fnr Char"/>
    <w:aliases w:val="Footnotes refss Char,ftref Char,16 Point Char,Superscript 6 Point Char,Footnote Reference Number Char,nota pié di pagina Char,Times 10 Point Char, Exposant 3 Point Char,Footnote symbol Char,Footnote reference number Char"/>
    <w:basedOn w:val="Normal"/>
    <w:link w:val="FootnoteReference"/>
    <w:uiPriority w:val="99"/>
    <w:rsid w:val="00E65617"/>
    <w:pPr>
      <w:spacing w:after="160" w:line="240" w:lineRule="exact"/>
    </w:pPr>
    <w:rPr>
      <w:rFonts w:asciiTheme="minorHAnsi" w:hAnsiTheme="minorHAnsi"/>
      <w:sz w:val="22"/>
      <w:vertAlign w:val="superscript"/>
    </w:rPr>
  </w:style>
  <w:style w:type="paragraph" w:styleId="NormalWeb">
    <w:name w:val="Normal (Web)"/>
    <w:basedOn w:val="Normal"/>
    <w:uiPriority w:val="99"/>
    <w:rsid w:val="00122A64"/>
    <w:pPr>
      <w:spacing w:before="100" w:beforeAutospacing="1" w:after="100" w:afterAutospacing="1"/>
    </w:pPr>
    <w:rPr>
      <w:rFonts w:eastAsia="Times New Roman" w:cs="Times New Roman"/>
      <w:szCs w:val="24"/>
    </w:rPr>
  </w:style>
  <w:style w:type="paragraph" w:styleId="Caption">
    <w:name w:val="caption"/>
    <w:aliases w:val="Table,Annotation_for_Figures,Annotation,Char Char Char,Char Char Char Char Char Char Char Char Char Char Char Char Char Char Char,Char Char Char Char Char Char Char Char Char Char Char Char Char Char Char Ch,~Caption,PPBeschriftung,Char,Legend"/>
    <w:basedOn w:val="Normal"/>
    <w:next w:val="Normal"/>
    <w:link w:val="CaptionChar"/>
    <w:autoRedefine/>
    <w:unhideWhenUsed/>
    <w:qFormat/>
    <w:rsid w:val="00280669"/>
    <w:pPr>
      <w:spacing w:after="0"/>
      <w:jc w:val="both"/>
    </w:pPr>
    <w:rPr>
      <w:rFonts w:eastAsia="Times New Roman" w:cs="Times New Roman"/>
      <w:bCs/>
      <w:iCs/>
      <w:szCs w:val="24"/>
      <w:lang w:val="sr-Cyrl-RS" w:eastAsia="de-AT"/>
    </w:rPr>
  </w:style>
  <w:style w:type="character" w:customStyle="1" w:styleId="CaptionChar">
    <w:name w:val="Caption Char"/>
    <w:aliases w:val="Table Char,Annotation_for_Figures Char,Annotation Char,Char Char Char Char,Char Char Char Char Char Char Char Char Char Char Char Char Char Char Char Char,Char Char Char Char Char Char Char Char Char Char Char Char Char Char Char Ch Char"/>
    <w:basedOn w:val="DefaultParagraphFont"/>
    <w:link w:val="Caption"/>
    <w:rsid w:val="00280669"/>
    <w:rPr>
      <w:rFonts w:ascii="Times New Roman" w:eastAsia="Times New Roman" w:hAnsi="Times New Roman" w:cs="Times New Roman"/>
      <w:bCs/>
      <w:iCs/>
      <w:sz w:val="24"/>
      <w:szCs w:val="24"/>
      <w:lang w:val="sr-Cyrl-RS" w:eastAsia="de-AT"/>
    </w:rPr>
  </w:style>
  <w:style w:type="character" w:customStyle="1" w:styleId="Heading4Char">
    <w:name w:val="Heading 4 Char"/>
    <w:basedOn w:val="DefaultParagraphFont"/>
    <w:link w:val="Heading4"/>
    <w:uiPriority w:val="9"/>
    <w:rsid w:val="00F63335"/>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rsid w:val="00F63335"/>
    <w:rPr>
      <w:rFonts w:ascii="Calibri" w:eastAsia="Times New Roman" w:hAnsi="Calibri" w:cs="Arial"/>
      <w:b/>
      <w:color w:val="000000" w:themeColor="text1"/>
      <w:lang w:val="sr-Cyrl-RS" w:eastAsia="de-AT"/>
    </w:rPr>
  </w:style>
  <w:style w:type="table" w:customStyle="1" w:styleId="TableNormal1">
    <w:name w:val="Table Normal1"/>
    <w:uiPriority w:val="2"/>
    <w:semiHidden/>
    <w:unhideWhenUsed/>
    <w:qFormat/>
    <w:rsid w:val="00F63335"/>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Figure">
    <w:name w:val="Figure"/>
    <w:basedOn w:val="Caption"/>
    <w:link w:val="FigureChar"/>
    <w:autoRedefine/>
    <w:qFormat/>
    <w:rsid w:val="00736A5C"/>
    <w:pPr>
      <w:jc w:val="left"/>
    </w:pPr>
    <w:rPr>
      <w:b/>
      <w:bCs w:val="0"/>
      <w:iCs w:val="0"/>
    </w:rPr>
  </w:style>
  <w:style w:type="character" w:customStyle="1" w:styleId="FigureChar">
    <w:name w:val="Figure Char"/>
    <w:basedOn w:val="CaptionChar"/>
    <w:link w:val="Figure"/>
    <w:rsid w:val="00736A5C"/>
    <w:rPr>
      <w:rFonts w:ascii="Times New Roman" w:eastAsia="Times New Roman" w:hAnsi="Times New Roman" w:cs="Times New Roman"/>
      <w:b/>
      <w:bCs w:val="0"/>
      <w:iCs w:val="0"/>
      <w:sz w:val="24"/>
      <w:szCs w:val="24"/>
      <w:lang w:val="sr-Cyrl-RS" w:eastAsia="de-AT"/>
    </w:rPr>
  </w:style>
  <w:style w:type="paragraph" w:customStyle="1" w:styleId="Normal1">
    <w:name w:val="Normal1"/>
    <w:rsid w:val="006E7EA4"/>
    <w:pPr>
      <w:spacing w:after="200" w:line="240" w:lineRule="auto"/>
    </w:pPr>
    <w:rPr>
      <w:rFonts w:ascii="Calibri" w:eastAsia="Calibri" w:hAnsi="Calibri" w:cs="Calibri"/>
    </w:rPr>
  </w:style>
  <w:style w:type="paragraph" w:customStyle="1" w:styleId="a0">
    <w:name w:val="_текст"/>
    <w:basedOn w:val="Normal"/>
    <w:qFormat/>
    <w:rsid w:val="006E7EA4"/>
    <w:pPr>
      <w:spacing w:after="0"/>
      <w:ind w:firstLine="284"/>
      <w:jc w:val="both"/>
    </w:pPr>
    <w:rPr>
      <w:rFonts w:eastAsia="Calibri" w:cs="Times New Roman"/>
    </w:rPr>
  </w:style>
  <w:style w:type="paragraph" w:customStyle="1" w:styleId="potpis">
    <w:name w:val="potpis"/>
    <w:basedOn w:val="Normal"/>
    <w:rsid w:val="008374D4"/>
    <w:pPr>
      <w:spacing w:before="100" w:beforeAutospacing="1" w:after="100" w:afterAutospacing="1"/>
    </w:pPr>
    <w:rPr>
      <w:rFonts w:eastAsia="Times New Roman" w:cs="Times New Roman"/>
      <w:szCs w:val="24"/>
      <w:lang w:val="en-GB" w:eastAsia="en-GB"/>
    </w:rPr>
  </w:style>
  <w:style w:type="character" w:customStyle="1" w:styleId="bold">
    <w:name w:val="bold"/>
    <w:basedOn w:val="DefaultParagraphFont"/>
    <w:rsid w:val="008374D4"/>
  </w:style>
  <w:style w:type="paragraph" w:styleId="Footer">
    <w:name w:val="footer"/>
    <w:basedOn w:val="Normal"/>
    <w:link w:val="FooterChar"/>
    <w:uiPriority w:val="99"/>
    <w:unhideWhenUsed/>
    <w:rsid w:val="00AC6D4C"/>
    <w:pPr>
      <w:tabs>
        <w:tab w:val="center" w:pos="4680"/>
        <w:tab w:val="right" w:pos="9360"/>
      </w:tabs>
      <w:spacing w:after="0"/>
    </w:pPr>
  </w:style>
  <w:style w:type="character" w:customStyle="1" w:styleId="FooterChar">
    <w:name w:val="Footer Char"/>
    <w:basedOn w:val="DefaultParagraphFont"/>
    <w:link w:val="Footer"/>
    <w:uiPriority w:val="99"/>
    <w:rsid w:val="00AC6D4C"/>
    <w:rPr>
      <w:rFonts w:ascii="Times New Roman" w:hAnsi="Times New Roman"/>
      <w:sz w:val="24"/>
    </w:rPr>
  </w:style>
  <w:style w:type="table" w:customStyle="1" w:styleId="TableGrid9">
    <w:name w:val="Table Grid9"/>
    <w:basedOn w:val="TableNormal"/>
    <w:next w:val="TableGrid"/>
    <w:uiPriority w:val="39"/>
    <w:rsid w:val="002A0A23"/>
    <w:pPr>
      <w:spacing w:after="0" w:line="240" w:lineRule="auto"/>
    </w:pPr>
    <w:rPr>
      <w:rFonts w:ascii="Calibri" w:eastAsia="Calibri" w:hAnsi="Calibri" w:cs="Times New Roman"/>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06414"/>
    <w:rPr>
      <w:color w:val="605E5C"/>
      <w:shd w:val="clear" w:color="auto" w:fill="E1DFDD"/>
    </w:rPr>
  </w:style>
  <w:style w:type="paragraph" w:styleId="TOC4">
    <w:name w:val="toc 4"/>
    <w:basedOn w:val="Normal"/>
    <w:next w:val="Normal"/>
    <w:autoRedefine/>
    <w:uiPriority w:val="39"/>
    <w:unhideWhenUsed/>
    <w:rsid w:val="00406414"/>
    <w:pPr>
      <w:spacing w:before="120" w:after="100"/>
      <w:ind w:left="1134" w:hanging="1134"/>
      <w:jc w:val="both"/>
    </w:pPr>
    <w:rPr>
      <w:rFonts w:ascii="Calibri" w:eastAsia="Times New Roman" w:hAnsi="Calibri" w:cs="Arial"/>
      <w:bCs/>
      <w:sz w:val="22"/>
      <w:lang w:val="sr-Cyrl-RS" w:eastAsia="de-AT"/>
    </w:rPr>
  </w:style>
  <w:style w:type="paragraph" w:styleId="TOC5">
    <w:name w:val="toc 5"/>
    <w:basedOn w:val="Normal"/>
    <w:next w:val="Normal"/>
    <w:autoRedefine/>
    <w:uiPriority w:val="39"/>
    <w:unhideWhenUsed/>
    <w:rsid w:val="00406414"/>
    <w:pPr>
      <w:spacing w:before="120" w:after="100"/>
      <w:ind w:left="1134" w:hanging="1134"/>
      <w:jc w:val="both"/>
    </w:pPr>
    <w:rPr>
      <w:rFonts w:ascii="Calibri" w:eastAsia="Times New Roman" w:hAnsi="Calibri" w:cs="Arial"/>
      <w:bCs/>
      <w:sz w:val="22"/>
      <w:lang w:val="sr-Cyrl-RS" w:eastAsia="de-AT"/>
    </w:rPr>
  </w:style>
  <w:style w:type="paragraph" w:styleId="Title">
    <w:name w:val="Title"/>
    <w:basedOn w:val="Normal"/>
    <w:next w:val="Normal"/>
    <w:link w:val="TitleChar"/>
    <w:qFormat/>
    <w:rsid w:val="00406414"/>
    <w:pPr>
      <w:spacing w:before="120" w:after="0"/>
      <w:contextualSpacing/>
      <w:jc w:val="center"/>
    </w:pPr>
    <w:rPr>
      <w:rFonts w:asciiTheme="minorHAnsi" w:eastAsiaTheme="majorEastAsia" w:hAnsiTheme="minorHAnsi" w:cstheme="minorHAnsi"/>
      <w:bCs/>
      <w:spacing w:val="-10"/>
      <w:kern w:val="28"/>
      <w:sz w:val="32"/>
      <w:szCs w:val="32"/>
      <w:lang w:val="sr-Cyrl-RS" w:eastAsia="de-AT" w:bidi="en-US"/>
    </w:rPr>
  </w:style>
  <w:style w:type="character" w:customStyle="1" w:styleId="TitleChar">
    <w:name w:val="Title Char"/>
    <w:basedOn w:val="DefaultParagraphFont"/>
    <w:link w:val="Title"/>
    <w:rsid w:val="00406414"/>
    <w:rPr>
      <w:rFonts w:eastAsiaTheme="majorEastAsia" w:cstheme="minorHAnsi"/>
      <w:bCs/>
      <w:spacing w:val="-10"/>
      <w:kern w:val="28"/>
      <w:sz w:val="32"/>
      <w:szCs w:val="32"/>
      <w:lang w:val="sr-Cyrl-RS" w:eastAsia="de-AT" w:bidi="en-US"/>
    </w:rPr>
  </w:style>
  <w:style w:type="paragraph" w:styleId="Subtitle">
    <w:name w:val="Subtitle"/>
    <w:basedOn w:val="Normal"/>
    <w:next w:val="Normal"/>
    <w:link w:val="SubtitleChar"/>
    <w:uiPriority w:val="11"/>
    <w:qFormat/>
    <w:rsid w:val="00406414"/>
    <w:pPr>
      <w:spacing w:before="120"/>
      <w:jc w:val="center"/>
    </w:pPr>
    <w:rPr>
      <w:rFonts w:ascii="Calibri" w:eastAsia="Times New Roman" w:hAnsi="Calibri" w:cs="Arial"/>
      <w:b/>
      <w:bCs/>
      <w:sz w:val="32"/>
      <w:szCs w:val="24"/>
      <w:lang w:val="sr-Cyrl-RS" w:eastAsia="x-none" w:bidi="en-US"/>
    </w:rPr>
  </w:style>
  <w:style w:type="character" w:customStyle="1" w:styleId="SubtitleChar">
    <w:name w:val="Subtitle Char"/>
    <w:basedOn w:val="DefaultParagraphFont"/>
    <w:link w:val="Subtitle"/>
    <w:uiPriority w:val="11"/>
    <w:rsid w:val="00406414"/>
    <w:rPr>
      <w:rFonts w:ascii="Calibri" w:eastAsia="Times New Roman" w:hAnsi="Calibri" w:cs="Arial"/>
      <w:b/>
      <w:bCs/>
      <w:sz w:val="32"/>
      <w:szCs w:val="24"/>
      <w:lang w:val="sr-Cyrl-RS" w:eastAsia="x-none" w:bidi="en-US"/>
    </w:rPr>
  </w:style>
  <w:style w:type="character" w:styleId="SubtleEmphasis">
    <w:name w:val="Subtle Emphasis"/>
    <w:aliases w:val="Report Title"/>
    <w:basedOn w:val="DefaultParagraphFont"/>
    <w:uiPriority w:val="19"/>
    <w:qFormat/>
    <w:rsid w:val="00406414"/>
    <w:rPr>
      <w:rFonts w:ascii="Calibri" w:hAnsi="Calibri" w:cs="Arial"/>
      <w:smallCaps/>
      <w:color w:val="1F4E79" w:themeColor="accent1" w:themeShade="80"/>
      <w:szCs w:val="28"/>
      <w:lang w:eastAsia="de-AT"/>
    </w:rPr>
  </w:style>
  <w:style w:type="paragraph" w:customStyle="1" w:styleId="TableParagraph">
    <w:name w:val="Table Paragraph"/>
    <w:basedOn w:val="Normal"/>
    <w:uiPriority w:val="1"/>
    <w:qFormat/>
    <w:rsid w:val="00406414"/>
    <w:pPr>
      <w:widowControl w:val="0"/>
      <w:spacing w:before="120"/>
    </w:pPr>
    <w:rPr>
      <w:rFonts w:asciiTheme="minorHAnsi" w:hAnsiTheme="minorHAnsi"/>
      <w:sz w:val="22"/>
    </w:rPr>
  </w:style>
  <w:style w:type="paragraph" w:styleId="TableofFigures">
    <w:name w:val="table of figures"/>
    <w:basedOn w:val="Normal"/>
    <w:next w:val="Normal"/>
    <w:uiPriority w:val="99"/>
    <w:unhideWhenUsed/>
    <w:rsid w:val="00406414"/>
    <w:pPr>
      <w:spacing w:before="120" w:after="0"/>
      <w:jc w:val="both"/>
    </w:pPr>
    <w:rPr>
      <w:rFonts w:ascii="Calibri" w:eastAsia="Times New Roman" w:hAnsi="Calibri" w:cs="Arial"/>
      <w:bCs/>
      <w:color w:val="002060"/>
      <w:sz w:val="20"/>
      <w:lang w:val="sr-Cyrl-RS" w:eastAsia="de-AT"/>
    </w:rPr>
  </w:style>
  <w:style w:type="paragraph" w:styleId="EndnoteText">
    <w:name w:val="endnote text"/>
    <w:basedOn w:val="Normal"/>
    <w:link w:val="EndnoteTextChar"/>
    <w:uiPriority w:val="99"/>
    <w:semiHidden/>
    <w:unhideWhenUsed/>
    <w:rsid w:val="00406414"/>
    <w:pPr>
      <w:spacing w:after="0"/>
      <w:jc w:val="both"/>
    </w:pPr>
    <w:rPr>
      <w:rFonts w:ascii="Calibri" w:eastAsia="Times New Roman" w:hAnsi="Calibri" w:cs="Arial"/>
      <w:bCs/>
      <w:sz w:val="20"/>
      <w:szCs w:val="20"/>
      <w:lang w:val="sr-Cyrl-RS" w:eastAsia="de-AT"/>
    </w:rPr>
  </w:style>
  <w:style w:type="character" w:customStyle="1" w:styleId="EndnoteTextChar">
    <w:name w:val="Endnote Text Char"/>
    <w:basedOn w:val="DefaultParagraphFont"/>
    <w:link w:val="EndnoteText"/>
    <w:uiPriority w:val="99"/>
    <w:semiHidden/>
    <w:rsid w:val="00406414"/>
    <w:rPr>
      <w:rFonts w:ascii="Calibri" w:eastAsia="Times New Roman" w:hAnsi="Calibri" w:cs="Arial"/>
      <w:bCs/>
      <w:sz w:val="20"/>
      <w:szCs w:val="20"/>
      <w:lang w:val="sr-Cyrl-RS" w:eastAsia="de-AT"/>
    </w:rPr>
  </w:style>
  <w:style w:type="character" w:styleId="EndnoteReference">
    <w:name w:val="endnote reference"/>
    <w:basedOn w:val="DefaultParagraphFont"/>
    <w:uiPriority w:val="99"/>
    <w:semiHidden/>
    <w:unhideWhenUsed/>
    <w:rsid w:val="00406414"/>
    <w:rPr>
      <w:vertAlign w:val="superscript"/>
    </w:rPr>
  </w:style>
  <w:style w:type="table" w:customStyle="1" w:styleId="TableGrid1">
    <w:name w:val="Table Grid1"/>
    <w:basedOn w:val="TableNormal"/>
    <w:next w:val="TableGrid"/>
    <w:uiPriority w:val="39"/>
    <w:rsid w:val="00406414"/>
    <w:pPr>
      <w:spacing w:after="0" w:line="240" w:lineRule="auto"/>
    </w:pPr>
    <w:rPr>
      <w:rFonts w:ascii="Times New Roman" w:eastAsia="Calibri" w:hAnsi="Times New Roman" w:cs="Times New Roman"/>
      <w:sz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406414"/>
    <w:rPr>
      <w:b/>
      <w:bCs/>
      <w:smallCaps/>
      <w:color w:val="5B9BD5" w:themeColor="accent1"/>
      <w:spacing w:val="5"/>
    </w:rPr>
  </w:style>
  <w:style w:type="character" w:styleId="PlaceholderText">
    <w:name w:val="Placeholder Text"/>
    <w:basedOn w:val="DefaultParagraphFont"/>
    <w:uiPriority w:val="99"/>
    <w:semiHidden/>
    <w:rsid w:val="00406414"/>
    <w:rPr>
      <w:color w:val="808080"/>
    </w:rPr>
  </w:style>
  <w:style w:type="paragraph" w:customStyle="1" w:styleId="gmail-m779855214237077301msolistparagraph">
    <w:name w:val="gmail-m_779855214237077301msolistparagraph"/>
    <w:basedOn w:val="Normal"/>
    <w:rsid w:val="00406414"/>
    <w:pPr>
      <w:spacing w:before="100" w:beforeAutospacing="1" w:after="100" w:afterAutospacing="1"/>
    </w:pPr>
    <w:rPr>
      <w:rFonts w:ascii="Calibri" w:eastAsia="Calibri" w:hAnsi="Calibri" w:cs="Calibri"/>
      <w:sz w:val="22"/>
      <w:lang w:val="sr-Cyrl-RS" w:eastAsia="en-GB"/>
    </w:rPr>
  </w:style>
  <w:style w:type="paragraph" w:styleId="TOC6">
    <w:name w:val="toc 6"/>
    <w:basedOn w:val="Normal"/>
    <w:next w:val="Normal"/>
    <w:autoRedefine/>
    <w:uiPriority w:val="39"/>
    <w:unhideWhenUsed/>
    <w:rsid w:val="00406414"/>
    <w:pPr>
      <w:spacing w:after="100" w:line="259" w:lineRule="auto"/>
      <w:ind w:left="1100"/>
    </w:pPr>
    <w:rPr>
      <w:rFonts w:asciiTheme="minorHAnsi" w:eastAsiaTheme="minorEastAsia" w:hAnsiTheme="minorHAnsi"/>
      <w:sz w:val="22"/>
      <w:lang w:val="sr-Cyrl-RS" w:eastAsia="en-GB"/>
    </w:rPr>
  </w:style>
  <w:style w:type="paragraph" w:styleId="TOC7">
    <w:name w:val="toc 7"/>
    <w:basedOn w:val="Normal"/>
    <w:next w:val="Normal"/>
    <w:autoRedefine/>
    <w:uiPriority w:val="39"/>
    <w:unhideWhenUsed/>
    <w:rsid w:val="00406414"/>
    <w:pPr>
      <w:spacing w:after="100" w:line="259" w:lineRule="auto"/>
      <w:ind w:left="1320"/>
    </w:pPr>
    <w:rPr>
      <w:rFonts w:asciiTheme="minorHAnsi" w:eastAsiaTheme="minorEastAsia" w:hAnsiTheme="minorHAnsi"/>
      <w:sz w:val="22"/>
      <w:lang w:val="sr-Cyrl-RS" w:eastAsia="en-GB"/>
    </w:rPr>
  </w:style>
  <w:style w:type="paragraph" w:styleId="TOC8">
    <w:name w:val="toc 8"/>
    <w:basedOn w:val="Normal"/>
    <w:next w:val="Normal"/>
    <w:autoRedefine/>
    <w:uiPriority w:val="39"/>
    <w:unhideWhenUsed/>
    <w:rsid w:val="00406414"/>
    <w:pPr>
      <w:spacing w:after="100" w:line="259" w:lineRule="auto"/>
      <w:ind w:left="1540"/>
    </w:pPr>
    <w:rPr>
      <w:rFonts w:asciiTheme="minorHAnsi" w:eastAsiaTheme="minorEastAsia" w:hAnsiTheme="minorHAnsi"/>
      <w:sz w:val="22"/>
      <w:lang w:val="sr-Cyrl-RS" w:eastAsia="en-GB"/>
    </w:rPr>
  </w:style>
  <w:style w:type="paragraph" w:styleId="TOC9">
    <w:name w:val="toc 9"/>
    <w:basedOn w:val="Normal"/>
    <w:next w:val="Normal"/>
    <w:autoRedefine/>
    <w:uiPriority w:val="39"/>
    <w:unhideWhenUsed/>
    <w:rsid w:val="00406414"/>
    <w:pPr>
      <w:spacing w:after="100" w:line="259" w:lineRule="auto"/>
      <w:ind w:left="1760"/>
    </w:pPr>
    <w:rPr>
      <w:rFonts w:asciiTheme="minorHAnsi" w:eastAsiaTheme="minorEastAsia" w:hAnsiTheme="minorHAnsi"/>
      <w:sz w:val="22"/>
      <w:lang w:val="sr-Cyrl-RS" w:eastAsia="en-GB"/>
    </w:rPr>
  </w:style>
  <w:style w:type="paragraph" w:styleId="BalloonText">
    <w:name w:val="Balloon Text"/>
    <w:basedOn w:val="Normal"/>
    <w:link w:val="BalloonTextChar"/>
    <w:uiPriority w:val="99"/>
    <w:semiHidden/>
    <w:unhideWhenUsed/>
    <w:rsid w:val="00406414"/>
    <w:pPr>
      <w:spacing w:after="0"/>
      <w:jc w:val="both"/>
    </w:pPr>
    <w:rPr>
      <w:rFonts w:ascii="Segoe UI" w:eastAsia="Times New Roman" w:hAnsi="Segoe UI" w:cs="Segoe UI"/>
      <w:bCs/>
      <w:sz w:val="18"/>
      <w:szCs w:val="18"/>
      <w:lang w:val="sr-Cyrl-RS" w:eastAsia="de-AT"/>
    </w:rPr>
  </w:style>
  <w:style w:type="character" w:customStyle="1" w:styleId="BalloonTextChar">
    <w:name w:val="Balloon Text Char"/>
    <w:basedOn w:val="DefaultParagraphFont"/>
    <w:link w:val="BalloonText"/>
    <w:uiPriority w:val="99"/>
    <w:semiHidden/>
    <w:rsid w:val="00406414"/>
    <w:rPr>
      <w:rFonts w:ascii="Segoe UI" w:eastAsia="Times New Roman" w:hAnsi="Segoe UI" w:cs="Segoe UI"/>
      <w:bCs/>
      <w:sz w:val="18"/>
      <w:szCs w:val="18"/>
      <w:lang w:val="sr-Cyrl-RS" w:eastAsia="de-AT"/>
    </w:rPr>
  </w:style>
  <w:style w:type="numbering" w:customStyle="1" w:styleId="Formatvorlage71">
    <w:name w:val="Formatvorlage71"/>
    <w:basedOn w:val="NoList"/>
    <w:uiPriority w:val="99"/>
    <w:rsid w:val="00406414"/>
    <w:pPr>
      <w:numPr>
        <w:numId w:val="11"/>
      </w:numPr>
    </w:pPr>
  </w:style>
  <w:style w:type="table" w:styleId="LightGrid-Accent1">
    <w:name w:val="Light Grid Accent 1"/>
    <w:basedOn w:val="TableNormal"/>
    <w:uiPriority w:val="62"/>
    <w:rsid w:val="00406414"/>
    <w:pPr>
      <w:spacing w:after="0" w:line="240" w:lineRule="auto"/>
    </w:pPr>
    <w:rPr>
      <w:rFonts w:ascii="Calibri" w:eastAsia="Times New Roman" w:hAnsi="Calibri" w:cs="Times New Roman"/>
      <w:sz w:val="20"/>
      <w:szCs w:val="20"/>
      <w:lang w:val="de-AT" w:eastAsia="de-A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styleId="CommentReference">
    <w:name w:val="annotation reference"/>
    <w:basedOn w:val="DefaultParagraphFont"/>
    <w:uiPriority w:val="99"/>
    <w:semiHidden/>
    <w:unhideWhenUsed/>
    <w:rsid w:val="00406414"/>
    <w:rPr>
      <w:sz w:val="16"/>
      <w:szCs w:val="16"/>
    </w:rPr>
  </w:style>
  <w:style w:type="paragraph" w:styleId="CommentText">
    <w:name w:val="annotation text"/>
    <w:basedOn w:val="Normal"/>
    <w:link w:val="CommentTextChar"/>
    <w:uiPriority w:val="99"/>
    <w:unhideWhenUsed/>
    <w:rsid w:val="00406414"/>
    <w:pPr>
      <w:spacing w:before="120"/>
      <w:jc w:val="both"/>
    </w:pPr>
    <w:rPr>
      <w:rFonts w:ascii="Calibri" w:eastAsia="Times New Roman" w:hAnsi="Calibri" w:cs="Arial"/>
      <w:bCs/>
      <w:sz w:val="20"/>
      <w:szCs w:val="20"/>
      <w:lang w:val="sr-Cyrl-RS" w:eastAsia="de-AT"/>
    </w:rPr>
  </w:style>
  <w:style w:type="character" w:customStyle="1" w:styleId="CommentTextChar">
    <w:name w:val="Comment Text Char"/>
    <w:basedOn w:val="DefaultParagraphFont"/>
    <w:link w:val="CommentText"/>
    <w:uiPriority w:val="99"/>
    <w:rsid w:val="00406414"/>
    <w:rPr>
      <w:rFonts w:ascii="Calibri" w:eastAsia="Times New Roman" w:hAnsi="Calibri" w:cs="Arial"/>
      <w:bCs/>
      <w:sz w:val="20"/>
      <w:szCs w:val="20"/>
      <w:lang w:val="sr-Cyrl-RS" w:eastAsia="de-AT"/>
    </w:rPr>
  </w:style>
  <w:style w:type="paragraph" w:styleId="CommentSubject">
    <w:name w:val="annotation subject"/>
    <w:basedOn w:val="CommentText"/>
    <w:next w:val="CommentText"/>
    <w:link w:val="CommentSubjectChar"/>
    <w:uiPriority w:val="99"/>
    <w:semiHidden/>
    <w:unhideWhenUsed/>
    <w:rsid w:val="00406414"/>
    <w:rPr>
      <w:b/>
    </w:rPr>
  </w:style>
  <w:style w:type="character" w:customStyle="1" w:styleId="CommentSubjectChar">
    <w:name w:val="Comment Subject Char"/>
    <w:basedOn w:val="CommentTextChar"/>
    <w:link w:val="CommentSubject"/>
    <w:uiPriority w:val="99"/>
    <w:semiHidden/>
    <w:rsid w:val="00406414"/>
    <w:rPr>
      <w:rFonts w:ascii="Calibri" w:eastAsia="Times New Roman" w:hAnsi="Calibri" w:cs="Arial"/>
      <w:b/>
      <w:bCs/>
      <w:sz w:val="20"/>
      <w:szCs w:val="20"/>
      <w:lang w:val="sr-Cyrl-RS" w:eastAsia="de-AT"/>
    </w:rPr>
  </w:style>
  <w:style w:type="paragraph" w:customStyle="1" w:styleId="ANormal">
    <w:name w:val="A Normal"/>
    <w:basedOn w:val="Normal"/>
    <w:link w:val="ANormalChar"/>
    <w:qFormat/>
    <w:rsid w:val="00406414"/>
    <w:pPr>
      <w:spacing w:before="180" w:after="0" w:line="288" w:lineRule="auto"/>
      <w:jc w:val="both"/>
    </w:pPr>
    <w:rPr>
      <w:rFonts w:ascii="Calibri" w:eastAsia="Times New Roman" w:hAnsi="Calibri" w:cs="Arial"/>
      <w:bCs/>
      <w:sz w:val="22"/>
      <w:lang w:val="sr-Cyrl-RS" w:eastAsia="de-AT"/>
    </w:rPr>
  </w:style>
  <w:style w:type="character" w:customStyle="1" w:styleId="ANormalChar">
    <w:name w:val="A Normal Char"/>
    <w:link w:val="ANormal"/>
    <w:rsid w:val="00406414"/>
    <w:rPr>
      <w:rFonts w:ascii="Calibri" w:eastAsia="Times New Roman" w:hAnsi="Calibri" w:cs="Arial"/>
      <w:bCs/>
      <w:lang w:val="sr-Cyrl-RS" w:eastAsia="de-AT"/>
    </w:rPr>
  </w:style>
  <w:style w:type="character" w:styleId="FollowedHyperlink">
    <w:name w:val="FollowedHyperlink"/>
    <w:basedOn w:val="DefaultParagraphFont"/>
    <w:uiPriority w:val="99"/>
    <w:semiHidden/>
    <w:unhideWhenUsed/>
    <w:rsid w:val="00406414"/>
    <w:rPr>
      <w:color w:val="800080"/>
      <w:u w:val="single"/>
    </w:rPr>
  </w:style>
  <w:style w:type="paragraph" w:customStyle="1" w:styleId="xl63">
    <w:name w:val="xl63"/>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64">
    <w:name w:val="xl64"/>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65">
    <w:name w:val="xl65"/>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rPr>
  </w:style>
  <w:style w:type="paragraph" w:customStyle="1" w:styleId="xl66">
    <w:name w:val="xl66"/>
    <w:basedOn w:val="Normal"/>
    <w:rsid w:val="00406414"/>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rFonts w:eastAsia="Times New Roman" w:cs="Times New Roman"/>
      <w:b/>
      <w:bCs/>
      <w:color w:val="FFFFFF"/>
      <w:szCs w:val="24"/>
      <w:lang w:val="de-DE" w:eastAsia="de-DE"/>
    </w:rPr>
  </w:style>
  <w:style w:type="paragraph" w:customStyle="1" w:styleId="xl67">
    <w:name w:val="xl67"/>
    <w:basedOn w:val="Normal"/>
    <w:rsid w:val="00406414"/>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rFonts w:eastAsia="Times New Roman" w:cs="Times New Roman"/>
      <w:b/>
      <w:bCs/>
      <w:color w:val="FFFFFF"/>
      <w:szCs w:val="24"/>
      <w:lang w:val="de-DE" w:eastAsia="de-DE"/>
    </w:rPr>
  </w:style>
  <w:style w:type="paragraph" w:customStyle="1" w:styleId="xl68">
    <w:name w:val="xl68"/>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val="de-DE" w:eastAsia="de-DE"/>
    </w:rPr>
  </w:style>
  <w:style w:type="paragraph" w:customStyle="1" w:styleId="xl69">
    <w:name w:val="xl69"/>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70">
    <w:name w:val="xl70"/>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rPr>
  </w:style>
  <w:style w:type="paragraph" w:customStyle="1" w:styleId="xl71">
    <w:name w:val="xl71"/>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2">
    <w:name w:val="xl72"/>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3">
    <w:name w:val="xl73"/>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paragraph" w:customStyle="1" w:styleId="xl74">
    <w:name w:val="xl74"/>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rPr>
  </w:style>
  <w:style w:type="paragraph" w:customStyle="1" w:styleId="xl75">
    <w:name w:val="xl75"/>
    <w:basedOn w:val="Normal"/>
    <w:rsid w:val="00406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rPr>
  </w:style>
  <w:style w:type="character" w:customStyle="1" w:styleId="UnresolvedMention2">
    <w:name w:val="Unresolved Mention2"/>
    <w:basedOn w:val="DefaultParagraphFont"/>
    <w:uiPriority w:val="99"/>
    <w:semiHidden/>
    <w:unhideWhenUsed/>
    <w:rsid w:val="00406414"/>
    <w:rPr>
      <w:color w:val="605E5C"/>
      <w:shd w:val="clear" w:color="auto" w:fill="E1DFDD"/>
    </w:rPr>
  </w:style>
  <w:style w:type="character" w:styleId="Emphasis">
    <w:name w:val="Emphasis"/>
    <w:basedOn w:val="DefaultParagraphFont"/>
    <w:uiPriority w:val="20"/>
    <w:qFormat/>
    <w:rsid w:val="00406414"/>
    <w:rPr>
      <w:i/>
      <w:iCs/>
    </w:rPr>
  </w:style>
  <w:style w:type="character" w:customStyle="1" w:styleId="jlqj4b">
    <w:name w:val="jlqj4b"/>
    <w:basedOn w:val="DefaultParagraphFont"/>
    <w:rsid w:val="00406414"/>
  </w:style>
  <w:style w:type="character" w:customStyle="1" w:styleId="viiyi">
    <w:name w:val="viiyi"/>
    <w:basedOn w:val="DefaultParagraphFont"/>
    <w:rsid w:val="00406414"/>
  </w:style>
  <w:style w:type="paragraph" w:styleId="Revision">
    <w:name w:val="Revision"/>
    <w:hidden/>
    <w:uiPriority w:val="99"/>
    <w:semiHidden/>
    <w:rsid w:val="00406414"/>
    <w:pPr>
      <w:spacing w:after="0" w:line="240" w:lineRule="auto"/>
    </w:pPr>
    <w:rPr>
      <w:rFonts w:ascii="Calibri" w:eastAsia="Times New Roman" w:hAnsi="Calibri" w:cs="Arial"/>
      <w:bCs/>
      <w:lang w:val="en-GB" w:eastAsia="de-AT"/>
    </w:rPr>
  </w:style>
  <w:style w:type="table" w:customStyle="1" w:styleId="TableNormal11">
    <w:name w:val="Table Normal11"/>
    <w:uiPriority w:val="2"/>
    <w:semiHidden/>
    <w:unhideWhenUsed/>
    <w:qFormat/>
    <w:rsid w:val="00406414"/>
    <w:pPr>
      <w:widowControl w:val="0"/>
      <w:autoSpaceDE w:val="0"/>
      <w:autoSpaceDN w:val="0"/>
      <w:spacing w:after="0" w:line="240" w:lineRule="auto"/>
    </w:pPr>
    <w:tblPr>
      <w:tblInd w:w="0" w:type="dxa"/>
      <w:tblCellMar>
        <w:top w:w="0" w:type="dxa"/>
        <w:left w:w="0" w:type="dxa"/>
        <w:bottom w:w="0" w:type="dxa"/>
        <w:right w:w="0" w:type="dxa"/>
      </w:tblCellMar>
    </w:tblPr>
  </w:style>
  <w:style w:type="character" w:customStyle="1" w:styleId="2">
    <w:name w:val="Основной текст (2)_"/>
    <w:basedOn w:val="DefaultParagraphFont"/>
    <w:link w:val="20"/>
    <w:rsid w:val="00AB04B8"/>
    <w:rPr>
      <w:rFonts w:ascii="Times New Roman" w:eastAsia="Times New Roman" w:hAnsi="Times New Roman"/>
      <w:shd w:val="clear" w:color="auto" w:fill="FFFFFF"/>
    </w:rPr>
  </w:style>
  <w:style w:type="paragraph" w:customStyle="1" w:styleId="20">
    <w:name w:val="Основной текст (2)"/>
    <w:basedOn w:val="Normal"/>
    <w:link w:val="2"/>
    <w:rsid w:val="00AB04B8"/>
    <w:pPr>
      <w:widowControl w:val="0"/>
      <w:shd w:val="clear" w:color="auto" w:fill="FFFFFF"/>
      <w:spacing w:before="120" w:after="680" w:line="244" w:lineRule="exact"/>
      <w:ind w:hanging="360"/>
      <w:jc w:val="center"/>
    </w:pPr>
    <w:rPr>
      <w:rFonts w:eastAsia="Times New Roman"/>
      <w:sz w:val="22"/>
    </w:rPr>
  </w:style>
  <w:style w:type="paragraph" w:styleId="NoSpacing">
    <w:name w:val="No Spacing"/>
    <w:uiPriority w:val="1"/>
    <w:qFormat/>
    <w:rsid w:val="00A56243"/>
    <w:pPr>
      <w:spacing w:after="0" w:line="240" w:lineRule="auto"/>
    </w:pPr>
    <w:rPr>
      <w:rFonts w:ascii="Calibri" w:eastAsia="Times New Roman" w:hAnsi="Calibri" w:cs="Times New Roman"/>
    </w:rPr>
  </w:style>
  <w:style w:type="character" w:styleId="PageNumber">
    <w:name w:val="page number"/>
    <w:basedOn w:val="DefaultParagraphFont"/>
    <w:uiPriority w:val="99"/>
    <w:rsid w:val="00A56243"/>
  </w:style>
  <w:style w:type="paragraph" w:styleId="PlainText">
    <w:name w:val="Plain Text"/>
    <w:basedOn w:val="Normal"/>
    <w:link w:val="PlainTextChar"/>
    <w:uiPriority w:val="99"/>
    <w:rsid w:val="00A56243"/>
    <w:pPr>
      <w:spacing w:after="0"/>
    </w:pPr>
    <w:rPr>
      <w:rFonts w:ascii="Courier New" w:eastAsia="Times New Roman" w:hAnsi="Courier New" w:cs="Times New Roman"/>
      <w:sz w:val="20"/>
      <w:szCs w:val="20"/>
      <w:lang w:val="bg-BG"/>
    </w:rPr>
  </w:style>
  <w:style w:type="character" w:customStyle="1" w:styleId="PlainTextChar">
    <w:name w:val="Plain Text Char"/>
    <w:basedOn w:val="DefaultParagraphFont"/>
    <w:link w:val="PlainText"/>
    <w:uiPriority w:val="99"/>
    <w:rsid w:val="00A56243"/>
    <w:rPr>
      <w:rFonts w:ascii="Courier New" w:eastAsia="Times New Roman" w:hAnsi="Courier New" w:cs="Times New Roman"/>
      <w:sz w:val="20"/>
      <w:szCs w:val="20"/>
      <w:lang w:val="bg-BG"/>
    </w:rPr>
  </w:style>
  <w:style w:type="paragraph" w:customStyle="1" w:styleId="a">
    <w:name w:val="_цртице"/>
    <w:basedOn w:val="Normal"/>
    <w:qFormat/>
    <w:rsid w:val="00A56243"/>
    <w:pPr>
      <w:numPr>
        <w:numId w:val="21"/>
      </w:numPr>
      <w:spacing w:after="0"/>
      <w:ind w:left="284" w:firstLine="0"/>
      <w:jc w:val="both"/>
    </w:pPr>
    <w:rPr>
      <w:rFonts w:eastAsia="Calibri" w:cs="Times New Roman"/>
    </w:rPr>
  </w:style>
  <w:style w:type="character" w:styleId="Strong">
    <w:name w:val="Strong"/>
    <w:basedOn w:val="DefaultParagraphFont"/>
    <w:uiPriority w:val="22"/>
    <w:qFormat/>
    <w:rsid w:val="00A56243"/>
    <w:rPr>
      <w:b/>
      <w:bCs/>
    </w:rPr>
  </w:style>
  <w:style w:type="paragraph" w:customStyle="1" w:styleId="wyq120---podnaslov-clana">
    <w:name w:val="wyq120---podnaslov-clana"/>
    <w:basedOn w:val="Normal"/>
    <w:rsid w:val="00A56243"/>
    <w:pPr>
      <w:spacing w:before="100" w:beforeAutospacing="1" w:after="100" w:afterAutospacing="1"/>
    </w:pPr>
    <w:rPr>
      <w:rFonts w:eastAsia="Times New Roman" w:cs="Times New Roman"/>
      <w:szCs w:val="24"/>
    </w:rPr>
  </w:style>
  <w:style w:type="paragraph" w:customStyle="1" w:styleId="clan">
    <w:name w:val="clan"/>
    <w:basedOn w:val="Normal"/>
    <w:rsid w:val="00A56243"/>
    <w:pPr>
      <w:spacing w:before="100" w:beforeAutospacing="1" w:after="100" w:afterAutospacing="1"/>
    </w:pPr>
    <w:rPr>
      <w:rFonts w:eastAsia="Times New Roman" w:cs="Times New Roman"/>
      <w:szCs w:val="24"/>
    </w:rPr>
  </w:style>
  <w:style w:type="paragraph" w:customStyle="1" w:styleId="Normal2">
    <w:name w:val="Normal2"/>
    <w:basedOn w:val="Normal"/>
    <w:rsid w:val="00A56243"/>
    <w:pPr>
      <w:spacing w:before="100" w:beforeAutospacing="1" w:after="100" w:afterAutospacing="1"/>
    </w:pPr>
    <w:rPr>
      <w:rFonts w:eastAsia="Times New Roman" w:cs="Times New Roman"/>
      <w:szCs w:val="24"/>
    </w:rPr>
  </w:style>
  <w:style w:type="paragraph" w:customStyle="1" w:styleId="odluka-zakon">
    <w:name w:val="odluka-zakon"/>
    <w:basedOn w:val="Normal"/>
    <w:rsid w:val="00A56243"/>
    <w:pPr>
      <w:spacing w:before="100" w:beforeAutospacing="1" w:after="100" w:afterAutospacing="1"/>
    </w:pPr>
    <w:rPr>
      <w:rFonts w:eastAsia="Times New Roman" w:cs="Times New Roman"/>
      <w:szCs w:val="24"/>
    </w:rPr>
  </w:style>
  <w:style w:type="paragraph" w:customStyle="1" w:styleId="naslov">
    <w:name w:val="naslov"/>
    <w:basedOn w:val="Normal"/>
    <w:rsid w:val="00A56243"/>
    <w:pPr>
      <w:spacing w:before="100" w:beforeAutospacing="1" w:after="100" w:afterAutospacing="1"/>
    </w:pPr>
    <w:rPr>
      <w:rFonts w:eastAsia="Times New Roman" w:cs="Times New Roman"/>
      <w:szCs w:val="24"/>
    </w:rPr>
  </w:style>
  <w:style w:type="paragraph" w:customStyle="1" w:styleId="centar">
    <w:name w:val="centar"/>
    <w:basedOn w:val="Normal"/>
    <w:rsid w:val="00A56243"/>
    <w:pPr>
      <w:spacing w:before="100" w:beforeAutospacing="1" w:after="100" w:afterAutospacing="1"/>
    </w:pPr>
    <w:rPr>
      <w:rFonts w:eastAsia="Times New Roman" w:cs="Times New Roman"/>
      <w:szCs w:val="24"/>
    </w:rPr>
  </w:style>
  <w:style w:type="character" w:customStyle="1" w:styleId="align-center">
    <w:name w:val="align-center"/>
    <w:basedOn w:val="DefaultParagraphFont"/>
    <w:rsid w:val="00A56243"/>
  </w:style>
  <w:style w:type="character" w:customStyle="1" w:styleId="remove">
    <w:name w:val="remove"/>
    <w:basedOn w:val="DefaultParagraphFont"/>
    <w:rsid w:val="00A56243"/>
  </w:style>
  <w:style w:type="paragraph" w:customStyle="1" w:styleId="Absatz-Aufzhlungalphabetisch">
    <w:name w:val="Absatz-Aufzählung alphabetisch"/>
    <w:basedOn w:val="Normal"/>
    <w:rsid w:val="00A56243"/>
    <w:pPr>
      <w:numPr>
        <w:numId w:val="22"/>
      </w:numPr>
      <w:tabs>
        <w:tab w:val="clear" w:pos="360"/>
      </w:tabs>
      <w:spacing w:after="60" w:line="262" w:lineRule="exact"/>
      <w:ind w:left="284" w:hanging="284"/>
      <w:jc w:val="both"/>
    </w:pPr>
    <w:rPr>
      <w:rFonts w:ascii="Arial" w:eastAsia="Times New Roman" w:hAnsi="Arial" w:cs="Arial"/>
      <w:sz w:val="20"/>
      <w:szCs w:val="20"/>
      <w:lang w:val="de-AT" w:eastAsia="de-DE"/>
    </w:rPr>
  </w:style>
  <w:style w:type="paragraph" w:customStyle="1" w:styleId="Normal3">
    <w:name w:val="Normal3"/>
    <w:basedOn w:val="Normal"/>
    <w:rsid w:val="00A56243"/>
    <w:pPr>
      <w:spacing w:before="100" w:beforeAutospacing="1" w:after="100" w:afterAutospacing="1"/>
    </w:pPr>
    <w:rPr>
      <w:rFonts w:eastAsia="Times New Roman" w:cs="Times New Roman"/>
      <w:szCs w:val="24"/>
    </w:rPr>
  </w:style>
  <w:style w:type="table" w:customStyle="1" w:styleId="TableGrid2">
    <w:name w:val="Table Grid2"/>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5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A56243"/>
    <w:pPr>
      <w:spacing w:before="100" w:beforeAutospacing="1" w:after="100" w:afterAutospacing="1"/>
    </w:pPr>
    <w:rPr>
      <w:rFonts w:eastAsia="Times New Roman" w:cs="Times New Roman"/>
      <w:szCs w:val="24"/>
    </w:rPr>
  </w:style>
  <w:style w:type="paragraph" w:customStyle="1" w:styleId="clanak">
    <w:name w:val="clanak"/>
    <w:basedOn w:val="Normal"/>
    <w:rsid w:val="00A56243"/>
    <w:pPr>
      <w:spacing w:before="100" w:beforeAutospacing="1" w:after="100" w:afterAutospacing="1"/>
    </w:pPr>
    <w:rPr>
      <w:rFonts w:eastAsia="Times New Roman" w:cs="Times New Roman"/>
      <w:szCs w:val="24"/>
    </w:rPr>
  </w:style>
  <w:style w:type="paragraph" w:customStyle="1" w:styleId="t-10-9-kurz-s">
    <w:name w:val="t-10-9-kurz-s"/>
    <w:basedOn w:val="Normal"/>
    <w:rsid w:val="00A56243"/>
    <w:pPr>
      <w:spacing w:before="100" w:beforeAutospacing="1" w:after="100" w:afterAutospacing="1"/>
    </w:pPr>
    <w:rPr>
      <w:rFonts w:eastAsia="Times New Roman" w:cs="Times New Roman"/>
      <w:szCs w:val="24"/>
    </w:rPr>
  </w:style>
  <w:style w:type="character" w:customStyle="1" w:styleId="kurziv">
    <w:name w:val="kurziv"/>
    <w:basedOn w:val="DefaultParagraphFont"/>
    <w:rsid w:val="00A56243"/>
  </w:style>
  <w:style w:type="paragraph" w:customStyle="1" w:styleId="t-11-9-sred">
    <w:name w:val="t-11-9-sred"/>
    <w:basedOn w:val="Normal"/>
    <w:rsid w:val="00A56243"/>
    <w:pPr>
      <w:spacing w:before="100" w:beforeAutospacing="1" w:after="100" w:afterAutospacing="1"/>
    </w:pPr>
    <w:rPr>
      <w:rFonts w:eastAsia="Times New Roman" w:cs="Times New Roman"/>
      <w:szCs w:val="24"/>
    </w:rPr>
  </w:style>
  <w:style w:type="paragraph" w:customStyle="1" w:styleId="t-10-9-kurz-s-ispod">
    <w:name w:val="t-10-9-kurz-s-ispod"/>
    <w:basedOn w:val="Normal"/>
    <w:rsid w:val="00A56243"/>
    <w:pPr>
      <w:spacing w:before="100" w:beforeAutospacing="1" w:after="100" w:afterAutospacing="1"/>
    </w:pPr>
    <w:rPr>
      <w:rFonts w:eastAsia="Times New Roman" w:cs="Times New Roman"/>
      <w:szCs w:val="24"/>
    </w:rPr>
  </w:style>
  <w:style w:type="paragraph" w:customStyle="1" w:styleId="clanak-">
    <w:name w:val="clanak-"/>
    <w:basedOn w:val="Normal"/>
    <w:rsid w:val="00A56243"/>
    <w:pPr>
      <w:spacing w:before="100" w:beforeAutospacing="1" w:after="100" w:afterAutospacing="1"/>
    </w:pPr>
    <w:rPr>
      <w:rFonts w:eastAsia="Times New Roman" w:cs="Times New Roman"/>
      <w:szCs w:val="24"/>
    </w:rPr>
  </w:style>
  <w:style w:type="table" w:customStyle="1" w:styleId="ListTable3-Accent11">
    <w:name w:val="List Table 3 - Accent 11"/>
    <w:basedOn w:val="TableNormal"/>
    <w:uiPriority w:val="48"/>
    <w:rsid w:val="002E00AE"/>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v1msonormal">
    <w:name w:val="v1msonormal"/>
    <w:basedOn w:val="Normal"/>
    <w:rsid w:val="00CC5FEE"/>
    <w:pPr>
      <w:spacing w:before="100" w:beforeAutospacing="1" w:after="100" w:afterAutospacing="1"/>
    </w:pPr>
    <w:rPr>
      <w:rFonts w:eastAsia="Times New Roman" w:cs="Times New Roman"/>
      <w:szCs w:val="24"/>
    </w:rPr>
  </w:style>
  <w:style w:type="paragraph" w:customStyle="1" w:styleId="Normal4">
    <w:name w:val="Normal4"/>
    <w:basedOn w:val="Normal"/>
    <w:rsid w:val="009C2E34"/>
    <w:pPr>
      <w:spacing w:before="100" w:beforeAutospacing="1" w:after="100" w:afterAutospacing="1"/>
    </w:pPr>
    <w:rPr>
      <w:rFonts w:eastAsia="Times New Roman" w:cs="Times New Roman"/>
      <w:szCs w:val="24"/>
      <w:lang w:val="en-GB" w:eastAsia="en-GB"/>
    </w:rPr>
  </w:style>
  <w:style w:type="paragraph" w:customStyle="1" w:styleId="v1xxmsonormal">
    <w:name w:val="v1xxmsonormal"/>
    <w:basedOn w:val="Normal"/>
    <w:rsid w:val="009923CD"/>
    <w:pPr>
      <w:spacing w:before="100" w:beforeAutospacing="1" w:after="100" w:afterAutospacing="1"/>
    </w:pPr>
    <w:rPr>
      <w:rFonts w:eastAsia="Times New Roman" w:cs="Times New Roman"/>
      <w:szCs w:val="24"/>
    </w:rPr>
  </w:style>
  <w:style w:type="character" w:customStyle="1" w:styleId="a1">
    <w:name w:val="_"/>
    <w:basedOn w:val="DefaultParagraphFont"/>
    <w:rsid w:val="00D5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51404">
      <w:bodyDiv w:val="1"/>
      <w:marLeft w:val="0"/>
      <w:marRight w:val="0"/>
      <w:marTop w:val="0"/>
      <w:marBottom w:val="0"/>
      <w:divBdr>
        <w:top w:val="none" w:sz="0" w:space="0" w:color="auto"/>
        <w:left w:val="none" w:sz="0" w:space="0" w:color="auto"/>
        <w:bottom w:val="none" w:sz="0" w:space="0" w:color="auto"/>
        <w:right w:val="none" w:sz="0" w:space="0" w:color="auto"/>
      </w:divBdr>
    </w:div>
    <w:div w:id="261493460">
      <w:bodyDiv w:val="1"/>
      <w:marLeft w:val="0"/>
      <w:marRight w:val="0"/>
      <w:marTop w:val="0"/>
      <w:marBottom w:val="0"/>
      <w:divBdr>
        <w:top w:val="none" w:sz="0" w:space="0" w:color="auto"/>
        <w:left w:val="none" w:sz="0" w:space="0" w:color="auto"/>
        <w:bottom w:val="none" w:sz="0" w:space="0" w:color="auto"/>
        <w:right w:val="none" w:sz="0" w:space="0" w:color="auto"/>
      </w:divBdr>
    </w:div>
    <w:div w:id="449858287">
      <w:bodyDiv w:val="1"/>
      <w:marLeft w:val="0"/>
      <w:marRight w:val="0"/>
      <w:marTop w:val="0"/>
      <w:marBottom w:val="0"/>
      <w:divBdr>
        <w:top w:val="none" w:sz="0" w:space="0" w:color="auto"/>
        <w:left w:val="none" w:sz="0" w:space="0" w:color="auto"/>
        <w:bottom w:val="none" w:sz="0" w:space="0" w:color="auto"/>
        <w:right w:val="none" w:sz="0" w:space="0" w:color="auto"/>
      </w:divBdr>
    </w:div>
    <w:div w:id="519049592">
      <w:bodyDiv w:val="1"/>
      <w:marLeft w:val="0"/>
      <w:marRight w:val="0"/>
      <w:marTop w:val="0"/>
      <w:marBottom w:val="0"/>
      <w:divBdr>
        <w:top w:val="none" w:sz="0" w:space="0" w:color="auto"/>
        <w:left w:val="none" w:sz="0" w:space="0" w:color="auto"/>
        <w:bottom w:val="none" w:sz="0" w:space="0" w:color="auto"/>
        <w:right w:val="none" w:sz="0" w:space="0" w:color="auto"/>
      </w:divBdr>
    </w:div>
    <w:div w:id="681205510">
      <w:bodyDiv w:val="1"/>
      <w:marLeft w:val="0"/>
      <w:marRight w:val="0"/>
      <w:marTop w:val="0"/>
      <w:marBottom w:val="0"/>
      <w:divBdr>
        <w:top w:val="none" w:sz="0" w:space="0" w:color="auto"/>
        <w:left w:val="none" w:sz="0" w:space="0" w:color="auto"/>
        <w:bottom w:val="none" w:sz="0" w:space="0" w:color="auto"/>
        <w:right w:val="none" w:sz="0" w:space="0" w:color="auto"/>
      </w:divBdr>
    </w:div>
    <w:div w:id="1324745907">
      <w:bodyDiv w:val="1"/>
      <w:marLeft w:val="0"/>
      <w:marRight w:val="0"/>
      <w:marTop w:val="0"/>
      <w:marBottom w:val="0"/>
      <w:divBdr>
        <w:top w:val="none" w:sz="0" w:space="0" w:color="auto"/>
        <w:left w:val="none" w:sz="0" w:space="0" w:color="auto"/>
        <w:bottom w:val="none" w:sz="0" w:space="0" w:color="auto"/>
        <w:right w:val="none" w:sz="0" w:space="0" w:color="auto"/>
      </w:divBdr>
    </w:div>
    <w:div w:id="1555115190">
      <w:bodyDiv w:val="1"/>
      <w:marLeft w:val="0"/>
      <w:marRight w:val="0"/>
      <w:marTop w:val="0"/>
      <w:marBottom w:val="0"/>
      <w:divBdr>
        <w:top w:val="none" w:sz="0" w:space="0" w:color="auto"/>
        <w:left w:val="none" w:sz="0" w:space="0" w:color="auto"/>
        <w:bottom w:val="none" w:sz="0" w:space="0" w:color="auto"/>
        <w:right w:val="none" w:sz="0" w:space="0" w:color="auto"/>
      </w:divBdr>
    </w:div>
    <w:div w:id="1572887299">
      <w:bodyDiv w:val="1"/>
      <w:marLeft w:val="0"/>
      <w:marRight w:val="0"/>
      <w:marTop w:val="0"/>
      <w:marBottom w:val="0"/>
      <w:divBdr>
        <w:top w:val="none" w:sz="0" w:space="0" w:color="auto"/>
        <w:left w:val="none" w:sz="0" w:space="0" w:color="auto"/>
        <w:bottom w:val="none" w:sz="0" w:space="0" w:color="auto"/>
        <w:right w:val="none" w:sz="0" w:space="0" w:color="auto"/>
      </w:divBdr>
    </w:div>
    <w:div w:id="1625305321">
      <w:bodyDiv w:val="1"/>
      <w:marLeft w:val="0"/>
      <w:marRight w:val="0"/>
      <w:marTop w:val="0"/>
      <w:marBottom w:val="0"/>
      <w:divBdr>
        <w:top w:val="none" w:sz="0" w:space="0" w:color="auto"/>
        <w:left w:val="none" w:sz="0" w:space="0" w:color="auto"/>
        <w:bottom w:val="none" w:sz="0" w:space="0" w:color="auto"/>
        <w:right w:val="none" w:sz="0" w:space="0" w:color="auto"/>
      </w:divBdr>
    </w:div>
    <w:div w:id="20121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dp.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dp.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BCEA6-BF4E-476A-9F40-52A34FD5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32510</Words>
  <Characters>185310</Characters>
  <Application>Microsoft Office Word</Application>
  <DocSecurity>0</DocSecurity>
  <Lines>1544</Lines>
  <Paragraphs>434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217386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2023-10-02T10:32:00Z</dcterms:created>
  <dcterms:modified xsi:type="dcterms:W3CDTF">2023-10-02T10:32:00Z</dcterms:modified>
</cp:coreProperties>
</file>