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1A8BD" w14:textId="77777777" w:rsidR="006961E3" w:rsidRPr="003A43AB" w:rsidRDefault="006961E3" w:rsidP="006130E2">
      <w:pPr>
        <w:ind w:left="-720" w:firstLine="720"/>
        <w:jc w:val="center"/>
        <w:rPr>
          <w:lang w:val="sr-Cyrl-RS"/>
        </w:rPr>
      </w:pPr>
      <w:r w:rsidRPr="003A43AB">
        <w:rPr>
          <w:lang w:val="sr-Cyrl-RS"/>
        </w:rPr>
        <w:t>О Б Р А З Л О Ж Е Њ Е</w:t>
      </w:r>
    </w:p>
    <w:p w14:paraId="463355D8" w14:textId="77777777" w:rsidR="00113ACC" w:rsidRPr="003A43AB" w:rsidRDefault="00113ACC" w:rsidP="006130E2">
      <w:pPr>
        <w:ind w:left="-720" w:firstLine="720"/>
        <w:jc w:val="center"/>
        <w:rPr>
          <w:lang w:val="sr-Cyrl-RS"/>
        </w:rPr>
      </w:pPr>
    </w:p>
    <w:p w14:paraId="3A710A9F" w14:textId="77777777" w:rsidR="00FC1322" w:rsidRPr="003A43AB" w:rsidRDefault="00FC1322" w:rsidP="006130E2">
      <w:pPr>
        <w:ind w:left="-720" w:firstLine="720"/>
        <w:jc w:val="center"/>
        <w:rPr>
          <w:lang w:val="sr-Cyrl-RS"/>
        </w:rPr>
      </w:pPr>
    </w:p>
    <w:p w14:paraId="1DB156B9" w14:textId="77777777" w:rsidR="006961E3" w:rsidRPr="003A43AB" w:rsidRDefault="006961E3" w:rsidP="006130E2">
      <w:pPr>
        <w:rPr>
          <w:bCs/>
          <w:lang w:val="sr-Cyrl-RS"/>
        </w:rPr>
      </w:pPr>
      <w:r w:rsidRPr="003A43AB">
        <w:rPr>
          <w:bCs/>
          <w:lang w:val="sr-Cyrl-RS"/>
        </w:rPr>
        <w:t xml:space="preserve"> </w:t>
      </w:r>
      <w:r w:rsidRPr="003A43AB">
        <w:rPr>
          <w:bCs/>
          <w:lang w:val="sr-Cyrl-RS"/>
        </w:rPr>
        <w:tab/>
        <w:t>I. УСТАВНИ ОСНОВ ЗА ДОНОШЕЊЕ ЗАКОНА</w:t>
      </w:r>
    </w:p>
    <w:p w14:paraId="3758AC55" w14:textId="77777777" w:rsidR="006961E3" w:rsidRPr="003A43AB" w:rsidRDefault="006961E3" w:rsidP="006130E2">
      <w:pPr>
        <w:rPr>
          <w:bCs/>
          <w:lang w:val="sr-Cyrl-RS"/>
        </w:rPr>
      </w:pPr>
    </w:p>
    <w:p w14:paraId="5FD80A66" w14:textId="77777777" w:rsidR="0040226C" w:rsidRPr="003A43AB" w:rsidRDefault="006961E3" w:rsidP="006130E2">
      <w:pPr>
        <w:jc w:val="both"/>
        <w:rPr>
          <w:lang w:val="sr-Cyrl-RS"/>
        </w:rPr>
      </w:pPr>
      <w:r w:rsidRPr="003A43AB">
        <w:rPr>
          <w:lang w:val="sr-Cyrl-RS"/>
        </w:rPr>
        <w:t xml:space="preserve"> </w:t>
      </w:r>
      <w:r w:rsidRPr="003A43AB">
        <w:rPr>
          <w:lang w:val="sr-Cyrl-RS"/>
        </w:rPr>
        <w:tab/>
      </w:r>
      <w:r w:rsidR="0040226C" w:rsidRPr="003A43AB">
        <w:rPr>
          <w:lang w:val="sr-Cyrl-RS"/>
        </w:rPr>
        <w:t>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00AC23DB" w:rsidRPr="003A43AB">
        <w:rPr>
          <w:lang w:val="sr-Cyrl-RS"/>
        </w:rPr>
        <w:t xml:space="preserve"> </w:t>
      </w:r>
    </w:p>
    <w:p w14:paraId="7E13DCDE" w14:textId="77777777" w:rsidR="006961E3" w:rsidRPr="003A43AB" w:rsidRDefault="0040226C" w:rsidP="006130E2">
      <w:pPr>
        <w:jc w:val="both"/>
        <w:rPr>
          <w:lang w:val="sr-Cyrl-RS"/>
        </w:rPr>
      </w:pPr>
      <w:r w:rsidRPr="003A43AB">
        <w:rPr>
          <w:lang w:val="sr-Cyrl-RS"/>
        </w:rPr>
        <w:t xml:space="preserve"> </w:t>
      </w:r>
    </w:p>
    <w:p w14:paraId="5B0D2D7A" w14:textId="245C7F03" w:rsidR="006961E3" w:rsidRPr="003A43AB" w:rsidRDefault="006961E3" w:rsidP="006130E2">
      <w:pPr>
        <w:ind w:firstLine="720"/>
        <w:jc w:val="both"/>
        <w:rPr>
          <w:bCs/>
          <w:lang w:val="sr-Cyrl-RS"/>
        </w:rPr>
      </w:pPr>
      <w:r w:rsidRPr="003A43AB">
        <w:rPr>
          <w:bCs/>
          <w:lang w:val="sr-Cyrl-RS"/>
        </w:rPr>
        <w:t xml:space="preserve"> II. РАЗЛОЗИ ЗА ДОНОШЕЊЕ ЗАКОНА</w:t>
      </w:r>
      <w:r w:rsidR="0069359B" w:rsidRPr="003A43AB">
        <w:rPr>
          <w:bCs/>
          <w:lang w:val="sr-Cyrl-RS"/>
        </w:rPr>
        <w:t xml:space="preserve"> </w:t>
      </w:r>
      <w:r w:rsidR="00F73915" w:rsidRPr="003A43AB">
        <w:rPr>
          <w:bCs/>
          <w:lang w:val="sr-Cyrl-RS"/>
        </w:rPr>
        <w:t>–</w:t>
      </w:r>
      <w:r w:rsidR="0069359B" w:rsidRPr="003A43AB">
        <w:rPr>
          <w:bCs/>
          <w:lang w:val="sr-Cyrl-RS"/>
        </w:rPr>
        <w:t xml:space="preserve"> ПОТВРЂИВАЊЕ</w:t>
      </w:r>
    </w:p>
    <w:p w14:paraId="6B324CEB" w14:textId="6EC868C6" w:rsidR="007E06A3" w:rsidRPr="003A43AB" w:rsidRDefault="007E06A3" w:rsidP="007E06A3">
      <w:pPr>
        <w:jc w:val="both"/>
        <w:rPr>
          <w:lang w:val="sr-Cyrl-RS"/>
        </w:rPr>
      </w:pPr>
    </w:p>
    <w:p w14:paraId="0EF7FC96" w14:textId="76474233" w:rsidR="006816A4" w:rsidRPr="003A43AB" w:rsidRDefault="00353B84" w:rsidP="00543279">
      <w:pPr>
        <w:suppressAutoHyphens/>
        <w:ind w:firstLine="720"/>
        <w:jc w:val="both"/>
        <w:rPr>
          <w:lang w:val="sr-Cyrl-RS"/>
        </w:rPr>
      </w:pPr>
      <w:r w:rsidRPr="003A43AB">
        <w:rPr>
          <w:lang w:val="sr-Cyrl-RS"/>
        </w:rPr>
        <w:t>Разлози за доношење Закона о потврђивању Oквирног споразума о зајму LD 2147 (2023) између Банке за развој Савета Европе и Републике Србије – Пројектни зајам за изградњу БИО4 Кампуса</w:t>
      </w:r>
      <w:r w:rsidR="00F40205" w:rsidRPr="003A43AB">
        <w:rPr>
          <w:lang w:val="sr-Cyrl-RS"/>
        </w:rPr>
        <w:t xml:space="preserve">, </w:t>
      </w:r>
      <w:r w:rsidR="008569C6" w:rsidRPr="003A43AB">
        <w:rPr>
          <w:lang w:val="sr-Cyrl-RS"/>
        </w:rPr>
        <w:t xml:space="preserve">садржани су у одредби члана 5. став 2. </w:t>
      </w:r>
      <w:r w:rsidR="003A43AB" w:rsidRPr="003A43AB">
        <w:rPr>
          <w:lang w:val="sr-Cyrl-RS"/>
        </w:rPr>
        <w:t>Закона о јавном дугу („Службени гласник РС”, бр. 61/05, 107/09, 78/11, 68/15, 95/18, 91/19 и 149/20)</w:t>
      </w:r>
      <w:r w:rsidR="008569C6" w:rsidRPr="003A43AB">
        <w:rPr>
          <w:lang w:val="sr-Cyrl-RS"/>
        </w:rPr>
        <w:t xml:space="preserve"> према којој Народна скупштина</w:t>
      </w:r>
      <w:r w:rsidR="0027023A">
        <w:rPr>
          <w:lang w:val="sr-Cyrl-RS"/>
        </w:rPr>
        <w:t xml:space="preserve"> </w:t>
      </w:r>
      <w:r w:rsidR="0027023A" w:rsidRPr="0027023A">
        <w:rPr>
          <w:bCs/>
          <w:lang w:val="sr-Cyrl-RS"/>
        </w:rPr>
        <w:t>Републике Србије</w:t>
      </w:r>
      <w:r w:rsidR="008569C6" w:rsidRPr="003A43AB">
        <w:rPr>
          <w:lang w:val="sr-Cyrl-RS"/>
        </w:rPr>
        <w:t xml:space="preserve"> одлучује о задуживању Републике и одредби члана 14. став 1. Закона о закључивању и извршавању међународних уговора („Службени гласник </w:t>
      </w:r>
      <w:r w:rsidR="003A43AB" w:rsidRPr="003A43AB">
        <w:rPr>
          <w:lang w:val="sr-Cyrl-RS"/>
        </w:rPr>
        <w:t>РС</w:t>
      </w:r>
      <w:r w:rsidR="008569C6" w:rsidRPr="003A43AB">
        <w:rPr>
          <w:lang w:val="sr-Cyrl-RS"/>
        </w:rPr>
        <w:t>”, број 32/13) према којој Народна скупштина, између осталог, потврђује уговоре којима се стварају финансијске обавезе за Републику Србију.</w:t>
      </w:r>
      <w:r w:rsidR="00F40205" w:rsidRPr="003A43AB">
        <w:rPr>
          <w:lang w:val="sr-Cyrl-RS"/>
        </w:rPr>
        <w:t xml:space="preserve"> </w:t>
      </w:r>
    </w:p>
    <w:p w14:paraId="0441C252" w14:textId="4F48C3B3" w:rsidR="00623CB6" w:rsidRPr="003A43AB" w:rsidRDefault="006816A4" w:rsidP="00623CB6">
      <w:pPr>
        <w:ind w:firstLine="720"/>
        <w:jc w:val="both"/>
        <w:rPr>
          <w:lang w:val="sr-Cyrl-RS" w:eastAsia="sr-Latn-CS"/>
        </w:rPr>
      </w:pPr>
      <w:r w:rsidRPr="003A43AB">
        <w:rPr>
          <w:bCs/>
          <w:lang w:val="sr-Cyrl-RS"/>
        </w:rPr>
        <w:t xml:space="preserve">Реализација </w:t>
      </w:r>
      <w:r w:rsidR="00483A90" w:rsidRPr="003A43AB">
        <w:rPr>
          <w:bCs/>
          <w:lang w:val="sr-Cyrl-RS"/>
        </w:rPr>
        <w:t xml:space="preserve">Пројекта </w:t>
      </w:r>
      <w:r w:rsidR="00623CB6" w:rsidRPr="003A43AB">
        <w:rPr>
          <w:lang w:val="sr-Cyrl-RS"/>
        </w:rPr>
        <w:t xml:space="preserve">Изградња БИО4 Кампуса </w:t>
      </w:r>
      <w:r w:rsidRPr="003A43AB">
        <w:rPr>
          <w:lang w:val="sr-Cyrl-RS" w:eastAsia="sr-Latn-CS"/>
        </w:rPr>
        <w:t>(у даљем тексту: Пројекат),</w:t>
      </w:r>
      <w:r w:rsidRPr="003A43AB">
        <w:rPr>
          <w:bCs/>
          <w:lang w:val="sr-Cyrl-RS"/>
        </w:rPr>
        <w:t xml:space="preserve"> који ће финансијски подржати </w:t>
      </w:r>
      <w:r w:rsidR="00623CB6" w:rsidRPr="003A43AB">
        <w:rPr>
          <w:lang w:val="sr-Cyrl-RS"/>
        </w:rPr>
        <w:t>Банка за развој Савета Европе</w:t>
      </w:r>
      <w:r w:rsidRPr="003A43AB">
        <w:rPr>
          <w:bCs/>
          <w:lang w:val="sr-Cyrl-RS"/>
        </w:rPr>
        <w:t>,</w:t>
      </w:r>
      <w:r w:rsidR="00623CB6" w:rsidRPr="003A43AB">
        <w:rPr>
          <w:bCs/>
          <w:lang w:val="sr-Cyrl-RS"/>
        </w:rPr>
        <w:t xml:space="preserve"> треба да омогући</w:t>
      </w:r>
      <w:r w:rsidR="00623CB6" w:rsidRPr="003A43AB">
        <w:rPr>
          <w:lang w:val="sr-Cyrl-RS" w:eastAsia="sr-Latn-CS"/>
        </w:rPr>
        <w:t xml:space="preserve"> </w:t>
      </w:r>
      <w:r w:rsidR="00623CB6" w:rsidRPr="003A43AB">
        <w:rPr>
          <w:lang w:val="sr-Cyrl-RS"/>
        </w:rPr>
        <w:t>изградњу и опремање више објеката и реализација модерних, технолошки, научно и друштвено иновативних институција.</w:t>
      </w:r>
    </w:p>
    <w:p w14:paraId="69C873AB" w14:textId="77777777" w:rsidR="00623CB6" w:rsidRPr="003A43AB" w:rsidRDefault="00623CB6" w:rsidP="00623CB6">
      <w:pPr>
        <w:rPr>
          <w:lang w:val="sr-Cyrl-RS"/>
        </w:rPr>
      </w:pPr>
      <w:r w:rsidRPr="003A43AB">
        <w:rPr>
          <w:lang w:val="sr-Cyrl-RS"/>
        </w:rPr>
        <w:t xml:space="preserve"> </w:t>
      </w:r>
      <w:r w:rsidRPr="003A43AB">
        <w:rPr>
          <w:lang w:val="sr-Cyrl-RS"/>
        </w:rPr>
        <w:tab/>
        <w:t>Специфични циљеви укључују:</w:t>
      </w:r>
    </w:p>
    <w:p w14:paraId="4A0A4395" w14:textId="15631D10" w:rsidR="00623CB6" w:rsidRPr="003A43AB" w:rsidRDefault="00623CB6" w:rsidP="003A43AB">
      <w:pPr>
        <w:pStyle w:val="ListParagraph"/>
        <w:numPr>
          <w:ilvl w:val="0"/>
          <w:numId w:val="16"/>
        </w:numPr>
        <w:spacing w:before="120" w:after="120"/>
        <w:ind w:left="0" w:firstLine="360"/>
        <w:jc w:val="both"/>
        <w:rPr>
          <w:lang w:val="sr-Cyrl-RS"/>
        </w:rPr>
      </w:pPr>
      <w:r w:rsidRPr="003A43AB">
        <w:rPr>
          <w:lang w:val="sr-Cyrl-RS"/>
        </w:rPr>
        <w:t>Приступачну здравствену заштиту кроз научни напредак у здравству: БИО4</w:t>
      </w:r>
      <w:r w:rsidRPr="003A43AB">
        <w:rPr>
          <w:bCs/>
          <w:lang w:val="sr-Cyrl-RS"/>
        </w:rPr>
        <w:t xml:space="preserve"> ће омогућити ефикаснију, а самим тим и приступачнију здравствену заштиту, захваљујући примени иновативних технологија и процедура у дијагностици и лечењу. Поред тога, доћи ће до дугорочног развоја здравства у </w:t>
      </w:r>
      <w:r w:rsidR="0027023A" w:rsidRPr="0027023A">
        <w:rPr>
          <w:bCs/>
          <w:lang w:val="sr-Cyrl-RS"/>
        </w:rPr>
        <w:t>Републи</w:t>
      </w:r>
      <w:r w:rsidR="0027023A">
        <w:rPr>
          <w:bCs/>
          <w:lang w:val="sr-Cyrl-RS"/>
        </w:rPr>
        <w:t>ци</w:t>
      </w:r>
      <w:r w:rsidR="0027023A" w:rsidRPr="0027023A">
        <w:rPr>
          <w:bCs/>
          <w:lang w:val="sr-Cyrl-RS"/>
        </w:rPr>
        <w:t xml:space="preserve"> Србиј</w:t>
      </w:r>
      <w:r w:rsidR="0027023A">
        <w:rPr>
          <w:bCs/>
          <w:lang w:val="sr-Cyrl-RS"/>
        </w:rPr>
        <w:t>и</w:t>
      </w:r>
      <w:r w:rsidRPr="003A43AB">
        <w:rPr>
          <w:bCs/>
          <w:lang w:val="sr-Cyrl-RS"/>
        </w:rPr>
        <w:t xml:space="preserve"> јер ће се савремени дијагностички тестови обављати локално, што ће д</w:t>
      </w:r>
      <w:r w:rsidR="0027023A">
        <w:rPr>
          <w:bCs/>
          <w:lang w:val="sr-Cyrl-RS"/>
        </w:rPr>
        <w:t>онети значајне уштеде за државу;</w:t>
      </w:r>
    </w:p>
    <w:p w14:paraId="06CF8A84" w14:textId="5C486F1C" w:rsidR="00623CB6" w:rsidRPr="003A43AB" w:rsidRDefault="00623CB6" w:rsidP="003A43AB">
      <w:pPr>
        <w:pStyle w:val="ListParagraph"/>
        <w:numPr>
          <w:ilvl w:val="0"/>
          <w:numId w:val="16"/>
        </w:numPr>
        <w:spacing w:before="120" w:after="120"/>
        <w:ind w:left="0" w:firstLine="360"/>
        <w:jc w:val="both"/>
        <w:rPr>
          <w:lang w:val="sr-Cyrl-RS"/>
        </w:rPr>
      </w:pPr>
      <w:r w:rsidRPr="003A43AB">
        <w:rPr>
          <w:lang w:val="sr-Cyrl-RS"/>
        </w:rPr>
        <w:t>Образовање и стручно усавршавање у здравственим наукама: БИО4 ће бити домаћин низу института Универзитета у Београду и повезаних истраживачких завода јавног здравља, и омогућиће стажирање и специјализације за студенте, дипломце и младе стручњаке. Поред тога, непосредна близина фирми и коришћење заједничких просторија и опреме обезбедиће непосредан приступ пословима мла</w:t>
      </w:r>
      <w:r w:rsidR="0027023A">
        <w:rPr>
          <w:lang w:val="sr-Cyrl-RS"/>
        </w:rPr>
        <w:t>дим људима који траже запослење;</w:t>
      </w:r>
    </w:p>
    <w:p w14:paraId="6301A632" w14:textId="5A81F825" w:rsidR="00623CB6" w:rsidRPr="003A43AB" w:rsidRDefault="00623CB6" w:rsidP="003A43AB">
      <w:pPr>
        <w:pStyle w:val="ListParagraph"/>
        <w:numPr>
          <w:ilvl w:val="0"/>
          <w:numId w:val="16"/>
        </w:numPr>
        <w:spacing w:before="120" w:after="120"/>
        <w:ind w:left="0" w:firstLine="360"/>
        <w:jc w:val="both"/>
        <w:rPr>
          <w:lang w:val="sr-Cyrl-RS"/>
        </w:rPr>
      </w:pPr>
      <w:r w:rsidRPr="003A43AB">
        <w:rPr>
          <w:lang w:val="sr-Cyrl-RS"/>
        </w:rPr>
        <w:t xml:space="preserve">Урбана регенерација и финансијска инклузија: БИО4 ће отворити могућности за више висококвалитетних и специјализованих, стручних послова у земљи. На локалном нивоу, очекује се да ће присуство </w:t>
      </w:r>
      <w:r w:rsidR="003A43AB" w:rsidRPr="003A43AB">
        <w:rPr>
          <w:lang w:val="sr-Cyrl-RS"/>
        </w:rPr>
        <w:t xml:space="preserve">Кампуса </w:t>
      </w:r>
      <w:r w:rsidRPr="003A43AB">
        <w:rPr>
          <w:lang w:val="sr-Cyrl-RS"/>
        </w:rPr>
        <w:t>БИО4 у слабије развијеном насељу Кумодраж у Београду покренути позитивну трансформацију овог дела града.</w:t>
      </w:r>
    </w:p>
    <w:p w14:paraId="5151A780" w14:textId="77777777" w:rsidR="00623CB6" w:rsidRPr="003A43AB" w:rsidRDefault="00623CB6" w:rsidP="00623CB6">
      <w:pPr>
        <w:ind w:firstLine="720"/>
        <w:jc w:val="both"/>
        <w:rPr>
          <w:lang w:val="sr-Cyrl-RS" w:eastAsia="sr-Latn-CS"/>
        </w:rPr>
      </w:pPr>
      <w:r w:rsidRPr="003A43AB">
        <w:rPr>
          <w:lang w:val="sr-Cyrl-RS" w:eastAsia="sr-Latn-CS"/>
        </w:rPr>
        <w:t>Пројекат се састоји од осам компоненти:</w:t>
      </w:r>
    </w:p>
    <w:p w14:paraId="4493C373" w14:textId="77777777" w:rsidR="00623CB6" w:rsidRPr="003A43AB" w:rsidRDefault="00623CB6" w:rsidP="00623CB6">
      <w:pPr>
        <w:pStyle w:val="ListParagraph"/>
        <w:numPr>
          <w:ilvl w:val="0"/>
          <w:numId w:val="17"/>
        </w:numPr>
        <w:jc w:val="both"/>
        <w:rPr>
          <w:bCs/>
          <w:color w:val="000000"/>
          <w:lang w:val="sr-Cyrl-RS"/>
        </w:rPr>
      </w:pPr>
      <w:r w:rsidRPr="003A43AB">
        <w:rPr>
          <w:bCs/>
          <w:color w:val="000000"/>
          <w:lang w:val="sr-Cyrl-RS"/>
        </w:rPr>
        <w:t>Компонента 1 – Биолошки факултет (22,769 m</w:t>
      </w:r>
      <w:r w:rsidRPr="003A43AB">
        <w:rPr>
          <w:bCs/>
          <w:color w:val="000000"/>
          <w:vertAlign w:val="superscript"/>
          <w:lang w:val="sr-Cyrl-RS"/>
        </w:rPr>
        <w:t>2</w:t>
      </w:r>
      <w:r w:rsidRPr="003A43AB">
        <w:rPr>
          <w:bCs/>
          <w:color w:val="000000"/>
          <w:lang w:val="sr-Cyrl-RS"/>
        </w:rPr>
        <w:t>, 24,3 m висине),</w:t>
      </w:r>
    </w:p>
    <w:p w14:paraId="73BDE678" w14:textId="77777777" w:rsidR="00623CB6" w:rsidRPr="003A43AB" w:rsidRDefault="00623CB6" w:rsidP="00623CB6">
      <w:pPr>
        <w:pStyle w:val="ListParagraph"/>
        <w:numPr>
          <w:ilvl w:val="0"/>
          <w:numId w:val="17"/>
        </w:numPr>
        <w:jc w:val="both"/>
        <w:rPr>
          <w:bCs/>
          <w:color w:val="000000"/>
          <w:lang w:val="sr-Cyrl-RS"/>
        </w:rPr>
      </w:pPr>
      <w:r w:rsidRPr="003A43AB">
        <w:rPr>
          <w:bCs/>
          <w:color w:val="000000"/>
          <w:lang w:val="sr-Cyrl-RS"/>
        </w:rPr>
        <w:t>Компонента 2 – Фармацеутски факултет (35,715 m</w:t>
      </w:r>
      <w:r w:rsidRPr="003A43AB">
        <w:rPr>
          <w:bCs/>
          <w:color w:val="000000"/>
          <w:vertAlign w:val="superscript"/>
          <w:lang w:val="sr-Cyrl-RS"/>
        </w:rPr>
        <w:t>2</w:t>
      </w:r>
      <w:r w:rsidRPr="003A43AB">
        <w:rPr>
          <w:bCs/>
          <w:color w:val="000000"/>
          <w:lang w:val="sr-Cyrl-RS"/>
        </w:rPr>
        <w:t>, 32m висине),</w:t>
      </w:r>
    </w:p>
    <w:p w14:paraId="573F85AD" w14:textId="77777777" w:rsidR="00623CB6" w:rsidRPr="003A43AB" w:rsidRDefault="00623CB6" w:rsidP="003A43AB">
      <w:pPr>
        <w:pStyle w:val="ListParagraph"/>
        <w:numPr>
          <w:ilvl w:val="0"/>
          <w:numId w:val="17"/>
        </w:numPr>
        <w:ind w:left="0" w:firstLine="360"/>
        <w:jc w:val="both"/>
        <w:rPr>
          <w:bCs/>
          <w:color w:val="000000"/>
          <w:lang w:val="sr-Cyrl-RS"/>
        </w:rPr>
      </w:pPr>
      <w:r w:rsidRPr="003A43AB">
        <w:rPr>
          <w:bCs/>
          <w:color w:val="000000"/>
          <w:lang w:val="sr-Cyrl-RS"/>
        </w:rPr>
        <w:t>Компонента 3 – Комплекс института – целина 1 (29,763 m</w:t>
      </w:r>
      <w:r w:rsidRPr="003A43AB">
        <w:rPr>
          <w:bCs/>
          <w:color w:val="000000"/>
          <w:vertAlign w:val="superscript"/>
          <w:lang w:val="sr-Cyrl-RS"/>
        </w:rPr>
        <w:t>2</w:t>
      </w:r>
      <w:r w:rsidRPr="003A43AB">
        <w:rPr>
          <w:bCs/>
          <w:color w:val="000000"/>
          <w:lang w:val="sr-Cyrl-RS"/>
        </w:rPr>
        <w:t>, 22,3 m и 30,3 m висине),</w:t>
      </w:r>
    </w:p>
    <w:p w14:paraId="3AF80FE5" w14:textId="77777777" w:rsidR="00623CB6" w:rsidRPr="003A43AB" w:rsidRDefault="00623CB6" w:rsidP="003A43AB">
      <w:pPr>
        <w:pStyle w:val="ListParagraph"/>
        <w:numPr>
          <w:ilvl w:val="0"/>
          <w:numId w:val="17"/>
        </w:numPr>
        <w:ind w:left="0" w:firstLine="360"/>
        <w:jc w:val="both"/>
        <w:rPr>
          <w:bCs/>
          <w:color w:val="000000"/>
          <w:lang w:val="sr-Cyrl-RS"/>
        </w:rPr>
      </w:pPr>
      <w:r w:rsidRPr="003A43AB">
        <w:rPr>
          <w:bCs/>
          <w:color w:val="000000"/>
          <w:lang w:val="sr-Cyrl-RS"/>
        </w:rPr>
        <w:t>Компонента 4 – Комплекс института – целина 2 (19,522 m</w:t>
      </w:r>
      <w:r w:rsidRPr="003A43AB">
        <w:rPr>
          <w:bCs/>
          <w:color w:val="000000"/>
          <w:vertAlign w:val="superscript"/>
          <w:lang w:val="sr-Cyrl-RS"/>
        </w:rPr>
        <w:t>2</w:t>
      </w:r>
      <w:r w:rsidRPr="003A43AB">
        <w:rPr>
          <w:bCs/>
          <w:color w:val="000000"/>
          <w:lang w:val="sr-Cyrl-RS"/>
        </w:rPr>
        <w:t>, 22,3 m и 30,3 m висине),</w:t>
      </w:r>
    </w:p>
    <w:p w14:paraId="59869A0F" w14:textId="59CB407D" w:rsidR="00623CB6" w:rsidRPr="003A43AB" w:rsidRDefault="00623CB6" w:rsidP="00623CB6">
      <w:pPr>
        <w:pStyle w:val="ListParagraph"/>
        <w:numPr>
          <w:ilvl w:val="0"/>
          <w:numId w:val="17"/>
        </w:numPr>
        <w:jc w:val="both"/>
        <w:rPr>
          <w:bCs/>
          <w:color w:val="000000"/>
          <w:lang w:val="sr-Cyrl-RS"/>
        </w:rPr>
      </w:pPr>
      <w:r w:rsidRPr="003A43AB">
        <w:rPr>
          <w:bCs/>
          <w:color w:val="000000"/>
          <w:lang w:val="sr-Cyrl-RS"/>
        </w:rPr>
        <w:t>Компонента 5 – Виваријум (5,453 m</w:t>
      </w:r>
      <w:r w:rsidRPr="003A43AB">
        <w:rPr>
          <w:bCs/>
          <w:color w:val="000000"/>
          <w:vertAlign w:val="superscript"/>
          <w:lang w:val="sr-Cyrl-RS"/>
        </w:rPr>
        <w:t>2</w:t>
      </w:r>
      <w:r w:rsidRPr="003A43AB">
        <w:rPr>
          <w:bCs/>
          <w:color w:val="000000"/>
          <w:lang w:val="sr-Cyrl-RS"/>
        </w:rPr>
        <w:t>, 10,3 m висине),</w:t>
      </w:r>
    </w:p>
    <w:p w14:paraId="1BD1116F" w14:textId="77777777" w:rsidR="00623CB6" w:rsidRPr="003A43AB" w:rsidRDefault="00623CB6" w:rsidP="00623CB6">
      <w:pPr>
        <w:pStyle w:val="ListParagraph"/>
        <w:numPr>
          <w:ilvl w:val="0"/>
          <w:numId w:val="17"/>
        </w:numPr>
        <w:jc w:val="both"/>
        <w:rPr>
          <w:bCs/>
          <w:color w:val="000000"/>
          <w:lang w:val="sr-Cyrl-RS"/>
        </w:rPr>
      </w:pPr>
      <w:r w:rsidRPr="003A43AB">
        <w:rPr>
          <w:bCs/>
          <w:color w:val="000000"/>
          <w:lang w:val="sr-Cyrl-RS"/>
        </w:rPr>
        <w:lastRenderedPageBreak/>
        <w:t>Компонента 6 – Научно-технолошки парк и Идејни центар (25,836 m</w:t>
      </w:r>
      <w:r w:rsidRPr="003A43AB">
        <w:rPr>
          <w:bCs/>
          <w:color w:val="000000"/>
          <w:vertAlign w:val="superscript"/>
          <w:lang w:val="sr-Cyrl-RS"/>
        </w:rPr>
        <w:t>2</w:t>
      </w:r>
      <w:r w:rsidRPr="003A43AB">
        <w:rPr>
          <w:bCs/>
          <w:color w:val="000000"/>
          <w:lang w:val="sr-Cyrl-RS"/>
        </w:rPr>
        <w:t>, 24,3 m и 30,3 m висине),</w:t>
      </w:r>
    </w:p>
    <w:p w14:paraId="3E969CF3" w14:textId="2782EC2C" w:rsidR="00623CB6" w:rsidRPr="003A43AB" w:rsidRDefault="00623CB6" w:rsidP="003A43AB">
      <w:pPr>
        <w:pStyle w:val="ListParagraph"/>
        <w:numPr>
          <w:ilvl w:val="0"/>
          <w:numId w:val="17"/>
        </w:numPr>
        <w:ind w:left="0" w:firstLine="360"/>
        <w:jc w:val="both"/>
        <w:rPr>
          <w:bCs/>
          <w:color w:val="000000"/>
          <w:lang w:val="sr-Cyrl-RS"/>
        </w:rPr>
      </w:pPr>
      <w:r w:rsidRPr="003A43AB">
        <w:rPr>
          <w:bCs/>
          <w:color w:val="000000"/>
          <w:lang w:val="sr-Cyrl-RS"/>
        </w:rPr>
        <w:t>Компонента 7 – Централно састајалиште корисника BIO4 Campus - „Минглариум” (20,916 m</w:t>
      </w:r>
      <w:r w:rsidRPr="003A43AB">
        <w:rPr>
          <w:bCs/>
          <w:color w:val="000000"/>
          <w:vertAlign w:val="superscript"/>
          <w:lang w:val="sr-Cyrl-RS"/>
        </w:rPr>
        <w:t>2</w:t>
      </w:r>
      <w:r w:rsidRPr="003A43AB">
        <w:rPr>
          <w:bCs/>
          <w:color w:val="000000"/>
          <w:lang w:val="sr-Cyrl-RS"/>
        </w:rPr>
        <w:t xml:space="preserve">, 35,5 m и 43,5 m висине),  </w:t>
      </w:r>
    </w:p>
    <w:p w14:paraId="330FF703" w14:textId="77777777" w:rsidR="00623CB6" w:rsidRPr="003A43AB" w:rsidRDefault="00623CB6" w:rsidP="00623CB6">
      <w:pPr>
        <w:pStyle w:val="ListParagraph"/>
        <w:numPr>
          <w:ilvl w:val="0"/>
          <w:numId w:val="17"/>
        </w:numPr>
        <w:jc w:val="both"/>
        <w:rPr>
          <w:bCs/>
          <w:color w:val="000000"/>
          <w:lang w:val="sr-Cyrl-RS"/>
        </w:rPr>
      </w:pPr>
      <w:r w:rsidRPr="003A43AB">
        <w:rPr>
          <w:bCs/>
          <w:color w:val="000000"/>
          <w:lang w:val="sr-Cyrl-RS"/>
        </w:rPr>
        <w:t>Компонента 8 – Специјализована опрема.</w:t>
      </w:r>
    </w:p>
    <w:p w14:paraId="0683F4AD" w14:textId="77777777" w:rsidR="00623CB6" w:rsidRPr="003A43AB" w:rsidRDefault="00623CB6" w:rsidP="00623CB6">
      <w:pPr>
        <w:ind w:firstLine="720"/>
        <w:jc w:val="both"/>
        <w:rPr>
          <w:bCs/>
          <w:color w:val="000000"/>
          <w:lang w:val="sr-Cyrl-RS"/>
        </w:rPr>
      </w:pPr>
      <w:r w:rsidRPr="003A43AB">
        <w:rPr>
          <w:bCs/>
          <w:color w:val="000000"/>
          <w:lang w:val="sr-Cyrl-RS"/>
        </w:rPr>
        <w:t>Укупна грађевинска површина од 159.974 m</w:t>
      </w:r>
      <w:r w:rsidRPr="003A43AB">
        <w:rPr>
          <w:bCs/>
          <w:color w:val="000000"/>
          <w:vertAlign w:val="superscript"/>
          <w:lang w:val="sr-Cyrl-RS"/>
        </w:rPr>
        <w:t>2</w:t>
      </w:r>
      <w:r w:rsidRPr="003A43AB">
        <w:rPr>
          <w:bCs/>
          <w:color w:val="000000"/>
          <w:lang w:val="sr-Cyrl-RS"/>
        </w:rPr>
        <w:t xml:space="preserve"> укључује 34.392 m</w:t>
      </w:r>
      <w:r w:rsidRPr="003A43AB">
        <w:rPr>
          <w:bCs/>
          <w:color w:val="000000"/>
          <w:vertAlign w:val="superscript"/>
          <w:lang w:val="sr-Cyrl-RS"/>
        </w:rPr>
        <w:t>2</w:t>
      </w:r>
      <w:r w:rsidRPr="003A43AB">
        <w:rPr>
          <w:bCs/>
          <w:color w:val="000000"/>
          <w:lang w:val="sr-Cyrl-RS"/>
        </w:rPr>
        <w:t xml:space="preserve"> подземне гараже Додатних 7.172 m</w:t>
      </w:r>
      <w:r w:rsidRPr="003A43AB">
        <w:rPr>
          <w:bCs/>
          <w:color w:val="000000"/>
          <w:vertAlign w:val="superscript"/>
          <w:lang w:val="sr-Cyrl-RS"/>
        </w:rPr>
        <w:t>2</w:t>
      </w:r>
      <w:r w:rsidRPr="003A43AB">
        <w:rPr>
          <w:bCs/>
          <w:color w:val="000000"/>
          <w:lang w:val="sr-Cyrl-RS"/>
        </w:rPr>
        <w:t xml:space="preserve"> предвиђено је за надземни паркинг и путеве, а уређење, укључујући зелене зграде и кровове, процењено је на 31.772 m</w:t>
      </w:r>
      <w:r w:rsidRPr="003A43AB">
        <w:rPr>
          <w:bCs/>
          <w:color w:val="000000"/>
          <w:vertAlign w:val="superscript"/>
          <w:lang w:val="sr-Cyrl-RS"/>
        </w:rPr>
        <w:t>2</w:t>
      </w:r>
      <w:r w:rsidRPr="003A43AB">
        <w:rPr>
          <w:bCs/>
          <w:color w:val="000000"/>
          <w:lang w:val="sr-Cyrl-RS"/>
        </w:rPr>
        <w:t>.</w:t>
      </w:r>
    </w:p>
    <w:p w14:paraId="0F4E485F" w14:textId="5D0B113E" w:rsidR="00623CB6" w:rsidRPr="003A43AB" w:rsidRDefault="00623CB6" w:rsidP="00623CB6">
      <w:pPr>
        <w:ind w:firstLine="720"/>
        <w:jc w:val="both"/>
        <w:rPr>
          <w:bCs/>
          <w:color w:val="000000"/>
          <w:lang w:val="sr-Cyrl-RS"/>
        </w:rPr>
      </w:pPr>
      <w:r w:rsidRPr="003A43AB">
        <w:rPr>
          <w:lang w:val="sr-Cyrl-RS" w:eastAsia="sr-Latn-CS"/>
        </w:rPr>
        <w:t>Радови обухватају изградњу и опремање БИО4 Кампуса Београд, свеобухватног истраживачко-развојног комплекса посвећеног бионаукама („БИО4” је скраћеница за биомедицину, биоинформатику, биотехнологију и биодиверзитет), тачније, планирани радови подразумевају изградњу и обезбеђење стандардне опреме за седам грађевних блокова (компоненти) и обезбеђење специјализоване научне опреме (</w:t>
      </w:r>
      <w:r w:rsidR="0027023A" w:rsidRPr="003A43AB">
        <w:rPr>
          <w:lang w:val="sr-Cyrl-RS" w:eastAsia="sr-Latn-CS"/>
        </w:rPr>
        <w:t xml:space="preserve">Компонента </w:t>
      </w:r>
      <w:r w:rsidRPr="003A43AB">
        <w:rPr>
          <w:lang w:val="sr-Cyrl-RS" w:eastAsia="sr-Latn-CS"/>
        </w:rPr>
        <w:t>8).</w:t>
      </w:r>
    </w:p>
    <w:p w14:paraId="4CE7EAC9" w14:textId="77777777" w:rsidR="00623CB6" w:rsidRPr="003A43AB" w:rsidRDefault="00623CB6" w:rsidP="00623CB6">
      <w:pPr>
        <w:ind w:firstLine="720"/>
        <w:jc w:val="both"/>
        <w:rPr>
          <w:lang w:val="sr-Cyrl-RS"/>
        </w:rPr>
      </w:pPr>
      <w:r w:rsidRPr="003A43AB">
        <w:rPr>
          <w:lang w:val="sr-Cyrl-RS"/>
        </w:rPr>
        <w:t xml:space="preserve">Допринос ЦЕБ-а од 200.000.000 евра чини 50,2% вредности Пројекта. Процењени укупни трошкови пројекта износе 398.300.770 евра (тј. 413.500.000 евра, од којих је 398.300.000 евра прихватљиви трошак, пошто Виваријум компонента од 15.200.000 евра није прихватљива за финансирање од стране ЦЕБ-а у овој фази). Банка доприноси кредитом од 200.000.000 евра. </w:t>
      </w:r>
    </w:p>
    <w:p w14:paraId="1D069B09" w14:textId="77777777" w:rsidR="00623CB6" w:rsidRPr="003A43AB" w:rsidRDefault="00623CB6" w:rsidP="00623CB6">
      <w:pPr>
        <w:ind w:firstLine="720"/>
        <w:jc w:val="both"/>
        <w:rPr>
          <w:lang w:val="sr-Cyrl-RS"/>
        </w:rPr>
      </w:pPr>
      <w:r w:rsidRPr="003A43AB">
        <w:rPr>
          <w:lang w:val="sr-Cyrl-RS"/>
        </w:rPr>
        <w:t>Предложени Пројекат је у складу са Политиком заштите животне средине и друштвених аспеката ЦЕБ-а и важећим националним и европским стандардима, јер се односи на управљање ризицима животне средине и друштвених аспеката.</w:t>
      </w:r>
    </w:p>
    <w:p w14:paraId="154773BE" w14:textId="008A7FCB" w:rsidR="00623CB6" w:rsidRPr="003A43AB" w:rsidRDefault="00623CB6" w:rsidP="00623CB6">
      <w:pPr>
        <w:ind w:firstLine="720"/>
        <w:jc w:val="both"/>
        <w:rPr>
          <w:lang w:val="sr-Cyrl-RS"/>
        </w:rPr>
      </w:pPr>
      <w:r w:rsidRPr="003A43AB">
        <w:rPr>
          <w:lang w:val="sr-Cyrl-RS"/>
        </w:rPr>
        <w:t xml:space="preserve">Не постоје ризици по животну средину који су оцењени као значајни у Пројекту, а Пројекат нема јасно идентификоване компоненте за прилагођавање климатским променама или ублажавање климатских промена. Осетљивост Пројекта у погледу климатских промена је оцењена као средња. </w:t>
      </w:r>
    </w:p>
    <w:p w14:paraId="08FE9536" w14:textId="7674FCC7" w:rsidR="00623CB6" w:rsidRPr="003A43AB" w:rsidRDefault="006816A4" w:rsidP="001F545C">
      <w:pPr>
        <w:ind w:firstLine="720"/>
        <w:jc w:val="both"/>
        <w:rPr>
          <w:lang w:val="sr-Cyrl-RS" w:eastAsia="sr-Latn-CS"/>
        </w:rPr>
      </w:pPr>
      <w:r w:rsidRPr="003A43AB">
        <w:rPr>
          <w:lang w:val="sr-Cyrl-RS" w:eastAsia="sr-Latn-CS"/>
        </w:rPr>
        <w:t>Друштвене користи од пројекта су велике. Пружаће одговарајућу подршку ресоцијализацији затвореника, смањујући ризик од поновног преступа и ублажавајући факторе социјалне искључености као што су зависности, недостатак образовања и стручне обуке.</w:t>
      </w:r>
    </w:p>
    <w:p w14:paraId="0ABE1785" w14:textId="0A7ADF8D" w:rsidR="008E2A79" w:rsidRPr="003A43AB" w:rsidRDefault="00682966" w:rsidP="008E2A79">
      <w:pPr>
        <w:ind w:firstLine="360"/>
        <w:jc w:val="both"/>
        <w:rPr>
          <w:sz w:val="22"/>
          <w:szCs w:val="22"/>
          <w:lang w:val="sr-Cyrl-RS"/>
        </w:rPr>
      </w:pPr>
      <w:r w:rsidRPr="003A43AB">
        <w:rPr>
          <w:lang w:val="sr-Cyrl-RS"/>
        </w:rPr>
        <w:t>Oквирним споразумом</w:t>
      </w:r>
      <w:r w:rsidR="008E2A79" w:rsidRPr="003A43AB">
        <w:rPr>
          <w:lang w:val="sr-Cyrl-RS"/>
        </w:rPr>
        <w:t xml:space="preserve"> о зајму </w:t>
      </w:r>
      <w:r w:rsidR="00623CB6" w:rsidRPr="003A43AB">
        <w:rPr>
          <w:lang w:val="sr-Cyrl-RS"/>
        </w:rPr>
        <w:t>LD 2147 (2023) између Банке за развој Савета Европе и Републике Србије – Пројектни зајам за изградњу БИО4 Кампуса</w:t>
      </w:r>
      <w:r w:rsidR="008E2A79" w:rsidRPr="003A43AB">
        <w:rPr>
          <w:lang w:val="sr-Cyrl-RS"/>
        </w:rPr>
        <w:t>, понуђени су следећи услови:</w:t>
      </w:r>
    </w:p>
    <w:p w14:paraId="699CDE18" w14:textId="77777777" w:rsidR="001F545C" w:rsidRPr="003A43AB" w:rsidRDefault="001F545C" w:rsidP="001F545C">
      <w:pPr>
        <w:pStyle w:val="ListParagraph"/>
        <w:numPr>
          <w:ilvl w:val="0"/>
          <w:numId w:val="14"/>
        </w:numPr>
        <w:jc w:val="both"/>
        <w:rPr>
          <w:lang w:val="sr-Cyrl-RS"/>
        </w:rPr>
      </w:pPr>
      <w:r w:rsidRPr="003A43AB">
        <w:rPr>
          <w:lang w:val="sr-Cyrl-RS"/>
        </w:rPr>
        <w:t>зајмодавац: Банка за развој Савета Европе;</w:t>
      </w:r>
    </w:p>
    <w:p w14:paraId="4201316F" w14:textId="77777777" w:rsidR="001F545C" w:rsidRPr="003A43AB" w:rsidRDefault="001F545C" w:rsidP="001F545C">
      <w:pPr>
        <w:pStyle w:val="ListParagraph"/>
        <w:numPr>
          <w:ilvl w:val="0"/>
          <w:numId w:val="14"/>
        </w:numPr>
        <w:jc w:val="both"/>
        <w:rPr>
          <w:lang w:val="sr-Cyrl-RS"/>
        </w:rPr>
      </w:pPr>
      <w:r w:rsidRPr="003A43AB">
        <w:rPr>
          <w:lang w:val="sr-Cyrl-RS"/>
        </w:rPr>
        <w:t>зајмопримац: Република Србија;</w:t>
      </w:r>
    </w:p>
    <w:p w14:paraId="42D24CAF" w14:textId="77777777" w:rsidR="001F545C" w:rsidRPr="003A43AB" w:rsidRDefault="001F545C" w:rsidP="003A43AB">
      <w:pPr>
        <w:pStyle w:val="ListParagraph"/>
        <w:numPr>
          <w:ilvl w:val="0"/>
          <w:numId w:val="14"/>
        </w:numPr>
        <w:ind w:left="0" w:firstLine="360"/>
        <w:jc w:val="both"/>
        <w:rPr>
          <w:lang w:val="sr-Cyrl-RS"/>
        </w:rPr>
      </w:pPr>
      <w:r w:rsidRPr="003A43AB">
        <w:rPr>
          <w:lang w:val="sr-Cyrl-RS"/>
        </w:rPr>
        <w:t>тело за спровођење Пројекта: Министарствo науке, технолошког развоја и иновација;</w:t>
      </w:r>
    </w:p>
    <w:p w14:paraId="18D4BBDB" w14:textId="77777777" w:rsidR="001F545C" w:rsidRPr="003A43AB" w:rsidRDefault="001F545C" w:rsidP="001F545C">
      <w:pPr>
        <w:pStyle w:val="ListParagraph"/>
        <w:numPr>
          <w:ilvl w:val="0"/>
          <w:numId w:val="14"/>
        </w:numPr>
        <w:jc w:val="both"/>
        <w:rPr>
          <w:lang w:val="sr-Cyrl-RS"/>
        </w:rPr>
      </w:pPr>
      <w:r w:rsidRPr="003A43AB">
        <w:rPr>
          <w:lang w:val="sr-Cyrl-RS"/>
        </w:rPr>
        <w:t>јединица за спровођење Пројекта: Министарство за јавна улагања;</w:t>
      </w:r>
    </w:p>
    <w:p w14:paraId="343771B6" w14:textId="77777777" w:rsidR="001F545C" w:rsidRPr="003A43AB" w:rsidRDefault="001F545C" w:rsidP="001F545C">
      <w:pPr>
        <w:pStyle w:val="ListParagraph"/>
        <w:numPr>
          <w:ilvl w:val="0"/>
          <w:numId w:val="14"/>
        </w:numPr>
        <w:jc w:val="both"/>
        <w:rPr>
          <w:lang w:val="sr-Cyrl-RS"/>
        </w:rPr>
      </w:pPr>
      <w:r w:rsidRPr="003A43AB">
        <w:rPr>
          <w:lang w:val="sr-Cyrl-RS"/>
        </w:rPr>
        <w:t>износ задужења: 200.000.000 евра;</w:t>
      </w:r>
    </w:p>
    <w:p w14:paraId="4E1232F3" w14:textId="77777777" w:rsidR="001F545C" w:rsidRPr="003A43AB" w:rsidRDefault="001F545C" w:rsidP="003A43AB">
      <w:pPr>
        <w:pStyle w:val="ListParagraph"/>
        <w:numPr>
          <w:ilvl w:val="0"/>
          <w:numId w:val="14"/>
        </w:numPr>
        <w:ind w:left="0" w:firstLine="360"/>
        <w:jc w:val="both"/>
        <w:rPr>
          <w:lang w:val="sr-Cyrl-RS"/>
        </w:rPr>
      </w:pPr>
      <w:r w:rsidRPr="003A43AB">
        <w:rPr>
          <w:lang w:val="sr-Cyrl-RS"/>
        </w:rPr>
        <w:t xml:space="preserve">предвиђена је могућност зајмопримца да изабере фиксну или варијабилну каматну стопу приликом повлачења транше, која ће се примењивати током читавог периода њене отплате; </w:t>
      </w:r>
    </w:p>
    <w:p w14:paraId="2B397A55" w14:textId="77777777" w:rsidR="001F545C" w:rsidRPr="003A43AB" w:rsidRDefault="001F545C" w:rsidP="003A43AB">
      <w:pPr>
        <w:pStyle w:val="ListParagraph"/>
        <w:numPr>
          <w:ilvl w:val="0"/>
          <w:numId w:val="14"/>
        </w:numPr>
        <w:ind w:left="0" w:firstLine="360"/>
        <w:jc w:val="both"/>
        <w:rPr>
          <w:lang w:val="sr-Cyrl-RS"/>
        </w:rPr>
      </w:pPr>
      <w:r w:rsidRPr="003A43AB">
        <w:rPr>
          <w:lang w:val="sr-Cyrl-RS"/>
        </w:rPr>
        <w:t>приликом повлачења транше, зајмопримац има могућност избора између годишње, полугодишње и тромесечне отплате кредита;</w:t>
      </w:r>
    </w:p>
    <w:p w14:paraId="5716D17D" w14:textId="27EF508C" w:rsidR="001F545C" w:rsidRPr="003A43AB" w:rsidRDefault="001F545C" w:rsidP="003A43AB">
      <w:pPr>
        <w:pStyle w:val="ListParagraph"/>
        <w:numPr>
          <w:ilvl w:val="0"/>
          <w:numId w:val="14"/>
        </w:numPr>
        <w:ind w:left="0" w:firstLine="360"/>
        <w:jc w:val="both"/>
        <w:rPr>
          <w:lang w:val="sr-Cyrl-RS"/>
        </w:rPr>
      </w:pPr>
      <w:r w:rsidRPr="003A43AB">
        <w:rPr>
          <w:lang w:val="sr-Cyrl-RS"/>
        </w:rPr>
        <w:t xml:space="preserve">подношење захтева за исплату прве транше у року од 12 месеци након потписивања </w:t>
      </w:r>
      <w:r w:rsidR="0027023A" w:rsidRPr="003A43AB">
        <w:rPr>
          <w:lang w:val="sr-Cyrl-RS"/>
        </w:rPr>
        <w:t xml:space="preserve">Оквирног </w:t>
      </w:r>
      <w:r w:rsidRPr="003A43AB">
        <w:rPr>
          <w:lang w:val="sr-Cyrl-RS"/>
        </w:rPr>
        <w:t>споразума о зајму;</w:t>
      </w:r>
    </w:p>
    <w:p w14:paraId="216F949C" w14:textId="77777777" w:rsidR="001F545C" w:rsidRPr="003A43AB" w:rsidRDefault="001F545C" w:rsidP="001F545C">
      <w:pPr>
        <w:pStyle w:val="ListParagraph"/>
        <w:numPr>
          <w:ilvl w:val="0"/>
          <w:numId w:val="14"/>
        </w:numPr>
        <w:jc w:val="both"/>
        <w:rPr>
          <w:lang w:val="sr-Cyrl-RS"/>
        </w:rPr>
      </w:pPr>
      <w:r w:rsidRPr="003A43AB">
        <w:rPr>
          <w:lang w:val="sr-Cyrl-RS"/>
        </w:rPr>
        <w:t>износ прве транше зајма не сме бити већи од 25% укупног износа зајма;</w:t>
      </w:r>
    </w:p>
    <w:p w14:paraId="50A4E33C" w14:textId="77777777" w:rsidR="001F545C" w:rsidRPr="003A43AB" w:rsidRDefault="001F545C" w:rsidP="001F545C">
      <w:pPr>
        <w:pStyle w:val="ListParagraph"/>
        <w:numPr>
          <w:ilvl w:val="0"/>
          <w:numId w:val="14"/>
        </w:numPr>
        <w:jc w:val="both"/>
        <w:rPr>
          <w:lang w:val="sr-Cyrl-RS"/>
        </w:rPr>
      </w:pPr>
      <w:r w:rsidRPr="003A43AB">
        <w:rPr>
          <w:lang w:val="sr-Cyrl-RS"/>
        </w:rPr>
        <w:t>приступна накнада и накнада на неповучена средства зајма се не плаћају;</w:t>
      </w:r>
    </w:p>
    <w:p w14:paraId="60AE6856" w14:textId="560D7200" w:rsidR="001F545C" w:rsidRPr="003A43AB" w:rsidRDefault="003A43AB" w:rsidP="001F545C">
      <w:pPr>
        <w:pStyle w:val="ListParagraph"/>
        <w:numPr>
          <w:ilvl w:val="0"/>
          <w:numId w:val="14"/>
        </w:numPr>
        <w:jc w:val="both"/>
        <w:rPr>
          <w:lang w:val="sr-Cyrl-RS"/>
        </w:rPr>
      </w:pPr>
      <w:r w:rsidRPr="003A43AB">
        <w:rPr>
          <w:szCs w:val="22"/>
          <w:lang w:val="sr-Cyrl-RS"/>
        </w:rPr>
        <w:t xml:space="preserve">рок </w:t>
      </w:r>
      <w:r w:rsidR="001F545C" w:rsidRPr="003A43AB">
        <w:rPr>
          <w:szCs w:val="22"/>
          <w:lang w:val="sr-Cyrl-RS"/>
        </w:rPr>
        <w:t>доспећа до 20 година, укључујући до пет година грејс периода</w:t>
      </w:r>
      <w:r w:rsidR="001F545C" w:rsidRPr="003A43AB">
        <w:rPr>
          <w:lang w:val="sr-Cyrl-RS"/>
        </w:rPr>
        <w:t>;</w:t>
      </w:r>
    </w:p>
    <w:p w14:paraId="1DE58888" w14:textId="77777777" w:rsidR="001F545C" w:rsidRPr="003A43AB" w:rsidRDefault="001F545C" w:rsidP="003A43AB">
      <w:pPr>
        <w:pStyle w:val="ListParagraph"/>
        <w:numPr>
          <w:ilvl w:val="0"/>
          <w:numId w:val="14"/>
        </w:numPr>
        <w:ind w:left="0" w:firstLine="360"/>
        <w:jc w:val="both"/>
        <w:rPr>
          <w:lang w:val="sr-Cyrl-RS"/>
        </w:rPr>
      </w:pPr>
      <w:r w:rsidRPr="003A43AB">
        <w:rPr>
          <w:lang w:val="sr-Cyrl-RS"/>
        </w:rPr>
        <w:lastRenderedPageBreak/>
        <w:t>период алокације кредитних средстава сваке транше је 12 месеци од датума исплате транше;</w:t>
      </w:r>
    </w:p>
    <w:p w14:paraId="09B3825B" w14:textId="69E4B6AC" w:rsidR="001F545C" w:rsidRPr="003A43AB" w:rsidRDefault="003A43AB" w:rsidP="001F545C">
      <w:pPr>
        <w:pStyle w:val="ListParagraph"/>
        <w:numPr>
          <w:ilvl w:val="0"/>
          <w:numId w:val="14"/>
        </w:numPr>
        <w:jc w:val="both"/>
        <w:rPr>
          <w:lang w:val="sr-Cyrl-RS"/>
        </w:rPr>
      </w:pPr>
      <w:r w:rsidRPr="003A43AB">
        <w:rPr>
          <w:szCs w:val="22"/>
          <w:lang w:val="sr-Cyrl-RS"/>
        </w:rPr>
        <w:t xml:space="preserve">каматна </w:t>
      </w:r>
      <w:r w:rsidR="001F545C" w:rsidRPr="003A43AB">
        <w:rPr>
          <w:szCs w:val="22"/>
          <w:lang w:val="sr-Cyrl-RS"/>
        </w:rPr>
        <w:t>стопа се утврђује посебно за сваку траншу;</w:t>
      </w:r>
    </w:p>
    <w:p w14:paraId="469C9255" w14:textId="34B7179A" w:rsidR="001F545C" w:rsidRPr="003A43AB" w:rsidRDefault="001F545C" w:rsidP="003A43AB">
      <w:pPr>
        <w:pStyle w:val="ListParagraph"/>
        <w:numPr>
          <w:ilvl w:val="0"/>
          <w:numId w:val="14"/>
        </w:numPr>
        <w:ind w:left="0" w:firstLine="360"/>
        <w:jc w:val="both"/>
        <w:rPr>
          <w:lang w:val="sr-Cyrl-RS"/>
        </w:rPr>
      </w:pPr>
      <w:r w:rsidRPr="003A43AB">
        <w:rPr>
          <w:lang w:val="sr-Cyrl-RS"/>
        </w:rPr>
        <w:t xml:space="preserve">крајњи датум расположивости кредитних средстава је </w:t>
      </w:r>
      <w:r w:rsidRPr="003A43AB">
        <w:rPr>
          <w:bCs/>
          <w:lang w:val="sr-Cyrl-RS"/>
        </w:rPr>
        <w:t xml:space="preserve">31. децембар 2027. године, а период реализације Пројекта је предвиђен </w:t>
      </w:r>
      <w:r w:rsidRPr="003A43AB">
        <w:rPr>
          <w:lang w:val="sr-Cyrl-RS" w:eastAsia="sr-Latn-CS"/>
        </w:rPr>
        <w:t xml:space="preserve">у периоду од 2023 </w:t>
      </w:r>
      <w:r w:rsidR="00511276">
        <w:rPr>
          <w:lang w:val="sr-Cyrl-RS" w:eastAsia="sr-Latn-CS"/>
        </w:rPr>
        <w:t>до</w:t>
      </w:r>
      <w:r w:rsidRPr="003A43AB">
        <w:rPr>
          <w:lang w:val="sr-Cyrl-RS" w:eastAsia="sr-Latn-CS"/>
        </w:rPr>
        <w:t xml:space="preserve"> 2026. године</w:t>
      </w:r>
      <w:r w:rsidRPr="003A43AB">
        <w:rPr>
          <w:lang w:val="sr-Cyrl-RS"/>
        </w:rPr>
        <w:t xml:space="preserve">; </w:t>
      </w:r>
    </w:p>
    <w:p w14:paraId="7FA6A656" w14:textId="77777777" w:rsidR="001F545C" w:rsidRPr="003A43AB" w:rsidRDefault="001F545C" w:rsidP="001F545C">
      <w:pPr>
        <w:pStyle w:val="ListParagraph"/>
        <w:numPr>
          <w:ilvl w:val="0"/>
          <w:numId w:val="14"/>
        </w:numPr>
        <w:jc w:val="both"/>
        <w:rPr>
          <w:lang w:val="sr-Cyrl-RS"/>
        </w:rPr>
      </w:pPr>
      <w:r w:rsidRPr="003A43AB">
        <w:rPr>
          <w:lang w:val="sr-Cyrl-RS"/>
        </w:rPr>
        <w:t>зајам се реализује у најмање две транше.</w:t>
      </w:r>
    </w:p>
    <w:p w14:paraId="368E75D4" w14:textId="5A0C5057" w:rsidR="001F545C" w:rsidRPr="003A43AB" w:rsidRDefault="001F545C" w:rsidP="003A43AB">
      <w:pPr>
        <w:jc w:val="both"/>
        <w:rPr>
          <w:lang w:val="sr-Cyrl-RS"/>
        </w:rPr>
      </w:pPr>
    </w:p>
    <w:p w14:paraId="7206AA72" w14:textId="69796494" w:rsidR="00F41597" w:rsidRPr="003A43AB" w:rsidRDefault="003C16D5" w:rsidP="0003766A">
      <w:pPr>
        <w:ind w:firstLine="720"/>
        <w:jc w:val="both"/>
        <w:rPr>
          <w:lang w:val="sr-Cyrl-RS"/>
        </w:rPr>
      </w:pPr>
      <w:r w:rsidRPr="003A43AB">
        <w:rPr>
          <w:lang w:val="sr-Cyrl-RS"/>
        </w:rPr>
        <w:t>Закључком Владе 05 Број: 48-8172</w:t>
      </w:r>
      <w:r w:rsidR="00EA33C3" w:rsidRPr="003A43AB">
        <w:rPr>
          <w:lang w:val="sr-Cyrl-RS"/>
        </w:rPr>
        <w:t>/2023</w:t>
      </w:r>
      <w:r w:rsidR="0082687B">
        <w:rPr>
          <w:lang w:val="sr-Cyrl-RS"/>
        </w:rPr>
        <w:t>-1 од 12. септембра</w:t>
      </w:r>
      <w:r w:rsidR="00EA33C3" w:rsidRPr="003A43AB">
        <w:rPr>
          <w:lang w:val="sr-Cyrl-RS"/>
        </w:rPr>
        <w:t xml:space="preserve"> 2023. године, утврђена је Oснова за во</w:t>
      </w:r>
      <w:r w:rsidR="007F3A3C" w:rsidRPr="003A43AB">
        <w:rPr>
          <w:lang w:val="sr-Cyrl-RS"/>
        </w:rPr>
        <w:t>ђење преговора са Банком за развој Савета Европе</w:t>
      </w:r>
      <w:r w:rsidR="00EA33C3" w:rsidRPr="003A43AB">
        <w:rPr>
          <w:lang w:val="sr-Cyrl-RS"/>
        </w:rPr>
        <w:t xml:space="preserve"> у вези са одобравањем </w:t>
      </w:r>
      <w:r w:rsidRPr="003A43AB">
        <w:rPr>
          <w:lang w:val="sr-Cyrl-RS"/>
        </w:rPr>
        <w:t xml:space="preserve">Пројектног зајма за изградњу БИО4 Кампуса, </w:t>
      </w:r>
      <w:r w:rsidR="00EA33C3" w:rsidRPr="003A43AB">
        <w:rPr>
          <w:lang w:val="sr-Cyrl-RS"/>
        </w:rPr>
        <w:t xml:space="preserve">одређен </w:t>
      </w:r>
      <w:r w:rsidR="00422FD0" w:rsidRPr="003A43AB">
        <w:rPr>
          <w:lang w:val="sr-Cyrl-RS"/>
        </w:rPr>
        <w:t xml:space="preserve">је </w:t>
      </w:r>
      <w:r w:rsidR="00EA33C3" w:rsidRPr="003A43AB">
        <w:rPr>
          <w:lang w:val="sr-Cyrl-RS"/>
        </w:rPr>
        <w:t>пр</w:t>
      </w:r>
      <w:r w:rsidR="0003766A" w:rsidRPr="003A43AB">
        <w:rPr>
          <w:lang w:val="sr-Cyrl-RS"/>
        </w:rPr>
        <w:t>еговарачки тим Републике Србије,</w:t>
      </w:r>
      <w:r w:rsidR="00586566" w:rsidRPr="003A43AB">
        <w:rPr>
          <w:lang w:val="sr-Cyrl-RS"/>
        </w:rPr>
        <w:t xml:space="preserve"> усвојен је </w:t>
      </w:r>
      <w:r w:rsidRPr="003A43AB">
        <w:rPr>
          <w:lang w:val="sr-Cyrl-RS"/>
        </w:rPr>
        <w:t xml:space="preserve">Нацрт оквирног споразума о зајму LD 2147 (2023) између Банке за развој Савета Европе и Републике Србије – Пројектни зајам за изградњу БИО4 Кампуса </w:t>
      </w:r>
      <w:r w:rsidR="00586566" w:rsidRPr="003A43AB">
        <w:rPr>
          <w:lang w:val="sr-Cyrl-RS"/>
        </w:rPr>
        <w:t>и овлашћен је Синиша Мали, потпредседник Владе и министар финансија, да у име Владе, као заступника Ре</w:t>
      </w:r>
      <w:r w:rsidR="0003766A" w:rsidRPr="003A43AB">
        <w:rPr>
          <w:lang w:val="sr-Cyrl-RS"/>
        </w:rPr>
        <w:t>публике Србије, потпише Оквирни с</w:t>
      </w:r>
      <w:r w:rsidR="00586566" w:rsidRPr="003A43AB">
        <w:rPr>
          <w:lang w:val="sr-Cyrl-RS"/>
        </w:rPr>
        <w:t>поразум</w:t>
      </w:r>
      <w:r w:rsidR="0003766A" w:rsidRPr="003A43AB">
        <w:rPr>
          <w:lang w:val="sr-Cyrl-RS"/>
        </w:rPr>
        <w:t xml:space="preserve"> о зајму </w:t>
      </w:r>
      <w:r w:rsidRPr="003A43AB">
        <w:rPr>
          <w:lang w:val="sr-Cyrl-RS"/>
        </w:rPr>
        <w:t>LD 2147 (2023) између Банке за развој Савета Европе и Републике Србије – Пројектни зајам за изградњу БИО4 Кампуса</w:t>
      </w:r>
      <w:r w:rsidR="00013B44" w:rsidRPr="003A43AB">
        <w:rPr>
          <w:lang w:val="sr-Cyrl-RS"/>
        </w:rPr>
        <w:t xml:space="preserve">. Наведени споразум </w:t>
      </w:r>
      <w:r w:rsidR="00422FD0" w:rsidRPr="003A43AB">
        <w:rPr>
          <w:lang w:val="sr-Cyrl-RS"/>
        </w:rPr>
        <w:t>потписан је 15.</w:t>
      </w:r>
      <w:r w:rsidR="00544F03" w:rsidRPr="003A43AB">
        <w:rPr>
          <w:lang w:val="sr-Cyrl-RS"/>
        </w:rPr>
        <w:t xml:space="preserve"> септембра 2023. године у Паризу и 22. септембра</w:t>
      </w:r>
      <w:r w:rsidR="00422FD0" w:rsidRPr="003A43AB">
        <w:rPr>
          <w:lang w:val="sr-Cyrl-RS"/>
        </w:rPr>
        <w:t xml:space="preserve"> 2023. године у Београду.</w:t>
      </w:r>
      <w:r w:rsidRPr="003A43AB">
        <w:rPr>
          <w:lang w:val="sr-Cyrl-RS"/>
        </w:rPr>
        <w:t xml:space="preserve"> </w:t>
      </w:r>
      <w:r w:rsidR="00544F03" w:rsidRPr="003A43AB">
        <w:rPr>
          <w:lang w:val="sr-Cyrl-RS"/>
        </w:rPr>
        <w:t xml:space="preserve"> </w:t>
      </w:r>
    </w:p>
    <w:p w14:paraId="55C4EB8F" w14:textId="77777777" w:rsidR="00726477" w:rsidRPr="003A43AB" w:rsidRDefault="00384EA3" w:rsidP="00726477">
      <w:pPr>
        <w:ind w:firstLine="708"/>
        <w:jc w:val="both"/>
        <w:rPr>
          <w:lang w:val="sr-Cyrl-RS"/>
        </w:rPr>
      </w:pPr>
      <w:r w:rsidRPr="003A43AB">
        <w:rPr>
          <w:bCs/>
          <w:lang w:val="sr-Cyrl-RS"/>
        </w:rPr>
        <w:tab/>
      </w:r>
    </w:p>
    <w:p w14:paraId="7E8DC1D5" w14:textId="77777777" w:rsidR="00692046" w:rsidRPr="003A43AB" w:rsidRDefault="00692046" w:rsidP="00692046">
      <w:pPr>
        <w:ind w:firstLine="720"/>
        <w:jc w:val="both"/>
        <w:rPr>
          <w:lang w:val="sr-Cyrl-RS"/>
        </w:rPr>
      </w:pPr>
      <w:r w:rsidRPr="003A43AB">
        <w:rPr>
          <w:lang w:val="sr-Cyrl-RS"/>
        </w:rPr>
        <w:t xml:space="preserve">III. ОБЈАШЊЕЊЕ ОСНОВНИХ ПРАВНИХ ИНСТИТУТА И ПОЈЕДИНАЧНИХ РЕШЕЊА </w:t>
      </w:r>
    </w:p>
    <w:p w14:paraId="1F52165F" w14:textId="77777777" w:rsidR="00692046" w:rsidRPr="003A43AB" w:rsidRDefault="00692046" w:rsidP="00692046">
      <w:pPr>
        <w:jc w:val="both"/>
        <w:rPr>
          <w:lang w:val="sr-Cyrl-RS"/>
        </w:rPr>
      </w:pPr>
    </w:p>
    <w:p w14:paraId="3CB58D1C" w14:textId="305F484B" w:rsidR="00A102E8" w:rsidRPr="003A43AB" w:rsidRDefault="00A102E8" w:rsidP="00A102E8">
      <w:pPr>
        <w:ind w:firstLine="720"/>
        <w:jc w:val="both"/>
        <w:rPr>
          <w:lang w:val="sr-Cyrl-RS"/>
        </w:rPr>
      </w:pPr>
      <w:r w:rsidRPr="003A43AB">
        <w:rPr>
          <w:lang w:val="sr-Cyrl-RS"/>
        </w:rPr>
        <w:t xml:space="preserve">Одредбом члана 1. </w:t>
      </w:r>
      <w:r w:rsidR="003A43AB" w:rsidRPr="003A43AB">
        <w:rPr>
          <w:lang w:val="sr-Cyrl-RS"/>
        </w:rPr>
        <w:t>Предлога</w:t>
      </w:r>
      <w:r w:rsidRPr="003A43AB">
        <w:rPr>
          <w:lang w:val="sr-Cyrl-RS"/>
        </w:rPr>
        <w:t xml:space="preserve"> закона предвиђа се потврђивање</w:t>
      </w:r>
      <w:r w:rsidRPr="003A43AB">
        <w:rPr>
          <w:rFonts w:eastAsia="SimSun"/>
          <w:lang w:val="sr-Cyrl-RS"/>
        </w:rPr>
        <w:t xml:space="preserve"> </w:t>
      </w:r>
      <w:r w:rsidRPr="003A43AB">
        <w:rPr>
          <w:lang w:val="sr-Cyrl-RS"/>
        </w:rPr>
        <w:t>Оквирног споразума о зајму</w:t>
      </w:r>
      <w:r w:rsidR="00244B9E" w:rsidRPr="003A43AB">
        <w:rPr>
          <w:lang w:val="sr-Cyrl-RS"/>
        </w:rPr>
        <w:t xml:space="preserve"> LD 2147 (2023) између Банке за развој Савета Европе и Републике Србије – Пројектни зајам за изградњу БИО4 Кампуса, </w:t>
      </w:r>
      <w:r w:rsidRPr="003A43AB">
        <w:rPr>
          <w:lang w:val="sr-Cyrl-RS"/>
        </w:rPr>
        <w:t xml:space="preserve">који је потписан је </w:t>
      </w:r>
      <w:r w:rsidR="00544F03" w:rsidRPr="003A43AB">
        <w:rPr>
          <w:lang w:val="sr-Cyrl-RS"/>
        </w:rPr>
        <w:t>15. септембра 2023. године у Паризу и 22. септембра 2023. године у Београду</w:t>
      </w:r>
      <w:r w:rsidRPr="003A43AB">
        <w:rPr>
          <w:lang w:val="sr-Cyrl-RS"/>
        </w:rPr>
        <w:t xml:space="preserve">, </w:t>
      </w:r>
      <w:r w:rsidRPr="003A43AB">
        <w:rPr>
          <w:rFonts w:eastAsia="SimSun"/>
          <w:lang w:val="sr-Cyrl-RS"/>
        </w:rPr>
        <w:t xml:space="preserve">у оригиналу на енглеском језику. </w:t>
      </w:r>
      <w:r w:rsidR="00544F03" w:rsidRPr="003A43AB">
        <w:rPr>
          <w:rFonts w:eastAsia="SimSun"/>
          <w:lang w:val="sr-Cyrl-RS"/>
        </w:rPr>
        <w:t xml:space="preserve"> </w:t>
      </w:r>
    </w:p>
    <w:p w14:paraId="5C7B9F1E" w14:textId="1DCA11EE" w:rsidR="00A102E8" w:rsidRPr="003A43AB" w:rsidRDefault="00A102E8" w:rsidP="00692046">
      <w:pPr>
        <w:ind w:firstLine="720"/>
        <w:jc w:val="both"/>
        <w:rPr>
          <w:lang w:val="sr-Cyrl-RS"/>
        </w:rPr>
      </w:pPr>
      <w:r w:rsidRPr="003A43AB">
        <w:rPr>
          <w:lang w:val="sr-Cyrl-RS"/>
        </w:rPr>
        <w:t xml:space="preserve">Одредба члана 2. </w:t>
      </w:r>
      <w:r w:rsidR="003A43AB" w:rsidRPr="003A43AB">
        <w:rPr>
          <w:lang w:val="sr-Cyrl-RS"/>
        </w:rPr>
        <w:t xml:space="preserve">Предлога </w:t>
      </w:r>
      <w:r w:rsidRPr="003A43AB">
        <w:rPr>
          <w:lang w:val="sr-Cyrl-RS"/>
        </w:rPr>
        <w:t xml:space="preserve">закона садржи текст Оквирног споразума о зајму </w:t>
      </w:r>
      <w:r w:rsidR="00244B9E" w:rsidRPr="003A43AB">
        <w:rPr>
          <w:lang w:val="sr-Cyrl-RS"/>
        </w:rPr>
        <w:t>LD 2147 (2023) између Банке за развој Савета Европе и Републике Србије – Пројектни зајам за изградњу БИО4 Кампуса</w:t>
      </w:r>
      <w:r w:rsidR="006770AF" w:rsidRPr="003A43AB">
        <w:rPr>
          <w:lang w:val="sr-Cyrl-RS"/>
        </w:rPr>
        <w:t xml:space="preserve"> </w:t>
      </w:r>
      <w:r w:rsidRPr="003A43AB">
        <w:rPr>
          <w:lang w:val="sr-Cyrl-RS"/>
        </w:rPr>
        <w:t xml:space="preserve">у оригиналу на енглеском језику и у преводу на српски језик. </w:t>
      </w:r>
      <w:r w:rsidR="002D15DA" w:rsidRPr="003A43AB">
        <w:rPr>
          <w:lang w:val="sr-Cyrl-RS"/>
        </w:rPr>
        <w:t xml:space="preserve"> </w:t>
      </w:r>
      <w:r w:rsidR="00527B40" w:rsidRPr="003A43AB">
        <w:rPr>
          <w:lang w:val="sr-Cyrl-RS"/>
        </w:rPr>
        <w:t xml:space="preserve"> </w:t>
      </w:r>
    </w:p>
    <w:p w14:paraId="72A823C4" w14:textId="1D33A7E5" w:rsidR="00FE3124" w:rsidRPr="003A43AB" w:rsidRDefault="00A102E8" w:rsidP="00692046">
      <w:pPr>
        <w:ind w:firstLine="720"/>
        <w:jc w:val="both"/>
        <w:rPr>
          <w:lang w:val="sr-Cyrl-RS"/>
        </w:rPr>
      </w:pPr>
      <w:r w:rsidRPr="003A43AB">
        <w:rPr>
          <w:lang w:val="sr-Cyrl-RS"/>
        </w:rPr>
        <w:t xml:space="preserve"> </w:t>
      </w:r>
    </w:p>
    <w:p w14:paraId="656ADDB5" w14:textId="4037C0D8" w:rsidR="00692046" w:rsidRPr="003A43AB" w:rsidRDefault="00692046" w:rsidP="00692046">
      <w:pPr>
        <w:ind w:firstLine="720"/>
        <w:jc w:val="both"/>
        <w:rPr>
          <w:lang w:val="sr-Cyrl-RS"/>
        </w:rPr>
      </w:pPr>
      <w:r w:rsidRPr="003A43AB">
        <w:rPr>
          <w:lang w:val="sr-Cyrl-RS"/>
        </w:rPr>
        <w:t xml:space="preserve">Одредбом члана 3. </w:t>
      </w:r>
      <w:r w:rsidR="003A43AB" w:rsidRPr="003A43AB">
        <w:rPr>
          <w:lang w:val="sr-Cyrl-RS"/>
        </w:rPr>
        <w:t xml:space="preserve">Предлога закона </w:t>
      </w:r>
      <w:r w:rsidRPr="003A43AB">
        <w:rPr>
          <w:lang w:val="sr-Cyrl-RS"/>
        </w:rPr>
        <w:t xml:space="preserve">уређује се ступање на снагу овог закона. </w:t>
      </w:r>
      <w:r w:rsidR="00C704EA" w:rsidRPr="003A43AB">
        <w:rPr>
          <w:lang w:val="sr-Cyrl-RS"/>
        </w:rPr>
        <w:t xml:space="preserve"> </w:t>
      </w:r>
    </w:p>
    <w:p w14:paraId="4FC85F71" w14:textId="77777777" w:rsidR="00692046" w:rsidRPr="003A43AB" w:rsidRDefault="00692046" w:rsidP="00692046">
      <w:pPr>
        <w:ind w:firstLine="720"/>
        <w:jc w:val="both"/>
        <w:rPr>
          <w:bCs/>
          <w:lang w:val="sr-Cyrl-RS"/>
        </w:rPr>
      </w:pPr>
    </w:p>
    <w:p w14:paraId="55024119" w14:textId="77777777" w:rsidR="00692046" w:rsidRPr="003A43AB" w:rsidRDefault="00692046" w:rsidP="00692046">
      <w:pPr>
        <w:ind w:firstLine="720"/>
        <w:jc w:val="both"/>
        <w:rPr>
          <w:bCs/>
          <w:lang w:val="sr-Cyrl-RS"/>
        </w:rPr>
      </w:pPr>
      <w:r w:rsidRPr="003A43AB">
        <w:rPr>
          <w:bCs/>
          <w:lang w:val="sr-Cyrl-RS"/>
        </w:rPr>
        <w:t>IV. ПРОЦЕНА ИЗНОСА ФИНАНСИЈСКИХ СРЕДСТАВА ПОТРЕБНИХ ЗА   СПРОВОЂЕЊЕ ЗАКОНА</w:t>
      </w:r>
    </w:p>
    <w:p w14:paraId="52884E1F" w14:textId="77777777" w:rsidR="00692046" w:rsidRPr="003A43AB" w:rsidRDefault="00692046" w:rsidP="00692046">
      <w:pPr>
        <w:jc w:val="both"/>
        <w:rPr>
          <w:lang w:val="sr-Cyrl-RS"/>
        </w:rPr>
      </w:pPr>
    </w:p>
    <w:p w14:paraId="5229E6A2" w14:textId="77777777" w:rsidR="00692046" w:rsidRPr="003A43AB" w:rsidRDefault="00692046" w:rsidP="00692046">
      <w:pPr>
        <w:jc w:val="both"/>
        <w:rPr>
          <w:lang w:val="sr-Cyrl-RS"/>
        </w:rPr>
      </w:pPr>
      <w:r w:rsidRPr="003A43AB">
        <w:rPr>
          <w:lang w:val="sr-Cyrl-RS"/>
        </w:rPr>
        <w:tab/>
        <w:t>За спровођење овог закона обезбеђиваће се средства у буџету Републике Србије.</w:t>
      </w:r>
    </w:p>
    <w:p w14:paraId="2C81B9DB" w14:textId="77777777" w:rsidR="00692046" w:rsidRPr="003A43AB" w:rsidRDefault="00692046" w:rsidP="00692046">
      <w:pPr>
        <w:jc w:val="both"/>
        <w:rPr>
          <w:lang w:val="sr-Cyrl-RS"/>
        </w:rPr>
      </w:pPr>
    </w:p>
    <w:p w14:paraId="45BA7E42" w14:textId="77777777" w:rsidR="00726477" w:rsidRPr="003A43AB" w:rsidRDefault="00726477" w:rsidP="008D1D14">
      <w:pPr>
        <w:jc w:val="both"/>
        <w:rPr>
          <w:lang w:val="sr-Cyrl-RS"/>
        </w:rPr>
      </w:pPr>
    </w:p>
    <w:sectPr w:rsidR="00726477" w:rsidRPr="003A43AB"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8279D" w14:textId="77777777" w:rsidR="006754BB" w:rsidRDefault="006754BB">
      <w:r>
        <w:separator/>
      </w:r>
    </w:p>
  </w:endnote>
  <w:endnote w:type="continuationSeparator" w:id="0">
    <w:p w14:paraId="76914DD0" w14:textId="77777777" w:rsidR="006754BB" w:rsidRDefault="0067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B163A" w14:textId="77777777"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7082B0" w14:textId="77777777" w:rsidR="00726477" w:rsidRDefault="0072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C2AB1" w14:textId="77777777" w:rsidR="006754BB" w:rsidRDefault="006754BB">
      <w:r>
        <w:separator/>
      </w:r>
    </w:p>
  </w:footnote>
  <w:footnote w:type="continuationSeparator" w:id="0">
    <w:p w14:paraId="09DFBCE5" w14:textId="77777777" w:rsidR="006754BB" w:rsidRDefault="00675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25EA" w14:textId="77777777"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9E552D" w14:textId="77777777" w:rsidR="00726477" w:rsidRDefault="0072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60EFC" w14:textId="6B0B419A" w:rsidR="00726477" w:rsidRDefault="00726477"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687B">
      <w:rPr>
        <w:rStyle w:val="PageNumber"/>
        <w:noProof/>
      </w:rPr>
      <w:t>2</w:t>
    </w:r>
    <w:r>
      <w:rPr>
        <w:rStyle w:val="PageNumber"/>
      </w:rPr>
      <w:fldChar w:fldCharType="end"/>
    </w:r>
  </w:p>
  <w:p w14:paraId="5659ACCB" w14:textId="77777777" w:rsidR="00726477" w:rsidRDefault="0072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9AF"/>
    <w:multiLevelType w:val="hybridMultilevel"/>
    <w:tmpl w:val="9566F45A"/>
    <w:lvl w:ilvl="0" w:tplc="FFFFFFFF">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03F00A9"/>
    <w:multiLevelType w:val="hybridMultilevel"/>
    <w:tmpl w:val="8A88244A"/>
    <w:lvl w:ilvl="0" w:tplc="8FE275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50926"/>
    <w:multiLevelType w:val="hybridMultilevel"/>
    <w:tmpl w:val="DCE015F2"/>
    <w:lvl w:ilvl="0" w:tplc="281A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6"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start w:val="1"/>
      <w:numFmt w:val="bullet"/>
      <w:lvlText w:val="o"/>
      <w:lvlJc w:val="left"/>
      <w:pPr>
        <w:ind w:left="2755" w:hanging="360"/>
      </w:pPr>
      <w:rPr>
        <w:rFonts w:ascii="Courier New" w:hAnsi="Courier New" w:cs="Courier New" w:hint="default"/>
      </w:rPr>
    </w:lvl>
    <w:lvl w:ilvl="2" w:tplc="241A0005">
      <w:start w:val="1"/>
      <w:numFmt w:val="bullet"/>
      <w:lvlText w:val=""/>
      <w:lvlJc w:val="left"/>
      <w:pPr>
        <w:ind w:left="3475" w:hanging="360"/>
      </w:pPr>
      <w:rPr>
        <w:rFonts w:ascii="Wingdings" w:hAnsi="Wingdings" w:hint="default"/>
      </w:rPr>
    </w:lvl>
    <w:lvl w:ilvl="3" w:tplc="241A0001">
      <w:start w:val="1"/>
      <w:numFmt w:val="bullet"/>
      <w:lvlText w:val=""/>
      <w:lvlJc w:val="left"/>
      <w:pPr>
        <w:ind w:left="4195" w:hanging="360"/>
      </w:pPr>
      <w:rPr>
        <w:rFonts w:ascii="Symbol" w:hAnsi="Symbol" w:hint="default"/>
      </w:rPr>
    </w:lvl>
    <w:lvl w:ilvl="4" w:tplc="241A0003">
      <w:start w:val="1"/>
      <w:numFmt w:val="bullet"/>
      <w:lvlText w:val="o"/>
      <w:lvlJc w:val="left"/>
      <w:pPr>
        <w:ind w:left="4915" w:hanging="360"/>
      </w:pPr>
      <w:rPr>
        <w:rFonts w:ascii="Courier New" w:hAnsi="Courier New" w:cs="Courier New" w:hint="default"/>
      </w:rPr>
    </w:lvl>
    <w:lvl w:ilvl="5" w:tplc="241A0005">
      <w:start w:val="1"/>
      <w:numFmt w:val="bullet"/>
      <w:lvlText w:val=""/>
      <w:lvlJc w:val="left"/>
      <w:pPr>
        <w:ind w:left="5635" w:hanging="360"/>
      </w:pPr>
      <w:rPr>
        <w:rFonts w:ascii="Wingdings" w:hAnsi="Wingdings" w:hint="default"/>
      </w:rPr>
    </w:lvl>
    <w:lvl w:ilvl="6" w:tplc="241A0001">
      <w:start w:val="1"/>
      <w:numFmt w:val="bullet"/>
      <w:lvlText w:val=""/>
      <w:lvlJc w:val="left"/>
      <w:pPr>
        <w:ind w:left="6355" w:hanging="360"/>
      </w:pPr>
      <w:rPr>
        <w:rFonts w:ascii="Symbol" w:hAnsi="Symbol" w:hint="default"/>
      </w:rPr>
    </w:lvl>
    <w:lvl w:ilvl="7" w:tplc="241A0003">
      <w:start w:val="1"/>
      <w:numFmt w:val="bullet"/>
      <w:lvlText w:val="o"/>
      <w:lvlJc w:val="left"/>
      <w:pPr>
        <w:ind w:left="7075" w:hanging="360"/>
      </w:pPr>
      <w:rPr>
        <w:rFonts w:ascii="Courier New" w:hAnsi="Courier New" w:cs="Courier New" w:hint="default"/>
      </w:rPr>
    </w:lvl>
    <w:lvl w:ilvl="8" w:tplc="241A0005">
      <w:start w:val="1"/>
      <w:numFmt w:val="bullet"/>
      <w:lvlText w:val=""/>
      <w:lvlJc w:val="left"/>
      <w:pPr>
        <w:ind w:left="7795" w:hanging="360"/>
      </w:pPr>
      <w:rPr>
        <w:rFonts w:ascii="Wingdings" w:hAnsi="Wingdings" w:hint="default"/>
      </w:rPr>
    </w:lvl>
  </w:abstractNum>
  <w:abstractNum w:abstractNumId="11" w15:restartNumberingAfterBreak="0">
    <w:nsid w:val="47107CD4"/>
    <w:multiLevelType w:val="hybridMultilevel"/>
    <w:tmpl w:val="55AAF58E"/>
    <w:lvl w:ilvl="0" w:tplc="DD581434">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4AD16D44"/>
    <w:multiLevelType w:val="hybridMultilevel"/>
    <w:tmpl w:val="1840B348"/>
    <w:lvl w:ilvl="0" w:tplc="DD581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63FB53EB"/>
    <w:multiLevelType w:val="hybridMultilevel"/>
    <w:tmpl w:val="64883A62"/>
    <w:lvl w:ilvl="0" w:tplc="DD581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23780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06452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2482076">
    <w:abstractNumId w:val="7"/>
  </w:num>
  <w:num w:numId="4" w16cid:durableId="196816810">
    <w:abstractNumId w:val="13"/>
  </w:num>
  <w:num w:numId="5" w16cid:durableId="1713995225">
    <w:abstractNumId w:val="6"/>
  </w:num>
  <w:num w:numId="6" w16cid:durableId="480658787">
    <w:abstractNumId w:val="5"/>
  </w:num>
  <w:num w:numId="7" w16cid:durableId="487020617">
    <w:abstractNumId w:val="9"/>
  </w:num>
  <w:num w:numId="8" w16cid:durableId="2010601139">
    <w:abstractNumId w:val="3"/>
  </w:num>
  <w:num w:numId="9" w16cid:durableId="1758864841">
    <w:abstractNumId w:val="8"/>
  </w:num>
  <w:num w:numId="10" w16cid:durableId="636909484">
    <w:abstractNumId w:val="1"/>
  </w:num>
  <w:num w:numId="11" w16cid:durableId="1240941283">
    <w:abstractNumId w:val="12"/>
  </w:num>
  <w:num w:numId="12" w16cid:durableId="1168640770">
    <w:abstractNumId w:val="10"/>
  </w:num>
  <w:num w:numId="13" w16cid:durableId="839000813">
    <w:abstractNumId w:val="2"/>
  </w:num>
  <w:num w:numId="14" w16cid:durableId="1479691281">
    <w:abstractNumId w:val="15"/>
  </w:num>
  <w:num w:numId="15" w16cid:durableId="1342078168">
    <w:abstractNumId w:val="11"/>
  </w:num>
  <w:num w:numId="16" w16cid:durableId="882331615">
    <w:abstractNumId w:val="0"/>
  </w:num>
  <w:num w:numId="17" w16cid:durableId="12345820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E17"/>
    <w:rsid w:val="00013B44"/>
    <w:rsid w:val="00032B9A"/>
    <w:rsid w:val="0003766A"/>
    <w:rsid w:val="000437FA"/>
    <w:rsid w:val="00056385"/>
    <w:rsid w:val="00062F06"/>
    <w:rsid w:val="000632D9"/>
    <w:rsid w:val="00064108"/>
    <w:rsid w:val="000821BE"/>
    <w:rsid w:val="00082731"/>
    <w:rsid w:val="000828FE"/>
    <w:rsid w:val="000934C3"/>
    <w:rsid w:val="0009350A"/>
    <w:rsid w:val="000A50DC"/>
    <w:rsid w:val="000B0459"/>
    <w:rsid w:val="000B1A47"/>
    <w:rsid w:val="000B433B"/>
    <w:rsid w:val="000B4E48"/>
    <w:rsid w:val="000B53A9"/>
    <w:rsid w:val="000B70BA"/>
    <w:rsid w:val="000C1F4C"/>
    <w:rsid w:val="000C4E82"/>
    <w:rsid w:val="000D143F"/>
    <w:rsid w:val="000D421F"/>
    <w:rsid w:val="000E05B7"/>
    <w:rsid w:val="00103B05"/>
    <w:rsid w:val="00105291"/>
    <w:rsid w:val="00113ACC"/>
    <w:rsid w:val="0011444A"/>
    <w:rsid w:val="00117CB4"/>
    <w:rsid w:val="00126325"/>
    <w:rsid w:val="00137165"/>
    <w:rsid w:val="00144767"/>
    <w:rsid w:val="00144B23"/>
    <w:rsid w:val="00147749"/>
    <w:rsid w:val="00153626"/>
    <w:rsid w:val="001667F5"/>
    <w:rsid w:val="0017351E"/>
    <w:rsid w:val="001A3B02"/>
    <w:rsid w:val="001A6A09"/>
    <w:rsid w:val="001A7148"/>
    <w:rsid w:val="001A77EC"/>
    <w:rsid w:val="001B4712"/>
    <w:rsid w:val="001B547D"/>
    <w:rsid w:val="001B66FD"/>
    <w:rsid w:val="001C546D"/>
    <w:rsid w:val="001C5E2D"/>
    <w:rsid w:val="001E18F2"/>
    <w:rsid w:val="001E1C8B"/>
    <w:rsid w:val="001E3AA3"/>
    <w:rsid w:val="001E418E"/>
    <w:rsid w:val="001E7107"/>
    <w:rsid w:val="001F1228"/>
    <w:rsid w:val="001F1945"/>
    <w:rsid w:val="001F545C"/>
    <w:rsid w:val="00204A89"/>
    <w:rsid w:val="002052E3"/>
    <w:rsid w:val="00207554"/>
    <w:rsid w:val="00211033"/>
    <w:rsid w:val="002154D9"/>
    <w:rsid w:val="0022669F"/>
    <w:rsid w:val="00241C0E"/>
    <w:rsid w:val="00243DD8"/>
    <w:rsid w:val="00244B9E"/>
    <w:rsid w:val="00253453"/>
    <w:rsid w:val="00255BA5"/>
    <w:rsid w:val="0025659C"/>
    <w:rsid w:val="0025742D"/>
    <w:rsid w:val="00260196"/>
    <w:rsid w:val="0027023A"/>
    <w:rsid w:val="00272201"/>
    <w:rsid w:val="00281206"/>
    <w:rsid w:val="00282F56"/>
    <w:rsid w:val="00286C70"/>
    <w:rsid w:val="00291078"/>
    <w:rsid w:val="002912F5"/>
    <w:rsid w:val="002A19F2"/>
    <w:rsid w:val="002C140C"/>
    <w:rsid w:val="002D15DA"/>
    <w:rsid w:val="002D3219"/>
    <w:rsid w:val="002E2A9D"/>
    <w:rsid w:val="002F1750"/>
    <w:rsid w:val="0030234C"/>
    <w:rsid w:val="00302F02"/>
    <w:rsid w:val="00305959"/>
    <w:rsid w:val="00313C37"/>
    <w:rsid w:val="003151AD"/>
    <w:rsid w:val="00316AB7"/>
    <w:rsid w:val="00321404"/>
    <w:rsid w:val="00321414"/>
    <w:rsid w:val="00321BFA"/>
    <w:rsid w:val="003234C8"/>
    <w:rsid w:val="00336B9C"/>
    <w:rsid w:val="00344F7E"/>
    <w:rsid w:val="00353B84"/>
    <w:rsid w:val="003627B1"/>
    <w:rsid w:val="0037221F"/>
    <w:rsid w:val="00375309"/>
    <w:rsid w:val="0038219E"/>
    <w:rsid w:val="00384EA3"/>
    <w:rsid w:val="00387AD2"/>
    <w:rsid w:val="003A43AB"/>
    <w:rsid w:val="003B34BB"/>
    <w:rsid w:val="003C0CD0"/>
    <w:rsid w:val="003C0D13"/>
    <w:rsid w:val="003C16D5"/>
    <w:rsid w:val="003C2142"/>
    <w:rsid w:val="003D5D3E"/>
    <w:rsid w:val="003D6DBA"/>
    <w:rsid w:val="003E6854"/>
    <w:rsid w:val="003E6BA6"/>
    <w:rsid w:val="003F7B23"/>
    <w:rsid w:val="0040098B"/>
    <w:rsid w:val="0040226C"/>
    <w:rsid w:val="0041332A"/>
    <w:rsid w:val="00422FD0"/>
    <w:rsid w:val="00423BF8"/>
    <w:rsid w:val="00425F20"/>
    <w:rsid w:val="004651F6"/>
    <w:rsid w:val="004662DE"/>
    <w:rsid w:val="00470AE5"/>
    <w:rsid w:val="00475346"/>
    <w:rsid w:val="00475C98"/>
    <w:rsid w:val="00483A90"/>
    <w:rsid w:val="00485D86"/>
    <w:rsid w:val="004A33F0"/>
    <w:rsid w:val="004A3461"/>
    <w:rsid w:val="004B0478"/>
    <w:rsid w:val="004B4959"/>
    <w:rsid w:val="004E689B"/>
    <w:rsid w:val="0050214C"/>
    <w:rsid w:val="00507384"/>
    <w:rsid w:val="00507842"/>
    <w:rsid w:val="00511276"/>
    <w:rsid w:val="0051653A"/>
    <w:rsid w:val="005233EB"/>
    <w:rsid w:val="00525648"/>
    <w:rsid w:val="00525E17"/>
    <w:rsid w:val="00527B40"/>
    <w:rsid w:val="005330EB"/>
    <w:rsid w:val="00542F03"/>
    <w:rsid w:val="00543111"/>
    <w:rsid w:val="00543279"/>
    <w:rsid w:val="00544F03"/>
    <w:rsid w:val="00547727"/>
    <w:rsid w:val="005532A5"/>
    <w:rsid w:val="00553A9A"/>
    <w:rsid w:val="0056231B"/>
    <w:rsid w:val="00562EF5"/>
    <w:rsid w:val="00564468"/>
    <w:rsid w:val="005667F8"/>
    <w:rsid w:val="00572EFC"/>
    <w:rsid w:val="005744F4"/>
    <w:rsid w:val="005759C0"/>
    <w:rsid w:val="00584A3D"/>
    <w:rsid w:val="00586566"/>
    <w:rsid w:val="00590734"/>
    <w:rsid w:val="005937ED"/>
    <w:rsid w:val="00596B97"/>
    <w:rsid w:val="005A224A"/>
    <w:rsid w:val="005A62CD"/>
    <w:rsid w:val="005B7034"/>
    <w:rsid w:val="005B78AF"/>
    <w:rsid w:val="005C0446"/>
    <w:rsid w:val="005C442E"/>
    <w:rsid w:val="005C77BF"/>
    <w:rsid w:val="005D0A0B"/>
    <w:rsid w:val="005D2EA4"/>
    <w:rsid w:val="005D4E8E"/>
    <w:rsid w:val="005F3A87"/>
    <w:rsid w:val="005F7752"/>
    <w:rsid w:val="00604F72"/>
    <w:rsid w:val="00606517"/>
    <w:rsid w:val="00612F27"/>
    <w:rsid w:val="006130E2"/>
    <w:rsid w:val="00621F25"/>
    <w:rsid w:val="00623CB6"/>
    <w:rsid w:val="00624117"/>
    <w:rsid w:val="0064720E"/>
    <w:rsid w:val="00654444"/>
    <w:rsid w:val="006610A8"/>
    <w:rsid w:val="006655D8"/>
    <w:rsid w:val="00671FF1"/>
    <w:rsid w:val="006754BB"/>
    <w:rsid w:val="006770AF"/>
    <w:rsid w:val="006816A4"/>
    <w:rsid w:val="00682966"/>
    <w:rsid w:val="0069053B"/>
    <w:rsid w:val="00692046"/>
    <w:rsid w:val="0069359B"/>
    <w:rsid w:val="006941D5"/>
    <w:rsid w:val="006961E3"/>
    <w:rsid w:val="006A10AF"/>
    <w:rsid w:val="006A728D"/>
    <w:rsid w:val="006B2DE0"/>
    <w:rsid w:val="006B3D26"/>
    <w:rsid w:val="006B4040"/>
    <w:rsid w:val="006B496A"/>
    <w:rsid w:val="006B561D"/>
    <w:rsid w:val="006B6E0D"/>
    <w:rsid w:val="006C32B0"/>
    <w:rsid w:val="006C671B"/>
    <w:rsid w:val="006C6834"/>
    <w:rsid w:val="006E210B"/>
    <w:rsid w:val="006E57BB"/>
    <w:rsid w:val="006F005C"/>
    <w:rsid w:val="006F0436"/>
    <w:rsid w:val="006F1D87"/>
    <w:rsid w:val="0070299B"/>
    <w:rsid w:val="007173D8"/>
    <w:rsid w:val="0072050A"/>
    <w:rsid w:val="00723279"/>
    <w:rsid w:val="00726477"/>
    <w:rsid w:val="00726F00"/>
    <w:rsid w:val="00740858"/>
    <w:rsid w:val="00746BDE"/>
    <w:rsid w:val="00756EEE"/>
    <w:rsid w:val="007603E0"/>
    <w:rsid w:val="00771254"/>
    <w:rsid w:val="00774BEC"/>
    <w:rsid w:val="007769D6"/>
    <w:rsid w:val="0078361A"/>
    <w:rsid w:val="00791403"/>
    <w:rsid w:val="00792FB6"/>
    <w:rsid w:val="007939E8"/>
    <w:rsid w:val="00796DC0"/>
    <w:rsid w:val="007B14FA"/>
    <w:rsid w:val="007B2EF6"/>
    <w:rsid w:val="007B7AB9"/>
    <w:rsid w:val="007C3802"/>
    <w:rsid w:val="007C4FFD"/>
    <w:rsid w:val="007D3CBB"/>
    <w:rsid w:val="007E06A3"/>
    <w:rsid w:val="007E5871"/>
    <w:rsid w:val="007F1629"/>
    <w:rsid w:val="007F3A3C"/>
    <w:rsid w:val="007F45DA"/>
    <w:rsid w:val="007F76C7"/>
    <w:rsid w:val="008000BA"/>
    <w:rsid w:val="00812742"/>
    <w:rsid w:val="0082687B"/>
    <w:rsid w:val="00836B68"/>
    <w:rsid w:val="00845874"/>
    <w:rsid w:val="008569C6"/>
    <w:rsid w:val="008604C6"/>
    <w:rsid w:val="00862E50"/>
    <w:rsid w:val="00864A3D"/>
    <w:rsid w:val="00865965"/>
    <w:rsid w:val="00866F6D"/>
    <w:rsid w:val="0087073F"/>
    <w:rsid w:val="00874CB0"/>
    <w:rsid w:val="00890B04"/>
    <w:rsid w:val="00890DFB"/>
    <w:rsid w:val="008A2893"/>
    <w:rsid w:val="008A5066"/>
    <w:rsid w:val="008A6515"/>
    <w:rsid w:val="008B4ED3"/>
    <w:rsid w:val="008B4F87"/>
    <w:rsid w:val="008C220C"/>
    <w:rsid w:val="008C39C2"/>
    <w:rsid w:val="008C45A6"/>
    <w:rsid w:val="008C4D38"/>
    <w:rsid w:val="008D1D14"/>
    <w:rsid w:val="008D29F9"/>
    <w:rsid w:val="008E2A79"/>
    <w:rsid w:val="008E3D2E"/>
    <w:rsid w:val="008E58C8"/>
    <w:rsid w:val="008F0E48"/>
    <w:rsid w:val="008F15A3"/>
    <w:rsid w:val="008F54A3"/>
    <w:rsid w:val="009014BF"/>
    <w:rsid w:val="009142C3"/>
    <w:rsid w:val="00923785"/>
    <w:rsid w:val="009327F0"/>
    <w:rsid w:val="009333FB"/>
    <w:rsid w:val="00933B8D"/>
    <w:rsid w:val="009346BC"/>
    <w:rsid w:val="00935EEF"/>
    <w:rsid w:val="0094174E"/>
    <w:rsid w:val="00947089"/>
    <w:rsid w:val="00947F14"/>
    <w:rsid w:val="00951861"/>
    <w:rsid w:val="0096620B"/>
    <w:rsid w:val="00966D91"/>
    <w:rsid w:val="0097521F"/>
    <w:rsid w:val="0098613B"/>
    <w:rsid w:val="009A5A8F"/>
    <w:rsid w:val="009A781A"/>
    <w:rsid w:val="009B3000"/>
    <w:rsid w:val="009B79F9"/>
    <w:rsid w:val="009C0011"/>
    <w:rsid w:val="009C0876"/>
    <w:rsid w:val="009C19B8"/>
    <w:rsid w:val="009C1B3F"/>
    <w:rsid w:val="009C2FD0"/>
    <w:rsid w:val="009C535A"/>
    <w:rsid w:val="009D002B"/>
    <w:rsid w:val="009D039B"/>
    <w:rsid w:val="009D3B96"/>
    <w:rsid w:val="009E43BE"/>
    <w:rsid w:val="009E66D1"/>
    <w:rsid w:val="009E6D0B"/>
    <w:rsid w:val="009F0496"/>
    <w:rsid w:val="00A014D5"/>
    <w:rsid w:val="00A037E5"/>
    <w:rsid w:val="00A102E8"/>
    <w:rsid w:val="00A16918"/>
    <w:rsid w:val="00A1714E"/>
    <w:rsid w:val="00A175E2"/>
    <w:rsid w:val="00A21A4E"/>
    <w:rsid w:val="00A24C0E"/>
    <w:rsid w:val="00A56DC0"/>
    <w:rsid w:val="00A67B90"/>
    <w:rsid w:val="00AA5172"/>
    <w:rsid w:val="00AA5E8B"/>
    <w:rsid w:val="00AA7FD3"/>
    <w:rsid w:val="00AB1D87"/>
    <w:rsid w:val="00AB303D"/>
    <w:rsid w:val="00AC23DB"/>
    <w:rsid w:val="00AC319E"/>
    <w:rsid w:val="00AC6967"/>
    <w:rsid w:val="00AC6E28"/>
    <w:rsid w:val="00AD219F"/>
    <w:rsid w:val="00AE0B32"/>
    <w:rsid w:val="00AF05CC"/>
    <w:rsid w:val="00AF7620"/>
    <w:rsid w:val="00B01134"/>
    <w:rsid w:val="00B11D1A"/>
    <w:rsid w:val="00B15893"/>
    <w:rsid w:val="00B178E6"/>
    <w:rsid w:val="00B207D5"/>
    <w:rsid w:val="00B21F0D"/>
    <w:rsid w:val="00B31EEB"/>
    <w:rsid w:val="00B41779"/>
    <w:rsid w:val="00B41E3D"/>
    <w:rsid w:val="00B6096C"/>
    <w:rsid w:val="00B61C14"/>
    <w:rsid w:val="00B8231A"/>
    <w:rsid w:val="00B82F86"/>
    <w:rsid w:val="00B92820"/>
    <w:rsid w:val="00B92834"/>
    <w:rsid w:val="00B949C6"/>
    <w:rsid w:val="00BA558F"/>
    <w:rsid w:val="00BB0A10"/>
    <w:rsid w:val="00BE4ADF"/>
    <w:rsid w:val="00BF6BB4"/>
    <w:rsid w:val="00C14179"/>
    <w:rsid w:val="00C161E1"/>
    <w:rsid w:val="00C21708"/>
    <w:rsid w:val="00C31067"/>
    <w:rsid w:val="00C454A1"/>
    <w:rsid w:val="00C50663"/>
    <w:rsid w:val="00C54BEC"/>
    <w:rsid w:val="00C574E3"/>
    <w:rsid w:val="00C645D8"/>
    <w:rsid w:val="00C661C9"/>
    <w:rsid w:val="00C704EA"/>
    <w:rsid w:val="00C8159D"/>
    <w:rsid w:val="00C8376C"/>
    <w:rsid w:val="00C847B1"/>
    <w:rsid w:val="00C90848"/>
    <w:rsid w:val="00C95A13"/>
    <w:rsid w:val="00CA641F"/>
    <w:rsid w:val="00CB0050"/>
    <w:rsid w:val="00CB11E2"/>
    <w:rsid w:val="00CB387A"/>
    <w:rsid w:val="00CB391B"/>
    <w:rsid w:val="00CC1AE1"/>
    <w:rsid w:val="00CC41C3"/>
    <w:rsid w:val="00CC77B9"/>
    <w:rsid w:val="00CF0A98"/>
    <w:rsid w:val="00CF1B02"/>
    <w:rsid w:val="00D00EC8"/>
    <w:rsid w:val="00D055F0"/>
    <w:rsid w:val="00D07955"/>
    <w:rsid w:val="00D11E9C"/>
    <w:rsid w:val="00D57EE4"/>
    <w:rsid w:val="00D60D13"/>
    <w:rsid w:val="00D6104B"/>
    <w:rsid w:val="00D63496"/>
    <w:rsid w:val="00D7163A"/>
    <w:rsid w:val="00D71C65"/>
    <w:rsid w:val="00D74CDA"/>
    <w:rsid w:val="00D809EF"/>
    <w:rsid w:val="00D87D69"/>
    <w:rsid w:val="00D93A5A"/>
    <w:rsid w:val="00DA3A35"/>
    <w:rsid w:val="00DB366B"/>
    <w:rsid w:val="00DB4E68"/>
    <w:rsid w:val="00DE046C"/>
    <w:rsid w:val="00DF2E0D"/>
    <w:rsid w:val="00DF2F34"/>
    <w:rsid w:val="00DF3348"/>
    <w:rsid w:val="00DF6741"/>
    <w:rsid w:val="00E14EF4"/>
    <w:rsid w:val="00E219CE"/>
    <w:rsid w:val="00E3026C"/>
    <w:rsid w:val="00E376A0"/>
    <w:rsid w:val="00E40475"/>
    <w:rsid w:val="00E45A97"/>
    <w:rsid w:val="00E45C01"/>
    <w:rsid w:val="00E53694"/>
    <w:rsid w:val="00E64495"/>
    <w:rsid w:val="00E77BF9"/>
    <w:rsid w:val="00E80D89"/>
    <w:rsid w:val="00E80F05"/>
    <w:rsid w:val="00E82B95"/>
    <w:rsid w:val="00E85949"/>
    <w:rsid w:val="00E8762A"/>
    <w:rsid w:val="00E92AE5"/>
    <w:rsid w:val="00E93238"/>
    <w:rsid w:val="00EA33C3"/>
    <w:rsid w:val="00EA60E5"/>
    <w:rsid w:val="00EC3998"/>
    <w:rsid w:val="00EC61DD"/>
    <w:rsid w:val="00EE09D2"/>
    <w:rsid w:val="00EE0B19"/>
    <w:rsid w:val="00EE585F"/>
    <w:rsid w:val="00EE6B63"/>
    <w:rsid w:val="00EF5267"/>
    <w:rsid w:val="00EF6FF3"/>
    <w:rsid w:val="00F01185"/>
    <w:rsid w:val="00F22FF7"/>
    <w:rsid w:val="00F332F8"/>
    <w:rsid w:val="00F333C3"/>
    <w:rsid w:val="00F37065"/>
    <w:rsid w:val="00F40205"/>
    <w:rsid w:val="00F41597"/>
    <w:rsid w:val="00F46312"/>
    <w:rsid w:val="00F61158"/>
    <w:rsid w:val="00F62120"/>
    <w:rsid w:val="00F73915"/>
    <w:rsid w:val="00F765C6"/>
    <w:rsid w:val="00F81A44"/>
    <w:rsid w:val="00F84AFF"/>
    <w:rsid w:val="00F85657"/>
    <w:rsid w:val="00F86715"/>
    <w:rsid w:val="00F90C89"/>
    <w:rsid w:val="00F9113C"/>
    <w:rsid w:val="00F9386E"/>
    <w:rsid w:val="00FC1322"/>
    <w:rsid w:val="00FD0E68"/>
    <w:rsid w:val="00FE006C"/>
    <w:rsid w:val="00FE3124"/>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0A6A2F"/>
  <w15:docId w15:val="{FB0C984A-1923-4AFC-875E-4CF368E4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DA3A35"/>
    <w:pPr>
      <w:ind w:left="720"/>
      <w:contextualSpacing/>
    </w:pPr>
  </w:style>
  <w:style w:type="character" w:styleId="CommentReference">
    <w:name w:val="annotation reference"/>
    <w:basedOn w:val="DefaultParagraphFont"/>
    <w:semiHidden/>
    <w:unhideWhenUsed/>
    <w:rsid w:val="007C4FFD"/>
    <w:rPr>
      <w:sz w:val="16"/>
      <w:szCs w:val="16"/>
    </w:rPr>
  </w:style>
  <w:style w:type="paragraph" w:styleId="CommentText">
    <w:name w:val="annotation text"/>
    <w:basedOn w:val="Normal"/>
    <w:link w:val="CommentTextChar"/>
    <w:semiHidden/>
    <w:unhideWhenUsed/>
    <w:rsid w:val="007C4FFD"/>
    <w:rPr>
      <w:sz w:val="20"/>
      <w:szCs w:val="20"/>
    </w:rPr>
  </w:style>
  <w:style w:type="character" w:customStyle="1" w:styleId="CommentTextChar">
    <w:name w:val="Comment Text Char"/>
    <w:basedOn w:val="DefaultParagraphFont"/>
    <w:link w:val="CommentText"/>
    <w:semiHidden/>
    <w:rsid w:val="007C4FFD"/>
  </w:style>
  <w:style w:type="paragraph" w:styleId="CommentSubject">
    <w:name w:val="annotation subject"/>
    <w:basedOn w:val="CommentText"/>
    <w:next w:val="CommentText"/>
    <w:link w:val="CommentSubjectChar"/>
    <w:semiHidden/>
    <w:unhideWhenUsed/>
    <w:rsid w:val="007C4FFD"/>
    <w:rPr>
      <w:b/>
      <w:bCs/>
    </w:rPr>
  </w:style>
  <w:style w:type="character" w:customStyle="1" w:styleId="CommentSubjectChar">
    <w:name w:val="Comment Subject Char"/>
    <w:basedOn w:val="CommentTextChar"/>
    <w:link w:val="CommentSubject"/>
    <w:semiHidden/>
    <w:rsid w:val="007C4FFD"/>
    <w:rPr>
      <w:b/>
      <w:bCs/>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7939E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111361949">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Ivana Vojinović</cp:lastModifiedBy>
  <cp:revision>2</cp:revision>
  <cp:lastPrinted>2023-04-04T08:29:00Z</cp:lastPrinted>
  <dcterms:created xsi:type="dcterms:W3CDTF">2023-09-29T11:10:00Z</dcterms:created>
  <dcterms:modified xsi:type="dcterms:W3CDTF">2023-09-29T11:10:00Z</dcterms:modified>
</cp:coreProperties>
</file>